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W w:w="0" w:type="auto"/>
        <w:tblInd w:w="0" w:type="dxa"/>
        <w:tblLayout w:type="fixed"/>
        <w:tblCellMar>
          <w:top w:w="0" w:type="dxa"/>
          <w:left w:w="108" w:type="dxa"/>
          <w:bottom w:w="0" w:type="dxa"/>
          <w:right w:w="108" w:type="dxa"/>
        </w:tblCellMar>
      </w:tblPr>
      <w:tblGrid>
        <w:gridCol w:w="9628"/>
      </w:tblGrid>
      <w:tr>
        <w:tblPrEx>
          <w:tblCellMar>
            <w:top w:w="0" w:type="dxa"/>
            <w:left w:w="108" w:type="dxa"/>
            <w:bottom w:w="0" w:type="dxa"/>
            <w:right w:w="108" w:type="dxa"/>
          </w:tblCellMar>
        </w:tblPrEx>
        <w:trPr>
          <w:trHeight w:val="2835" w:hRule="exact"/>
        </w:trPr>
        <w:tc>
          <w:tcPr>
            <w:tcW w:w="9628" w:type="dxa"/>
          </w:tcPr>
          <w:p>
            <w:pPr>
              <w:snapToGrid w:val="0"/>
              <w:spacing w:line="1000" w:lineRule="exact"/>
              <w:rPr>
                <w:rFonts w:ascii="方正小标宋_GBK" w:hAnsi="方正小标宋_GBK" w:eastAsia="方正小标宋_GBK" w:cs="方正小标宋_GBK"/>
                <w:sz w:val="32"/>
                <w:szCs w:val="32"/>
              </w:rPr>
            </w:pPr>
          </w:p>
        </w:tc>
      </w:tr>
    </w:tbl>
    <w:p>
      <w:pPr>
        <w:spacing w:after="240" w:afterLines="100" w:line="1000" w:lineRule="exact"/>
        <w:jc w:val="center"/>
        <w:rPr>
          <w:rFonts w:ascii="宋体" w:hAnsi="宋体"/>
          <w:b/>
          <w:bCs/>
          <w:sz w:val="84"/>
          <w:szCs w:val="84"/>
        </w:rPr>
      </w:pPr>
      <w:r>
        <w:rPr>
          <w:rFonts w:ascii="Arial" w:hAnsi="Arial" w:cs="Arial"/>
          <w:bCs/>
          <w:sz w:val="72"/>
          <w:szCs w:val="72"/>
        </w:rPr>
        <w:fldChar w:fldCharType="begin"/>
      </w:r>
      <w:r>
        <w:rPr>
          <w:rFonts w:ascii="Arial" w:hAnsi="Arial" w:cs="Arial"/>
          <w:bCs/>
          <w:sz w:val="72"/>
          <w:szCs w:val="72"/>
        </w:rPr>
        <w:instrText xml:space="preserve"> EQ \o\ac(</w:instrText>
      </w:r>
      <w:r>
        <w:rPr>
          <w:rFonts w:hint="eastAsia" w:ascii="Arial" w:hAnsi="Arial" w:cs="Arial"/>
          <w:bCs/>
          <w:position w:val="-14"/>
          <w:sz w:val="109"/>
          <w:szCs w:val="72"/>
        </w:rPr>
        <w:instrText xml:space="preserve">○</w:instrText>
      </w:r>
      <w:r>
        <w:rPr>
          <w:rFonts w:ascii="Arial" w:hAnsi="Arial" w:cs="Arial"/>
          <w:bCs/>
          <w:sz w:val="72"/>
          <w:szCs w:val="72"/>
        </w:rPr>
        <w:instrText xml:space="preserve">,P)</w:instrText>
      </w:r>
      <w:r>
        <w:rPr>
          <w:rFonts w:ascii="Arial" w:hAnsi="Arial" w:cs="Arial"/>
          <w:bCs/>
          <w:sz w:val="72"/>
          <w:szCs w:val="72"/>
        </w:rPr>
        <w:fldChar w:fldCharType="end"/>
      </w:r>
      <w:r>
        <w:rPr>
          <w:rFonts w:hint="eastAsia" w:ascii="宋体" w:hAnsi="宋体" w:cs="宋体"/>
          <w:b/>
          <w:bCs/>
          <w:sz w:val="84"/>
          <w:szCs w:val="84"/>
        </w:rPr>
        <w:t>能源统计报表制度</w:t>
      </w:r>
    </w:p>
    <w:p>
      <w:pPr>
        <w:spacing w:line="400" w:lineRule="exact"/>
        <w:jc w:val="center"/>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（202</w:t>
      </w:r>
      <w:r>
        <w:rPr>
          <w:rFonts w:hint="eastAsia" w:ascii="楷体_GB2312" w:hAnsi="楷体_GB2312" w:eastAsia="楷体_GB2312" w:cs="楷体_GB2312"/>
          <w:color w:val="auto"/>
          <w:sz w:val="32"/>
          <w:szCs w:val="32"/>
          <w:lang w:val="en-US" w:eastAsia="zh-CN"/>
        </w:rPr>
        <w:t>5</w:t>
      </w:r>
      <w:r>
        <w:rPr>
          <w:rFonts w:hint="eastAsia" w:ascii="楷体_GB2312" w:hAnsi="楷体_GB2312" w:eastAsia="楷体_GB2312" w:cs="楷体_GB2312"/>
          <w:color w:val="auto"/>
          <w:sz w:val="32"/>
          <w:szCs w:val="32"/>
        </w:rPr>
        <w:t>年统计年报和202</w:t>
      </w:r>
      <w:r>
        <w:rPr>
          <w:rFonts w:hint="eastAsia" w:ascii="楷体_GB2312" w:hAnsi="楷体_GB2312" w:eastAsia="楷体_GB2312" w:cs="楷体_GB2312"/>
          <w:color w:val="auto"/>
          <w:sz w:val="32"/>
          <w:szCs w:val="32"/>
          <w:lang w:val="en-US" w:eastAsia="zh-CN"/>
        </w:rPr>
        <w:t>6</w:t>
      </w:r>
      <w:r>
        <w:rPr>
          <w:rFonts w:hint="eastAsia" w:ascii="楷体_GB2312" w:hAnsi="楷体_GB2312" w:eastAsia="楷体_GB2312" w:cs="楷体_GB2312"/>
          <w:color w:val="auto"/>
          <w:sz w:val="32"/>
          <w:szCs w:val="32"/>
        </w:rPr>
        <w:t>年定期统计报表）</w:t>
      </w:r>
    </w:p>
    <w:p>
      <w:pPr>
        <w:pStyle w:val="7"/>
        <w:ind w:firstLine="3840" w:firstLineChars="1200"/>
        <w:rPr>
          <w:rFonts w:ascii="楷体_GB2312" w:hAnsi="楷体_GB2312" w:eastAsia="楷体_GB2312" w:cs="楷体_GB2312"/>
          <w:sz w:val="32"/>
          <w:szCs w:val="32"/>
        </w:rPr>
      </w:pPr>
      <w:r>
        <w:rPr>
          <w:rFonts w:hint="eastAsia" w:ascii="楷体_GB2312" w:hAnsi="楷体_GB2312" w:eastAsia="楷体_GB2312" w:cs="楷体_GB2312"/>
          <w:sz w:val="32"/>
          <w:szCs w:val="32"/>
        </w:rPr>
        <w:t>（综合本）</w:t>
      </w:r>
    </w:p>
    <w:p>
      <w:pPr>
        <w:jc w:val="center"/>
        <w:rPr>
          <w:sz w:val="32"/>
          <w:szCs w:val="32"/>
        </w:rPr>
      </w:pPr>
    </w:p>
    <w:p>
      <w:pPr>
        <w:spacing w:line="400" w:lineRule="exact"/>
        <w:jc w:val="center"/>
        <w:rPr>
          <w:rFonts w:ascii="方正仿宋简体" w:eastAsia="方正仿宋简体"/>
          <w:sz w:val="32"/>
          <w:szCs w:val="32"/>
        </w:rPr>
      </w:pPr>
    </w:p>
    <w:p>
      <w:pPr>
        <w:spacing w:line="400" w:lineRule="exact"/>
        <w:jc w:val="center"/>
        <w:rPr>
          <w:rFonts w:ascii="方正仿宋简体" w:eastAsia="方正仿宋简体"/>
          <w:sz w:val="32"/>
          <w:szCs w:val="32"/>
        </w:rPr>
      </w:pPr>
    </w:p>
    <w:p>
      <w:pPr>
        <w:spacing w:line="400" w:lineRule="exact"/>
        <w:jc w:val="center"/>
        <w:rPr>
          <w:rFonts w:ascii="方正仿宋简体" w:eastAsia="方正仿宋简体"/>
          <w:sz w:val="32"/>
          <w:szCs w:val="32"/>
        </w:rPr>
      </w:pPr>
    </w:p>
    <w:p>
      <w:pPr>
        <w:pStyle w:val="7"/>
      </w:pPr>
    </w:p>
    <w:p>
      <w:pPr>
        <w:pStyle w:val="7"/>
        <w:ind w:firstLine="640"/>
        <w:rPr>
          <w:rFonts w:ascii="方正仿宋简体" w:eastAsia="方正仿宋简体"/>
          <w:sz w:val="32"/>
          <w:szCs w:val="32"/>
        </w:rPr>
      </w:pPr>
    </w:p>
    <w:p>
      <w:pPr>
        <w:pStyle w:val="7"/>
        <w:ind w:firstLine="640"/>
        <w:rPr>
          <w:rFonts w:ascii="方正仿宋简体" w:eastAsia="方正仿宋简体"/>
          <w:sz w:val="32"/>
          <w:szCs w:val="32"/>
        </w:rPr>
      </w:pPr>
    </w:p>
    <w:p>
      <w:pPr>
        <w:pStyle w:val="7"/>
        <w:ind w:firstLine="640"/>
        <w:rPr>
          <w:rFonts w:ascii="方正仿宋简体" w:eastAsia="方正仿宋简体"/>
          <w:sz w:val="32"/>
          <w:szCs w:val="32"/>
        </w:rPr>
      </w:pPr>
    </w:p>
    <w:p>
      <w:pPr>
        <w:rPr>
          <w:rFonts w:ascii="方正仿宋简体" w:eastAsia="方正仿宋简体"/>
          <w:sz w:val="32"/>
          <w:szCs w:val="32"/>
        </w:rPr>
      </w:pPr>
    </w:p>
    <w:p/>
    <w:p>
      <w:pPr>
        <w:pStyle w:val="20"/>
        <w:ind w:left="420" w:firstLine="640"/>
        <w:rPr>
          <w:rFonts w:ascii="方正仿宋简体" w:eastAsia="方正仿宋简体"/>
          <w:sz w:val="32"/>
          <w:szCs w:val="32"/>
        </w:rPr>
      </w:pPr>
    </w:p>
    <w:p/>
    <w:p>
      <w:pPr>
        <w:spacing w:line="400" w:lineRule="exact"/>
        <w:jc w:val="center"/>
        <w:rPr>
          <w:rFonts w:ascii="方正仿宋简体" w:eastAsia="方正仿宋简体"/>
          <w:sz w:val="32"/>
          <w:szCs w:val="32"/>
        </w:rPr>
      </w:pPr>
    </w:p>
    <w:p>
      <w:pPr>
        <w:spacing w:line="400" w:lineRule="exact"/>
        <w:jc w:val="center"/>
        <w:rPr>
          <w:rFonts w:ascii="方正仿宋简体" w:eastAsia="方正仿宋简体"/>
          <w:sz w:val="32"/>
          <w:szCs w:val="32"/>
        </w:rPr>
      </w:pPr>
    </w:p>
    <w:p>
      <w:pPr>
        <w:spacing w:line="400" w:lineRule="exact"/>
        <w:jc w:val="center"/>
        <w:rPr>
          <w:rFonts w:ascii="方正仿宋简体" w:eastAsia="方正仿宋简体"/>
          <w:sz w:val="32"/>
          <w:szCs w:val="32"/>
        </w:rPr>
      </w:pPr>
    </w:p>
    <w:p>
      <w:pPr>
        <w:spacing w:line="400" w:lineRule="exact"/>
        <w:rPr>
          <w:rFonts w:ascii="方正仿宋简体" w:eastAsia="方正仿宋简体"/>
          <w:sz w:val="32"/>
          <w:szCs w:val="32"/>
        </w:rPr>
      </w:pPr>
    </w:p>
    <w:p>
      <w:pPr>
        <w:adjustRightInd w:val="0"/>
        <w:snapToGrid w:val="0"/>
        <w:jc w:val="center"/>
        <w:rPr>
          <w:rFonts w:ascii="楷体_GB2312" w:hAnsi="楷体_GB2312" w:eastAsia="楷体_GB2312" w:cs="楷体_GB2312"/>
          <w:sz w:val="32"/>
          <w:szCs w:val="32"/>
        </w:rPr>
      </w:pPr>
      <w:r>
        <w:rPr>
          <w:rFonts w:hint="eastAsia" w:ascii="楷体_GB2312" w:hAnsi="楷体_GB2312" w:eastAsia="楷体_GB2312" w:cs="楷体_GB2312"/>
          <w:color w:val="000000"/>
          <w:kern w:val="0"/>
          <w:sz w:val="32"/>
          <w:szCs w:val="32"/>
        </w:rPr>
        <w:t>广</w:t>
      </w:r>
      <w:r>
        <w:rPr>
          <w:rFonts w:hint="eastAsia" w:ascii="楷体_GB2312" w:hAnsi="楷体_GB2312" w:eastAsia="楷体_GB2312" w:cs="楷体_GB2312"/>
          <w:color w:val="000000"/>
          <w:spacing w:val="56"/>
          <w:kern w:val="0"/>
          <w:sz w:val="32"/>
          <w:szCs w:val="32"/>
        </w:rPr>
        <w:t xml:space="preserve"> 州 市 统 计 </w:t>
      </w:r>
      <w:r>
        <w:rPr>
          <w:rFonts w:hint="eastAsia" w:ascii="楷体_GB2312" w:hAnsi="楷体_GB2312" w:eastAsia="楷体_GB2312" w:cs="楷体_GB2312"/>
          <w:color w:val="000000"/>
          <w:kern w:val="0"/>
          <w:sz w:val="32"/>
          <w:szCs w:val="32"/>
        </w:rPr>
        <w:t>局</w:t>
      </w:r>
    </w:p>
    <w:p>
      <w:pPr>
        <w:adjustRightInd w:val="0"/>
        <w:snapToGrid w:val="0"/>
        <w:spacing w:line="600" w:lineRule="exact"/>
        <w:jc w:val="center"/>
        <w:rPr>
          <w:rFonts w:ascii="宋体" w:hAnsi="宋体"/>
          <w:color w:val="auto"/>
          <w:sz w:val="32"/>
          <w:szCs w:val="32"/>
        </w:rPr>
      </w:pPr>
      <w:r>
        <w:rPr>
          <w:rFonts w:hint="eastAsia" w:ascii="楷体_GB2312" w:hAnsi="楷体_GB2312" w:eastAsia="楷体_GB2312" w:cs="楷体_GB2312"/>
          <w:color w:val="auto"/>
          <w:sz w:val="32"/>
          <w:szCs w:val="32"/>
        </w:rPr>
        <w:t>202</w:t>
      </w:r>
      <w:r>
        <w:rPr>
          <w:rFonts w:hint="eastAsia" w:ascii="楷体_GB2312" w:hAnsi="楷体_GB2312" w:eastAsia="楷体_GB2312" w:cs="楷体_GB2312"/>
          <w:color w:val="auto"/>
          <w:sz w:val="32"/>
          <w:szCs w:val="32"/>
          <w:lang w:val="en-US" w:eastAsia="zh-CN"/>
        </w:rPr>
        <w:t>6</w:t>
      </w:r>
      <w:r>
        <w:rPr>
          <w:rFonts w:hint="eastAsia" w:ascii="楷体_GB2312" w:hAnsi="楷体_GB2312" w:eastAsia="楷体_GB2312" w:cs="楷体_GB2312"/>
          <w:color w:val="auto"/>
          <w:sz w:val="32"/>
          <w:szCs w:val="32"/>
        </w:rPr>
        <w:t>年2月</w:t>
      </w:r>
    </w:p>
    <w:p>
      <w:pPr>
        <w:jc w:val="left"/>
        <w:rPr>
          <w:rFonts w:ascii="宋体" w:hAnsi="宋体"/>
          <w:sz w:val="36"/>
          <w:szCs w:val="36"/>
        </w:rPr>
      </w:pPr>
      <w:r>
        <w:rPr>
          <w:rFonts w:ascii="宋体" w:hAnsi="宋体"/>
          <w:sz w:val="36"/>
          <w:szCs w:val="36"/>
        </w:rPr>
        <w:br w:type="page"/>
      </w:r>
    </w:p>
    <w:p>
      <w:pPr>
        <w:jc w:val="left"/>
        <w:rPr>
          <w:rFonts w:ascii="宋体" w:hAnsi="宋体"/>
          <w:sz w:val="36"/>
          <w:szCs w:val="36"/>
        </w:rPr>
      </w:pPr>
    </w:p>
    <w:p>
      <w:pPr>
        <w:jc w:val="left"/>
        <w:rPr>
          <w:rFonts w:ascii="方正小标宋_GBK" w:hAnsi="方正小标宋_GBK" w:eastAsia="方正小标宋_GBK" w:cs="方正小标宋_GBK"/>
          <w:sz w:val="32"/>
          <w:szCs w:val="32"/>
        </w:rPr>
      </w:pPr>
    </w:p>
    <w:p>
      <w:pPr>
        <w:adjustRightInd w:val="0"/>
        <w:snapToGrid w:val="0"/>
        <w:spacing w:after="120" w:afterLines="50" w:line="300" w:lineRule="exact"/>
        <w:jc w:val="center"/>
        <w:rPr>
          <w:rFonts w:ascii="宋体" w:hAnsi="宋体"/>
          <w:sz w:val="36"/>
          <w:szCs w:val="36"/>
        </w:rPr>
      </w:pPr>
    </w:p>
    <w:p>
      <w:pPr>
        <w:adjustRightInd w:val="0"/>
        <w:snapToGrid w:val="0"/>
        <w:spacing w:after="120" w:afterLines="50" w:line="300" w:lineRule="exact"/>
        <w:jc w:val="center"/>
        <w:rPr>
          <w:rFonts w:ascii="宋体" w:hAnsi="宋体"/>
          <w:sz w:val="36"/>
          <w:szCs w:val="36"/>
        </w:rPr>
      </w:pPr>
    </w:p>
    <w:p>
      <w:pPr>
        <w:adjustRightInd w:val="0"/>
        <w:snapToGrid w:val="0"/>
        <w:spacing w:after="120" w:afterLines="50" w:line="300" w:lineRule="exact"/>
        <w:jc w:val="center"/>
        <w:rPr>
          <w:rFonts w:ascii="宋体" w:hAnsi="宋体"/>
          <w:sz w:val="36"/>
          <w:szCs w:val="36"/>
        </w:rPr>
      </w:pPr>
    </w:p>
    <w:p>
      <w:pPr>
        <w:adjustRightInd w:val="0"/>
        <w:snapToGrid w:val="0"/>
        <w:spacing w:after="120" w:afterLines="50" w:line="300" w:lineRule="exact"/>
        <w:jc w:val="center"/>
        <w:rPr>
          <w:rFonts w:ascii="宋体" w:hAnsi="宋体"/>
          <w:sz w:val="36"/>
          <w:szCs w:val="36"/>
        </w:rPr>
      </w:pPr>
    </w:p>
    <w:p>
      <w:pPr>
        <w:adjustRightInd w:val="0"/>
        <w:snapToGrid w:val="0"/>
        <w:spacing w:after="120" w:afterLines="50" w:line="300" w:lineRule="exact"/>
        <w:jc w:val="center"/>
        <w:rPr>
          <w:rFonts w:ascii="宋体" w:hAnsi="宋体"/>
          <w:sz w:val="36"/>
          <w:szCs w:val="36"/>
        </w:rPr>
      </w:pPr>
    </w:p>
    <w:p>
      <w:pPr>
        <w:adjustRightInd w:val="0"/>
        <w:snapToGrid w:val="0"/>
        <w:spacing w:after="120" w:afterLines="50" w:line="300" w:lineRule="exact"/>
        <w:jc w:val="center"/>
        <w:rPr>
          <w:rFonts w:ascii="宋体" w:hAnsi="宋体"/>
          <w:sz w:val="36"/>
          <w:szCs w:val="36"/>
        </w:rPr>
      </w:pPr>
    </w:p>
    <w:p>
      <w:pPr>
        <w:adjustRightInd w:val="0"/>
        <w:snapToGrid w:val="0"/>
        <w:spacing w:after="120" w:afterLines="50" w:line="300" w:lineRule="exact"/>
        <w:jc w:val="center"/>
        <w:rPr>
          <w:rFonts w:ascii="宋体" w:hAnsi="宋体"/>
          <w:sz w:val="36"/>
          <w:szCs w:val="36"/>
        </w:rPr>
      </w:pPr>
    </w:p>
    <w:p>
      <w:pPr>
        <w:adjustRightInd w:val="0"/>
        <w:snapToGrid w:val="0"/>
        <w:spacing w:after="120" w:afterLines="50" w:line="300" w:lineRule="exact"/>
        <w:jc w:val="center"/>
        <w:rPr>
          <w:rFonts w:ascii="宋体" w:hAnsi="宋体"/>
          <w:sz w:val="36"/>
          <w:szCs w:val="36"/>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300" w:lineRule="exact"/>
        <w:jc w:val="center"/>
        <w:rPr>
          <w:rFonts w:hAnsi="华文中宋" w:eastAsia="华文中宋"/>
          <w:b/>
          <w:sz w:val="28"/>
          <w:szCs w:val="28"/>
        </w:rPr>
      </w:pPr>
    </w:p>
    <w:p>
      <w:pPr>
        <w:adjustRightInd w:val="0"/>
        <w:snapToGrid w:val="0"/>
        <w:spacing w:after="120" w:afterLines="50" w:line="440" w:lineRule="exact"/>
        <w:jc w:val="left"/>
        <w:rPr>
          <w:rFonts w:ascii="华文仿宋" w:hAnsi="华文仿宋" w:eastAsia="华文仿宋"/>
          <w:sz w:val="32"/>
          <w:szCs w:val="32"/>
        </w:rPr>
      </w:pPr>
    </w:p>
    <w:p>
      <w:pPr>
        <w:adjustRightInd w:val="0"/>
        <w:snapToGrid w:val="0"/>
        <w:spacing w:after="120" w:afterLines="50" w:line="520" w:lineRule="exact"/>
        <w:jc w:val="left"/>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8"/>
          <w:szCs w:val="28"/>
        </w:rPr>
        <w:t>本制度由广州市统计局负责解释</w:t>
      </w:r>
      <w:r>
        <w:rPr>
          <w:rFonts w:hint="eastAsia" w:asciiTheme="minorEastAsia" w:hAnsiTheme="minorEastAsia" w:eastAsiaTheme="minorEastAsia" w:cstheme="minorEastAsia"/>
          <w:sz w:val="28"/>
          <w:szCs w:val="28"/>
          <w:lang w:eastAsia="zh-CN"/>
        </w:rPr>
        <w:t>。</w:t>
      </w:r>
    </w:p>
    <w:p>
      <w:pPr>
        <w:adjustRightInd w:val="0"/>
        <w:snapToGrid w:val="0"/>
        <w:spacing w:line="520" w:lineRule="exact"/>
        <w:ind w:firstLine="280" w:firstLineChars="100"/>
        <w:rPr>
          <w:rFonts w:ascii="华文中宋" w:hAnsi="华文中宋" w:eastAsia="华文中宋"/>
          <w:b/>
          <w:sz w:val="28"/>
          <w:szCs w:val="28"/>
        </w:rPr>
        <w:sectPr>
          <w:headerReference r:id="rId4" w:type="default"/>
          <w:pgSz w:w="11906" w:h="16838"/>
          <w:pgMar w:top="1417" w:right="1247" w:bottom="1247" w:left="1247" w:header="851" w:footer="992" w:gutter="0"/>
          <w:pgBorders>
            <w:top w:val="none" w:sz="0" w:space="0"/>
            <w:left w:val="none" w:sz="0" w:space="0"/>
            <w:bottom w:val="none" w:sz="0" w:space="0"/>
            <w:right w:val="none" w:sz="0" w:space="0"/>
          </w:pgBorders>
          <w:pgNumType w:fmt="numberInDash" w:start="1"/>
          <w:cols w:space="0" w:num="1"/>
          <w:docGrid w:linePitch="312" w:charSpace="0"/>
        </w:sectPr>
      </w:pPr>
    </w:p>
    <w:p>
      <w:pPr>
        <w:adjustRightInd w:val="0"/>
        <w:snapToGrid w:val="0"/>
        <w:ind w:firstLine="280" w:firstLineChars="100"/>
        <w:jc w:val="center"/>
        <w:rPr>
          <w:rFonts w:ascii="华文中宋" w:hAnsi="华文中宋" w:eastAsia="华文中宋"/>
          <w:b/>
          <w:sz w:val="28"/>
          <w:szCs w:val="28"/>
        </w:rPr>
      </w:pPr>
    </w:p>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华文中宋" w:hAnsi="华文中宋" w:eastAsia="华文中宋"/>
          <w:b/>
          <w:sz w:val="44"/>
          <w:szCs w:val="44"/>
        </w:rPr>
      </w:pPr>
      <w:r>
        <w:rPr>
          <w:rFonts w:hint="eastAsia" w:ascii="宋体" w:hAnsi="宋体" w:eastAsia="宋体" w:cs="宋体"/>
          <w:b/>
          <w:sz w:val="44"/>
          <w:szCs w:val="44"/>
        </w:rPr>
        <w:t>广州市统计信用告知书</w:t>
      </w:r>
    </w:p>
    <w:p>
      <w:pPr>
        <w:pStyle w:val="2"/>
        <w:rPr>
          <w:rFonts w:ascii="Times New Roman" w:hAnsi="Times New Roman"/>
          <w:sz w:val="20"/>
          <w:szCs w:val="24"/>
        </w:rPr>
      </w:pPr>
    </w:p>
    <w:p>
      <w:pPr>
        <w:adjustRightInd w:val="0"/>
        <w:snapToGrid w:val="0"/>
        <w:spacing w:beforeLines="0" w:afterLines="0" w:line="60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hint="eastAsia" w:ascii="仿宋_GB2312" w:hAnsi="仿宋_GB2312" w:eastAsia="仿宋_GB2312" w:cs="仿宋_GB2312"/>
          <w:sz w:val="28"/>
          <w:szCs w:val="28"/>
        </w:rPr>
        <w:t>统计严重失信行为的，</w:t>
      </w:r>
      <w:r>
        <w:rPr>
          <w:rFonts w:hint="eastAsia" w:ascii="仿宋_GB2312" w:hAnsi="仿宋_GB2312" w:eastAsia="仿宋_GB2312" w:cs="仿宋_GB2312"/>
          <w:sz w:val="28"/>
          <w:szCs w:val="28"/>
          <w:lang w:val="zh-CN"/>
        </w:rPr>
        <w:t>依据《</w:t>
      </w:r>
      <w:r>
        <w:rPr>
          <w:rFonts w:hint="eastAsia" w:ascii="仿宋_GB2312" w:hAnsi="仿宋_GB2312" w:eastAsia="仿宋_GB2312" w:cs="仿宋_GB2312"/>
          <w:sz w:val="28"/>
          <w:szCs w:val="28"/>
        </w:rPr>
        <w:t>统计严重失信</w:t>
      </w:r>
      <w:r>
        <w:rPr>
          <w:rFonts w:hint="eastAsia" w:ascii="仿宋_GB2312" w:hAnsi="仿宋_GB2312" w:eastAsia="仿宋_GB2312" w:cs="仿宋_GB2312"/>
          <w:sz w:val="28"/>
          <w:szCs w:val="28"/>
          <w:lang w:val="zh-CN"/>
        </w:rPr>
        <w:t>企业</w:t>
      </w:r>
      <w:r>
        <w:rPr>
          <w:rFonts w:hint="eastAsia" w:ascii="仿宋_GB2312" w:hAnsi="仿宋_GB2312" w:eastAsia="仿宋_GB2312" w:cs="仿宋_GB2312"/>
          <w:color w:val="000000" w:themeColor="text1"/>
          <w:sz w:val="28"/>
          <w:szCs w:val="28"/>
          <w:lang w:val="zh-CN"/>
          <w14:textFill>
            <w14:solidFill>
              <w14:schemeClr w14:val="tx1"/>
            </w14:solidFill>
          </w14:textFill>
        </w:rPr>
        <w:t>信用</w:t>
      </w:r>
      <w:r>
        <w:rPr>
          <w:rFonts w:hint="eastAsia" w:ascii="仿宋_GB2312" w:hAnsi="仿宋_GB2312" w:eastAsia="仿宋_GB2312" w:cs="仿宋_GB2312"/>
          <w:sz w:val="28"/>
          <w:szCs w:val="28"/>
          <w:lang w:val="zh-CN"/>
        </w:rPr>
        <w:t>管理办法》的规定认定为统计严重失信企业。</w:t>
      </w:r>
    </w:p>
    <w:p>
      <w:pPr>
        <w:adjustRightInd w:val="0"/>
        <w:snapToGrid w:val="0"/>
        <w:spacing w:beforeLines="0" w:afterLines="0" w:line="60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统计严重失信信息将通过广州市统计局门户网站公开，</w:t>
      </w:r>
      <w:r>
        <w:rPr>
          <w:rFonts w:hint="eastAsia" w:ascii="仿宋_GB2312" w:hAnsi="仿宋_GB2312" w:eastAsia="仿宋_GB2312" w:cs="仿宋_GB2312"/>
          <w:sz w:val="28"/>
          <w:szCs w:val="28"/>
        </w:rPr>
        <w:t>并</w:t>
      </w:r>
      <w:r>
        <w:rPr>
          <w:rFonts w:hint="eastAsia" w:ascii="仿宋_GB2312" w:hAnsi="仿宋_GB2312" w:eastAsia="仿宋_GB2312" w:cs="仿宋_GB2312"/>
          <w:sz w:val="28"/>
          <w:szCs w:val="28"/>
          <w:lang w:val="zh-CN"/>
        </w:rPr>
        <w:t>推送到上一级统计机构，</w:t>
      </w:r>
      <w:r>
        <w:rPr>
          <w:rFonts w:hint="eastAsia" w:ascii="仿宋_GB2312" w:hAnsi="仿宋_GB2312" w:eastAsia="仿宋_GB2312" w:cs="仿宋_GB2312"/>
          <w:sz w:val="28"/>
          <w:szCs w:val="28"/>
        </w:rPr>
        <w:t>最终由</w:t>
      </w:r>
      <w:r>
        <w:rPr>
          <w:rFonts w:hint="eastAsia" w:ascii="仿宋_GB2312" w:hAnsi="仿宋_GB2312" w:eastAsia="仿宋_GB2312" w:cs="仿宋_GB2312"/>
          <w:sz w:val="28"/>
          <w:szCs w:val="28"/>
          <w:lang w:val="zh-CN"/>
        </w:rPr>
        <w:t>国家统计局推送至全国信用信息共享平台和国家企业信用信息公示系统，并在“信用中国”网站等公示。</w:t>
      </w:r>
      <w:r>
        <w:rPr>
          <w:rFonts w:hint="eastAsia" w:ascii="仿宋_GB2312" w:hAnsi="Times New Roman" w:eastAsia="仿宋_GB2312" w:cs="Times New Roman"/>
          <w:sz w:val="28"/>
          <w:szCs w:val="28"/>
        </w:rPr>
        <w:t>公示信息包括企业名称、地址、统一社会信用代码、法定代表人或者负责人、统计违法行为、依法处理情况等。</w:t>
      </w:r>
    </w:p>
    <w:p>
      <w:pPr>
        <w:adjustRightInd w:val="0"/>
        <w:snapToGrid w:val="0"/>
        <w:spacing w:line="600" w:lineRule="exact"/>
        <w:ind w:firstLine="560" w:firstLineChars="200"/>
        <w:rPr>
          <w:rFonts w:ascii="仿宋_GB2312" w:hAnsi="仿宋_GB2312" w:eastAsia="仿宋_GB2312" w:cs="仿宋_GB2312"/>
          <w:sz w:val="30"/>
          <w:szCs w:val="30"/>
          <w:lang w:val="zh-CN"/>
        </w:rPr>
      </w:pPr>
      <w:r>
        <w:rPr>
          <w:rFonts w:hint="eastAsia" w:ascii="仿宋_GB2312" w:hAnsi="仿宋_GB2312" w:eastAsia="仿宋_GB2312" w:cs="仿宋_GB2312"/>
          <w:sz w:val="28"/>
          <w:szCs w:val="28"/>
          <w:lang w:val="zh-CN"/>
        </w:rPr>
        <w:t>统计调查对象的理解、配合和支持是保证广州市统计工作顺利开展的关键！衷心感谢你单位对广州市统计工作的大力支持！</w:t>
      </w:r>
    </w:p>
    <w:p>
      <w:pPr>
        <w:pStyle w:val="2"/>
        <w:spacing w:before="10"/>
        <w:rPr>
          <w:rFonts w:ascii="Times New Roman" w:hAnsi="Times New Roman"/>
          <w:sz w:val="13"/>
          <w:szCs w:val="24"/>
        </w:rPr>
      </w:pPr>
      <w:r>
        <w:rPr>
          <w:rFonts w:hint="default" w:ascii="仿宋_GB2312" w:hAnsi="仿宋_GB2312" w:eastAsia="仿宋_GB2312" w:cs="仿宋_GB2312"/>
          <w:sz w:val="30"/>
          <w:szCs w:val="30"/>
          <w:lang w:val="zh-CN"/>
        </w:rPr>
        <mc:AlternateContent>
          <mc:Choice Requires="wpg">
            <w:drawing>
              <wp:anchor distT="0" distB="0" distL="114300" distR="114300" simplePos="0" relativeHeight="251663360" behindDoc="0" locked="0" layoutInCell="1" allowOverlap="1">
                <wp:simplePos x="0" y="0"/>
                <wp:positionH relativeFrom="page">
                  <wp:posOffset>4388485</wp:posOffset>
                </wp:positionH>
                <wp:positionV relativeFrom="paragraph">
                  <wp:posOffset>201295</wp:posOffset>
                </wp:positionV>
                <wp:extent cx="1520190" cy="1548130"/>
                <wp:effectExtent l="0" t="0" r="3810" b="13970"/>
                <wp:wrapNone/>
                <wp:docPr id="14" name="组合 14"/>
                <wp:cNvGraphicFramePr/>
                <a:graphic xmlns:a="http://schemas.openxmlformats.org/drawingml/2006/main">
                  <a:graphicData uri="http://schemas.microsoft.com/office/word/2010/wordprocessingGroup">
                    <wpg:wgp>
                      <wpg:cNvGrpSpPr/>
                      <wpg:grpSpPr>
                        <a:xfrm>
                          <a:off x="0" y="0"/>
                          <a:ext cx="1520190" cy="1548130"/>
                          <a:chOff x="6911" y="1317"/>
                          <a:chExt cx="2394" cy="2438"/>
                        </a:xfrm>
                      </wpg:grpSpPr>
                      <pic:pic xmlns:pic="http://schemas.openxmlformats.org/drawingml/2006/picture">
                        <pic:nvPicPr>
                          <pic:cNvPr id="15" name="图片 4"/>
                          <pic:cNvPicPr>
                            <a:picLocks noChangeAspect="true"/>
                          </pic:cNvPicPr>
                        </pic:nvPicPr>
                        <pic:blipFill>
                          <a:blip r:embed="rId12"/>
                          <a:stretch>
                            <a:fillRect/>
                          </a:stretch>
                        </pic:blipFill>
                        <pic:spPr>
                          <a:xfrm>
                            <a:off x="6911" y="1317"/>
                            <a:ext cx="2394" cy="2438"/>
                          </a:xfrm>
                          <a:prstGeom prst="rect">
                            <a:avLst/>
                          </a:prstGeom>
                          <a:noFill/>
                          <a:ln>
                            <a:noFill/>
                          </a:ln>
                        </pic:spPr>
                      </pic:pic>
                      <wps:wsp>
                        <wps:cNvPr id="16" name="文本框 2"/>
                        <wps:cNvSpPr txBox="true"/>
                        <wps:spPr>
                          <a:xfrm>
                            <a:off x="6911" y="2414"/>
                            <a:ext cx="2394" cy="461"/>
                          </a:xfrm>
                          <a:prstGeom prst="rect">
                            <a:avLst/>
                          </a:prstGeom>
                          <a:noFill/>
                          <a:ln>
                            <a:noFill/>
                          </a:ln>
                        </wps:spPr>
                        <wps:txbx>
                          <w:txbxContent>
                            <w:p>
                              <w:pPr>
                                <w:spacing w:before="1" w:beforeLines="0" w:afterLines="0"/>
                                <w:jc w:val="center"/>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wps:txbx>
                        <wps:bodyPr lIns="0" tIns="0" rIns="0" bIns="0" upright="true"/>
                      </wps:wsp>
                    </wpg:wgp>
                  </a:graphicData>
                </a:graphic>
              </wp:anchor>
            </w:drawing>
          </mc:Choice>
          <mc:Fallback>
            <w:pict>
              <v:group id="_x0000_s1026" o:spid="_x0000_s1026" o:spt="203" style="position:absolute;left:0pt;margin-left:345.55pt;margin-top:15.85pt;height:121.9pt;width:119.7pt;mso-position-horizontal-relative:page;z-index:251663360;mso-width-relative:page;mso-height-relative:page;" coordorigin="6911,1317" coordsize="2394,2438" o:gfxdata="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qiYOvrYAAAAhAQAAGQAAAGRycy9f&#10;cmVscy9lMm9Eb2MueG1sLnJlbHOFj0FqwzAQRfeF3EHMPpadRSjFsjeh4G1IDjBIY1nEGglJLfXt&#10;I8gmgUCX8z//PaYf//wqfillF1hB17QgiHUwjq2C6+V7/wkiF2SDa2BSsFGGcdh99GdasdRRXlzM&#10;olI4K1hKiV9SZr2Qx9yESFybOSSPpZ7Jyoj6hpbkoW2PMj0zYHhhiskoSJPpQFy2WM3/s8M8O02n&#10;oH88cXmjkM5XdwVislQUeDIOH2HXRLYgh16+PDbcAV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">
                <o:lock v:ext="edit" aspectratio="f"/>
                <v:shape id="图片 4" o:spid="_x0000_s1026" o:spt="75" type="#_x0000_t75" style="position:absolute;left:6911;top:1317;height:2438;width:2394;" filled="f" o:preferrelative="t" stroked="f" coordsize="21600,21600" o:gfxdata="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GRvfBO7AAAA2wAAAA8AAAAAAAAAAQAgAAAAOAAAAGRycy9kb3ducmV2Lnht&#10;bFBLAQIUABQAAAAIAIdO4kAzLwWeOwAAADkAAAAQAAAAAAAAAAEAIAAAACABAABkcnMvc2hhcGV4&#10;bWwueG1sUEsFBgAAAAAGAAYAWwEAAMoDAAAAAA==&#10;">
                  <v:fill on="f" focussize="0,0"/>
                  <v:stroke on="f"/>
                  <v:imagedata r:id="rId12" o:title=""/>
                  <o:lock v:ext="edit" aspectratio="t"/>
                </v:shape>
                <v:shape id="文本框 2" o:spid="_x0000_s1026" o:spt="202" type="#_x0000_t202" style="position:absolute;left:6911;top:2414;height:461;width:2394;" filled="f" stroked="f" coordsize="21600,21600" o:gfxdata="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qr8xXvAAAANs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pPr>
                          <w:spacing w:before="1" w:beforeLines="0" w:afterLines="0"/>
                          <w:jc w:val="center"/>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v:textbox>
                </v:shape>
              </v:group>
            </w:pict>
          </mc:Fallback>
        </mc:AlternateContent>
      </w:r>
    </w:p>
    <w:p>
      <w:pPr>
        <w:adjustRightInd w:val="0"/>
        <w:snapToGrid w:val="0"/>
        <w:spacing w:before="120" w:beforeLines="50" w:after="120" w:afterLines="50" w:line="420" w:lineRule="exact"/>
        <w:rPr>
          <w:rFonts w:ascii="仿宋_GB2312" w:hAnsi="仿宋_GB2312" w:eastAsia="仿宋_GB2312" w:cs="仿宋_GB2312"/>
          <w:sz w:val="24"/>
        </w:rPr>
      </w:pPr>
      <w:r>
        <w:rPr>
          <w:rFonts w:ascii="Times New Roman" w:hAnsi="Times New Roman"/>
          <w:sz w:val="20"/>
          <w:szCs w:val="24"/>
        </w:rPr>
        <w:drawing>
          <wp:anchor distT="0" distB="0" distL="114300" distR="114300" simplePos="0" relativeHeight="251662336" behindDoc="0" locked="0" layoutInCell="1" allowOverlap="1">
            <wp:simplePos x="0" y="0"/>
            <wp:positionH relativeFrom="page">
              <wp:posOffset>1231900</wp:posOffset>
            </wp:positionH>
            <wp:positionV relativeFrom="page">
              <wp:posOffset>7435850</wp:posOffset>
            </wp:positionV>
            <wp:extent cx="967105" cy="967105"/>
            <wp:effectExtent l="0" t="0" r="4445" b="4445"/>
            <wp:wrapTopAndBottom/>
            <wp:docPr id="1" name="image3.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true"/>
                    </pic:cNvPicPr>
                  </pic:nvPicPr>
                  <pic:blipFill>
                    <a:blip r:embed="rId13"/>
                    <a:stretch>
                      <a:fillRect/>
                    </a:stretch>
                  </pic:blipFill>
                  <pic:spPr>
                    <a:xfrm>
                      <a:off x="0" y="0"/>
                      <a:ext cx="967105" cy="967105"/>
                    </a:xfrm>
                    <a:prstGeom prst="rect">
                      <a:avLst/>
                    </a:prstGeom>
                    <a:noFill/>
                    <a:ln>
                      <a:noFill/>
                    </a:ln>
                  </pic:spPr>
                </pic:pic>
              </a:graphicData>
            </a:graphic>
          </wp:anchor>
        </w:drawing>
      </w:r>
      <w:r>
        <w:rPr>
          <w:rFonts w:hint="eastAsia" w:ascii="仿宋_GB2312" w:hAnsi="仿宋_GB2312" w:eastAsia="仿宋_GB2312" w:cs="仿宋_GB2312"/>
          <w:sz w:val="24"/>
        </w:rPr>
        <w:t>请扫二维码，关注“广州统计”</w:t>
      </w:r>
    </w:p>
    <w:p>
      <w:pPr>
        <w:pStyle w:val="7"/>
        <w:ind w:firstLine="601"/>
        <w:rPr>
          <w:rFonts w:hAnsi="华文中宋" w:eastAsia="华文中宋"/>
          <w:b/>
          <w:sz w:val="30"/>
          <w:szCs w:val="24"/>
        </w:rPr>
      </w:pPr>
    </w:p>
    <w:p>
      <w:pPr>
        <w:pStyle w:val="7"/>
        <w:ind w:firstLine="601"/>
        <w:rPr>
          <w:rFonts w:hAnsi="华文中宋" w:eastAsia="华文中宋"/>
          <w:b/>
          <w:sz w:val="30"/>
          <w:szCs w:val="24"/>
        </w:rPr>
      </w:pPr>
    </w:p>
    <w:p>
      <w:pPr>
        <w:adjustRightInd w:val="0"/>
        <w:snapToGrid w:val="0"/>
        <w:spacing w:after="240" w:afterLines="100" w:line="300" w:lineRule="exact"/>
        <w:jc w:val="center"/>
        <w:rPr>
          <w:rFonts w:hint="eastAsia" w:hAnsi="华文中宋" w:eastAsia="华文中宋"/>
          <w:b/>
          <w:sz w:val="30"/>
          <w:szCs w:val="30"/>
        </w:rPr>
        <w:sectPr>
          <w:headerReference r:id="rId5" w:type="default"/>
          <w:pgSz w:w="11906" w:h="16838"/>
          <w:pgMar w:top="1417" w:right="1247" w:bottom="1247" w:left="1247" w:header="851" w:footer="992" w:gutter="0"/>
          <w:pgBorders>
            <w:top w:val="none" w:sz="0" w:space="0"/>
            <w:left w:val="none" w:sz="0" w:space="0"/>
            <w:bottom w:val="none" w:sz="0" w:space="0"/>
            <w:right w:val="none" w:sz="0" w:space="0"/>
          </w:pgBorders>
          <w:pgNumType w:fmt="numberInDash" w:start="1"/>
          <w:cols w:space="0" w:num="1"/>
          <w:docGrid w:linePitch="286" w:charSpace="0"/>
        </w:sectPr>
      </w:pPr>
    </w:p>
    <w:p>
      <w:pPr>
        <w:adjustRightInd w:val="0"/>
        <w:snapToGrid w:val="0"/>
        <w:spacing w:after="240" w:afterLines="100" w:line="240" w:lineRule="auto"/>
        <w:jc w:val="center"/>
        <w:rPr>
          <w:rFonts w:eastAsia="华文中宋"/>
          <w:b/>
          <w:sz w:val="32"/>
          <w:szCs w:val="32"/>
        </w:rPr>
      </w:pPr>
      <w:r>
        <w:rPr>
          <w:rFonts w:hint="eastAsia" w:ascii="宋体" w:hAnsi="宋体" w:eastAsia="宋体" w:cs="宋体"/>
          <w:b/>
          <w:sz w:val="32"/>
          <w:szCs w:val="32"/>
        </w:rPr>
        <w:t>《中华人民共和国统计法》的有关规定</w:t>
      </w:r>
    </w:p>
    <w:p>
      <w:pPr>
        <w:spacing w:line="260" w:lineRule="exact"/>
        <w:ind w:firstLine="421" w:firstLineChars="200"/>
        <w:rPr>
          <w:rFonts w:hint="eastAsia" w:ascii="宋体" w:hAnsi="宋体" w:eastAsia="宋体" w:cs="宋体"/>
        </w:rPr>
      </w:pPr>
      <w:r>
        <w:rPr>
          <w:rFonts w:hint="eastAsia" w:ascii="宋体" w:hAnsi="宋体" w:eastAsia="宋体" w:cs="宋体"/>
          <w:b/>
        </w:rPr>
        <w:t>第</w:t>
      </w:r>
      <w:r>
        <w:rPr>
          <w:rFonts w:hint="eastAsia" w:ascii="宋体" w:hAnsi="宋体" w:eastAsia="宋体" w:cs="宋体"/>
          <w:b/>
          <w:lang w:eastAsia="zh-CN"/>
        </w:rPr>
        <w:t>八</w:t>
      </w:r>
      <w:r>
        <w:rPr>
          <w:rFonts w:hint="eastAsia" w:ascii="宋体" w:hAnsi="宋体" w:eastAsia="宋体" w:cs="宋体"/>
          <w:b/>
        </w:rPr>
        <w:t>条</w:t>
      </w:r>
      <w:r>
        <w:rPr>
          <w:rFonts w:hint="eastAsia" w:ascii="宋体" w:hAnsi="宋体" w:eastAsia="宋体" w:cs="宋体"/>
        </w:rPr>
        <w:t>　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spacing w:before="120" w:beforeLines="50" w:after="120" w:afterLines="50" w:line="260" w:lineRule="exact"/>
        <w:ind w:firstLine="421" w:firstLineChars="200"/>
        <w:rPr>
          <w:rFonts w:hint="eastAsia" w:ascii="宋体" w:hAnsi="宋体" w:eastAsia="宋体" w:cs="宋体"/>
        </w:rPr>
      </w:pPr>
      <w:r>
        <w:rPr>
          <w:rFonts w:hint="eastAsia" w:ascii="宋体" w:hAnsi="宋体" w:eastAsia="宋体" w:cs="宋体"/>
          <w:b/>
        </w:rPr>
        <w:t>第</w:t>
      </w:r>
      <w:r>
        <w:rPr>
          <w:rFonts w:hint="eastAsia" w:ascii="宋体" w:hAnsi="宋体" w:eastAsia="宋体" w:cs="宋体"/>
          <w:b/>
          <w:lang w:eastAsia="zh-CN"/>
        </w:rPr>
        <w:t>十一</w:t>
      </w:r>
      <w:r>
        <w:rPr>
          <w:rFonts w:hint="eastAsia" w:ascii="宋体" w:hAnsi="宋体" w:eastAsia="宋体" w:cs="宋体"/>
          <w:b/>
        </w:rPr>
        <w:t>条</w:t>
      </w:r>
      <w:r>
        <w:rPr>
          <w:rFonts w:hint="eastAsia" w:ascii="宋体" w:hAnsi="宋体" w:eastAsia="宋体" w:cs="宋体"/>
        </w:rPr>
        <w:t>　统计机构和统计人员对在统计工作中知悉的国家秘密、工作秘密、商业秘密、个人隐私和个人信息，应当予以保密，不得泄露或者向他人非法提供。</w:t>
      </w:r>
    </w:p>
    <w:p>
      <w:pPr>
        <w:spacing w:before="120" w:beforeLines="50" w:line="260" w:lineRule="exact"/>
        <w:ind w:firstLine="421" w:firstLineChars="200"/>
        <w:rPr>
          <w:rFonts w:hint="eastAsia" w:ascii="宋体" w:hAnsi="宋体" w:eastAsia="宋体" w:cs="宋体"/>
        </w:rPr>
      </w:pPr>
      <w:r>
        <w:rPr>
          <w:rFonts w:hint="eastAsia" w:ascii="宋体" w:hAnsi="宋体" w:eastAsia="宋体" w:cs="宋体"/>
          <w:b/>
        </w:rPr>
        <w:t>第二十</w:t>
      </w:r>
      <w:r>
        <w:rPr>
          <w:rFonts w:hint="eastAsia" w:ascii="宋体" w:hAnsi="宋体" w:eastAsia="宋体" w:cs="宋体"/>
          <w:b/>
          <w:lang w:eastAsia="zh-CN"/>
        </w:rPr>
        <w:t>四</w:t>
      </w:r>
      <w:r>
        <w:rPr>
          <w:rFonts w:hint="eastAsia" w:ascii="宋体" w:hAnsi="宋体" w:eastAsia="宋体" w:cs="宋体"/>
          <w:b/>
        </w:rPr>
        <w:t>条</w:t>
      </w:r>
      <w:r>
        <w:rPr>
          <w:rFonts w:hint="eastAsia" w:ascii="宋体" w:hAnsi="宋体" w:eastAsia="宋体" w:cs="宋体"/>
        </w:rPr>
        <w:t>　国家机关、企业事业单位和其他组织等统计调查对象，应当按照国家有关规定设置原始记录、统计台账，推动统计台账电子化、数字化、标准化，建立健全统计资料的审核、签署、报送、归档等管理制度。</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rPr>
      </w:pPr>
      <w:r>
        <w:rPr>
          <w:rFonts w:hint="eastAsia" w:ascii="宋体" w:hAnsi="宋体" w:eastAsia="宋体" w:cs="宋体"/>
        </w:rPr>
        <w:t>统计资料的审核、签署人员应当对其审核、签署的统计资料的真实性、准确性和完整性负责。</w:t>
      </w:r>
    </w:p>
    <w:p>
      <w:pPr>
        <w:keepNext w:val="0"/>
        <w:keepLines w:val="0"/>
        <w:pageBreakBefore w:val="0"/>
        <w:widowControl w:val="0"/>
        <w:kinsoku/>
        <w:wordWrap/>
        <w:overflowPunct/>
        <w:topLinePunct w:val="0"/>
        <w:autoSpaceDE/>
        <w:autoSpaceDN/>
        <w:bidi w:val="0"/>
        <w:adjustRightInd/>
        <w:snapToGrid/>
        <w:spacing w:before="144" w:beforeLines="50" w:line="260" w:lineRule="exact"/>
        <w:ind w:firstLine="421" w:firstLineChars="200"/>
        <w:textAlignment w:val="auto"/>
        <w:rPr>
          <w:rFonts w:hint="eastAsia" w:ascii="宋体" w:hAnsi="宋体" w:eastAsia="宋体" w:cs="宋体"/>
        </w:rPr>
      </w:pPr>
      <w:r>
        <w:rPr>
          <w:rFonts w:hint="eastAsia" w:ascii="宋体" w:hAnsi="宋体" w:eastAsia="宋体" w:cs="宋体"/>
          <w:b/>
        </w:rPr>
        <w:t>第四十</w:t>
      </w:r>
      <w:r>
        <w:rPr>
          <w:rFonts w:hint="eastAsia" w:ascii="宋体" w:hAnsi="宋体" w:eastAsia="宋体" w:cs="宋体"/>
          <w:b/>
          <w:lang w:eastAsia="zh-CN"/>
        </w:rPr>
        <w:t>四</w:t>
      </w:r>
      <w:r>
        <w:rPr>
          <w:rFonts w:hint="eastAsia" w:ascii="宋体" w:hAnsi="宋体" w:eastAsia="宋体" w:cs="宋体"/>
          <w:b/>
        </w:rPr>
        <w:t>条</w:t>
      </w:r>
      <w:r>
        <w:rPr>
          <w:rFonts w:hint="eastAsia" w:ascii="宋体" w:hAnsi="宋体" w:eastAsia="宋体" w:cs="宋体"/>
        </w:rPr>
        <w:t>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rPr>
      </w:pPr>
      <w:r>
        <w:rPr>
          <w:rFonts w:hint="eastAsia" w:ascii="宋体" w:hAnsi="宋体" w:eastAsia="宋体" w:cs="宋体"/>
        </w:rPr>
        <w:t>（一）拒绝提供统计资料或者经催报后仍未按时提供统计资料的；</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rPr>
      </w:pPr>
      <w:r>
        <w:rPr>
          <w:rFonts w:hint="eastAsia" w:ascii="宋体" w:hAnsi="宋体" w:eastAsia="宋体" w:cs="宋体"/>
        </w:rPr>
        <w:t>（二）提供不真实或者不完整的统计资料的；</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rPr>
      </w:pPr>
      <w:r>
        <w:rPr>
          <w:rFonts w:hint="eastAsia" w:ascii="宋体" w:hAnsi="宋体" w:eastAsia="宋体" w:cs="宋体"/>
        </w:rPr>
        <w:t>（三）拒绝答复或者不如实答复统计检查查询书的；</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rPr>
      </w:pPr>
      <w:r>
        <w:rPr>
          <w:rFonts w:hint="eastAsia" w:ascii="宋体" w:hAnsi="宋体" w:eastAsia="宋体" w:cs="宋体"/>
        </w:rPr>
        <w:t>（四）拒绝、阻碍统计调查、统计检查的；</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rPr>
      </w:pPr>
      <w:r>
        <w:rPr>
          <w:rFonts w:hint="eastAsia" w:ascii="宋体" w:hAnsi="宋体" w:eastAsia="宋体" w:cs="宋体"/>
        </w:rPr>
        <w:t>（五）转移、隐匿、篡改、毁弃或者拒绝提供原始记录和凭证、统计台账、统计调查表及其他相关证明和资料的。</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rPr>
      </w:pPr>
      <w:r>
        <w:rPr>
          <w:rFonts w:hint="eastAsia" w:ascii="宋体" w:hAnsi="宋体" w:eastAsia="宋体" w:cs="宋体"/>
        </w:rPr>
        <w:t>企业事业单位或者其他组织有前款所列行为之一的，可以并处十万元以下的罚款；情节严重的，并处十万元以上五十万元以下的罚款。</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rPr>
      </w:pPr>
      <w:r>
        <w:rPr>
          <w:rFonts w:hint="eastAsia" w:ascii="宋体" w:hAnsi="宋体" w:eastAsia="宋体" w:cs="宋体"/>
        </w:rPr>
        <w:t>个体工商户有本条第一款所列行为之一的，由县级以上人民政府统计机构责令改正，给予警告，可以并处一万元以下的罚款。</w:t>
      </w:r>
    </w:p>
    <w:p>
      <w:pPr>
        <w:keepNext w:val="0"/>
        <w:keepLines w:val="0"/>
        <w:pageBreakBefore w:val="0"/>
        <w:widowControl w:val="0"/>
        <w:kinsoku/>
        <w:wordWrap/>
        <w:overflowPunct/>
        <w:topLinePunct w:val="0"/>
        <w:autoSpaceDE/>
        <w:autoSpaceDN/>
        <w:bidi w:val="0"/>
        <w:adjustRightInd/>
        <w:snapToGrid/>
        <w:spacing w:before="144" w:beforeLines="50" w:line="260" w:lineRule="exact"/>
        <w:ind w:firstLine="421" w:firstLineChars="200"/>
        <w:textAlignment w:val="auto"/>
        <w:rPr>
          <w:rFonts w:hint="eastAsia" w:ascii="宋体" w:hAnsi="宋体" w:eastAsia="宋体" w:cs="宋体"/>
        </w:rPr>
      </w:pPr>
      <w:r>
        <w:rPr>
          <w:rFonts w:hint="eastAsia" w:ascii="宋体" w:hAnsi="宋体" w:eastAsia="宋体" w:cs="宋体"/>
          <w:b/>
        </w:rPr>
        <w:t>第四十</w:t>
      </w:r>
      <w:r>
        <w:rPr>
          <w:rFonts w:hint="eastAsia" w:ascii="宋体" w:hAnsi="宋体" w:eastAsia="宋体" w:cs="宋体"/>
          <w:b/>
          <w:lang w:eastAsia="zh-CN"/>
        </w:rPr>
        <w:t>五</w:t>
      </w:r>
      <w:r>
        <w:rPr>
          <w:rFonts w:hint="eastAsia" w:ascii="宋体" w:hAnsi="宋体" w:eastAsia="宋体" w:cs="宋体"/>
          <w:b/>
        </w:rPr>
        <w:t>条</w:t>
      </w:r>
      <w:r>
        <w:rPr>
          <w:rFonts w:hint="eastAsia" w:ascii="宋体" w:hAnsi="宋体" w:eastAsia="宋体" w:cs="宋体"/>
        </w:rPr>
        <w:t>　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rPr>
      </w:pPr>
      <w:r>
        <w:rPr>
          <w:rFonts w:hint="eastAsia" w:ascii="宋体" w:hAnsi="宋体" w:eastAsia="宋体" w:cs="宋体"/>
        </w:rPr>
        <w:t>企业事业单位或者其他组织有前款所列行为之一的，可以并处五万元以下的罚款。</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rPr>
      </w:pPr>
      <w:r>
        <w:rPr>
          <w:rFonts w:hint="eastAsia" w:ascii="宋体" w:hAnsi="宋体" w:eastAsia="宋体" w:cs="宋体"/>
        </w:rPr>
        <w:t>个体工商户迟报统计资料的，由县级以上人民政府统计机构责令改正，给予警告，可以并处一千元以下的罚款。</w:t>
      </w:r>
    </w:p>
    <w:p>
      <w:pPr>
        <w:pStyle w:val="20"/>
        <w:ind w:left="420" w:firstLine="420"/>
        <w:rPr>
          <w:rFonts w:hint="eastAsia" w:ascii="宋体" w:hAnsi="宋体" w:eastAsia="宋体" w:cs="宋体"/>
        </w:rPr>
      </w:pPr>
    </w:p>
    <w:p>
      <w:pPr>
        <w:adjustRightInd w:val="0"/>
        <w:snapToGrid w:val="0"/>
        <w:spacing w:before="120" w:beforeLines="50" w:after="240" w:afterLines="100" w:line="320" w:lineRule="exact"/>
        <w:jc w:val="center"/>
        <w:rPr>
          <w:rFonts w:hint="eastAsia" w:ascii="宋体" w:hAnsi="宋体" w:eastAsia="宋体" w:cs="宋体"/>
          <w:b/>
          <w:sz w:val="30"/>
        </w:rPr>
      </w:pPr>
      <w:r>
        <w:rPr>
          <w:rFonts w:hint="eastAsia" w:ascii="宋体" w:hAnsi="宋体" w:eastAsia="宋体" w:cs="宋体"/>
          <w:b/>
          <w:sz w:val="30"/>
        </w:rPr>
        <w:t>《中华人民共和国统计法实施条例》的有关规定</w:t>
      </w:r>
    </w:p>
    <w:p>
      <w:pPr>
        <w:spacing w:line="260" w:lineRule="exact"/>
        <w:ind w:firstLine="421" w:firstLineChars="200"/>
        <w:rPr>
          <w:rFonts w:hint="eastAsia" w:ascii="宋体" w:hAnsi="宋体" w:eastAsia="宋体" w:cs="宋体"/>
          <w:sz w:val="21"/>
          <w:szCs w:val="21"/>
        </w:rPr>
      </w:pPr>
      <w:r>
        <w:rPr>
          <w:rFonts w:hint="eastAsia" w:ascii="宋体" w:hAnsi="宋体" w:eastAsia="宋体" w:cs="宋体"/>
          <w:b/>
          <w:sz w:val="21"/>
          <w:szCs w:val="21"/>
        </w:rPr>
        <w:t>第四条第三款</w:t>
      </w:r>
      <w:r>
        <w:rPr>
          <w:rFonts w:hint="eastAsia" w:ascii="宋体" w:hAnsi="宋体" w:eastAsia="宋体" w:cs="宋体"/>
          <w:sz w:val="21"/>
          <w:szCs w:val="21"/>
        </w:rPr>
        <w:t>　 统计调查对象应当依照统计法和国家有关规定，真实、准确、完整、及时地提供统计资料，拒绝、抵制弄虚作假等违法行为。 </w:t>
      </w:r>
    </w:p>
    <w:p>
      <w:pPr>
        <w:spacing w:before="120" w:beforeLines="50" w:line="260" w:lineRule="exact"/>
        <w:ind w:firstLine="421" w:firstLineChars="200"/>
        <w:rPr>
          <w:rFonts w:hint="eastAsia" w:ascii="宋体" w:hAnsi="宋体" w:eastAsia="宋体" w:cs="宋体"/>
          <w:sz w:val="21"/>
          <w:szCs w:val="21"/>
        </w:rPr>
      </w:pPr>
      <w:r>
        <w:rPr>
          <w:rFonts w:hint="eastAsia" w:ascii="宋体" w:hAnsi="宋体" w:eastAsia="宋体" w:cs="宋体"/>
          <w:b/>
          <w:sz w:val="21"/>
          <w:szCs w:val="21"/>
        </w:rPr>
        <w:t>第十七条</w:t>
      </w:r>
      <w:r>
        <w:rPr>
          <w:rFonts w:hint="eastAsia" w:ascii="宋体" w:hAnsi="宋体" w:eastAsia="宋体" w:cs="宋体"/>
          <w:sz w:val="21"/>
          <w:szCs w:val="21"/>
        </w:rPr>
        <w:t>　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pPr>
        <w:spacing w:line="2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统计调查对象使用网络提供统计资料的，按照国家有关规定执行。 </w:t>
      </w:r>
    </w:p>
    <w:p>
      <w:pPr>
        <w:spacing w:before="120" w:beforeLines="50" w:line="260" w:lineRule="exact"/>
        <w:ind w:firstLine="421" w:firstLineChars="200"/>
        <w:rPr>
          <w:rFonts w:hint="eastAsia" w:ascii="宋体" w:hAnsi="宋体" w:eastAsia="宋体" w:cs="宋体"/>
          <w:sz w:val="21"/>
          <w:szCs w:val="21"/>
        </w:rPr>
      </w:pPr>
      <w:r>
        <w:rPr>
          <w:rFonts w:hint="eastAsia" w:ascii="宋体" w:hAnsi="宋体" w:eastAsia="宋体" w:cs="宋体"/>
          <w:b/>
          <w:sz w:val="21"/>
          <w:szCs w:val="21"/>
        </w:rPr>
        <w:t>第二十三条</w:t>
      </w:r>
      <w:r>
        <w:rPr>
          <w:rFonts w:hint="eastAsia" w:ascii="宋体" w:hAnsi="宋体" w:eastAsia="宋体" w:cs="宋体"/>
          <w:sz w:val="21"/>
          <w:szCs w:val="21"/>
        </w:rPr>
        <w:t>　统计调查对象按照国家有关规定设置的原始记录和统计台账，应当至少保存2年。 </w:t>
      </w:r>
    </w:p>
    <w:p>
      <w:pPr>
        <w:spacing w:before="120" w:beforeLines="50" w:line="260" w:lineRule="exact"/>
        <w:ind w:firstLine="421" w:firstLineChars="200"/>
        <w:rPr>
          <w:rFonts w:hint="eastAsia" w:ascii="宋体" w:hAnsi="宋体" w:eastAsia="宋体" w:cs="宋体"/>
          <w:sz w:val="21"/>
          <w:szCs w:val="21"/>
        </w:rPr>
      </w:pPr>
      <w:r>
        <w:rPr>
          <w:rFonts w:hint="eastAsia" w:ascii="宋体" w:hAnsi="宋体" w:eastAsia="宋体" w:cs="宋体"/>
          <w:b/>
          <w:sz w:val="21"/>
          <w:szCs w:val="21"/>
        </w:rPr>
        <w:t>第三十七条</w:t>
      </w:r>
      <w:r>
        <w:rPr>
          <w:rFonts w:hint="eastAsia" w:ascii="宋体" w:hAnsi="宋体" w:eastAsia="宋体" w:cs="宋体"/>
          <w:sz w:val="21"/>
          <w:szCs w:val="21"/>
        </w:rPr>
        <w:t>　任何单位和个人不得拒绝、阻碍对统计工作的监督检查和对统计违法行为的查处工作，不得包庇、纵容统计违法行为。 </w:t>
      </w:r>
    </w:p>
    <w:p>
      <w:pPr>
        <w:spacing w:before="120" w:beforeLines="50" w:line="260" w:lineRule="exact"/>
        <w:ind w:firstLine="421" w:firstLineChars="200"/>
        <w:rPr>
          <w:sz w:val="21"/>
          <w:szCs w:val="21"/>
        </w:rPr>
      </w:pPr>
      <w:r>
        <w:rPr>
          <w:rFonts w:hint="eastAsia" w:ascii="宋体" w:hAnsi="宋体" w:eastAsia="宋体" w:cs="宋体"/>
          <w:b/>
          <w:sz w:val="21"/>
          <w:szCs w:val="21"/>
        </w:rPr>
        <w:t>第五十一条</w:t>
      </w:r>
      <w:r>
        <w:rPr>
          <w:rFonts w:hint="eastAsia" w:ascii="宋体" w:hAnsi="宋体" w:eastAsia="宋体" w:cs="宋体"/>
          <w:sz w:val="21"/>
          <w:szCs w:val="21"/>
        </w:rPr>
        <w:t>　统计违法行为涉嫌犯罪的，县级以上人民政府统计机构应当将案件移送司法机关处理。</w:t>
      </w:r>
      <w:r>
        <w:rPr>
          <w:rFonts w:hint="eastAsia"/>
          <w:sz w:val="21"/>
          <w:szCs w:val="21"/>
        </w:rPr>
        <w:t> </w:t>
      </w:r>
    </w:p>
    <w:p>
      <w:pPr>
        <w:jc w:val="center"/>
        <w:rPr>
          <w:rFonts w:hint="eastAsia" w:ascii="黑体" w:hAnsi="黑体" w:eastAsia="黑体" w:cs="黑体"/>
          <w:b/>
          <w:sz w:val="21"/>
          <w:szCs w:val="21"/>
        </w:rPr>
        <w:sectPr>
          <w:headerReference r:id="rId6" w:type="default"/>
          <w:pgSz w:w="11906" w:h="16838"/>
          <w:pgMar w:top="1417" w:right="1247" w:bottom="1247" w:left="1247" w:header="851" w:footer="992" w:gutter="0"/>
          <w:pgBorders>
            <w:top w:val="none" w:sz="0" w:space="0"/>
            <w:left w:val="none" w:sz="0" w:space="0"/>
            <w:bottom w:val="none" w:sz="0" w:space="0"/>
            <w:right w:val="none" w:sz="0" w:space="0"/>
          </w:pgBorders>
          <w:pgNumType w:fmt="numberInDash" w:start="1"/>
          <w:cols w:space="0" w:num="1"/>
          <w:docGrid w:linePitch="286" w:charSpace="0"/>
        </w:sectPr>
      </w:pPr>
    </w:p>
    <w:p>
      <w:pPr>
        <w:jc w:val="center"/>
        <w:rPr>
          <w:rFonts w:ascii="宋体" w:hAnsi="宋体"/>
          <w:b/>
          <w:sz w:val="32"/>
          <w:szCs w:val="32"/>
        </w:rPr>
      </w:pPr>
      <w:r>
        <w:rPr>
          <w:rFonts w:hint="eastAsia" w:ascii="黑体" w:hAnsi="黑体" w:eastAsia="黑体" w:cs="黑体"/>
          <w:b/>
          <w:sz w:val="32"/>
          <w:szCs w:val="32"/>
        </w:rPr>
        <w:t>目  录</w:t>
      </w:r>
    </w:p>
    <w:p>
      <w:pPr>
        <w:ind w:firstLine="2040" w:firstLineChars="850"/>
        <w:rPr>
          <w:sz w:val="24"/>
        </w:rPr>
      </w:pPr>
    </w:p>
    <w:p>
      <w:pPr>
        <w:keepNext w:val="0"/>
        <w:keepLines w:val="0"/>
        <w:pageBreakBefore w:val="0"/>
        <w:widowControl w:val="0"/>
        <w:tabs>
          <w:tab w:val="right" w:leader="middleDot" w:pos="9345"/>
        </w:tabs>
        <w:kinsoku/>
        <w:wordWrap/>
        <w:overflowPunct/>
        <w:topLinePunct w:val="0"/>
        <w:autoSpaceDE/>
        <w:autoSpaceDN/>
        <w:bidi w:val="0"/>
        <w:spacing w:line="390" w:lineRule="exact"/>
        <w:textAlignment w:val="auto"/>
        <w:rPr>
          <w:rFonts w:hint="default" w:ascii="Times New Roman" w:hAnsi="Times New Roman" w:cs="Times New Roman" w:eastAsiaTheme="minorEastAsia"/>
        </w:rPr>
      </w:pPr>
      <w:r>
        <w:rPr>
          <w:rFonts w:hint="default" w:ascii="Times New Roman" w:hAnsi="Times New Roman" w:cs="Times New Roman" w:eastAsiaTheme="minorEastAsia"/>
        </w:rPr>
        <w:t>一、总说明</w:t>
      </w:r>
      <w:r>
        <w:rPr>
          <w:rFonts w:hint="default" w:ascii="Times New Roman" w:hAnsi="Times New Roman" w:cs="Times New Roman" w:eastAsiaTheme="minorEastAsia"/>
        </w:rPr>
        <w:tab/>
      </w:r>
      <w:r>
        <w:rPr>
          <w:rFonts w:hint="default" w:ascii="Times New Roman" w:hAnsi="Times New Roman" w:cs="Times New Roman" w:eastAsiaTheme="minorEastAsia"/>
        </w:rPr>
        <w:t>3</w:t>
      </w:r>
    </w:p>
    <w:p>
      <w:pPr>
        <w:keepNext w:val="0"/>
        <w:keepLines w:val="0"/>
        <w:pageBreakBefore w:val="0"/>
        <w:widowControl w:val="0"/>
        <w:tabs>
          <w:tab w:val="right" w:leader="middleDot" w:pos="9345"/>
        </w:tabs>
        <w:kinsoku/>
        <w:wordWrap/>
        <w:overflowPunct/>
        <w:topLinePunct w:val="0"/>
        <w:autoSpaceDE/>
        <w:autoSpaceDN/>
        <w:bidi w:val="0"/>
        <w:spacing w:line="390" w:lineRule="exact"/>
        <w:textAlignment w:val="auto"/>
        <w:rPr>
          <w:rFonts w:hint="default" w:ascii="Times New Roman" w:hAnsi="Times New Roman" w:cs="Times New Roman" w:eastAsiaTheme="minorEastAsia"/>
        </w:rPr>
      </w:pPr>
      <w:r>
        <w:rPr>
          <w:rFonts w:hint="default" w:ascii="Times New Roman" w:hAnsi="Times New Roman" w:cs="Times New Roman" w:eastAsiaTheme="minorEastAsia"/>
        </w:rPr>
        <w:t>二、报表目录</w:t>
      </w:r>
      <w:r>
        <w:rPr>
          <w:rFonts w:hint="default" w:ascii="Times New Roman" w:hAnsi="Times New Roman" w:cs="Times New Roman" w:eastAsiaTheme="minorEastAsia"/>
        </w:rPr>
        <w:tab/>
      </w:r>
      <w:r>
        <w:rPr>
          <w:rFonts w:hint="default" w:ascii="Times New Roman" w:hAnsi="Times New Roman" w:cs="Times New Roman" w:eastAsiaTheme="minorEastAsia"/>
        </w:rPr>
        <w:t>6</w:t>
      </w:r>
    </w:p>
    <w:p>
      <w:pPr>
        <w:keepNext w:val="0"/>
        <w:keepLines w:val="0"/>
        <w:pageBreakBefore w:val="0"/>
        <w:widowControl w:val="0"/>
        <w:tabs>
          <w:tab w:val="right" w:leader="middleDot" w:pos="9345"/>
        </w:tabs>
        <w:kinsoku/>
        <w:wordWrap/>
        <w:overflowPunct/>
        <w:topLinePunct w:val="0"/>
        <w:autoSpaceDE/>
        <w:autoSpaceDN/>
        <w:bidi w:val="0"/>
        <w:spacing w:line="390" w:lineRule="exact"/>
        <w:textAlignment w:val="auto"/>
        <w:rPr>
          <w:rFonts w:hint="default" w:ascii="Times New Roman" w:hAnsi="Times New Roman" w:cs="Times New Roman" w:eastAsiaTheme="minorEastAsia"/>
        </w:rPr>
      </w:pPr>
      <w:r>
        <w:rPr>
          <w:rFonts w:hint="default" w:ascii="Times New Roman" w:hAnsi="Times New Roman" w:cs="Times New Roman" w:eastAsiaTheme="minorEastAsia"/>
        </w:rPr>
        <w:t>三、报表表式</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210" w:firstLineChars="100"/>
        <w:textAlignment w:val="auto"/>
        <w:rPr>
          <w:rFonts w:hint="default" w:ascii="Times New Roman" w:hAnsi="Times New Roman" w:cs="Times New Roman" w:eastAsiaTheme="minorEastAsia"/>
        </w:rPr>
      </w:pPr>
      <w:r>
        <w:rPr>
          <w:rFonts w:hint="default" w:ascii="Times New Roman" w:hAnsi="Times New Roman" w:cs="Times New Roman" w:eastAsiaTheme="minorEastAsia"/>
        </w:rPr>
        <w:t>（一）基层定报表式</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lang w:eastAsia="zh-CN"/>
        </w:rPr>
      </w:pPr>
      <w:r>
        <w:rPr>
          <w:rFonts w:hint="default" w:ascii="Times New Roman" w:hAnsi="Times New Roman" w:cs="Times New Roman" w:eastAsiaTheme="minorEastAsia"/>
        </w:rPr>
        <w:t>1. 能源购进、消费与库存（205-1表）</w:t>
      </w:r>
      <w:r>
        <w:rPr>
          <w:rFonts w:hint="default" w:ascii="Times New Roman" w:hAnsi="Times New Roman" w:cs="Times New Roman" w:eastAsiaTheme="minorEastAsia"/>
        </w:rPr>
        <w:tab/>
      </w:r>
      <w:r>
        <w:rPr>
          <w:rFonts w:hint="default" w:ascii="Times New Roman" w:hAnsi="Times New Roman" w:cs="Times New Roman" w:eastAsiaTheme="minorEastAsia"/>
          <w:lang w:val="en-US" w:eastAsia="zh-CN"/>
        </w:rPr>
        <w:t>9</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2. 能源加工转换与回收利用（205-2表）</w:t>
      </w:r>
      <w:r>
        <w:rPr>
          <w:rFonts w:hint="default" w:ascii="Times New Roman" w:hAnsi="Times New Roman" w:cs="Times New Roman" w:eastAsiaTheme="minorEastAsia"/>
        </w:rPr>
        <w:tab/>
      </w:r>
      <w:r>
        <w:rPr>
          <w:rFonts w:hint="default" w:ascii="Times New Roman" w:hAnsi="Times New Roman" w:cs="Times New Roman" w:eastAsiaTheme="minorEastAsia"/>
        </w:rPr>
        <w:t>1</w:t>
      </w:r>
      <w:r>
        <w:rPr>
          <w:rFonts w:hint="default" w:ascii="Times New Roman" w:hAnsi="Times New Roman" w:cs="Times New Roman" w:eastAsiaTheme="minorEastAsia"/>
          <w:lang w:val="en-US" w:eastAsia="zh-CN"/>
        </w:rPr>
        <w:t>0</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3. 主要耗能工业企业单位产品能源消费情况（205-3表）</w:t>
      </w:r>
      <w:r>
        <w:rPr>
          <w:rFonts w:hint="default" w:ascii="Times New Roman" w:hAnsi="Times New Roman" w:cs="Times New Roman" w:eastAsiaTheme="minorEastAsia"/>
        </w:rPr>
        <w:tab/>
      </w:r>
      <w:r>
        <w:rPr>
          <w:rFonts w:hint="default" w:ascii="Times New Roman" w:hAnsi="Times New Roman" w:cs="Times New Roman" w:eastAsiaTheme="minorEastAsia"/>
        </w:rPr>
        <w:t>1</w:t>
      </w:r>
      <w:r>
        <w:rPr>
          <w:rFonts w:hint="default" w:ascii="Times New Roman" w:hAnsi="Times New Roman" w:cs="Times New Roman" w:eastAsiaTheme="minorEastAsia"/>
          <w:lang w:val="en-US" w:eastAsia="zh-CN"/>
        </w:rPr>
        <w:t>0</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4. 工业企业用水情况（205-4表）</w:t>
      </w:r>
      <w:r>
        <w:rPr>
          <w:rFonts w:hint="default" w:ascii="Times New Roman" w:hAnsi="Times New Roman" w:cs="Times New Roman" w:eastAsiaTheme="minorEastAsia"/>
        </w:rPr>
        <w:tab/>
      </w:r>
      <w:r>
        <w:rPr>
          <w:rFonts w:hint="default" w:ascii="Times New Roman" w:hAnsi="Times New Roman" w:cs="Times New Roman" w:eastAsiaTheme="minorEastAsia"/>
        </w:rPr>
        <w:t>1</w:t>
      </w:r>
      <w:r>
        <w:rPr>
          <w:rFonts w:hint="default" w:ascii="Times New Roman" w:hAnsi="Times New Roman" w:cs="Times New Roman" w:eastAsiaTheme="minorEastAsia"/>
          <w:lang w:val="en-US" w:eastAsia="zh-CN"/>
        </w:rPr>
        <w:t>1</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5. 非工业重点耗能单位能源消费情况（205-5表）</w:t>
      </w:r>
      <w:r>
        <w:rPr>
          <w:rFonts w:hint="default" w:ascii="Times New Roman" w:hAnsi="Times New Roman" w:cs="Times New Roman" w:eastAsiaTheme="minorEastAsia"/>
        </w:rPr>
        <w:tab/>
      </w:r>
      <w:r>
        <w:rPr>
          <w:rFonts w:hint="default" w:ascii="Times New Roman" w:hAnsi="Times New Roman" w:cs="Times New Roman" w:eastAsiaTheme="minorEastAsia"/>
        </w:rPr>
        <w:t>1</w:t>
      </w:r>
      <w:r>
        <w:rPr>
          <w:rFonts w:hint="default" w:ascii="Times New Roman" w:hAnsi="Times New Roman" w:cs="Times New Roman" w:eastAsiaTheme="minorEastAsia"/>
          <w:lang w:val="en-US" w:eastAsia="zh-CN"/>
        </w:rPr>
        <w:t>2</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6. 能源生产、销售与库存（205-6表）</w:t>
      </w:r>
      <w:r>
        <w:rPr>
          <w:rFonts w:hint="default" w:ascii="Times New Roman" w:hAnsi="Times New Roman" w:cs="Times New Roman" w:eastAsiaTheme="minorEastAsia"/>
        </w:rPr>
        <w:tab/>
      </w:r>
      <w:r>
        <w:rPr>
          <w:rFonts w:hint="default" w:ascii="Times New Roman" w:hAnsi="Times New Roman" w:cs="Times New Roman" w:eastAsiaTheme="minorEastAsia"/>
        </w:rPr>
        <w:t>1</w:t>
      </w:r>
      <w:r>
        <w:rPr>
          <w:rFonts w:hint="default" w:ascii="Times New Roman" w:hAnsi="Times New Roman" w:cs="Times New Roman" w:eastAsiaTheme="minorEastAsia"/>
          <w:lang w:val="en-US" w:eastAsia="zh-CN"/>
        </w:rPr>
        <w:t>3</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7. 重点能源商品经销情况（205-7表）</w:t>
      </w:r>
      <w:r>
        <w:rPr>
          <w:rFonts w:hint="default" w:ascii="Times New Roman" w:hAnsi="Times New Roman" w:cs="Times New Roman" w:eastAsiaTheme="minorEastAsia"/>
        </w:rPr>
        <w:tab/>
      </w:r>
      <w:r>
        <w:rPr>
          <w:rFonts w:hint="default" w:ascii="Times New Roman" w:hAnsi="Times New Roman" w:cs="Times New Roman" w:eastAsiaTheme="minorEastAsia"/>
        </w:rPr>
        <w:t>1</w:t>
      </w:r>
      <w:r>
        <w:rPr>
          <w:rFonts w:hint="default" w:ascii="Times New Roman" w:hAnsi="Times New Roman" w:cs="Times New Roman" w:eastAsiaTheme="minorEastAsia"/>
          <w:lang w:val="en-US" w:eastAsia="zh-CN"/>
        </w:rPr>
        <w:t>4</w:t>
      </w:r>
    </w:p>
    <w:p>
      <w:pPr>
        <w:keepNext w:val="0"/>
        <w:keepLines w:val="0"/>
        <w:pageBreakBefore w:val="0"/>
        <w:widowControl w:val="0"/>
        <w:tabs>
          <w:tab w:val="right" w:leader="middleDot" w:pos="9345"/>
        </w:tabs>
        <w:kinsoku/>
        <w:wordWrap/>
        <w:overflowPunct/>
        <w:topLinePunct w:val="0"/>
        <w:autoSpaceDE/>
        <w:autoSpaceDN/>
        <w:bidi w:val="0"/>
        <w:spacing w:line="390" w:lineRule="exact"/>
        <w:ind w:right="533" w:rightChars="254" w:firstLine="420" w:firstLineChars="200"/>
        <w:textAlignment w:val="auto"/>
        <w:rPr>
          <w:rFonts w:hint="default" w:ascii="Times New Roman" w:hAnsi="Times New Roman" w:cs="Times New Roman" w:eastAsiaTheme="minorEastAsia"/>
        </w:rPr>
      </w:pPr>
      <w:r>
        <w:rPr>
          <w:rFonts w:hint="default" w:ascii="Times New Roman" w:hAnsi="Times New Roman" w:cs="Times New Roman" w:eastAsiaTheme="minorEastAsia"/>
        </w:rPr>
        <w:t>8. 四下企业主要能源产品产量（P206表）</w:t>
      </w:r>
      <w:r>
        <w:rPr>
          <w:rFonts w:hint="default" w:ascii="Times New Roman" w:hAnsi="Times New Roman" w:cs="Times New Roman" w:eastAsiaTheme="minorEastAsia"/>
        </w:rPr>
        <w:tab/>
      </w:r>
      <w:r>
        <w:rPr>
          <w:rFonts w:hint="default" w:ascii="Times New Roman" w:hAnsi="Times New Roman" w:cs="Times New Roman" w:eastAsiaTheme="minorEastAsia"/>
        </w:rPr>
        <w:t xml:space="preserve"> 1</w:t>
      </w:r>
      <w:r>
        <w:rPr>
          <w:rFonts w:hint="default" w:ascii="Times New Roman" w:hAnsi="Times New Roman" w:cs="Times New Roman" w:eastAsiaTheme="minorEastAsia"/>
          <w:lang w:val="en-US" w:eastAsia="zh-CN"/>
        </w:rPr>
        <w:t>5</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210" w:firstLineChars="100"/>
        <w:textAlignment w:val="auto"/>
        <w:rPr>
          <w:rFonts w:hint="default" w:ascii="Times New Roman" w:hAnsi="Times New Roman" w:cs="Times New Roman" w:eastAsiaTheme="minorEastAsia"/>
        </w:rPr>
      </w:pPr>
      <w:r>
        <w:rPr>
          <w:rFonts w:hint="default" w:ascii="Times New Roman" w:hAnsi="Times New Roman" w:cs="Times New Roman" w:eastAsiaTheme="minorEastAsia"/>
        </w:rPr>
        <w:t>（</w:t>
      </w:r>
      <w:r>
        <w:rPr>
          <w:rFonts w:hint="default" w:ascii="Times New Roman" w:hAnsi="Times New Roman" w:cs="Times New Roman" w:eastAsiaTheme="minorEastAsia"/>
          <w:lang w:eastAsia="zh-CN"/>
        </w:rPr>
        <w:t>二</w:t>
      </w:r>
      <w:r>
        <w:rPr>
          <w:rFonts w:hint="default" w:ascii="Times New Roman" w:hAnsi="Times New Roman" w:cs="Times New Roman" w:eastAsiaTheme="minorEastAsia"/>
        </w:rPr>
        <w:t>）综合年报表式</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1. 能源平衡表（实物量）（P303–1表）</w:t>
      </w:r>
      <w:r>
        <w:rPr>
          <w:rFonts w:hint="default" w:ascii="Times New Roman" w:hAnsi="Times New Roman" w:cs="Times New Roman" w:eastAsiaTheme="minorEastAsia"/>
        </w:rPr>
        <w:tab/>
      </w:r>
      <w:r>
        <w:rPr>
          <w:rFonts w:hint="default" w:ascii="Times New Roman" w:hAnsi="Times New Roman" w:cs="Times New Roman" w:eastAsiaTheme="minorEastAsia"/>
        </w:rPr>
        <w:t>1</w:t>
      </w:r>
      <w:r>
        <w:rPr>
          <w:rFonts w:hint="default" w:ascii="Times New Roman" w:hAnsi="Times New Roman" w:cs="Times New Roman" w:eastAsiaTheme="minorEastAsia"/>
          <w:lang w:val="en-US" w:eastAsia="zh-CN"/>
        </w:rPr>
        <w:t>6</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2. 分行业能源消费量（实物量）（P303–2表）</w:t>
      </w:r>
      <w:r>
        <w:rPr>
          <w:rFonts w:hint="default" w:ascii="Times New Roman" w:hAnsi="Times New Roman" w:cs="Times New Roman" w:eastAsiaTheme="minorEastAsia"/>
        </w:rPr>
        <w:tab/>
      </w:r>
      <w:r>
        <w:rPr>
          <w:rFonts w:hint="default" w:ascii="Times New Roman" w:hAnsi="Times New Roman" w:cs="Times New Roman" w:eastAsiaTheme="minorEastAsia"/>
          <w:lang w:val="en-US" w:eastAsia="zh-CN"/>
        </w:rPr>
        <w:t>18</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3. 分行业终端能源消费量（实物量）（P303–3表）</w:t>
      </w:r>
      <w:r>
        <w:rPr>
          <w:rFonts w:hint="default" w:ascii="Times New Roman" w:hAnsi="Times New Roman" w:cs="Times New Roman" w:eastAsiaTheme="minorEastAsia"/>
        </w:rPr>
        <w:tab/>
      </w:r>
      <w:r>
        <w:rPr>
          <w:rFonts w:hint="default" w:ascii="Times New Roman" w:hAnsi="Times New Roman" w:cs="Times New Roman" w:eastAsiaTheme="minorEastAsia"/>
          <w:lang w:val="en-US" w:eastAsia="zh-CN"/>
        </w:rPr>
        <w:t>19</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4. 能源平衡表（标准量）（P303–4表）</w:t>
      </w:r>
      <w:r>
        <w:rPr>
          <w:rFonts w:hint="default" w:ascii="Times New Roman" w:hAnsi="Times New Roman" w:cs="Times New Roman" w:eastAsiaTheme="minorEastAsia"/>
        </w:rPr>
        <w:tab/>
      </w:r>
      <w:r>
        <w:rPr>
          <w:rFonts w:hint="default" w:ascii="Times New Roman" w:hAnsi="Times New Roman" w:cs="Times New Roman" w:eastAsiaTheme="minorEastAsia"/>
          <w:lang w:val="en-US" w:eastAsia="zh-CN"/>
        </w:rPr>
        <w:t>20</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5. 分行业终端能源消费量（标准量）（P303–5表）</w:t>
      </w:r>
      <w:r>
        <w:rPr>
          <w:rFonts w:hint="default" w:ascii="Times New Roman" w:hAnsi="Times New Roman" w:cs="Times New Roman" w:eastAsiaTheme="minorEastAsia"/>
        </w:rPr>
        <w:tab/>
      </w:r>
      <w:r>
        <w:rPr>
          <w:rFonts w:hint="default" w:ascii="Times New Roman" w:hAnsi="Times New Roman" w:cs="Times New Roman" w:eastAsiaTheme="minorEastAsia"/>
          <w:lang w:val="en-US" w:eastAsia="zh-CN"/>
        </w:rPr>
        <w:t>21</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6. 铁路企业主要能源消费与库存（TL301表）</w:t>
      </w:r>
      <w:r>
        <w:rPr>
          <w:rFonts w:hint="default" w:ascii="Times New Roman" w:hAnsi="Times New Roman" w:cs="Times New Roman" w:eastAsiaTheme="minorEastAsia"/>
        </w:rPr>
        <w:tab/>
      </w:r>
      <w:r>
        <w:rPr>
          <w:rFonts w:hint="default" w:ascii="Times New Roman" w:hAnsi="Times New Roman" w:cs="Times New Roman" w:eastAsiaTheme="minorEastAsia"/>
        </w:rPr>
        <w:t>2</w:t>
      </w:r>
      <w:r>
        <w:rPr>
          <w:rFonts w:hint="default" w:ascii="Times New Roman" w:hAnsi="Times New Roman" w:cs="Times New Roman" w:eastAsiaTheme="minorEastAsia"/>
          <w:lang w:val="en-US" w:eastAsia="zh-CN"/>
        </w:rPr>
        <w:t>1</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rPr>
      </w:pPr>
      <w:r>
        <w:rPr>
          <w:rFonts w:hint="default" w:ascii="Times New Roman" w:hAnsi="Times New Roman" w:cs="Times New Roman" w:eastAsiaTheme="minorEastAsia"/>
        </w:rPr>
        <w:t>7. 航空企业主要能源消费与库存（MH301表）</w:t>
      </w:r>
      <w:r>
        <w:rPr>
          <w:rFonts w:hint="default" w:ascii="Times New Roman" w:hAnsi="Times New Roman" w:cs="Times New Roman" w:eastAsiaTheme="minorEastAsia"/>
        </w:rPr>
        <w:tab/>
      </w:r>
      <w:r>
        <w:rPr>
          <w:rFonts w:hint="default" w:ascii="Times New Roman" w:hAnsi="Times New Roman" w:cs="Times New Roman" w:eastAsiaTheme="minorEastAsia"/>
        </w:rPr>
        <w:t>2</w:t>
      </w:r>
      <w:r>
        <w:rPr>
          <w:rFonts w:hint="default" w:ascii="Times New Roman" w:hAnsi="Times New Roman" w:cs="Times New Roman" w:eastAsiaTheme="minorEastAsia"/>
          <w:lang w:val="en-US" w:eastAsia="zh-CN"/>
        </w:rPr>
        <w:t>2</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rPr>
      </w:pPr>
      <w:r>
        <w:rPr>
          <w:rFonts w:hint="default" w:ascii="Times New Roman" w:hAnsi="Times New Roman" w:cs="Times New Roman" w:eastAsiaTheme="minorEastAsia"/>
        </w:rPr>
        <w:t>8. 公路、水上运输企业主要能源消费与库存（JT320表）</w:t>
      </w:r>
      <w:r>
        <w:rPr>
          <w:rFonts w:hint="default" w:ascii="Times New Roman" w:hAnsi="Times New Roman" w:cs="Times New Roman" w:eastAsiaTheme="minorEastAsia"/>
        </w:rPr>
        <w:tab/>
      </w:r>
      <w:r>
        <w:rPr>
          <w:rFonts w:hint="default" w:ascii="Times New Roman" w:hAnsi="Times New Roman" w:cs="Times New Roman" w:eastAsiaTheme="minorEastAsia"/>
        </w:rPr>
        <w:t>2</w:t>
      </w:r>
      <w:r>
        <w:rPr>
          <w:rFonts w:hint="default" w:ascii="Times New Roman" w:hAnsi="Times New Roman" w:cs="Times New Roman" w:eastAsiaTheme="minorEastAsia"/>
          <w:lang w:val="en-US" w:eastAsia="zh-CN"/>
        </w:rPr>
        <w:t>2</w:t>
      </w:r>
    </w:p>
    <w:p>
      <w:pPr>
        <w:keepNext w:val="0"/>
        <w:keepLines w:val="0"/>
        <w:pageBreakBefore w:val="0"/>
        <w:widowControl w:val="0"/>
        <w:tabs>
          <w:tab w:val="right" w:leader="middleDot" w:pos="9345"/>
        </w:tabs>
        <w:kinsoku/>
        <w:wordWrap/>
        <w:overflowPunct/>
        <w:topLinePunct w:val="0"/>
        <w:autoSpaceDE/>
        <w:autoSpaceDN/>
        <w:bidi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9. 主要能源进口、出口量（粤P311表）</w:t>
      </w:r>
      <w:r>
        <w:rPr>
          <w:rFonts w:hint="default" w:ascii="Times New Roman" w:hAnsi="Times New Roman" w:cs="Times New Roman" w:eastAsiaTheme="minorEastAsia"/>
        </w:rPr>
        <w:tab/>
      </w:r>
      <w:r>
        <w:rPr>
          <w:rFonts w:hint="default" w:ascii="Times New Roman" w:hAnsi="Times New Roman" w:cs="Times New Roman" w:eastAsiaTheme="minorEastAsia"/>
        </w:rPr>
        <w:t>2</w:t>
      </w:r>
      <w:r>
        <w:rPr>
          <w:rFonts w:hint="default" w:ascii="Times New Roman" w:hAnsi="Times New Roman" w:cs="Times New Roman" w:eastAsiaTheme="minorEastAsia"/>
          <w:lang w:val="en-US" w:eastAsia="zh-CN"/>
        </w:rPr>
        <w:t>3</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420" w:firstLineChars="200"/>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rPr>
        <w:t>10. 主要能源货运量（粤P312表）</w:t>
      </w:r>
      <w:r>
        <w:rPr>
          <w:rFonts w:hint="default" w:ascii="Times New Roman" w:hAnsi="Times New Roman" w:cs="Times New Roman" w:eastAsiaTheme="minorEastAsia"/>
          <w:szCs w:val="21"/>
        </w:rPr>
        <w:tab/>
      </w:r>
      <w:r>
        <w:rPr>
          <w:rFonts w:hint="default" w:ascii="Times New Roman" w:hAnsi="Times New Roman" w:cs="Times New Roman" w:eastAsiaTheme="minorEastAsia"/>
          <w:szCs w:val="21"/>
        </w:rPr>
        <w:t>2</w:t>
      </w:r>
      <w:r>
        <w:rPr>
          <w:rFonts w:hint="default" w:ascii="Times New Roman" w:hAnsi="Times New Roman" w:cs="Times New Roman" w:eastAsiaTheme="minorEastAsia"/>
          <w:szCs w:val="21"/>
          <w:lang w:val="en-US" w:eastAsia="zh-CN"/>
        </w:rPr>
        <w:t>3</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420" w:firstLineChars="200"/>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rPr>
        <w:t>11. 能源经销企业主要能源购进、销售与库存（粤P313表）</w:t>
      </w:r>
      <w:r>
        <w:rPr>
          <w:rFonts w:hint="default" w:ascii="Times New Roman" w:hAnsi="Times New Roman" w:cs="Times New Roman" w:eastAsiaTheme="minorEastAsia"/>
          <w:szCs w:val="21"/>
        </w:rPr>
        <w:tab/>
      </w:r>
      <w:r>
        <w:rPr>
          <w:rFonts w:hint="default" w:ascii="Times New Roman" w:hAnsi="Times New Roman" w:cs="Times New Roman" w:eastAsiaTheme="minorEastAsia"/>
          <w:szCs w:val="21"/>
        </w:rPr>
        <w:t>2</w:t>
      </w:r>
      <w:r>
        <w:rPr>
          <w:rFonts w:hint="default" w:ascii="Times New Roman" w:hAnsi="Times New Roman" w:cs="Times New Roman" w:eastAsiaTheme="minorEastAsia"/>
          <w:szCs w:val="21"/>
          <w:lang w:val="en-US" w:eastAsia="zh-CN"/>
        </w:rPr>
        <w:t>4</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420" w:firstLineChars="200"/>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rPr>
        <w:t>12. 全社会用电量分类表（粤P314表）</w:t>
      </w:r>
      <w:r>
        <w:rPr>
          <w:rFonts w:hint="default" w:ascii="Times New Roman" w:hAnsi="Times New Roman" w:cs="Times New Roman" w:eastAsiaTheme="minorEastAsia"/>
          <w:szCs w:val="21"/>
        </w:rPr>
        <w:tab/>
      </w:r>
      <w:r>
        <w:rPr>
          <w:rFonts w:hint="default" w:ascii="Times New Roman" w:hAnsi="Times New Roman" w:cs="Times New Roman" w:eastAsiaTheme="minorEastAsia"/>
          <w:szCs w:val="21"/>
        </w:rPr>
        <w:t>2</w:t>
      </w:r>
      <w:r>
        <w:rPr>
          <w:rFonts w:hint="default" w:ascii="Times New Roman" w:hAnsi="Times New Roman" w:cs="Times New Roman" w:eastAsiaTheme="minorEastAsia"/>
          <w:szCs w:val="21"/>
          <w:lang w:val="en-US" w:eastAsia="zh-CN"/>
        </w:rPr>
        <w:t>4</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420" w:firstLineChars="200"/>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rPr>
        <w:t>13. 能源生产企业石油、天然气购进、销售与库存（粤P315表）</w:t>
      </w:r>
      <w:r>
        <w:rPr>
          <w:rFonts w:hint="default" w:ascii="Times New Roman" w:hAnsi="Times New Roman" w:cs="Times New Roman" w:eastAsiaTheme="minorEastAsia"/>
          <w:szCs w:val="21"/>
        </w:rPr>
        <w:tab/>
      </w:r>
      <w:r>
        <w:rPr>
          <w:rFonts w:hint="default" w:ascii="Times New Roman" w:hAnsi="Times New Roman" w:cs="Times New Roman" w:eastAsiaTheme="minorEastAsia"/>
          <w:szCs w:val="21"/>
        </w:rPr>
        <w:t>2</w:t>
      </w:r>
      <w:r>
        <w:rPr>
          <w:rFonts w:hint="default" w:ascii="Times New Roman" w:hAnsi="Times New Roman" w:cs="Times New Roman" w:eastAsiaTheme="minorEastAsia"/>
          <w:szCs w:val="21"/>
          <w:lang w:val="en-US" w:eastAsia="zh-CN"/>
        </w:rPr>
        <w:t>5</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szCs w:val="21"/>
        </w:rPr>
        <w:t>14. 油气供应、消费</w:t>
      </w:r>
      <w:r>
        <w:rPr>
          <w:rFonts w:hint="default" w:ascii="Times New Roman" w:hAnsi="Times New Roman" w:cs="Times New Roman" w:eastAsiaTheme="minorEastAsia"/>
        </w:rPr>
        <w:t>与库存（粤P316表）</w:t>
      </w:r>
      <w:r>
        <w:rPr>
          <w:rFonts w:hint="default" w:ascii="Times New Roman" w:hAnsi="Times New Roman" w:cs="Times New Roman" w:eastAsiaTheme="minorEastAsia"/>
        </w:rPr>
        <w:tab/>
      </w:r>
      <w:r>
        <w:rPr>
          <w:rFonts w:hint="default" w:ascii="Times New Roman" w:hAnsi="Times New Roman" w:cs="Times New Roman" w:eastAsiaTheme="minorEastAsia"/>
        </w:rPr>
        <w:t>2</w:t>
      </w:r>
      <w:r>
        <w:rPr>
          <w:rFonts w:hint="default" w:ascii="Times New Roman" w:hAnsi="Times New Roman" w:cs="Times New Roman" w:eastAsiaTheme="minorEastAsia"/>
          <w:lang w:val="en-US" w:eastAsia="zh-CN"/>
        </w:rPr>
        <w:t>5</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420" w:firstLineChars="200"/>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rPr>
        <w:t>15. 国际燃料舱（粤P319表）</w:t>
      </w:r>
      <w:r>
        <w:rPr>
          <w:rFonts w:hint="default" w:ascii="Times New Roman" w:hAnsi="Times New Roman" w:cs="Times New Roman" w:eastAsiaTheme="minorEastAsia"/>
          <w:szCs w:val="21"/>
        </w:rPr>
        <w:tab/>
      </w:r>
      <w:r>
        <w:rPr>
          <w:rFonts w:hint="default" w:ascii="Times New Roman" w:hAnsi="Times New Roman" w:cs="Times New Roman" w:eastAsiaTheme="minorEastAsia"/>
          <w:szCs w:val="21"/>
        </w:rPr>
        <w:t>2</w:t>
      </w:r>
      <w:r>
        <w:rPr>
          <w:rFonts w:hint="default" w:ascii="Times New Roman" w:hAnsi="Times New Roman" w:cs="Times New Roman" w:eastAsiaTheme="minorEastAsia"/>
          <w:szCs w:val="21"/>
          <w:lang w:val="en-US" w:eastAsia="zh-CN"/>
        </w:rPr>
        <w:t>6</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420" w:firstLineChars="200"/>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rPr>
        <w:t>16. 单位地区生产总值能耗（粤P321表）</w:t>
      </w:r>
      <w:r>
        <w:rPr>
          <w:rFonts w:hint="default" w:ascii="Times New Roman" w:hAnsi="Times New Roman" w:cs="Times New Roman" w:eastAsiaTheme="minorEastAsia"/>
          <w:szCs w:val="21"/>
        </w:rPr>
        <w:tab/>
      </w:r>
      <w:r>
        <w:rPr>
          <w:rFonts w:hint="default" w:ascii="Times New Roman" w:hAnsi="Times New Roman" w:cs="Times New Roman" w:eastAsiaTheme="minorEastAsia"/>
          <w:szCs w:val="21"/>
        </w:rPr>
        <w:t>2</w:t>
      </w:r>
      <w:r>
        <w:rPr>
          <w:rFonts w:hint="default" w:ascii="Times New Roman" w:hAnsi="Times New Roman" w:cs="Times New Roman" w:eastAsiaTheme="minorEastAsia"/>
          <w:szCs w:val="21"/>
          <w:lang w:val="en-US" w:eastAsia="zh-CN"/>
        </w:rPr>
        <w:t>6</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210" w:firstLineChars="100"/>
        <w:textAlignment w:val="auto"/>
        <w:rPr>
          <w:rFonts w:hint="default" w:ascii="Times New Roman" w:hAnsi="Times New Roman" w:cs="Times New Roman" w:eastAsiaTheme="minorEastAsia"/>
        </w:rPr>
      </w:pPr>
      <w:r>
        <w:rPr>
          <w:rFonts w:hint="default" w:ascii="Times New Roman" w:hAnsi="Times New Roman" w:cs="Times New Roman" w:eastAsiaTheme="minorEastAsia"/>
        </w:rPr>
        <w:t>（</w:t>
      </w:r>
      <w:r>
        <w:rPr>
          <w:rFonts w:hint="default" w:ascii="Times New Roman" w:hAnsi="Times New Roman" w:cs="Times New Roman" w:eastAsiaTheme="minorEastAsia"/>
          <w:lang w:eastAsia="zh-CN"/>
        </w:rPr>
        <w:t>三</w:t>
      </w:r>
      <w:r>
        <w:rPr>
          <w:rFonts w:hint="default" w:ascii="Times New Roman" w:hAnsi="Times New Roman" w:cs="Times New Roman" w:eastAsiaTheme="minorEastAsia"/>
        </w:rPr>
        <w:t>）综合定报表式</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1</w:t>
      </w:r>
      <w:r>
        <w:rPr>
          <w:rFonts w:hint="default" w:ascii="Times New Roman" w:hAnsi="Times New Roman" w:cs="Times New Roman" w:eastAsiaTheme="minorEastAsia"/>
        </w:rPr>
        <w:t>. 地区能源消费与单位地区生产总值能耗（P406表）</w:t>
      </w:r>
      <w:r>
        <w:rPr>
          <w:rFonts w:hint="default" w:ascii="Times New Roman" w:hAnsi="Times New Roman" w:cs="Times New Roman" w:eastAsiaTheme="minorEastAsia"/>
        </w:rPr>
        <w:tab/>
      </w:r>
      <w:r>
        <w:rPr>
          <w:rFonts w:hint="default" w:ascii="Times New Roman" w:hAnsi="Times New Roman" w:cs="Times New Roman" w:eastAsiaTheme="minorEastAsia"/>
          <w:lang w:val="en-US" w:eastAsia="zh-CN"/>
        </w:rPr>
        <w:t>27</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2</w:t>
      </w:r>
      <w:r>
        <w:rPr>
          <w:rFonts w:hint="default" w:ascii="Times New Roman" w:hAnsi="Times New Roman" w:cs="Times New Roman" w:eastAsiaTheme="minorEastAsia"/>
        </w:rPr>
        <w:t>. 全社会用电量情况（P407表）</w:t>
      </w:r>
      <w:r>
        <w:rPr>
          <w:rFonts w:hint="default" w:ascii="Times New Roman" w:hAnsi="Times New Roman" w:cs="Times New Roman" w:eastAsiaTheme="minorEastAsia"/>
        </w:rPr>
        <w:tab/>
      </w:r>
      <w:r>
        <w:rPr>
          <w:rFonts w:hint="default" w:ascii="Times New Roman" w:hAnsi="Times New Roman" w:cs="Times New Roman" w:eastAsiaTheme="minorEastAsia"/>
          <w:lang w:val="en-US" w:eastAsia="zh-CN"/>
        </w:rPr>
        <w:t>27</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3</w:t>
      </w:r>
      <w:r>
        <w:rPr>
          <w:rFonts w:hint="default" w:ascii="Times New Roman" w:hAnsi="Times New Roman" w:cs="Times New Roman" w:eastAsiaTheme="minorEastAsia"/>
        </w:rPr>
        <w:t xml:space="preserve">. </w:t>
      </w:r>
      <w:r>
        <w:rPr>
          <w:rFonts w:hint="default" w:ascii="Times New Roman" w:hAnsi="Times New Roman" w:cs="Times New Roman" w:eastAsiaTheme="minorEastAsia"/>
          <w:lang w:eastAsia="zh-CN"/>
        </w:rPr>
        <w:t>电力</w:t>
      </w:r>
      <w:r>
        <w:rPr>
          <w:rFonts w:hint="default" w:ascii="Times New Roman" w:hAnsi="Times New Roman" w:cs="Times New Roman" w:eastAsiaTheme="minorEastAsia"/>
        </w:rPr>
        <w:t>行</w:t>
      </w:r>
      <w:r>
        <w:rPr>
          <w:rFonts w:hint="default" w:ascii="Times New Roman" w:hAnsi="Times New Roman" w:cs="Times New Roman" w:eastAsiaTheme="minorEastAsia"/>
          <w:highlight w:val="none"/>
        </w:rPr>
        <w:t>业监测情况（</w:t>
      </w:r>
      <w:r>
        <w:rPr>
          <w:rFonts w:hint="default" w:ascii="Times New Roman" w:hAnsi="Times New Roman" w:cs="Times New Roman" w:eastAsiaTheme="minorEastAsia"/>
          <w:highlight w:val="none"/>
          <w:lang w:val="en-US" w:eastAsia="zh-CN"/>
        </w:rPr>
        <w:t>DL</w:t>
      </w:r>
      <w:r>
        <w:rPr>
          <w:rFonts w:hint="default" w:ascii="Times New Roman" w:hAnsi="Times New Roman" w:cs="Times New Roman" w:eastAsiaTheme="minorEastAsia"/>
          <w:highlight w:val="none"/>
        </w:rPr>
        <w:t>40</w:t>
      </w:r>
      <w:r>
        <w:rPr>
          <w:rFonts w:hint="default" w:ascii="Times New Roman" w:hAnsi="Times New Roman" w:cs="Times New Roman" w:eastAsiaTheme="minorEastAsia"/>
          <w:highlight w:val="none"/>
          <w:lang w:val="en-US" w:eastAsia="zh-CN"/>
        </w:rPr>
        <w:t>3</w:t>
      </w:r>
      <w:r>
        <w:rPr>
          <w:rFonts w:hint="default" w:ascii="Times New Roman" w:hAnsi="Times New Roman" w:cs="Times New Roman" w:eastAsiaTheme="minorEastAsia"/>
          <w:highlight w:val="none"/>
        </w:rPr>
        <w:t>表）</w:t>
      </w:r>
      <w:r>
        <w:rPr>
          <w:rFonts w:hint="default" w:ascii="Times New Roman" w:hAnsi="Times New Roman" w:cs="Times New Roman" w:eastAsiaTheme="minorEastAsia"/>
        </w:rPr>
        <w:tab/>
      </w:r>
      <w:r>
        <w:rPr>
          <w:rFonts w:hint="default" w:ascii="Times New Roman" w:hAnsi="Times New Roman" w:cs="Times New Roman" w:eastAsiaTheme="minorEastAsia"/>
          <w:lang w:val="en-US" w:eastAsia="zh-CN"/>
        </w:rPr>
        <w:t>28</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textAlignment w:val="auto"/>
        <w:rPr>
          <w:rFonts w:hint="default" w:ascii="Times New Roman" w:hAnsi="Times New Roman" w:cs="Times New Roman" w:eastAsiaTheme="minorEastAsia"/>
        </w:rPr>
      </w:pP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textAlignment w:val="auto"/>
        <w:rPr>
          <w:rFonts w:hint="default" w:ascii="Times New Roman" w:hAnsi="Times New Roman" w:cs="Times New Roman" w:eastAsiaTheme="minorEastAsia"/>
        </w:rPr>
      </w:pPr>
      <w:r>
        <w:rPr>
          <w:rFonts w:hint="default" w:ascii="Times New Roman" w:hAnsi="Times New Roman" w:cs="Times New Roman" w:eastAsiaTheme="minorEastAsia"/>
        </w:rPr>
        <w:t>四、附录</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210" w:firstLineChars="1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（一）修订说明</w:t>
      </w:r>
      <w:r>
        <w:rPr>
          <w:rFonts w:hint="default" w:ascii="Times New Roman" w:hAnsi="Times New Roman" w:cs="Times New Roman" w:eastAsiaTheme="minorEastAsia"/>
        </w:rPr>
        <w:tab/>
      </w:r>
      <w:r>
        <w:rPr>
          <w:rFonts w:hint="default" w:ascii="Times New Roman" w:hAnsi="Times New Roman" w:cs="Times New Roman" w:eastAsiaTheme="minorEastAsia"/>
          <w:lang w:val="en-US" w:eastAsia="zh-CN"/>
        </w:rPr>
        <w:t>29</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210" w:firstLineChars="1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（二）统计目录</w:t>
      </w:r>
      <w:r>
        <w:rPr>
          <w:rFonts w:hint="default" w:ascii="Times New Roman" w:hAnsi="Times New Roman" w:cs="Times New Roman" w:eastAsiaTheme="minorEastAsia"/>
        </w:rPr>
        <w:tab/>
      </w:r>
      <w:r>
        <w:rPr>
          <w:rFonts w:hint="default" w:ascii="Times New Roman" w:hAnsi="Times New Roman" w:cs="Times New Roman" w:eastAsiaTheme="minorEastAsia"/>
          <w:lang w:val="en-US" w:eastAsia="zh-CN"/>
        </w:rPr>
        <w:t>30</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1.能源购进、消费与库存和能源加工转换与回收利用目录（205-1表、205-2表）</w:t>
      </w:r>
      <w:r>
        <w:rPr>
          <w:rFonts w:hint="default" w:ascii="Times New Roman" w:hAnsi="Times New Roman" w:cs="Times New Roman" w:eastAsiaTheme="minorEastAsia"/>
        </w:rPr>
        <w:tab/>
      </w:r>
      <w:r>
        <w:rPr>
          <w:rFonts w:hint="default" w:ascii="Times New Roman" w:hAnsi="Times New Roman" w:cs="Times New Roman" w:eastAsiaTheme="minorEastAsia"/>
        </w:rPr>
        <w:t>3</w:t>
      </w:r>
      <w:r>
        <w:rPr>
          <w:rFonts w:hint="default" w:ascii="Times New Roman" w:hAnsi="Times New Roman" w:cs="Times New Roman" w:eastAsiaTheme="minorEastAsia"/>
          <w:lang w:val="en-US" w:eastAsia="zh-CN"/>
        </w:rPr>
        <w:t>0</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42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2.主要耗能工业企业单位产品能源消费情况目录（205-3表）</w:t>
      </w:r>
      <w:r>
        <w:rPr>
          <w:rFonts w:hint="default" w:ascii="Times New Roman" w:hAnsi="Times New Roman" w:cs="Times New Roman" w:eastAsiaTheme="minorEastAsia"/>
        </w:rPr>
        <w:tab/>
      </w:r>
      <w:r>
        <w:rPr>
          <w:rFonts w:hint="default" w:ascii="Times New Roman" w:hAnsi="Times New Roman" w:cs="Times New Roman" w:eastAsiaTheme="minorEastAsia"/>
        </w:rPr>
        <w:t>3</w:t>
      </w:r>
      <w:r>
        <w:rPr>
          <w:rFonts w:hint="default" w:ascii="Times New Roman" w:hAnsi="Times New Roman" w:cs="Times New Roman" w:eastAsiaTheme="minorEastAsia"/>
          <w:lang w:val="en-US" w:eastAsia="zh-CN"/>
        </w:rPr>
        <w:t>3</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420" w:firstLineChars="200"/>
        <w:textAlignment w:val="auto"/>
        <w:rPr>
          <w:rFonts w:hint="eastAsia" w:ascii="Times New Roman" w:hAnsi="Times New Roman" w:cs="Times New Roman" w:eastAsiaTheme="minorEastAsia"/>
          <w:lang w:val="en-US" w:eastAsia="zh-CN"/>
        </w:rPr>
      </w:pPr>
      <w:r>
        <w:rPr>
          <w:rFonts w:hint="default" w:ascii="Times New Roman" w:hAnsi="Times New Roman" w:cs="Times New Roman" w:eastAsiaTheme="minorEastAsia"/>
        </w:rPr>
        <w:t>3.能源生产、销售与库存目录（205-6表）</w:t>
      </w:r>
      <w:r>
        <w:rPr>
          <w:rFonts w:hint="default" w:ascii="Times New Roman" w:hAnsi="Times New Roman" w:cs="Times New Roman" w:eastAsiaTheme="minorEastAsia"/>
        </w:rPr>
        <w:tab/>
      </w:r>
      <w:r>
        <w:rPr>
          <w:rFonts w:hint="default" w:ascii="Times New Roman" w:hAnsi="Times New Roman" w:cs="Times New Roman" w:eastAsiaTheme="minorEastAsia"/>
        </w:rPr>
        <w:t>6</w:t>
      </w:r>
      <w:r>
        <w:rPr>
          <w:rFonts w:hint="eastAsia" w:cs="Times New Roman" w:eastAsiaTheme="minorEastAsia"/>
          <w:lang w:val="en-US" w:eastAsia="zh-CN"/>
        </w:rPr>
        <w:t>0</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420" w:firstLineChars="200"/>
        <w:textAlignment w:val="auto"/>
        <w:rPr>
          <w:rFonts w:hint="eastAsia" w:ascii="Times New Roman" w:hAnsi="Times New Roman" w:cs="Times New Roman" w:eastAsiaTheme="minorEastAsia"/>
          <w:lang w:val="en-US" w:eastAsia="zh-CN"/>
        </w:rPr>
      </w:pPr>
      <w:r>
        <w:rPr>
          <w:rFonts w:hint="default" w:ascii="Times New Roman" w:hAnsi="Times New Roman" w:cs="Times New Roman" w:eastAsiaTheme="minorEastAsia"/>
        </w:rPr>
        <w:t>4.分行业能源消费量目录（P303-2表、P303-3表、P303-5表）</w:t>
      </w:r>
      <w:r>
        <w:rPr>
          <w:rFonts w:hint="default" w:ascii="Times New Roman" w:hAnsi="Times New Roman" w:cs="Times New Roman" w:eastAsiaTheme="minorEastAsia"/>
        </w:rPr>
        <w:tab/>
      </w:r>
      <w:r>
        <w:rPr>
          <w:rFonts w:hint="default" w:ascii="Times New Roman" w:hAnsi="Times New Roman" w:cs="Times New Roman" w:eastAsiaTheme="minorEastAsia"/>
        </w:rPr>
        <w:t>7</w:t>
      </w:r>
      <w:r>
        <w:rPr>
          <w:rFonts w:hint="eastAsia" w:cs="Times New Roman" w:eastAsiaTheme="minorEastAsia"/>
          <w:lang w:val="en-US" w:eastAsia="zh-CN"/>
        </w:rPr>
        <w:t>1</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420" w:firstLineChars="200"/>
        <w:textAlignment w:val="auto"/>
        <w:rPr>
          <w:rFonts w:hint="eastAsia" w:ascii="Times New Roman" w:hAnsi="Times New Roman" w:cs="Times New Roman" w:eastAsiaTheme="minorEastAsia"/>
          <w:lang w:val="en-US" w:eastAsia="zh-CN"/>
        </w:rPr>
      </w:pPr>
      <w:r>
        <w:rPr>
          <w:rFonts w:hint="default" w:ascii="Times New Roman" w:hAnsi="Times New Roman" w:cs="Times New Roman" w:eastAsiaTheme="minorEastAsia"/>
        </w:rPr>
        <w:t>5.全社会用电量情况目录（P407表）</w:t>
      </w:r>
      <w:r>
        <w:rPr>
          <w:rFonts w:hint="default" w:ascii="Times New Roman" w:hAnsi="Times New Roman" w:cs="Times New Roman" w:eastAsiaTheme="minorEastAsia"/>
        </w:rPr>
        <w:tab/>
      </w:r>
      <w:r>
        <w:rPr>
          <w:rFonts w:hint="default" w:ascii="Times New Roman" w:hAnsi="Times New Roman" w:cs="Times New Roman" w:eastAsiaTheme="minorEastAsia"/>
        </w:rPr>
        <w:t>7</w:t>
      </w:r>
      <w:r>
        <w:rPr>
          <w:rFonts w:hint="eastAsia" w:cs="Times New Roman" w:eastAsiaTheme="minorEastAsia"/>
          <w:lang w:val="en-US" w:eastAsia="zh-CN"/>
        </w:rPr>
        <w:t>2</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210" w:firstLineChars="100"/>
        <w:textAlignment w:val="auto"/>
        <w:rPr>
          <w:rFonts w:hint="eastAsia" w:ascii="Times New Roman" w:hAnsi="Times New Roman" w:cs="Times New Roman" w:eastAsiaTheme="minorEastAsia"/>
          <w:lang w:val="en-US" w:eastAsia="zh-CN"/>
        </w:rPr>
      </w:pPr>
      <w:r>
        <w:rPr>
          <w:rFonts w:hint="default" w:ascii="Times New Roman" w:hAnsi="Times New Roman" w:cs="Times New Roman" w:eastAsiaTheme="minorEastAsia"/>
        </w:rPr>
        <w:t>（三）主要指标解释</w:t>
      </w:r>
      <w:r>
        <w:rPr>
          <w:rFonts w:hint="default" w:ascii="Times New Roman" w:hAnsi="Times New Roman" w:cs="Times New Roman" w:eastAsiaTheme="minorEastAsia"/>
        </w:rPr>
        <w:tab/>
      </w:r>
      <w:r>
        <w:rPr>
          <w:rFonts w:hint="default" w:ascii="Times New Roman" w:hAnsi="Times New Roman" w:cs="Times New Roman" w:eastAsiaTheme="minorEastAsia"/>
        </w:rPr>
        <w:t>7</w:t>
      </w:r>
      <w:r>
        <w:rPr>
          <w:rFonts w:hint="eastAsia" w:cs="Times New Roman" w:eastAsiaTheme="minorEastAsia"/>
          <w:lang w:val="en-US" w:eastAsia="zh-CN"/>
        </w:rPr>
        <w:t>3</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210" w:firstLineChars="1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（四）季度地区能源消费总量核算方案</w:t>
      </w:r>
      <w:r>
        <w:rPr>
          <w:rFonts w:hint="default" w:ascii="Times New Roman" w:hAnsi="Times New Roman" w:cs="Times New Roman" w:eastAsiaTheme="minorEastAsia"/>
        </w:rPr>
        <w:tab/>
      </w:r>
      <w:r>
        <w:rPr>
          <w:rFonts w:hint="default" w:ascii="Times New Roman" w:hAnsi="Times New Roman" w:cs="Times New Roman" w:eastAsiaTheme="minorEastAsia"/>
          <w:lang w:val="en-US" w:eastAsia="zh-CN"/>
        </w:rPr>
        <w:t>8</w:t>
      </w:r>
      <w:r>
        <w:rPr>
          <w:rFonts w:hint="eastAsia" w:cs="Times New Roman" w:eastAsiaTheme="minorEastAsia"/>
          <w:lang w:val="en-US" w:eastAsia="zh-CN"/>
        </w:rPr>
        <w:t>5</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210" w:firstLineChars="1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（五）附表</w:t>
      </w:r>
      <w:r>
        <w:rPr>
          <w:rFonts w:hint="default" w:ascii="Times New Roman" w:hAnsi="Times New Roman" w:cs="Times New Roman" w:eastAsiaTheme="minorEastAsia"/>
        </w:rPr>
        <w:tab/>
      </w:r>
      <w:r>
        <w:rPr>
          <w:rFonts w:hint="default" w:ascii="Times New Roman" w:hAnsi="Times New Roman" w:cs="Times New Roman" w:eastAsiaTheme="minorEastAsia"/>
          <w:lang w:val="en-US" w:eastAsia="zh-CN"/>
        </w:rPr>
        <w:t>9</w:t>
      </w:r>
      <w:r>
        <w:rPr>
          <w:rFonts w:hint="eastAsia" w:cs="Times New Roman" w:eastAsiaTheme="minorEastAsia"/>
          <w:lang w:val="en-US" w:eastAsia="zh-CN"/>
        </w:rPr>
        <w:t>0</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840" w:firstLineChars="4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附表一：各种能源折标准煤参考系数</w:t>
      </w:r>
      <w:r>
        <w:rPr>
          <w:rFonts w:hint="default" w:ascii="Times New Roman" w:hAnsi="Times New Roman" w:cs="Times New Roman" w:eastAsiaTheme="minorEastAsia"/>
        </w:rPr>
        <w:tab/>
      </w:r>
      <w:r>
        <w:rPr>
          <w:rFonts w:hint="default" w:ascii="Times New Roman" w:hAnsi="Times New Roman" w:cs="Times New Roman" w:eastAsiaTheme="minorEastAsia"/>
          <w:lang w:val="en-US" w:eastAsia="zh-CN"/>
        </w:rPr>
        <w:t>9</w:t>
      </w:r>
      <w:r>
        <w:rPr>
          <w:rFonts w:hint="eastAsia" w:cs="Times New Roman" w:eastAsiaTheme="minorEastAsia"/>
          <w:lang w:val="en-US" w:eastAsia="zh-CN"/>
        </w:rPr>
        <w:t>0</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840" w:firstLineChars="400"/>
        <w:textAlignment w:val="auto"/>
        <w:rPr>
          <w:rFonts w:hint="eastAsia" w:ascii="Times New Roman" w:hAnsi="Times New Roman" w:cs="Times New Roman" w:eastAsiaTheme="minorEastAsia"/>
          <w:lang w:val="en-US" w:eastAsia="zh-CN"/>
        </w:rPr>
      </w:pPr>
      <w:r>
        <w:rPr>
          <w:rFonts w:hint="default" w:ascii="Times New Roman" w:hAnsi="Times New Roman" w:cs="Times New Roman" w:eastAsiaTheme="minorEastAsia"/>
        </w:rPr>
        <w:t>附表二：热焓表（饱和蒸汽或过热蒸汽）</w:t>
      </w:r>
      <w:r>
        <w:rPr>
          <w:rFonts w:hint="default" w:ascii="Times New Roman" w:hAnsi="Times New Roman" w:cs="Times New Roman" w:eastAsiaTheme="minorEastAsia"/>
        </w:rPr>
        <w:tab/>
      </w:r>
      <w:r>
        <w:rPr>
          <w:rFonts w:hint="default" w:ascii="Times New Roman" w:hAnsi="Times New Roman" w:cs="Times New Roman" w:eastAsiaTheme="minorEastAsia"/>
        </w:rPr>
        <w:t>9</w:t>
      </w:r>
      <w:r>
        <w:rPr>
          <w:rFonts w:hint="eastAsia" w:cs="Times New Roman" w:eastAsiaTheme="minorEastAsia"/>
          <w:lang w:val="en-US" w:eastAsia="zh-CN"/>
        </w:rPr>
        <w:t>2</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210" w:firstLineChars="100"/>
        <w:textAlignment w:val="auto"/>
        <w:rPr>
          <w:rFonts w:hint="default" w:ascii="Times New Roman" w:hAnsi="Times New Roman" w:cs="Times New Roman" w:eastAsiaTheme="minorEastAsia"/>
          <w:lang w:val="en-US"/>
        </w:rPr>
      </w:pPr>
      <w:r>
        <w:rPr>
          <w:rFonts w:hint="default" w:ascii="Times New Roman" w:hAnsi="Times New Roman" w:cs="Times New Roman" w:eastAsiaTheme="minorEastAsia"/>
        </w:rPr>
        <w:t>（六）审核要求</w:t>
      </w:r>
      <w:r>
        <w:rPr>
          <w:rFonts w:hint="default" w:ascii="Times New Roman" w:hAnsi="Times New Roman" w:cs="Times New Roman" w:eastAsiaTheme="minorEastAsia"/>
        </w:rPr>
        <w:tab/>
      </w:r>
      <w:r>
        <w:rPr>
          <w:rFonts w:hint="default" w:ascii="Times New Roman" w:hAnsi="Times New Roman" w:cs="Times New Roman" w:eastAsiaTheme="minorEastAsia"/>
          <w:lang w:val="en-US" w:eastAsia="zh-CN"/>
        </w:rPr>
        <w:t>9</w:t>
      </w:r>
      <w:r>
        <w:rPr>
          <w:rFonts w:hint="eastAsia" w:cs="Times New Roman" w:eastAsiaTheme="minorEastAsia"/>
          <w:lang w:val="en-US" w:eastAsia="zh-CN"/>
        </w:rPr>
        <w:t>6</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210" w:firstLineChars="1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（七）常见问题解答</w:t>
      </w:r>
      <w:r>
        <w:rPr>
          <w:rFonts w:hint="default" w:ascii="Times New Roman" w:hAnsi="Times New Roman" w:cs="Times New Roman" w:eastAsiaTheme="minorEastAsia"/>
        </w:rPr>
        <w:tab/>
      </w:r>
      <w:r>
        <w:rPr>
          <w:rFonts w:hint="eastAsia" w:cs="Times New Roman" w:eastAsiaTheme="minorEastAsia"/>
          <w:lang w:val="en-US" w:eastAsia="zh-CN"/>
        </w:rPr>
        <w:t>98</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210" w:firstLineChars="100"/>
        <w:textAlignment w:val="auto"/>
        <w:rPr>
          <w:rFonts w:hint="eastAsia" w:ascii="Times New Roman" w:hAnsi="Times New Roman" w:cs="Times New Roman" w:eastAsiaTheme="minorEastAsia"/>
          <w:lang w:val="en-US" w:eastAsia="zh-CN"/>
        </w:rPr>
      </w:pPr>
      <w:r>
        <w:rPr>
          <w:rFonts w:hint="default" w:ascii="Times New Roman" w:hAnsi="Times New Roman" w:cs="Times New Roman" w:eastAsiaTheme="minorEastAsia"/>
        </w:rPr>
        <w:t>（八）填报要求</w:t>
      </w:r>
      <w:r>
        <w:rPr>
          <w:rFonts w:hint="default" w:ascii="Times New Roman" w:hAnsi="Times New Roman" w:cs="Times New Roman" w:eastAsiaTheme="minorEastAsia"/>
        </w:rPr>
        <w:tab/>
      </w:r>
      <w:r>
        <w:rPr>
          <w:rFonts w:hint="default" w:ascii="Times New Roman" w:hAnsi="Times New Roman" w:cs="Times New Roman" w:eastAsiaTheme="minorEastAsia"/>
        </w:rPr>
        <w:t>10</w:t>
      </w:r>
      <w:r>
        <w:rPr>
          <w:rFonts w:hint="eastAsia" w:cs="Times New Roman" w:eastAsiaTheme="minorEastAsia"/>
          <w:lang w:val="en-US" w:eastAsia="zh-CN"/>
        </w:rPr>
        <w:t>4</w:t>
      </w:r>
    </w:p>
    <w:p>
      <w:pPr>
        <w:keepNext w:val="0"/>
        <w:keepLines w:val="0"/>
        <w:pageBreakBefore w:val="0"/>
        <w:widowControl w:val="0"/>
        <w:tabs>
          <w:tab w:val="right" w:leader="middleDot" w:pos="9345"/>
        </w:tabs>
        <w:kinsoku/>
        <w:wordWrap/>
        <w:overflowPunct/>
        <w:topLinePunct w:val="0"/>
        <w:autoSpaceDE/>
        <w:autoSpaceDN/>
        <w:bidi w:val="0"/>
        <w:adjustRightInd w:val="0"/>
        <w:snapToGrid w:val="0"/>
        <w:spacing w:line="390" w:lineRule="exact"/>
        <w:ind w:firstLine="210" w:firstLineChars="100"/>
        <w:textAlignment w:val="auto"/>
        <w:rPr>
          <w:rFonts w:hint="default" w:asciiTheme="minorEastAsia" w:hAnsiTheme="minorEastAsia" w:eastAsiaTheme="minorEastAsia" w:cstheme="minorEastAsia"/>
          <w:lang w:val="en-US"/>
        </w:rPr>
      </w:pPr>
      <w:r>
        <w:rPr>
          <w:rFonts w:hint="default" w:ascii="Times New Roman" w:hAnsi="Times New Roman" w:cs="Times New Roman" w:eastAsiaTheme="minorEastAsia"/>
        </w:rPr>
        <w:t>（九）能源联网直报企业数据来源参考表</w:t>
      </w:r>
      <w:r>
        <w:rPr>
          <w:rFonts w:hint="default" w:ascii="Times New Roman" w:hAnsi="Times New Roman" w:cs="Times New Roman" w:eastAsiaTheme="minorEastAsia"/>
        </w:rPr>
        <w:tab/>
      </w:r>
      <w:r>
        <w:rPr>
          <w:rFonts w:hint="default" w:ascii="Times New Roman" w:hAnsi="Times New Roman" w:cs="Times New Roman" w:eastAsiaTheme="minorEastAsia"/>
        </w:rPr>
        <w:t>1</w:t>
      </w:r>
      <w:r>
        <w:rPr>
          <w:rFonts w:hint="default" w:ascii="Times New Roman" w:hAnsi="Times New Roman" w:cs="Times New Roman" w:eastAsiaTheme="minorEastAsia"/>
          <w:lang w:val="en-US" w:eastAsia="zh-CN"/>
        </w:rPr>
        <w:t>0</w:t>
      </w:r>
      <w:r>
        <w:rPr>
          <w:rFonts w:hint="eastAsia" w:cs="Times New Roman" w:eastAsiaTheme="minorEastAsia"/>
          <w:lang w:val="en-US" w:eastAsia="zh-CN"/>
        </w:rPr>
        <w:t>5</w:t>
      </w:r>
    </w:p>
    <w:p>
      <w:pPr>
        <w:adjustRightInd w:val="0"/>
        <w:snapToGrid w:val="0"/>
        <w:spacing w:line="460" w:lineRule="exact"/>
        <w:ind w:right="31"/>
        <w:rPr>
          <w:rFonts w:asciiTheme="minorEastAsia" w:hAnsiTheme="minorEastAsia" w:eastAsiaTheme="minorEastAsia" w:cstheme="minorEastAsia"/>
          <w:sz w:val="24"/>
        </w:rPr>
      </w:pPr>
      <w:r>
        <w:rPr>
          <w:rFonts w:hint="eastAsia" w:asciiTheme="minorEastAsia" w:hAnsiTheme="minorEastAsia" w:eastAsiaTheme="minorEastAsia" w:cstheme="minorEastAsia"/>
          <w:sz w:val="32"/>
        </w:rPr>
        <w:br w:type="page"/>
      </w:r>
    </w:p>
    <w:p>
      <w:pPr>
        <w:spacing w:line="360" w:lineRule="auto"/>
        <w:jc w:val="center"/>
        <w:rPr>
          <w:rFonts w:ascii="宋体" w:hAnsi="宋体"/>
          <w:b/>
          <w:bCs w:val="0"/>
          <w:sz w:val="32"/>
          <w:szCs w:val="32"/>
        </w:rPr>
      </w:pPr>
      <w:r>
        <w:rPr>
          <w:rFonts w:hint="eastAsia" w:ascii="黑体" w:hAnsi="黑体" w:eastAsia="黑体" w:cs="黑体"/>
          <w:b/>
          <w:bCs w:val="0"/>
          <w:sz w:val="32"/>
          <w:szCs w:val="32"/>
        </w:rPr>
        <w:t>一、总 说 明</w:t>
      </w:r>
    </w:p>
    <w:p>
      <w:pPr>
        <w:adjustRightInd w:val="0"/>
        <w:snapToGrid w:val="0"/>
        <w:spacing w:line="350" w:lineRule="exact"/>
        <w:ind w:firstLine="421"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（一）制度制定的目的和依据</w:t>
      </w:r>
    </w:p>
    <w:p>
      <w:pPr>
        <w:adjustRightInd w:val="0"/>
        <w:snapToGrid w:val="0"/>
        <w:spacing w:line="35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为全面了解全市能源供应、需求的基本情况，为各级政府制定政策、进行经济管理与调控提供依据，根据《中华人民共和国统计法》《中华人民共和国统计法实施条例》的规定</w:t>
      </w:r>
      <w:r>
        <w:rPr>
          <w:rFonts w:hint="eastAsia" w:asciiTheme="minorEastAsia" w:hAnsiTheme="minorEastAsia" w:eastAsiaTheme="minorEastAsia" w:cstheme="minorEastAsia"/>
          <w:bCs/>
          <w:szCs w:val="21"/>
        </w:rPr>
        <w:t>和</w:t>
      </w:r>
      <w:r>
        <w:rPr>
          <w:rFonts w:hint="eastAsia" w:asciiTheme="minorEastAsia" w:hAnsiTheme="minorEastAsia" w:eastAsiaTheme="minorEastAsia" w:cstheme="minorEastAsia"/>
          <w:szCs w:val="21"/>
        </w:rPr>
        <w:t>国家、省统计报表制度的要求，特制定本统计报表制度。</w:t>
      </w:r>
    </w:p>
    <w:p>
      <w:pPr>
        <w:spacing w:line="350" w:lineRule="exact"/>
        <w:ind w:firstLine="421"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（二）制度的性质</w:t>
      </w:r>
    </w:p>
    <w:p>
      <w:pPr>
        <w:spacing w:line="35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szCs w:val="21"/>
        </w:rPr>
        <w:t>本报表制度属于国家、省、市的统计调查。调查内容包括各级政府和业务主管部门共同的基本需要，区及业务主管部门特殊需要的统计资料应通过地方统计调查和部门统计调查搜集，并尽量避免与本统计调查内容相重复。</w:t>
      </w:r>
    </w:p>
    <w:p>
      <w:pPr>
        <w:spacing w:line="350" w:lineRule="exact"/>
        <w:ind w:firstLine="421"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（三）填报范围</w:t>
      </w:r>
    </w:p>
    <w:p>
      <w:pPr>
        <w:spacing w:line="350" w:lineRule="exact"/>
        <w:ind w:firstLine="421"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
          <w:bCs/>
          <w:szCs w:val="21"/>
        </w:rPr>
        <w:t>1.统计范围：</w:t>
      </w:r>
      <w:r>
        <w:rPr>
          <w:rFonts w:hint="eastAsia" w:asciiTheme="minorEastAsia" w:hAnsiTheme="minorEastAsia" w:eastAsiaTheme="minorEastAsia" w:cstheme="minorEastAsia"/>
          <w:bCs/>
          <w:szCs w:val="21"/>
        </w:rPr>
        <w:t>辖区内除军队系统以外的全部能源生产、消费、经销活动情况。</w:t>
      </w:r>
    </w:p>
    <w:p>
      <w:pPr>
        <w:spacing w:line="350" w:lineRule="exact"/>
        <w:ind w:firstLine="421"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2.填报单位：</w:t>
      </w:r>
      <w:r>
        <w:rPr>
          <w:rFonts w:hint="eastAsia" w:asciiTheme="minorEastAsia" w:hAnsiTheme="minorEastAsia" w:eastAsiaTheme="minorEastAsia" w:cstheme="minorEastAsia"/>
          <w:bCs/>
          <w:szCs w:val="21"/>
        </w:rPr>
        <w:t>辖区内除军队系统以外发生能源生产、消费、经销活动的相关单位。</w:t>
      </w:r>
    </w:p>
    <w:p>
      <w:pPr>
        <w:spacing w:line="350" w:lineRule="exact"/>
        <w:ind w:firstLine="421"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（四）调查内容</w:t>
      </w:r>
    </w:p>
    <w:p>
      <w:pPr>
        <w:widowControl/>
        <w:spacing w:line="35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辖区内工业法人单位</w:t>
      </w:r>
      <w:r>
        <w:rPr>
          <w:rFonts w:hint="eastAsia" w:asciiTheme="minorEastAsia" w:hAnsiTheme="minorEastAsia" w:eastAsiaTheme="minorEastAsia" w:cstheme="minorEastAsia"/>
          <w:bCs/>
          <w:szCs w:val="21"/>
          <w:lang w:eastAsia="zh-CN"/>
        </w:rPr>
        <w:t>和规模以上工业个体经营户</w:t>
      </w:r>
      <w:r>
        <w:rPr>
          <w:rFonts w:hint="eastAsia" w:asciiTheme="minorEastAsia" w:hAnsiTheme="minorEastAsia" w:eastAsiaTheme="minorEastAsia" w:cstheme="minorEastAsia"/>
          <w:bCs/>
          <w:szCs w:val="21"/>
        </w:rPr>
        <w:t>能源购进、消费与库存和水消费情况，非工业重点耗能单位能源消费情况，</w:t>
      </w:r>
      <w:r>
        <w:rPr>
          <w:rFonts w:hint="eastAsia" w:asciiTheme="minorEastAsia" w:hAnsiTheme="minorEastAsia" w:eastAsiaTheme="minorEastAsia" w:cstheme="minorEastAsia"/>
          <w:szCs w:val="21"/>
        </w:rPr>
        <w:t>有资质的建筑业、</w:t>
      </w:r>
      <w:r>
        <w:rPr>
          <w:rFonts w:hint="eastAsia" w:asciiTheme="minorEastAsia" w:hAnsiTheme="minorEastAsia" w:eastAsiaTheme="minorEastAsia" w:cstheme="minorEastAsia"/>
          <w:bCs/>
          <w:szCs w:val="21"/>
        </w:rPr>
        <w:t>限额以上批发和零售</w:t>
      </w:r>
      <w:r>
        <w:rPr>
          <w:rFonts w:hint="eastAsia" w:asciiTheme="minorEastAsia" w:hAnsiTheme="minorEastAsia" w:eastAsiaTheme="minorEastAsia" w:cstheme="minorEastAsia"/>
          <w:szCs w:val="21"/>
        </w:rPr>
        <w:t>业、限额以上住宿和餐饮业、有开发经营活动的房地产开发经营业和规模以上服务业等法人单位</w:t>
      </w:r>
      <w:r>
        <w:rPr>
          <w:rFonts w:hint="eastAsia" w:asciiTheme="minorEastAsia" w:hAnsiTheme="minorEastAsia" w:eastAsiaTheme="minorEastAsia" w:cstheme="minorEastAsia"/>
          <w:bCs/>
          <w:szCs w:val="21"/>
        </w:rPr>
        <w:t>能源生产、经销情况，主要能源生产、销售与库存情况，主要能源品种的进口、出口、全社会用电量情况。</w:t>
      </w:r>
      <w:r>
        <w:rPr>
          <w:rFonts w:hint="eastAsia" w:asciiTheme="minorEastAsia" w:hAnsiTheme="minorEastAsia" w:eastAsiaTheme="minorEastAsia" w:cstheme="minorEastAsia"/>
          <w:szCs w:val="21"/>
        </w:rPr>
        <w:t>通过收集部门和行业监测数据，不断丰富能耗核算审核方法，持续提高能源统计数据质量，准确客观反映能源生产、购进、销售、消费和库存等情况。</w:t>
      </w:r>
    </w:p>
    <w:p>
      <w:pPr>
        <w:spacing w:line="350" w:lineRule="exact"/>
        <w:ind w:firstLine="421"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（五）数据采集及报表管理</w:t>
      </w:r>
    </w:p>
    <w:p>
      <w:pPr>
        <w:widowControl/>
        <w:spacing w:line="350" w:lineRule="exact"/>
        <w:ind w:firstLine="421"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1.调查单位统计管理</w:t>
      </w:r>
    </w:p>
    <w:p>
      <w:pPr>
        <w:widowControl/>
        <w:spacing w:line="35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根据《国家统计局关于印发统计单位划分及具体处理办法的通知》（国统字〔2011〕96号）第八条规定：对统计单位按照在地原则进行统计，即统计单位按照以下情况归入所在区域的统计范围：一是经营地与行政登记住所在同一县级行政区域的统计单位，归入该县级区域的统计范围；二是经营地与行政登记住所不在同一县级行政区域的统计单位，原则上归入经营地所在的县级区域的统计范围；三是有两处或两处以上经营地的统计单位，归入主要经营地所在的县级区域的统计范围。</w:t>
      </w:r>
    </w:p>
    <w:p>
      <w:pPr>
        <w:widowControl/>
        <w:spacing w:line="35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调查单位有义务向统计机构提供营业执照（证书）、利润表和纳税申报表等相关资料。</w:t>
      </w:r>
    </w:p>
    <w:p>
      <w:pPr>
        <w:widowControl/>
        <w:spacing w:line="35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（2）统计单位的主要经营地发生跨区变更，需及时告知变更前后所在的区政府统计部门。当年的年定报培训布置工作由变更后所在的区政府统计部门负责。</w:t>
      </w:r>
    </w:p>
    <w:p>
      <w:pPr>
        <w:widowControl/>
        <w:spacing w:line="35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为保持各区年内统计数据的衔接，凡在本年度跨区变更统计管理的统计单位，其变更年内的统计归口管理方式维持不变，即发生变更的统计单位，其年内统计定期报表、年度报表仍按原渠道报送变更前所在的区政府统计部门，从次年定期报表起，由变更后所在的区政府统计部门进行统计管理，且变更的统计单位的对比基数随统计归口管理地变更同步划转，变更区域已形成的历史数据不作修改，但变更后有关专业统计指标的增长速度按可比口径计算。</w:t>
      </w:r>
    </w:p>
    <w:p>
      <w:pPr>
        <w:widowControl/>
        <w:spacing w:line="350" w:lineRule="exact"/>
        <w:ind w:firstLine="421"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
          <w:bCs/>
          <w:szCs w:val="21"/>
        </w:rPr>
        <w:t>2.数据采集</w:t>
      </w:r>
    </w:p>
    <w:p>
      <w:pPr>
        <w:widowControl/>
        <w:spacing w:line="35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Cs/>
          <w:szCs w:val="21"/>
        </w:rPr>
        <w:t>（1）调查单位统一采取联网报送方式，严格按照本制度规定的各表上报时间独立自行在</w:t>
      </w:r>
      <w:r>
        <w:rPr>
          <w:rFonts w:hint="eastAsia" w:asciiTheme="minorEastAsia" w:hAnsiTheme="minorEastAsia" w:eastAsiaTheme="minorEastAsia" w:cstheme="minorEastAsia"/>
          <w:bCs/>
          <w:szCs w:val="21"/>
          <w:lang w:eastAsia="zh-CN"/>
        </w:rPr>
        <w:t>国家统计云联网直报系统</w:t>
      </w:r>
      <w:r>
        <w:rPr>
          <w:rFonts w:hint="eastAsia" w:asciiTheme="minorEastAsia" w:hAnsiTheme="minorEastAsia" w:eastAsiaTheme="minorEastAsia" w:cstheme="minorEastAsia"/>
          <w:bCs/>
          <w:szCs w:val="21"/>
        </w:rPr>
        <w:t>（https://tjy.stats.gov.cn/platform/page.html#/pc/internetLogin）报送定报数据。</w:t>
      </w:r>
      <w:r>
        <w:rPr>
          <w:rFonts w:hint="eastAsia" w:asciiTheme="minorEastAsia" w:hAnsiTheme="minorEastAsia" w:eastAsiaTheme="minorEastAsia" w:cstheme="minorEastAsia"/>
          <w:kern w:val="0"/>
          <w:szCs w:val="21"/>
        </w:rPr>
        <w:t>综</w:t>
      </w:r>
      <w:r>
        <w:rPr>
          <w:rFonts w:hint="eastAsia" w:asciiTheme="minorEastAsia" w:hAnsiTheme="minorEastAsia" w:eastAsiaTheme="minorEastAsia" w:cstheme="minorEastAsia"/>
          <w:bCs/>
          <w:szCs w:val="21"/>
        </w:rPr>
        <w:t>合年报表和综合定报表由相关单位通过电子邮件（</w:t>
      </w:r>
      <w:r>
        <w:rPr>
          <w:rFonts w:hint="eastAsia" w:asciiTheme="minorEastAsia" w:hAnsiTheme="minorEastAsia" w:eastAsiaTheme="minorEastAsia" w:cstheme="minorEastAsia"/>
          <w:szCs w:val="21"/>
        </w:rPr>
        <w:t>gzstjjnyc@gz.gov.cn</w:t>
      </w:r>
      <w:r>
        <w:rPr>
          <w:rFonts w:hint="eastAsia" w:asciiTheme="minorEastAsia" w:hAnsiTheme="minorEastAsia" w:eastAsiaTheme="minorEastAsia" w:cstheme="minorEastAsia"/>
          <w:bCs/>
          <w:szCs w:val="21"/>
        </w:rPr>
        <w:t>）方式报送，各表具体上报时间详见 “报表目录”。</w:t>
      </w:r>
    </w:p>
    <w:p>
      <w:pPr>
        <w:spacing w:line="35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各专业经审核通过的注销或吊销、停业（歇业）退出单位，国家统计局将在调查单位基本情况表（201-1表）中设置摘抄标识，由程序自动摘抄有关后续表当期累计数和上年同期数，摘抄期满后退出一套表调查单位库，单位无需重新申报。其中，工业、批发和零售业、住宿和餐饮业、服务业单位在次年年报时停止摘抄数据并退库，建筑业、房地产开发经营业、其他有5000万元及以上在建项目法人单位在次年2月定报时停止摘抄数据并退库。如停业（歇业）退出单位在退出一套表调查单位库前恢复正常运营，需按要求重新申报。经审核通过的注销或吊销退出单位不再属于一套表调查单位，停业（歇业）退出单位摘抄期满后不再属于一套表调查单位。</w:t>
      </w:r>
    </w:p>
    <w:p>
      <w:pPr>
        <w:spacing w:line="35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（3）找不到人的调查单位，由直管统计机构在调查单位数据上报截止日期之后，及时摸清具体原因，在</w:t>
      </w:r>
      <w:r>
        <w:rPr>
          <w:rFonts w:hint="eastAsia" w:asciiTheme="minorEastAsia" w:hAnsiTheme="minorEastAsia" w:eastAsiaTheme="minorEastAsia" w:cstheme="minorEastAsia"/>
          <w:bCs/>
          <w:szCs w:val="21"/>
          <w:lang w:eastAsia="zh-CN"/>
        </w:rPr>
        <w:t>国家统计云联网直报系统</w:t>
      </w:r>
      <w:r>
        <w:rPr>
          <w:rFonts w:hint="eastAsia" w:asciiTheme="minorEastAsia" w:hAnsiTheme="minorEastAsia" w:eastAsiaTheme="minorEastAsia" w:cstheme="minorEastAsia"/>
          <w:bCs/>
          <w:szCs w:val="21"/>
        </w:rPr>
        <w:t>对这部分调查单位设置相应标识（当年关闭、当年破产、停业歇业、其他等），系统自动提取并复制上月（季）数据(年报按照一定规则自动提取同年1-12月定报数据)更新调查单位当前报告期“累计”类指标。</w:t>
      </w:r>
    </w:p>
    <w:p>
      <w:pPr>
        <w:snapToGrid w:val="0"/>
        <w:spacing w:line="35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Cs/>
          <w:szCs w:val="21"/>
        </w:rPr>
        <w:t>（4）“</w:t>
      </w:r>
      <w:r>
        <w:rPr>
          <w:rFonts w:hint="eastAsia" w:asciiTheme="minorEastAsia" w:hAnsiTheme="minorEastAsia" w:eastAsiaTheme="minorEastAsia" w:cstheme="minorEastAsia"/>
          <w:szCs w:val="21"/>
        </w:rPr>
        <w:t>能源平衡表（实物量）”（P303-1表）、“能源平衡表（标准量）”（P303-4表）、 “地区能源消费与单位地区生产总值能耗”（P406表）、分行业能源消费量目录（P303-2表、P303-3表、P303-5表）和“季度地区能源消费总量核算方案”中的“服务业</w:t>
      </w:r>
      <w:r>
        <w:rPr>
          <w:rFonts w:hint="eastAsia" w:asciiTheme="minorEastAsia" w:hAnsiTheme="minorEastAsia" w:eastAsiaTheme="minorEastAsia" w:cstheme="minorEastAsia"/>
          <w:szCs w:val="21"/>
          <w:vertAlign w:val="superscript"/>
        </w:rPr>
        <w:t>*</w:t>
      </w:r>
      <w:r>
        <w:rPr>
          <w:rFonts w:hint="eastAsia" w:asciiTheme="minorEastAsia" w:hAnsiTheme="minorEastAsia" w:eastAsiaTheme="minorEastAsia" w:cstheme="minorEastAsia"/>
          <w:szCs w:val="21"/>
        </w:rPr>
        <w:t>”是指《国民经济行业分类》（GB/T 4754-2017）目录中的门类F批发和零售业至T国际组织，不包括行业大类05农、林、牧、渔专业及辅助性活动、11开采专业及辅助性活动、43金属制品、机械和设备修理业。</w:t>
      </w:r>
    </w:p>
    <w:p>
      <w:pPr>
        <w:widowControl/>
        <w:spacing w:line="35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（5）本制度报表中所有时期指标数据原则上按月（季、年）度日历天数统计上报，时点指标按月（季、年）末最后一天统计上报。</w:t>
      </w:r>
    </w:p>
    <w:p>
      <w:pPr>
        <w:spacing w:line="35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6）本制度按报告期别分为年报制度和定报制度。各项报表的报送时间、收表机关及报送方式按布置本报表制度的统计部门的规定执行。各单位必须按统计法和本制度有关规定，真实、准确、完整、及时地提供统计调查所需的资料，不得提供不真实或者不完整的统计资料，不得迟报、拒报统计资料，不得“打捆”和重复报送统计数据。</w:t>
      </w:r>
    </w:p>
    <w:p>
      <w:pPr>
        <w:snapToGrid w:val="0"/>
        <w:spacing w:line="35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Cs/>
          <w:szCs w:val="21"/>
        </w:rPr>
        <w:t>（7）基层年报表和基层定报表由法人单位</w:t>
      </w:r>
      <w:r>
        <w:rPr>
          <w:rFonts w:hint="eastAsia" w:asciiTheme="minorEastAsia" w:hAnsiTheme="minorEastAsia" w:eastAsiaTheme="minorEastAsia" w:cstheme="minorEastAsia"/>
          <w:bCs/>
          <w:szCs w:val="21"/>
          <w:lang w:eastAsia="zh-CN"/>
        </w:rPr>
        <w:t>和规模以上工业个体经营户</w:t>
      </w:r>
      <w:r>
        <w:rPr>
          <w:rFonts w:hint="eastAsia" w:asciiTheme="minorEastAsia" w:hAnsiTheme="minorEastAsia" w:eastAsiaTheme="minorEastAsia" w:cstheme="minorEastAsia"/>
          <w:bCs/>
          <w:szCs w:val="21"/>
        </w:rPr>
        <w:t>网上报送数据。</w:t>
      </w:r>
      <w:r>
        <w:rPr>
          <w:rFonts w:hint="eastAsia" w:asciiTheme="minorEastAsia" w:hAnsiTheme="minorEastAsia" w:eastAsiaTheme="minorEastAsia" w:cstheme="minorEastAsia"/>
          <w:szCs w:val="21"/>
        </w:rPr>
        <w:t>视同法人单位与法人单位履行相同的统计义务，填报法人单位调查表。</w:t>
      </w:r>
    </w:p>
    <w:p>
      <w:pPr>
        <w:spacing w:line="350" w:lineRule="exact"/>
        <w:ind w:firstLine="421"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3.报表管理</w:t>
      </w:r>
    </w:p>
    <w:p>
      <w:pPr>
        <w:widowControl/>
        <w:spacing w:line="35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按照《中华人民共和国统计法》的要求，为保障源头数据质量，做到数出有据，国家机关、企业事业单位和其他组织等统计调查对象，应当按照国家有关规定设置原始记录、统计台账，推动统计台账电子化、数字化、标准化，建立健全统计资料的审核、签署、报送、归档等管理制度。</w:t>
      </w:r>
    </w:p>
    <w:p>
      <w:pPr>
        <w:widowControl/>
        <w:spacing w:line="35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（2）定期报表保存期为3年，年报表保存期为长期。</w:t>
      </w:r>
    </w:p>
    <w:p>
      <w:pPr>
        <w:spacing w:line="350" w:lineRule="exact"/>
        <w:ind w:firstLine="421"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（六）报表制度的组织实施方式</w:t>
      </w:r>
    </w:p>
    <w:p>
      <w:pPr>
        <w:spacing w:line="35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广州市能源统计报表制度由市、区、镇（街）统计部门共同管理，组织实施。工作职责：</w:t>
      </w:r>
    </w:p>
    <w:p>
      <w:pPr>
        <w:pStyle w:val="7"/>
        <w:spacing w:line="350" w:lineRule="exact"/>
        <w:ind w:firstLine="422"/>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（1）广州市统计局能源统计处</w:t>
      </w:r>
    </w:p>
    <w:p>
      <w:pPr>
        <w:pStyle w:val="7"/>
        <w:spacing w:line="35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①负责对各区统计机构进行能源统计报表制度的布置及报表、程序的培训。</w:t>
      </w:r>
    </w:p>
    <w:p>
      <w:pPr>
        <w:pStyle w:val="7"/>
        <w:spacing w:line="35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②对区统计局开展的统计年报会审工作进行巡查，并组织区统计局进行统计年报的会审。</w:t>
      </w:r>
    </w:p>
    <w:p>
      <w:pPr>
        <w:pStyle w:val="7"/>
        <w:spacing w:line="35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③定期对各区统计机构审核后的统计数据进行评估。</w:t>
      </w:r>
    </w:p>
    <w:p>
      <w:pPr>
        <w:pStyle w:val="7"/>
        <w:spacing w:line="35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④负责制定汇总表式和审核公式，审核全市年定报数据。</w:t>
      </w:r>
    </w:p>
    <w:p>
      <w:pPr>
        <w:pStyle w:val="7"/>
        <w:spacing w:line="35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⑤定期向各区统计机构反馈相关在地统计资料。</w:t>
      </w:r>
    </w:p>
    <w:p>
      <w:pPr>
        <w:pStyle w:val="7"/>
        <w:spacing w:line="35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⑥指导各区统计机构完成有关能源统计调查任务。</w:t>
      </w:r>
    </w:p>
    <w:p>
      <w:pPr>
        <w:pStyle w:val="7"/>
        <w:spacing w:line="350" w:lineRule="exact"/>
        <w:ind w:firstLine="422"/>
        <w:rPr>
          <w:rFonts w:asciiTheme="minorEastAsia" w:hAnsiTheme="minorEastAsia" w:eastAsiaTheme="minorEastAsia" w:cstheme="minorEastAsia"/>
          <w:b/>
          <w:bCs/>
          <w:szCs w:val="21"/>
        </w:rPr>
      </w:pPr>
      <w:r>
        <w:rPr>
          <w:rFonts w:hint="eastAsia" w:asciiTheme="minorEastAsia" w:hAnsiTheme="minorEastAsia" w:eastAsiaTheme="minorEastAsia" w:cstheme="minorEastAsia"/>
          <w:b/>
          <w:szCs w:val="21"/>
        </w:rPr>
        <w:t>（2）</w:t>
      </w:r>
      <w:r>
        <w:rPr>
          <w:rFonts w:hint="eastAsia" w:asciiTheme="minorEastAsia" w:hAnsiTheme="minorEastAsia" w:eastAsiaTheme="minorEastAsia" w:cstheme="minorEastAsia"/>
          <w:b/>
          <w:bCs/>
          <w:szCs w:val="21"/>
        </w:rPr>
        <w:t>各区统计机构能源专业</w:t>
      </w:r>
    </w:p>
    <w:p>
      <w:pPr>
        <w:pStyle w:val="7"/>
        <w:spacing w:line="350" w:lineRule="exact"/>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①根据本辖区实际情况制定本辖区填报单位上报统计报表的方式和时间。</w:t>
      </w:r>
    </w:p>
    <w:p>
      <w:pPr>
        <w:pStyle w:val="7"/>
        <w:spacing w:line="35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②负责对本辖区内各镇（街）和能源生产消费活动的法人单位进行统计报表制度的布置和报表、程序的培训。</w:t>
      </w:r>
    </w:p>
    <w:p>
      <w:pPr>
        <w:pStyle w:val="7"/>
        <w:spacing w:line="35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③负责本辖区内能源统计报表的收集、审核、汇总和存档备查工作，并督促企业做好统计</w:t>
      </w:r>
      <w:r>
        <w:rPr>
          <w:rFonts w:hint="eastAsia" w:asciiTheme="minorEastAsia" w:hAnsiTheme="minorEastAsia" w:eastAsiaTheme="minorEastAsia" w:cstheme="minorEastAsia"/>
          <w:szCs w:val="21"/>
          <w:lang w:eastAsia="zh-CN"/>
        </w:rPr>
        <w:t>台账</w:t>
      </w:r>
      <w:r>
        <w:rPr>
          <w:rFonts w:hint="eastAsia" w:asciiTheme="minorEastAsia" w:hAnsiTheme="minorEastAsia" w:eastAsiaTheme="minorEastAsia" w:cstheme="minorEastAsia"/>
          <w:szCs w:val="21"/>
        </w:rPr>
        <w:t>。其中审核工作包括组织调查对象开展统计年报的会审，会审必备资料包括：统计年报、年内进度统计台账、有关财务资料等。会审具体安排报市局能源处。</w:t>
      </w:r>
    </w:p>
    <w:p>
      <w:pPr>
        <w:pStyle w:val="7"/>
        <w:spacing w:line="35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④根据市局制定汇总表式和审核公式，审核本区年定报数据。</w:t>
      </w:r>
    </w:p>
    <w:p>
      <w:pPr>
        <w:pStyle w:val="7"/>
        <w:spacing w:line="35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⑤负责对下属镇（街）或能源生产消费活动的法人单位的统计数据进行统计数据质量的评估。</w:t>
      </w:r>
    </w:p>
    <w:p>
      <w:pPr>
        <w:pStyle w:val="7"/>
        <w:spacing w:line="35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⑥协助完成不定期的有关统计调查任务。</w:t>
      </w:r>
    </w:p>
    <w:p>
      <w:pPr>
        <w:pStyle w:val="7"/>
        <w:spacing w:line="35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⑦定期报表上报市统计局后1周内随时待查。</w:t>
      </w:r>
    </w:p>
    <w:p>
      <w:pPr>
        <w:spacing w:line="350" w:lineRule="exact"/>
        <w:ind w:firstLine="421" w:firstLineChars="200"/>
        <w:rPr>
          <w:rFonts w:asciiTheme="majorEastAsia" w:hAnsiTheme="majorEastAsia" w:eastAsiaTheme="majorEastAsia" w:cstheme="majorEastAsia"/>
          <w:b/>
          <w:bCs/>
          <w:szCs w:val="21"/>
        </w:rPr>
      </w:pPr>
      <w:r>
        <w:rPr>
          <w:rFonts w:hint="eastAsia" w:asciiTheme="minorEastAsia" w:hAnsiTheme="minorEastAsia" w:eastAsiaTheme="minorEastAsia" w:cstheme="minorEastAsia"/>
          <w:b/>
          <w:bCs/>
          <w:szCs w:val="21"/>
        </w:rPr>
        <w:t>（七）联系方式</w:t>
      </w:r>
    </w:p>
    <w:tbl>
      <w:tblPr>
        <w:tblStyle w:val="21"/>
        <w:tblW w:w="9356" w:type="dxa"/>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239"/>
        <w:gridCol w:w="3982"/>
        <w:gridCol w:w="1017"/>
        <w:gridCol w:w="1134"/>
        <w:gridCol w:w="1984"/>
      </w:tblGrid>
      <w:tr>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623" w:hRule="atLeast"/>
          <w:jc w:val="center"/>
        </w:trPr>
        <w:tc>
          <w:tcPr>
            <w:tcW w:w="1239" w:type="dxa"/>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    位</w:t>
            </w:r>
          </w:p>
        </w:tc>
        <w:tc>
          <w:tcPr>
            <w:tcW w:w="3982" w:type="dxa"/>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地址</w:t>
            </w:r>
          </w:p>
        </w:tc>
        <w:tc>
          <w:tcPr>
            <w:tcW w:w="1017" w:type="dxa"/>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邮编</w:t>
            </w:r>
          </w:p>
        </w:tc>
        <w:tc>
          <w:tcPr>
            <w:tcW w:w="1134" w:type="dxa"/>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联系电话</w:t>
            </w:r>
          </w:p>
        </w:tc>
        <w:tc>
          <w:tcPr>
            <w:tcW w:w="1984" w:type="dxa"/>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电子邮箱</w:t>
            </w:r>
          </w:p>
        </w:tc>
      </w:tr>
      <w:tr>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574" w:hRule="atLeast"/>
          <w:jc w:val="center"/>
        </w:trPr>
        <w:tc>
          <w:tcPr>
            <w:tcW w:w="1239"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广州市统计局</w:t>
            </w:r>
          </w:p>
        </w:tc>
        <w:tc>
          <w:tcPr>
            <w:tcW w:w="3982" w:type="dxa"/>
            <w:noWrap/>
            <w:vAlign w:val="center"/>
          </w:tcPr>
          <w:p>
            <w:pP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广州市越秀区府前路1号市府大院1号楼</w:t>
            </w:r>
          </w:p>
        </w:tc>
        <w:tc>
          <w:tcPr>
            <w:tcW w:w="1017"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510030</w:t>
            </w:r>
          </w:p>
        </w:tc>
        <w:tc>
          <w:tcPr>
            <w:tcW w:w="1134" w:type="dxa"/>
            <w:noWrap/>
            <w:vAlign w:val="center"/>
          </w:tcPr>
          <w:p>
            <w:pPr>
              <w:jc w:val="center"/>
              <w:rPr>
                <w:rFonts w:hint="default"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rPr>
              <w:t>83126</w:t>
            </w:r>
            <w:r>
              <w:rPr>
                <w:rFonts w:hint="eastAsia" w:asciiTheme="minorEastAsia" w:hAnsiTheme="minorEastAsia" w:eastAsiaTheme="minorEastAsia" w:cstheme="minorEastAsia"/>
                <w:color w:val="auto"/>
                <w:sz w:val="18"/>
                <w:szCs w:val="18"/>
                <w:lang w:val="en-US" w:eastAsia="zh-CN"/>
              </w:rPr>
              <w:t>245</w:t>
            </w:r>
          </w:p>
          <w:p>
            <w:pPr>
              <w:jc w:val="center"/>
              <w:rPr>
                <w:rFonts w:hint="default"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rPr>
              <w:t>83126</w:t>
            </w:r>
            <w:r>
              <w:rPr>
                <w:rFonts w:hint="eastAsia" w:asciiTheme="minorEastAsia" w:hAnsiTheme="minorEastAsia" w:eastAsiaTheme="minorEastAsia" w:cstheme="minorEastAsia"/>
                <w:color w:val="auto"/>
                <w:sz w:val="18"/>
                <w:szCs w:val="18"/>
                <w:lang w:val="en-US" w:eastAsia="zh-CN"/>
              </w:rPr>
              <w:t>253</w:t>
            </w:r>
          </w:p>
        </w:tc>
        <w:tc>
          <w:tcPr>
            <w:tcW w:w="1984" w:type="dxa"/>
            <w:noWrap/>
            <w:vAlign w:val="center"/>
          </w:tcPr>
          <w:p>
            <w:pPr>
              <w:jc w:val="left"/>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gzstjjnyc@gz.gov.cn</w:t>
            </w:r>
          </w:p>
        </w:tc>
      </w:tr>
      <w:tr>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0" w:hRule="atLeast"/>
          <w:jc w:val="center"/>
        </w:trPr>
        <w:tc>
          <w:tcPr>
            <w:tcW w:w="1239"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荔湾区统计局</w:t>
            </w:r>
          </w:p>
        </w:tc>
        <w:tc>
          <w:tcPr>
            <w:tcW w:w="3982" w:type="dxa"/>
            <w:noWrap/>
            <w:vAlign w:val="center"/>
          </w:tcPr>
          <w:p>
            <w:pP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广州市荔湾区逢源路129号815房</w:t>
            </w:r>
          </w:p>
        </w:tc>
        <w:tc>
          <w:tcPr>
            <w:tcW w:w="1017"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510145</w:t>
            </w:r>
          </w:p>
        </w:tc>
        <w:tc>
          <w:tcPr>
            <w:tcW w:w="1134" w:type="dxa"/>
            <w:noWrap/>
            <w:vAlign w:val="center"/>
          </w:tcPr>
          <w:p>
            <w:pPr>
              <w:widowControl/>
              <w:adjustRightInd w:val="0"/>
              <w:snapToGrid w:val="0"/>
              <w:jc w:val="center"/>
              <w:textAlignment w:val="center"/>
              <w:rPr>
                <w:rFonts w:hint="default"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kern w:val="0"/>
                <w:sz w:val="18"/>
                <w:szCs w:val="18"/>
              </w:rPr>
              <w:t>81</w:t>
            </w:r>
            <w:r>
              <w:rPr>
                <w:rFonts w:hint="eastAsia" w:asciiTheme="minorEastAsia" w:hAnsiTheme="minorEastAsia" w:eastAsiaTheme="minorEastAsia" w:cstheme="minorEastAsia"/>
                <w:color w:val="auto"/>
                <w:kern w:val="0"/>
                <w:sz w:val="18"/>
                <w:szCs w:val="18"/>
                <w:lang w:val="en-US" w:eastAsia="zh-CN"/>
              </w:rPr>
              <w:t>900789</w:t>
            </w:r>
          </w:p>
        </w:tc>
        <w:tc>
          <w:tcPr>
            <w:tcW w:w="1984" w:type="dxa"/>
            <w:noWrap/>
            <w:vAlign w:val="center"/>
          </w:tcPr>
          <w:p>
            <w:pPr>
              <w:jc w:val="left"/>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530589220@qq.com</w:t>
            </w:r>
          </w:p>
        </w:tc>
      </w:tr>
      <w:tr>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0" w:hRule="atLeast"/>
          <w:jc w:val="center"/>
        </w:trPr>
        <w:tc>
          <w:tcPr>
            <w:tcW w:w="1239"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越秀区统计局</w:t>
            </w:r>
          </w:p>
        </w:tc>
        <w:tc>
          <w:tcPr>
            <w:tcW w:w="3982" w:type="dxa"/>
            <w:noWrap/>
            <w:vAlign w:val="center"/>
          </w:tcPr>
          <w:p>
            <w:pP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广州市越秀区惠福东路486号5楼</w:t>
            </w:r>
          </w:p>
        </w:tc>
        <w:tc>
          <w:tcPr>
            <w:tcW w:w="1017"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510115</w:t>
            </w:r>
          </w:p>
        </w:tc>
        <w:tc>
          <w:tcPr>
            <w:tcW w:w="1134"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83199849</w:t>
            </w:r>
          </w:p>
        </w:tc>
        <w:tc>
          <w:tcPr>
            <w:tcW w:w="1984" w:type="dxa"/>
            <w:noWrap/>
            <w:vAlign w:val="center"/>
          </w:tcPr>
          <w:p>
            <w:pPr>
              <w:jc w:val="left"/>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361592909@qq.com</w:t>
            </w:r>
          </w:p>
        </w:tc>
      </w:tr>
      <w:tr>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0" w:hRule="atLeast"/>
          <w:jc w:val="center"/>
        </w:trPr>
        <w:tc>
          <w:tcPr>
            <w:tcW w:w="1239"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海珠区统计局</w:t>
            </w:r>
          </w:p>
        </w:tc>
        <w:tc>
          <w:tcPr>
            <w:tcW w:w="3982" w:type="dxa"/>
            <w:noWrap/>
            <w:vAlign w:val="center"/>
          </w:tcPr>
          <w:p>
            <w:pP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广州市海珠区泰沙路555号804室</w:t>
            </w:r>
          </w:p>
        </w:tc>
        <w:tc>
          <w:tcPr>
            <w:tcW w:w="1017"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510220</w:t>
            </w:r>
          </w:p>
        </w:tc>
        <w:tc>
          <w:tcPr>
            <w:tcW w:w="1134"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84397141</w:t>
            </w:r>
          </w:p>
        </w:tc>
        <w:tc>
          <w:tcPr>
            <w:tcW w:w="1984" w:type="dxa"/>
            <w:noWrap/>
            <w:vAlign w:val="center"/>
          </w:tcPr>
          <w:p>
            <w:pPr>
              <w:jc w:val="left"/>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hztjj@gz.gov.cn</w:t>
            </w:r>
          </w:p>
        </w:tc>
      </w:tr>
      <w:tr>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0" w:hRule="atLeast"/>
          <w:jc w:val="center"/>
        </w:trPr>
        <w:tc>
          <w:tcPr>
            <w:tcW w:w="1239"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天河区统计局</w:t>
            </w:r>
          </w:p>
        </w:tc>
        <w:tc>
          <w:tcPr>
            <w:tcW w:w="3982" w:type="dxa"/>
            <w:noWrap/>
            <w:vAlign w:val="center"/>
          </w:tcPr>
          <w:p>
            <w:pP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广州市天河区天府路1号区府大院2号楼1112室</w:t>
            </w:r>
          </w:p>
        </w:tc>
        <w:tc>
          <w:tcPr>
            <w:tcW w:w="1017"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510655</w:t>
            </w:r>
          </w:p>
        </w:tc>
        <w:tc>
          <w:tcPr>
            <w:tcW w:w="1134"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38622716</w:t>
            </w:r>
          </w:p>
        </w:tc>
        <w:tc>
          <w:tcPr>
            <w:tcW w:w="1984" w:type="dxa"/>
            <w:noWrap/>
            <w:vAlign w:val="center"/>
          </w:tcPr>
          <w:p>
            <w:pPr>
              <w:jc w:val="left"/>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yewenj@thnet.gov.cn</w:t>
            </w:r>
          </w:p>
        </w:tc>
      </w:tr>
      <w:tr>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0" w:hRule="atLeast"/>
          <w:jc w:val="center"/>
        </w:trPr>
        <w:tc>
          <w:tcPr>
            <w:tcW w:w="1239"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白云区统计局</w:t>
            </w:r>
          </w:p>
        </w:tc>
        <w:tc>
          <w:tcPr>
            <w:tcW w:w="3982" w:type="dxa"/>
            <w:noWrap/>
            <w:vAlign w:val="center"/>
          </w:tcPr>
          <w:p>
            <w:pP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广州市白云区河田西路68号6楼</w:t>
            </w:r>
          </w:p>
        </w:tc>
        <w:tc>
          <w:tcPr>
            <w:tcW w:w="1017"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510405</w:t>
            </w:r>
          </w:p>
        </w:tc>
        <w:tc>
          <w:tcPr>
            <w:tcW w:w="1134"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36255800</w:t>
            </w:r>
          </w:p>
        </w:tc>
        <w:tc>
          <w:tcPr>
            <w:tcW w:w="1984" w:type="dxa"/>
            <w:noWrap/>
            <w:vAlign w:val="center"/>
          </w:tcPr>
          <w:p>
            <w:pPr>
              <w:jc w:val="left"/>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tjjcytjk@by.gov.cn</w:t>
            </w:r>
          </w:p>
        </w:tc>
      </w:tr>
      <w:tr>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0" w:hRule="atLeast"/>
          <w:jc w:val="center"/>
        </w:trPr>
        <w:tc>
          <w:tcPr>
            <w:tcW w:w="1239"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黄埔区统计局</w:t>
            </w:r>
          </w:p>
        </w:tc>
        <w:tc>
          <w:tcPr>
            <w:tcW w:w="3982" w:type="dxa"/>
            <w:noWrap/>
            <w:vAlign w:val="center"/>
          </w:tcPr>
          <w:p>
            <w:pP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广州市黄埔区水西路12号凯达楼B603</w:t>
            </w:r>
          </w:p>
        </w:tc>
        <w:tc>
          <w:tcPr>
            <w:tcW w:w="1017"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510730</w:t>
            </w:r>
          </w:p>
        </w:tc>
        <w:tc>
          <w:tcPr>
            <w:tcW w:w="1134"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32217674</w:t>
            </w:r>
          </w:p>
        </w:tc>
        <w:tc>
          <w:tcPr>
            <w:tcW w:w="1984" w:type="dxa"/>
            <w:noWrap/>
            <w:vAlign w:val="center"/>
          </w:tcPr>
          <w:p>
            <w:pPr>
              <w:jc w:val="left"/>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hpqtjjgy@gdd.gov.cn</w:t>
            </w:r>
          </w:p>
        </w:tc>
      </w:tr>
      <w:tr>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0" w:hRule="atLeast"/>
          <w:jc w:val="center"/>
        </w:trPr>
        <w:tc>
          <w:tcPr>
            <w:tcW w:w="1239"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番禺区统计局</w:t>
            </w:r>
          </w:p>
        </w:tc>
        <w:tc>
          <w:tcPr>
            <w:tcW w:w="3982" w:type="dxa"/>
            <w:noWrap/>
            <w:vAlign w:val="center"/>
          </w:tcPr>
          <w:p>
            <w:pP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广州市番禺区市桥街清河东路319号区政府大院西副楼5楼</w:t>
            </w:r>
          </w:p>
        </w:tc>
        <w:tc>
          <w:tcPr>
            <w:tcW w:w="1017"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511400</w:t>
            </w:r>
          </w:p>
        </w:tc>
        <w:tc>
          <w:tcPr>
            <w:tcW w:w="1134"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84618890</w:t>
            </w:r>
          </w:p>
        </w:tc>
        <w:tc>
          <w:tcPr>
            <w:tcW w:w="1984" w:type="dxa"/>
            <w:noWrap/>
            <w:vAlign w:val="center"/>
          </w:tcPr>
          <w:p>
            <w:pPr>
              <w:jc w:val="left"/>
              <w:rPr>
                <w:rFonts w:asciiTheme="minorEastAsia" w:hAnsiTheme="minorEastAsia" w:eastAsiaTheme="minorEastAsia" w:cstheme="minorEastAsia"/>
                <w:color w:val="auto"/>
                <w:sz w:val="18"/>
                <w:szCs w:val="18"/>
              </w:rPr>
            </w:pPr>
            <w:r>
              <w:rPr>
                <w:rFonts w:hint="default" w:asciiTheme="minorEastAsia" w:hAnsiTheme="minorEastAsia" w:eastAsiaTheme="minorEastAsia" w:cstheme="minorEastAsia"/>
                <w:color w:val="auto"/>
                <w:sz w:val="18"/>
                <w:szCs w:val="18"/>
                <w:lang w:val="en"/>
              </w:rPr>
              <w:t>tjjzyk</w:t>
            </w:r>
            <w:r>
              <w:rPr>
                <w:rFonts w:hint="eastAsia" w:asciiTheme="minorEastAsia" w:hAnsiTheme="minorEastAsia" w:eastAsiaTheme="minorEastAsia" w:cstheme="minorEastAsia"/>
                <w:color w:val="auto"/>
                <w:sz w:val="18"/>
                <w:szCs w:val="18"/>
              </w:rPr>
              <w:t>@</w:t>
            </w:r>
            <w:r>
              <w:rPr>
                <w:rFonts w:hint="default" w:asciiTheme="minorEastAsia" w:hAnsiTheme="minorEastAsia" w:eastAsiaTheme="minorEastAsia" w:cstheme="minorEastAsia"/>
                <w:color w:val="auto"/>
                <w:sz w:val="18"/>
                <w:szCs w:val="18"/>
                <w:lang w:val="en"/>
              </w:rPr>
              <w:t>gz</w:t>
            </w:r>
            <w:r>
              <w:rPr>
                <w:rFonts w:hint="eastAsia" w:asciiTheme="minorEastAsia" w:hAnsiTheme="minorEastAsia" w:eastAsiaTheme="minorEastAsia" w:cstheme="minorEastAsia"/>
                <w:color w:val="auto"/>
                <w:sz w:val="18"/>
                <w:szCs w:val="18"/>
              </w:rPr>
              <w:t>.gov.cn</w:t>
            </w:r>
          </w:p>
        </w:tc>
      </w:tr>
      <w:tr>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0" w:hRule="atLeast"/>
          <w:jc w:val="center"/>
        </w:trPr>
        <w:tc>
          <w:tcPr>
            <w:tcW w:w="1239"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花都区统计局</w:t>
            </w:r>
          </w:p>
        </w:tc>
        <w:tc>
          <w:tcPr>
            <w:tcW w:w="3982" w:type="dxa"/>
            <w:noWrap/>
            <w:vAlign w:val="center"/>
          </w:tcPr>
          <w:p>
            <w:pP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广州市花都区新华街松园大道13号 </w:t>
            </w:r>
          </w:p>
        </w:tc>
        <w:tc>
          <w:tcPr>
            <w:tcW w:w="1017"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510800</w:t>
            </w:r>
          </w:p>
        </w:tc>
        <w:tc>
          <w:tcPr>
            <w:tcW w:w="1134" w:type="dxa"/>
            <w:noWrap/>
            <w:vAlign w:val="center"/>
          </w:tcPr>
          <w:p>
            <w:pPr>
              <w:jc w:val="center"/>
              <w:rPr>
                <w:rFonts w:hint="default" w:asciiTheme="minorEastAsia" w:hAnsiTheme="minorEastAsia" w:eastAsiaTheme="minorEastAsia" w:cstheme="minorEastAsia"/>
                <w:color w:val="auto"/>
                <w:sz w:val="18"/>
                <w:szCs w:val="18"/>
                <w:lang w:val="en"/>
              </w:rPr>
            </w:pPr>
            <w:r>
              <w:rPr>
                <w:rFonts w:hint="eastAsia" w:asciiTheme="minorEastAsia" w:hAnsiTheme="minorEastAsia" w:eastAsiaTheme="minorEastAsia" w:cstheme="minorEastAsia"/>
                <w:color w:val="auto"/>
                <w:sz w:val="18"/>
                <w:szCs w:val="18"/>
              </w:rPr>
              <w:t>3689</w:t>
            </w:r>
            <w:r>
              <w:rPr>
                <w:rFonts w:hint="default" w:asciiTheme="minorEastAsia" w:hAnsiTheme="minorEastAsia" w:eastAsiaTheme="minorEastAsia" w:cstheme="minorEastAsia"/>
                <w:color w:val="auto"/>
                <w:sz w:val="18"/>
                <w:szCs w:val="18"/>
                <w:lang w:val="en"/>
              </w:rPr>
              <w:t>9152</w:t>
            </w:r>
          </w:p>
        </w:tc>
        <w:tc>
          <w:tcPr>
            <w:tcW w:w="1984" w:type="dxa"/>
            <w:noWrap/>
            <w:vAlign w:val="center"/>
          </w:tcPr>
          <w:p>
            <w:pPr>
              <w:jc w:val="left"/>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gmk120@126.com</w:t>
            </w:r>
          </w:p>
        </w:tc>
      </w:tr>
      <w:tr>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0" w:hRule="atLeast"/>
          <w:jc w:val="center"/>
        </w:trPr>
        <w:tc>
          <w:tcPr>
            <w:tcW w:w="1239"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南沙区统计局</w:t>
            </w:r>
          </w:p>
        </w:tc>
        <w:tc>
          <w:tcPr>
            <w:tcW w:w="3982" w:type="dxa"/>
            <w:noWrap/>
            <w:vAlign w:val="center"/>
          </w:tcPr>
          <w:p>
            <w:pPr>
              <w:rPr>
                <w:rFonts w:hint="default"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rPr>
              <w:t>广州市南沙区凤凰大道1号</w:t>
            </w:r>
            <w:r>
              <w:rPr>
                <w:rFonts w:hint="eastAsia" w:asciiTheme="minorEastAsia" w:hAnsiTheme="minorEastAsia" w:eastAsiaTheme="minorEastAsia" w:cstheme="minorEastAsia"/>
                <w:color w:val="auto"/>
                <w:sz w:val="18"/>
                <w:szCs w:val="18"/>
                <w:lang w:val="en-US" w:eastAsia="zh-CN"/>
              </w:rPr>
              <w:t>E栋5楼</w:t>
            </w:r>
          </w:p>
        </w:tc>
        <w:tc>
          <w:tcPr>
            <w:tcW w:w="1017"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511455</w:t>
            </w:r>
          </w:p>
        </w:tc>
        <w:tc>
          <w:tcPr>
            <w:tcW w:w="1134" w:type="dxa"/>
            <w:noWrap/>
            <w:vAlign w:val="center"/>
          </w:tcPr>
          <w:p>
            <w:pPr>
              <w:jc w:val="center"/>
              <w:rPr>
                <w:rFonts w:hint="default"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rPr>
              <w:t>390</w:t>
            </w:r>
            <w:r>
              <w:rPr>
                <w:rFonts w:hint="eastAsia" w:asciiTheme="minorEastAsia" w:hAnsiTheme="minorEastAsia" w:eastAsiaTheme="minorEastAsia" w:cstheme="minorEastAsia"/>
                <w:color w:val="auto"/>
                <w:sz w:val="18"/>
                <w:szCs w:val="18"/>
                <w:lang w:val="en-US" w:eastAsia="zh-CN"/>
              </w:rPr>
              <w:t>78582</w:t>
            </w:r>
          </w:p>
        </w:tc>
        <w:tc>
          <w:tcPr>
            <w:tcW w:w="1984" w:type="dxa"/>
            <w:noWrap/>
            <w:vAlign w:val="center"/>
          </w:tcPr>
          <w:p>
            <w:pPr>
              <w:jc w:val="left"/>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nsqtjjgy@gz.gov.cn</w:t>
            </w:r>
          </w:p>
        </w:tc>
      </w:tr>
      <w:tr>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0" w:hRule="atLeast"/>
          <w:jc w:val="center"/>
        </w:trPr>
        <w:tc>
          <w:tcPr>
            <w:tcW w:w="1239"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从化区统计局</w:t>
            </w:r>
          </w:p>
        </w:tc>
        <w:tc>
          <w:tcPr>
            <w:tcW w:w="3982" w:type="dxa"/>
            <w:noWrap/>
            <w:vAlign w:val="center"/>
          </w:tcPr>
          <w:p>
            <w:pPr>
              <w:rPr>
                <w:rFonts w:hint="default"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rPr>
              <w:t>广州市从化区街口街河滨北路128号</w:t>
            </w:r>
            <w:r>
              <w:rPr>
                <w:rFonts w:hint="eastAsia" w:asciiTheme="minorEastAsia" w:hAnsiTheme="minorEastAsia" w:eastAsiaTheme="minorEastAsia" w:cstheme="minorEastAsia"/>
                <w:color w:val="auto"/>
                <w:sz w:val="18"/>
                <w:szCs w:val="18"/>
                <w:lang w:eastAsia="zh-CN"/>
              </w:rPr>
              <w:t>办证大厅</w:t>
            </w:r>
            <w:r>
              <w:rPr>
                <w:rFonts w:hint="eastAsia" w:asciiTheme="minorEastAsia" w:hAnsiTheme="minorEastAsia" w:eastAsiaTheme="minorEastAsia" w:cstheme="minorEastAsia"/>
                <w:color w:val="auto"/>
                <w:sz w:val="18"/>
                <w:szCs w:val="18"/>
                <w:lang w:val="en-US" w:eastAsia="zh-CN"/>
              </w:rPr>
              <w:t>7楼</w:t>
            </w:r>
          </w:p>
        </w:tc>
        <w:tc>
          <w:tcPr>
            <w:tcW w:w="1017" w:type="dxa"/>
            <w:noWrap/>
            <w:vAlign w:val="center"/>
          </w:tcPr>
          <w:p>
            <w:pPr>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510900</w:t>
            </w:r>
          </w:p>
        </w:tc>
        <w:tc>
          <w:tcPr>
            <w:tcW w:w="1134" w:type="dxa"/>
            <w:noWrap/>
            <w:vAlign w:val="center"/>
          </w:tcPr>
          <w:p>
            <w:pPr>
              <w:jc w:val="center"/>
              <w:rPr>
                <w:rFonts w:hint="default" w:asciiTheme="minorEastAsia" w:hAnsiTheme="minorEastAsia" w:eastAsiaTheme="minorEastAsia" w:cstheme="minorEastAsia"/>
                <w:color w:val="auto"/>
                <w:sz w:val="18"/>
                <w:szCs w:val="18"/>
                <w:lang w:val="en"/>
              </w:rPr>
            </w:pPr>
            <w:r>
              <w:rPr>
                <w:rFonts w:hint="eastAsia" w:asciiTheme="minorEastAsia" w:hAnsiTheme="minorEastAsia" w:eastAsiaTheme="minorEastAsia" w:cstheme="minorEastAsia"/>
                <w:color w:val="auto"/>
                <w:sz w:val="18"/>
                <w:szCs w:val="18"/>
              </w:rPr>
              <w:t>879</w:t>
            </w:r>
            <w:r>
              <w:rPr>
                <w:rFonts w:hint="default" w:asciiTheme="minorEastAsia" w:hAnsiTheme="minorEastAsia" w:eastAsiaTheme="minorEastAsia" w:cstheme="minorEastAsia"/>
                <w:color w:val="auto"/>
                <w:sz w:val="18"/>
                <w:szCs w:val="18"/>
                <w:lang w:val="en"/>
              </w:rPr>
              <w:t>22902</w:t>
            </w:r>
          </w:p>
        </w:tc>
        <w:tc>
          <w:tcPr>
            <w:tcW w:w="1984" w:type="dxa"/>
            <w:noWrap/>
            <w:vAlign w:val="center"/>
          </w:tcPr>
          <w:p>
            <w:pPr>
              <w:jc w:val="left"/>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chqtjjgyk@gz.gov.cn</w:t>
            </w:r>
          </w:p>
        </w:tc>
      </w:tr>
      <w:tr>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623" w:hRule="atLeast"/>
          <w:jc w:val="center"/>
        </w:trPr>
        <w:tc>
          <w:tcPr>
            <w:tcW w:w="1239" w:type="dxa"/>
            <w:tcBorders>
              <w:bottom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增城区统计局</w:t>
            </w:r>
          </w:p>
        </w:tc>
        <w:tc>
          <w:tcPr>
            <w:tcW w:w="3982" w:type="dxa"/>
            <w:tcBorders>
              <w:bottom w:val="single" w:color="auto" w:sz="8" w:space="0"/>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广州市增城区荔城街惠民路1号新行政中心4号楼531室</w:t>
            </w:r>
          </w:p>
        </w:tc>
        <w:tc>
          <w:tcPr>
            <w:tcW w:w="1017" w:type="dxa"/>
            <w:tcBorders>
              <w:bottom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511300</w:t>
            </w:r>
          </w:p>
        </w:tc>
        <w:tc>
          <w:tcPr>
            <w:tcW w:w="1134" w:type="dxa"/>
            <w:tcBorders>
              <w:bottom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32859842</w:t>
            </w:r>
          </w:p>
        </w:tc>
        <w:tc>
          <w:tcPr>
            <w:tcW w:w="1984" w:type="dxa"/>
            <w:tcBorders>
              <w:bottom w:val="single" w:color="auto" w:sz="8" w:space="0"/>
            </w:tcBorders>
            <w:noWrap/>
            <w:vAlign w:val="center"/>
          </w:tcPr>
          <w:p>
            <w:pPr>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zctjjzyk@gz.gov.cn</w:t>
            </w:r>
          </w:p>
        </w:tc>
      </w:tr>
    </w:tbl>
    <w:p>
      <w:pPr>
        <w:jc w:val="center"/>
        <w:rPr>
          <w:rFonts w:asciiTheme="minorEastAsia" w:hAnsiTheme="minorEastAsia" w:eastAsiaTheme="minorEastAsia" w:cstheme="minorEastAsia"/>
          <w:b/>
          <w:sz w:val="18"/>
          <w:szCs w:val="18"/>
        </w:rPr>
      </w:pPr>
    </w:p>
    <w:p>
      <w:pPr>
        <w:keepNext w:val="0"/>
        <w:keepLines w:val="0"/>
        <w:pageBreakBefore w:val="0"/>
        <w:widowControl w:val="0"/>
        <w:kinsoku/>
        <w:wordWrap/>
        <w:overflowPunct/>
        <w:topLinePunct w:val="0"/>
        <w:autoSpaceDE/>
        <w:autoSpaceDN/>
        <w:bidi w:val="0"/>
        <w:adjustRightInd/>
        <w:snapToGrid w:val="0"/>
        <w:spacing w:line="360" w:lineRule="exact"/>
        <w:ind w:left="0" w:leftChars="0" w:firstLine="0" w:firstLineChars="0"/>
        <w:textAlignment w:val="auto"/>
        <w:rPr>
          <w:rFonts w:asciiTheme="minorEastAsia" w:hAnsiTheme="minorEastAsia" w:eastAsiaTheme="minorEastAsia" w:cstheme="minorEastAsia"/>
        </w:rPr>
      </w:pPr>
      <w:r>
        <w:rPr>
          <w:rFonts w:hint="eastAsia" w:asciiTheme="minorEastAsia" w:hAnsiTheme="minorEastAsia" w:eastAsiaTheme="minorEastAsia" w:cstheme="minorEastAsia"/>
        </w:rPr>
        <w:t>广州</w:t>
      </w:r>
      <w:r>
        <w:rPr>
          <w:rFonts w:hint="eastAsia" w:asciiTheme="minorEastAsia" w:hAnsiTheme="minorEastAsia" w:eastAsiaTheme="minorEastAsia" w:cstheme="minorEastAsia"/>
          <w:lang w:eastAsia="zh-CN"/>
        </w:rPr>
        <w:t>市</w:t>
      </w:r>
      <w:r>
        <w:rPr>
          <w:rFonts w:hint="eastAsia" w:asciiTheme="minorEastAsia" w:hAnsiTheme="minorEastAsia" w:eastAsiaTheme="minorEastAsia" w:cstheme="minorEastAsia"/>
        </w:rPr>
        <w:t>统计</w:t>
      </w:r>
      <w:r>
        <w:rPr>
          <w:rFonts w:hint="eastAsia" w:asciiTheme="minorEastAsia" w:hAnsiTheme="minorEastAsia" w:eastAsiaTheme="minorEastAsia" w:cstheme="minorEastAsia"/>
          <w:lang w:eastAsia="zh-CN"/>
        </w:rPr>
        <w:t>局</w:t>
      </w:r>
      <w:r>
        <w:rPr>
          <w:rFonts w:hint="eastAsia" w:asciiTheme="minorEastAsia" w:hAnsiTheme="minorEastAsia" w:eastAsiaTheme="minorEastAsia" w:cstheme="minorEastAsia"/>
        </w:rPr>
        <w:t>网</w:t>
      </w:r>
      <w:r>
        <w:rPr>
          <w:rFonts w:hint="eastAsia" w:asciiTheme="minorEastAsia" w:hAnsiTheme="minorEastAsia" w:eastAsiaTheme="minorEastAsia" w:cstheme="minorEastAsia"/>
          <w:lang w:eastAsia="zh-CN"/>
        </w:rPr>
        <w:t>址</w:t>
      </w:r>
      <w:r>
        <w:rPr>
          <w:rFonts w:hint="eastAsia" w:asciiTheme="minorEastAsia" w:hAnsiTheme="minorEastAsia" w:eastAsiaTheme="minorEastAsia" w:cstheme="minorEastAsia"/>
        </w:rPr>
        <w:t>：http://tjj.gz.gov.cn/</w:t>
      </w:r>
    </w:p>
    <w:p>
      <w:pPr>
        <w:keepNext w:val="0"/>
        <w:keepLines w:val="0"/>
        <w:pageBreakBefore w:val="0"/>
        <w:widowControl w:val="0"/>
        <w:kinsoku/>
        <w:wordWrap/>
        <w:overflowPunct/>
        <w:topLinePunct w:val="0"/>
        <w:autoSpaceDE/>
        <w:autoSpaceDN/>
        <w:bidi w:val="0"/>
        <w:adjustRightInd/>
        <w:snapToGrid w:val="0"/>
        <w:spacing w:line="360" w:lineRule="exact"/>
        <w:ind w:left="2940" w:leftChars="0" w:hanging="2940" w:hangingChars="1400"/>
        <w:textAlignment w:val="auto"/>
        <w:rPr>
          <w:rFonts w:ascii="宋体" w:hAnsi="宋体"/>
          <w:b/>
          <w:szCs w:val="21"/>
        </w:rPr>
      </w:pPr>
      <w:r>
        <w:rPr>
          <w:rFonts w:hint="eastAsia" w:asciiTheme="minorEastAsia" w:hAnsiTheme="minorEastAsia" w:eastAsiaTheme="minorEastAsia" w:cstheme="minorEastAsia"/>
          <w:bCs/>
          <w:szCs w:val="21"/>
          <w:lang w:eastAsia="zh-CN"/>
        </w:rPr>
        <w:t>国家统计云联网直报系统网址：</w:t>
      </w:r>
      <w:r>
        <w:rPr>
          <w:rFonts w:hint="eastAsia" w:asciiTheme="minorEastAsia" w:hAnsiTheme="minorEastAsia" w:eastAsiaTheme="minorEastAsia" w:cstheme="minorEastAsia"/>
          <w:b w:val="0"/>
          <w:bCs/>
          <w:szCs w:val="21"/>
        </w:rPr>
        <w:t>https://tjy.stats.gov.cn/platform/page.html#/pc/internetLogin</w:t>
      </w:r>
      <w:r>
        <w:rPr>
          <w:rFonts w:hint="eastAsia" w:asciiTheme="minorEastAsia" w:hAnsiTheme="minorEastAsia" w:eastAsiaTheme="minorEastAsia" w:cstheme="minorEastAsia"/>
          <w:b w:val="0"/>
          <w:bCs/>
          <w:szCs w:val="21"/>
          <w:lang w:eastAsia="zh-CN"/>
        </w:rPr>
        <w:t>（企业端）</w:t>
      </w:r>
      <w:r>
        <w:rPr>
          <w:rFonts w:ascii="宋体" w:hAnsi="宋体"/>
          <w:b/>
          <w:szCs w:val="21"/>
        </w:rPr>
        <w:br w:type="page"/>
      </w:r>
    </w:p>
    <w:p>
      <w:pPr>
        <w:numPr>
          <w:ilvl w:val="0"/>
          <w:numId w:val="2"/>
        </w:numPr>
        <w:spacing w:line="360" w:lineRule="auto"/>
        <w:jc w:val="center"/>
        <w:rPr>
          <w:rFonts w:ascii="黑体" w:hAnsi="黑体" w:eastAsia="黑体" w:cs="黑体"/>
          <w:b/>
          <w:bCs w:val="0"/>
          <w:sz w:val="32"/>
          <w:szCs w:val="32"/>
        </w:rPr>
      </w:pPr>
      <w:r>
        <w:rPr>
          <w:rFonts w:hint="eastAsia" w:ascii="黑体" w:hAnsi="黑体" w:eastAsia="黑体" w:cs="黑体"/>
          <w:b/>
          <w:bCs w:val="0"/>
          <w:sz w:val="32"/>
          <w:szCs w:val="32"/>
        </w:rPr>
        <w:t>报表目录</w:t>
      </w:r>
    </w:p>
    <w:tbl>
      <w:tblPr>
        <w:tblStyle w:val="21"/>
        <w:tblW w:w="965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052"/>
        <w:gridCol w:w="1232"/>
        <w:gridCol w:w="741"/>
        <w:gridCol w:w="1492"/>
        <w:gridCol w:w="1297"/>
        <w:gridCol w:w="1140"/>
        <w:gridCol w:w="1530"/>
        <w:gridCol w:w="117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1052" w:type="dxa"/>
            <w:tcBorders>
              <w:top w:val="single" w:color="auto" w:sz="8" w:space="0"/>
              <w:bottom w:val="nil"/>
            </w:tcBorders>
            <w:noWrap w:val="0"/>
            <w:vAlign w:val="center"/>
          </w:tcPr>
          <w:p>
            <w:pPr>
              <w:spacing w:line="220" w:lineRule="exact"/>
              <w:jc w:val="center"/>
              <w:rPr>
                <w:rFonts w:ascii="宋体" w:hAnsi="宋体"/>
                <w:sz w:val="18"/>
              </w:rPr>
            </w:pPr>
          </w:p>
        </w:tc>
        <w:tc>
          <w:tcPr>
            <w:tcW w:w="1232" w:type="dxa"/>
            <w:vMerge w:val="restart"/>
            <w:tcBorders>
              <w:top w:val="single" w:color="auto" w:sz="8" w:space="0"/>
            </w:tcBorders>
            <w:noWrap w:val="0"/>
            <w:vAlign w:val="center"/>
          </w:tcPr>
          <w:p>
            <w:pPr>
              <w:spacing w:line="220" w:lineRule="exact"/>
              <w:jc w:val="center"/>
              <w:rPr>
                <w:rFonts w:hint="eastAsia" w:ascii="宋体" w:hAnsi="宋体"/>
                <w:sz w:val="18"/>
              </w:rPr>
            </w:pPr>
            <w:r>
              <w:rPr>
                <w:rFonts w:hint="eastAsia" w:ascii="宋体" w:hAnsi="宋体"/>
                <w:sz w:val="18"/>
              </w:rPr>
              <w:t>表 名</w:t>
            </w:r>
          </w:p>
        </w:tc>
        <w:tc>
          <w:tcPr>
            <w:tcW w:w="741" w:type="dxa"/>
            <w:vMerge w:val="restart"/>
            <w:tcBorders>
              <w:top w:val="single" w:color="auto" w:sz="8" w:space="0"/>
            </w:tcBorders>
            <w:noWrap w:val="0"/>
            <w:vAlign w:val="center"/>
          </w:tcPr>
          <w:p>
            <w:pPr>
              <w:spacing w:line="220" w:lineRule="exact"/>
              <w:jc w:val="center"/>
              <w:rPr>
                <w:rFonts w:hint="eastAsia" w:ascii="宋体" w:hAnsi="宋体"/>
                <w:sz w:val="18"/>
              </w:rPr>
            </w:pPr>
            <w:r>
              <w:rPr>
                <w:rFonts w:hint="eastAsia" w:ascii="宋体" w:hAnsi="宋体"/>
                <w:sz w:val="18"/>
              </w:rPr>
              <w:t>报告</w:t>
            </w:r>
          </w:p>
          <w:p>
            <w:pPr>
              <w:spacing w:line="220" w:lineRule="exact"/>
              <w:jc w:val="center"/>
              <w:rPr>
                <w:rFonts w:ascii="宋体" w:hAnsi="宋体"/>
                <w:sz w:val="18"/>
              </w:rPr>
            </w:pPr>
            <w:r>
              <w:rPr>
                <w:rFonts w:hint="eastAsia" w:ascii="宋体" w:hAnsi="宋体"/>
                <w:sz w:val="18"/>
              </w:rPr>
              <w:t>期别</w:t>
            </w:r>
          </w:p>
        </w:tc>
        <w:tc>
          <w:tcPr>
            <w:tcW w:w="1492" w:type="dxa"/>
            <w:vMerge w:val="restart"/>
            <w:tcBorders>
              <w:top w:val="single" w:color="auto" w:sz="8" w:space="0"/>
            </w:tcBorders>
            <w:noWrap w:val="0"/>
            <w:vAlign w:val="center"/>
          </w:tcPr>
          <w:p>
            <w:pPr>
              <w:spacing w:line="220" w:lineRule="exact"/>
              <w:jc w:val="center"/>
              <w:rPr>
                <w:rFonts w:hint="eastAsia" w:ascii="宋体" w:hAnsi="宋体"/>
                <w:sz w:val="18"/>
              </w:rPr>
            </w:pPr>
            <w:r>
              <w:rPr>
                <w:rFonts w:hint="eastAsia" w:ascii="宋体" w:hAnsi="宋体"/>
                <w:sz w:val="18"/>
              </w:rPr>
              <w:t xml:space="preserve">统 计 </w:t>
            </w:r>
          </w:p>
          <w:p>
            <w:pPr>
              <w:spacing w:line="220" w:lineRule="exact"/>
              <w:jc w:val="center"/>
              <w:rPr>
                <w:rFonts w:ascii="宋体" w:hAnsi="宋体"/>
                <w:sz w:val="18"/>
              </w:rPr>
            </w:pPr>
            <w:r>
              <w:rPr>
                <w:rFonts w:hint="eastAsia" w:ascii="宋体" w:hAnsi="宋体"/>
                <w:sz w:val="18"/>
              </w:rPr>
              <w:t>范 围</w:t>
            </w:r>
          </w:p>
        </w:tc>
        <w:tc>
          <w:tcPr>
            <w:tcW w:w="1297" w:type="dxa"/>
            <w:vMerge w:val="restart"/>
            <w:tcBorders>
              <w:top w:val="single" w:color="auto" w:sz="8" w:space="0"/>
            </w:tcBorders>
            <w:noWrap w:val="0"/>
            <w:vAlign w:val="center"/>
          </w:tcPr>
          <w:p>
            <w:pPr>
              <w:spacing w:line="220" w:lineRule="exact"/>
              <w:jc w:val="center"/>
              <w:rPr>
                <w:rFonts w:hint="eastAsia" w:ascii="宋体" w:hAnsi="宋体"/>
                <w:sz w:val="18"/>
              </w:rPr>
            </w:pPr>
            <w:r>
              <w:rPr>
                <w:rFonts w:hint="eastAsia" w:ascii="宋体" w:hAnsi="宋体"/>
                <w:sz w:val="18"/>
              </w:rPr>
              <w:t>报 送</w:t>
            </w:r>
          </w:p>
          <w:p>
            <w:pPr>
              <w:spacing w:line="220" w:lineRule="exact"/>
              <w:jc w:val="center"/>
              <w:rPr>
                <w:rFonts w:ascii="宋体" w:hAnsi="宋体"/>
                <w:sz w:val="18"/>
              </w:rPr>
            </w:pPr>
            <w:r>
              <w:rPr>
                <w:rFonts w:hint="eastAsia" w:ascii="宋体" w:hAnsi="宋体"/>
                <w:sz w:val="18"/>
              </w:rPr>
              <w:t>单 位</w:t>
            </w:r>
          </w:p>
        </w:tc>
        <w:tc>
          <w:tcPr>
            <w:tcW w:w="3842" w:type="dxa"/>
            <w:gridSpan w:val="3"/>
            <w:tcBorders>
              <w:top w:val="single" w:color="auto" w:sz="8" w:space="0"/>
            </w:tcBorders>
            <w:noWrap w:val="0"/>
            <w:vAlign w:val="center"/>
          </w:tcPr>
          <w:p>
            <w:pPr>
              <w:spacing w:line="220" w:lineRule="exact"/>
              <w:ind w:firstLine="1170" w:firstLineChars="650"/>
              <w:rPr>
                <w:rFonts w:hint="eastAsia" w:ascii="宋体" w:hAnsi="宋体"/>
                <w:sz w:val="18"/>
              </w:rPr>
            </w:pPr>
            <w:r>
              <w:rPr>
                <w:rFonts w:hint="eastAsia" w:ascii="宋体" w:hAnsi="宋体"/>
                <w:sz w:val="18"/>
              </w:rPr>
              <w:t>调查单位报送日期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9" w:hRule="atLeast"/>
          <w:jc w:val="center"/>
        </w:trPr>
        <w:tc>
          <w:tcPr>
            <w:tcW w:w="1052" w:type="dxa"/>
            <w:tcBorders>
              <w:top w:val="nil"/>
              <w:bottom w:val="nil"/>
            </w:tcBorders>
            <w:noWrap w:val="0"/>
            <w:vAlign w:val="center"/>
          </w:tcPr>
          <w:p>
            <w:pPr>
              <w:spacing w:before="120" w:beforeLines="50" w:line="220" w:lineRule="exact"/>
              <w:jc w:val="center"/>
              <w:rPr>
                <w:rFonts w:hint="eastAsia" w:ascii="宋体" w:hAnsi="宋体"/>
                <w:sz w:val="18"/>
              </w:rPr>
            </w:pPr>
            <w:r>
              <w:rPr>
                <w:rFonts w:hint="eastAsia" w:ascii="宋体" w:hAnsi="宋体" w:eastAsia="宋体" w:cs="Times New Roman"/>
                <w:sz w:val="18"/>
              </w:rPr>
              <w:t>表 号</w:t>
            </w:r>
          </w:p>
        </w:tc>
        <w:tc>
          <w:tcPr>
            <w:tcW w:w="1232" w:type="dxa"/>
            <w:vMerge w:val="continue"/>
            <w:noWrap w:val="0"/>
            <w:vAlign w:val="center"/>
          </w:tcPr>
          <w:p>
            <w:pPr>
              <w:spacing w:line="220" w:lineRule="exact"/>
              <w:jc w:val="center"/>
              <w:rPr>
                <w:rFonts w:hint="eastAsia" w:ascii="宋体" w:hAnsi="宋体"/>
                <w:sz w:val="18"/>
              </w:rPr>
            </w:pPr>
          </w:p>
        </w:tc>
        <w:tc>
          <w:tcPr>
            <w:tcW w:w="741" w:type="dxa"/>
            <w:vMerge w:val="continue"/>
            <w:noWrap w:val="0"/>
            <w:vAlign w:val="center"/>
          </w:tcPr>
          <w:p>
            <w:pPr>
              <w:spacing w:line="220" w:lineRule="exact"/>
              <w:jc w:val="center"/>
              <w:rPr>
                <w:rFonts w:hint="eastAsia" w:ascii="宋体" w:hAnsi="宋体"/>
                <w:sz w:val="18"/>
              </w:rPr>
            </w:pPr>
          </w:p>
        </w:tc>
        <w:tc>
          <w:tcPr>
            <w:tcW w:w="1492" w:type="dxa"/>
            <w:vMerge w:val="continue"/>
            <w:noWrap w:val="0"/>
            <w:vAlign w:val="center"/>
          </w:tcPr>
          <w:p>
            <w:pPr>
              <w:spacing w:line="220" w:lineRule="exact"/>
              <w:jc w:val="center"/>
              <w:rPr>
                <w:rFonts w:hint="eastAsia" w:ascii="宋体" w:hAnsi="宋体"/>
                <w:sz w:val="18"/>
              </w:rPr>
            </w:pPr>
          </w:p>
        </w:tc>
        <w:tc>
          <w:tcPr>
            <w:tcW w:w="1297" w:type="dxa"/>
            <w:vMerge w:val="continue"/>
            <w:noWrap w:val="0"/>
            <w:vAlign w:val="center"/>
          </w:tcPr>
          <w:p>
            <w:pPr>
              <w:spacing w:line="220" w:lineRule="exact"/>
              <w:jc w:val="center"/>
              <w:rPr>
                <w:rFonts w:hint="eastAsia" w:ascii="宋体" w:hAnsi="宋体"/>
                <w:sz w:val="18"/>
              </w:rPr>
            </w:pPr>
          </w:p>
        </w:tc>
        <w:tc>
          <w:tcPr>
            <w:tcW w:w="2670" w:type="dxa"/>
            <w:gridSpan w:val="2"/>
            <w:tcBorders>
              <w:top w:val="single" w:color="auto" w:sz="4" w:space="0"/>
            </w:tcBorders>
            <w:noWrap w:val="0"/>
            <w:vAlign w:val="center"/>
          </w:tcPr>
          <w:p>
            <w:pPr>
              <w:spacing w:line="220" w:lineRule="exact"/>
              <w:jc w:val="center"/>
              <w:rPr>
                <w:rFonts w:hint="eastAsia" w:ascii="宋体" w:hAnsi="宋体"/>
                <w:sz w:val="18"/>
              </w:rPr>
            </w:pPr>
            <w:r>
              <w:rPr>
                <w:rFonts w:hint="eastAsia" w:ascii="宋体" w:hAnsi="宋体"/>
                <w:sz w:val="18"/>
              </w:rPr>
              <w:t>调查单位上报时间</w:t>
            </w:r>
          </w:p>
        </w:tc>
        <w:tc>
          <w:tcPr>
            <w:tcW w:w="1172" w:type="dxa"/>
            <w:vMerge w:val="restart"/>
            <w:tcBorders>
              <w:top w:val="single" w:color="auto" w:sz="4" w:space="0"/>
            </w:tcBorders>
            <w:noWrap w:val="0"/>
            <w:vAlign w:val="center"/>
          </w:tcPr>
          <w:p>
            <w:pPr>
              <w:widowControl/>
              <w:jc w:val="center"/>
              <w:rPr>
                <w:rFonts w:hint="eastAsia" w:ascii="宋体" w:hAnsi="宋体"/>
                <w:spacing w:val="-8"/>
                <w:sz w:val="18"/>
              </w:rPr>
            </w:pPr>
            <w:r>
              <w:rPr>
                <w:rFonts w:hint="eastAsia" w:ascii="宋体" w:hAnsi="宋体"/>
                <w:spacing w:val="-2"/>
                <w:sz w:val="18"/>
              </w:rPr>
              <w:t>区统计机构验收截止时间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53" w:hRule="atLeast"/>
          <w:jc w:val="center"/>
        </w:trPr>
        <w:tc>
          <w:tcPr>
            <w:tcW w:w="1052" w:type="dxa"/>
            <w:tcBorders>
              <w:top w:val="nil"/>
              <w:bottom w:val="single" w:color="auto" w:sz="4" w:space="0"/>
            </w:tcBorders>
            <w:noWrap w:val="0"/>
            <w:vAlign w:val="center"/>
          </w:tcPr>
          <w:p>
            <w:pPr>
              <w:spacing w:line="220" w:lineRule="exact"/>
              <w:rPr>
                <w:rFonts w:hint="eastAsia" w:ascii="宋体" w:hAnsi="宋体"/>
                <w:sz w:val="18"/>
              </w:rPr>
            </w:pPr>
          </w:p>
        </w:tc>
        <w:tc>
          <w:tcPr>
            <w:tcW w:w="1232" w:type="dxa"/>
            <w:vMerge w:val="continue"/>
            <w:noWrap w:val="0"/>
            <w:vAlign w:val="center"/>
          </w:tcPr>
          <w:p>
            <w:pPr>
              <w:spacing w:line="220" w:lineRule="exact"/>
              <w:jc w:val="center"/>
              <w:rPr>
                <w:rFonts w:hint="eastAsia" w:ascii="宋体" w:hAnsi="宋体"/>
                <w:sz w:val="18"/>
              </w:rPr>
            </w:pPr>
          </w:p>
        </w:tc>
        <w:tc>
          <w:tcPr>
            <w:tcW w:w="741" w:type="dxa"/>
            <w:vMerge w:val="continue"/>
            <w:noWrap w:val="0"/>
            <w:vAlign w:val="center"/>
          </w:tcPr>
          <w:p>
            <w:pPr>
              <w:spacing w:line="220" w:lineRule="exact"/>
              <w:jc w:val="center"/>
              <w:rPr>
                <w:rFonts w:hint="eastAsia" w:ascii="宋体" w:hAnsi="宋体"/>
                <w:sz w:val="18"/>
              </w:rPr>
            </w:pPr>
          </w:p>
        </w:tc>
        <w:tc>
          <w:tcPr>
            <w:tcW w:w="1492" w:type="dxa"/>
            <w:vMerge w:val="continue"/>
            <w:noWrap w:val="0"/>
            <w:vAlign w:val="center"/>
          </w:tcPr>
          <w:p>
            <w:pPr>
              <w:spacing w:line="220" w:lineRule="exact"/>
              <w:jc w:val="center"/>
              <w:rPr>
                <w:rFonts w:hint="eastAsia" w:ascii="宋体" w:hAnsi="宋体"/>
                <w:sz w:val="18"/>
              </w:rPr>
            </w:pPr>
          </w:p>
        </w:tc>
        <w:tc>
          <w:tcPr>
            <w:tcW w:w="1297" w:type="dxa"/>
            <w:vMerge w:val="continue"/>
            <w:noWrap w:val="0"/>
            <w:vAlign w:val="center"/>
          </w:tcPr>
          <w:p>
            <w:pPr>
              <w:spacing w:line="220" w:lineRule="exact"/>
              <w:jc w:val="center"/>
              <w:rPr>
                <w:rFonts w:hint="eastAsia" w:ascii="宋体" w:hAnsi="宋体"/>
                <w:sz w:val="18"/>
              </w:rPr>
            </w:pPr>
          </w:p>
        </w:tc>
        <w:tc>
          <w:tcPr>
            <w:tcW w:w="1140" w:type="dxa"/>
            <w:tcBorders>
              <w:top w:val="single" w:color="auto" w:sz="4" w:space="0"/>
            </w:tcBorders>
            <w:noWrap w:val="0"/>
            <w:vAlign w:val="center"/>
          </w:tcPr>
          <w:p>
            <w:pPr>
              <w:spacing w:line="220" w:lineRule="exact"/>
              <w:jc w:val="center"/>
              <w:rPr>
                <w:rFonts w:hint="eastAsia" w:ascii="宋体" w:hAnsi="宋体"/>
                <w:sz w:val="18"/>
              </w:rPr>
            </w:pPr>
            <w:r>
              <w:rPr>
                <w:rFonts w:hint="eastAsia" w:ascii="宋体" w:hAnsi="宋体"/>
                <w:sz w:val="18"/>
              </w:rPr>
              <w:t>填报开网时间</w:t>
            </w:r>
          </w:p>
        </w:tc>
        <w:tc>
          <w:tcPr>
            <w:tcW w:w="1530" w:type="dxa"/>
            <w:tcBorders>
              <w:top w:val="single" w:color="auto" w:sz="4" w:space="0"/>
            </w:tcBorders>
            <w:noWrap w:val="0"/>
            <w:vAlign w:val="center"/>
          </w:tcPr>
          <w:p>
            <w:pPr>
              <w:spacing w:line="220" w:lineRule="exact"/>
              <w:jc w:val="center"/>
              <w:rPr>
                <w:rFonts w:hint="eastAsia" w:ascii="宋体" w:hAnsi="宋体"/>
                <w:sz w:val="18"/>
              </w:rPr>
            </w:pPr>
            <w:r>
              <w:rPr>
                <w:rFonts w:hint="eastAsia" w:ascii="宋体" w:hAnsi="宋体"/>
                <w:sz w:val="18"/>
              </w:rPr>
              <w:t>填报截止时间</w:t>
            </w:r>
          </w:p>
        </w:tc>
        <w:tc>
          <w:tcPr>
            <w:tcW w:w="1172" w:type="dxa"/>
            <w:vMerge w:val="continue"/>
            <w:noWrap w:val="0"/>
            <w:vAlign w:val="center"/>
          </w:tcPr>
          <w:p>
            <w:pPr>
              <w:spacing w:line="220" w:lineRule="exact"/>
              <w:jc w:val="center"/>
              <w:rPr>
                <w:rFonts w:hint="eastAsia" w:ascii="宋体" w:hAnsi="宋体"/>
                <w:sz w:val="18"/>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71" w:hRule="atLeast"/>
          <w:jc w:val="center"/>
        </w:trPr>
        <w:tc>
          <w:tcPr>
            <w:tcW w:w="9656" w:type="dxa"/>
            <w:gridSpan w:val="8"/>
            <w:tcBorders>
              <w:top w:val="single" w:color="auto" w:sz="4" w:space="0"/>
              <w:bottom w:val="single" w:color="auto" w:sz="4" w:space="0"/>
            </w:tcBorders>
            <w:noWrap w:val="0"/>
            <w:vAlign w:val="center"/>
          </w:tcPr>
          <w:p>
            <w:pPr>
              <w:spacing w:line="220" w:lineRule="exact"/>
              <w:rPr>
                <w:rFonts w:hint="eastAsia" w:ascii="宋体" w:hAnsi="宋体" w:eastAsia="宋体"/>
                <w:sz w:val="18"/>
                <w:lang w:eastAsia="zh-CN"/>
              </w:rPr>
            </w:pPr>
            <w:r>
              <w:rPr>
                <w:rFonts w:hint="eastAsia" w:asciiTheme="minorEastAsia" w:hAnsiTheme="minorEastAsia" w:eastAsiaTheme="minorEastAsia" w:cstheme="minorEastAsia"/>
                <w:sz w:val="18"/>
                <w:szCs w:val="18"/>
                <w:lang w:eastAsia="zh-CN"/>
              </w:rPr>
              <w:t>（一）基层定报表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949" w:hRule="atLeast"/>
          <w:jc w:val="center"/>
        </w:trPr>
        <w:tc>
          <w:tcPr>
            <w:tcW w:w="1052" w:type="dxa"/>
            <w:tcBorders>
              <w:top w:val="single" w:color="auto" w:sz="4" w:space="0"/>
              <w:bottom w:val="single" w:color="auto" w:sz="4" w:space="0"/>
            </w:tcBorders>
            <w:noWrap w:val="0"/>
            <w:vAlign w:val="center"/>
          </w:tcPr>
          <w:p>
            <w:pPr>
              <w:spacing w:line="220" w:lineRule="exact"/>
              <w:jc w:val="center"/>
              <w:rPr>
                <w:rFonts w:hint="eastAsia" w:ascii="宋体" w:hAnsi="宋体"/>
                <w:kern w:val="2"/>
                <w:sz w:val="18"/>
                <w:szCs w:val="24"/>
                <w:lang w:val="en-US" w:eastAsia="zh-CN" w:bidi="ar-SA"/>
              </w:rPr>
            </w:pPr>
            <w:r>
              <w:rPr>
                <w:rFonts w:hint="eastAsia" w:ascii="宋体" w:hAnsi="宋体"/>
                <w:sz w:val="18"/>
              </w:rPr>
              <w:t>205-1表</w:t>
            </w:r>
          </w:p>
        </w:tc>
        <w:tc>
          <w:tcPr>
            <w:tcW w:w="1232" w:type="dxa"/>
            <w:tcBorders>
              <w:top w:val="single" w:color="auto" w:sz="4" w:space="0"/>
              <w:bottom w:val="single" w:color="auto" w:sz="4" w:space="0"/>
            </w:tcBorders>
            <w:noWrap w:val="0"/>
            <w:vAlign w:val="center"/>
          </w:tcPr>
          <w:p>
            <w:pPr>
              <w:spacing w:line="220" w:lineRule="exact"/>
              <w:rPr>
                <w:rFonts w:hint="eastAsia" w:ascii="宋体" w:hAnsi="宋体"/>
                <w:kern w:val="2"/>
                <w:sz w:val="18"/>
                <w:szCs w:val="24"/>
                <w:lang w:val="en-US" w:eastAsia="zh-CN" w:bidi="ar-SA"/>
              </w:rPr>
            </w:pPr>
            <w:r>
              <w:rPr>
                <w:rFonts w:hint="eastAsia" w:ascii="宋体" w:hAnsi="宋体"/>
                <w:sz w:val="18"/>
              </w:rPr>
              <w:t>能源购进、消费与库存</w:t>
            </w:r>
          </w:p>
        </w:tc>
        <w:tc>
          <w:tcPr>
            <w:tcW w:w="741" w:type="dxa"/>
            <w:tcBorders>
              <w:top w:val="single" w:color="auto" w:sz="4" w:space="0"/>
              <w:bottom w:val="single" w:color="auto" w:sz="4" w:space="0"/>
            </w:tcBorders>
            <w:noWrap w:val="0"/>
            <w:vAlign w:val="center"/>
          </w:tcPr>
          <w:p>
            <w:pPr>
              <w:spacing w:line="220" w:lineRule="exact"/>
              <w:jc w:val="center"/>
              <w:rPr>
                <w:rFonts w:hint="eastAsia" w:ascii="宋体" w:hAnsi="宋体"/>
                <w:kern w:val="2"/>
                <w:sz w:val="18"/>
                <w:szCs w:val="24"/>
                <w:lang w:val="en-US" w:eastAsia="zh-CN" w:bidi="ar-SA"/>
              </w:rPr>
            </w:pPr>
            <w:r>
              <w:rPr>
                <w:rFonts w:hint="eastAsia" w:ascii="宋体" w:hAnsi="宋体"/>
                <w:sz w:val="18"/>
              </w:rPr>
              <w:t>月报</w:t>
            </w:r>
          </w:p>
        </w:tc>
        <w:tc>
          <w:tcPr>
            <w:tcW w:w="1492" w:type="dxa"/>
            <w:tcBorders>
              <w:top w:val="single" w:color="auto" w:sz="4" w:space="0"/>
              <w:bottom w:val="single" w:color="auto" w:sz="4" w:space="0"/>
            </w:tcBorders>
            <w:noWrap w:val="0"/>
            <w:vAlign w:val="center"/>
          </w:tcPr>
          <w:p>
            <w:pPr>
              <w:spacing w:line="240" w:lineRule="exact"/>
              <w:rPr>
                <w:rFonts w:hint="eastAsia" w:ascii="宋体" w:hAnsi="宋体"/>
                <w:kern w:val="2"/>
                <w:sz w:val="18"/>
                <w:szCs w:val="24"/>
                <w:lang w:val="en-US" w:eastAsia="zh-CN" w:bidi="ar-SA"/>
              </w:rPr>
            </w:pPr>
            <w:r>
              <w:rPr>
                <w:rFonts w:ascii="宋体" w:hAnsi="宋体"/>
                <w:sz w:val="18"/>
                <w:szCs w:val="18"/>
              </w:rPr>
              <w:t>辖区内规模以上工业法人单位</w:t>
            </w:r>
            <w:r>
              <w:rPr>
                <w:rFonts w:hint="eastAsia" w:ascii="宋体"/>
                <w:sz w:val="18"/>
              </w:rPr>
              <w:t>和规模以上</w:t>
            </w:r>
            <w:r>
              <w:rPr>
                <w:rFonts w:hint="eastAsia" w:ascii="宋体"/>
                <w:sz w:val="18"/>
                <w:lang w:eastAsia="zh-CN"/>
              </w:rPr>
              <w:t>工业</w:t>
            </w:r>
            <w:r>
              <w:rPr>
                <w:rFonts w:hint="eastAsia" w:ascii="宋体"/>
                <w:sz w:val="18"/>
              </w:rPr>
              <w:t>个体经营户</w:t>
            </w:r>
          </w:p>
        </w:tc>
        <w:tc>
          <w:tcPr>
            <w:tcW w:w="1297" w:type="dxa"/>
            <w:tcBorders>
              <w:top w:val="single" w:color="auto" w:sz="4" w:space="0"/>
              <w:bottom w:val="single" w:color="auto" w:sz="4" w:space="0"/>
            </w:tcBorders>
            <w:noWrap w:val="0"/>
            <w:vAlign w:val="center"/>
          </w:tcPr>
          <w:p>
            <w:pPr>
              <w:spacing w:line="240" w:lineRule="exact"/>
              <w:jc w:val="center"/>
              <w:rPr>
                <w:rFonts w:hint="eastAsia" w:ascii="宋体" w:hAnsi="宋体" w:eastAsia="宋体"/>
                <w:kern w:val="2"/>
                <w:sz w:val="18"/>
                <w:szCs w:val="24"/>
                <w:lang w:val="en-US" w:eastAsia="zh-CN" w:bidi="ar-SA"/>
              </w:rPr>
            </w:pPr>
            <w:r>
              <w:rPr>
                <w:rFonts w:ascii="宋体" w:hAnsi="宋体"/>
                <w:sz w:val="18"/>
                <w:szCs w:val="18"/>
              </w:rPr>
              <w:t>法人单位</w:t>
            </w:r>
            <w:r>
              <w:rPr>
                <w:rFonts w:hint="eastAsia" w:ascii="宋体" w:hAnsi="宋体"/>
                <w:sz w:val="18"/>
                <w:szCs w:val="18"/>
                <w:lang w:eastAsia="zh-CN"/>
              </w:rPr>
              <w:t>和个体经营户</w:t>
            </w:r>
          </w:p>
        </w:tc>
        <w:tc>
          <w:tcPr>
            <w:tcW w:w="1140" w:type="dxa"/>
            <w:tcBorders>
              <w:top w:val="single" w:color="auto" w:sz="4" w:space="0"/>
              <w:bottom w:val="single" w:color="auto" w:sz="4" w:space="0"/>
            </w:tcBorders>
            <w:noWrap w:val="0"/>
            <w:vAlign w:val="center"/>
          </w:tcPr>
          <w:p>
            <w:pPr>
              <w:rPr>
                <w:rFonts w:hint="eastAsia" w:ascii="宋体" w:hAnsi="宋体" w:eastAsia="宋体" w:cs="Times New Roman"/>
                <w:color w:val="auto"/>
                <w:kern w:val="2"/>
                <w:sz w:val="18"/>
                <w:szCs w:val="18"/>
                <w:lang w:val="en-US" w:eastAsia="zh-CN" w:bidi="ar-SA"/>
              </w:rPr>
            </w:pPr>
            <w:r>
              <w:rPr>
                <w:rFonts w:hint="eastAsia" w:ascii="宋体" w:hAnsi="宋体" w:eastAsia="宋体" w:cs="Times New Roman"/>
                <w:color w:val="auto"/>
                <w:sz w:val="18"/>
                <w:szCs w:val="18"/>
              </w:rPr>
              <w:t>4</w:t>
            </w:r>
            <w:r>
              <w:rPr>
                <w:rFonts w:hint="eastAsia" w:ascii="宋体" w:hAnsi="宋体" w:eastAsia="宋体" w:cs="Times New Roman"/>
                <w:color w:val="auto"/>
                <w:sz w:val="18"/>
                <w:szCs w:val="18"/>
                <w:lang w:eastAsia="zh-CN"/>
              </w:rPr>
              <w:t>、</w:t>
            </w:r>
            <w:r>
              <w:rPr>
                <w:rFonts w:hint="eastAsia" w:ascii="宋体" w:hAnsi="宋体" w:eastAsia="宋体" w:cs="Times New Roman"/>
                <w:color w:val="auto"/>
                <w:sz w:val="18"/>
                <w:szCs w:val="18"/>
              </w:rPr>
              <w:t>9月</w:t>
            </w:r>
            <w:r>
              <w:rPr>
                <w:rFonts w:hint="eastAsia" w:ascii="宋体" w:hAnsi="宋体" w:eastAsia="宋体" w:cs="Times New Roman"/>
                <w:color w:val="auto"/>
                <w:sz w:val="18"/>
                <w:szCs w:val="18"/>
                <w:lang w:val="en-US" w:eastAsia="zh-CN"/>
              </w:rPr>
              <w:t>30</w:t>
            </w:r>
            <w:r>
              <w:rPr>
                <w:rFonts w:hint="eastAsia" w:ascii="宋体" w:hAnsi="宋体" w:eastAsia="宋体" w:cs="Times New Roman"/>
                <w:color w:val="auto"/>
                <w:sz w:val="18"/>
                <w:szCs w:val="18"/>
              </w:rPr>
              <w:t>日，12月31日，其他月月后1日0:00</w:t>
            </w:r>
          </w:p>
        </w:tc>
        <w:tc>
          <w:tcPr>
            <w:tcW w:w="1530" w:type="dxa"/>
            <w:tcBorders>
              <w:top w:val="single" w:color="auto" w:sz="4" w:space="0"/>
              <w:bottom w:val="single" w:color="auto" w:sz="4" w:space="0"/>
            </w:tcBorders>
            <w:noWrap w:val="0"/>
            <w:vAlign w:val="center"/>
          </w:tcPr>
          <w:p>
            <w:pPr>
              <w:spacing w:line="240" w:lineRule="exact"/>
              <w:ind w:left="2" w:leftChars="0"/>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2、10月月后6日，6、7、8、11月月后7日，3、5、12月月后8日，4月月后9日，9月月后12日12:00前网上填报</w:t>
            </w:r>
          </w:p>
        </w:tc>
        <w:tc>
          <w:tcPr>
            <w:tcW w:w="1172" w:type="dxa"/>
            <w:tcBorders>
              <w:top w:val="single" w:color="auto" w:sz="4" w:space="0"/>
              <w:bottom w:val="single" w:color="auto" w:sz="4" w:space="0"/>
            </w:tcBorders>
            <w:noWrap w:val="0"/>
            <w:vAlign w:val="center"/>
          </w:tcPr>
          <w:p>
            <w:pPr>
              <w:spacing w:line="220" w:lineRule="exact"/>
              <w:rPr>
                <w:rFonts w:hint="eastAsia" w:ascii="宋体" w:hAnsi="宋体"/>
                <w:kern w:val="2"/>
                <w:sz w:val="18"/>
                <w:szCs w:val="24"/>
                <w:lang w:val="en-GB" w:eastAsia="zh-CN" w:bidi="ar-SA"/>
              </w:rPr>
            </w:pPr>
            <w:r>
              <w:rPr>
                <w:rFonts w:hint="eastAsia" w:ascii="宋体" w:hAnsi="宋体"/>
                <w:sz w:val="18"/>
              </w:rPr>
              <w:t>以“</w:t>
            </w:r>
            <w:r>
              <w:rPr>
                <w:rFonts w:hint="eastAsia" w:ascii="宋体" w:hAnsi="宋体"/>
                <w:sz w:val="18"/>
                <w:lang w:val="en-US" w:eastAsia="zh-CN"/>
              </w:rPr>
              <w:t>国家</w:t>
            </w:r>
            <w:r>
              <w:rPr>
                <w:rFonts w:hint="eastAsia" w:ascii="宋体" w:hAnsi="宋体"/>
                <w:sz w:val="18"/>
                <w:lang w:eastAsia="zh-CN"/>
              </w:rPr>
              <w:t>统计云工作</w:t>
            </w:r>
            <w:r>
              <w:rPr>
                <w:rFonts w:hint="eastAsia" w:ascii="宋体" w:hAnsi="宋体"/>
                <w:sz w:val="18"/>
              </w:rPr>
              <w:t>台”规定验收截止时间为准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939" w:hRule="atLeast"/>
          <w:jc w:val="center"/>
        </w:trPr>
        <w:tc>
          <w:tcPr>
            <w:tcW w:w="1052" w:type="dxa"/>
            <w:tcBorders>
              <w:top w:val="single" w:color="auto" w:sz="4" w:space="0"/>
              <w:bottom w:val="single" w:color="auto" w:sz="4" w:space="0"/>
            </w:tcBorders>
            <w:noWrap w:val="0"/>
            <w:vAlign w:val="center"/>
          </w:tcPr>
          <w:p>
            <w:pPr>
              <w:spacing w:line="220" w:lineRule="exact"/>
              <w:jc w:val="center"/>
              <w:rPr>
                <w:rFonts w:hint="eastAsia" w:ascii="宋体" w:hAnsi="宋体"/>
                <w:sz w:val="18"/>
              </w:rPr>
            </w:pPr>
            <w:r>
              <w:rPr>
                <w:rFonts w:hint="eastAsia" w:ascii="宋体" w:hAnsi="宋体"/>
                <w:sz w:val="18"/>
              </w:rPr>
              <w:t>205-2表</w:t>
            </w:r>
          </w:p>
        </w:tc>
        <w:tc>
          <w:tcPr>
            <w:tcW w:w="1232" w:type="dxa"/>
            <w:tcBorders>
              <w:top w:val="single" w:color="auto" w:sz="4" w:space="0"/>
              <w:bottom w:val="single" w:color="auto" w:sz="4" w:space="0"/>
            </w:tcBorders>
            <w:noWrap w:val="0"/>
            <w:vAlign w:val="center"/>
          </w:tcPr>
          <w:p>
            <w:pPr>
              <w:spacing w:line="220" w:lineRule="exact"/>
              <w:rPr>
                <w:rFonts w:ascii="宋体" w:hAnsi="宋体"/>
                <w:sz w:val="18"/>
              </w:rPr>
            </w:pPr>
            <w:r>
              <w:rPr>
                <w:rFonts w:hint="eastAsia" w:ascii="宋体" w:hAnsi="宋体"/>
                <w:sz w:val="18"/>
              </w:rPr>
              <w:t>能源加工转换与回收利用</w:t>
            </w:r>
          </w:p>
        </w:tc>
        <w:tc>
          <w:tcPr>
            <w:tcW w:w="741" w:type="dxa"/>
            <w:tcBorders>
              <w:top w:val="single" w:color="auto" w:sz="4" w:space="0"/>
              <w:bottom w:val="single" w:color="auto" w:sz="4" w:space="0"/>
            </w:tcBorders>
            <w:noWrap w:val="0"/>
            <w:vAlign w:val="center"/>
          </w:tcPr>
          <w:p>
            <w:pPr>
              <w:spacing w:line="220" w:lineRule="exact"/>
              <w:jc w:val="center"/>
              <w:rPr>
                <w:rFonts w:ascii="宋体" w:hAnsi="宋体"/>
                <w:sz w:val="18"/>
              </w:rPr>
            </w:pPr>
            <w:r>
              <w:rPr>
                <w:rFonts w:hint="eastAsia" w:ascii="宋体" w:hAnsi="宋体"/>
                <w:sz w:val="18"/>
              </w:rPr>
              <w:t>同上</w:t>
            </w:r>
          </w:p>
        </w:tc>
        <w:tc>
          <w:tcPr>
            <w:tcW w:w="1492" w:type="dxa"/>
            <w:tcBorders>
              <w:top w:val="single" w:color="auto" w:sz="4" w:space="0"/>
              <w:bottom w:val="single" w:color="auto" w:sz="4" w:space="0"/>
            </w:tcBorders>
            <w:noWrap w:val="0"/>
            <w:vAlign w:val="center"/>
          </w:tcPr>
          <w:p>
            <w:pPr>
              <w:spacing w:line="240" w:lineRule="exact"/>
              <w:rPr>
                <w:rFonts w:ascii="宋体" w:hAnsi="宋体"/>
                <w:sz w:val="18"/>
              </w:rPr>
            </w:pPr>
            <w:r>
              <w:rPr>
                <w:rFonts w:ascii="宋体" w:hAnsi="宋体"/>
                <w:sz w:val="18"/>
                <w:szCs w:val="18"/>
              </w:rPr>
              <w:t>辖区内有能源加工转换或回收利用活动的规模以上工业法人单位</w:t>
            </w:r>
            <w:r>
              <w:rPr>
                <w:rFonts w:hint="eastAsia" w:ascii="宋体"/>
                <w:sz w:val="18"/>
              </w:rPr>
              <w:t>和规模以上</w:t>
            </w:r>
            <w:r>
              <w:rPr>
                <w:rFonts w:hint="eastAsia" w:ascii="宋体"/>
                <w:sz w:val="18"/>
                <w:lang w:eastAsia="zh-CN"/>
              </w:rPr>
              <w:t>工业</w:t>
            </w:r>
            <w:r>
              <w:rPr>
                <w:rFonts w:hint="eastAsia" w:ascii="宋体"/>
                <w:sz w:val="18"/>
              </w:rPr>
              <w:t>个体经营户</w:t>
            </w:r>
          </w:p>
        </w:tc>
        <w:tc>
          <w:tcPr>
            <w:tcW w:w="1297" w:type="dxa"/>
            <w:tcBorders>
              <w:top w:val="single" w:color="auto" w:sz="4" w:space="0"/>
              <w:bottom w:val="single" w:color="auto" w:sz="4" w:space="0"/>
            </w:tcBorders>
            <w:noWrap w:val="0"/>
            <w:vAlign w:val="center"/>
          </w:tcPr>
          <w:p>
            <w:pPr>
              <w:spacing w:line="240" w:lineRule="exact"/>
              <w:jc w:val="center"/>
              <w:rPr>
                <w:rFonts w:ascii="宋体" w:hAnsi="宋体"/>
                <w:sz w:val="18"/>
              </w:rPr>
            </w:pPr>
            <w:r>
              <w:rPr>
                <w:rFonts w:ascii="宋体" w:hAnsi="宋体"/>
                <w:sz w:val="18"/>
                <w:szCs w:val="18"/>
              </w:rPr>
              <w:t>同上</w:t>
            </w:r>
          </w:p>
        </w:tc>
        <w:tc>
          <w:tcPr>
            <w:tcW w:w="1140" w:type="dxa"/>
            <w:tcBorders>
              <w:top w:val="single" w:color="auto" w:sz="4" w:space="0"/>
              <w:bottom w:val="single" w:color="auto" w:sz="4" w:space="0"/>
            </w:tcBorders>
            <w:noWrap w:val="0"/>
            <w:vAlign w:val="center"/>
          </w:tcPr>
          <w:p>
            <w:pPr>
              <w:rPr>
                <w:rFonts w:hint="eastAsia" w:ascii="宋体" w:hAnsi="宋体" w:eastAsia="宋体" w:cs="Times New Roman"/>
                <w:color w:val="auto"/>
                <w:sz w:val="18"/>
                <w:szCs w:val="18"/>
              </w:rPr>
            </w:pPr>
            <w:r>
              <w:rPr>
                <w:rFonts w:hint="eastAsia" w:ascii="宋体" w:hAnsi="宋体" w:eastAsia="宋体" w:cs="Times New Roman"/>
                <w:color w:val="auto"/>
                <w:sz w:val="18"/>
                <w:szCs w:val="18"/>
              </w:rPr>
              <w:t>4</w:t>
            </w:r>
            <w:r>
              <w:rPr>
                <w:rFonts w:hint="eastAsia" w:ascii="宋体" w:hAnsi="宋体" w:eastAsia="宋体" w:cs="Times New Roman"/>
                <w:color w:val="auto"/>
                <w:sz w:val="18"/>
                <w:szCs w:val="18"/>
                <w:lang w:eastAsia="zh-CN"/>
              </w:rPr>
              <w:t>、</w:t>
            </w:r>
            <w:r>
              <w:rPr>
                <w:rFonts w:hint="eastAsia" w:ascii="宋体" w:hAnsi="宋体" w:eastAsia="宋体" w:cs="Times New Roman"/>
                <w:color w:val="auto"/>
                <w:sz w:val="18"/>
                <w:szCs w:val="18"/>
              </w:rPr>
              <w:t>9月</w:t>
            </w:r>
            <w:r>
              <w:rPr>
                <w:rFonts w:hint="eastAsia" w:ascii="宋体" w:hAnsi="宋体" w:eastAsia="宋体" w:cs="Times New Roman"/>
                <w:color w:val="auto"/>
                <w:sz w:val="18"/>
                <w:szCs w:val="18"/>
                <w:lang w:val="en-US" w:eastAsia="zh-CN"/>
              </w:rPr>
              <w:t>30</w:t>
            </w:r>
            <w:r>
              <w:rPr>
                <w:rFonts w:hint="eastAsia" w:ascii="宋体" w:hAnsi="宋体" w:eastAsia="宋体" w:cs="Times New Roman"/>
                <w:color w:val="auto"/>
                <w:sz w:val="18"/>
                <w:szCs w:val="18"/>
              </w:rPr>
              <w:t>日，12月31日，其他月月后1日0:00</w:t>
            </w:r>
          </w:p>
        </w:tc>
        <w:tc>
          <w:tcPr>
            <w:tcW w:w="1530" w:type="dxa"/>
            <w:tcBorders>
              <w:top w:val="single" w:color="auto" w:sz="4" w:space="0"/>
              <w:bottom w:val="single" w:color="auto" w:sz="4" w:space="0"/>
            </w:tcBorders>
            <w:noWrap w:val="0"/>
            <w:vAlign w:val="center"/>
          </w:tcPr>
          <w:p>
            <w:pPr>
              <w:spacing w:line="240" w:lineRule="exact"/>
              <w:jc w:val="center"/>
              <w:rPr>
                <w:rFonts w:hint="eastAsia" w:ascii="宋体" w:hAnsi="宋体" w:eastAsia="宋体" w:cs="Times New Roman"/>
                <w:color w:val="auto"/>
                <w:sz w:val="18"/>
                <w:szCs w:val="18"/>
              </w:rPr>
            </w:pPr>
            <w:r>
              <w:rPr>
                <w:rFonts w:ascii="宋体" w:hAnsi="宋体"/>
                <w:color w:val="auto"/>
                <w:sz w:val="18"/>
                <w:szCs w:val="18"/>
              </w:rPr>
              <w:t>同上</w:t>
            </w:r>
          </w:p>
        </w:tc>
        <w:tc>
          <w:tcPr>
            <w:tcW w:w="1172" w:type="dxa"/>
            <w:tcBorders>
              <w:top w:val="single" w:color="auto" w:sz="4" w:space="0"/>
              <w:bottom w:val="single" w:color="auto" w:sz="4" w:space="0"/>
            </w:tcBorders>
            <w:noWrap w:val="0"/>
            <w:vAlign w:val="center"/>
          </w:tcPr>
          <w:p>
            <w:pPr>
              <w:spacing w:line="220" w:lineRule="exact"/>
              <w:jc w:val="center"/>
              <w:rPr>
                <w:rFonts w:ascii="宋体" w:hAnsi="宋体"/>
                <w:sz w:val="18"/>
              </w:rPr>
            </w:pPr>
            <w:r>
              <w:rPr>
                <w:rFonts w:hint="eastAsia" w:ascii="宋体" w:hAnsi="宋体"/>
                <w:sz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969" w:hRule="atLeast"/>
          <w:jc w:val="center"/>
        </w:trPr>
        <w:tc>
          <w:tcPr>
            <w:tcW w:w="1052" w:type="dxa"/>
            <w:tcBorders>
              <w:top w:val="single" w:color="auto" w:sz="4" w:space="0"/>
              <w:bottom w:val="single" w:color="auto" w:sz="4" w:space="0"/>
            </w:tcBorders>
            <w:noWrap w:val="0"/>
            <w:vAlign w:val="center"/>
          </w:tcPr>
          <w:p>
            <w:pPr>
              <w:spacing w:line="220" w:lineRule="exact"/>
              <w:jc w:val="center"/>
              <w:rPr>
                <w:rFonts w:hint="eastAsia" w:ascii="宋体" w:hAnsi="宋体"/>
                <w:sz w:val="18"/>
              </w:rPr>
            </w:pPr>
            <w:r>
              <w:rPr>
                <w:rFonts w:hint="eastAsia" w:ascii="宋体" w:hAnsi="宋体"/>
                <w:sz w:val="18"/>
              </w:rPr>
              <w:t>205-3表</w:t>
            </w:r>
          </w:p>
        </w:tc>
        <w:tc>
          <w:tcPr>
            <w:tcW w:w="1232" w:type="dxa"/>
            <w:tcBorders>
              <w:top w:val="single" w:color="auto" w:sz="4" w:space="0"/>
              <w:bottom w:val="single" w:color="auto" w:sz="4" w:space="0"/>
            </w:tcBorders>
            <w:noWrap w:val="0"/>
            <w:vAlign w:val="center"/>
          </w:tcPr>
          <w:p>
            <w:pPr>
              <w:spacing w:line="220" w:lineRule="exact"/>
              <w:rPr>
                <w:rFonts w:hint="eastAsia" w:ascii="宋体" w:hAnsi="宋体"/>
                <w:sz w:val="18"/>
              </w:rPr>
            </w:pPr>
            <w:r>
              <w:rPr>
                <w:rFonts w:hint="eastAsia" w:ascii="宋体" w:hAnsi="宋体"/>
                <w:sz w:val="18"/>
              </w:rPr>
              <w:t>主要耗能工业企业单位产品能源消费情况</w:t>
            </w:r>
          </w:p>
        </w:tc>
        <w:tc>
          <w:tcPr>
            <w:tcW w:w="741" w:type="dxa"/>
            <w:tcBorders>
              <w:top w:val="single" w:color="auto" w:sz="4" w:space="0"/>
              <w:bottom w:val="single" w:color="auto" w:sz="4" w:space="0"/>
            </w:tcBorders>
            <w:noWrap w:val="0"/>
            <w:vAlign w:val="center"/>
          </w:tcPr>
          <w:p>
            <w:pPr>
              <w:spacing w:line="220" w:lineRule="exact"/>
              <w:jc w:val="center"/>
              <w:rPr>
                <w:rFonts w:hint="eastAsia" w:ascii="宋体" w:hAnsi="宋体"/>
                <w:sz w:val="18"/>
              </w:rPr>
            </w:pPr>
            <w:r>
              <w:rPr>
                <w:rFonts w:hint="eastAsia" w:ascii="宋体" w:hAnsi="宋体"/>
                <w:sz w:val="18"/>
                <w:lang w:eastAsia="zh-CN"/>
              </w:rPr>
              <w:t>半年</w:t>
            </w:r>
            <w:r>
              <w:rPr>
                <w:rFonts w:hint="eastAsia" w:ascii="宋体" w:hAnsi="宋体"/>
                <w:sz w:val="18"/>
              </w:rPr>
              <w:t>报</w:t>
            </w:r>
          </w:p>
        </w:tc>
        <w:tc>
          <w:tcPr>
            <w:tcW w:w="1492" w:type="dxa"/>
            <w:tcBorders>
              <w:top w:val="single" w:color="auto" w:sz="4" w:space="0"/>
              <w:bottom w:val="single" w:color="auto" w:sz="4" w:space="0"/>
            </w:tcBorders>
            <w:noWrap w:val="0"/>
            <w:vAlign w:val="center"/>
          </w:tcPr>
          <w:p>
            <w:pPr>
              <w:spacing w:line="240" w:lineRule="exact"/>
              <w:rPr>
                <w:rFonts w:hint="eastAsia" w:ascii="宋体" w:hAnsi="宋体"/>
                <w:sz w:val="18"/>
              </w:rPr>
            </w:pPr>
            <w:r>
              <w:rPr>
                <w:rFonts w:ascii="宋体" w:hAnsi="宋体"/>
                <w:sz w:val="18"/>
                <w:szCs w:val="18"/>
              </w:rPr>
              <w:t>辖区内年综合能源消费量1万吨标准煤及以上的规模以上工业法人单位</w:t>
            </w:r>
            <w:r>
              <w:rPr>
                <w:rFonts w:hint="eastAsia" w:ascii="宋体"/>
                <w:sz w:val="18"/>
              </w:rPr>
              <w:t>和规模以上</w:t>
            </w:r>
            <w:r>
              <w:rPr>
                <w:rFonts w:hint="eastAsia" w:ascii="宋体"/>
                <w:sz w:val="18"/>
                <w:lang w:eastAsia="zh-CN"/>
              </w:rPr>
              <w:t>工业</w:t>
            </w:r>
            <w:r>
              <w:rPr>
                <w:rFonts w:hint="eastAsia" w:ascii="宋体"/>
                <w:sz w:val="18"/>
              </w:rPr>
              <w:t>个体经营户</w:t>
            </w:r>
          </w:p>
        </w:tc>
        <w:tc>
          <w:tcPr>
            <w:tcW w:w="1297" w:type="dxa"/>
            <w:tcBorders>
              <w:top w:val="single" w:color="auto" w:sz="4" w:space="0"/>
              <w:bottom w:val="single" w:color="auto" w:sz="4" w:space="0"/>
            </w:tcBorders>
            <w:noWrap w:val="0"/>
            <w:vAlign w:val="center"/>
          </w:tcPr>
          <w:p>
            <w:pPr>
              <w:spacing w:line="240" w:lineRule="exact"/>
              <w:jc w:val="center"/>
              <w:rPr>
                <w:rFonts w:hint="eastAsia" w:ascii="宋体" w:hAnsi="宋体"/>
                <w:sz w:val="18"/>
              </w:rPr>
            </w:pPr>
            <w:r>
              <w:rPr>
                <w:rFonts w:ascii="宋体" w:hAnsi="宋体"/>
                <w:sz w:val="18"/>
                <w:szCs w:val="18"/>
              </w:rPr>
              <w:t>同上</w:t>
            </w:r>
          </w:p>
        </w:tc>
        <w:tc>
          <w:tcPr>
            <w:tcW w:w="1140" w:type="dxa"/>
            <w:tcBorders>
              <w:top w:val="single" w:color="auto" w:sz="4" w:space="0"/>
              <w:bottom w:val="single" w:color="auto" w:sz="4" w:space="0"/>
            </w:tcBorders>
            <w:noWrap w:val="0"/>
            <w:vAlign w:val="center"/>
          </w:tcPr>
          <w:p>
            <w:pPr>
              <w:rPr>
                <w:rFonts w:hint="eastAsia" w:ascii="宋体" w:hAnsi="宋体" w:eastAsia="宋体" w:cs="Times New Roman"/>
                <w:color w:val="auto"/>
                <w:sz w:val="18"/>
                <w:szCs w:val="18"/>
              </w:rPr>
            </w:pPr>
            <w:r>
              <w:rPr>
                <w:rFonts w:hint="eastAsia" w:ascii="宋体" w:hAnsi="宋体" w:eastAsia="宋体" w:cs="Times New Roman"/>
                <w:color w:val="auto"/>
                <w:sz w:val="18"/>
                <w:szCs w:val="18"/>
              </w:rPr>
              <w:t>上半年7月1日、下半年次年1月1日0:00</w:t>
            </w:r>
          </w:p>
        </w:tc>
        <w:tc>
          <w:tcPr>
            <w:tcW w:w="1530" w:type="dxa"/>
            <w:tcBorders>
              <w:top w:val="single" w:color="auto" w:sz="4" w:space="0"/>
              <w:bottom w:val="single" w:color="auto" w:sz="4" w:space="0"/>
            </w:tcBorders>
            <w:noWrap w:val="0"/>
            <w:vAlign w:val="center"/>
          </w:tcPr>
          <w:p>
            <w:pPr>
              <w:spacing w:line="240" w:lineRule="exact"/>
              <w:ind w:left="2" w:leftChars="0"/>
              <w:rPr>
                <w:rFonts w:hint="eastAsia" w:ascii="宋体" w:hAnsi="宋体" w:eastAsia="宋体" w:cs="Times New Roman"/>
                <w:color w:val="auto"/>
                <w:sz w:val="18"/>
                <w:szCs w:val="18"/>
              </w:rPr>
            </w:pPr>
            <w:r>
              <w:rPr>
                <w:rFonts w:hint="eastAsia" w:ascii="宋体" w:hAnsi="宋体"/>
                <w:color w:val="auto"/>
                <w:sz w:val="18"/>
                <w:szCs w:val="18"/>
              </w:rPr>
              <w:t>上半年7月10日、下半年次年1月10日12:00前网上填报</w:t>
            </w:r>
          </w:p>
        </w:tc>
        <w:tc>
          <w:tcPr>
            <w:tcW w:w="1172" w:type="dxa"/>
            <w:tcBorders>
              <w:top w:val="single" w:color="auto" w:sz="4" w:space="0"/>
              <w:bottom w:val="single" w:color="auto" w:sz="4" w:space="0"/>
            </w:tcBorders>
            <w:noWrap w:val="0"/>
            <w:vAlign w:val="center"/>
          </w:tcPr>
          <w:p>
            <w:pPr>
              <w:spacing w:line="220" w:lineRule="exact"/>
              <w:jc w:val="center"/>
              <w:rPr>
                <w:rFonts w:ascii="宋体" w:hAnsi="宋体"/>
                <w:sz w:val="18"/>
                <w:lang w:val="en-GB"/>
              </w:rPr>
            </w:pPr>
            <w:r>
              <w:rPr>
                <w:rFonts w:hint="eastAsia" w:ascii="宋体" w:hAnsi="宋体"/>
                <w:sz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950" w:hRule="atLeast"/>
          <w:tblHeader/>
          <w:jc w:val="center"/>
        </w:trPr>
        <w:tc>
          <w:tcPr>
            <w:tcW w:w="1052" w:type="dxa"/>
            <w:tcBorders>
              <w:top w:val="single" w:color="auto" w:sz="4" w:space="0"/>
              <w:bottom w:val="single" w:color="auto" w:sz="4" w:space="0"/>
            </w:tcBorders>
            <w:noWrap w:val="0"/>
            <w:vAlign w:val="center"/>
          </w:tcPr>
          <w:p>
            <w:pPr>
              <w:spacing w:line="220" w:lineRule="exact"/>
              <w:jc w:val="center"/>
              <w:rPr>
                <w:rFonts w:hint="eastAsia" w:ascii="宋体" w:hAnsi="宋体"/>
                <w:sz w:val="18"/>
              </w:rPr>
            </w:pPr>
            <w:r>
              <w:rPr>
                <w:rFonts w:hint="eastAsia" w:ascii="宋体" w:hAnsi="宋体"/>
                <w:sz w:val="18"/>
              </w:rPr>
              <w:t>205-4表</w:t>
            </w:r>
          </w:p>
        </w:tc>
        <w:tc>
          <w:tcPr>
            <w:tcW w:w="1232" w:type="dxa"/>
            <w:tcBorders>
              <w:top w:val="single" w:color="auto" w:sz="4" w:space="0"/>
              <w:bottom w:val="single" w:color="auto" w:sz="4" w:space="0"/>
            </w:tcBorders>
            <w:noWrap w:val="0"/>
            <w:vAlign w:val="center"/>
          </w:tcPr>
          <w:p>
            <w:pPr>
              <w:spacing w:line="220" w:lineRule="exact"/>
              <w:rPr>
                <w:rFonts w:hint="eastAsia" w:ascii="宋体" w:hAnsi="宋体"/>
                <w:sz w:val="18"/>
              </w:rPr>
            </w:pPr>
            <w:r>
              <w:rPr>
                <w:rFonts w:hint="eastAsia" w:ascii="宋体" w:hAnsi="宋体"/>
                <w:sz w:val="18"/>
              </w:rPr>
              <w:t>工业企业用水情况</w:t>
            </w:r>
          </w:p>
        </w:tc>
        <w:tc>
          <w:tcPr>
            <w:tcW w:w="741" w:type="dxa"/>
            <w:tcBorders>
              <w:top w:val="single" w:color="auto" w:sz="4" w:space="0"/>
              <w:bottom w:val="single" w:color="auto" w:sz="4" w:space="0"/>
            </w:tcBorders>
            <w:noWrap w:val="0"/>
            <w:vAlign w:val="center"/>
          </w:tcPr>
          <w:p>
            <w:pPr>
              <w:spacing w:line="220" w:lineRule="exact"/>
              <w:jc w:val="center"/>
              <w:rPr>
                <w:rFonts w:hint="eastAsia" w:ascii="宋体" w:hAnsi="宋体"/>
                <w:sz w:val="18"/>
              </w:rPr>
            </w:pPr>
            <w:r>
              <w:rPr>
                <w:rFonts w:hint="eastAsia" w:ascii="宋体" w:hAnsi="宋体"/>
                <w:sz w:val="18"/>
              </w:rPr>
              <w:t>半年报</w:t>
            </w:r>
          </w:p>
        </w:tc>
        <w:tc>
          <w:tcPr>
            <w:tcW w:w="1492" w:type="dxa"/>
            <w:tcBorders>
              <w:top w:val="single" w:color="auto" w:sz="4" w:space="0"/>
              <w:bottom w:val="single" w:color="auto" w:sz="4" w:space="0"/>
            </w:tcBorders>
            <w:noWrap w:val="0"/>
            <w:vAlign w:val="center"/>
          </w:tcPr>
          <w:p>
            <w:pPr>
              <w:pStyle w:val="15"/>
              <w:pBdr>
                <w:bottom w:val="none" w:color="auto" w:sz="0" w:space="0"/>
              </w:pBdr>
              <w:tabs>
                <w:tab w:val="clear" w:pos="4153"/>
                <w:tab w:val="clear" w:pos="8306"/>
              </w:tabs>
              <w:snapToGrid/>
              <w:spacing w:line="240" w:lineRule="exact"/>
              <w:jc w:val="both"/>
              <w:rPr>
                <w:rFonts w:hint="eastAsia" w:ascii="宋体" w:hAnsi="宋体"/>
                <w:sz w:val="18"/>
                <w:szCs w:val="18"/>
              </w:rPr>
            </w:pPr>
            <w:r>
              <w:rPr>
                <w:rFonts w:ascii="宋体" w:hAnsi="宋体"/>
              </w:rPr>
              <w:t>辖区内规模以上工业法人单位</w:t>
            </w:r>
            <w:r>
              <w:rPr>
                <w:rFonts w:hint="eastAsia" w:ascii="宋体"/>
                <w:sz w:val="18"/>
              </w:rPr>
              <w:t>和规模以上</w:t>
            </w:r>
            <w:r>
              <w:rPr>
                <w:rFonts w:hint="eastAsia" w:ascii="宋体"/>
                <w:sz w:val="18"/>
                <w:lang w:eastAsia="zh-CN"/>
              </w:rPr>
              <w:t>工业</w:t>
            </w:r>
            <w:r>
              <w:rPr>
                <w:rFonts w:hint="eastAsia" w:ascii="宋体"/>
                <w:sz w:val="18"/>
              </w:rPr>
              <w:t>个体经营户</w:t>
            </w:r>
          </w:p>
        </w:tc>
        <w:tc>
          <w:tcPr>
            <w:tcW w:w="1297" w:type="dxa"/>
            <w:tcBorders>
              <w:top w:val="single" w:color="auto" w:sz="4" w:space="0"/>
              <w:bottom w:val="single" w:color="auto" w:sz="4" w:space="0"/>
            </w:tcBorders>
            <w:noWrap w:val="0"/>
            <w:vAlign w:val="center"/>
          </w:tcPr>
          <w:p>
            <w:pPr>
              <w:spacing w:line="240" w:lineRule="exact"/>
              <w:jc w:val="center"/>
              <w:rPr>
                <w:rFonts w:hint="eastAsia" w:ascii="宋体" w:hAnsi="宋体"/>
                <w:sz w:val="18"/>
              </w:rPr>
            </w:pPr>
            <w:r>
              <w:rPr>
                <w:rFonts w:ascii="宋体" w:hAnsi="宋体"/>
                <w:sz w:val="18"/>
                <w:szCs w:val="18"/>
              </w:rPr>
              <w:t>同上</w:t>
            </w:r>
          </w:p>
        </w:tc>
        <w:tc>
          <w:tcPr>
            <w:tcW w:w="1140" w:type="dxa"/>
            <w:tcBorders>
              <w:top w:val="single" w:color="auto" w:sz="4" w:space="0"/>
              <w:bottom w:val="single" w:color="auto" w:sz="4" w:space="0"/>
            </w:tcBorders>
            <w:noWrap w:val="0"/>
            <w:vAlign w:val="center"/>
          </w:tcPr>
          <w:p>
            <w:pPr>
              <w:rPr>
                <w:rFonts w:hint="eastAsia" w:ascii="宋体" w:hAnsi="宋体" w:eastAsia="宋体" w:cs="Times New Roman"/>
                <w:color w:val="auto"/>
                <w:sz w:val="18"/>
                <w:szCs w:val="18"/>
              </w:rPr>
            </w:pPr>
            <w:r>
              <w:rPr>
                <w:rFonts w:hint="eastAsia" w:ascii="宋体" w:hAnsi="宋体" w:eastAsia="宋体" w:cs="Times New Roman"/>
                <w:color w:val="auto"/>
                <w:sz w:val="18"/>
                <w:szCs w:val="18"/>
              </w:rPr>
              <w:t>上半年7月1日、下半年次年1月1日0:00</w:t>
            </w:r>
          </w:p>
        </w:tc>
        <w:tc>
          <w:tcPr>
            <w:tcW w:w="1530" w:type="dxa"/>
            <w:tcBorders>
              <w:top w:val="single" w:color="auto" w:sz="4" w:space="0"/>
              <w:bottom w:val="single" w:color="auto" w:sz="4" w:space="0"/>
            </w:tcBorders>
            <w:noWrap w:val="0"/>
            <w:vAlign w:val="center"/>
          </w:tcPr>
          <w:p>
            <w:pPr>
              <w:spacing w:line="240" w:lineRule="exact"/>
              <w:jc w:val="center"/>
              <w:rPr>
                <w:rFonts w:hint="eastAsia" w:ascii="宋体" w:hAnsi="宋体" w:eastAsia="宋体" w:cs="Times New Roman"/>
                <w:color w:val="auto"/>
                <w:sz w:val="18"/>
                <w:szCs w:val="18"/>
                <w:lang w:eastAsia="zh-CN"/>
              </w:rPr>
            </w:pPr>
            <w:r>
              <w:rPr>
                <w:rFonts w:hint="eastAsia" w:ascii="宋体" w:hAnsi="宋体" w:cs="Times New Roman"/>
                <w:color w:val="auto"/>
                <w:sz w:val="18"/>
                <w:szCs w:val="18"/>
                <w:lang w:eastAsia="zh-CN"/>
              </w:rPr>
              <w:t>同上</w:t>
            </w:r>
          </w:p>
        </w:tc>
        <w:tc>
          <w:tcPr>
            <w:tcW w:w="1172" w:type="dxa"/>
            <w:tcBorders>
              <w:top w:val="single" w:color="auto" w:sz="4" w:space="0"/>
              <w:bottom w:val="single" w:color="auto" w:sz="4" w:space="0"/>
            </w:tcBorders>
            <w:noWrap w:val="0"/>
            <w:vAlign w:val="center"/>
          </w:tcPr>
          <w:p>
            <w:pPr>
              <w:spacing w:line="220" w:lineRule="exact"/>
              <w:jc w:val="center"/>
              <w:rPr>
                <w:rFonts w:hint="eastAsia" w:ascii="宋体" w:hAnsi="宋体"/>
                <w:sz w:val="18"/>
              </w:rPr>
            </w:pPr>
            <w:r>
              <w:rPr>
                <w:rFonts w:hint="eastAsia" w:ascii="宋体" w:hAnsi="宋体"/>
                <w:sz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90" w:hRule="atLeast"/>
          <w:jc w:val="center"/>
        </w:trPr>
        <w:tc>
          <w:tcPr>
            <w:tcW w:w="1052" w:type="dxa"/>
            <w:tcBorders>
              <w:top w:val="single" w:color="auto" w:sz="4" w:space="0"/>
              <w:bottom w:val="single" w:color="auto" w:sz="8" w:space="0"/>
            </w:tcBorders>
            <w:noWrap w:val="0"/>
            <w:vAlign w:val="center"/>
          </w:tcPr>
          <w:p>
            <w:pPr>
              <w:spacing w:line="220" w:lineRule="exact"/>
              <w:jc w:val="center"/>
              <w:rPr>
                <w:rFonts w:hint="eastAsia" w:ascii="宋体" w:hAnsi="宋体"/>
                <w:sz w:val="18"/>
              </w:rPr>
            </w:pPr>
            <w:r>
              <w:rPr>
                <w:rFonts w:hint="eastAsia" w:ascii="宋体" w:hAnsi="宋体"/>
                <w:sz w:val="18"/>
              </w:rPr>
              <w:t>205-5表</w:t>
            </w:r>
          </w:p>
        </w:tc>
        <w:tc>
          <w:tcPr>
            <w:tcW w:w="1232" w:type="dxa"/>
            <w:tcBorders>
              <w:top w:val="single" w:color="auto" w:sz="4" w:space="0"/>
              <w:bottom w:val="single" w:color="auto" w:sz="8" w:space="0"/>
            </w:tcBorders>
            <w:noWrap w:val="0"/>
            <w:vAlign w:val="center"/>
          </w:tcPr>
          <w:p>
            <w:pPr>
              <w:spacing w:line="220" w:lineRule="exact"/>
              <w:rPr>
                <w:rFonts w:hint="eastAsia" w:ascii="宋体" w:hAnsi="宋体"/>
                <w:sz w:val="18"/>
              </w:rPr>
            </w:pPr>
            <w:r>
              <w:rPr>
                <w:rFonts w:hint="eastAsia" w:ascii="宋体" w:hAnsi="宋体"/>
                <w:sz w:val="18"/>
              </w:rPr>
              <w:t>非工业重点耗能单位能源消费情况</w:t>
            </w:r>
          </w:p>
        </w:tc>
        <w:tc>
          <w:tcPr>
            <w:tcW w:w="741" w:type="dxa"/>
            <w:tcBorders>
              <w:top w:val="single" w:color="auto" w:sz="4" w:space="0"/>
              <w:bottom w:val="single" w:color="auto" w:sz="8" w:space="0"/>
            </w:tcBorders>
            <w:noWrap w:val="0"/>
            <w:vAlign w:val="center"/>
          </w:tcPr>
          <w:p>
            <w:pPr>
              <w:spacing w:line="220" w:lineRule="exact"/>
              <w:jc w:val="center"/>
              <w:rPr>
                <w:rFonts w:hint="eastAsia" w:ascii="宋体" w:hAnsi="宋体"/>
                <w:sz w:val="18"/>
              </w:rPr>
            </w:pPr>
            <w:r>
              <w:rPr>
                <w:rFonts w:hint="eastAsia" w:ascii="宋体" w:hAnsi="宋体"/>
                <w:sz w:val="18"/>
              </w:rPr>
              <w:t>季报</w:t>
            </w:r>
          </w:p>
        </w:tc>
        <w:tc>
          <w:tcPr>
            <w:tcW w:w="1492" w:type="dxa"/>
            <w:tcBorders>
              <w:top w:val="single" w:color="auto" w:sz="4" w:space="0"/>
              <w:bottom w:val="single" w:color="auto" w:sz="8" w:space="0"/>
            </w:tcBorders>
            <w:noWrap w:val="0"/>
            <w:vAlign w:val="center"/>
          </w:tcPr>
          <w:p>
            <w:pPr>
              <w:pStyle w:val="15"/>
              <w:pBdr>
                <w:bottom w:val="none" w:color="auto" w:sz="0" w:space="0"/>
              </w:pBdr>
              <w:tabs>
                <w:tab w:val="clear" w:pos="4153"/>
                <w:tab w:val="clear" w:pos="8306"/>
              </w:tabs>
              <w:snapToGrid/>
              <w:spacing w:line="240" w:lineRule="exact"/>
              <w:jc w:val="both"/>
              <w:rPr>
                <w:rFonts w:hint="eastAsia" w:ascii="宋体" w:hAnsi="宋体"/>
                <w:sz w:val="18"/>
              </w:rPr>
            </w:pPr>
            <w:r>
              <w:rPr>
                <w:rFonts w:ascii="宋体" w:hAnsi="宋体"/>
              </w:rPr>
              <w:t>辖区内年综合能源消费量1万吨标准煤及以上的有资质的建筑业、限额以上批发和零售业、限额以上住宿和餐饮业、</w:t>
            </w:r>
            <w:r>
              <w:rPr>
                <w:rFonts w:hint="eastAsia" w:ascii="宋体" w:hAnsi="宋体"/>
                <w:lang w:eastAsia="zh-CN"/>
              </w:rPr>
              <w:t>有开发经营活动的房地产开发经营业</w:t>
            </w:r>
            <w:r>
              <w:rPr>
                <w:rFonts w:ascii="宋体" w:hAnsi="宋体"/>
              </w:rPr>
              <w:t>和规模以上服务业法人单位</w:t>
            </w:r>
          </w:p>
        </w:tc>
        <w:tc>
          <w:tcPr>
            <w:tcW w:w="1297" w:type="dxa"/>
            <w:tcBorders>
              <w:top w:val="single" w:color="auto" w:sz="4" w:space="0"/>
              <w:bottom w:val="single" w:color="auto" w:sz="8" w:space="0"/>
            </w:tcBorders>
            <w:noWrap w:val="0"/>
            <w:vAlign w:val="center"/>
          </w:tcPr>
          <w:p>
            <w:pPr>
              <w:spacing w:line="240" w:lineRule="exact"/>
              <w:jc w:val="center"/>
              <w:rPr>
                <w:rFonts w:hint="eastAsia" w:ascii="宋体" w:hAnsi="宋体"/>
                <w:sz w:val="18"/>
              </w:rPr>
            </w:pPr>
            <w:r>
              <w:rPr>
                <w:rFonts w:ascii="宋体" w:hAnsi="宋体"/>
                <w:sz w:val="18"/>
                <w:szCs w:val="18"/>
              </w:rPr>
              <w:t>法人单位</w:t>
            </w:r>
          </w:p>
        </w:tc>
        <w:tc>
          <w:tcPr>
            <w:tcW w:w="1140" w:type="dxa"/>
            <w:tcBorders>
              <w:top w:val="single" w:color="auto" w:sz="4" w:space="0"/>
              <w:bottom w:val="single" w:color="auto" w:sz="8" w:space="0"/>
            </w:tcBorders>
            <w:noWrap w:val="0"/>
            <w:vAlign w:val="center"/>
          </w:tcPr>
          <w:p>
            <w:pPr>
              <w:rPr>
                <w:rFonts w:hint="eastAsia" w:ascii="宋体" w:hAnsi="宋体" w:eastAsia="宋体" w:cs="Times New Roman"/>
                <w:color w:val="auto"/>
                <w:sz w:val="18"/>
                <w:szCs w:val="18"/>
              </w:rPr>
            </w:pPr>
            <w:r>
              <w:rPr>
                <w:rFonts w:hint="eastAsia" w:ascii="宋体" w:hAnsi="宋体" w:eastAsia="宋体" w:cs="Times New Roman"/>
                <w:color w:val="auto"/>
                <w:sz w:val="18"/>
                <w:szCs w:val="18"/>
              </w:rPr>
              <w:t>三季度9月</w:t>
            </w:r>
            <w:r>
              <w:rPr>
                <w:rFonts w:hint="eastAsia" w:ascii="宋体" w:hAnsi="宋体" w:eastAsia="宋体" w:cs="Times New Roman"/>
                <w:color w:val="auto"/>
                <w:sz w:val="18"/>
                <w:szCs w:val="18"/>
                <w:lang w:val="en-US" w:eastAsia="zh-CN"/>
              </w:rPr>
              <w:t>30</w:t>
            </w:r>
            <w:r>
              <w:rPr>
                <w:rFonts w:hint="eastAsia" w:ascii="宋体" w:hAnsi="宋体" w:eastAsia="宋体" w:cs="Times New Roman"/>
                <w:color w:val="auto"/>
                <w:sz w:val="18"/>
                <w:szCs w:val="18"/>
              </w:rPr>
              <w:t>日，</w:t>
            </w:r>
            <w:r>
              <w:rPr>
                <w:rFonts w:hint="eastAsia" w:ascii="宋体" w:hAnsi="宋体" w:eastAsia="宋体" w:cs="Times New Roman"/>
                <w:color w:val="auto"/>
                <w:sz w:val="18"/>
                <w:szCs w:val="18"/>
                <w:lang w:eastAsia="zh-CN"/>
              </w:rPr>
              <w:t>四季度</w:t>
            </w:r>
            <w:r>
              <w:rPr>
                <w:rFonts w:hint="eastAsia" w:ascii="宋体" w:hAnsi="宋体" w:eastAsia="宋体" w:cs="Times New Roman"/>
                <w:color w:val="auto"/>
                <w:sz w:val="18"/>
                <w:szCs w:val="18"/>
                <w:lang w:val="en-US" w:eastAsia="zh-CN"/>
              </w:rPr>
              <w:t>12月31日，</w:t>
            </w:r>
            <w:r>
              <w:rPr>
                <w:rFonts w:hint="eastAsia" w:ascii="宋体" w:hAnsi="宋体" w:eastAsia="宋体" w:cs="Times New Roman"/>
                <w:color w:val="auto"/>
                <w:sz w:val="18"/>
                <w:szCs w:val="18"/>
              </w:rPr>
              <w:t>其他季季后1日0:00</w:t>
            </w:r>
          </w:p>
        </w:tc>
        <w:tc>
          <w:tcPr>
            <w:tcW w:w="1530" w:type="dxa"/>
            <w:tcBorders>
              <w:top w:val="single" w:color="auto" w:sz="4" w:space="0"/>
              <w:bottom w:val="single" w:color="auto" w:sz="8" w:space="0"/>
            </w:tcBorders>
            <w:noWrap w:val="0"/>
            <w:vAlign w:val="center"/>
          </w:tcPr>
          <w:p>
            <w:pPr>
              <w:spacing w:line="240" w:lineRule="exact"/>
              <w:ind w:left="2" w:leftChars="0"/>
              <w:rPr>
                <w:rFonts w:hint="eastAsia" w:ascii="宋体" w:hAnsi="宋体" w:eastAsia="宋体" w:cs="Times New Roman"/>
                <w:color w:val="auto"/>
                <w:sz w:val="18"/>
                <w:szCs w:val="18"/>
              </w:rPr>
            </w:pPr>
            <w:r>
              <w:rPr>
                <w:rFonts w:hint="eastAsia" w:ascii="宋体" w:hAnsi="宋体"/>
                <w:color w:val="auto"/>
                <w:sz w:val="18"/>
                <w:szCs w:val="18"/>
              </w:rPr>
              <w:t>季后10日12:00</w:t>
            </w:r>
            <w:r>
              <w:rPr>
                <w:rFonts w:ascii="宋体" w:hAnsi="宋体"/>
                <w:color w:val="auto"/>
                <w:sz w:val="18"/>
                <w:szCs w:val="18"/>
              </w:rPr>
              <w:t>前网上填报</w:t>
            </w:r>
          </w:p>
        </w:tc>
        <w:tc>
          <w:tcPr>
            <w:tcW w:w="1172" w:type="dxa"/>
            <w:tcBorders>
              <w:top w:val="single" w:color="auto" w:sz="4" w:space="0"/>
              <w:bottom w:val="single" w:color="auto" w:sz="8" w:space="0"/>
            </w:tcBorders>
            <w:noWrap w:val="0"/>
            <w:vAlign w:val="center"/>
          </w:tcPr>
          <w:p>
            <w:pPr>
              <w:spacing w:line="220" w:lineRule="exact"/>
              <w:jc w:val="center"/>
              <w:rPr>
                <w:rFonts w:hint="eastAsia" w:ascii="宋体" w:hAnsi="宋体"/>
                <w:sz w:val="18"/>
              </w:rPr>
            </w:pPr>
            <w:r>
              <w:rPr>
                <w:rFonts w:hint="eastAsia" w:ascii="宋体" w:hAnsi="宋体"/>
                <w:sz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6" w:hRule="atLeast"/>
          <w:jc w:val="center"/>
        </w:trPr>
        <w:tc>
          <w:tcPr>
            <w:tcW w:w="1052" w:type="dxa"/>
            <w:tcBorders>
              <w:top w:val="single" w:color="auto" w:sz="8" w:space="0"/>
              <w:bottom w:val="nil"/>
            </w:tcBorders>
            <w:noWrap w:val="0"/>
            <w:vAlign w:val="center"/>
          </w:tcPr>
          <w:p>
            <w:pPr>
              <w:spacing w:line="220" w:lineRule="exact"/>
              <w:jc w:val="center"/>
              <w:rPr>
                <w:rFonts w:ascii="宋体" w:hAnsi="宋体"/>
                <w:sz w:val="18"/>
              </w:rPr>
            </w:pPr>
          </w:p>
        </w:tc>
        <w:tc>
          <w:tcPr>
            <w:tcW w:w="1232" w:type="dxa"/>
            <w:vMerge w:val="restart"/>
            <w:tcBorders>
              <w:top w:val="single" w:color="auto" w:sz="8" w:space="0"/>
            </w:tcBorders>
            <w:noWrap w:val="0"/>
            <w:vAlign w:val="center"/>
          </w:tcPr>
          <w:p>
            <w:pPr>
              <w:spacing w:line="220" w:lineRule="exact"/>
              <w:jc w:val="center"/>
              <w:rPr>
                <w:rFonts w:hint="eastAsia" w:ascii="宋体" w:hAnsi="宋体"/>
                <w:sz w:val="18"/>
              </w:rPr>
            </w:pPr>
            <w:r>
              <w:rPr>
                <w:rFonts w:hint="eastAsia" w:ascii="宋体" w:hAnsi="宋体"/>
                <w:sz w:val="18"/>
              </w:rPr>
              <w:t>表 名</w:t>
            </w:r>
          </w:p>
        </w:tc>
        <w:tc>
          <w:tcPr>
            <w:tcW w:w="741" w:type="dxa"/>
            <w:vMerge w:val="restart"/>
            <w:tcBorders>
              <w:top w:val="single" w:color="auto" w:sz="8" w:space="0"/>
            </w:tcBorders>
            <w:noWrap w:val="0"/>
            <w:vAlign w:val="center"/>
          </w:tcPr>
          <w:p>
            <w:pPr>
              <w:spacing w:line="220" w:lineRule="exact"/>
              <w:jc w:val="center"/>
              <w:rPr>
                <w:rFonts w:hint="eastAsia" w:ascii="宋体" w:hAnsi="宋体"/>
                <w:sz w:val="18"/>
              </w:rPr>
            </w:pPr>
            <w:r>
              <w:rPr>
                <w:rFonts w:hint="eastAsia" w:ascii="宋体" w:hAnsi="宋体"/>
                <w:sz w:val="18"/>
              </w:rPr>
              <w:t>报告</w:t>
            </w:r>
          </w:p>
          <w:p>
            <w:pPr>
              <w:spacing w:line="220" w:lineRule="exact"/>
              <w:jc w:val="center"/>
              <w:rPr>
                <w:rFonts w:ascii="宋体" w:hAnsi="宋体"/>
                <w:sz w:val="18"/>
              </w:rPr>
            </w:pPr>
            <w:r>
              <w:rPr>
                <w:rFonts w:hint="eastAsia" w:ascii="宋体" w:hAnsi="宋体"/>
                <w:sz w:val="18"/>
              </w:rPr>
              <w:t>期别</w:t>
            </w:r>
          </w:p>
        </w:tc>
        <w:tc>
          <w:tcPr>
            <w:tcW w:w="1492" w:type="dxa"/>
            <w:vMerge w:val="restart"/>
            <w:tcBorders>
              <w:top w:val="single" w:color="auto" w:sz="8" w:space="0"/>
            </w:tcBorders>
            <w:noWrap w:val="0"/>
            <w:vAlign w:val="center"/>
          </w:tcPr>
          <w:p>
            <w:pPr>
              <w:spacing w:line="220" w:lineRule="exact"/>
              <w:jc w:val="center"/>
              <w:rPr>
                <w:rFonts w:hint="eastAsia" w:ascii="宋体" w:hAnsi="宋体"/>
                <w:sz w:val="18"/>
              </w:rPr>
            </w:pPr>
            <w:r>
              <w:rPr>
                <w:rFonts w:hint="eastAsia" w:ascii="宋体" w:hAnsi="宋体"/>
                <w:sz w:val="18"/>
              </w:rPr>
              <w:t xml:space="preserve">统 计 </w:t>
            </w:r>
          </w:p>
          <w:p>
            <w:pPr>
              <w:spacing w:line="220" w:lineRule="exact"/>
              <w:jc w:val="center"/>
              <w:rPr>
                <w:rFonts w:ascii="宋体" w:hAnsi="宋体"/>
                <w:sz w:val="18"/>
              </w:rPr>
            </w:pPr>
            <w:r>
              <w:rPr>
                <w:rFonts w:hint="eastAsia" w:ascii="宋体" w:hAnsi="宋体"/>
                <w:sz w:val="18"/>
              </w:rPr>
              <w:t>范 围</w:t>
            </w:r>
          </w:p>
        </w:tc>
        <w:tc>
          <w:tcPr>
            <w:tcW w:w="1297" w:type="dxa"/>
            <w:vMerge w:val="restart"/>
            <w:tcBorders>
              <w:top w:val="single" w:color="auto" w:sz="8" w:space="0"/>
            </w:tcBorders>
            <w:noWrap w:val="0"/>
            <w:vAlign w:val="center"/>
          </w:tcPr>
          <w:p>
            <w:pPr>
              <w:spacing w:line="220" w:lineRule="exact"/>
              <w:jc w:val="center"/>
              <w:rPr>
                <w:rFonts w:hint="eastAsia" w:ascii="宋体" w:hAnsi="宋体"/>
                <w:sz w:val="18"/>
              </w:rPr>
            </w:pPr>
            <w:r>
              <w:rPr>
                <w:rFonts w:hint="eastAsia" w:ascii="宋体" w:hAnsi="宋体"/>
                <w:sz w:val="18"/>
              </w:rPr>
              <w:t>报 送</w:t>
            </w:r>
          </w:p>
          <w:p>
            <w:pPr>
              <w:spacing w:line="220" w:lineRule="exact"/>
              <w:jc w:val="center"/>
              <w:rPr>
                <w:rFonts w:ascii="宋体" w:hAnsi="宋体"/>
                <w:sz w:val="18"/>
              </w:rPr>
            </w:pPr>
            <w:r>
              <w:rPr>
                <w:rFonts w:hint="eastAsia" w:ascii="宋体" w:hAnsi="宋体"/>
                <w:sz w:val="18"/>
              </w:rPr>
              <w:t>单 位</w:t>
            </w:r>
          </w:p>
        </w:tc>
        <w:tc>
          <w:tcPr>
            <w:tcW w:w="3842" w:type="dxa"/>
            <w:gridSpan w:val="3"/>
            <w:tcBorders>
              <w:top w:val="single" w:color="auto" w:sz="8" w:space="0"/>
            </w:tcBorders>
            <w:noWrap w:val="0"/>
            <w:vAlign w:val="center"/>
          </w:tcPr>
          <w:p>
            <w:pPr>
              <w:spacing w:line="220" w:lineRule="exact"/>
              <w:ind w:firstLine="1170" w:firstLineChars="650"/>
              <w:rPr>
                <w:rFonts w:hint="eastAsia" w:ascii="宋体" w:hAnsi="宋体"/>
                <w:sz w:val="18"/>
              </w:rPr>
            </w:pPr>
            <w:r>
              <w:rPr>
                <w:rFonts w:hint="eastAsia" w:ascii="宋体" w:hAnsi="宋体"/>
                <w:sz w:val="18"/>
              </w:rPr>
              <w:t>调查单位报送日期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9" w:hRule="atLeast"/>
          <w:jc w:val="center"/>
        </w:trPr>
        <w:tc>
          <w:tcPr>
            <w:tcW w:w="1052" w:type="dxa"/>
            <w:tcBorders>
              <w:top w:val="nil"/>
              <w:bottom w:val="nil"/>
            </w:tcBorders>
            <w:noWrap w:val="0"/>
            <w:vAlign w:val="center"/>
          </w:tcPr>
          <w:p>
            <w:pPr>
              <w:spacing w:before="120" w:beforeLines="50" w:line="220" w:lineRule="exact"/>
              <w:jc w:val="center"/>
              <w:rPr>
                <w:rFonts w:hint="eastAsia" w:ascii="宋体" w:hAnsi="宋体"/>
                <w:sz w:val="18"/>
              </w:rPr>
            </w:pPr>
            <w:r>
              <w:rPr>
                <w:rFonts w:hint="eastAsia" w:ascii="宋体" w:hAnsi="宋体" w:eastAsia="宋体" w:cs="Times New Roman"/>
                <w:sz w:val="18"/>
              </w:rPr>
              <w:t>表 号</w:t>
            </w:r>
          </w:p>
        </w:tc>
        <w:tc>
          <w:tcPr>
            <w:tcW w:w="1232" w:type="dxa"/>
            <w:vMerge w:val="continue"/>
            <w:noWrap w:val="0"/>
            <w:vAlign w:val="center"/>
          </w:tcPr>
          <w:p>
            <w:pPr>
              <w:spacing w:line="220" w:lineRule="exact"/>
              <w:jc w:val="center"/>
              <w:rPr>
                <w:rFonts w:hint="eastAsia" w:ascii="宋体" w:hAnsi="宋体"/>
                <w:sz w:val="18"/>
              </w:rPr>
            </w:pPr>
          </w:p>
        </w:tc>
        <w:tc>
          <w:tcPr>
            <w:tcW w:w="741" w:type="dxa"/>
            <w:vMerge w:val="continue"/>
            <w:noWrap w:val="0"/>
            <w:vAlign w:val="center"/>
          </w:tcPr>
          <w:p>
            <w:pPr>
              <w:spacing w:line="220" w:lineRule="exact"/>
              <w:jc w:val="center"/>
              <w:rPr>
                <w:rFonts w:hint="eastAsia" w:ascii="宋体" w:hAnsi="宋体"/>
                <w:sz w:val="18"/>
              </w:rPr>
            </w:pPr>
          </w:p>
        </w:tc>
        <w:tc>
          <w:tcPr>
            <w:tcW w:w="1492" w:type="dxa"/>
            <w:vMerge w:val="continue"/>
            <w:noWrap w:val="0"/>
            <w:vAlign w:val="center"/>
          </w:tcPr>
          <w:p>
            <w:pPr>
              <w:spacing w:line="220" w:lineRule="exact"/>
              <w:jc w:val="center"/>
              <w:rPr>
                <w:rFonts w:hint="eastAsia" w:ascii="宋体" w:hAnsi="宋体"/>
                <w:sz w:val="18"/>
              </w:rPr>
            </w:pPr>
          </w:p>
        </w:tc>
        <w:tc>
          <w:tcPr>
            <w:tcW w:w="1297" w:type="dxa"/>
            <w:vMerge w:val="continue"/>
            <w:noWrap w:val="0"/>
            <w:vAlign w:val="center"/>
          </w:tcPr>
          <w:p>
            <w:pPr>
              <w:spacing w:line="220" w:lineRule="exact"/>
              <w:jc w:val="center"/>
              <w:rPr>
                <w:rFonts w:hint="eastAsia" w:ascii="宋体" w:hAnsi="宋体"/>
                <w:sz w:val="18"/>
              </w:rPr>
            </w:pPr>
          </w:p>
        </w:tc>
        <w:tc>
          <w:tcPr>
            <w:tcW w:w="2670" w:type="dxa"/>
            <w:gridSpan w:val="2"/>
            <w:tcBorders>
              <w:top w:val="single" w:color="auto" w:sz="4" w:space="0"/>
            </w:tcBorders>
            <w:noWrap w:val="0"/>
            <w:vAlign w:val="center"/>
          </w:tcPr>
          <w:p>
            <w:pPr>
              <w:spacing w:line="220" w:lineRule="exact"/>
              <w:jc w:val="center"/>
              <w:rPr>
                <w:rFonts w:hint="eastAsia" w:ascii="宋体" w:hAnsi="宋体"/>
                <w:sz w:val="18"/>
              </w:rPr>
            </w:pPr>
            <w:r>
              <w:rPr>
                <w:rFonts w:hint="eastAsia" w:ascii="宋体" w:hAnsi="宋体"/>
                <w:sz w:val="18"/>
              </w:rPr>
              <w:t>调查单位上报时间</w:t>
            </w:r>
          </w:p>
        </w:tc>
        <w:tc>
          <w:tcPr>
            <w:tcW w:w="1172" w:type="dxa"/>
            <w:vMerge w:val="restart"/>
            <w:tcBorders>
              <w:top w:val="single" w:color="auto" w:sz="4" w:space="0"/>
            </w:tcBorders>
            <w:noWrap w:val="0"/>
            <w:vAlign w:val="center"/>
          </w:tcPr>
          <w:p>
            <w:pPr>
              <w:widowControl/>
              <w:jc w:val="center"/>
              <w:rPr>
                <w:rFonts w:hint="eastAsia" w:ascii="宋体" w:hAnsi="宋体"/>
                <w:spacing w:val="-8"/>
                <w:sz w:val="18"/>
              </w:rPr>
            </w:pPr>
            <w:r>
              <w:rPr>
                <w:rFonts w:hint="eastAsia" w:ascii="宋体" w:hAnsi="宋体"/>
                <w:spacing w:val="-2"/>
                <w:sz w:val="18"/>
              </w:rPr>
              <w:t>区统计机构验收截止时间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53" w:hRule="atLeast"/>
          <w:jc w:val="center"/>
        </w:trPr>
        <w:tc>
          <w:tcPr>
            <w:tcW w:w="1052" w:type="dxa"/>
            <w:tcBorders>
              <w:top w:val="nil"/>
              <w:bottom w:val="single" w:color="auto" w:sz="4" w:space="0"/>
            </w:tcBorders>
            <w:noWrap w:val="0"/>
            <w:vAlign w:val="center"/>
          </w:tcPr>
          <w:p>
            <w:pPr>
              <w:spacing w:line="220" w:lineRule="exact"/>
              <w:rPr>
                <w:rFonts w:hint="eastAsia" w:ascii="宋体" w:hAnsi="宋体"/>
                <w:sz w:val="18"/>
              </w:rPr>
            </w:pPr>
          </w:p>
        </w:tc>
        <w:tc>
          <w:tcPr>
            <w:tcW w:w="1232" w:type="dxa"/>
            <w:vMerge w:val="continue"/>
            <w:noWrap w:val="0"/>
            <w:vAlign w:val="center"/>
          </w:tcPr>
          <w:p>
            <w:pPr>
              <w:spacing w:line="220" w:lineRule="exact"/>
              <w:jc w:val="center"/>
              <w:rPr>
                <w:rFonts w:hint="eastAsia" w:ascii="宋体" w:hAnsi="宋体"/>
                <w:sz w:val="18"/>
              </w:rPr>
            </w:pPr>
          </w:p>
        </w:tc>
        <w:tc>
          <w:tcPr>
            <w:tcW w:w="741" w:type="dxa"/>
            <w:vMerge w:val="continue"/>
            <w:noWrap w:val="0"/>
            <w:vAlign w:val="center"/>
          </w:tcPr>
          <w:p>
            <w:pPr>
              <w:spacing w:line="220" w:lineRule="exact"/>
              <w:jc w:val="center"/>
              <w:rPr>
                <w:rFonts w:hint="eastAsia" w:ascii="宋体" w:hAnsi="宋体"/>
                <w:sz w:val="18"/>
              </w:rPr>
            </w:pPr>
          </w:p>
        </w:tc>
        <w:tc>
          <w:tcPr>
            <w:tcW w:w="1492" w:type="dxa"/>
            <w:vMerge w:val="continue"/>
            <w:noWrap w:val="0"/>
            <w:vAlign w:val="center"/>
          </w:tcPr>
          <w:p>
            <w:pPr>
              <w:spacing w:line="220" w:lineRule="exact"/>
              <w:jc w:val="center"/>
              <w:rPr>
                <w:rFonts w:hint="eastAsia" w:ascii="宋体" w:hAnsi="宋体"/>
                <w:sz w:val="18"/>
              </w:rPr>
            </w:pPr>
          </w:p>
        </w:tc>
        <w:tc>
          <w:tcPr>
            <w:tcW w:w="1297" w:type="dxa"/>
            <w:vMerge w:val="continue"/>
            <w:noWrap w:val="0"/>
            <w:vAlign w:val="center"/>
          </w:tcPr>
          <w:p>
            <w:pPr>
              <w:spacing w:line="220" w:lineRule="exact"/>
              <w:jc w:val="center"/>
              <w:rPr>
                <w:rFonts w:hint="eastAsia" w:ascii="宋体" w:hAnsi="宋体"/>
                <w:sz w:val="18"/>
              </w:rPr>
            </w:pPr>
          </w:p>
        </w:tc>
        <w:tc>
          <w:tcPr>
            <w:tcW w:w="1140" w:type="dxa"/>
            <w:tcBorders>
              <w:top w:val="single" w:color="auto" w:sz="4" w:space="0"/>
            </w:tcBorders>
            <w:noWrap w:val="0"/>
            <w:vAlign w:val="center"/>
          </w:tcPr>
          <w:p>
            <w:pPr>
              <w:spacing w:line="220" w:lineRule="exact"/>
              <w:jc w:val="center"/>
              <w:rPr>
                <w:rFonts w:hint="eastAsia" w:ascii="宋体" w:hAnsi="宋体"/>
                <w:sz w:val="18"/>
              </w:rPr>
            </w:pPr>
            <w:r>
              <w:rPr>
                <w:rFonts w:hint="eastAsia" w:ascii="宋体" w:hAnsi="宋体"/>
                <w:sz w:val="18"/>
              </w:rPr>
              <w:t>填报开网时间</w:t>
            </w:r>
          </w:p>
        </w:tc>
        <w:tc>
          <w:tcPr>
            <w:tcW w:w="1530" w:type="dxa"/>
            <w:tcBorders>
              <w:top w:val="single" w:color="auto" w:sz="4" w:space="0"/>
            </w:tcBorders>
            <w:noWrap w:val="0"/>
            <w:vAlign w:val="center"/>
          </w:tcPr>
          <w:p>
            <w:pPr>
              <w:spacing w:line="220" w:lineRule="exact"/>
              <w:jc w:val="center"/>
              <w:rPr>
                <w:rFonts w:hint="eastAsia" w:ascii="宋体" w:hAnsi="宋体"/>
                <w:sz w:val="18"/>
              </w:rPr>
            </w:pPr>
            <w:r>
              <w:rPr>
                <w:rFonts w:hint="eastAsia" w:ascii="宋体" w:hAnsi="宋体"/>
                <w:sz w:val="18"/>
              </w:rPr>
              <w:t>填报截止时间</w:t>
            </w:r>
          </w:p>
        </w:tc>
        <w:tc>
          <w:tcPr>
            <w:tcW w:w="1172" w:type="dxa"/>
            <w:vMerge w:val="continue"/>
            <w:noWrap w:val="0"/>
            <w:vAlign w:val="center"/>
          </w:tcPr>
          <w:p>
            <w:pPr>
              <w:spacing w:line="220" w:lineRule="exact"/>
              <w:jc w:val="center"/>
              <w:rPr>
                <w:rFonts w:hint="eastAsia" w:ascii="宋体" w:hAnsi="宋体"/>
                <w:sz w:val="18"/>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953" w:hRule="atLeast"/>
          <w:jc w:val="center"/>
        </w:trPr>
        <w:tc>
          <w:tcPr>
            <w:tcW w:w="1052" w:type="dxa"/>
            <w:tcBorders>
              <w:top w:val="single" w:color="auto" w:sz="4" w:space="0"/>
              <w:bottom w:val="single" w:color="auto" w:sz="4" w:space="0"/>
            </w:tcBorders>
            <w:noWrap w:val="0"/>
            <w:vAlign w:val="center"/>
          </w:tcPr>
          <w:p>
            <w:pPr>
              <w:jc w:val="center"/>
              <w:rPr>
                <w:rFonts w:hint="eastAsia" w:ascii="宋体" w:hAnsi="宋体"/>
                <w:kern w:val="2"/>
                <w:sz w:val="18"/>
                <w:szCs w:val="24"/>
                <w:lang w:val="en-US" w:eastAsia="zh-CN" w:bidi="ar-SA"/>
              </w:rPr>
            </w:pPr>
            <w:r>
              <w:rPr>
                <w:rFonts w:hint="eastAsia" w:ascii="宋体" w:hAnsi="宋体"/>
                <w:sz w:val="18"/>
                <w:szCs w:val="18"/>
              </w:rPr>
              <w:t>205-6表</w:t>
            </w:r>
          </w:p>
        </w:tc>
        <w:tc>
          <w:tcPr>
            <w:tcW w:w="1232" w:type="dxa"/>
            <w:tcBorders>
              <w:top w:val="single" w:color="auto" w:sz="4" w:space="0"/>
              <w:bottom w:val="single" w:color="auto" w:sz="4" w:space="0"/>
            </w:tcBorders>
            <w:noWrap w:val="0"/>
            <w:vAlign w:val="center"/>
          </w:tcPr>
          <w:p>
            <w:pPr>
              <w:rPr>
                <w:rFonts w:hint="eastAsia" w:ascii="宋体" w:hAnsi="宋体"/>
                <w:kern w:val="2"/>
                <w:sz w:val="18"/>
                <w:szCs w:val="24"/>
                <w:lang w:val="en-US" w:eastAsia="zh-CN" w:bidi="ar-SA"/>
              </w:rPr>
            </w:pPr>
            <w:r>
              <w:rPr>
                <w:rFonts w:hint="eastAsia" w:ascii="宋体" w:hAnsi="宋体"/>
                <w:sz w:val="18"/>
                <w:szCs w:val="18"/>
              </w:rPr>
              <w:t>能源生产、销售与库存</w:t>
            </w:r>
          </w:p>
        </w:tc>
        <w:tc>
          <w:tcPr>
            <w:tcW w:w="741" w:type="dxa"/>
            <w:tcBorders>
              <w:top w:val="single" w:color="auto" w:sz="4" w:space="0"/>
              <w:bottom w:val="single" w:color="auto" w:sz="4" w:space="0"/>
            </w:tcBorders>
            <w:noWrap w:val="0"/>
            <w:vAlign w:val="center"/>
          </w:tcPr>
          <w:p>
            <w:pPr>
              <w:jc w:val="center"/>
              <w:rPr>
                <w:rFonts w:hint="eastAsia" w:ascii="宋体" w:hAnsi="宋体"/>
                <w:kern w:val="2"/>
                <w:sz w:val="18"/>
                <w:szCs w:val="24"/>
                <w:lang w:val="en-US" w:eastAsia="zh-CN" w:bidi="ar-SA"/>
              </w:rPr>
            </w:pPr>
            <w:r>
              <w:rPr>
                <w:rFonts w:hint="eastAsia" w:ascii="宋体" w:hAnsi="宋体"/>
                <w:sz w:val="18"/>
                <w:szCs w:val="18"/>
              </w:rPr>
              <w:t>月报</w:t>
            </w:r>
          </w:p>
        </w:tc>
        <w:tc>
          <w:tcPr>
            <w:tcW w:w="1492" w:type="dxa"/>
            <w:tcBorders>
              <w:top w:val="single" w:color="auto" w:sz="4" w:space="0"/>
              <w:bottom w:val="single" w:color="auto" w:sz="4" w:space="0"/>
            </w:tcBorders>
            <w:noWrap w:val="0"/>
            <w:vAlign w:val="center"/>
          </w:tcPr>
          <w:p>
            <w:pPr>
              <w:pStyle w:val="15"/>
              <w:pBdr>
                <w:bottom w:val="none" w:color="auto" w:sz="0" w:space="0"/>
              </w:pBdr>
              <w:tabs>
                <w:tab w:val="clear" w:pos="4153"/>
                <w:tab w:val="clear" w:pos="8306"/>
              </w:tabs>
              <w:snapToGrid/>
              <w:spacing w:line="240" w:lineRule="exact"/>
              <w:jc w:val="both"/>
              <w:rPr>
                <w:rFonts w:hint="eastAsia" w:ascii="宋体" w:hAnsi="宋体"/>
                <w:kern w:val="2"/>
                <w:sz w:val="18"/>
                <w:szCs w:val="18"/>
                <w:lang w:val="en-US" w:eastAsia="zh-CN" w:bidi="ar-SA"/>
              </w:rPr>
            </w:pPr>
            <w:r>
              <w:rPr>
                <w:rFonts w:ascii="宋体" w:hAnsi="宋体"/>
              </w:rPr>
              <w:t>辖区内规模以上工业、有资质的建筑业、限额以上批发和零售业、限额以上住宿和餐饮业、</w:t>
            </w:r>
            <w:r>
              <w:rPr>
                <w:rFonts w:hint="eastAsia" w:ascii="宋体" w:hAnsi="宋体"/>
                <w:lang w:eastAsia="zh-CN"/>
              </w:rPr>
              <w:t>有开发经营活动的房地产开发经营业、</w:t>
            </w:r>
            <w:r>
              <w:rPr>
                <w:rFonts w:ascii="宋体" w:hAnsi="宋体"/>
              </w:rPr>
              <w:t>规模以上服务业</w:t>
            </w:r>
            <w:r>
              <w:rPr>
                <w:rFonts w:hint="eastAsia" w:ascii="宋体" w:hAnsi="宋体"/>
              </w:rPr>
              <w:t>等重点</w:t>
            </w:r>
            <w:r>
              <w:rPr>
                <w:rFonts w:ascii="宋体" w:hAnsi="宋体"/>
              </w:rPr>
              <w:t>法人单位</w:t>
            </w:r>
            <w:r>
              <w:rPr>
                <w:rFonts w:hint="eastAsia" w:ascii="宋体"/>
                <w:sz w:val="18"/>
              </w:rPr>
              <w:t>和规模以上</w:t>
            </w:r>
            <w:r>
              <w:rPr>
                <w:rFonts w:hint="eastAsia" w:ascii="宋体"/>
                <w:sz w:val="18"/>
                <w:lang w:eastAsia="zh-CN"/>
              </w:rPr>
              <w:t>工业</w:t>
            </w:r>
            <w:r>
              <w:rPr>
                <w:rFonts w:hint="eastAsia" w:ascii="宋体"/>
                <w:sz w:val="18"/>
              </w:rPr>
              <w:t>个体经营户</w:t>
            </w:r>
          </w:p>
        </w:tc>
        <w:tc>
          <w:tcPr>
            <w:tcW w:w="1297" w:type="dxa"/>
            <w:tcBorders>
              <w:top w:val="single" w:color="auto" w:sz="4" w:space="0"/>
              <w:bottom w:val="single" w:color="auto" w:sz="4" w:space="0"/>
            </w:tcBorders>
            <w:noWrap w:val="0"/>
            <w:vAlign w:val="center"/>
          </w:tcPr>
          <w:p>
            <w:pPr>
              <w:spacing w:line="240" w:lineRule="exact"/>
              <w:jc w:val="center"/>
              <w:rPr>
                <w:rFonts w:hint="eastAsia" w:ascii="宋体" w:hAnsi="宋体"/>
                <w:kern w:val="2"/>
                <w:sz w:val="18"/>
                <w:szCs w:val="24"/>
                <w:lang w:val="en-US" w:eastAsia="zh-CN" w:bidi="ar-SA"/>
              </w:rPr>
            </w:pPr>
            <w:r>
              <w:rPr>
                <w:rFonts w:ascii="宋体" w:hAnsi="宋体"/>
                <w:sz w:val="18"/>
                <w:szCs w:val="18"/>
              </w:rPr>
              <w:t>法人单位</w:t>
            </w:r>
            <w:r>
              <w:rPr>
                <w:rFonts w:hint="eastAsia" w:ascii="宋体" w:hAnsi="宋体"/>
                <w:sz w:val="18"/>
                <w:szCs w:val="18"/>
                <w:lang w:eastAsia="zh-CN"/>
              </w:rPr>
              <w:t>和个体经营户</w:t>
            </w:r>
          </w:p>
        </w:tc>
        <w:tc>
          <w:tcPr>
            <w:tcW w:w="1140" w:type="dxa"/>
            <w:tcBorders>
              <w:top w:val="single" w:color="auto" w:sz="4" w:space="0"/>
              <w:bottom w:val="single" w:color="auto" w:sz="4" w:space="0"/>
            </w:tcBorders>
            <w:noWrap w:val="0"/>
            <w:vAlign w:val="center"/>
          </w:tcPr>
          <w:p>
            <w:pPr>
              <w:rPr>
                <w:rFonts w:hint="eastAsia" w:ascii="宋体" w:hAnsi="宋体" w:eastAsia="宋体" w:cs="Times New Roman"/>
                <w:color w:val="auto"/>
                <w:kern w:val="2"/>
                <w:sz w:val="18"/>
                <w:szCs w:val="18"/>
                <w:lang w:val="en-US" w:eastAsia="zh-CN" w:bidi="ar-SA"/>
              </w:rPr>
            </w:pPr>
            <w:r>
              <w:rPr>
                <w:rFonts w:hint="eastAsia" w:ascii="宋体" w:hAnsi="宋体" w:eastAsia="宋体" w:cs="Times New Roman"/>
                <w:color w:val="auto"/>
                <w:sz w:val="18"/>
                <w:szCs w:val="18"/>
              </w:rPr>
              <w:t>4</w:t>
            </w:r>
            <w:r>
              <w:rPr>
                <w:rFonts w:hint="eastAsia" w:ascii="宋体" w:hAnsi="宋体" w:eastAsia="宋体" w:cs="Times New Roman"/>
                <w:color w:val="auto"/>
                <w:sz w:val="18"/>
                <w:szCs w:val="18"/>
                <w:lang w:eastAsia="zh-CN"/>
              </w:rPr>
              <w:t>、</w:t>
            </w:r>
            <w:r>
              <w:rPr>
                <w:rFonts w:hint="eastAsia" w:ascii="宋体" w:hAnsi="宋体" w:eastAsia="宋体" w:cs="Times New Roman"/>
                <w:color w:val="auto"/>
                <w:sz w:val="18"/>
                <w:szCs w:val="18"/>
              </w:rPr>
              <w:t>9月</w:t>
            </w:r>
            <w:r>
              <w:rPr>
                <w:rFonts w:hint="eastAsia" w:ascii="宋体" w:hAnsi="宋体" w:eastAsia="宋体" w:cs="Times New Roman"/>
                <w:color w:val="auto"/>
                <w:sz w:val="18"/>
                <w:szCs w:val="18"/>
                <w:lang w:val="en-US" w:eastAsia="zh-CN"/>
              </w:rPr>
              <w:t>30</w:t>
            </w:r>
            <w:r>
              <w:rPr>
                <w:rFonts w:hint="eastAsia" w:ascii="宋体" w:hAnsi="宋体" w:eastAsia="宋体" w:cs="Times New Roman"/>
                <w:color w:val="auto"/>
                <w:sz w:val="18"/>
                <w:szCs w:val="18"/>
              </w:rPr>
              <w:t>日，12月31日，其他月月后1日0:00</w:t>
            </w:r>
          </w:p>
        </w:tc>
        <w:tc>
          <w:tcPr>
            <w:tcW w:w="1530" w:type="dxa"/>
            <w:tcBorders>
              <w:top w:val="single" w:color="auto" w:sz="4" w:space="0"/>
              <w:bottom w:val="single" w:color="auto" w:sz="4" w:space="0"/>
            </w:tcBorders>
            <w:noWrap w:val="0"/>
            <w:vAlign w:val="center"/>
          </w:tcPr>
          <w:p>
            <w:pP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2、10月月后6日，6、7、8、11月月后7日，3、5、12月月后8日，4月月后9日，9月月后12日12:00前网上填报</w:t>
            </w:r>
          </w:p>
        </w:tc>
        <w:tc>
          <w:tcPr>
            <w:tcW w:w="1172" w:type="dxa"/>
            <w:tcBorders>
              <w:top w:val="single" w:color="auto" w:sz="4" w:space="0"/>
              <w:bottom w:val="single" w:color="auto" w:sz="4" w:space="0"/>
            </w:tcBorders>
            <w:noWrap w:val="0"/>
            <w:vAlign w:val="center"/>
          </w:tcPr>
          <w:p>
            <w:pPr>
              <w:spacing w:line="220" w:lineRule="exact"/>
              <w:jc w:val="both"/>
              <w:rPr>
                <w:rFonts w:hint="eastAsia" w:ascii="宋体" w:hAnsi="宋体"/>
                <w:kern w:val="2"/>
                <w:sz w:val="18"/>
                <w:szCs w:val="24"/>
                <w:lang w:val="en-US" w:eastAsia="zh-CN" w:bidi="ar-SA"/>
              </w:rPr>
            </w:pPr>
            <w:r>
              <w:rPr>
                <w:rFonts w:hint="eastAsia" w:ascii="宋体" w:hAnsi="宋体"/>
                <w:sz w:val="18"/>
              </w:rPr>
              <w:t>以“</w:t>
            </w:r>
            <w:r>
              <w:rPr>
                <w:rFonts w:hint="eastAsia" w:ascii="宋体" w:hAnsi="宋体"/>
                <w:sz w:val="18"/>
                <w:lang w:val="en-US" w:eastAsia="zh-CN"/>
              </w:rPr>
              <w:t>国家</w:t>
            </w:r>
            <w:r>
              <w:rPr>
                <w:rFonts w:hint="eastAsia" w:ascii="宋体" w:hAnsi="宋体"/>
                <w:sz w:val="18"/>
                <w:lang w:eastAsia="zh-CN"/>
              </w:rPr>
              <w:t>统计云工作</w:t>
            </w:r>
            <w:r>
              <w:rPr>
                <w:rFonts w:hint="eastAsia" w:ascii="宋体" w:hAnsi="宋体"/>
                <w:sz w:val="18"/>
              </w:rPr>
              <w:t>台”规定验收截止时间为准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707" w:hRule="atLeast"/>
          <w:jc w:val="center"/>
        </w:trPr>
        <w:tc>
          <w:tcPr>
            <w:tcW w:w="1052" w:type="dxa"/>
            <w:tcBorders>
              <w:top w:val="single" w:color="auto" w:sz="4" w:space="0"/>
              <w:bottom w:val="single" w:color="auto" w:sz="4" w:space="0"/>
            </w:tcBorders>
            <w:noWrap w:val="0"/>
            <w:vAlign w:val="center"/>
          </w:tcPr>
          <w:p>
            <w:pPr>
              <w:spacing w:line="240" w:lineRule="exact"/>
              <w:jc w:val="center"/>
              <w:rPr>
                <w:rFonts w:hint="eastAsia" w:ascii="宋体" w:hAnsi="宋体"/>
                <w:sz w:val="18"/>
              </w:rPr>
            </w:pPr>
            <w:r>
              <w:rPr>
                <w:rFonts w:hint="eastAsia" w:ascii="宋体" w:hAnsi="宋体"/>
                <w:sz w:val="18"/>
              </w:rPr>
              <w:t>205-7表</w:t>
            </w:r>
          </w:p>
        </w:tc>
        <w:tc>
          <w:tcPr>
            <w:tcW w:w="1232" w:type="dxa"/>
            <w:tcBorders>
              <w:top w:val="single" w:color="auto" w:sz="4" w:space="0"/>
              <w:bottom w:val="single" w:color="auto" w:sz="4" w:space="0"/>
            </w:tcBorders>
            <w:noWrap w:val="0"/>
            <w:vAlign w:val="center"/>
          </w:tcPr>
          <w:p>
            <w:pPr>
              <w:spacing w:line="240" w:lineRule="exact"/>
              <w:rPr>
                <w:rFonts w:hint="eastAsia" w:ascii="宋体" w:hAnsi="宋体"/>
                <w:sz w:val="18"/>
              </w:rPr>
            </w:pPr>
            <w:r>
              <w:rPr>
                <w:rFonts w:hint="eastAsia" w:ascii="宋体" w:hAnsi="宋体"/>
                <w:sz w:val="18"/>
                <w:szCs w:val="18"/>
              </w:rPr>
              <w:t>重点能源商品经销情况</w:t>
            </w:r>
          </w:p>
        </w:tc>
        <w:tc>
          <w:tcPr>
            <w:tcW w:w="741" w:type="dxa"/>
            <w:tcBorders>
              <w:top w:val="single" w:color="auto" w:sz="4" w:space="0"/>
              <w:bottom w:val="single" w:color="auto" w:sz="4" w:space="0"/>
            </w:tcBorders>
            <w:noWrap w:val="0"/>
            <w:vAlign w:val="center"/>
          </w:tcPr>
          <w:p>
            <w:pPr>
              <w:spacing w:line="240" w:lineRule="exact"/>
              <w:jc w:val="center"/>
              <w:rPr>
                <w:rFonts w:hint="eastAsia" w:ascii="宋体" w:hAnsi="宋体"/>
                <w:sz w:val="18"/>
              </w:rPr>
            </w:pPr>
            <w:r>
              <w:rPr>
                <w:rFonts w:hint="eastAsia" w:ascii="宋体" w:hAnsi="宋体"/>
                <w:sz w:val="18"/>
                <w:szCs w:val="18"/>
              </w:rPr>
              <w:t>月报</w:t>
            </w:r>
          </w:p>
        </w:tc>
        <w:tc>
          <w:tcPr>
            <w:tcW w:w="1492" w:type="dxa"/>
            <w:tcBorders>
              <w:top w:val="single" w:color="auto" w:sz="4" w:space="0"/>
              <w:bottom w:val="single" w:color="auto" w:sz="4" w:space="0"/>
            </w:tcBorders>
            <w:noWrap w:val="0"/>
            <w:vAlign w:val="center"/>
          </w:tcPr>
          <w:p>
            <w:pPr>
              <w:pStyle w:val="15"/>
              <w:pBdr>
                <w:bottom w:val="none" w:color="auto" w:sz="0" w:space="0"/>
              </w:pBdr>
              <w:tabs>
                <w:tab w:val="clear" w:pos="4153"/>
                <w:tab w:val="clear" w:pos="8306"/>
              </w:tabs>
              <w:snapToGrid/>
              <w:spacing w:line="240" w:lineRule="exact"/>
              <w:jc w:val="both"/>
              <w:rPr>
                <w:rFonts w:hint="eastAsia" w:ascii="宋体" w:hAnsi="宋体"/>
                <w:sz w:val="18"/>
              </w:rPr>
            </w:pPr>
            <w:r>
              <w:rPr>
                <w:rFonts w:ascii="宋体" w:hAnsi="宋体"/>
              </w:rPr>
              <w:t>辖区内有资质的建筑业、限额以上批发和零售业、限额以上住宿和餐饮业、</w:t>
            </w:r>
            <w:r>
              <w:rPr>
                <w:rFonts w:hint="eastAsia" w:ascii="宋体" w:hAnsi="宋体"/>
                <w:lang w:eastAsia="zh-CN"/>
              </w:rPr>
              <w:t>有开发经营活动的房地产开发经营业</w:t>
            </w:r>
            <w:r>
              <w:rPr>
                <w:rFonts w:ascii="宋体" w:hAnsi="宋体"/>
              </w:rPr>
              <w:t>和规模以上服务业</w:t>
            </w:r>
            <w:r>
              <w:rPr>
                <w:rFonts w:hint="eastAsia" w:ascii="宋体" w:hAnsi="宋体"/>
              </w:rPr>
              <w:t>等重点</w:t>
            </w:r>
            <w:r>
              <w:rPr>
                <w:rFonts w:ascii="宋体" w:hAnsi="宋体"/>
              </w:rPr>
              <w:t>法人单位</w:t>
            </w:r>
          </w:p>
        </w:tc>
        <w:tc>
          <w:tcPr>
            <w:tcW w:w="1297" w:type="dxa"/>
            <w:tcBorders>
              <w:top w:val="single" w:color="auto" w:sz="4" w:space="0"/>
              <w:bottom w:val="single" w:color="auto" w:sz="4" w:space="0"/>
            </w:tcBorders>
            <w:noWrap w:val="0"/>
            <w:vAlign w:val="center"/>
          </w:tcPr>
          <w:p>
            <w:pPr>
              <w:spacing w:line="240" w:lineRule="exact"/>
              <w:jc w:val="center"/>
              <w:rPr>
                <w:rFonts w:hint="eastAsia" w:ascii="宋体" w:hAnsi="宋体"/>
                <w:sz w:val="18"/>
              </w:rPr>
            </w:pPr>
            <w:r>
              <w:rPr>
                <w:rFonts w:ascii="宋体" w:hAnsi="宋体"/>
                <w:sz w:val="18"/>
                <w:szCs w:val="18"/>
              </w:rPr>
              <w:t>法人单位</w:t>
            </w:r>
          </w:p>
        </w:tc>
        <w:tc>
          <w:tcPr>
            <w:tcW w:w="1140" w:type="dxa"/>
            <w:tcBorders>
              <w:top w:val="single" w:color="auto" w:sz="4" w:space="0"/>
              <w:bottom w:val="single" w:color="auto" w:sz="4" w:space="0"/>
            </w:tcBorders>
            <w:noWrap w:val="0"/>
            <w:vAlign w:val="center"/>
          </w:tcPr>
          <w:p>
            <w:pPr>
              <w:rPr>
                <w:rFonts w:hint="eastAsia" w:ascii="宋体" w:hAnsi="宋体" w:eastAsia="宋体" w:cs="Times New Roman"/>
                <w:color w:val="auto"/>
                <w:sz w:val="18"/>
                <w:szCs w:val="18"/>
              </w:rPr>
            </w:pPr>
            <w:r>
              <w:rPr>
                <w:rFonts w:hint="eastAsia" w:ascii="宋体" w:hAnsi="宋体" w:eastAsia="宋体" w:cs="Times New Roman"/>
                <w:color w:val="auto"/>
                <w:sz w:val="18"/>
                <w:szCs w:val="18"/>
              </w:rPr>
              <w:t>4</w:t>
            </w:r>
            <w:r>
              <w:rPr>
                <w:rFonts w:hint="eastAsia" w:ascii="宋体" w:hAnsi="宋体" w:eastAsia="宋体" w:cs="Times New Roman"/>
                <w:color w:val="auto"/>
                <w:sz w:val="18"/>
                <w:szCs w:val="18"/>
                <w:lang w:eastAsia="zh-CN"/>
              </w:rPr>
              <w:t>、</w:t>
            </w:r>
            <w:r>
              <w:rPr>
                <w:rFonts w:hint="eastAsia" w:ascii="宋体" w:hAnsi="宋体" w:eastAsia="宋体" w:cs="Times New Roman"/>
                <w:color w:val="auto"/>
                <w:sz w:val="18"/>
                <w:szCs w:val="18"/>
              </w:rPr>
              <w:t>9月</w:t>
            </w:r>
            <w:r>
              <w:rPr>
                <w:rFonts w:hint="eastAsia" w:ascii="宋体" w:hAnsi="宋体" w:eastAsia="宋体" w:cs="Times New Roman"/>
                <w:color w:val="auto"/>
                <w:sz w:val="18"/>
                <w:szCs w:val="18"/>
                <w:lang w:val="en-US" w:eastAsia="zh-CN"/>
              </w:rPr>
              <w:t>30</w:t>
            </w:r>
            <w:r>
              <w:rPr>
                <w:rFonts w:hint="eastAsia" w:ascii="宋体" w:hAnsi="宋体" w:eastAsia="宋体" w:cs="Times New Roman"/>
                <w:color w:val="auto"/>
                <w:sz w:val="18"/>
                <w:szCs w:val="18"/>
              </w:rPr>
              <w:t>日，12月31日，其他月月后1日0:00</w:t>
            </w:r>
          </w:p>
        </w:tc>
        <w:tc>
          <w:tcPr>
            <w:tcW w:w="1530" w:type="dxa"/>
            <w:tcBorders>
              <w:top w:val="single" w:color="auto" w:sz="4" w:space="0"/>
              <w:bottom w:val="single" w:color="auto" w:sz="4" w:space="0"/>
            </w:tcBorders>
            <w:noWrap w:val="0"/>
            <w:vAlign w:val="center"/>
          </w:tcPr>
          <w:p>
            <w:pPr>
              <w:jc w:val="center"/>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同上</w:t>
            </w:r>
          </w:p>
        </w:tc>
        <w:tc>
          <w:tcPr>
            <w:tcW w:w="1172" w:type="dxa"/>
            <w:tcBorders>
              <w:top w:val="single" w:color="auto" w:sz="4" w:space="0"/>
              <w:bottom w:val="single" w:color="auto" w:sz="4" w:space="0"/>
            </w:tcBorders>
            <w:noWrap w:val="0"/>
            <w:vAlign w:val="center"/>
          </w:tcPr>
          <w:p>
            <w:pPr>
              <w:spacing w:line="220" w:lineRule="exact"/>
              <w:jc w:val="center"/>
              <w:rPr>
                <w:rFonts w:hint="eastAsia" w:ascii="宋体" w:hAnsi="宋体"/>
                <w:sz w:val="18"/>
              </w:rPr>
            </w:pPr>
            <w:r>
              <w:rPr>
                <w:rFonts w:hint="eastAsia" w:ascii="宋体" w:hAnsi="宋体"/>
                <w:sz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32" w:hRule="atLeast"/>
          <w:jc w:val="center"/>
        </w:trPr>
        <w:tc>
          <w:tcPr>
            <w:tcW w:w="1052" w:type="dxa"/>
            <w:tcBorders>
              <w:top w:val="single" w:color="auto" w:sz="4" w:space="0"/>
              <w:bottom w:val="single" w:color="auto" w:sz="8" w:space="0"/>
            </w:tcBorders>
            <w:noWrap w:val="0"/>
            <w:vAlign w:val="center"/>
          </w:tcPr>
          <w:p>
            <w:pPr>
              <w:spacing w:line="240" w:lineRule="exact"/>
              <w:jc w:val="center"/>
              <w:rPr>
                <w:rFonts w:hint="eastAsia" w:ascii="宋体" w:hAnsi="宋体"/>
                <w:sz w:val="18"/>
              </w:rPr>
            </w:pPr>
            <w:r>
              <w:rPr>
                <w:rFonts w:hint="eastAsia" w:ascii="宋体" w:hAnsi="宋体"/>
                <w:sz w:val="18"/>
              </w:rPr>
              <w:t>P206表</w:t>
            </w:r>
          </w:p>
        </w:tc>
        <w:tc>
          <w:tcPr>
            <w:tcW w:w="1232" w:type="dxa"/>
            <w:tcBorders>
              <w:top w:val="single" w:color="auto" w:sz="4" w:space="0"/>
              <w:bottom w:val="single" w:color="auto" w:sz="8" w:space="0"/>
            </w:tcBorders>
            <w:noWrap w:val="0"/>
            <w:vAlign w:val="center"/>
          </w:tcPr>
          <w:p>
            <w:pPr>
              <w:spacing w:line="240" w:lineRule="exact"/>
              <w:rPr>
                <w:rFonts w:hint="eastAsia" w:ascii="宋体" w:hAnsi="宋体"/>
                <w:sz w:val="18"/>
                <w:szCs w:val="18"/>
              </w:rPr>
            </w:pPr>
            <w:r>
              <w:rPr>
                <w:rFonts w:hint="eastAsia" w:ascii="宋体" w:hAnsi="宋体"/>
                <w:sz w:val="18"/>
                <w:szCs w:val="18"/>
              </w:rPr>
              <w:t>四下企业主要能源产品产量</w:t>
            </w:r>
          </w:p>
        </w:tc>
        <w:tc>
          <w:tcPr>
            <w:tcW w:w="741" w:type="dxa"/>
            <w:tcBorders>
              <w:top w:val="single" w:color="auto" w:sz="4" w:space="0"/>
              <w:bottom w:val="single" w:color="auto" w:sz="8" w:space="0"/>
            </w:tcBorders>
            <w:noWrap w:val="0"/>
            <w:vAlign w:val="center"/>
          </w:tcPr>
          <w:p>
            <w:pPr>
              <w:spacing w:line="240" w:lineRule="exact"/>
              <w:jc w:val="center"/>
              <w:rPr>
                <w:rFonts w:hint="eastAsia" w:ascii="宋体" w:hAnsi="宋体"/>
                <w:sz w:val="18"/>
                <w:szCs w:val="18"/>
              </w:rPr>
            </w:pPr>
            <w:r>
              <w:rPr>
                <w:rFonts w:hint="eastAsia" w:ascii="宋体" w:hAnsi="宋体"/>
                <w:sz w:val="18"/>
                <w:szCs w:val="18"/>
              </w:rPr>
              <w:t>半年报</w:t>
            </w:r>
          </w:p>
        </w:tc>
        <w:tc>
          <w:tcPr>
            <w:tcW w:w="1492" w:type="dxa"/>
            <w:tcBorders>
              <w:top w:val="single" w:color="auto" w:sz="4" w:space="0"/>
              <w:bottom w:val="single" w:color="auto" w:sz="8" w:space="0"/>
            </w:tcBorders>
            <w:noWrap w:val="0"/>
            <w:vAlign w:val="center"/>
          </w:tcPr>
          <w:p>
            <w:pPr>
              <w:pStyle w:val="15"/>
              <w:pBdr>
                <w:bottom w:val="none" w:color="auto" w:sz="0" w:space="0"/>
              </w:pBdr>
              <w:tabs>
                <w:tab w:val="clear" w:pos="4153"/>
                <w:tab w:val="clear" w:pos="8306"/>
              </w:tabs>
              <w:snapToGrid/>
              <w:spacing w:line="240" w:lineRule="exact"/>
              <w:jc w:val="both"/>
              <w:rPr>
                <w:rFonts w:hint="eastAsia" w:ascii="宋体" w:hAnsi="宋体"/>
                <w:sz w:val="18"/>
                <w:szCs w:val="18"/>
              </w:rPr>
            </w:pPr>
            <w:r>
              <w:rPr>
                <w:rFonts w:hint="eastAsia" w:ascii="宋体" w:hAnsi="宋体"/>
                <w:sz w:val="18"/>
                <w:szCs w:val="18"/>
              </w:rPr>
              <w:t>辖区内有原煤、天然气和火电生产的规模以下工业、资质外的建筑业、限额以下批发和零售业、限额以下住宿和餐饮业和规模以下服务业等重点法人单位</w:t>
            </w:r>
          </w:p>
        </w:tc>
        <w:tc>
          <w:tcPr>
            <w:tcW w:w="1297" w:type="dxa"/>
            <w:tcBorders>
              <w:top w:val="single" w:color="auto" w:sz="4" w:space="0"/>
              <w:bottom w:val="single" w:color="auto" w:sz="8" w:space="0"/>
            </w:tcBorders>
            <w:noWrap w:val="0"/>
            <w:vAlign w:val="center"/>
          </w:tcPr>
          <w:p>
            <w:pPr>
              <w:spacing w:line="240" w:lineRule="exact"/>
              <w:jc w:val="center"/>
              <w:rPr>
                <w:rFonts w:hint="eastAsia" w:ascii="宋体" w:hAnsi="宋体"/>
                <w:sz w:val="18"/>
                <w:szCs w:val="18"/>
              </w:rPr>
            </w:pPr>
            <w:r>
              <w:rPr>
                <w:rFonts w:hint="eastAsia" w:ascii="宋体" w:hAnsi="宋体"/>
                <w:sz w:val="18"/>
                <w:szCs w:val="18"/>
                <w:lang w:eastAsia="zh-CN"/>
              </w:rPr>
              <w:t>同上</w:t>
            </w:r>
          </w:p>
        </w:tc>
        <w:tc>
          <w:tcPr>
            <w:tcW w:w="1140" w:type="dxa"/>
            <w:tcBorders>
              <w:top w:val="single" w:color="auto" w:sz="4" w:space="0"/>
              <w:bottom w:val="single" w:color="auto" w:sz="8" w:space="0"/>
            </w:tcBorders>
            <w:noWrap w:val="0"/>
            <w:vAlign w:val="center"/>
          </w:tcPr>
          <w:p>
            <w:pPr>
              <w:snapToGrid w:val="0"/>
              <w:spacing w:line="280" w:lineRule="exact"/>
              <w:jc w:val="left"/>
              <w:rPr>
                <w:rFonts w:hint="eastAsia" w:ascii="宋体" w:hAnsi="宋体" w:eastAsia="宋体" w:cs="Times New Roman"/>
                <w:sz w:val="18"/>
                <w:szCs w:val="18"/>
              </w:rPr>
            </w:pPr>
            <w:r>
              <w:rPr>
                <w:rFonts w:hint="eastAsia" w:ascii="宋体" w:hAnsi="宋体"/>
                <w:sz w:val="18"/>
                <w:szCs w:val="18"/>
              </w:rPr>
              <w:t>上半年免报，下半年次年1月1日0:00</w:t>
            </w:r>
          </w:p>
        </w:tc>
        <w:tc>
          <w:tcPr>
            <w:tcW w:w="1530" w:type="dxa"/>
            <w:tcBorders>
              <w:top w:val="single" w:color="auto" w:sz="4" w:space="0"/>
              <w:bottom w:val="single" w:color="auto" w:sz="8" w:space="0"/>
            </w:tcBorders>
            <w:noWrap w:val="0"/>
            <w:vAlign w:val="center"/>
          </w:tcPr>
          <w:p>
            <w:pPr>
              <w:snapToGrid w:val="0"/>
              <w:spacing w:line="280" w:lineRule="exact"/>
              <w:jc w:val="left"/>
              <w:rPr>
                <w:rFonts w:hint="eastAsia" w:ascii="宋体" w:hAnsi="宋体" w:eastAsia="宋体" w:cs="Times New Roman"/>
                <w:sz w:val="18"/>
                <w:szCs w:val="18"/>
                <w:lang w:val="en-US" w:eastAsia="zh-CN"/>
              </w:rPr>
            </w:pPr>
            <w:r>
              <w:rPr>
                <w:rFonts w:hint="eastAsia" w:ascii="宋体" w:hAnsi="宋体"/>
                <w:sz w:val="18"/>
                <w:szCs w:val="18"/>
                <w:lang w:eastAsia="zh-CN"/>
              </w:rPr>
              <w:t>上半年免报，下半年次年</w:t>
            </w:r>
            <w:r>
              <w:rPr>
                <w:rFonts w:hint="eastAsia" w:ascii="宋体" w:hAnsi="宋体"/>
                <w:sz w:val="18"/>
                <w:szCs w:val="18"/>
                <w:lang w:val="en-US" w:eastAsia="zh-CN"/>
              </w:rPr>
              <w:t>1月12日</w:t>
            </w:r>
            <w:r>
              <w:rPr>
                <w:rFonts w:hint="eastAsia" w:ascii="宋体" w:hAnsi="宋体"/>
                <w:sz w:val="18"/>
                <w:szCs w:val="18"/>
              </w:rPr>
              <w:t>12:00前</w:t>
            </w:r>
            <w:r>
              <w:rPr>
                <w:rFonts w:ascii="宋体" w:hAnsi="宋体"/>
                <w:sz w:val="18"/>
                <w:szCs w:val="18"/>
              </w:rPr>
              <w:t>网上填报</w:t>
            </w:r>
          </w:p>
        </w:tc>
        <w:tc>
          <w:tcPr>
            <w:tcW w:w="1172" w:type="dxa"/>
            <w:tcBorders>
              <w:top w:val="single" w:color="auto" w:sz="4" w:space="0"/>
              <w:bottom w:val="single" w:color="auto" w:sz="8" w:space="0"/>
            </w:tcBorders>
            <w:noWrap w:val="0"/>
            <w:vAlign w:val="center"/>
          </w:tcPr>
          <w:p>
            <w:pPr>
              <w:spacing w:line="220" w:lineRule="exact"/>
              <w:jc w:val="center"/>
              <w:rPr>
                <w:rFonts w:hint="eastAsia" w:ascii="宋体" w:hAnsi="宋体"/>
                <w:sz w:val="18"/>
              </w:rPr>
            </w:pPr>
            <w:r>
              <w:rPr>
                <w:rFonts w:hint="eastAsia" w:ascii="宋体" w:hAnsi="宋体"/>
                <w:sz w:val="18"/>
              </w:rPr>
              <w:t>同上</w:t>
            </w:r>
          </w:p>
        </w:tc>
      </w:tr>
    </w:tbl>
    <w:p>
      <w:pPr>
        <w:pStyle w:val="7"/>
        <w:numPr>
          <w:ilvl w:val="255"/>
          <w:numId w:val="0"/>
        </w:numPr>
        <w:rPr>
          <w:rFonts w:asciiTheme="minorEastAsia" w:hAnsiTheme="minorEastAsia" w:eastAsiaTheme="minorEastAsia" w:cstheme="minorEastAsia"/>
          <w:sz w:val="18"/>
          <w:szCs w:val="18"/>
        </w:rPr>
      </w:pPr>
    </w:p>
    <w:p>
      <w:pPr>
        <w:adjustRightInd w:val="0"/>
        <w:snapToGrid w:val="0"/>
        <w:spacing w:before="120" w:beforeLines="50" w:after="48" w:afterLines="20"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二</w:t>
      </w:r>
      <w:r>
        <w:rPr>
          <w:rFonts w:hint="eastAsia" w:asciiTheme="minorEastAsia" w:hAnsiTheme="minorEastAsia" w:eastAsiaTheme="minorEastAsia" w:cstheme="minorEastAsia"/>
          <w:sz w:val="18"/>
          <w:szCs w:val="18"/>
        </w:rPr>
        <w:t>)综合年报表</w:t>
      </w:r>
    </w:p>
    <w:tbl>
      <w:tblPr>
        <w:tblStyle w:val="21"/>
        <w:tblW w:w="967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915"/>
        <w:gridCol w:w="2768"/>
        <w:gridCol w:w="639"/>
        <w:gridCol w:w="2641"/>
        <w:gridCol w:w="1446"/>
        <w:gridCol w:w="127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4" w:hRule="atLeast"/>
          <w:tblHeader/>
          <w:jc w:val="center"/>
        </w:trPr>
        <w:tc>
          <w:tcPr>
            <w:tcW w:w="915" w:type="dxa"/>
            <w:tcBorders>
              <w:top w:val="single" w:color="auto" w:sz="8"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表 号</w:t>
            </w:r>
          </w:p>
        </w:tc>
        <w:tc>
          <w:tcPr>
            <w:tcW w:w="2768" w:type="dxa"/>
            <w:tcBorders>
              <w:top w:val="single" w:color="auto" w:sz="8"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表     名</w:t>
            </w:r>
          </w:p>
        </w:tc>
        <w:tc>
          <w:tcPr>
            <w:tcW w:w="639" w:type="dxa"/>
            <w:tcBorders>
              <w:top w:val="single" w:color="auto" w:sz="8"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报告</w:t>
            </w:r>
          </w:p>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期别</w:t>
            </w:r>
          </w:p>
        </w:tc>
        <w:tc>
          <w:tcPr>
            <w:tcW w:w="2641" w:type="dxa"/>
            <w:tcBorders>
              <w:top w:val="single" w:color="auto" w:sz="8"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统 计 范 围</w:t>
            </w:r>
          </w:p>
        </w:tc>
        <w:tc>
          <w:tcPr>
            <w:tcW w:w="1446" w:type="dxa"/>
            <w:tcBorders>
              <w:top w:val="single" w:color="auto" w:sz="8"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报 送 单 位</w:t>
            </w:r>
          </w:p>
        </w:tc>
        <w:tc>
          <w:tcPr>
            <w:tcW w:w="1270" w:type="dxa"/>
            <w:tcBorders>
              <w:top w:val="single" w:color="auto" w:sz="8"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报送时间、方式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36" w:hRule="atLeast"/>
          <w:jc w:val="center"/>
        </w:trPr>
        <w:tc>
          <w:tcPr>
            <w:tcW w:w="915"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P303-1表</w:t>
            </w:r>
          </w:p>
        </w:tc>
        <w:tc>
          <w:tcPr>
            <w:tcW w:w="2768"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能源平衡表(实物量)</w:t>
            </w:r>
          </w:p>
        </w:tc>
        <w:tc>
          <w:tcPr>
            <w:tcW w:w="639" w:type="dxa"/>
            <w:noWrap/>
            <w:vAlign w:val="center"/>
          </w:tcPr>
          <w:p>
            <w:pPr>
              <w:pStyle w:val="15"/>
              <w:pBdr>
                <w:bottom w:val="none" w:color="auto" w:sz="0" w:space="0"/>
              </w:pBdr>
              <w:tabs>
                <w:tab w:val="clear" w:pos="4153"/>
                <w:tab w:val="clear" w:pos="8306"/>
              </w:tabs>
              <w:snapToGrid/>
              <w:spacing w:line="220" w:lineRule="exact"/>
              <w:rPr>
                <w:rFonts w:asciiTheme="minorEastAsia" w:hAnsiTheme="minorEastAsia" w:eastAsiaTheme="minorEastAsia" w:cstheme="minorEastAsia"/>
              </w:rPr>
            </w:pPr>
            <w:r>
              <w:rPr>
                <w:rFonts w:hint="eastAsia" w:asciiTheme="minorEastAsia" w:hAnsiTheme="minorEastAsia" w:eastAsiaTheme="minorEastAsia" w:cstheme="minorEastAsia"/>
              </w:rPr>
              <w:t>年报</w:t>
            </w:r>
          </w:p>
        </w:tc>
        <w:tc>
          <w:tcPr>
            <w:tcW w:w="2641"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辖区内除军队系统以外的</w:t>
            </w:r>
          </w:p>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全部能源生产和消费活动</w:t>
            </w:r>
          </w:p>
        </w:tc>
        <w:tc>
          <w:tcPr>
            <w:tcW w:w="1446"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各区统计机构</w:t>
            </w:r>
          </w:p>
        </w:tc>
        <w:tc>
          <w:tcPr>
            <w:tcW w:w="1270" w:type="dxa"/>
            <w:noWrap/>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次年5月30日前电子邮件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915"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P303-2表</w:t>
            </w:r>
          </w:p>
        </w:tc>
        <w:tc>
          <w:tcPr>
            <w:tcW w:w="2768"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分行业能源消费量(实物量)</w:t>
            </w:r>
          </w:p>
        </w:tc>
        <w:tc>
          <w:tcPr>
            <w:tcW w:w="639"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年报</w:t>
            </w:r>
          </w:p>
        </w:tc>
        <w:tc>
          <w:tcPr>
            <w:tcW w:w="2641" w:type="dxa"/>
            <w:noWrap/>
            <w:vAlign w:val="center"/>
          </w:tcPr>
          <w:p>
            <w:pPr>
              <w:spacing w:line="220" w:lineRule="exact"/>
              <w:jc w:val="center"/>
              <w:rPr>
                <w:rFonts w:asciiTheme="minorEastAsia" w:hAnsiTheme="minorEastAsia" w:eastAsiaTheme="minorEastAsia" w:cstheme="minorEastAsia"/>
                <w:dstrike/>
                <w:sz w:val="18"/>
                <w:szCs w:val="18"/>
              </w:rPr>
            </w:pPr>
            <w:r>
              <w:rPr>
                <w:rFonts w:hint="eastAsia" w:asciiTheme="minorEastAsia" w:hAnsiTheme="minorEastAsia" w:eastAsiaTheme="minorEastAsia" w:cstheme="minorEastAsia"/>
                <w:sz w:val="18"/>
                <w:szCs w:val="18"/>
              </w:rPr>
              <w:t>同上</w:t>
            </w:r>
          </w:p>
        </w:tc>
        <w:tc>
          <w:tcPr>
            <w:tcW w:w="1446"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c>
          <w:tcPr>
            <w:tcW w:w="1270"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15" w:hRule="atLeast"/>
          <w:jc w:val="center"/>
        </w:trPr>
        <w:tc>
          <w:tcPr>
            <w:tcW w:w="915"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P303-3表</w:t>
            </w:r>
          </w:p>
        </w:tc>
        <w:tc>
          <w:tcPr>
            <w:tcW w:w="2768"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分行业终端能源消费量(实物量)</w:t>
            </w:r>
          </w:p>
        </w:tc>
        <w:tc>
          <w:tcPr>
            <w:tcW w:w="639"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年报</w:t>
            </w:r>
          </w:p>
        </w:tc>
        <w:tc>
          <w:tcPr>
            <w:tcW w:w="2641" w:type="dxa"/>
            <w:noWrap/>
            <w:vAlign w:val="center"/>
          </w:tcPr>
          <w:p>
            <w:pPr>
              <w:spacing w:line="220" w:lineRule="exact"/>
              <w:jc w:val="center"/>
              <w:rPr>
                <w:rFonts w:asciiTheme="minorEastAsia" w:hAnsiTheme="minorEastAsia" w:eastAsiaTheme="minorEastAsia" w:cstheme="minorEastAsia"/>
                <w:dstrike/>
                <w:sz w:val="18"/>
                <w:szCs w:val="18"/>
              </w:rPr>
            </w:pPr>
            <w:r>
              <w:rPr>
                <w:rFonts w:hint="eastAsia" w:asciiTheme="minorEastAsia" w:hAnsiTheme="minorEastAsia" w:eastAsiaTheme="minorEastAsia" w:cstheme="minorEastAsia"/>
                <w:sz w:val="18"/>
                <w:szCs w:val="18"/>
              </w:rPr>
              <w:t>同上</w:t>
            </w:r>
          </w:p>
        </w:tc>
        <w:tc>
          <w:tcPr>
            <w:tcW w:w="1446"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c>
          <w:tcPr>
            <w:tcW w:w="1270"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8" w:hRule="atLeast"/>
          <w:jc w:val="center"/>
        </w:trPr>
        <w:tc>
          <w:tcPr>
            <w:tcW w:w="915"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P303-4表</w:t>
            </w:r>
          </w:p>
        </w:tc>
        <w:tc>
          <w:tcPr>
            <w:tcW w:w="2768"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能源平衡表(标准量)</w:t>
            </w:r>
          </w:p>
        </w:tc>
        <w:tc>
          <w:tcPr>
            <w:tcW w:w="639"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年报</w:t>
            </w:r>
          </w:p>
        </w:tc>
        <w:tc>
          <w:tcPr>
            <w:tcW w:w="2641" w:type="dxa"/>
            <w:noWrap/>
            <w:vAlign w:val="center"/>
          </w:tcPr>
          <w:p>
            <w:pPr>
              <w:spacing w:line="220" w:lineRule="exact"/>
              <w:jc w:val="center"/>
              <w:rPr>
                <w:rFonts w:asciiTheme="minorEastAsia" w:hAnsiTheme="minorEastAsia" w:eastAsiaTheme="minorEastAsia" w:cstheme="minorEastAsia"/>
                <w:dstrike/>
                <w:sz w:val="18"/>
                <w:szCs w:val="18"/>
              </w:rPr>
            </w:pPr>
            <w:r>
              <w:rPr>
                <w:rFonts w:hint="eastAsia" w:asciiTheme="minorEastAsia" w:hAnsiTheme="minorEastAsia" w:eastAsiaTheme="minorEastAsia" w:cstheme="minorEastAsia"/>
                <w:sz w:val="18"/>
                <w:szCs w:val="18"/>
              </w:rPr>
              <w:t>同上</w:t>
            </w:r>
          </w:p>
        </w:tc>
        <w:tc>
          <w:tcPr>
            <w:tcW w:w="1446"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c>
          <w:tcPr>
            <w:tcW w:w="1270"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8" w:hRule="atLeast"/>
          <w:jc w:val="center"/>
        </w:trPr>
        <w:tc>
          <w:tcPr>
            <w:tcW w:w="915" w:type="dxa"/>
            <w:tcBorders>
              <w:bottom w:val="single" w:color="auto" w:sz="8"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P303-5表</w:t>
            </w:r>
          </w:p>
        </w:tc>
        <w:tc>
          <w:tcPr>
            <w:tcW w:w="2768" w:type="dxa"/>
            <w:tcBorders>
              <w:bottom w:val="single" w:color="auto" w:sz="8"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分行业终端能源消费量(标准量)</w:t>
            </w:r>
          </w:p>
        </w:tc>
        <w:tc>
          <w:tcPr>
            <w:tcW w:w="639" w:type="dxa"/>
            <w:tcBorders>
              <w:bottom w:val="single" w:color="auto" w:sz="8"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年报</w:t>
            </w:r>
          </w:p>
        </w:tc>
        <w:tc>
          <w:tcPr>
            <w:tcW w:w="2641" w:type="dxa"/>
            <w:tcBorders>
              <w:bottom w:val="single" w:color="auto" w:sz="8" w:space="0"/>
            </w:tcBorders>
            <w:noWrap/>
            <w:vAlign w:val="center"/>
          </w:tcPr>
          <w:p>
            <w:pPr>
              <w:spacing w:line="220" w:lineRule="exact"/>
              <w:jc w:val="center"/>
              <w:rPr>
                <w:rFonts w:asciiTheme="minorEastAsia" w:hAnsiTheme="minorEastAsia" w:eastAsiaTheme="minorEastAsia" w:cstheme="minorEastAsia"/>
                <w:dstrike/>
                <w:sz w:val="18"/>
                <w:szCs w:val="18"/>
              </w:rPr>
            </w:pPr>
            <w:r>
              <w:rPr>
                <w:rFonts w:hint="eastAsia" w:asciiTheme="minorEastAsia" w:hAnsiTheme="minorEastAsia" w:eastAsiaTheme="minorEastAsia" w:cstheme="minorEastAsia"/>
                <w:sz w:val="18"/>
                <w:szCs w:val="18"/>
              </w:rPr>
              <w:t>同上</w:t>
            </w:r>
          </w:p>
        </w:tc>
        <w:tc>
          <w:tcPr>
            <w:tcW w:w="1446" w:type="dxa"/>
            <w:tcBorders>
              <w:bottom w:val="single" w:color="auto" w:sz="8"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c>
          <w:tcPr>
            <w:tcW w:w="1270" w:type="dxa"/>
            <w:tcBorders>
              <w:bottom w:val="single" w:color="auto" w:sz="8"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88" w:hRule="atLeast"/>
          <w:jc w:val="center"/>
        </w:trPr>
        <w:tc>
          <w:tcPr>
            <w:tcW w:w="915" w:type="dxa"/>
            <w:tcBorders>
              <w:top w:val="single" w:color="auto" w:sz="8" w:space="0"/>
            </w:tcBorders>
            <w:noWrap/>
            <w:vAlign w:val="center"/>
          </w:tcPr>
          <w:p>
            <w:pPr>
              <w:spacing w:line="220" w:lineRule="exact"/>
              <w:jc w:val="center"/>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TL301 表</w:t>
            </w:r>
          </w:p>
        </w:tc>
        <w:tc>
          <w:tcPr>
            <w:tcW w:w="2768" w:type="dxa"/>
            <w:tcBorders>
              <w:top w:val="single" w:color="auto" w:sz="8"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铁路企业主要能源消费与库存</w:t>
            </w:r>
          </w:p>
        </w:tc>
        <w:tc>
          <w:tcPr>
            <w:tcW w:w="639" w:type="dxa"/>
            <w:tcBorders>
              <w:top w:val="single" w:color="auto" w:sz="8"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年报</w:t>
            </w:r>
          </w:p>
        </w:tc>
        <w:tc>
          <w:tcPr>
            <w:tcW w:w="2641" w:type="dxa"/>
            <w:tcBorders>
              <w:top w:val="single" w:color="auto" w:sz="8"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铁路运输企业</w:t>
            </w:r>
          </w:p>
        </w:tc>
        <w:tc>
          <w:tcPr>
            <w:tcW w:w="1446" w:type="dxa"/>
            <w:tcBorders>
              <w:top w:val="single" w:color="auto" w:sz="8" w:space="0"/>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各有关单位</w:t>
            </w:r>
          </w:p>
        </w:tc>
        <w:tc>
          <w:tcPr>
            <w:tcW w:w="1270" w:type="dxa"/>
            <w:tcBorders>
              <w:top w:val="single" w:color="auto" w:sz="8" w:space="0"/>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次年3月15日前电子邮件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32" w:hRule="atLeast"/>
          <w:jc w:val="center"/>
        </w:trPr>
        <w:tc>
          <w:tcPr>
            <w:tcW w:w="915" w:type="dxa"/>
            <w:noWrap/>
            <w:vAlign w:val="center"/>
          </w:tcPr>
          <w:p>
            <w:pPr>
              <w:spacing w:line="220" w:lineRule="exact"/>
              <w:jc w:val="center"/>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MH301表</w:t>
            </w:r>
          </w:p>
        </w:tc>
        <w:tc>
          <w:tcPr>
            <w:tcW w:w="2768"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航空企业主要能源消费与库存</w:t>
            </w:r>
          </w:p>
        </w:tc>
        <w:tc>
          <w:tcPr>
            <w:tcW w:w="639"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年报</w:t>
            </w:r>
          </w:p>
        </w:tc>
        <w:tc>
          <w:tcPr>
            <w:tcW w:w="2641"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航空运输企业</w:t>
            </w:r>
          </w:p>
        </w:tc>
        <w:tc>
          <w:tcPr>
            <w:tcW w:w="1446" w:type="dxa"/>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各有关单位</w:t>
            </w:r>
          </w:p>
        </w:tc>
        <w:tc>
          <w:tcPr>
            <w:tcW w:w="1270"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89" w:hRule="atLeast"/>
          <w:jc w:val="center"/>
        </w:trPr>
        <w:tc>
          <w:tcPr>
            <w:tcW w:w="915" w:type="dxa"/>
            <w:noWrap/>
            <w:vAlign w:val="center"/>
          </w:tcPr>
          <w:p>
            <w:pPr>
              <w:spacing w:line="220" w:lineRule="exact"/>
              <w:jc w:val="center"/>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JT320 表</w:t>
            </w:r>
          </w:p>
        </w:tc>
        <w:tc>
          <w:tcPr>
            <w:tcW w:w="2768"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公路、水上运输企业主要能源消费与库存</w:t>
            </w:r>
          </w:p>
        </w:tc>
        <w:tc>
          <w:tcPr>
            <w:tcW w:w="639"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年报</w:t>
            </w:r>
          </w:p>
        </w:tc>
        <w:tc>
          <w:tcPr>
            <w:tcW w:w="2641" w:type="dxa"/>
            <w:noWrap/>
            <w:vAlign w:val="center"/>
          </w:tcPr>
          <w:p>
            <w:pPr>
              <w:spacing w:line="220" w:lineRule="exact"/>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rPr>
              <w:t>公路、水上运输企业</w:t>
            </w:r>
            <w:r>
              <w:rPr>
                <w:rFonts w:hint="eastAsia" w:asciiTheme="minorEastAsia" w:hAnsiTheme="minorEastAsia" w:eastAsiaTheme="minorEastAsia" w:cstheme="minorEastAsia"/>
                <w:sz w:val="18"/>
                <w:szCs w:val="18"/>
                <w:lang w:eastAsia="zh-CN"/>
              </w:rPr>
              <w:t>、港口</w:t>
            </w:r>
          </w:p>
        </w:tc>
        <w:tc>
          <w:tcPr>
            <w:tcW w:w="1446" w:type="dxa"/>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各有关单位</w:t>
            </w:r>
          </w:p>
        </w:tc>
        <w:tc>
          <w:tcPr>
            <w:tcW w:w="1270"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18" w:hRule="atLeast"/>
          <w:jc w:val="center"/>
        </w:trPr>
        <w:tc>
          <w:tcPr>
            <w:tcW w:w="915" w:type="dxa"/>
            <w:noWrap/>
            <w:vAlign w:val="center"/>
          </w:tcPr>
          <w:p>
            <w:pPr>
              <w:spacing w:line="220" w:lineRule="exact"/>
              <w:jc w:val="center"/>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粤P311表</w:t>
            </w:r>
          </w:p>
        </w:tc>
        <w:tc>
          <w:tcPr>
            <w:tcW w:w="2768"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主要能源进口、出口量</w:t>
            </w:r>
          </w:p>
        </w:tc>
        <w:tc>
          <w:tcPr>
            <w:tcW w:w="639" w:type="dxa"/>
            <w:noWrap/>
            <w:vAlign w:val="center"/>
          </w:tcPr>
          <w:p>
            <w:pPr>
              <w:pStyle w:val="15"/>
              <w:pBdr>
                <w:bottom w:val="none" w:color="auto" w:sz="0" w:space="0"/>
              </w:pBdr>
              <w:tabs>
                <w:tab w:val="clear" w:pos="4153"/>
                <w:tab w:val="clear" w:pos="8306"/>
              </w:tabs>
              <w:snapToGrid/>
              <w:spacing w:line="220" w:lineRule="exact"/>
              <w:rPr>
                <w:rFonts w:asciiTheme="minorEastAsia" w:hAnsiTheme="minorEastAsia" w:eastAsiaTheme="minorEastAsia" w:cstheme="minorEastAsia"/>
              </w:rPr>
            </w:pPr>
            <w:r>
              <w:rPr>
                <w:rFonts w:hint="eastAsia" w:asciiTheme="minorEastAsia" w:hAnsiTheme="minorEastAsia" w:eastAsiaTheme="minorEastAsia" w:cstheme="minorEastAsia"/>
              </w:rPr>
              <w:t>年报</w:t>
            </w:r>
          </w:p>
        </w:tc>
        <w:tc>
          <w:tcPr>
            <w:tcW w:w="2641"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辖区内全部生产和消费能源的单位的能源进、出口活动</w:t>
            </w:r>
          </w:p>
        </w:tc>
        <w:tc>
          <w:tcPr>
            <w:tcW w:w="1446"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广州海关</w:t>
            </w:r>
          </w:p>
        </w:tc>
        <w:tc>
          <w:tcPr>
            <w:tcW w:w="1270"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次年3月15日前电子邮件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91" w:hRule="atLeast"/>
          <w:jc w:val="center"/>
        </w:trPr>
        <w:tc>
          <w:tcPr>
            <w:tcW w:w="915" w:type="dxa"/>
            <w:noWrap/>
            <w:vAlign w:val="center"/>
          </w:tcPr>
          <w:p>
            <w:pPr>
              <w:spacing w:line="220" w:lineRule="exact"/>
              <w:jc w:val="center"/>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粤P312表</w:t>
            </w:r>
          </w:p>
        </w:tc>
        <w:tc>
          <w:tcPr>
            <w:tcW w:w="2768"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主要能源货运量</w:t>
            </w:r>
          </w:p>
        </w:tc>
        <w:tc>
          <w:tcPr>
            <w:tcW w:w="639"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年报</w:t>
            </w:r>
          </w:p>
        </w:tc>
        <w:tc>
          <w:tcPr>
            <w:tcW w:w="2641" w:type="dxa"/>
            <w:noWrap/>
            <w:vAlign w:val="center"/>
          </w:tcPr>
          <w:p>
            <w:pPr>
              <w:spacing w:line="220" w:lineRule="exact"/>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辖区内的铁路、公路、水运企业的能源运输活动</w:t>
            </w:r>
          </w:p>
        </w:tc>
        <w:tc>
          <w:tcPr>
            <w:tcW w:w="1446"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各有关单位</w:t>
            </w:r>
          </w:p>
        </w:tc>
        <w:tc>
          <w:tcPr>
            <w:tcW w:w="1270"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57" w:hRule="atLeast"/>
          <w:jc w:val="center"/>
        </w:trPr>
        <w:tc>
          <w:tcPr>
            <w:tcW w:w="915" w:type="dxa"/>
            <w:noWrap/>
            <w:vAlign w:val="center"/>
          </w:tcPr>
          <w:p>
            <w:pPr>
              <w:spacing w:line="220" w:lineRule="exact"/>
              <w:jc w:val="center"/>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粤P313表</w:t>
            </w:r>
          </w:p>
        </w:tc>
        <w:tc>
          <w:tcPr>
            <w:tcW w:w="2768"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能源经销企业主要能源购进、销售与库存</w:t>
            </w:r>
          </w:p>
        </w:tc>
        <w:tc>
          <w:tcPr>
            <w:tcW w:w="639"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年报</w:t>
            </w:r>
          </w:p>
        </w:tc>
        <w:tc>
          <w:tcPr>
            <w:tcW w:w="2641"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石油、天然气销售企业的能源消费活动</w:t>
            </w:r>
          </w:p>
        </w:tc>
        <w:tc>
          <w:tcPr>
            <w:tcW w:w="1446"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各有关单位</w:t>
            </w:r>
          </w:p>
        </w:tc>
        <w:tc>
          <w:tcPr>
            <w:tcW w:w="1270"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33" w:hRule="atLeast"/>
          <w:jc w:val="center"/>
        </w:trPr>
        <w:tc>
          <w:tcPr>
            <w:tcW w:w="915" w:type="dxa"/>
            <w:noWrap/>
            <w:vAlign w:val="center"/>
          </w:tcPr>
          <w:p>
            <w:pPr>
              <w:spacing w:line="220" w:lineRule="exact"/>
              <w:jc w:val="center"/>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粤P314表</w:t>
            </w:r>
          </w:p>
        </w:tc>
        <w:tc>
          <w:tcPr>
            <w:tcW w:w="2768"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全社会用电量分类表</w:t>
            </w:r>
          </w:p>
        </w:tc>
        <w:tc>
          <w:tcPr>
            <w:tcW w:w="639"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年报</w:t>
            </w:r>
          </w:p>
        </w:tc>
        <w:tc>
          <w:tcPr>
            <w:tcW w:w="2641"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辖区内全部电力生产和消费单位及个人电力消费活动</w:t>
            </w:r>
          </w:p>
        </w:tc>
        <w:tc>
          <w:tcPr>
            <w:tcW w:w="1446"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广东电网有限责任公司广州供电局</w:t>
            </w:r>
          </w:p>
        </w:tc>
        <w:tc>
          <w:tcPr>
            <w:tcW w:w="1270"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68" w:hRule="atLeast"/>
          <w:jc w:val="center"/>
        </w:trPr>
        <w:tc>
          <w:tcPr>
            <w:tcW w:w="915" w:type="dxa"/>
            <w:noWrap/>
            <w:vAlign w:val="center"/>
          </w:tcPr>
          <w:p>
            <w:pPr>
              <w:spacing w:line="220" w:lineRule="exact"/>
              <w:jc w:val="center"/>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粤P315表</w:t>
            </w:r>
          </w:p>
        </w:tc>
        <w:tc>
          <w:tcPr>
            <w:tcW w:w="2768"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能源生产企业石油、天然气购进、销售与库存</w:t>
            </w:r>
          </w:p>
        </w:tc>
        <w:tc>
          <w:tcPr>
            <w:tcW w:w="639"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年报</w:t>
            </w:r>
          </w:p>
        </w:tc>
        <w:tc>
          <w:tcPr>
            <w:tcW w:w="2641"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辖区内石油、天然气生产加工企业能源生产和消费活动</w:t>
            </w:r>
          </w:p>
        </w:tc>
        <w:tc>
          <w:tcPr>
            <w:tcW w:w="1446"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各有关单位</w:t>
            </w:r>
          </w:p>
        </w:tc>
        <w:tc>
          <w:tcPr>
            <w:tcW w:w="1270"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44" w:hRule="atLeast"/>
          <w:jc w:val="center"/>
        </w:trPr>
        <w:tc>
          <w:tcPr>
            <w:tcW w:w="915" w:type="dxa"/>
            <w:noWrap/>
            <w:vAlign w:val="center"/>
          </w:tcPr>
          <w:p>
            <w:pPr>
              <w:spacing w:line="220" w:lineRule="exact"/>
              <w:jc w:val="center"/>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粤P316表</w:t>
            </w:r>
          </w:p>
        </w:tc>
        <w:tc>
          <w:tcPr>
            <w:tcW w:w="2768"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油气供应、消费与库存</w:t>
            </w:r>
          </w:p>
        </w:tc>
        <w:tc>
          <w:tcPr>
            <w:tcW w:w="639" w:type="dxa"/>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年报</w:t>
            </w:r>
          </w:p>
        </w:tc>
        <w:tc>
          <w:tcPr>
            <w:tcW w:w="2641"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辖区内所有单位和个人的能源消费活动</w:t>
            </w:r>
          </w:p>
        </w:tc>
        <w:tc>
          <w:tcPr>
            <w:tcW w:w="1446" w:type="dxa"/>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各有关单位</w:t>
            </w:r>
          </w:p>
        </w:tc>
        <w:tc>
          <w:tcPr>
            <w:tcW w:w="1270"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470" w:hRule="atLeast"/>
          <w:jc w:val="center"/>
        </w:trPr>
        <w:tc>
          <w:tcPr>
            <w:tcW w:w="915" w:type="dxa"/>
            <w:tcBorders>
              <w:bottom w:val="single" w:color="auto" w:sz="4" w:space="0"/>
            </w:tcBorders>
            <w:noWrap/>
            <w:vAlign w:val="center"/>
          </w:tcPr>
          <w:p>
            <w:pPr>
              <w:spacing w:line="220" w:lineRule="exact"/>
              <w:jc w:val="center"/>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粤P319表</w:t>
            </w:r>
          </w:p>
        </w:tc>
        <w:tc>
          <w:tcPr>
            <w:tcW w:w="2768" w:type="dxa"/>
            <w:tcBorders>
              <w:bottom w:val="single" w:color="auto" w:sz="4"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国际燃料舱 </w:t>
            </w:r>
          </w:p>
        </w:tc>
        <w:tc>
          <w:tcPr>
            <w:tcW w:w="639" w:type="dxa"/>
            <w:tcBorders>
              <w:bottom w:val="single" w:color="auto" w:sz="4" w:space="0"/>
            </w:tcBorders>
            <w:noWrap/>
            <w:vAlign w:val="center"/>
          </w:tcPr>
          <w:p>
            <w:pPr>
              <w:pStyle w:val="15"/>
              <w:pBdr>
                <w:bottom w:val="none" w:color="auto" w:sz="0" w:space="0"/>
              </w:pBdr>
              <w:tabs>
                <w:tab w:val="clear" w:pos="4153"/>
                <w:tab w:val="clear" w:pos="8306"/>
              </w:tabs>
              <w:snapToGrid/>
              <w:spacing w:line="220" w:lineRule="exact"/>
              <w:rPr>
                <w:rFonts w:asciiTheme="minorEastAsia" w:hAnsiTheme="minorEastAsia" w:eastAsiaTheme="minorEastAsia" w:cstheme="minorEastAsia"/>
              </w:rPr>
            </w:pPr>
            <w:r>
              <w:rPr>
                <w:rFonts w:hint="eastAsia" w:asciiTheme="minorEastAsia" w:hAnsiTheme="minorEastAsia" w:eastAsiaTheme="minorEastAsia" w:cstheme="minorEastAsia"/>
              </w:rPr>
              <w:t>年报</w:t>
            </w:r>
          </w:p>
        </w:tc>
        <w:tc>
          <w:tcPr>
            <w:tcW w:w="2641" w:type="dxa"/>
            <w:tcBorders>
              <w:bottom w:val="single" w:color="auto" w:sz="4"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用于国际海运的轮船和国际空运飞机的能源消费活动</w:t>
            </w:r>
          </w:p>
        </w:tc>
        <w:tc>
          <w:tcPr>
            <w:tcW w:w="1446" w:type="dxa"/>
            <w:tcBorders>
              <w:bottom w:val="single" w:color="auto" w:sz="4"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中石化中海船舶燃料供应有限公司、中国船舶燃料广州有限公司、南方航空股份有限公司、华南蓝天航空油料有限公司</w:t>
            </w:r>
          </w:p>
        </w:tc>
        <w:tc>
          <w:tcPr>
            <w:tcW w:w="1270" w:type="dxa"/>
            <w:tcBorders>
              <w:bottom w:val="single" w:color="auto" w:sz="4"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同上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728" w:hRule="atLeast"/>
          <w:jc w:val="center"/>
        </w:trPr>
        <w:tc>
          <w:tcPr>
            <w:tcW w:w="915" w:type="dxa"/>
            <w:tcBorders>
              <w:top w:val="single" w:color="auto" w:sz="4" w:space="0"/>
              <w:bottom w:val="single" w:color="auto" w:sz="8" w:space="0"/>
            </w:tcBorders>
            <w:noWrap/>
            <w:vAlign w:val="center"/>
          </w:tcPr>
          <w:p>
            <w:pPr>
              <w:spacing w:line="220" w:lineRule="exact"/>
              <w:jc w:val="center"/>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粤P321表</w:t>
            </w:r>
          </w:p>
        </w:tc>
        <w:tc>
          <w:tcPr>
            <w:tcW w:w="2768" w:type="dxa"/>
            <w:tcBorders>
              <w:top w:val="single" w:color="auto" w:sz="4" w:space="0"/>
              <w:bottom w:val="single" w:color="auto" w:sz="8"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单位地区生产总值能耗</w:t>
            </w:r>
          </w:p>
        </w:tc>
        <w:tc>
          <w:tcPr>
            <w:tcW w:w="639" w:type="dxa"/>
            <w:tcBorders>
              <w:top w:val="single" w:color="auto" w:sz="4" w:space="0"/>
              <w:bottom w:val="single" w:color="auto" w:sz="8" w:space="0"/>
            </w:tcBorders>
            <w:noWrap/>
            <w:vAlign w:val="center"/>
          </w:tcPr>
          <w:p>
            <w:pPr>
              <w:pStyle w:val="15"/>
              <w:pBdr>
                <w:bottom w:val="none" w:color="auto" w:sz="0" w:space="0"/>
              </w:pBdr>
              <w:tabs>
                <w:tab w:val="clear" w:pos="4153"/>
                <w:tab w:val="clear" w:pos="8306"/>
              </w:tabs>
              <w:snapToGrid/>
              <w:spacing w:line="220" w:lineRule="exact"/>
              <w:rPr>
                <w:rFonts w:asciiTheme="minorEastAsia" w:hAnsiTheme="minorEastAsia" w:eastAsiaTheme="minorEastAsia" w:cstheme="minorEastAsia"/>
              </w:rPr>
            </w:pPr>
            <w:r>
              <w:rPr>
                <w:rFonts w:hint="eastAsia" w:asciiTheme="minorEastAsia" w:hAnsiTheme="minorEastAsia" w:eastAsiaTheme="minorEastAsia" w:cstheme="minorEastAsia"/>
              </w:rPr>
              <w:t>年报</w:t>
            </w:r>
          </w:p>
        </w:tc>
        <w:tc>
          <w:tcPr>
            <w:tcW w:w="2641" w:type="dxa"/>
            <w:tcBorders>
              <w:top w:val="single" w:color="auto" w:sz="4" w:space="0"/>
              <w:bottom w:val="single" w:color="auto" w:sz="8"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各区能源消费总量及单位地区生产总值能耗情况</w:t>
            </w:r>
          </w:p>
        </w:tc>
        <w:tc>
          <w:tcPr>
            <w:tcW w:w="1446" w:type="dxa"/>
            <w:tcBorders>
              <w:top w:val="single" w:color="auto" w:sz="4" w:space="0"/>
              <w:bottom w:val="single" w:color="auto" w:sz="8"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各区统计机构</w:t>
            </w:r>
          </w:p>
        </w:tc>
        <w:tc>
          <w:tcPr>
            <w:tcW w:w="1270" w:type="dxa"/>
            <w:tcBorders>
              <w:top w:val="single" w:color="auto" w:sz="4" w:space="0"/>
              <w:bottom w:val="single" w:color="auto" w:sz="8"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根据省统计局反馈数据确定；电子邮件</w:t>
            </w:r>
          </w:p>
        </w:tc>
      </w:tr>
    </w:tbl>
    <w:p>
      <w:pPr>
        <w:rPr>
          <w:rFonts w:asciiTheme="minorEastAsia" w:hAnsiTheme="minorEastAsia" w:eastAsiaTheme="minorEastAsia" w:cstheme="minorEastAsia"/>
          <w:sz w:val="18"/>
          <w:szCs w:val="18"/>
        </w:rPr>
      </w:pPr>
    </w:p>
    <w:tbl>
      <w:tblPr>
        <w:tblStyle w:val="21"/>
        <w:tblW w:w="967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915"/>
        <w:gridCol w:w="2768"/>
        <w:gridCol w:w="639"/>
        <w:gridCol w:w="2319"/>
        <w:gridCol w:w="1771"/>
        <w:gridCol w:w="126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32" w:hRule="atLeast"/>
          <w:jc w:val="center"/>
        </w:trPr>
        <w:tc>
          <w:tcPr>
            <w:tcW w:w="9679" w:type="dxa"/>
            <w:gridSpan w:val="6"/>
            <w:tcBorders>
              <w:top w:val="nil"/>
              <w:bottom w:val="single" w:color="auto" w:sz="6" w:space="0"/>
              <w:right w:val="nil"/>
            </w:tcBorders>
            <w:noWrap/>
            <w:vAlign w:val="center"/>
          </w:tcPr>
          <w:p>
            <w:pPr>
              <w:adjustRightInd w:val="0"/>
              <w:snapToGrid w:val="0"/>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三</w:t>
            </w:r>
            <w:r>
              <w:rPr>
                <w:rFonts w:hint="eastAsia" w:asciiTheme="minorEastAsia" w:hAnsiTheme="minorEastAsia" w:eastAsiaTheme="minorEastAsia" w:cstheme="minorEastAsia"/>
                <w:sz w:val="18"/>
                <w:szCs w:val="18"/>
              </w:rPr>
              <w:t>)综合定报表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915" w:type="dxa"/>
            <w:tcBorders>
              <w:top w:val="single" w:color="auto" w:sz="8" w:space="0"/>
              <w:bottom w:val="single" w:color="auto" w:sz="4" w:space="0"/>
            </w:tcBorders>
            <w:noWrap/>
            <w:vAlign w:val="center"/>
          </w:tcPr>
          <w:p>
            <w:pPr>
              <w:spacing w:line="22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表 号</w:t>
            </w:r>
          </w:p>
        </w:tc>
        <w:tc>
          <w:tcPr>
            <w:tcW w:w="2768" w:type="dxa"/>
            <w:tcBorders>
              <w:top w:val="single" w:color="auto" w:sz="8" w:space="0"/>
              <w:bottom w:val="single" w:color="auto" w:sz="4" w:space="0"/>
            </w:tcBorders>
            <w:noWrap/>
            <w:vAlign w:val="center"/>
          </w:tcPr>
          <w:p>
            <w:pPr>
              <w:spacing w:line="22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表     名</w:t>
            </w:r>
          </w:p>
        </w:tc>
        <w:tc>
          <w:tcPr>
            <w:tcW w:w="639" w:type="dxa"/>
            <w:tcBorders>
              <w:top w:val="single" w:color="auto" w:sz="8" w:space="0"/>
              <w:bottom w:val="single" w:color="auto" w:sz="4"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报告</w:t>
            </w:r>
          </w:p>
          <w:p>
            <w:pPr>
              <w:spacing w:line="22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期别</w:t>
            </w:r>
          </w:p>
        </w:tc>
        <w:tc>
          <w:tcPr>
            <w:tcW w:w="2319" w:type="dxa"/>
            <w:tcBorders>
              <w:top w:val="single" w:color="auto" w:sz="8" w:space="0"/>
              <w:bottom w:val="single" w:color="auto" w:sz="4" w:space="0"/>
            </w:tcBorders>
            <w:noWrap/>
            <w:vAlign w:val="center"/>
          </w:tcPr>
          <w:p>
            <w:pPr>
              <w:spacing w:line="22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统 计 范 围</w:t>
            </w:r>
          </w:p>
        </w:tc>
        <w:tc>
          <w:tcPr>
            <w:tcW w:w="1771" w:type="dxa"/>
            <w:tcBorders>
              <w:top w:val="single" w:color="auto" w:sz="8" w:space="0"/>
              <w:bottom w:val="single" w:color="auto" w:sz="4" w:space="0"/>
            </w:tcBorders>
            <w:noWrap/>
            <w:vAlign w:val="center"/>
          </w:tcPr>
          <w:p>
            <w:pPr>
              <w:spacing w:line="22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报 送 单 位</w:t>
            </w:r>
          </w:p>
        </w:tc>
        <w:tc>
          <w:tcPr>
            <w:tcW w:w="1267" w:type="dxa"/>
            <w:tcBorders>
              <w:top w:val="single" w:color="auto" w:sz="8" w:space="0"/>
              <w:bottom w:val="single" w:color="auto" w:sz="4" w:space="0"/>
              <w:right w:val="nil"/>
            </w:tcBorders>
            <w:noWrap/>
            <w:vAlign w:val="center"/>
          </w:tcPr>
          <w:p>
            <w:pPr>
              <w:spacing w:line="22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报送时间、方式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27" w:hRule="atLeast"/>
          <w:jc w:val="center"/>
        </w:trPr>
        <w:tc>
          <w:tcPr>
            <w:tcW w:w="915" w:type="dxa"/>
            <w:tcBorders>
              <w:top w:val="single" w:color="auto" w:sz="4" w:space="0"/>
              <w:bottom w:val="single" w:color="auto" w:sz="4" w:space="0"/>
            </w:tcBorders>
            <w:noWrap/>
            <w:vAlign w:val="center"/>
          </w:tcPr>
          <w:p>
            <w:pPr>
              <w:spacing w:line="220" w:lineRule="exact"/>
              <w:jc w:val="center"/>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P406 表</w:t>
            </w:r>
          </w:p>
        </w:tc>
        <w:tc>
          <w:tcPr>
            <w:tcW w:w="2768" w:type="dxa"/>
            <w:tcBorders>
              <w:top w:val="single" w:color="auto" w:sz="4" w:space="0"/>
              <w:bottom w:val="single" w:color="auto" w:sz="4"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地区能源消费与单位地区生产总值能耗</w:t>
            </w:r>
          </w:p>
        </w:tc>
        <w:tc>
          <w:tcPr>
            <w:tcW w:w="639" w:type="dxa"/>
            <w:tcBorders>
              <w:top w:val="single" w:color="auto" w:sz="4" w:space="0"/>
              <w:bottom w:val="single" w:color="auto" w:sz="4"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季报</w:t>
            </w:r>
          </w:p>
        </w:tc>
        <w:tc>
          <w:tcPr>
            <w:tcW w:w="2319" w:type="dxa"/>
            <w:tcBorders>
              <w:top w:val="single" w:color="auto" w:sz="4" w:space="0"/>
              <w:bottom w:val="single" w:color="auto" w:sz="4"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辖区内生产和生活能源消费量及能耗水平情况</w:t>
            </w:r>
          </w:p>
        </w:tc>
        <w:tc>
          <w:tcPr>
            <w:tcW w:w="1771" w:type="dxa"/>
            <w:tcBorders>
              <w:top w:val="single" w:color="auto" w:sz="4" w:space="0"/>
              <w:bottom w:val="single" w:color="auto" w:sz="4"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各区统计机构</w:t>
            </w:r>
          </w:p>
        </w:tc>
        <w:tc>
          <w:tcPr>
            <w:tcW w:w="1267" w:type="dxa"/>
            <w:tcBorders>
              <w:top w:val="single" w:color="auto" w:sz="4" w:space="0"/>
              <w:bottom w:val="single" w:color="auto" w:sz="4"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季后22日前电子邮件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10" w:hRule="atLeast"/>
          <w:jc w:val="center"/>
        </w:trPr>
        <w:tc>
          <w:tcPr>
            <w:tcW w:w="915" w:type="dxa"/>
            <w:tcBorders>
              <w:top w:val="single" w:color="auto" w:sz="4" w:space="0"/>
              <w:bottom w:val="single" w:color="auto" w:sz="4" w:space="0"/>
            </w:tcBorders>
            <w:noWrap/>
            <w:vAlign w:val="center"/>
          </w:tcPr>
          <w:p>
            <w:pPr>
              <w:spacing w:line="220" w:lineRule="exact"/>
              <w:jc w:val="center"/>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P407 表</w:t>
            </w:r>
          </w:p>
        </w:tc>
        <w:tc>
          <w:tcPr>
            <w:tcW w:w="2768" w:type="dxa"/>
            <w:tcBorders>
              <w:top w:val="single" w:color="auto" w:sz="4" w:space="0"/>
              <w:bottom w:val="single" w:color="auto" w:sz="4"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全社会用电量情况</w:t>
            </w:r>
          </w:p>
        </w:tc>
        <w:tc>
          <w:tcPr>
            <w:tcW w:w="639" w:type="dxa"/>
            <w:tcBorders>
              <w:top w:val="single" w:color="auto" w:sz="4" w:space="0"/>
              <w:bottom w:val="single" w:color="auto" w:sz="4"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月报</w:t>
            </w:r>
          </w:p>
        </w:tc>
        <w:tc>
          <w:tcPr>
            <w:tcW w:w="2319" w:type="dxa"/>
            <w:tcBorders>
              <w:top w:val="single" w:color="auto" w:sz="4" w:space="0"/>
              <w:bottom w:val="single" w:color="auto" w:sz="4"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辖区内所有电力消费单位和居民家庭电力消费情况</w:t>
            </w:r>
          </w:p>
        </w:tc>
        <w:tc>
          <w:tcPr>
            <w:tcW w:w="1771" w:type="dxa"/>
            <w:tcBorders>
              <w:top w:val="single" w:color="auto" w:sz="4" w:space="0"/>
              <w:bottom w:val="single" w:color="auto" w:sz="4"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广东电网有限责任公司广州供电局</w:t>
            </w:r>
          </w:p>
        </w:tc>
        <w:tc>
          <w:tcPr>
            <w:tcW w:w="1267" w:type="dxa"/>
            <w:tcBorders>
              <w:top w:val="single" w:color="auto" w:sz="4" w:space="0"/>
              <w:bottom w:val="single" w:color="auto" w:sz="4"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月后4日前，9月月后10日前电子邮件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83" w:hRule="atLeast"/>
          <w:jc w:val="center"/>
        </w:trPr>
        <w:tc>
          <w:tcPr>
            <w:tcW w:w="915" w:type="dxa"/>
            <w:tcBorders>
              <w:top w:val="single" w:color="auto" w:sz="4" w:space="0"/>
              <w:bottom w:val="single" w:color="auto" w:sz="4" w:space="0"/>
            </w:tcBorders>
            <w:noWrap/>
            <w:vAlign w:val="center"/>
          </w:tcPr>
          <w:p>
            <w:pPr>
              <w:spacing w:line="220" w:lineRule="exact"/>
              <w:jc w:val="center"/>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z w:val="18"/>
                <w:szCs w:val="18"/>
                <w:lang w:val="en-US" w:eastAsia="zh-CN"/>
              </w:rPr>
              <w:t>DL</w:t>
            </w:r>
            <w:r>
              <w:rPr>
                <w:rFonts w:hint="eastAsia" w:asciiTheme="minorEastAsia" w:hAnsiTheme="minorEastAsia" w:eastAsiaTheme="minorEastAsia" w:cstheme="minorEastAsia"/>
                <w:sz w:val="18"/>
                <w:szCs w:val="18"/>
              </w:rPr>
              <w:t>40</w:t>
            </w:r>
            <w:r>
              <w:rPr>
                <w:rFonts w:hint="eastAsia" w:asciiTheme="minorEastAsia" w:hAnsiTheme="minorEastAsia" w:eastAsiaTheme="minorEastAsia" w:cstheme="minorEastAsia"/>
                <w:sz w:val="18"/>
                <w:szCs w:val="18"/>
                <w:lang w:val="en-US" w:eastAsia="zh-CN"/>
              </w:rPr>
              <w:t>3</w:t>
            </w:r>
            <w:r>
              <w:rPr>
                <w:rFonts w:hint="eastAsia" w:asciiTheme="minorEastAsia" w:hAnsiTheme="minorEastAsia" w:eastAsiaTheme="minorEastAsia" w:cstheme="minorEastAsia"/>
                <w:sz w:val="18"/>
                <w:szCs w:val="18"/>
              </w:rPr>
              <w:t>表</w:t>
            </w:r>
          </w:p>
        </w:tc>
        <w:tc>
          <w:tcPr>
            <w:tcW w:w="2768" w:type="dxa"/>
            <w:tcBorders>
              <w:top w:val="single" w:color="auto" w:sz="4" w:space="0"/>
              <w:bottom w:val="single" w:color="auto" w:sz="4"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电力</w:t>
            </w:r>
            <w:r>
              <w:rPr>
                <w:rFonts w:hint="eastAsia" w:asciiTheme="minorEastAsia" w:hAnsiTheme="minorEastAsia" w:eastAsiaTheme="minorEastAsia" w:cstheme="minorEastAsia"/>
                <w:sz w:val="18"/>
                <w:szCs w:val="18"/>
              </w:rPr>
              <w:t>行业监测情况</w:t>
            </w:r>
          </w:p>
        </w:tc>
        <w:tc>
          <w:tcPr>
            <w:tcW w:w="639" w:type="dxa"/>
            <w:tcBorders>
              <w:top w:val="single" w:color="auto" w:sz="4" w:space="0"/>
              <w:bottom w:val="single" w:color="auto" w:sz="4" w:space="0"/>
            </w:tcBorders>
            <w:noWrap/>
            <w:vAlign w:val="center"/>
          </w:tcPr>
          <w:p>
            <w:pPr>
              <w:spacing w:line="22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月报</w:t>
            </w:r>
          </w:p>
        </w:tc>
        <w:tc>
          <w:tcPr>
            <w:tcW w:w="2319" w:type="dxa"/>
            <w:tcBorders>
              <w:top w:val="single" w:color="auto" w:sz="4" w:space="0"/>
              <w:bottom w:val="single" w:color="auto" w:sz="4"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辖区内全部火力、水力、太阳能发电项目及企业</w:t>
            </w:r>
          </w:p>
        </w:tc>
        <w:tc>
          <w:tcPr>
            <w:tcW w:w="1771" w:type="dxa"/>
            <w:tcBorders>
              <w:top w:val="single" w:color="auto" w:sz="4" w:space="0"/>
              <w:bottom w:val="single" w:color="auto" w:sz="4"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广东电网有限责任公司广州供电局</w:t>
            </w:r>
          </w:p>
        </w:tc>
        <w:tc>
          <w:tcPr>
            <w:tcW w:w="1267" w:type="dxa"/>
            <w:tcBorders>
              <w:top w:val="single" w:color="auto" w:sz="4" w:space="0"/>
              <w:bottom w:val="single" w:color="auto" w:sz="4" w:space="0"/>
            </w:tcBorders>
            <w:noWrap/>
            <w:vAlign w:val="center"/>
          </w:tcPr>
          <w:p>
            <w:pPr>
              <w:spacing w:line="22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月后15日前；电子邮件</w:t>
            </w:r>
          </w:p>
        </w:tc>
      </w:tr>
    </w:tbl>
    <w:p>
      <w:pPr>
        <w:pStyle w:val="7"/>
        <w:ind w:firstLine="0" w:firstLineChars="0"/>
        <w:sectPr>
          <w:headerReference r:id="rId7" w:type="default"/>
          <w:pgSz w:w="11906" w:h="16838"/>
          <w:pgMar w:top="1417" w:right="1247" w:bottom="1247" w:left="1247" w:header="851" w:footer="992" w:gutter="0"/>
          <w:pgBorders>
            <w:top w:val="none" w:sz="0" w:space="0"/>
            <w:left w:val="none" w:sz="0" w:space="0"/>
            <w:bottom w:val="none" w:sz="0" w:space="0"/>
            <w:right w:val="none" w:sz="0" w:space="0"/>
          </w:pgBorders>
          <w:pgNumType w:fmt="numberInDash" w:start="1"/>
          <w:cols w:space="0" w:num="1"/>
          <w:docGrid w:linePitch="286" w:charSpace="0"/>
        </w:sectPr>
      </w:pPr>
    </w:p>
    <w:p>
      <w:pPr>
        <w:numPr>
          <w:ilvl w:val="0"/>
          <w:numId w:val="2"/>
        </w:numPr>
        <w:jc w:val="center"/>
        <w:rPr>
          <w:rFonts w:ascii="黑体" w:hAnsi="黑体" w:eastAsia="黑体" w:cs="黑体"/>
          <w:b/>
          <w:bCs w:val="0"/>
          <w:sz w:val="32"/>
          <w:szCs w:val="32"/>
        </w:rPr>
      </w:pPr>
      <w:r>
        <w:rPr>
          <w:rFonts w:hint="eastAsia" w:ascii="黑体" w:hAnsi="黑体" w:eastAsia="黑体" w:cs="黑体"/>
          <w:b/>
          <w:bCs w:val="0"/>
          <w:sz w:val="32"/>
          <w:szCs w:val="32"/>
        </w:rPr>
        <w:t>报表表式</w:t>
      </w:r>
    </w:p>
    <w:p>
      <w:pPr>
        <w:pStyle w:val="7"/>
        <w:numPr>
          <w:ilvl w:val="255"/>
          <w:numId w:val="0"/>
        </w:numPr>
      </w:pPr>
    </w:p>
    <w:p>
      <w:pPr>
        <w:jc w:val="center"/>
        <w:rPr>
          <w:rFonts w:ascii="宋体" w:hAnsi="宋体"/>
          <w:sz w:val="28"/>
          <w:szCs w:val="28"/>
        </w:rPr>
      </w:pPr>
      <w:r>
        <w:rPr>
          <w:rFonts w:hint="eastAsia" w:ascii="黑体" w:hAnsi="黑体" w:eastAsia="黑体" w:cs="黑体"/>
          <w:sz w:val="28"/>
          <w:szCs w:val="28"/>
        </w:rPr>
        <w:t>（</w:t>
      </w:r>
      <w:r>
        <w:rPr>
          <w:rFonts w:hint="eastAsia" w:ascii="黑体" w:hAnsi="黑体" w:eastAsia="黑体" w:cs="黑体"/>
          <w:sz w:val="28"/>
          <w:szCs w:val="28"/>
          <w:lang w:eastAsia="zh-CN"/>
        </w:rPr>
        <w:t>一</w:t>
      </w:r>
      <w:r>
        <w:rPr>
          <w:rFonts w:hint="eastAsia" w:ascii="黑体" w:hAnsi="黑体" w:eastAsia="黑体" w:cs="黑体"/>
          <w:sz w:val="28"/>
          <w:szCs w:val="28"/>
        </w:rPr>
        <w:t>）基层定报表式</w:t>
      </w:r>
    </w:p>
    <w:p>
      <w:pPr>
        <w:pStyle w:val="7"/>
      </w:pPr>
    </w:p>
    <w:p>
      <w:pPr>
        <w:spacing w:after="120" w:afterLines="50" w:line="360" w:lineRule="exact"/>
        <w:jc w:val="center"/>
        <w:rPr>
          <w:rFonts w:ascii="宋体" w:hAnsi="宋体"/>
          <w:b/>
          <w:bCs/>
          <w:sz w:val="32"/>
          <w:szCs w:val="32"/>
        </w:rPr>
      </w:pPr>
      <w:r>
        <w:rPr>
          <w:rFonts w:hint="eastAsia" w:ascii="宋体" w:hAnsi="宋体"/>
          <w:b/>
          <w:bCs/>
          <w:sz w:val="32"/>
          <w:szCs w:val="32"/>
        </w:rPr>
        <w:t>能源购进、消费与库存</w:t>
      </w:r>
    </w:p>
    <w:tbl>
      <w:tblPr>
        <w:tblStyle w:val="21"/>
        <w:tblW w:w="0" w:type="auto"/>
        <w:jc w:val="center"/>
        <w:tblLayout w:type="fixed"/>
        <w:tblCellMar>
          <w:top w:w="0" w:type="dxa"/>
          <w:left w:w="0" w:type="dxa"/>
          <w:bottom w:w="0" w:type="dxa"/>
          <w:right w:w="0" w:type="dxa"/>
        </w:tblCellMar>
      </w:tblPr>
      <w:tblGrid>
        <w:gridCol w:w="3181"/>
        <w:gridCol w:w="753"/>
        <w:gridCol w:w="2962"/>
        <w:gridCol w:w="840"/>
        <w:gridCol w:w="1666"/>
      </w:tblGrid>
      <w:tr>
        <w:tblPrEx>
          <w:tblCellMar>
            <w:top w:w="0" w:type="dxa"/>
            <w:left w:w="0" w:type="dxa"/>
            <w:bottom w:w="0" w:type="dxa"/>
            <w:right w:w="0" w:type="dxa"/>
          </w:tblCellMar>
        </w:tblPrEx>
        <w:trPr>
          <w:jc w:val="center"/>
        </w:trPr>
        <w:tc>
          <w:tcPr>
            <w:tcW w:w="3181" w:type="dxa"/>
            <w:noWrap/>
          </w:tcPr>
          <w:p>
            <w:pPr>
              <w:spacing w:line="260" w:lineRule="exact"/>
              <w:rPr>
                <w:sz w:val="18"/>
                <w:szCs w:val="18"/>
              </w:rPr>
            </w:pPr>
          </w:p>
        </w:tc>
        <w:tc>
          <w:tcPr>
            <w:tcW w:w="753" w:type="dxa"/>
            <w:noWrap/>
          </w:tcPr>
          <w:p>
            <w:pPr>
              <w:spacing w:line="260" w:lineRule="exact"/>
              <w:rPr>
                <w:sz w:val="18"/>
                <w:szCs w:val="18"/>
              </w:rPr>
            </w:pPr>
          </w:p>
        </w:tc>
        <w:tc>
          <w:tcPr>
            <w:tcW w:w="2962" w:type="dxa"/>
            <w:noWrap/>
          </w:tcPr>
          <w:p>
            <w:pPr>
              <w:spacing w:line="260" w:lineRule="exact"/>
              <w:rPr>
                <w:sz w:val="18"/>
                <w:szCs w:val="18"/>
              </w:rPr>
            </w:pPr>
          </w:p>
        </w:tc>
        <w:tc>
          <w:tcPr>
            <w:tcW w:w="840" w:type="dxa"/>
            <w:noWrap/>
            <w:tcMar>
              <w:left w:w="0" w:type="dxa"/>
              <w:right w:w="0" w:type="dxa"/>
            </w:tcMar>
          </w:tcPr>
          <w:p>
            <w:pPr>
              <w:spacing w:line="260" w:lineRule="exact"/>
              <w:rPr>
                <w:sz w:val="18"/>
                <w:szCs w:val="18"/>
              </w:rPr>
            </w:pPr>
            <w:r>
              <w:rPr>
                <w:sz w:val="18"/>
                <w:szCs w:val="18"/>
              </w:rPr>
              <w:t>表    号：</w:t>
            </w:r>
          </w:p>
        </w:tc>
        <w:tc>
          <w:tcPr>
            <w:tcW w:w="1666" w:type="dxa"/>
            <w:noWrap/>
            <w:vAlign w:val="center"/>
          </w:tcPr>
          <w:p>
            <w:pPr>
              <w:spacing w:line="260" w:lineRule="exact"/>
              <w:jc w:val="distribute"/>
              <w:rPr>
                <w:sz w:val="18"/>
                <w:szCs w:val="18"/>
              </w:rPr>
            </w:pPr>
            <w:r>
              <w:rPr>
                <w:sz w:val="18"/>
                <w:szCs w:val="18"/>
              </w:rPr>
              <w:t>２０５－１表</w:t>
            </w:r>
          </w:p>
        </w:tc>
      </w:tr>
      <w:tr>
        <w:tblPrEx>
          <w:tblCellMar>
            <w:top w:w="0" w:type="dxa"/>
            <w:left w:w="0" w:type="dxa"/>
            <w:bottom w:w="0" w:type="dxa"/>
            <w:right w:w="0" w:type="dxa"/>
          </w:tblCellMar>
        </w:tblPrEx>
        <w:trPr>
          <w:jc w:val="center"/>
        </w:trPr>
        <w:tc>
          <w:tcPr>
            <w:tcW w:w="6896" w:type="dxa"/>
            <w:gridSpan w:val="3"/>
            <w:noWrap/>
          </w:tcPr>
          <w:p>
            <w:pPr>
              <w:spacing w:line="260" w:lineRule="exact"/>
              <w:rPr>
                <w:sz w:val="18"/>
                <w:szCs w:val="18"/>
              </w:rPr>
            </w:pPr>
            <w:r>
              <w:rPr>
                <w:sz w:val="18"/>
                <w:szCs w:val="18"/>
              </w:rPr>
              <w:t>统一社会信用代码</w:t>
            </w:r>
            <w:r>
              <w:rPr>
                <w:rFonts w:hint="eastAsia" w:ascii="宋体" w:hAnsi="宋体" w:cs="宋体"/>
                <w:kern w:val="0"/>
                <w:sz w:val="18"/>
                <w:szCs w:val="18"/>
              </w:rPr>
              <w:t>□□□□□□□□□□□□□□□□□□</w:t>
            </w:r>
          </w:p>
        </w:tc>
        <w:tc>
          <w:tcPr>
            <w:tcW w:w="840" w:type="dxa"/>
            <w:noWrap/>
            <w:tcMar>
              <w:left w:w="0" w:type="dxa"/>
              <w:right w:w="0" w:type="dxa"/>
            </w:tcMar>
            <w:vAlign w:val="center"/>
          </w:tcPr>
          <w:p>
            <w:pPr>
              <w:spacing w:line="260" w:lineRule="exact"/>
              <w:rPr>
                <w:sz w:val="18"/>
                <w:szCs w:val="18"/>
              </w:rPr>
            </w:pPr>
            <w:r>
              <w:rPr>
                <w:sz w:val="18"/>
                <w:szCs w:val="18"/>
              </w:rPr>
              <w:t>制定机关：</w:t>
            </w:r>
          </w:p>
        </w:tc>
        <w:tc>
          <w:tcPr>
            <w:tcW w:w="1666" w:type="dxa"/>
            <w:noWrap/>
            <w:vAlign w:val="center"/>
          </w:tcPr>
          <w:p>
            <w:pPr>
              <w:spacing w:line="260" w:lineRule="exact"/>
              <w:jc w:val="distribute"/>
              <w:rPr>
                <w:sz w:val="18"/>
                <w:szCs w:val="18"/>
              </w:rPr>
            </w:pPr>
            <w:r>
              <w:rPr>
                <w:sz w:val="18"/>
                <w:szCs w:val="18"/>
              </w:rPr>
              <w:t>国 家 统 计 局</w:t>
            </w:r>
          </w:p>
        </w:tc>
      </w:tr>
      <w:tr>
        <w:tblPrEx>
          <w:tblCellMar>
            <w:top w:w="0" w:type="dxa"/>
            <w:left w:w="0" w:type="dxa"/>
            <w:bottom w:w="0" w:type="dxa"/>
            <w:right w:w="0" w:type="dxa"/>
          </w:tblCellMar>
        </w:tblPrEx>
        <w:trPr>
          <w:jc w:val="center"/>
        </w:trPr>
        <w:tc>
          <w:tcPr>
            <w:tcW w:w="6896" w:type="dxa"/>
            <w:gridSpan w:val="3"/>
            <w:noWrap/>
          </w:tcPr>
          <w:p>
            <w:pPr>
              <w:spacing w:line="260" w:lineRule="exact"/>
              <w:rPr>
                <w:sz w:val="18"/>
                <w:szCs w:val="18"/>
              </w:rPr>
            </w:pPr>
          </w:p>
        </w:tc>
        <w:tc>
          <w:tcPr>
            <w:tcW w:w="840" w:type="dxa"/>
            <w:noWrap/>
            <w:tcMar>
              <w:left w:w="0" w:type="dxa"/>
              <w:right w:w="0" w:type="dxa"/>
            </w:tcMar>
            <w:vAlign w:val="center"/>
          </w:tcPr>
          <w:p>
            <w:pPr>
              <w:spacing w:line="260" w:lineRule="exact"/>
              <w:rPr>
                <w:sz w:val="18"/>
                <w:szCs w:val="18"/>
              </w:rPr>
            </w:pPr>
            <w:r>
              <w:rPr>
                <w:sz w:val="18"/>
                <w:szCs w:val="18"/>
              </w:rPr>
              <w:t>文    号：</w:t>
            </w:r>
          </w:p>
        </w:tc>
        <w:tc>
          <w:tcPr>
            <w:tcW w:w="1666" w:type="dxa"/>
            <w:noWrap/>
            <w:vAlign w:val="center"/>
          </w:tcPr>
          <w:p>
            <w:pPr>
              <w:spacing w:line="260" w:lineRule="exact"/>
              <w:jc w:val="distribute"/>
              <w:rPr>
                <w:color w:val="auto"/>
                <w:sz w:val="18"/>
                <w:szCs w:val="18"/>
              </w:rPr>
            </w:pPr>
            <w:r>
              <w:rPr>
                <w:rFonts w:hint="eastAsia" w:ascii="宋体" w:hAnsi="宋体"/>
                <w:color w:val="auto"/>
                <w:sz w:val="18"/>
                <w:szCs w:val="18"/>
              </w:rPr>
              <w:t>国统字〔202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color w:val="auto"/>
                <w:sz w:val="18"/>
                <w:szCs w:val="18"/>
              </w:rPr>
              <w:t>号</w:t>
            </w:r>
          </w:p>
        </w:tc>
      </w:tr>
      <w:tr>
        <w:tblPrEx>
          <w:tblCellMar>
            <w:top w:w="0" w:type="dxa"/>
            <w:left w:w="0" w:type="dxa"/>
            <w:bottom w:w="0" w:type="dxa"/>
            <w:right w:w="0" w:type="dxa"/>
          </w:tblCellMar>
        </w:tblPrEx>
        <w:trPr>
          <w:jc w:val="center"/>
        </w:trPr>
        <w:tc>
          <w:tcPr>
            <w:tcW w:w="3181" w:type="dxa"/>
            <w:noWrap/>
          </w:tcPr>
          <w:p>
            <w:pPr>
              <w:spacing w:line="260" w:lineRule="exact"/>
              <w:rPr>
                <w:color w:val="auto"/>
                <w:sz w:val="18"/>
                <w:szCs w:val="18"/>
              </w:rPr>
            </w:pPr>
            <w:r>
              <w:rPr>
                <w:color w:val="auto"/>
                <w:sz w:val="18"/>
                <w:szCs w:val="18"/>
              </w:rPr>
              <w:t>单位详细名称：</w:t>
            </w:r>
          </w:p>
        </w:tc>
        <w:tc>
          <w:tcPr>
            <w:tcW w:w="753" w:type="dxa"/>
            <w:noWrap/>
          </w:tcPr>
          <w:p>
            <w:pPr>
              <w:spacing w:line="260" w:lineRule="exact"/>
              <w:rPr>
                <w:color w:val="auto"/>
                <w:sz w:val="18"/>
                <w:szCs w:val="18"/>
              </w:rPr>
            </w:pPr>
          </w:p>
        </w:tc>
        <w:tc>
          <w:tcPr>
            <w:tcW w:w="2962" w:type="dxa"/>
            <w:noWrap/>
          </w:tcPr>
          <w:p>
            <w:pPr>
              <w:spacing w:line="260" w:lineRule="exact"/>
              <w:rPr>
                <w:color w:val="auto"/>
                <w:sz w:val="18"/>
                <w:szCs w:val="18"/>
              </w:rPr>
            </w:pPr>
            <w:r>
              <w:rPr>
                <w:color w:val="auto"/>
                <w:sz w:val="18"/>
                <w:szCs w:val="18"/>
              </w:rPr>
              <w:t>２０　　年</w:t>
            </w:r>
            <w:r>
              <w:rPr>
                <w:rFonts w:hint="eastAsia"/>
                <w:color w:val="auto"/>
                <w:sz w:val="18"/>
                <w:szCs w:val="18"/>
              </w:rPr>
              <w:t>　１</w:t>
            </w:r>
            <w:r>
              <w:rPr>
                <w:color w:val="auto"/>
                <w:sz w:val="18"/>
                <w:szCs w:val="18"/>
              </w:rPr>
              <w:t>－　月</w:t>
            </w:r>
          </w:p>
        </w:tc>
        <w:tc>
          <w:tcPr>
            <w:tcW w:w="840" w:type="dxa"/>
            <w:noWrap/>
            <w:tcMar>
              <w:left w:w="0" w:type="dxa"/>
              <w:right w:w="0" w:type="dxa"/>
            </w:tcMar>
            <w:vAlign w:val="center"/>
          </w:tcPr>
          <w:p>
            <w:pPr>
              <w:spacing w:line="260" w:lineRule="exact"/>
              <w:rPr>
                <w:color w:val="auto"/>
                <w:sz w:val="18"/>
                <w:szCs w:val="18"/>
              </w:rPr>
            </w:pPr>
            <w:r>
              <w:rPr>
                <w:color w:val="auto"/>
                <w:sz w:val="18"/>
                <w:szCs w:val="18"/>
              </w:rPr>
              <w:t>有效期至：</w:t>
            </w:r>
          </w:p>
        </w:tc>
        <w:tc>
          <w:tcPr>
            <w:tcW w:w="1666" w:type="dxa"/>
            <w:noWrap/>
            <w:vAlign w:val="center"/>
          </w:tcPr>
          <w:p>
            <w:pPr>
              <w:spacing w:line="260" w:lineRule="exact"/>
              <w:jc w:val="distribute"/>
              <w:rPr>
                <w:color w:val="auto"/>
                <w:sz w:val="18"/>
                <w:szCs w:val="18"/>
              </w:rPr>
            </w:pPr>
            <w:r>
              <w:rPr>
                <w:color w:val="auto"/>
                <w:sz w:val="18"/>
                <w:szCs w:val="18"/>
              </w:rPr>
              <w:t>２０２</w:t>
            </w:r>
            <w:r>
              <w:rPr>
                <w:rFonts w:hint="eastAsia" w:ascii="宋体" w:hAnsi="宋体" w:cs="宋体"/>
                <w:color w:val="auto"/>
                <w:sz w:val="18"/>
                <w:szCs w:val="18"/>
                <w:lang w:val="en-US" w:eastAsia="zh-CN"/>
              </w:rPr>
              <w:t>7</w:t>
            </w:r>
            <w:r>
              <w:rPr>
                <w:color w:val="auto"/>
                <w:sz w:val="18"/>
                <w:szCs w:val="18"/>
              </w:rPr>
              <w:t>年１月</w:t>
            </w:r>
          </w:p>
        </w:tc>
      </w:tr>
    </w:tbl>
    <w:p>
      <w:pPr>
        <w:spacing w:line="20" w:lineRule="exact"/>
        <w:rPr>
          <w:color w:val="auto"/>
          <w:sz w:val="18"/>
          <w:szCs w:val="18"/>
        </w:rPr>
      </w:pPr>
    </w:p>
    <w:tbl>
      <w:tblPr>
        <w:tblStyle w:val="21"/>
        <w:tblW w:w="0" w:type="auto"/>
        <w:jc w:val="center"/>
        <w:tblLayout w:type="fixed"/>
        <w:tblCellMar>
          <w:top w:w="0" w:type="dxa"/>
          <w:left w:w="0" w:type="dxa"/>
          <w:bottom w:w="0" w:type="dxa"/>
          <w:right w:w="0" w:type="dxa"/>
        </w:tblCellMar>
      </w:tblPr>
      <w:tblGrid>
        <w:gridCol w:w="554"/>
        <w:gridCol w:w="503"/>
        <w:gridCol w:w="506"/>
        <w:gridCol w:w="783"/>
        <w:gridCol w:w="783"/>
        <w:gridCol w:w="783"/>
        <w:gridCol w:w="783"/>
        <w:gridCol w:w="783"/>
        <w:gridCol w:w="783"/>
        <w:gridCol w:w="786"/>
        <w:gridCol w:w="783"/>
        <w:gridCol w:w="783"/>
        <w:gridCol w:w="802"/>
      </w:tblGrid>
      <w:tr>
        <w:tblPrEx>
          <w:tblCellMar>
            <w:top w:w="0" w:type="dxa"/>
            <w:left w:w="0" w:type="dxa"/>
            <w:bottom w:w="0" w:type="dxa"/>
            <w:right w:w="0" w:type="dxa"/>
          </w:tblCellMar>
        </w:tblPrEx>
        <w:trPr>
          <w:trHeight w:val="478" w:hRule="atLeast"/>
          <w:jc w:val="center"/>
        </w:trPr>
        <w:tc>
          <w:tcPr>
            <w:tcW w:w="554" w:type="dxa"/>
            <w:vMerge w:val="restart"/>
            <w:tcBorders>
              <w:top w:val="single" w:color="auto" w:sz="8" w:space="0"/>
              <w:left w:val="nil"/>
              <w:bottom w:val="single" w:color="auto" w:sz="2" w:space="0"/>
              <w:right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color w:val="auto"/>
                <w:sz w:val="18"/>
                <w:szCs w:val="18"/>
              </w:rPr>
            </w:pPr>
            <w:r>
              <w:rPr>
                <w:rFonts w:hint="eastAsia" w:asciiTheme="minorEastAsia" w:hAnsiTheme="minorEastAsia" w:eastAsiaTheme="minorEastAsia" w:cstheme="minorEastAsia"/>
                <w:bCs/>
                <w:color w:val="auto"/>
                <w:sz w:val="18"/>
                <w:szCs w:val="18"/>
              </w:rPr>
              <w:t>能源               名称</w:t>
            </w:r>
          </w:p>
        </w:tc>
        <w:tc>
          <w:tcPr>
            <w:tcW w:w="503" w:type="dxa"/>
            <w:vMerge w:val="restart"/>
            <w:tcBorders>
              <w:top w:val="single" w:color="auto" w:sz="8" w:space="0"/>
              <w:left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color w:val="auto"/>
                <w:sz w:val="18"/>
                <w:szCs w:val="18"/>
              </w:rPr>
            </w:pPr>
            <w:r>
              <w:rPr>
                <w:rFonts w:hint="eastAsia" w:asciiTheme="minorEastAsia" w:hAnsiTheme="minorEastAsia" w:eastAsiaTheme="minorEastAsia" w:cstheme="minorEastAsia"/>
                <w:bCs/>
                <w:color w:val="auto"/>
                <w:sz w:val="18"/>
                <w:szCs w:val="18"/>
              </w:rPr>
              <w:t>计量  单位</w:t>
            </w:r>
          </w:p>
        </w:tc>
        <w:tc>
          <w:tcPr>
            <w:tcW w:w="506" w:type="dxa"/>
            <w:vMerge w:val="restart"/>
            <w:tcBorders>
              <w:top w:val="single" w:color="auto" w:sz="8" w:space="0"/>
              <w:left w:val="single" w:color="auto" w:sz="2" w:space="0"/>
              <w:bottom w:val="single" w:color="auto" w:sz="2" w:space="0"/>
              <w:right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color w:val="auto"/>
                <w:sz w:val="18"/>
                <w:szCs w:val="18"/>
              </w:rPr>
            </w:pPr>
            <w:r>
              <w:rPr>
                <w:rFonts w:hint="eastAsia" w:asciiTheme="minorEastAsia" w:hAnsiTheme="minorEastAsia" w:eastAsiaTheme="minorEastAsia" w:cstheme="minorEastAsia"/>
                <w:bCs/>
                <w:color w:val="auto"/>
                <w:sz w:val="18"/>
                <w:szCs w:val="18"/>
              </w:rPr>
              <w:t>代码</w:t>
            </w:r>
          </w:p>
        </w:tc>
        <w:tc>
          <w:tcPr>
            <w:tcW w:w="783" w:type="dxa"/>
            <w:vMerge w:val="restart"/>
            <w:tcBorders>
              <w:top w:val="single" w:color="auto" w:sz="8" w:space="0"/>
              <w:left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color w:val="auto"/>
                <w:sz w:val="18"/>
                <w:szCs w:val="18"/>
              </w:rPr>
            </w:pPr>
            <w:r>
              <w:rPr>
                <w:rFonts w:hint="eastAsia" w:asciiTheme="minorEastAsia" w:hAnsiTheme="minorEastAsia" w:eastAsiaTheme="minorEastAsia" w:cstheme="minorEastAsia"/>
                <w:bCs/>
                <w:color w:val="auto"/>
                <w:sz w:val="18"/>
                <w:szCs w:val="18"/>
              </w:rPr>
              <w:t>年初</w:t>
            </w:r>
          </w:p>
          <w:p>
            <w:pPr>
              <w:adjustRightInd w:val="0"/>
              <w:spacing w:line="240" w:lineRule="exact"/>
              <w:jc w:val="center"/>
              <w:rPr>
                <w:rFonts w:asciiTheme="minorEastAsia" w:hAnsiTheme="minorEastAsia" w:eastAsiaTheme="minorEastAsia" w:cstheme="minorEastAsia"/>
                <w:bCs/>
                <w:color w:val="auto"/>
                <w:sz w:val="18"/>
                <w:szCs w:val="18"/>
              </w:rPr>
            </w:pPr>
            <w:r>
              <w:rPr>
                <w:rFonts w:hint="eastAsia" w:asciiTheme="minorEastAsia" w:hAnsiTheme="minorEastAsia" w:eastAsiaTheme="minorEastAsia" w:cstheme="minorEastAsia"/>
                <w:bCs/>
                <w:color w:val="auto"/>
                <w:sz w:val="18"/>
                <w:szCs w:val="18"/>
              </w:rPr>
              <w:t>库存量</w:t>
            </w:r>
          </w:p>
        </w:tc>
        <w:tc>
          <w:tcPr>
            <w:tcW w:w="4701" w:type="dxa"/>
            <w:gridSpan w:val="6"/>
            <w:tcBorders>
              <w:top w:val="single" w:color="auto" w:sz="8" w:space="0"/>
              <w:left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color w:val="auto"/>
                <w:sz w:val="18"/>
                <w:szCs w:val="18"/>
              </w:rPr>
            </w:pPr>
            <w:r>
              <w:rPr>
                <w:rFonts w:hint="eastAsia" w:asciiTheme="minorEastAsia" w:hAnsiTheme="minorEastAsia" w:eastAsiaTheme="minorEastAsia" w:cstheme="minorEastAsia"/>
                <w:bCs/>
                <w:color w:val="auto"/>
                <w:sz w:val="18"/>
                <w:szCs w:val="18"/>
              </w:rPr>
              <w:t>1-本月</w:t>
            </w:r>
          </w:p>
        </w:tc>
        <w:tc>
          <w:tcPr>
            <w:tcW w:w="783" w:type="dxa"/>
            <w:vMerge w:val="restart"/>
            <w:tcBorders>
              <w:top w:val="single" w:color="auto" w:sz="8" w:space="0"/>
              <w:left w:val="single" w:color="auto" w:sz="2" w:space="0"/>
              <w:bottom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color w:val="auto"/>
                <w:sz w:val="18"/>
                <w:szCs w:val="18"/>
              </w:rPr>
            </w:pPr>
            <w:r>
              <w:rPr>
                <w:rFonts w:hint="eastAsia" w:asciiTheme="minorEastAsia" w:hAnsiTheme="minorEastAsia" w:eastAsiaTheme="minorEastAsia" w:cstheme="minorEastAsia"/>
                <w:bCs/>
                <w:color w:val="auto"/>
                <w:sz w:val="18"/>
                <w:szCs w:val="18"/>
              </w:rPr>
              <w:t>期  末         库存量</w:t>
            </w:r>
          </w:p>
        </w:tc>
        <w:tc>
          <w:tcPr>
            <w:tcW w:w="783" w:type="dxa"/>
            <w:vMerge w:val="restart"/>
            <w:tcBorders>
              <w:top w:val="single" w:color="auto" w:sz="8" w:space="0"/>
              <w:left w:val="single" w:color="auto" w:sz="2" w:space="0"/>
              <w:bottom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color w:val="auto"/>
                <w:sz w:val="18"/>
                <w:szCs w:val="18"/>
              </w:rPr>
            </w:pPr>
            <w:r>
              <w:rPr>
                <w:rFonts w:hint="eastAsia" w:asciiTheme="minorEastAsia" w:hAnsiTheme="minorEastAsia" w:eastAsiaTheme="minorEastAsia" w:cstheme="minorEastAsia"/>
                <w:bCs/>
                <w:color w:val="auto"/>
                <w:sz w:val="18"/>
                <w:szCs w:val="18"/>
              </w:rPr>
              <w:t>采用折标</w:t>
            </w:r>
          </w:p>
          <w:p>
            <w:pPr>
              <w:widowControl/>
              <w:adjustRightInd w:val="0"/>
              <w:spacing w:line="240" w:lineRule="exact"/>
              <w:jc w:val="center"/>
              <w:rPr>
                <w:rFonts w:asciiTheme="minorEastAsia" w:hAnsiTheme="minorEastAsia" w:eastAsiaTheme="minorEastAsia" w:cstheme="minorEastAsia"/>
                <w:bCs/>
                <w:color w:val="auto"/>
                <w:sz w:val="18"/>
                <w:szCs w:val="18"/>
              </w:rPr>
            </w:pPr>
            <w:r>
              <w:rPr>
                <w:rFonts w:hint="eastAsia" w:asciiTheme="minorEastAsia" w:hAnsiTheme="minorEastAsia" w:eastAsiaTheme="minorEastAsia" w:cstheme="minorEastAsia"/>
                <w:bCs/>
                <w:color w:val="auto"/>
                <w:sz w:val="18"/>
                <w:szCs w:val="18"/>
              </w:rPr>
              <w:t>系    数</w:t>
            </w:r>
          </w:p>
        </w:tc>
        <w:tc>
          <w:tcPr>
            <w:tcW w:w="802" w:type="dxa"/>
            <w:vMerge w:val="restart"/>
            <w:tcBorders>
              <w:top w:val="single" w:color="auto" w:sz="8" w:space="0"/>
              <w:left w:val="single" w:color="auto" w:sz="2" w:space="0"/>
              <w:bottom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color w:val="auto"/>
                <w:sz w:val="18"/>
                <w:szCs w:val="18"/>
              </w:rPr>
            </w:pPr>
            <w:r>
              <w:rPr>
                <w:rFonts w:hint="eastAsia" w:asciiTheme="minorEastAsia" w:hAnsiTheme="minorEastAsia" w:eastAsiaTheme="minorEastAsia" w:cstheme="minorEastAsia"/>
                <w:bCs/>
                <w:color w:val="auto"/>
                <w:sz w:val="18"/>
                <w:szCs w:val="18"/>
              </w:rPr>
              <w:t>参考折标系    数</w:t>
            </w:r>
          </w:p>
        </w:tc>
      </w:tr>
      <w:tr>
        <w:tblPrEx>
          <w:tblCellMar>
            <w:top w:w="0" w:type="dxa"/>
            <w:left w:w="0" w:type="dxa"/>
            <w:bottom w:w="0" w:type="dxa"/>
            <w:right w:w="0" w:type="dxa"/>
          </w:tblCellMar>
        </w:tblPrEx>
        <w:trPr>
          <w:trHeight w:val="247" w:hRule="atLeast"/>
          <w:jc w:val="center"/>
        </w:trPr>
        <w:tc>
          <w:tcPr>
            <w:tcW w:w="554" w:type="dxa"/>
            <w:vMerge w:val="continue"/>
            <w:tcBorders>
              <w:top w:val="single" w:color="auto" w:sz="2" w:space="0"/>
              <w:left w:val="nil"/>
              <w:bottom w:val="single" w:color="auto" w:sz="2" w:space="0"/>
              <w:right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sz w:val="18"/>
                <w:szCs w:val="18"/>
              </w:rPr>
            </w:pPr>
          </w:p>
        </w:tc>
        <w:tc>
          <w:tcPr>
            <w:tcW w:w="503" w:type="dxa"/>
            <w:vMerge w:val="continue"/>
            <w:tcBorders>
              <w:top w:val="single" w:color="auto" w:sz="2" w:space="0"/>
              <w:left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sz w:val="18"/>
                <w:szCs w:val="18"/>
              </w:rPr>
            </w:pPr>
          </w:p>
        </w:tc>
        <w:tc>
          <w:tcPr>
            <w:tcW w:w="506" w:type="dxa"/>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sz w:val="18"/>
                <w:szCs w:val="18"/>
              </w:rPr>
            </w:pPr>
          </w:p>
        </w:tc>
        <w:tc>
          <w:tcPr>
            <w:tcW w:w="783" w:type="dxa"/>
            <w:vMerge w:val="continue"/>
            <w:tcBorders>
              <w:top w:val="single" w:color="auto" w:sz="2" w:space="0"/>
              <w:left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sz w:val="18"/>
                <w:szCs w:val="18"/>
              </w:rPr>
            </w:pPr>
          </w:p>
        </w:tc>
        <w:tc>
          <w:tcPr>
            <w:tcW w:w="783" w:type="dxa"/>
            <w:vMerge w:val="restart"/>
            <w:tcBorders>
              <w:top w:val="single" w:color="auto" w:sz="2" w:space="0"/>
              <w:left w:val="single" w:color="auto" w:sz="2" w:space="0"/>
              <w:bottom w:val="single" w:color="auto" w:sz="2" w:space="0"/>
            </w:tcBorders>
            <w:noWrap/>
            <w:vAlign w:val="center"/>
          </w:tcPr>
          <w:p>
            <w:pPr>
              <w:adjustRightInd w:val="0"/>
              <w:spacing w:line="240" w:lineRule="exact"/>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购进量</w:t>
            </w:r>
          </w:p>
        </w:tc>
        <w:tc>
          <w:tcPr>
            <w:tcW w:w="783" w:type="dxa"/>
            <w:tcBorders>
              <w:top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sz w:val="18"/>
                <w:szCs w:val="18"/>
              </w:rPr>
            </w:pPr>
          </w:p>
        </w:tc>
        <w:tc>
          <w:tcPr>
            <w:tcW w:w="783" w:type="dxa"/>
            <w:vMerge w:val="restart"/>
            <w:tcBorders>
              <w:top w:val="single" w:color="auto" w:sz="2" w:space="0"/>
              <w:left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购进金额</w:t>
            </w:r>
          </w:p>
          <w:p>
            <w:pPr>
              <w:adjustRightInd w:val="0"/>
              <w:spacing w:line="240" w:lineRule="exact"/>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（千元）</w:t>
            </w:r>
          </w:p>
        </w:tc>
        <w:tc>
          <w:tcPr>
            <w:tcW w:w="783" w:type="dxa"/>
            <w:vMerge w:val="restart"/>
            <w:tcBorders>
              <w:top w:val="single" w:color="auto" w:sz="2" w:space="0"/>
              <w:left w:val="single" w:color="auto" w:sz="2" w:space="0"/>
              <w:bottom w:val="single" w:color="auto" w:sz="2" w:space="0"/>
            </w:tcBorders>
            <w:noWrap/>
            <w:vAlign w:val="center"/>
          </w:tcPr>
          <w:p>
            <w:pPr>
              <w:adjustRightInd w:val="0"/>
              <w:spacing w:line="240" w:lineRule="exact"/>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工  业</w:t>
            </w:r>
          </w:p>
          <w:p>
            <w:pPr>
              <w:adjustRightInd w:val="0"/>
              <w:spacing w:line="240" w:lineRule="exact"/>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生  产</w:t>
            </w:r>
          </w:p>
          <w:p>
            <w:pPr>
              <w:adjustRightInd w:val="0"/>
              <w:spacing w:line="240" w:lineRule="exact"/>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消费量</w:t>
            </w:r>
          </w:p>
        </w:tc>
        <w:tc>
          <w:tcPr>
            <w:tcW w:w="1569" w:type="dxa"/>
            <w:gridSpan w:val="2"/>
            <w:tcBorders>
              <w:top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sz w:val="18"/>
                <w:szCs w:val="18"/>
              </w:rPr>
            </w:pPr>
          </w:p>
        </w:tc>
        <w:tc>
          <w:tcPr>
            <w:tcW w:w="783" w:type="dxa"/>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sz w:val="18"/>
                <w:szCs w:val="18"/>
              </w:rPr>
            </w:pPr>
          </w:p>
        </w:tc>
        <w:tc>
          <w:tcPr>
            <w:tcW w:w="783" w:type="dxa"/>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sz w:val="18"/>
                <w:szCs w:val="18"/>
              </w:rPr>
            </w:pPr>
          </w:p>
        </w:tc>
        <w:tc>
          <w:tcPr>
            <w:tcW w:w="802" w:type="dxa"/>
            <w:vMerge w:val="continue"/>
            <w:tcBorders>
              <w:top w:val="single" w:color="auto" w:sz="2" w:space="0"/>
              <w:left w:val="single" w:color="auto" w:sz="2" w:space="0"/>
              <w:bottom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sz w:val="18"/>
                <w:szCs w:val="18"/>
              </w:rPr>
            </w:pPr>
          </w:p>
        </w:tc>
      </w:tr>
      <w:tr>
        <w:tblPrEx>
          <w:tblCellMar>
            <w:top w:w="0" w:type="dxa"/>
            <w:left w:w="0" w:type="dxa"/>
            <w:bottom w:w="0" w:type="dxa"/>
            <w:right w:w="0" w:type="dxa"/>
          </w:tblCellMar>
        </w:tblPrEx>
        <w:trPr>
          <w:trHeight w:val="651" w:hRule="atLeast"/>
          <w:jc w:val="center"/>
        </w:trPr>
        <w:tc>
          <w:tcPr>
            <w:tcW w:w="554" w:type="dxa"/>
            <w:vMerge w:val="continue"/>
            <w:tcBorders>
              <w:top w:val="single" w:color="auto" w:sz="2" w:space="0"/>
              <w:left w:val="nil"/>
              <w:bottom w:val="single" w:color="auto" w:sz="2" w:space="0"/>
              <w:right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sz w:val="18"/>
                <w:szCs w:val="18"/>
              </w:rPr>
            </w:pPr>
          </w:p>
        </w:tc>
        <w:tc>
          <w:tcPr>
            <w:tcW w:w="503" w:type="dxa"/>
            <w:vMerge w:val="continue"/>
            <w:tcBorders>
              <w:top w:val="single" w:color="auto" w:sz="2" w:space="0"/>
              <w:left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sz w:val="18"/>
                <w:szCs w:val="18"/>
              </w:rPr>
            </w:pPr>
          </w:p>
        </w:tc>
        <w:tc>
          <w:tcPr>
            <w:tcW w:w="506" w:type="dxa"/>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sz w:val="18"/>
                <w:szCs w:val="18"/>
              </w:rPr>
            </w:pPr>
          </w:p>
        </w:tc>
        <w:tc>
          <w:tcPr>
            <w:tcW w:w="783" w:type="dxa"/>
            <w:vMerge w:val="continue"/>
            <w:tcBorders>
              <w:top w:val="single" w:color="auto" w:sz="2" w:space="0"/>
              <w:left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sz w:val="18"/>
                <w:szCs w:val="18"/>
              </w:rPr>
            </w:pPr>
          </w:p>
        </w:tc>
        <w:tc>
          <w:tcPr>
            <w:tcW w:w="783" w:type="dxa"/>
            <w:vMerge w:val="continue"/>
            <w:tcBorders>
              <w:top w:val="single" w:color="auto" w:sz="2" w:space="0"/>
              <w:left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sz w:val="18"/>
                <w:szCs w:val="18"/>
              </w:rPr>
            </w:pPr>
          </w:p>
        </w:tc>
        <w:tc>
          <w:tcPr>
            <w:tcW w:w="783" w:type="dxa"/>
            <w:tcBorders>
              <w:top w:val="single" w:color="auto" w:sz="2" w:space="0"/>
              <w:left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购自</w:t>
            </w:r>
          </w:p>
          <w:p>
            <w:pPr>
              <w:adjustRightInd w:val="0"/>
              <w:spacing w:line="240" w:lineRule="exact"/>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省外</w:t>
            </w:r>
          </w:p>
        </w:tc>
        <w:tc>
          <w:tcPr>
            <w:tcW w:w="783" w:type="dxa"/>
            <w:vMerge w:val="continue"/>
            <w:tcBorders>
              <w:top w:val="single" w:color="auto" w:sz="2" w:space="0"/>
              <w:left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sz w:val="18"/>
                <w:szCs w:val="18"/>
              </w:rPr>
            </w:pPr>
          </w:p>
        </w:tc>
        <w:tc>
          <w:tcPr>
            <w:tcW w:w="783" w:type="dxa"/>
            <w:vMerge w:val="continue"/>
            <w:tcBorders>
              <w:top w:val="single" w:color="auto" w:sz="2" w:space="0"/>
              <w:left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sz w:val="18"/>
                <w:szCs w:val="18"/>
              </w:rPr>
            </w:pPr>
          </w:p>
        </w:tc>
        <w:tc>
          <w:tcPr>
            <w:tcW w:w="783" w:type="dxa"/>
            <w:tcBorders>
              <w:top w:val="single" w:color="auto" w:sz="2" w:space="0"/>
              <w:left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用  于      原材料</w:t>
            </w:r>
          </w:p>
        </w:tc>
        <w:tc>
          <w:tcPr>
            <w:tcW w:w="786" w:type="dxa"/>
            <w:tcBorders>
              <w:top w:val="single" w:color="auto" w:sz="2" w:space="0"/>
              <w:left w:val="single" w:color="auto" w:sz="2" w:space="0"/>
              <w:bottom w:val="single" w:color="auto" w:sz="2" w:space="0"/>
              <w:right w:val="single" w:color="auto" w:sz="2" w:space="0"/>
            </w:tcBorders>
            <w:noWrap/>
            <w:vAlign w:val="center"/>
          </w:tcPr>
          <w:p>
            <w:pPr>
              <w:adjustRightInd w:val="0"/>
              <w:spacing w:line="240" w:lineRule="exact"/>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运输工  具消费</w:t>
            </w:r>
          </w:p>
        </w:tc>
        <w:tc>
          <w:tcPr>
            <w:tcW w:w="783" w:type="dxa"/>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sz w:val="18"/>
                <w:szCs w:val="18"/>
              </w:rPr>
            </w:pPr>
          </w:p>
        </w:tc>
        <w:tc>
          <w:tcPr>
            <w:tcW w:w="783" w:type="dxa"/>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sz w:val="18"/>
                <w:szCs w:val="18"/>
              </w:rPr>
            </w:pPr>
          </w:p>
        </w:tc>
        <w:tc>
          <w:tcPr>
            <w:tcW w:w="802" w:type="dxa"/>
            <w:vMerge w:val="continue"/>
            <w:tcBorders>
              <w:top w:val="single" w:color="auto" w:sz="2" w:space="0"/>
              <w:left w:val="single" w:color="auto" w:sz="2" w:space="0"/>
              <w:bottom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sz w:val="18"/>
                <w:szCs w:val="18"/>
              </w:rPr>
            </w:pPr>
          </w:p>
        </w:tc>
      </w:tr>
      <w:tr>
        <w:tblPrEx>
          <w:tblCellMar>
            <w:top w:w="0" w:type="dxa"/>
            <w:left w:w="0" w:type="dxa"/>
            <w:bottom w:w="0" w:type="dxa"/>
            <w:right w:w="0" w:type="dxa"/>
          </w:tblCellMar>
        </w:tblPrEx>
        <w:trPr>
          <w:trHeight w:val="313" w:hRule="atLeast"/>
          <w:jc w:val="center"/>
        </w:trPr>
        <w:tc>
          <w:tcPr>
            <w:tcW w:w="554" w:type="dxa"/>
            <w:tcBorders>
              <w:top w:val="single" w:color="auto" w:sz="2" w:space="0"/>
              <w:left w:val="nil"/>
              <w:bottom w:val="single" w:color="auto" w:sz="2" w:space="0"/>
              <w:right w:val="single" w:color="auto" w:sz="2" w:space="0"/>
            </w:tcBorders>
            <w:noWrap/>
            <w:vAlign w:val="center"/>
          </w:tcPr>
          <w:p>
            <w:pPr>
              <w:widowControl/>
              <w:adjustRightInd w:val="0"/>
              <w:spacing w:line="240" w:lineRule="exact"/>
              <w:jc w:val="center"/>
              <w:textAlignment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甲</w:t>
            </w:r>
          </w:p>
        </w:tc>
        <w:tc>
          <w:tcPr>
            <w:tcW w:w="503" w:type="dxa"/>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textAlignment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乙</w:t>
            </w:r>
          </w:p>
        </w:tc>
        <w:tc>
          <w:tcPr>
            <w:tcW w:w="506" w:type="dxa"/>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textAlignment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丙</w:t>
            </w:r>
          </w:p>
        </w:tc>
        <w:tc>
          <w:tcPr>
            <w:tcW w:w="783" w:type="dxa"/>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textAlignment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1</w:t>
            </w:r>
          </w:p>
        </w:tc>
        <w:tc>
          <w:tcPr>
            <w:tcW w:w="783" w:type="dxa"/>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textAlignment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2</w:t>
            </w:r>
          </w:p>
        </w:tc>
        <w:tc>
          <w:tcPr>
            <w:tcW w:w="783" w:type="dxa"/>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textAlignment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3</w:t>
            </w:r>
          </w:p>
        </w:tc>
        <w:tc>
          <w:tcPr>
            <w:tcW w:w="783" w:type="dxa"/>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textAlignment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4</w:t>
            </w:r>
          </w:p>
        </w:tc>
        <w:tc>
          <w:tcPr>
            <w:tcW w:w="783" w:type="dxa"/>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textAlignment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5</w:t>
            </w:r>
          </w:p>
        </w:tc>
        <w:tc>
          <w:tcPr>
            <w:tcW w:w="783" w:type="dxa"/>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textAlignment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6</w:t>
            </w:r>
          </w:p>
        </w:tc>
        <w:tc>
          <w:tcPr>
            <w:tcW w:w="786" w:type="dxa"/>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textAlignment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7</w:t>
            </w:r>
          </w:p>
        </w:tc>
        <w:tc>
          <w:tcPr>
            <w:tcW w:w="783" w:type="dxa"/>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textAlignment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8</w:t>
            </w:r>
          </w:p>
        </w:tc>
        <w:tc>
          <w:tcPr>
            <w:tcW w:w="783" w:type="dxa"/>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textAlignment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9</w:t>
            </w:r>
          </w:p>
        </w:tc>
        <w:tc>
          <w:tcPr>
            <w:tcW w:w="802" w:type="dxa"/>
            <w:tcBorders>
              <w:top w:val="single" w:color="auto" w:sz="2" w:space="0"/>
              <w:left w:val="single" w:color="auto" w:sz="2" w:space="0"/>
              <w:bottom w:val="single" w:color="auto" w:sz="2" w:space="0"/>
            </w:tcBorders>
            <w:noWrap/>
            <w:vAlign w:val="center"/>
          </w:tcPr>
          <w:p>
            <w:pPr>
              <w:widowControl/>
              <w:adjustRightInd w:val="0"/>
              <w:spacing w:line="240" w:lineRule="exact"/>
              <w:jc w:val="center"/>
              <w:textAlignment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丁</w:t>
            </w:r>
          </w:p>
        </w:tc>
      </w:tr>
      <w:tr>
        <w:tblPrEx>
          <w:tblCellMar>
            <w:top w:w="0" w:type="dxa"/>
            <w:left w:w="0" w:type="dxa"/>
            <w:bottom w:w="0" w:type="dxa"/>
            <w:right w:w="0" w:type="dxa"/>
          </w:tblCellMar>
        </w:tblPrEx>
        <w:trPr>
          <w:trHeight w:val="863" w:hRule="atLeast"/>
          <w:jc w:val="center"/>
        </w:trPr>
        <w:tc>
          <w:tcPr>
            <w:tcW w:w="554" w:type="dxa"/>
            <w:tcBorders>
              <w:top w:val="single" w:color="auto" w:sz="2" w:space="0"/>
              <w:left w:val="nil"/>
              <w:bottom w:val="single" w:color="auto" w:sz="2" w:space="0"/>
              <w:right w:val="single" w:color="auto" w:sz="2" w:space="0"/>
            </w:tcBorders>
            <w:noWrap/>
            <w:vAlign w:val="center"/>
          </w:tcPr>
          <w:p>
            <w:pPr>
              <w:widowControl/>
              <w:adjustRightInd w:val="0"/>
              <w:spacing w:line="240" w:lineRule="exact"/>
              <w:jc w:val="left"/>
              <w:rPr>
                <w:rFonts w:asciiTheme="minorEastAsia" w:hAnsiTheme="minorEastAsia" w:eastAsiaTheme="minorEastAsia" w:cstheme="minorEastAsia"/>
                <w:bCs/>
                <w:sz w:val="18"/>
                <w:szCs w:val="18"/>
              </w:rPr>
            </w:pPr>
          </w:p>
        </w:tc>
        <w:tc>
          <w:tcPr>
            <w:tcW w:w="503" w:type="dxa"/>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rPr>
                <w:rFonts w:asciiTheme="minorEastAsia" w:hAnsiTheme="minorEastAsia" w:eastAsiaTheme="minorEastAsia" w:cstheme="minorEastAsia"/>
                <w:bCs/>
                <w:spacing w:val="-4"/>
                <w:sz w:val="18"/>
                <w:szCs w:val="18"/>
              </w:rPr>
            </w:pPr>
          </w:p>
        </w:tc>
        <w:tc>
          <w:tcPr>
            <w:tcW w:w="506" w:type="dxa"/>
            <w:tcBorders>
              <w:top w:val="single" w:color="auto" w:sz="2" w:space="0"/>
              <w:left w:val="single" w:color="auto" w:sz="2" w:space="0"/>
              <w:bottom w:val="single" w:color="auto" w:sz="2" w:space="0"/>
              <w:right w:val="single" w:color="auto" w:sz="2" w:space="0"/>
            </w:tcBorders>
            <w:noWrap/>
            <w:vAlign w:val="center"/>
          </w:tcPr>
          <w:p>
            <w:pPr>
              <w:widowControl/>
              <w:adjustRightInd w:val="0"/>
              <w:spacing w:line="240" w:lineRule="exact"/>
              <w:jc w:val="center"/>
              <w:rPr>
                <w:rFonts w:asciiTheme="minorEastAsia" w:hAnsiTheme="minorEastAsia" w:eastAsiaTheme="minorEastAsia" w:cstheme="minorEastAsia"/>
                <w:bCs/>
                <w:sz w:val="18"/>
                <w:szCs w:val="18"/>
              </w:rPr>
            </w:pPr>
          </w:p>
        </w:tc>
        <w:tc>
          <w:tcPr>
            <w:tcW w:w="7050" w:type="dxa"/>
            <w:gridSpan w:val="9"/>
            <w:tcBorders>
              <w:top w:val="single" w:color="auto" w:sz="2" w:space="0"/>
              <w:left w:val="single" w:color="auto" w:sz="2" w:space="0"/>
              <w:bottom w:val="single" w:color="auto" w:sz="2" w:space="0"/>
            </w:tcBorders>
            <w:noWrap/>
            <w:vAlign w:val="center"/>
          </w:tcPr>
          <w:p>
            <w:pPr>
              <w:adjustRightInd w:val="0"/>
              <w:spacing w:line="240" w:lineRule="exact"/>
              <w:jc w:val="center"/>
              <w:rPr>
                <w:rFonts w:asciiTheme="minorEastAsia" w:hAnsiTheme="minorEastAsia" w:eastAsiaTheme="minorEastAsia" w:cstheme="minorEastAsia"/>
                <w:bCs/>
                <w:spacing w:val="-10"/>
                <w:sz w:val="18"/>
                <w:szCs w:val="18"/>
              </w:rPr>
            </w:pPr>
          </w:p>
        </w:tc>
        <w:tc>
          <w:tcPr>
            <w:tcW w:w="802" w:type="dxa"/>
            <w:tcBorders>
              <w:top w:val="single" w:color="auto" w:sz="2" w:space="0"/>
              <w:left w:val="single" w:color="auto" w:sz="2" w:space="0"/>
              <w:bottom w:val="single" w:color="auto" w:sz="2" w:space="0"/>
            </w:tcBorders>
            <w:noWrap/>
            <w:vAlign w:val="center"/>
          </w:tcPr>
          <w:p>
            <w:pPr>
              <w:adjustRightInd w:val="0"/>
              <w:spacing w:line="240" w:lineRule="exact"/>
              <w:jc w:val="center"/>
              <w:rPr>
                <w:rFonts w:asciiTheme="minorEastAsia" w:hAnsiTheme="minorEastAsia" w:eastAsiaTheme="minorEastAsia" w:cstheme="minorEastAsia"/>
                <w:bCs/>
                <w:spacing w:val="-10"/>
                <w:sz w:val="18"/>
                <w:szCs w:val="18"/>
              </w:rPr>
            </w:pPr>
          </w:p>
        </w:tc>
      </w:tr>
      <w:tr>
        <w:tblPrEx>
          <w:tblCellMar>
            <w:top w:w="0" w:type="dxa"/>
            <w:left w:w="0" w:type="dxa"/>
            <w:bottom w:w="0" w:type="dxa"/>
            <w:right w:w="0" w:type="dxa"/>
          </w:tblCellMar>
        </w:tblPrEx>
        <w:trPr>
          <w:trHeight w:val="2276" w:hRule="atLeast"/>
          <w:jc w:val="center"/>
        </w:trPr>
        <w:tc>
          <w:tcPr>
            <w:tcW w:w="9415" w:type="dxa"/>
            <w:gridSpan w:val="13"/>
            <w:tcBorders>
              <w:top w:val="single" w:color="auto" w:sz="2" w:space="0"/>
              <w:left w:val="nil"/>
              <w:bottom w:val="single" w:color="auto" w:sz="8" w:space="0"/>
            </w:tcBorders>
            <w:noWrap/>
            <w:vAlign w:val="center"/>
          </w:tcPr>
          <w:p>
            <w:pPr>
              <w:spacing w:line="260" w:lineRule="exact"/>
              <w:rPr>
                <w:rFonts w:ascii="宋体" w:hAnsi="宋体" w:cs="宋体"/>
                <w:bCs/>
                <w:sz w:val="18"/>
                <w:szCs w:val="18"/>
              </w:rPr>
            </w:pPr>
            <w:r>
              <w:rPr>
                <w:rFonts w:hint="eastAsia" w:ascii="宋体" w:hAnsi="宋体" w:cs="宋体"/>
                <w:bCs/>
                <w:sz w:val="18"/>
                <w:szCs w:val="18"/>
              </w:rPr>
              <w:t>补充资料：</w:t>
            </w:r>
          </w:p>
          <w:p>
            <w:pPr>
              <w:spacing w:line="260" w:lineRule="exact"/>
              <w:ind w:firstLine="180" w:firstLineChars="100"/>
              <w:rPr>
                <w:rFonts w:ascii="宋体" w:hAnsi="宋体" w:cs="宋体"/>
                <w:sz w:val="18"/>
                <w:szCs w:val="18"/>
              </w:rPr>
            </w:pPr>
            <w:r>
              <w:rPr>
                <w:rFonts w:hint="eastAsia" w:ascii="宋体" w:hAnsi="宋体" w:cs="宋体"/>
                <w:sz w:val="18"/>
                <w:szCs w:val="18"/>
              </w:rPr>
              <w:t>上年同期：</w:t>
            </w:r>
            <w:r>
              <w:rPr>
                <w:rFonts w:hint="eastAsia" w:ascii="宋体" w:hAnsi="宋体" w:cs="宋体"/>
                <w:sz w:val="18"/>
                <w:szCs w:val="18"/>
                <w:shd w:val="clear" w:color="auto" w:fill="D9D9D9"/>
              </w:rPr>
              <w:t>综合能源消费量（41）</w:t>
            </w:r>
            <w:r>
              <w:rPr>
                <w:rFonts w:hint="eastAsia" w:ascii="宋体" w:hAnsi="宋体" w:cs="宋体"/>
                <w:sz w:val="18"/>
                <w:szCs w:val="18"/>
                <w:u w:val="single"/>
                <w:shd w:val="clear" w:color="auto" w:fill="D9D9D9"/>
              </w:rPr>
              <w:t xml:space="preserve">　        </w:t>
            </w:r>
            <w:r>
              <w:rPr>
                <w:rFonts w:hint="eastAsia" w:ascii="宋体" w:hAnsi="宋体" w:cs="宋体"/>
                <w:sz w:val="18"/>
                <w:szCs w:val="18"/>
                <w:shd w:val="clear" w:color="auto" w:fill="D9D9D9"/>
              </w:rPr>
              <w:t>吨标准煤          综合能源消费量（当月）（42）</w:t>
            </w:r>
            <w:r>
              <w:rPr>
                <w:rFonts w:hint="eastAsia" w:ascii="宋体" w:hAnsi="宋体" w:cs="宋体"/>
                <w:sz w:val="18"/>
                <w:szCs w:val="18"/>
                <w:u w:val="single"/>
                <w:shd w:val="clear" w:color="auto" w:fill="D9D9D9"/>
              </w:rPr>
              <w:t xml:space="preserve">      </w:t>
            </w:r>
            <w:r>
              <w:rPr>
                <w:rFonts w:hint="eastAsia" w:ascii="宋体" w:hAnsi="宋体" w:cs="宋体"/>
                <w:sz w:val="18"/>
                <w:szCs w:val="18"/>
                <w:shd w:val="clear" w:color="auto" w:fill="D9D9D9"/>
              </w:rPr>
              <w:t>吨标准煤</w:t>
            </w:r>
          </w:p>
          <w:p>
            <w:pPr>
              <w:spacing w:line="260" w:lineRule="exact"/>
              <w:rPr>
                <w:rFonts w:ascii="宋体" w:hAnsi="宋体" w:cs="宋体"/>
                <w:sz w:val="18"/>
                <w:szCs w:val="18"/>
                <w:shd w:val="clear" w:color="auto" w:fill="D9D9D9"/>
              </w:rPr>
            </w:pPr>
            <w:r>
              <w:rPr>
                <w:rFonts w:hint="eastAsia" w:ascii="宋体" w:hAnsi="宋体" w:cs="宋体"/>
                <w:sz w:val="18"/>
                <w:szCs w:val="18"/>
              </w:rPr>
              <w:t>　　　　  　</w:t>
            </w:r>
            <w:r>
              <w:rPr>
                <w:rFonts w:hint="eastAsia" w:ascii="宋体" w:hAnsi="宋体" w:cs="宋体"/>
                <w:sz w:val="18"/>
                <w:szCs w:val="18"/>
                <w:shd w:val="clear" w:color="auto" w:fill="D9D9D9"/>
              </w:rPr>
              <w:t>用于原材料的原煤采用折标系数（43）</w:t>
            </w:r>
            <w:r>
              <w:rPr>
                <w:rFonts w:hint="eastAsia" w:ascii="宋体" w:hAnsi="宋体" w:cs="宋体"/>
                <w:sz w:val="18"/>
                <w:szCs w:val="18"/>
                <w:u w:val="single"/>
                <w:shd w:val="clear" w:color="auto" w:fill="D9D9D9"/>
              </w:rPr>
              <w:t xml:space="preserve">　            </w:t>
            </w:r>
            <w:r>
              <w:rPr>
                <w:rFonts w:hint="eastAsia" w:ascii="宋体" w:hAnsi="宋体" w:cs="宋体"/>
                <w:sz w:val="18"/>
                <w:szCs w:val="18"/>
                <w:shd w:val="clear" w:color="auto" w:fill="D9D9D9"/>
              </w:rPr>
              <w:t>吨标准煤/吨</w:t>
            </w:r>
          </w:p>
          <w:p>
            <w:pPr>
              <w:spacing w:line="260" w:lineRule="exact"/>
              <w:ind w:firstLine="1080" w:firstLineChars="600"/>
              <w:rPr>
                <w:rFonts w:ascii="宋体" w:hAnsi="宋体" w:cs="宋体"/>
                <w:sz w:val="18"/>
                <w:szCs w:val="18"/>
              </w:rPr>
            </w:pPr>
            <w:r>
              <w:rPr>
                <w:rFonts w:hint="eastAsia" w:ascii="宋体" w:hAnsi="宋体" w:cs="宋体"/>
                <w:sz w:val="18"/>
                <w:szCs w:val="18"/>
                <w:shd w:val="clear" w:color="auto" w:fill="D9D9D9"/>
              </w:rPr>
              <w:t>工业生产用于原材料的能源消费量合计（44）</w:t>
            </w:r>
            <w:r>
              <w:rPr>
                <w:rFonts w:hint="eastAsia" w:ascii="宋体" w:hAnsi="宋体" w:cs="宋体"/>
                <w:sz w:val="18"/>
                <w:szCs w:val="18"/>
                <w:u w:val="single"/>
                <w:shd w:val="clear" w:color="auto" w:fill="D9D9D9"/>
              </w:rPr>
              <w:t xml:space="preserve">　        </w:t>
            </w:r>
            <w:r>
              <w:rPr>
                <w:rFonts w:hint="eastAsia" w:ascii="宋体" w:hAnsi="宋体" w:cs="宋体"/>
                <w:spacing w:val="6"/>
                <w:sz w:val="18"/>
                <w:szCs w:val="18"/>
                <w:shd w:val="clear" w:color="auto" w:fill="D9D9D9"/>
              </w:rPr>
              <w:t>吨标准煤</w:t>
            </w:r>
          </w:p>
          <w:p>
            <w:pPr>
              <w:spacing w:line="260" w:lineRule="exact"/>
              <w:ind w:firstLine="1080" w:firstLineChars="600"/>
              <w:rPr>
                <w:rFonts w:ascii="宋体" w:hAnsi="宋体" w:cs="宋体"/>
                <w:sz w:val="18"/>
                <w:szCs w:val="18"/>
              </w:rPr>
            </w:pPr>
            <w:r>
              <w:rPr>
                <w:rFonts w:hint="eastAsia" w:ascii="宋体" w:hAnsi="宋体" w:cs="宋体"/>
                <w:sz w:val="18"/>
                <w:szCs w:val="18"/>
                <w:shd w:val="clear" w:color="auto" w:fill="D9D9D9"/>
              </w:rPr>
              <w:t>工业生产电力消费（45）</w:t>
            </w:r>
            <w:r>
              <w:rPr>
                <w:rFonts w:hint="eastAsia" w:ascii="宋体" w:hAnsi="宋体" w:cs="宋体"/>
                <w:sz w:val="18"/>
                <w:szCs w:val="18"/>
                <w:u w:val="single"/>
                <w:shd w:val="clear" w:color="auto" w:fill="D9D9D9"/>
              </w:rPr>
              <w:t xml:space="preserve">　　    </w:t>
            </w:r>
            <w:r>
              <w:rPr>
                <w:rFonts w:hint="eastAsia" w:ascii="宋体" w:hAnsi="宋体" w:cs="宋体"/>
                <w:sz w:val="18"/>
                <w:szCs w:val="18"/>
                <w:shd w:val="clear" w:color="auto" w:fill="D9D9D9"/>
              </w:rPr>
              <w:t>万千瓦时          火力发电产出（46）</w:t>
            </w:r>
            <w:r>
              <w:rPr>
                <w:rFonts w:hint="eastAsia" w:ascii="宋体" w:hAnsi="宋体" w:cs="宋体"/>
                <w:sz w:val="18"/>
                <w:szCs w:val="18"/>
                <w:u w:val="single"/>
                <w:shd w:val="clear" w:color="auto" w:fill="D9D9D9"/>
              </w:rPr>
              <w:t xml:space="preserve">　              </w:t>
            </w:r>
            <w:r>
              <w:rPr>
                <w:rFonts w:hint="eastAsia" w:ascii="宋体" w:hAnsi="宋体" w:cs="宋体"/>
                <w:sz w:val="18"/>
                <w:szCs w:val="18"/>
                <w:shd w:val="clear" w:color="auto" w:fill="D9D9D9"/>
              </w:rPr>
              <w:t>万千瓦时</w:t>
            </w:r>
          </w:p>
          <w:p>
            <w:pPr>
              <w:spacing w:line="260" w:lineRule="exact"/>
              <w:ind w:firstLine="1080" w:firstLineChars="600"/>
              <w:rPr>
                <w:rFonts w:ascii="宋体" w:hAnsi="宋体" w:cs="宋体"/>
                <w:sz w:val="18"/>
                <w:szCs w:val="18"/>
              </w:rPr>
            </w:pPr>
            <w:r>
              <w:rPr>
                <w:rFonts w:hint="eastAsia" w:ascii="宋体" w:hAnsi="宋体" w:cs="宋体"/>
                <w:sz w:val="18"/>
                <w:szCs w:val="18"/>
                <w:shd w:val="clear" w:color="auto" w:fill="D9D9D9"/>
              </w:rPr>
              <w:t>火力发电投入（47）</w:t>
            </w:r>
            <w:r>
              <w:rPr>
                <w:rFonts w:hint="eastAsia" w:ascii="宋体" w:hAnsi="宋体" w:cs="宋体"/>
                <w:sz w:val="18"/>
                <w:szCs w:val="18"/>
                <w:u w:val="single"/>
                <w:shd w:val="clear" w:color="auto" w:fill="D9D9D9"/>
              </w:rPr>
              <w:t xml:space="preserve">　      　  </w:t>
            </w:r>
            <w:r>
              <w:rPr>
                <w:rFonts w:hint="eastAsia" w:ascii="宋体" w:hAnsi="宋体" w:cs="宋体"/>
                <w:sz w:val="18"/>
                <w:szCs w:val="18"/>
                <w:shd w:val="clear" w:color="auto" w:fill="D9D9D9"/>
              </w:rPr>
              <w:t>吨标准煤</w:t>
            </w:r>
            <w:r>
              <w:rPr>
                <w:rFonts w:hint="eastAsia" w:ascii="宋体" w:hAnsi="宋体" w:cs="宋体"/>
                <w:sz w:val="18"/>
                <w:szCs w:val="18"/>
              </w:rPr>
              <w:t xml:space="preserve">                    </w:t>
            </w:r>
          </w:p>
          <w:p>
            <w:pPr>
              <w:adjustRightInd w:val="0"/>
              <w:spacing w:line="260" w:lineRule="exact"/>
              <w:ind w:firstLine="180" w:firstLineChars="100"/>
              <w:rPr>
                <w:rFonts w:ascii="宋体" w:hAnsi="宋体" w:cs="宋体"/>
                <w:sz w:val="18"/>
                <w:szCs w:val="18"/>
              </w:rPr>
            </w:pPr>
            <w:r>
              <w:rPr>
                <w:rFonts w:hint="eastAsia" w:ascii="宋体" w:hAnsi="宋体" w:cs="宋体"/>
                <w:sz w:val="18"/>
                <w:szCs w:val="18"/>
              </w:rPr>
              <w:t>本    期：综合能源消费量（48）</w:t>
            </w:r>
            <w:r>
              <w:rPr>
                <w:rFonts w:hint="eastAsia" w:ascii="宋体" w:hAnsi="宋体" w:cs="宋体"/>
                <w:sz w:val="18"/>
                <w:szCs w:val="18"/>
                <w:u w:val="single"/>
              </w:rPr>
              <w:t xml:space="preserve">　        </w:t>
            </w:r>
            <w:r>
              <w:rPr>
                <w:rFonts w:hint="eastAsia" w:ascii="宋体" w:hAnsi="宋体" w:cs="宋体"/>
                <w:sz w:val="18"/>
                <w:szCs w:val="18"/>
              </w:rPr>
              <w:t>吨标准煤          综合能源消费量（当月）（49）</w:t>
            </w:r>
            <w:r>
              <w:rPr>
                <w:rFonts w:hint="eastAsia" w:ascii="宋体" w:hAnsi="宋体" w:cs="宋体"/>
                <w:sz w:val="18"/>
                <w:szCs w:val="18"/>
                <w:u w:val="single"/>
              </w:rPr>
              <w:t xml:space="preserve">      </w:t>
            </w:r>
            <w:r>
              <w:rPr>
                <w:rFonts w:hint="eastAsia" w:ascii="宋体" w:hAnsi="宋体" w:cs="宋体"/>
                <w:sz w:val="18"/>
                <w:szCs w:val="18"/>
              </w:rPr>
              <w:t xml:space="preserve">吨标准煤  </w:t>
            </w:r>
          </w:p>
          <w:p>
            <w:pPr>
              <w:adjustRightInd w:val="0"/>
              <w:spacing w:line="260" w:lineRule="exact"/>
              <w:ind w:firstLine="1080" w:firstLineChars="600"/>
              <w:rPr>
                <w:rFonts w:asciiTheme="minorEastAsia" w:hAnsiTheme="minorEastAsia" w:eastAsiaTheme="minorEastAsia" w:cstheme="minorEastAsia"/>
                <w:sz w:val="18"/>
                <w:szCs w:val="18"/>
              </w:rPr>
            </w:pPr>
            <w:r>
              <w:rPr>
                <w:rFonts w:hint="eastAsia" w:ascii="宋体" w:hAnsi="宋体" w:cs="宋体"/>
                <w:sz w:val="18"/>
                <w:szCs w:val="18"/>
              </w:rPr>
              <w:t>用于原材料的原煤采用折标系数（50）</w:t>
            </w:r>
            <w:r>
              <w:rPr>
                <w:rFonts w:hint="eastAsia" w:ascii="宋体" w:hAnsi="宋体" w:cs="宋体"/>
                <w:sz w:val="18"/>
                <w:szCs w:val="18"/>
                <w:u w:val="single"/>
              </w:rPr>
              <w:t xml:space="preserve">　            </w:t>
            </w:r>
            <w:r>
              <w:rPr>
                <w:rFonts w:hint="eastAsia" w:ascii="宋体" w:hAnsi="宋体" w:cs="宋体"/>
                <w:sz w:val="18"/>
                <w:szCs w:val="18"/>
              </w:rPr>
              <w:t>吨标准煤/吨</w:t>
            </w:r>
          </w:p>
        </w:tc>
      </w:tr>
    </w:tbl>
    <w:p>
      <w:pPr>
        <w:adjustRightInd w:val="0"/>
        <w:spacing w:line="260" w:lineRule="exact"/>
        <w:rPr>
          <w:szCs w:val="20"/>
        </w:rPr>
      </w:pPr>
      <w:r>
        <w:rPr>
          <w:rFonts w:hint="eastAsia" w:ascii="宋体"/>
          <w:sz w:val="18"/>
          <w:szCs w:val="18"/>
        </w:rPr>
        <w:t xml:space="preserve">单位负责人：      </w:t>
      </w:r>
      <w:r>
        <w:rPr>
          <w:rFonts w:hint="eastAsia" w:ascii="宋体"/>
          <w:sz w:val="18"/>
          <w:szCs w:val="18"/>
          <w:shd w:val="clear" w:color="auto" w:fill="FFFFFF"/>
        </w:rPr>
        <w:t xml:space="preserve">　 </w:t>
      </w:r>
      <w:r>
        <w:rPr>
          <w:rFonts w:hint="eastAsia" w:ascii="宋体"/>
          <w:sz w:val="18"/>
          <w:szCs w:val="18"/>
        </w:rPr>
        <w:t xml:space="preserve">统计负责人：  </w:t>
      </w:r>
      <w:r>
        <w:rPr>
          <w:rFonts w:hint="eastAsia" w:ascii="宋体"/>
          <w:sz w:val="18"/>
          <w:szCs w:val="18"/>
          <w:shd w:val="clear" w:color="auto" w:fill="FFFFFF"/>
        </w:rPr>
        <w:t xml:space="preserve">      　</w:t>
      </w:r>
      <w:r>
        <w:rPr>
          <w:rFonts w:hint="eastAsia" w:ascii="宋体"/>
          <w:sz w:val="18"/>
          <w:szCs w:val="18"/>
        </w:rPr>
        <w:t xml:space="preserve">填表人：         </w:t>
      </w:r>
      <w:r>
        <w:rPr>
          <w:rFonts w:hint="eastAsia" w:ascii="宋体"/>
          <w:sz w:val="18"/>
          <w:szCs w:val="18"/>
          <w:shd w:val="clear" w:color="auto" w:fill="FFFFFF"/>
        </w:rPr>
        <w:t>联系电话</w:t>
      </w:r>
      <w:r>
        <w:rPr>
          <w:rFonts w:hint="eastAsia" w:ascii="宋体"/>
          <w:sz w:val="18"/>
          <w:szCs w:val="18"/>
        </w:rPr>
        <w:t xml:space="preserve">：     </w:t>
      </w:r>
      <w:r>
        <w:rPr>
          <w:rFonts w:hint="eastAsia" w:ascii="宋体"/>
          <w:sz w:val="18"/>
          <w:szCs w:val="18"/>
          <w:shd w:val="clear" w:color="auto" w:fill="FFFFFF"/>
        </w:rPr>
        <w:t xml:space="preserve"> 　 </w:t>
      </w:r>
      <w:r>
        <w:rPr>
          <w:rFonts w:hint="eastAsia" w:ascii="宋体"/>
          <w:sz w:val="18"/>
          <w:szCs w:val="18"/>
        </w:rPr>
        <w:t>报出日期：２０</w:t>
      </w:r>
      <w:r>
        <w:rPr>
          <w:rFonts w:hint="eastAsia" w:ascii="宋体"/>
          <w:sz w:val="18"/>
          <w:szCs w:val="18"/>
          <w:shd w:val="clear" w:color="auto" w:fill="FFFFFF"/>
        </w:rPr>
        <w:t xml:space="preserve">　 </w:t>
      </w:r>
      <w:r>
        <w:rPr>
          <w:rFonts w:hint="eastAsia" w:ascii="宋体"/>
          <w:sz w:val="18"/>
          <w:szCs w:val="18"/>
        </w:rPr>
        <w:t>年</w:t>
      </w:r>
      <w:r>
        <w:rPr>
          <w:rFonts w:hint="eastAsia" w:ascii="宋体"/>
          <w:sz w:val="18"/>
          <w:szCs w:val="18"/>
          <w:shd w:val="clear" w:color="auto" w:fill="FFFFFF"/>
        </w:rPr>
        <w:t>　</w:t>
      </w:r>
      <w:r>
        <w:rPr>
          <w:rFonts w:hint="eastAsia" w:ascii="宋体"/>
          <w:sz w:val="18"/>
          <w:szCs w:val="18"/>
        </w:rPr>
        <w:t>月  日</w:t>
      </w:r>
    </w:p>
    <w:p>
      <w:pPr>
        <w:spacing w:line="260" w:lineRule="exact"/>
        <w:rPr>
          <w:rFonts w:ascii="宋体" w:hAnsi="宋体"/>
          <w:sz w:val="18"/>
        </w:rPr>
      </w:pP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b/>
          <w:spacing w:val="-4"/>
          <w:sz w:val="18"/>
          <w:szCs w:val="18"/>
        </w:rPr>
        <w:t>说明</w:t>
      </w:r>
      <w:r>
        <w:rPr>
          <w:rFonts w:hint="eastAsia" w:asciiTheme="minorEastAsia" w:hAnsiTheme="minorEastAsia" w:eastAsiaTheme="minorEastAsia" w:cstheme="minorEastAsia"/>
          <w:spacing w:val="-4"/>
          <w:sz w:val="18"/>
          <w:szCs w:val="18"/>
        </w:rPr>
        <w:t>：</w:t>
      </w:r>
      <w:r>
        <w:rPr>
          <w:rFonts w:hint="eastAsia" w:asciiTheme="minorEastAsia" w:hAnsiTheme="minorEastAsia" w:eastAsiaTheme="minorEastAsia" w:cstheme="minorEastAsia"/>
          <w:kern w:val="0"/>
          <w:sz w:val="18"/>
          <w:szCs w:val="18"/>
        </w:rPr>
        <w:t>1.报送单位：辖区内规模以上工业法人单位</w:t>
      </w:r>
      <w:r>
        <w:rPr>
          <w:rFonts w:hint="eastAsia" w:ascii="宋体"/>
          <w:sz w:val="18"/>
        </w:rPr>
        <w:t>和规模以上</w:t>
      </w:r>
      <w:r>
        <w:rPr>
          <w:rFonts w:hint="eastAsia" w:ascii="宋体"/>
          <w:sz w:val="18"/>
          <w:lang w:eastAsia="zh-CN"/>
        </w:rPr>
        <w:t>工业</w:t>
      </w:r>
      <w:r>
        <w:rPr>
          <w:rFonts w:hint="eastAsia" w:ascii="宋体"/>
          <w:sz w:val="18"/>
        </w:rPr>
        <w:t>个体经营户</w:t>
      </w:r>
      <w:r>
        <w:rPr>
          <w:rFonts w:hint="eastAsia" w:asciiTheme="minorEastAsia" w:hAnsiTheme="minorEastAsia" w:eastAsiaTheme="minorEastAsia" w:cstheme="minorEastAsia"/>
          <w:kern w:val="0"/>
          <w:sz w:val="18"/>
          <w:szCs w:val="18"/>
        </w:rPr>
        <w:t>。</w:t>
      </w:r>
    </w:p>
    <w:p>
      <w:pPr>
        <w:spacing w:line="260" w:lineRule="exact"/>
        <w:ind w:left="2109" w:leftChars="250" w:hanging="1584" w:hangingChars="900"/>
        <w:rPr>
          <w:rFonts w:ascii="宋体" w:hAnsi="宋体" w:eastAsiaTheme="minorEastAsia" w:cstheme="minorEastAsia"/>
          <w:color w:val="auto"/>
          <w:kern w:val="0"/>
          <w:sz w:val="18"/>
          <w:szCs w:val="18"/>
        </w:rPr>
      </w:pPr>
      <w:r>
        <w:rPr>
          <w:rFonts w:hint="eastAsia" w:ascii="宋体" w:hAnsi="宋体" w:eastAsiaTheme="minorEastAsia" w:cstheme="minorEastAsia"/>
          <w:spacing w:val="-2"/>
          <w:kern w:val="0"/>
          <w:sz w:val="18"/>
          <w:szCs w:val="18"/>
        </w:rPr>
        <w:t>2.报送日期及</w:t>
      </w:r>
      <w:r>
        <w:rPr>
          <w:rFonts w:hint="eastAsia" w:ascii="宋体" w:hAnsi="宋体" w:eastAsiaTheme="minorEastAsia" w:cstheme="minorEastAsia"/>
          <w:color w:val="auto"/>
          <w:spacing w:val="-2"/>
          <w:kern w:val="0"/>
          <w:sz w:val="18"/>
          <w:szCs w:val="18"/>
        </w:rPr>
        <w:t>方式：</w:t>
      </w:r>
      <w:r>
        <w:rPr>
          <w:rFonts w:hint="eastAsia" w:asciiTheme="majorEastAsia" w:hAnsiTheme="majorEastAsia" w:eastAsiaTheme="majorEastAsia" w:cstheme="majorEastAsia"/>
          <w:color w:val="auto"/>
          <w:sz w:val="18"/>
          <w:szCs w:val="18"/>
        </w:rPr>
        <w:t>调查单位</w:t>
      </w:r>
      <w:r>
        <w:rPr>
          <w:rFonts w:hint="default" w:ascii="Times New Roman" w:hAnsi="Times New Roman" w:cs="Times New Roman" w:eastAsiaTheme="majorEastAsia"/>
          <w:color w:val="auto"/>
          <w:sz w:val="18"/>
          <w:szCs w:val="18"/>
        </w:rPr>
        <w:t>2、</w:t>
      </w:r>
      <w:r>
        <w:rPr>
          <w:rFonts w:hint="eastAsia" w:cs="Times New Roman" w:eastAsiaTheme="majorEastAsia"/>
          <w:color w:val="auto"/>
          <w:sz w:val="18"/>
          <w:szCs w:val="18"/>
          <w:lang w:val="en-US" w:eastAsia="zh-CN"/>
        </w:rPr>
        <w:t>10月月后6日，</w:t>
      </w:r>
      <w:r>
        <w:rPr>
          <w:rFonts w:hint="default" w:ascii="Times New Roman" w:hAnsi="Times New Roman" w:cs="Times New Roman" w:eastAsiaTheme="majorEastAsia"/>
          <w:color w:val="auto"/>
          <w:sz w:val="18"/>
          <w:szCs w:val="18"/>
        </w:rPr>
        <w:t>6、7、8、11</w:t>
      </w:r>
      <w:r>
        <w:rPr>
          <w:rFonts w:hint="eastAsia" w:asciiTheme="majorEastAsia" w:hAnsiTheme="majorEastAsia" w:eastAsiaTheme="majorEastAsia" w:cstheme="majorEastAsia"/>
          <w:color w:val="auto"/>
          <w:sz w:val="18"/>
          <w:szCs w:val="18"/>
        </w:rPr>
        <w:t>月月后</w:t>
      </w:r>
      <w:r>
        <w:rPr>
          <w:rFonts w:hint="default" w:ascii="Times New Roman" w:hAnsi="Times New Roman" w:cs="Times New Roman" w:eastAsiaTheme="majorEastAsia"/>
          <w:color w:val="auto"/>
          <w:sz w:val="18"/>
          <w:szCs w:val="18"/>
        </w:rPr>
        <w:t>7</w:t>
      </w:r>
      <w:r>
        <w:rPr>
          <w:rFonts w:hint="eastAsia" w:asciiTheme="majorEastAsia" w:hAnsiTheme="majorEastAsia" w:eastAsiaTheme="majorEastAsia" w:cstheme="majorEastAsia"/>
          <w:color w:val="auto"/>
          <w:sz w:val="18"/>
          <w:szCs w:val="18"/>
        </w:rPr>
        <w:t>日，</w:t>
      </w:r>
      <w:r>
        <w:rPr>
          <w:rFonts w:hint="default" w:ascii="Times New Roman" w:hAnsi="Times New Roman" w:eastAsia="7" w:cs="Times New Roman"/>
          <w:color w:val="auto"/>
          <w:sz w:val="18"/>
          <w:szCs w:val="18"/>
        </w:rPr>
        <w:t>3</w:t>
      </w:r>
      <w:r>
        <w:rPr>
          <w:rFonts w:hint="eastAsia" w:eastAsia="7" w:cs="Times New Roman"/>
          <w:color w:val="auto"/>
          <w:sz w:val="18"/>
          <w:szCs w:val="18"/>
          <w:lang w:eastAsia="zh-CN"/>
        </w:rPr>
        <w:t>、</w:t>
      </w:r>
      <w:r>
        <w:rPr>
          <w:rFonts w:hint="eastAsia" w:eastAsia="7" w:cs="Times New Roman"/>
          <w:color w:val="auto"/>
          <w:sz w:val="18"/>
          <w:szCs w:val="18"/>
          <w:lang w:val="en-US" w:eastAsia="zh-CN"/>
        </w:rPr>
        <w:t>5、12</w:t>
      </w:r>
      <w:r>
        <w:rPr>
          <w:rFonts w:hint="eastAsia" w:asciiTheme="majorEastAsia" w:hAnsiTheme="majorEastAsia" w:eastAsiaTheme="majorEastAsia" w:cstheme="majorEastAsia"/>
          <w:color w:val="auto"/>
          <w:sz w:val="18"/>
          <w:szCs w:val="18"/>
        </w:rPr>
        <w:t>月月后</w:t>
      </w:r>
      <w:r>
        <w:rPr>
          <w:rFonts w:hint="default" w:ascii="Times New Roman" w:hAnsi="Times New Roman" w:cs="Times New Roman" w:eastAsiaTheme="majorEastAsia"/>
          <w:b w:val="0"/>
          <w:bCs w:val="0"/>
          <w:color w:val="auto"/>
          <w:sz w:val="18"/>
          <w:szCs w:val="18"/>
        </w:rPr>
        <w:t>8</w:t>
      </w:r>
      <w:r>
        <w:rPr>
          <w:rFonts w:hint="eastAsia" w:asciiTheme="majorEastAsia" w:hAnsiTheme="majorEastAsia" w:eastAsiaTheme="majorEastAsia" w:cstheme="majorEastAsia"/>
          <w:color w:val="auto"/>
          <w:sz w:val="18"/>
          <w:szCs w:val="18"/>
        </w:rPr>
        <w:t>日，</w:t>
      </w:r>
      <w:r>
        <w:rPr>
          <w:rFonts w:hint="default" w:ascii="Times New Roman" w:hAnsi="Times New Roman" w:cs="Times New Roman" w:eastAsiaTheme="majorEastAsia"/>
          <w:color w:val="auto"/>
          <w:sz w:val="18"/>
          <w:szCs w:val="18"/>
        </w:rPr>
        <w:t>4</w:t>
      </w:r>
      <w:r>
        <w:rPr>
          <w:rFonts w:hint="eastAsia" w:asciiTheme="majorEastAsia" w:hAnsiTheme="majorEastAsia" w:eastAsiaTheme="majorEastAsia" w:cstheme="majorEastAsia"/>
          <w:color w:val="auto"/>
          <w:sz w:val="18"/>
          <w:szCs w:val="18"/>
        </w:rPr>
        <w:t>月月后</w:t>
      </w:r>
      <w:r>
        <w:rPr>
          <w:rFonts w:hint="default" w:ascii="Times New Roman)" w:hAnsi="Times New Roman)" w:cs="Times New Roman)" w:eastAsiaTheme="majorEastAsia"/>
          <w:color w:val="auto"/>
          <w:sz w:val="18"/>
          <w:szCs w:val="18"/>
        </w:rPr>
        <w:t>9</w:t>
      </w:r>
      <w:r>
        <w:rPr>
          <w:rFonts w:hint="eastAsia" w:asciiTheme="majorEastAsia" w:hAnsiTheme="majorEastAsia" w:eastAsiaTheme="majorEastAsia" w:cstheme="majorEastAsia"/>
          <w:color w:val="auto"/>
          <w:sz w:val="18"/>
          <w:szCs w:val="18"/>
        </w:rPr>
        <w:t>日，</w:t>
      </w:r>
      <w:r>
        <w:rPr>
          <w:rFonts w:hint="default" w:ascii="Times New Roman" w:hAnsi="Times New Roman" w:cs="Times New Roman" w:eastAsiaTheme="majorEastAsia"/>
          <w:color w:val="auto"/>
          <w:sz w:val="18"/>
          <w:szCs w:val="18"/>
        </w:rPr>
        <w:t>9</w:t>
      </w:r>
      <w:r>
        <w:rPr>
          <w:rFonts w:hint="eastAsia" w:asciiTheme="majorEastAsia" w:hAnsiTheme="majorEastAsia" w:eastAsiaTheme="majorEastAsia" w:cstheme="majorEastAsia"/>
          <w:color w:val="auto"/>
          <w:sz w:val="18"/>
          <w:szCs w:val="18"/>
        </w:rPr>
        <w:t>月月后</w:t>
      </w:r>
      <w:r>
        <w:rPr>
          <w:rFonts w:hint="default" w:ascii="Times New Roman" w:hAnsi="Times New Roman" w:cs="Times New Roman" w:eastAsiaTheme="majorEastAsia"/>
          <w:color w:val="auto"/>
          <w:sz w:val="18"/>
          <w:szCs w:val="18"/>
        </w:rPr>
        <w:t>1</w:t>
      </w:r>
      <w:r>
        <w:rPr>
          <w:rFonts w:hint="eastAsia" w:cs="Times New Roman" w:eastAsiaTheme="majorEastAsia"/>
          <w:color w:val="auto"/>
          <w:sz w:val="18"/>
          <w:szCs w:val="18"/>
          <w:lang w:val="en-US" w:eastAsia="zh-CN"/>
        </w:rPr>
        <w:t>2</w:t>
      </w:r>
      <w:r>
        <w:rPr>
          <w:rFonts w:hint="eastAsia" w:asciiTheme="majorEastAsia" w:hAnsiTheme="majorEastAsia" w:eastAsiaTheme="majorEastAsia" w:cstheme="majorEastAsia"/>
          <w:color w:val="auto"/>
          <w:sz w:val="18"/>
          <w:szCs w:val="18"/>
        </w:rPr>
        <w:t>日</w:t>
      </w:r>
      <w:r>
        <w:rPr>
          <w:rFonts w:hint="default" w:ascii="Times New Roman" w:hAnsi="Times New Roman" w:cs="Times New Roman" w:eastAsiaTheme="majorEastAsia"/>
          <w:color w:val="auto"/>
          <w:sz w:val="18"/>
          <w:szCs w:val="18"/>
        </w:rPr>
        <w:t>12：00</w:t>
      </w:r>
      <w:r>
        <w:rPr>
          <w:rFonts w:hint="eastAsia" w:asciiTheme="majorEastAsia" w:hAnsiTheme="majorEastAsia" w:eastAsiaTheme="majorEastAsia" w:cstheme="majorEastAsia"/>
          <w:color w:val="auto"/>
          <w:sz w:val="18"/>
          <w:szCs w:val="18"/>
        </w:rPr>
        <w:t>前独立自行网上填报，</w:t>
      </w:r>
      <w:r>
        <w:rPr>
          <w:rFonts w:hint="default" w:ascii="Times New Roman" w:hAnsi="Times New Roman" w:cs="Times New Roman" w:eastAsiaTheme="majorEastAsia"/>
          <w:color w:val="auto"/>
          <w:sz w:val="18"/>
          <w:szCs w:val="18"/>
        </w:rPr>
        <w:t>1</w:t>
      </w:r>
      <w:r>
        <w:rPr>
          <w:rFonts w:hint="eastAsia" w:asciiTheme="majorEastAsia" w:hAnsiTheme="majorEastAsia" w:eastAsiaTheme="majorEastAsia" w:cstheme="majorEastAsia"/>
          <w:color w:val="auto"/>
          <w:sz w:val="18"/>
          <w:szCs w:val="18"/>
        </w:rPr>
        <w:t>月免报；</w:t>
      </w:r>
      <w:r>
        <w:rPr>
          <w:rFonts w:hint="eastAsia" w:asciiTheme="majorEastAsia" w:hAnsiTheme="majorEastAsia" w:eastAsiaTheme="majorEastAsia" w:cstheme="majorEastAsia"/>
          <w:color w:val="auto"/>
          <w:sz w:val="18"/>
          <w:szCs w:val="18"/>
          <w:lang w:eastAsia="zh-CN"/>
        </w:rPr>
        <w:t>各</w:t>
      </w:r>
      <w:r>
        <w:rPr>
          <w:rFonts w:hint="eastAsia" w:asciiTheme="majorEastAsia" w:hAnsiTheme="majorEastAsia" w:eastAsiaTheme="majorEastAsia" w:cstheme="majorEastAsia"/>
          <w:color w:val="auto"/>
          <w:sz w:val="18"/>
          <w:szCs w:val="18"/>
        </w:rPr>
        <w:t>级统计机构</w:t>
      </w:r>
      <w:r>
        <w:rPr>
          <w:rFonts w:hint="eastAsia" w:cs="Times New Roman" w:eastAsiaTheme="majorEastAsia"/>
          <w:color w:val="auto"/>
          <w:sz w:val="18"/>
          <w:szCs w:val="18"/>
          <w:lang w:eastAsia="zh-CN"/>
        </w:rPr>
        <w:t>在规定时间完成</w:t>
      </w:r>
      <w:r>
        <w:rPr>
          <w:rFonts w:hint="eastAsia" w:asciiTheme="majorEastAsia" w:hAnsiTheme="majorEastAsia" w:eastAsiaTheme="majorEastAsia" w:cstheme="majorEastAsia"/>
          <w:color w:val="auto"/>
          <w:sz w:val="18"/>
          <w:szCs w:val="18"/>
        </w:rPr>
        <w:t>数据审核、验收、上报。</w:t>
      </w:r>
    </w:p>
    <w:p>
      <w:pPr>
        <w:spacing w:line="260" w:lineRule="exact"/>
        <w:ind w:left="525" w:leftChars="2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3.本表甲栏下按</w:t>
      </w:r>
      <w:r>
        <w:rPr>
          <w:rFonts w:hint="eastAsia" w:asciiTheme="minorEastAsia" w:hAnsiTheme="minorEastAsia" w:eastAsiaTheme="minorEastAsia" w:cstheme="minorEastAsia"/>
          <w:bCs/>
          <w:sz w:val="18"/>
          <w:szCs w:val="18"/>
        </w:rPr>
        <w:t>《能源购进、消费与库存和能源加工转换与回收利用目录</w:t>
      </w:r>
      <w:r>
        <w:rPr>
          <w:rFonts w:hint="eastAsia" w:asciiTheme="minorEastAsia" w:hAnsiTheme="minorEastAsia" w:eastAsiaTheme="minorEastAsia" w:cstheme="minorEastAsia"/>
          <w:bCs/>
          <w:spacing w:val="8"/>
          <w:sz w:val="18"/>
          <w:szCs w:val="18"/>
        </w:rPr>
        <w:t>》</w:t>
      </w:r>
      <w:r>
        <w:rPr>
          <w:rFonts w:hint="eastAsia" w:asciiTheme="minorEastAsia" w:hAnsiTheme="minorEastAsia" w:eastAsiaTheme="minorEastAsia" w:cstheme="minorEastAsia"/>
          <w:kern w:val="0"/>
          <w:sz w:val="18"/>
          <w:szCs w:val="18"/>
        </w:rPr>
        <w:t>填报。</w:t>
      </w:r>
    </w:p>
    <w:p>
      <w:pPr>
        <w:spacing w:line="260" w:lineRule="exact"/>
        <w:ind w:left="705" w:leftChars="250" w:hanging="180" w:hanging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本年新增指标的同期数由调查单位自行填报。</w:t>
      </w:r>
    </w:p>
    <w:p>
      <w:pPr>
        <w:spacing w:line="260" w:lineRule="exact"/>
        <w:ind w:left="525" w:leftChars="2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5.综合能源消费量的计算方法：</w:t>
      </w:r>
    </w:p>
    <w:p>
      <w:pPr>
        <w:spacing w:line="260" w:lineRule="exact"/>
        <w:ind w:left="735" w:leftChars="3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(1)没有能源加工转换和回收利用活动的调查单位：</w:t>
      </w:r>
    </w:p>
    <w:p>
      <w:pPr>
        <w:spacing w:line="260" w:lineRule="exact"/>
        <w:ind w:left="735" w:leftChars="3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综合能源消费量(48)=工业生产消费(本表第5列能源合计)</w:t>
      </w:r>
    </w:p>
    <w:p>
      <w:pPr>
        <w:spacing w:line="260" w:lineRule="exact"/>
        <w:ind w:left="735" w:leftChars="3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kern w:val="0"/>
          <w:sz w:val="18"/>
          <w:szCs w:val="18"/>
        </w:rPr>
        <w:t>2)有能源加工转换或回收利用活动的调查单位：</w:t>
      </w:r>
    </w:p>
    <w:p>
      <w:pPr>
        <w:spacing w:line="260" w:lineRule="exact"/>
        <w:ind w:left="735" w:leftChars="3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综合能源消费量(</w:t>
      </w:r>
      <w:r>
        <w:rPr>
          <w:rFonts w:hint="eastAsia" w:asciiTheme="minorEastAsia" w:hAnsiTheme="minorEastAsia" w:eastAsiaTheme="minorEastAsia" w:cstheme="minorEastAsia"/>
          <w:kern w:val="0"/>
          <w:sz w:val="18"/>
          <w:szCs w:val="18"/>
        </w:rPr>
        <w:t>48</w:t>
      </w:r>
      <w:r>
        <w:rPr>
          <w:rFonts w:hint="eastAsia" w:asciiTheme="minorEastAsia" w:hAnsiTheme="minorEastAsia" w:eastAsiaTheme="minorEastAsia" w:cstheme="minorEastAsia"/>
          <w:sz w:val="18"/>
          <w:szCs w:val="18"/>
        </w:rPr>
        <w:t>)=工业生产消费(本表</w:t>
      </w:r>
      <w:r>
        <w:rPr>
          <w:rFonts w:hint="eastAsia" w:asciiTheme="minorEastAsia" w:hAnsiTheme="minorEastAsia" w:eastAsiaTheme="minorEastAsia" w:cstheme="minorEastAsia"/>
          <w:kern w:val="0"/>
          <w:sz w:val="18"/>
          <w:szCs w:val="18"/>
        </w:rPr>
        <w:t>第5列能源合计)-能源加工转换产出(能源加工转换与回收利用(205-2表)第11列能源合计)-回收利用(能源加工转换与回收利用(205-2表)第12列能源合计)</w:t>
      </w:r>
    </w:p>
    <w:p>
      <w:pPr>
        <w:spacing w:line="260" w:lineRule="exact"/>
        <w:ind w:left="735" w:leftChars="3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注：不计算原煤入洗损耗，下同。</w:t>
      </w:r>
    </w:p>
    <w:p>
      <w:pPr>
        <w:spacing w:line="260" w:lineRule="exact"/>
        <w:ind w:left="525" w:leftChars="2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6.补充资料中的上年同期和本期的综合能源消费量（当月）2月份免报，计算公式：</w:t>
      </w:r>
    </w:p>
    <w:p>
      <w:pPr>
        <w:spacing w:line="260" w:lineRule="exact"/>
        <w:ind w:left="525" w:leftChars="250"/>
        <w:jc w:val="left"/>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 xml:space="preserve">  上年同期：综合能源消费量（当月）(42)=本月综合能源消费量(41)-上月综合能源消费量(41)</w:t>
      </w:r>
    </w:p>
    <w:p>
      <w:pPr>
        <w:spacing w:line="260" w:lineRule="exact"/>
        <w:ind w:left="525" w:leftChars="250"/>
        <w:jc w:val="left"/>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 xml:space="preserve">  本    期：综合能源消费量（当月）(49)=本月综合能源消费量(48)-上月综合能源消费量(48)</w:t>
      </w:r>
    </w:p>
    <w:p>
      <w:pPr>
        <w:spacing w:line="260" w:lineRule="exact"/>
        <w:ind w:left="1083" w:leftChars="430" w:hanging="180" w:hangingChars="100"/>
        <w:rPr>
          <w:rFonts w:ascii="宋体" w:hAnsi="宋体" w:cs="宋体"/>
          <w:kern w:val="0"/>
          <w:sz w:val="18"/>
          <w:szCs w:val="18"/>
        </w:rPr>
      </w:pPr>
    </w:p>
    <w:p>
      <w:pPr>
        <w:keepNext w:val="0"/>
        <w:keepLines w:val="0"/>
        <w:pageBreakBefore w:val="0"/>
        <w:widowControl w:val="0"/>
        <w:kinsoku/>
        <w:wordWrap/>
        <w:overflowPunct/>
        <w:topLinePunct w:val="0"/>
        <w:autoSpaceDE/>
        <w:autoSpaceDN/>
        <w:bidi w:val="0"/>
        <w:adjustRightInd/>
        <w:snapToGrid/>
        <w:spacing w:after="120" w:afterLines="50" w:line="360" w:lineRule="exact"/>
        <w:ind w:firstLine="0" w:firstLineChars="0"/>
        <w:jc w:val="center"/>
        <w:textAlignment w:val="auto"/>
        <w:rPr>
          <w:rFonts w:ascii="宋体" w:hAnsi="宋体"/>
          <w:spacing w:val="-4"/>
          <w:sz w:val="32"/>
          <w:szCs w:val="32"/>
        </w:rPr>
      </w:pPr>
      <w:r>
        <w:rPr>
          <w:rFonts w:ascii="宋体" w:hAnsi="宋体" w:cs="宋体"/>
          <w:kern w:val="0"/>
          <w:sz w:val="18"/>
          <w:szCs w:val="18"/>
        </w:rPr>
        <w:br w:type="page"/>
      </w:r>
      <w:r>
        <w:rPr>
          <w:rFonts w:hint="eastAsia" w:ascii="宋体" w:hAnsi="宋体"/>
          <w:b/>
          <w:bCs/>
          <w:sz w:val="32"/>
          <w:szCs w:val="32"/>
        </w:rPr>
        <w:t>能源加工转换与回收利用</w:t>
      </w:r>
    </w:p>
    <w:tbl>
      <w:tblPr>
        <w:tblStyle w:val="21"/>
        <w:tblW w:w="9739" w:type="dxa"/>
        <w:jc w:val="center"/>
        <w:tblLayout w:type="fixed"/>
        <w:tblCellMar>
          <w:top w:w="0" w:type="dxa"/>
          <w:left w:w="0" w:type="dxa"/>
          <w:bottom w:w="0" w:type="dxa"/>
          <w:right w:w="0" w:type="dxa"/>
        </w:tblCellMar>
      </w:tblPr>
      <w:tblGrid>
        <w:gridCol w:w="3181"/>
        <w:gridCol w:w="790"/>
        <w:gridCol w:w="3217"/>
        <w:gridCol w:w="850"/>
        <w:gridCol w:w="1701"/>
      </w:tblGrid>
      <w:tr>
        <w:tblPrEx>
          <w:tblCellMar>
            <w:top w:w="0" w:type="dxa"/>
            <w:left w:w="0" w:type="dxa"/>
            <w:bottom w:w="0" w:type="dxa"/>
            <w:right w:w="0" w:type="dxa"/>
          </w:tblCellMar>
        </w:tblPrEx>
        <w:trPr>
          <w:jc w:val="center"/>
        </w:trPr>
        <w:tc>
          <w:tcPr>
            <w:tcW w:w="3181" w:type="dxa"/>
            <w:noWrap/>
          </w:tcPr>
          <w:p>
            <w:pPr>
              <w:spacing w:line="260" w:lineRule="exact"/>
              <w:rPr>
                <w:sz w:val="18"/>
                <w:szCs w:val="18"/>
              </w:rPr>
            </w:pPr>
          </w:p>
        </w:tc>
        <w:tc>
          <w:tcPr>
            <w:tcW w:w="790" w:type="dxa"/>
            <w:noWrap/>
          </w:tcPr>
          <w:p>
            <w:pPr>
              <w:spacing w:line="260" w:lineRule="exact"/>
              <w:rPr>
                <w:sz w:val="18"/>
                <w:szCs w:val="18"/>
              </w:rPr>
            </w:pPr>
          </w:p>
        </w:tc>
        <w:tc>
          <w:tcPr>
            <w:tcW w:w="3217" w:type="dxa"/>
            <w:noWrap/>
          </w:tcPr>
          <w:p>
            <w:pPr>
              <w:spacing w:line="260" w:lineRule="exact"/>
              <w:rPr>
                <w:sz w:val="18"/>
                <w:szCs w:val="18"/>
              </w:rPr>
            </w:pPr>
          </w:p>
        </w:tc>
        <w:tc>
          <w:tcPr>
            <w:tcW w:w="850" w:type="dxa"/>
            <w:noWrap/>
            <w:tcMar>
              <w:left w:w="0" w:type="dxa"/>
              <w:right w:w="0" w:type="dxa"/>
            </w:tcMar>
          </w:tcPr>
          <w:p>
            <w:pPr>
              <w:spacing w:line="260" w:lineRule="exact"/>
              <w:rPr>
                <w:sz w:val="18"/>
                <w:szCs w:val="18"/>
              </w:rPr>
            </w:pPr>
            <w:r>
              <w:rPr>
                <w:sz w:val="18"/>
                <w:szCs w:val="18"/>
              </w:rPr>
              <w:t>表    号：</w:t>
            </w:r>
          </w:p>
        </w:tc>
        <w:tc>
          <w:tcPr>
            <w:tcW w:w="1701" w:type="dxa"/>
            <w:noWrap/>
            <w:vAlign w:val="center"/>
          </w:tcPr>
          <w:p>
            <w:pPr>
              <w:spacing w:line="260" w:lineRule="exact"/>
              <w:jc w:val="distribute"/>
              <w:rPr>
                <w:sz w:val="18"/>
                <w:szCs w:val="18"/>
              </w:rPr>
            </w:pPr>
            <w:r>
              <w:rPr>
                <w:sz w:val="18"/>
                <w:szCs w:val="18"/>
              </w:rPr>
              <w:t>２０５－２表</w:t>
            </w:r>
          </w:p>
        </w:tc>
      </w:tr>
      <w:tr>
        <w:tblPrEx>
          <w:tblCellMar>
            <w:top w:w="0" w:type="dxa"/>
            <w:left w:w="0" w:type="dxa"/>
            <w:bottom w:w="0" w:type="dxa"/>
            <w:right w:w="0" w:type="dxa"/>
          </w:tblCellMar>
        </w:tblPrEx>
        <w:trPr>
          <w:jc w:val="center"/>
        </w:trPr>
        <w:tc>
          <w:tcPr>
            <w:tcW w:w="7188" w:type="dxa"/>
            <w:gridSpan w:val="3"/>
            <w:noWrap/>
          </w:tcPr>
          <w:p>
            <w:pPr>
              <w:spacing w:line="260" w:lineRule="exact"/>
              <w:rPr>
                <w:sz w:val="18"/>
                <w:szCs w:val="18"/>
              </w:rPr>
            </w:pPr>
            <w:r>
              <w:rPr>
                <w:rFonts w:ascii="宋体" w:hAnsi="宋体"/>
                <w:sz w:val="18"/>
                <w:szCs w:val="18"/>
              </w:rPr>
              <w:t>统一社会信用代码□□□□□□□□□□□□□□□□□□</w:t>
            </w:r>
          </w:p>
        </w:tc>
        <w:tc>
          <w:tcPr>
            <w:tcW w:w="850" w:type="dxa"/>
            <w:noWrap/>
            <w:tcMar>
              <w:left w:w="0" w:type="dxa"/>
              <w:right w:w="0" w:type="dxa"/>
            </w:tcMar>
            <w:vAlign w:val="center"/>
          </w:tcPr>
          <w:p>
            <w:pPr>
              <w:spacing w:line="260" w:lineRule="exact"/>
              <w:rPr>
                <w:sz w:val="18"/>
                <w:szCs w:val="18"/>
              </w:rPr>
            </w:pPr>
            <w:r>
              <w:rPr>
                <w:sz w:val="18"/>
                <w:szCs w:val="18"/>
              </w:rPr>
              <w:t>制定机关：</w:t>
            </w:r>
          </w:p>
        </w:tc>
        <w:tc>
          <w:tcPr>
            <w:tcW w:w="1701" w:type="dxa"/>
            <w:noWrap/>
            <w:vAlign w:val="center"/>
          </w:tcPr>
          <w:p>
            <w:pPr>
              <w:spacing w:line="260" w:lineRule="exact"/>
              <w:jc w:val="distribute"/>
              <w:rPr>
                <w:sz w:val="18"/>
                <w:szCs w:val="18"/>
              </w:rPr>
            </w:pPr>
            <w:r>
              <w:rPr>
                <w:sz w:val="18"/>
                <w:szCs w:val="18"/>
              </w:rPr>
              <w:t>国 家 统 计 局</w:t>
            </w:r>
          </w:p>
        </w:tc>
      </w:tr>
      <w:tr>
        <w:tblPrEx>
          <w:tblCellMar>
            <w:top w:w="0" w:type="dxa"/>
            <w:left w:w="0" w:type="dxa"/>
            <w:bottom w:w="0" w:type="dxa"/>
            <w:right w:w="0" w:type="dxa"/>
          </w:tblCellMar>
        </w:tblPrEx>
        <w:trPr>
          <w:jc w:val="center"/>
        </w:trPr>
        <w:tc>
          <w:tcPr>
            <w:tcW w:w="7188" w:type="dxa"/>
            <w:gridSpan w:val="3"/>
            <w:noWrap/>
          </w:tcPr>
          <w:p>
            <w:pPr>
              <w:spacing w:line="260" w:lineRule="exact"/>
              <w:rPr>
                <w:rFonts w:ascii="宋体" w:hAnsi="宋体"/>
                <w:sz w:val="18"/>
                <w:szCs w:val="18"/>
              </w:rPr>
            </w:pPr>
          </w:p>
        </w:tc>
        <w:tc>
          <w:tcPr>
            <w:tcW w:w="850" w:type="dxa"/>
            <w:noWrap/>
            <w:tcMar>
              <w:left w:w="0" w:type="dxa"/>
              <w:right w:w="0" w:type="dxa"/>
            </w:tcMar>
            <w:vAlign w:val="center"/>
          </w:tcPr>
          <w:p>
            <w:pPr>
              <w:spacing w:line="260" w:lineRule="exact"/>
              <w:rPr>
                <w:color w:val="auto"/>
                <w:sz w:val="18"/>
                <w:szCs w:val="18"/>
              </w:rPr>
            </w:pPr>
            <w:r>
              <w:rPr>
                <w:color w:val="auto"/>
                <w:sz w:val="18"/>
                <w:szCs w:val="18"/>
              </w:rPr>
              <w:t>文    号：</w:t>
            </w:r>
          </w:p>
        </w:tc>
        <w:tc>
          <w:tcPr>
            <w:tcW w:w="1701" w:type="dxa"/>
            <w:noWrap/>
            <w:vAlign w:val="center"/>
          </w:tcPr>
          <w:p>
            <w:pPr>
              <w:spacing w:line="260" w:lineRule="exact"/>
              <w:jc w:val="distribute"/>
              <w:rPr>
                <w:color w:val="auto"/>
                <w:sz w:val="18"/>
                <w:szCs w:val="18"/>
              </w:rPr>
            </w:pPr>
            <w:r>
              <w:rPr>
                <w:rFonts w:hint="eastAsia" w:ascii="宋体" w:hAnsi="宋体"/>
                <w:color w:val="auto"/>
                <w:sz w:val="18"/>
                <w:szCs w:val="18"/>
              </w:rPr>
              <w:t>国统字〔202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color w:val="auto"/>
                <w:sz w:val="18"/>
                <w:szCs w:val="18"/>
              </w:rPr>
              <w:t>号</w:t>
            </w:r>
          </w:p>
        </w:tc>
      </w:tr>
      <w:tr>
        <w:tblPrEx>
          <w:tblCellMar>
            <w:top w:w="0" w:type="dxa"/>
            <w:left w:w="0" w:type="dxa"/>
            <w:bottom w:w="0" w:type="dxa"/>
            <w:right w:w="0" w:type="dxa"/>
          </w:tblCellMar>
        </w:tblPrEx>
        <w:trPr>
          <w:jc w:val="center"/>
        </w:trPr>
        <w:tc>
          <w:tcPr>
            <w:tcW w:w="3181" w:type="dxa"/>
            <w:noWrap/>
          </w:tcPr>
          <w:p>
            <w:pPr>
              <w:spacing w:line="260" w:lineRule="exact"/>
              <w:rPr>
                <w:sz w:val="18"/>
                <w:szCs w:val="18"/>
              </w:rPr>
            </w:pPr>
            <w:r>
              <w:rPr>
                <w:sz w:val="18"/>
                <w:szCs w:val="18"/>
              </w:rPr>
              <w:t>单位详细名称：</w:t>
            </w:r>
          </w:p>
        </w:tc>
        <w:tc>
          <w:tcPr>
            <w:tcW w:w="790" w:type="dxa"/>
            <w:noWrap/>
          </w:tcPr>
          <w:p>
            <w:pPr>
              <w:spacing w:line="260" w:lineRule="exact"/>
              <w:rPr>
                <w:sz w:val="18"/>
                <w:szCs w:val="18"/>
              </w:rPr>
            </w:pPr>
          </w:p>
        </w:tc>
        <w:tc>
          <w:tcPr>
            <w:tcW w:w="3217" w:type="dxa"/>
            <w:noWrap/>
          </w:tcPr>
          <w:p>
            <w:pPr>
              <w:spacing w:line="260" w:lineRule="exact"/>
              <w:rPr>
                <w:sz w:val="18"/>
                <w:szCs w:val="18"/>
              </w:rPr>
            </w:pPr>
            <w:r>
              <w:rPr>
                <w:sz w:val="18"/>
                <w:szCs w:val="18"/>
              </w:rPr>
              <w:t>２０　　年　</w:t>
            </w:r>
            <w:r>
              <w:rPr>
                <w:rFonts w:hint="eastAsia"/>
                <w:sz w:val="18"/>
                <w:szCs w:val="18"/>
              </w:rPr>
              <w:t>１</w:t>
            </w:r>
            <w:r>
              <w:rPr>
                <w:sz w:val="18"/>
                <w:szCs w:val="18"/>
              </w:rPr>
              <w:t>－　　月</w:t>
            </w:r>
          </w:p>
        </w:tc>
        <w:tc>
          <w:tcPr>
            <w:tcW w:w="850" w:type="dxa"/>
            <w:noWrap/>
            <w:tcMar>
              <w:left w:w="0" w:type="dxa"/>
              <w:right w:w="0" w:type="dxa"/>
            </w:tcMar>
            <w:vAlign w:val="center"/>
          </w:tcPr>
          <w:p>
            <w:pPr>
              <w:spacing w:line="260" w:lineRule="exact"/>
              <w:rPr>
                <w:color w:val="auto"/>
                <w:sz w:val="18"/>
                <w:szCs w:val="18"/>
              </w:rPr>
            </w:pPr>
            <w:r>
              <w:rPr>
                <w:color w:val="auto"/>
                <w:sz w:val="18"/>
                <w:szCs w:val="18"/>
              </w:rPr>
              <w:t>有效期至：</w:t>
            </w:r>
          </w:p>
        </w:tc>
        <w:tc>
          <w:tcPr>
            <w:tcW w:w="1701" w:type="dxa"/>
            <w:noWrap/>
            <w:vAlign w:val="center"/>
          </w:tcPr>
          <w:p>
            <w:pPr>
              <w:spacing w:line="260" w:lineRule="exact"/>
              <w:jc w:val="distribute"/>
              <w:rPr>
                <w:color w:val="auto"/>
                <w:sz w:val="18"/>
                <w:szCs w:val="18"/>
              </w:rPr>
            </w:pPr>
            <w:r>
              <w:rPr>
                <w:color w:val="auto"/>
                <w:sz w:val="18"/>
                <w:szCs w:val="18"/>
              </w:rPr>
              <w:t>２０２</w:t>
            </w:r>
            <w:r>
              <w:rPr>
                <w:rFonts w:hint="eastAsia" w:ascii="宋体" w:hAnsi="宋体" w:cs="宋体"/>
                <w:color w:val="auto"/>
                <w:sz w:val="18"/>
                <w:szCs w:val="18"/>
                <w:lang w:val="en-US" w:eastAsia="zh-CN"/>
              </w:rPr>
              <w:t>7</w:t>
            </w:r>
            <w:r>
              <w:rPr>
                <w:color w:val="auto"/>
                <w:sz w:val="18"/>
                <w:szCs w:val="18"/>
              </w:rPr>
              <w:t>年１月</w:t>
            </w:r>
          </w:p>
        </w:tc>
      </w:tr>
    </w:tbl>
    <w:p>
      <w:pPr>
        <w:spacing w:line="20" w:lineRule="exact"/>
        <w:rPr>
          <w:sz w:val="18"/>
          <w:szCs w:val="18"/>
        </w:rPr>
      </w:pPr>
    </w:p>
    <w:tbl>
      <w:tblPr>
        <w:tblStyle w:val="21"/>
        <w:tblW w:w="0" w:type="auto"/>
        <w:jc w:val="center"/>
        <w:tblLayout w:type="fixed"/>
        <w:tblCellMar>
          <w:top w:w="0" w:type="dxa"/>
          <w:left w:w="0" w:type="dxa"/>
          <w:bottom w:w="0" w:type="dxa"/>
          <w:right w:w="0" w:type="dxa"/>
        </w:tblCellMar>
      </w:tblPr>
      <w:tblGrid>
        <w:gridCol w:w="1469"/>
        <w:gridCol w:w="577"/>
        <w:gridCol w:w="578"/>
        <w:gridCol w:w="658"/>
        <w:gridCol w:w="658"/>
        <w:gridCol w:w="569"/>
        <w:gridCol w:w="569"/>
        <w:gridCol w:w="569"/>
        <w:gridCol w:w="569"/>
        <w:gridCol w:w="569"/>
        <w:gridCol w:w="569"/>
        <w:gridCol w:w="569"/>
        <w:gridCol w:w="569"/>
        <w:gridCol w:w="598"/>
        <w:gridCol w:w="582"/>
      </w:tblGrid>
      <w:tr>
        <w:tblPrEx>
          <w:tblCellMar>
            <w:top w:w="0" w:type="dxa"/>
            <w:left w:w="0" w:type="dxa"/>
            <w:bottom w:w="0" w:type="dxa"/>
            <w:right w:w="0" w:type="dxa"/>
          </w:tblCellMar>
        </w:tblPrEx>
        <w:trPr>
          <w:cantSplit/>
          <w:trHeight w:val="454" w:hRule="atLeast"/>
          <w:jc w:val="center"/>
        </w:trPr>
        <w:tc>
          <w:tcPr>
            <w:tcW w:w="1469" w:type="dxa"/>
            <w:vMerge w:val="restart"/>
            <w:tcBorders>
              <w:top w:val="single" w:color="auto" w:sz="8" w:space="0"/>
              <w:left w:val="nil"/>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能源名称</w:t>
            </w:r>
          </w:p>
        </w:tc>
        <w:tc>
          <w:tcPr>
            <w:tcW w:w="577" w:type="dxa"/>
            <w:vMerge w:val="restart"/>
            <w:tcBorders>
              <w:top w:val="single" w:color="auto" w:sz="8" w:space="0"/>
              <w:left w:val="single" w:color="auto" w:sz="2" w:space="0"/>
              <w:bottom w:val="single" w:color="auto" w:sz="2" w:space="0"/>
              <w:right w:val="single" w:color="auto" w:sz="2" w:space="0"/>
            </w:tcBorders>
            <w:noWrap/>
            <w:vAlign w:val="center"/>
          </w:tcPr>
          <w:p>
            <w:pPr>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计量  单位</w:t>
            </w:r>
          </w:p>
        </w:tc>
        <w:tc>
          <w:tcPr>
            <w:tcW w:w="578" w:type="dxa"/>
            <w:vMerge w:val="restart"/>
            <w:tcBorders>
              <w:top w:val="single" w:color="auto" w:sz="8" w:space="0"/>
              <w:left w:val="single" w:color="auto" w:sz="2" w:space="0"/>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代码</w:t>
            </w:r>
          </w:p>
        </w:tc>
        <w:tc>
          <w:tcPr>
            <w:tcW w:w="658" w:type="dxa"/>
            <w:vMerge w:val="restart"/>
            <w:tcBorders>
              <w:top w:val="single" w:color="auto" w:sz="8" w:space="0"/>
              <w:left w:val="single" w:color="auto" w:sz="2" w:space="0"/>
              <w:bottom w:val="single" w:color="auto" w:sz="2" w:space="0"/>
            </w:tcBorders>
            <w:noWrap/>
            <w:vAlign w:val="center"/>
          </w:tcPr>
          <w:p>
            <w:pPr>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工  业      生  产  消费量</w:t>
            </w:r>
          </w:p>
        </w:tc>
        <w:tc>
          <w:tcPr>
            <w:tcW w:w="5210" w:type="dxa"/>
            <w:gridSpan w:val="9"/>
            <w:tcBorders>
              <w:top w:val="single" w:color="auto" w:sz="8" w:space="0"/>
              <w:bottom w:val="single" w:color="auto" w:sz="2" w:space="0"/>
              <w:right w:val="single" w:color="auto" w:sz="2" w:space="0"/>
            </w:tcBorders>
            <w:noWrap/>
            <w:vAlign w:val="center"/>
          </w:tcPr>
          <w:p>
            <w:pPr>
              <w:adjustRightInd w:val="0"/>
              <w:jc w:val="center"/>
              <w:rPr>
                <w:rFonts w:asciiTheme="minorEastAsia" w:hAnsiTheme="minorEastAsia" w:eastAsiaTheme="minorEastAsia" w:cstheme="minorEastAsia"/>
                <w:sz w:val="18"/>
                <w:szCs w:val="18"/>
              </w:rPr>
            </w:pPr>
          </w:p>
        </w:tc>
        <w:tc>
          <w:tcPr>
            <w:tcW w:w="598" w:type="dxa"/>
            <w:vMerge w:val="restart"/>
            <w:tcBorders>
              <w:top w:val="single" w:color="auto" w:sz="8" w:space="0"/>
              <w:left w:val="single" w:color="auto" w:sz="2" w:space="0"/>
              <w:bottom w:val="single" w:color="auto" w:sz="2" w:space="0"/>
              <w:right w:val="single" w:color="auto" w:sz="2" w:space="0"/>
            </w:tcBorders>
            <w:noWrap/>
            <w:vAlign w:val="center"/>
          </w:tcPr>
          <w:p>
            <w:pPr>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能源加工转换产  出</w:t>
            </w:r>
          </w:p>
        </w:tc>
        <w:tc>
          <w:tcPr>
            <w:tcW w:w="582" w:type="dxa"/>
            <w:vMerge w:val="restart"/>
            <w:tcBorders>
              <w:top w:val="single" w:color="auto" w:sz="8" w:space="0"/>
              <w:left w:val="single" w:color="auto" w:sz="2" w:space="0"/>
              <w:bottom w:val="single" w:color="auto" w:sz="2" w:space="0"/>
              <w:right w:val="nil"/>
            </w:tcBorders>
            <w:noWrap/>
            <w:vAlign w:val="center"/>
          </w:tcPr>
          <w:p>
            <w:pPr>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回收</w:t>
            </w:r>
          </w:p>
          <w:p>
            <w:pPr>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利用</w:t>
            </w:r>
          </w:p>
        </w:tc>
      </w:tr>
      <w:tr>
        <w:tblPrEx>
          <w:tblCellMar>
            <w:top w:w="0" w:type="dxa"/>
            <w:left w:w="0" w:type="dxa"/>
            <w:bottom w:w="0" w:type="dxa"/>
            <w:right w:w="0" w:type="dxa"/>
          </w:tblCellMar>
        </w:tblPrEx>
        <w:trPr>
          <w:cantSplit/>
          <w:trHeight w:val="454" w:hRule="atLeast"/>
          <w:jc w:val="center"/>
        </w:trPr>
        <w:tc>
          <w:tcPr>
            <w:tcW w:w="1469" w:type="dxa"/>
            <w:vMerge w:val="continue"/>
            <w:tcBorders>
              <w:top w:val="single" w:color="auto" w:sz="2" w:space="0"/>
              <w:left w:val="nil"/>
              <w:bottom w:val="single" w:color="auto" w:sz="2" w:space="0"/>
              <w:right w:val="single" w:color="auto" w:sz="2" w:space="0"/>
            </w:tcBorders>
            <w:noWrap/>
            <w:vAlign w:val="center"/>
          </w:tcPr>
          <w:p>
            <w:pPr>
              <w:widowControl/>
              <w:jc w:val="left"/>
              <w:rPr>
                <w:rFonts w:asciiTheme="minorEastAsia" w:hAnsiTheme="minorEastAsia" w:eastAsiaTheme="minorEastAsia" w:cstheme="minorEastAsia"/>
                <w:sz w:val="18"/>
                <w:szCs w:val="18"/>
              </w:rPr>
            </w:pPr>
          </w:p>
        </w:tc>
        <w:tc>
          <w:tcPr>
            <w:tcW w:w="577"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Theme="minorEastAsia" w:hAnsiTheme="minorEastAsia" w:eastAsiaTheme="minorEastAsia" w:cstheme="minorEastAsia"/>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Theme="minorEastAsia" w:hAnsiTheme="minorEastAsia" w:eastAsiaTheme="minorEastAsia" w:cstheme="minorEastAsia"/>
                <w:sz w:val="18"/>
                <w:szCs w:val="18"/>
              </w:rPr>
            </w:pPr>
          </w:p>
        </w:tc>
        <w:tc>
          <w:tcPr>
            <w:tcW w:w="658"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Theme="minorEastAsia" w:hAnsiTheme="minorEastAsia" w:eastAsiaTheme="minorEastAsia" w:cstheme="minorEastAsia"/>
                <w:sz w:val="18"/>
                <w:szCs w:val="18"/>
              </w:rPr>
            </w:pPr>
          </w:p>
        </w:tc>
        <w:tc>
          <w:tcPr>
            <w:tcW w:w="658" w:type="dxa"/>
            <w:vMerge w:val="restart"/>
            <w:tcBorders>
              <w:top w:val="single" w:color="auto" w:sz="2" w:space="0"/>
              <w:left w:val="single" w:color="auto" w:sz="2" w:space="0"/>
              <w:bottom w:val="single" w:color="auto" w:sz="2" w:space="0"/>
            </w:tcBorders>
            <w:noWrap/>
            <w:vAlign w:val="center"/>
          </w:tcPr>
          <w:p>
            <w:pPr>
              <w:widowControl/>
              <w:adjustRightInd w:val="0"/>
              <w:jc w:val="center"/>
              <w:rPr>
                <w:rFonts w:asciiTheme="minorEastAsia" w:hAnsiTheme="minorEastAsia" w:eastAsiaTheme="minorEastAsia" w:cstheme="minorEastAsia"/>
                <w:spacing w:val="-10"/>
                <w:sz w:val="18"/>
                <w:szCs w:val="18"/>
              </w:rPr>
            </w:pPr>
            <w:r>
              <w:rPr>
                <w:rFonts w:hint="eastAsia" w:asciiTheme="minorEastAsia" w:hAnsiTheme="minorEastAsia" w:eastAsiaTheme="minorEastAsia" w:cstheme="minorEastAsia"/>
                <w:spacing w:val="-10"/>
                <w:sz w:val="18"/>
                <w:szCs w:val="18"/>
              </w:rPr>
              <w:t>加工转  换投入  合  计</w:t>
            </w:r>
          </w:p>
        </w:tc>
        <w:tc>
          <w:tcPr>
            <w:tcW w:w="4552" w:type="dxa"/>
            <w:gridSpan w:val="8"/>
            <w:tcBorders>
              <w:top w:val="single" w:color="auto" w:sz="2" w:space="0"/>
              <w:bottom w:val="single" w:color="auto" w:sz="2" w:space="0"/>
              <w:right w:val="single" w:color="auto" w:sz="2" w:space="0"/>
            </w:tcBorders>
            <w:noWrap/>
            <w:vAlign w:val="center"/>
          </w:tcPr>
          <w:p>
            <w:pPr>
              <w:adjustRightInd w:val="0"/>
              <w:jc w:val="center"/>
              <w:rPr>
                <w:rFonts w:asciiTheme="minorEastAsia" w:hAnsiTheme="minorEastAsia" w:eastAsiaTheme="minorEastAsia" w:cstheme="minorEastAsia"/>
                <w:spacing w:val="-10"/>
                <w:sz w:val="18"/>
                <w:szCs w:val="18"/>
              </w:rPr>
            </w:pPr>
          </w:p>
        </w:tc>
        <w:tc>
          <w:tcPr>
            <w:tcW w:w="598"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Theme="minorEastAsia" w:hAnsiTheme="minorEastAsia" w:eastAsiaTheme="minorEastAsia" w:cstheme="minorEastAsia"/>
                <w:sz w:val="18"/>
                <w:szCs w:val="18"/>
              </w:rPr>
            </w:pPr>
          </w:p>
        </w:tc>
        <w:tc>
          <w:tcPr>
            <w:tcW w:w="582" w:type="dxa"/>
            <w:vMerge w:val="continue"/>
            <w:tcBorders>
              <w:top w:val="single" w:color="auto" w:sz="2" w:space="0"/>
              <w:left w:val="single" w:color="auto" w:sz="2" w:space="0"/>
              <w:bottom w:val="single" w:color="auto" w:sz="2" w:space="0"/>
              <w:right w:val="nil"/>
            </w:tcBorders>
            <w:noWrap/>
            <w:vAlign w:val="center"/>
          </w:tcPr>
          <w:p>
            <w:pPr>
              <w:widowControl/>
              <w:jc w:val="left"/>
              <w:rPr>
                <w:rFonts w:asciiTheme="minorEastAsia" w:hAnsiTheme="minorEastAsia" w:eastAsiaTheme="minorEastAsia" w:cstheme="minorEastAsia"/>
                <w:sz w:val="18"/>
                <w:szCs w:val="18"/>
              </w:rPr>
            </w:pPr>
          </w:p>
        </w:tc>
      </w:tr>
      <w:tr>
        <w:tblPrEx>
          <w:tblCellMar>
            <w:top w:w="0" w:type="dxa"/>
            <w:left w:w="0" w:type="dxa"/>
            <w:bottom w:w="0" w:type="dxa"/>
            <w:right w:w="0" w:type="dxa"/>
          </w:tblCellMar>
        </w:tblPrEx>
        <w:trPr>
          <w:cantSplit/>
          <w:trHeight w:val="851" w:hRule="atLeast"/>
          <w:jc w:val="center"/>
        </w:trPr>
        <w:tc>
          <w:tcPr>
            <w:tcW w:w="1469" w:type="dxa"/>
            <w:vMerge w:val="continue"/>
            <w:tcBorders>
              <w:top w:val="single" w:color="auto" w:sz="2" w:space="0"/>
              <w:left w:val="nil"/>
              <w:bottom w:val="single" w:color="auto" w:sz="2" w:space="0"/>
              <w:right w:val="single" w:color="auto" w:sz="2" w:space="0"/>
            </w:tcBorders>
            <w:noWrap/>
            <w:vAlign w:val="center"/>
          </w:tcPr>
          <w:p>
            <w:pPr>
              <w:widowControl/>
              <w:jc w:val="left"/>
              <w:rPr>
                <w:rFonts w:asciiTheme="minorEastAsia" w:hAnsiTheme="minorEastAsia" w:eastAsiaTheme="minorEastAsia" w:cstheme="minorEastAsia"/>
                <w:sz w:val="18"/>
                <w:szCs w:val="18"/>
              </w:rPr>
            </w:pPr>
          </w:p>
        </w:tc>
        <w:tc>
          <w:tcPr>
            <w:tcW w:w="577"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Theme="minorEastAsia" w:hAnsiTheme="minorEastAsia" w:eastAsiaTheme="minorEastAsia" w:cstheme="minorEastAsia"/>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Theme="minorEastAsia" w:hAnsiTheme="minorEastAsia" w:eastAsiaTheme="minorEastAsia" w:cstheme="minorEastAsia"/>
                <w:sz w:val="18"/>
                <w:szCs w:val="18"/>
              </w:rPr>
            </w:pPr>
          </w:p>
        </w:tc>
        <w:tc>
          <w:tcPr>
            <w:tcW w:w="658"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Theme="minorEastAsia" w:hAnsiTheme="minorEastAsia" w:eastAsiaTheme="minorEastAsia" w:cstheme="minorEastAsia"/>
                <w:sz w:val="18"/>
                <w:szCs w:val="18"/>
              </w:rPr>
            </w:pPr>
          </w:p>
        </w:tc>
        <w:tc>
          <w:tcPr>
            <w:tcW w:w="658"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Theme="minorEastAsia" w:hAnsiTheme="minorEastAsia" w:eastAsiaTheme="minorEastAsia" w:cstheme="minorEastAsia"/>
                <w:spacing w:val="-10"/>
                <w:sz w:val="18"/>
                <w:szCs w:val="18"/>
              </w:rPr>
            </w:pPr>
          </w:p>
        </w:tc>
        <w:tc>
          <w:tcPr>
            <w:tcW w:w="569" w:type="dxa"/>
            <w:tcBorders>
              <w:top w:val="single" w:color="auto" w:sz="2" w:space="0"/>
              <w:left w:val="single" w:color="auto" w:sz="2" w:space="0"/>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pacing w:val="-10"/>
                <w:sz w:val="18"/>
                <w:szCs w:val="18"/>
              </w:rPr>
            </w:pPr>
            <w:r>
              <w:rPr>
                <w:rFonts w:hint="eastAsia" w:asciiTheme="minorEastAsia" w:hAnsiTheme="minorEastAsia" w:eastAsiaTheme="minorEastAsia" w:cstheme="minorEastAsia"/>
                <w:spacing w:val="-10"/>
                <w:sz w:val="18"/>
                <w:szCs w:val="18"/>
              </w:rPr>
              <w:t>火力   发电</w:t>
            </w:r>
          </w:p>
        </w:tc>
        <w:tc>
          <w:tcPr>
            <w:tcW w:w="569" w:type="dxa"/>
            <w:tcBorders>
              <w:top w:val="single" w:color="auto" w:sz="2" w:space="0"/>
              <w:left w:val="single" w:color="auto" w:sz="2" w:space="0"/>
              <w:bottom w:val="single" w:color="auto" w:sz="2" w:space="0"/>
              <w:right w:val="single" w:color="auto" w:sz="2" w:space="0"/>
            </w:tcBorders>
            <w:noWrap/>
            <w:vAlign w:val="center"/>
          </w:tcPr>
          <w:p>
            <w:pPr>
              <w:adjustRightInd w:val="0"/>
              <w:jc w:val="center"/>
              <w:rPr>
                <w:rFonts w:asciiTheme="minorEastAsia" w:hAnsiTheme="minorEastAsia" w:eastAsiaTheme="minorEastAsia" w:cstheme="minorEastAsia"/>
                <w:spacing w:val="-10"/>
                <w:sz w:val="18"/>
                <w:szCs w:val="18"/>
              </w:rPr>
            </w:pPr>
            <w:r>
              <w:rPr>
                <w:rFonts w:hint="eastAsia" w:asciiTheme="minorEastAsia" w:hAnsiTheme="minorEastAsia" w:eastAsiaTheme="minorEastAsia" w:cstheme="minorEastAsia"/>
                <w:spacing w:val="-10"/>
                <w:sz w:val="18"/>
                <w:szCs w:val="18"/>
              </w:rPr>
              <w:t>供热</w:t>
            </w:r>
          </w:p>
        </w:tc>
        <w:tc>
          <w:tcPr>
            <w:tcW w:w="569" w:type="dxa"/>
            <w:tcBorders>
              <w:top w:val="single" w:color="auto" w:sz="2" w:space="0"/>
              <w:left w:val="single" w:color="auto" w:sz="2" w:space="0"/>
              <w:bottom w:val="single" w:color="auto" w:sz="2" w:space="0"/>
              <w:right w:val="single" w:color="auto" w:sz="2" w:space="0"/>
            </w:tcBorders>
            <w:noWrap/>
            <w:vAlign w:val="center"/>
          </w:tcPr>
          <w:p>
            <w:pPr>
              <w:adjustRightInd w:val="0"/>
              <w:jc w:val="center"/>
              <w:rPr>
                <w:rFonts w:asciiTheme="minorEastAsia" w:hAnsiTheme="minorEastAsia" w:eastAsiaTheme="minorEastAsia" w:cstheme="minorEastAsia"/>
                <w:spacing w:val="-10"/>
                <w:sz w:val="18"/>
                <w:szCs w:val="18"/>
              </w:rPr>
            </w:pPr>
            <w:r>
              <w:rPr>
                <w:rFonts w:hint="eastAsia" w:asciiTheme="minorEastAsia" w:hAnsiTheme="minorEastAsia" w:eastAsiaTheme="minorEastAsia" w:cstheme="minorEastAsia"/>
                <w:spacing w:val="-10"/>
                <w:sz w:val="18"/>
                <w:szCs w:val="18"/>
              </w:rPr>
              <w:t>原煤   入洗</w:t>
            </w:r>
          </w:p>
        </w:tc>
        <w:tc>
          <w:tcPr>
            <w:tcW w:w="569" w:type="dxa"/>
            <w:tcBorders>
              <w:top w:val="single" w:color="auto" w:sz="2" w:space="0"/>
              <w:left w:val="single" w:color="auto" w:sz="2" w:space="0"/>
              <w:bottom w:val="single" w:color="auto" w:sz="2" w:space="0"/>
              <w:right w:val="single" w:color="auto" w:sz="2" w:space="0"/>
            </w:tcBorders>
            <w:noWrap/>
            <w:vAlign w:val="center"/>
          </w:tcPr>
          <w:p>
            <w:pPr>
              <w:adjustRightInd w:val="0"/>
              <w:jc w:val="center"/>
              <w:rPr>
                <w:rFonts w:asciiTheme="minorEastAsia" w:hAnsiTheme="minorEastAsia" w:eastAsiaTheme="minorEastAsia" w:cstheme="minorEastAsia"/>
                <w:spacing w:val="-10"/>
                <w:sz w:val="18"/>
                <w:szCs w:val="18"/>
              </w:rPr>
            </w:pPr>
            <w:r>
              <w:rPr>
                <w:rFonts w:hint="eastAsia" w:asciiTheme="minorEastAsia" w:hAnsiTheme="minorEastAsia" w:eastAsiaTheme="minorEastAsia" w:cstheme="minorEastAsia"/>
                <w:spacing w:val="-10"/>
                <w:sz w:val="18"/>
                <w:szCs w:val="18"/>
              </w:rPr>
              <w:t>炼焦</w:t>
            </w:r>
          </w:p>
        </w:tc>
        <w:tc>
          <w:tcPr>
            <w:tcW w:w="569" w:type="dxa"/>
            <w:tcBorders>
              <w:top w:val="single" w:color="auto" w:sz="2" w:space="0"/>
              <w:left w:val="single" w:color="auto" w:sz="2" w:space="0"/>
              <w:bottom w:val="single" w:color="auto" w:sz="2" w:space="0"/>
              <w:right w:val="single" w:color="auto" w:sz="2" w:space="0"/>
            </w:tcBorders>
            <w:noWrap/>
            <w:vAlign w:val="center"/>
          </w:tcPr>
          <w:p>
            <w:pPr>
              <w:adjustRightInd w:val="0"/>
              <w:jc w:val="center"/>
              <w:rPr>
                <w:rFonts w:asciiTheme="minorEastAsia" w:hAnsiTheme="minorEastAsia" w:eastAsiaTheme="minorEastAsia" w:cstheme="minorEastAsia"/>
                <w:spacing w:val="-10"/>
                <w:sz w:val="18"/>
                <w:szCs w:val="18"/>
              </w:rPr>
            </w:pPr>
            <w:r>
              <w:rPr>
                <w:rFonts w:hint="eastAsia" w:asciiTheme="minorEastAsia" w:hAnsiTheme="minorEastAsia" w:eastAsiaTheme="minorEastAsia" w:cstheme="minorEastAsia"/>
                <w:spacing w:val="-10"/>
                <w:sz w:val="18"/>
                <w:szCs w:val="18"/>
              </w:rPr>
              <w:t>炼油及</w:t>
            </w:r>
          </w:p>
          <w:p>
            <w:pPr>
              <w:adjustRightInd w:val="0"/>
              <w:jc w:val="center"/>
              <w:rPr>
                <w:rFonts w:asciiTheme="minorEastAsia" w:hAnsiTheme="minorEastAsia" w:eastAsiaTheme="minorEastAsia" w:cstheme="minorEastAsia"/>
                <w:spacing w:val="-10"/>
                <w:sz w:val="18"/>
                <w:szCs w:val="18"/>
              </w:rPr>
            </w:pPr>
            <w:r>
              <w:rPr>
                <w:rFonts w:hint="eastAsia" w:asciiTheme="minorEastAsia" w:hAnsiTheme="minorEastAsia" w:eastAsiaTheme="minorEastAsia" w:cstheme="minorEastAsia"/>
                <w:spacing w:val="-10"/>
                <w:sz w:val="18"/>
                <w:szCs w:val="18"/>
              </w:rPr>
              <w:t>煤制油</w:t>
            </w:r>
          </w:p>
        </w:tc>
        <w:tc>
          <w:tcPr>
            <w:tcW w:w="569" w:type="dxa"/>
            <w:tcBorders>
              <w:top w:val="single" w:color="auto" w:sz="2" w:space="0"/>
              <w:left w:val="single" w:color="auto" w:sz="2" w:space="0"/>
              <w:bottom w:val="single" w:color="auto" w:sz="2" w:space="0"/>
              <w:right w:val="single" w:color="auto" w:sz="2" w:space="0"/>
            </w:tcBorders>
            <w:noWrap/>
            <w:vAlign w:val="center"/>
          </w:tcPr>
          <w:p>
            <w:pPr>
              <w:adjustRightInd w:val="0"/>
              <w:jc w:val="center"/>
              <w:rPr>
                <w:rFonts w:asciiTheme="minorEastAsia" w:hAnsiTheme="minorEastAsia" w:eastAsiaTheme="minorEastAsia" w:cstheme="minorEastAsia"/>
                <w:spacing w:val="-10"/>
                <w:sz w:val="18"/>
                <w:szCs w:val="18"/>
              </w:rPr>
            </w:pPr>
            <w:r>
              <w:rPr>
                <w:rFonts w:hint="eastAsia" w:asciiTheme="minorEastAsia" w:hAnsiTheme="minorEastAsia" w:eastAsiaTheme="minorEastAsia" w:cstheme="minorEastAsia"/>
                <w:spacing w:val="-10"/>
                <w:sz w:val="18"/>
                <w:szCs w:val="18"/>
              </w:rPr>
              <w:t>制气</w:t>
            </w:r>
          </w:p>
        </w:tc>
        <w:tc>
          <w:tcPr>
            <w:tcW w:w="569" w:type="dxa"/>
            <w:tcBorders>
              <w:top w:val="single" w:color="auto" w:sz="2" w:space="0"/>
              <w:left w:val="single" w:color="auto" w:sz="2" w:space="0"/>
              <w:bottom w:val="single" w:color="auto" w:sz="2" w:space="0"/>
              <w:right w:val="single" w:color="auto" w:sz="2" w:space="0"/>
            </w:tcBorders>
            <w:noWrap/>
            <w:vAlign w:val="center"/>
          </w:tcPr>
          <w:p>
            <w:pPr>
              <w:adjustRightInd w:val="0"/>
              <w:jc w:val="center"/>
              <w:rPr>
                <w:rFonts w:asciiTheme="minorEastAsia" w:hAnsiTheme="minorEastAsia" w:eastAsiaTheme="minorEastAsia" w:cstheme="minorEastAsia"/>
                <w:spacing w:val="-10"/>
                <w:sz w:val="18"/>
                <w:szCs w:val="18"/>
              </w:rPr>
            </w:pPr>
            <w:r>
              <w:rPr>
                <w:rFonts w:hint="eastAsia" w:asciiTheme="minorEastAsia" w:hAnsiTheme="minorEastAsia" w:eastAsiaTheme="minorEastAsia" w:cstheme="minorEastAsia"/>
                <w:sz w:val="18"/>
                <w:szCs w:val="18"/>
              </w:rPr>
              <w:t>天然气</w:t>
            </w:r>
            <w:r>
              <w:rPr>
                <w:rFonts w:hint="eastAsia" w:asciiTheme="minorEastAsia" w:hAnsiTheme="minorEastAsia" w:eastAsiaTheme="minorEastAsia" w:cstheme="minorEastAsia"/>
                <w:spacing w:val="-10"/>
                <w:sz w:val="18"/>
                <w:szCs w:val="18"/>
              </w:rPr>
              <w:t>液   化</w:t>
            </w:r>
          </w:p>
        </w:tc>
        <w:tc>
          <w:tcPr>
            <w:tcW w:w="569" w:type="dxa"/>
            <w:tcBorders>
              <w:top w:val="single" w:color="auto" w:sz="2" w:space="0"/>
              <w:left w:val="single" w:color="auto" w:sz="2" w:space="0"/>
              <w:bottom w:val="single" w:color="auto" w:sz="2" w:space="0"/>
              <w:right w:val="single" w:color="auto" w:sz="2" w:space="0"/>
            </w:tcBorders>
            <w:noWrap/>
            <w:vAlign w:val="center"/>
          </w:tcPr>
          <w:p>
            <w:pPr>
              <w:adjustRightInd w:val="0"/>
              <w:jc w:val="center"/>
              <w:rPr>
                <w:rFonts w:asciiTheme="minorEastAsia" w:hAnsiTheme="minorEastAsia" w:eastAsiaTheme="minorEastAsia" w:cstheme="minorEastAsia"/>
                <w:spacing w:val="-10"/>
                <w:sz w:val="18"/>
                <w:szCs w:val="18"/>
              </w:rPr>
            </w:pPr>
          </w:p>
          <w:p>
            <w:pPr>
              <w:adjustRightInd w:val="0"/>
              <w:jc w:val="center"/>
              <w:rPr>
                <w:rFonts w:asciiTheme="minorEastAsia" w:hAnsiTheme="minorEastAsia" w:eastAsiaTheme="minorEastAsia" w:cstheme="minorEastAsia"/>
                <w:spacing w:val="-10"/>
                <w:sz w:val="18"/>
                <w:szCs w:val="18"/>
              </w:rPr>
            </w:pPr>
            <w:r>
              <w:rPr>
                <w:rFonts w:hint="eastAsia" w:asciiTheme="minorEastAsia" w:hAnsiTheme="minorEastAsia" w:eastAsiaTheme="minorEastAsia" w:cstheme="minorEastAsia"/>
                <w:spacing w:val="-10"/>
                <w:sz w:val="18"/>
                <w:szCs w:val="18"/>
              </w:rPr>
              <w:t>煤制品加  工</w:t>
            </w:r>
          </w:p>
          <w:p>
            <w:pPr>
              <w:adjustRightInd w:val="0"/>
              <w:jc w:val="center"/>
              <w:rPr>
                <w:rFonts w:asciiTheme="minorEastAsia" w:hAnsiTheme="minorEastAsia" w:eastAsiaTheme="minorEastAsia" w:cstheme="minorEastAsia"/>
                <w:spacing w:val="-10"/>
                <w:sz w:val="18"/>
                <w:szCs w:val="18"/>
              </w:rPr>
            </w:pPr>
          </w:p>
        </w:tc>
        <w:tc>
          <w:tcPr>
            <w:tcW w:w="598"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Theme="minorEastAsia" w:hAnsiTheme="minorEastAsia" w:eastAsiaTheme="minorEastAsia" w:cstheme="minorEastAsia"/>
                <w:sz w:val="18"/>
                <w:szCs w:val="18"/>
              </w:rPr>
            </w:pPr>
          </w:p>
        </w:tc>
        <w:tc>
          <w:tcPr>
            <w:tcW w:w="582" w:type="dxa"/>
            <w:vMerge w:val="continue"/>
            <w:tcBorders>
              <w:top w:val="single" w:color="auto" w:sz="2" w:space="0"/>
              <w:left w:val="single" w:color="auto" w:sz="2" w:space="0"/>
              <w:bottom w:val="single" w:color="auto" w:sz="2" w:space="0"/>
              <w:right w:val="nil"/>
            </w:tcBorders>
            <w:noWrap/>
            <w:vAlign w:val="center"/>
          </w:tcPr>
          <w:p>
            <w:pPr>
              <w:widowControl/>
              <w:jc w:val="left"/>
              <w:rPr>
                <w:rFonts w:asciiTheme="minorEastAsia" w:hAnsiTheme="minorEastAsia" w:eastAsiaTheme="minorEastAsia" w:cstheme="minorEastAsia"/>
                <w:sz w:val="18"/>
                <w:szCs w:val="18"/>
              </w:rPr>
            </w:pPr>
          </w:p>
        </w:tc>
      </w:tr>
      <w:tr>
        <w:tblPrEx>
          <w:tblCellMar>
            <w:top w:w="0" w:type="dxa"/>
            <w:left w:w="0" w:type="dxa"/>
            <w:bottom w:w="0" w:type="dxa"/>
            <w:right w:w="0" w:type="dxa"/>
          </w:tblCellMar>
        </w:tblPrEx>
        <w:trPr>
          <w:trHeight w:val="306" w:hRule="atLeast"/>
          <w:jc w:val="center"/>
        </w:trPr>
        <w:tc>
          <w:tcPr>
            <w:tcW w:w="1469" w:type="dxa"/>
            <w:tcBorders>
              <w:top w:val="single" w:color="auto" w:sz="2" w:space="0"/>
              <w:left w:val="nil"/>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甲</w:t>
            </w:r>
          </w:p>
        </w:tc>
        <w:tc>
          <w:tcPr>
            <w:tcW w:w="577" w:type="dxa"/>
            <w:tcBorders>
              <w:top w:val="single" w:color="auto" w:sz="2" w:space="0"/>
              <w:left w:val="single" w:color="auto" w:sz="2" w:space="0"/>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乙</w:t>
            </w:r>
          </w:p>
        </w:tc>
        <w:tc>
          <w:tcPr>
            <w:tcW w:w="578" w:type="dxa"/>
            <w:tcBorders>
              <w:top w:val="single" w:color="auto" w:sz="2" w:space="0"/>
              <w:left w:val="single" w:color="auto" w:sz="2" w:space="0"/>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丙</w:t>
            </w:r>
          </w:p>
        </w:tc>
        <w:tc>
          <w:tcPr>
            <w:tcW w:w="658" w:type="dxa"/>
            <w:tcBorders>
              <w:top w:val="single" w:color="auto" w:sz="2" w:space="0"/>
              <w:left w:val="single" w:color="auto" w:sz="2" w:space="0"/>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658" w:type="dxa"/>
            <w:tcBorders>
              <w:top w:val="single" w:color="auto" w:sz="2" w:space="0"/>
              <w:left w:val="single" w:color="auto" w:sz="2" w:space="0"/>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569" w:type="dxa"/>
            <w:tcBorders>
              <w:top w:val="single" w:color="auto" w:sz="2" w:space="0"/>
              <w:left w:val="single" w:color="auto" w:sz="2" w:space="0"/>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69" w:type="dxa"/>
            <w:tcBorders>
              <w:top w:val="single" w:color="auto" w:sz="2" w:space="0"/>
              <w:left w:val="single" w:color="auto" w:sz="2" w:space="0"/>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w:t>
            </w:r>
          </w:p>
        </w:tc>
        <w:tc>
          <w:tcPr>
            <w:tcW w:w="569" w:type="dxa"/>
            <w:tcBorders>
              <w:top w:val="single" w:color="auto" w:sz="2" w:space="0"/>
              <w:left w:val="single" w:color="auto" w:sz="2" w:space="0"/>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569" w:type="dxa"/>
            <w:tcBorders>
              <w:top w:val="single" w:color="auto" w:sz="2" w:space="0"/>
              <w:left w:val="single" w:color="auto" w:sz="2" w:space="0"/>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w:t>
            </w:r>
          </w:p>
        </w:tc>
        <w:tc>
          <w:tcPr>
            <w:tcW w:w="569" w:type="dxa"/>
            <w:tcBorders>
              <w:top w:val="single" w:color="auto" w:sz="2" w:space="0"/>
              <w:left w:val="single" w:color="auto" w:sz="2" w:space="0"/>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w:t>
            </w:r>
          </w:p>
        </w:tc>
        <w:tc>
          <w:tcPr>
            <w:tcW w:w="569" w:type="dxa"/>
            <w:tcBorders>
              <w:top w:val="single" w:color="auto" w:sz="2" w:space="0"/>
              <w:left w:val="single" w:color="auto" w:sz="2" w:space="0"/>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w:t>
            </w:r>
          </w:p>
        </w:tc>
        <w:tc>
          <w:tcPr>
            <w:tcW w:w="569" w:type="dxa"/>
            <w:tcBorders>
              <w:top w:val="single" w:color="auto" w:sz="2" w:space="0"/>
              <w:left w:val="single" w:color="auto" w:sz="2" w:space="0"/>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w:t>
            </w:r>
          </w:p>
        </w:tc>
        <w:tc>
          <w:tcPr>
            <w:tcW w:w="569" w:type="dxa"/>
            <w:tcBorders>
              <w:top w:val="single" w:color="auto" w:sz="2" w:space="0"/>
              <w:left w:val="single" w:color="auto" w:sz="2" w:space="0"/>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tc>
        <w:tc>
          <w:tcPr>
            <w:tcW w:w="598" w:type="dxa"/>
            <w:tcBorders>
              <w:top w:val="single" w:color="auto" w:sz="2" w:space="0"/>
              <w:left w:val="single" w:color="auto" w:sz="2" w:space="0"/>
              <w:bottom w:val="single" w:color="auto" w:sz="2"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w:t>
            </w:r>
          </w:p>
        </w:tc>
        <w:tc>
          <w:tcPr>
            <w:tcW w:w="582" w:type="dxa"/>
            <w:tcBorders>
              <w:top w:val="single" w:color="auto" w:sz="2" w:space="0"/>
              <w:left w:val="single" w:color="auto" w:sz="2" w:space="0"/>
              <w:bottom w:val="single" w:color="auto" w:sz="2" w:space="0"/>
              <w:right w:val="nil"/>
            </w:tcBorders>
            <w:noWrap/>
            <w:vAlign w:val="center"/>
          </w:tcPr>
          <w:p>
            <w:pPr>
              <w:widowControl/>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w:t>
            </w:r>
          </w:p>
        </w:tc>
      </w:tr>
      <w:tr>
        <w:tblPrEx>
          <w:tblCellMar>
            <w:top w:w="0" w:type="dxa"/>
            <w:left w:w="0" w:type="dxa"/>
            <w:bottom w:w="0" w:type="dxa"/>
            <w:right w:w="0" w:type="dxa"/>
          </w:tblCellMar>
        </w:tblPrEx>
        <w:trPr>
          <w:trHeight w:val="454" w:hRule="atLeast"/>
          <w:jc w:val="center"/>
        </w:trPr>
        <w:tc>
          <w:tcPr>
            <w:tcW w:w="1469" w:type="dxa"/>
            <w:tcBorders>
              <w:top w:val="single" w:color="auto" w:sz="2" w:space="0"/>
              <w:left w:val="nil"/>
              <w:bottom w:val="single" w:color="auto" w:sz="8"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p>
        </w:tc>
        <w:tc>
          <w:tcPr>
            <w:tcW w:w="577" w:type="dxa"/>
            <w:tcBorders>
              <w:top w:val="single" w:color="auto" w:sz="2" w:space="0"/>
              <w:left w:val="single" w:color="auto" w:sz="2" w:space="0"/>
              <w:bottom w:val="single" w:color="auto" w:sz="8"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p>
        </w:tc>
        <w:tc>
          <w:tcPr>
            <w:tcW w:w="578" w:type="dxa"/>
            <w:tcBorders>
              <w:top w:val="single" w:color="auto" w:sz="2" w:space="0"/>
              <w:left w:val="single" w:color="auto" w:sz="2" w:space="0"/>
              <w:bottom w:val="single" w:color="auto" w:sz="8" w:space="0"/>
              <w:right w:val="single" w:color="auto" w:sz="2" w:space="0"/>
            </w:tcBorders>
            <w:noWrap/>
            <w:vAlign w:val="center"/>
          </w:tcPr>
          <w:p>
            <w:pPr>
              <w:widowControl/>
              <w:adjustRightInd w:val="0"/>
              <w:jc w:val="center"/>
              <w:rPr>
                <w:rFonts w:asciiTheme="minorEastAsia" w:hAnsiTheme="minorEastAsia" w:eastAsiaTheme="minorEastAsia" w:cstheme="minorEastAsia"/>
                <w:sz w:val="18"/>
                <w:szCs w:val="18"/>
              </w:rPr>
            </w:pPr>
          </w:p>
        </w:tc>
        <w:tc>
          <w:tcPr>
            <w:tcW w:w="7048" w:type="dxa"/>
            <w:gridSpan w:val="12"/>
            <w:tcBorders>
              <w:top w:val="single" w:color="auto" w:sz="2" w:space="0"/>
              <w:left w:val="single" w:color="auto" w:sz="2" w:space="0"/>
              <w:bottom w:val="single" w:color="auto" w:sz="8" w:space="0"/>
            </w:tcBorders>
            <w:noWrap/>
            <w:vAlign w:val="center"/>
          </w:tcPr>
          <w:p>
            <w:pPr>
              <w:pStyle w:val="15"/>
              <w:widowControl/>
              <w:pBdr>
                <w:bottom w:val="none" w:color="auto" w:sz="0" w:space="0"/>
              </w:pBdr>
              <w:tabs>
                <w:tab w:val="clear" w:pos="4153"/>
                <w:tab w:val="clear" w:pos="8306"/>
              </w:tabs>
              <w:adjustRightInd w:val="0"/>
              <w:snapToGrid/>
              <w:rPr>
                <w:rFonts w:asciiTheme="minorEastAsia" w:hAnsiTheme="minorEastAsia" w:eastAsiaTheme="minorEastAsia" w:cstheme="minorEastAsia"/>
              </w:rPr>
            </w:pPr>
          </w:p>
        </w:tc>
      </w:tr>
    </w:tbl>
    <w:p>
      <w:pPr>
        <w:adjustRightInd w:val="0"/>
        <w:spacing w:after="120" w:afterLines="50" w:line="260" w:lineRule="exact"/>
        <w:rPr>
          <w:szCs w:val="20"/>
        </w:rPr>
      </w:pPr>
      <w:r>
        <w:rPr>
          <w:rFonts w:hint="eastAsia" w:ascii="宋体"/>
          <w:sz w:val="18"/>
          <w:szCs w:val="18"/>
        </w:rPr>
        <w:t xml:space="preserve">单位负责人：      </w:t>
      </w:r>
      <w:r>
        <w:rPr>
          <w:rFonts w:hint="eastAsia" w:ascii="宋体"/>
          <w:sz w:val="18"/>
          <w:szCs w:val="18"/>
          <w:shd w:val="clear" w:color="auto" w:fill="FFFFFF"/>
        </w:rPr>
        <w:t xml:space="preserve">　 </w:t>
      </w:r>
      <w:r>
        <w:rPr>
          <w:rFonts w:hint="eastAsia" w:ascii="宋体"/>
          <w:sz w:val="18"/>
          <w:szCs w:val="18"/>
        </w:rPr>
        <w:t xml:space="preserve">统计负责人：  </w:t>
      </w:r>
      <w:r>
        <w:rPr>
          <w:rFonts w:hint="eastAsia" w:ascii="宋体"/>
          <w:sz w:val="18"/>
          <w:szCs w:val="18"/>
          <w:shd w:val="clear" w:color="auto" w:fill="FFFFFF"/>
        </w:rPr>
        <w:t xml:space="preserve">      　</w:t>
      </w:r>
      <w:r>
        <w:rPr>
          <w:rFonts w:hint="eastAsia" w:ascii="宋体"/>
          <w:sz w:val="18"/>
          <w:szCs w:val="18"/>
        </w:rPr>
        <w:t xml:space="preserve">填表人：         </w:t>
      </w:r>
      <w:r>
        <w:rPr>
          <w:rFonts w:hint="eastAsia" w:ascii="宋体"/>
          <w:sz w:val="18"/>
          <w:szCs w:val="18"/>
          <w:shd w:val="clear" w:color="auto" w:fill="FFFFFF"/>
        </w:rPr>
        <w:t>联系电话</w:t>
      </w:r>
      <w:r>
        <w:rPr>
          <w:rFonts w:hint="eastAsia" w:ascii="宋体"/>
          <w:sz w:val="18"/>
          <w:szCs w:val="18"/>
        </w:rPr>
        <w:t xml:space="preserve">：     </w:t>
      </w:r>
      <w:r>
        <w:rPr>
          <w:rFonts w:hint="eastAsia" w:ascii="宋体"/>
          <w:sz w:val="18"/>
          <w:szCs w:val="18"/>
          <w:shd w:val="clear" w:color="auto" w:fill="FFFFFF"/>
        </w:rPr>
        <w:t xml:space="preserve"> 　 </w:t>
      </w:r>
      <w:r>
        <w:rPr>
          <w:rFonts w:hint="eastAsia" w:ascii="宋体"/>
          <w:sz w:val="18"/>
          <w:szCs w:val="18"/>
        </w:rPr>
        <w:t>报出日期：２０</w:t>
      </w:r>
      <w:r>
        <w:rPr>
          <w:rFonts w:hint="eastAsia" w:ascii="宋体"/>
          <w:sz w:val="18"/>
          <w:szCs w:val="18"/>
          <w:shd w:val="clear" w:color="auto" w:fill="FFFFFF"/>
        </w:rPr>
        <w:t xml:space="preserve">　 </w:t>
      </w:r>
      <w:r>
        <w:rPr>
          <w:rFonts w:hint="eastAsia" w:ascii="宋体"/>
          <w:sz w:val="18"/>
          <w:szCs w:val="18"/>
        </w:rPr>
        <w:t>年</w:t>
      </w:r>
      <w:r>
        <w:rPr>
          <w:rFonts w:hint="eastAsia" w:ascii="宋体"/>
          <w:sz w:val="18"/>
          <w:szCs w:val="18"/>
          <w:shd w:val="clear" w:color="auto" w:fill="FFFFFF"/>
        </w:rPr>
        <w:t>　</w:t>
      </w:r>
      <w:r>
        <w:rPr>
          <w:rFonts w:hint="eastAsia" w:ascii="宋体"/>
          <w:sz w:val="18"/>
          <w:szCs w:val="18"/>
        </w:rPr>
        <w:t>月  日</w:t>
      </w:r>
    </w:p>
    <w:p>
      <w:pPr>
        <w:keepNext w:val="0"/>
        <w:keepLines w:val="0"/>
        <w:pageBreakBefore w:val="0"/>
        <w:widowControl w:val="0"/>
        <w:tabs>
          <w:tab w:val="left" w:pos="5430"/>
        </w:tabs>
        <w:kinsoku/>
        <w:wordWrap/>
        <w:overflowPunct/>
        <w:topLinePunct w:val="0"/>
        <w:autoSpaceDE/>
        <w:autoSpaceDN/>
        <w:bidi w:val="0"/>
        <w:adjustRightInd/>
        <w:snapToGrid w:val="0"/>
        <w:spacing w:line="260" w:lineRule="exact"/>
        <w:ind w:left="1626" w:leftChars="0" w:hanging="1626" w:hangingChars="900"/>
        <w:textAlignment w:val="auto"/>
        <w:rPr>
          <w:rFonts w:ascii="宋体" w:hAnsi="宋体" w:cs="宋体"/>
          <w:sz w:val="18"/>
          <w:szCs w:val="18"/>
        </w:rPr>
      </w:pPr>
      <w:r>
        <w:rPr>
          <w:rFonts w:hint="eastAsia" w:ascii="宋体" w:hAnsi="宋体"/>
          <w:b/>
          <w:sz w:val="18"/>
          <w:szCs w:val="18"/>
        </w:rPr>
        <w:t>说明</w:t>
      </w:r>
      <w:r>
        <w:rPr>
          <w:rFonts w:hint="eastAsia" w:ascii="宋体" w:hAnsi="宋体" w:cs="宋体"/>
          <w:sz w:val="18"/>
          <w:szCs w:val="18"/>
        </w:rPr>
        <w:t>：</w:t>
      </w:r>
      <w:r>
        <w:rPr>
          <w:rFonts w:ascii="宋体" w:hAnsi="宋体"/>
          <w:spacing w:val="-4"/>
          <w:sz w:val="18"/>
          <w:szCs w:val="18"/>
        </w:rPr>
        <w:t>1</w:t>
      </w:r>
      <w:r>
        <w:rPr>
          <w:rFonts w:hint="eastAsia" w:ascii="宋体" w:hAnsi="宋体"/>
          <w:sz w:val="18"/>
          <w:szCs w:val="18"/>
        </w:rPr>
        <w:t>.</w:t>
      </w:r>
      <w:r>
        <w:rPr>
          <w:rFonts w:hint="eastAsia" w:ascii="宋体" w:hAnsi="宋体"/>
          <w:sz w:val="18"/>
        </w:rPr>
        <w:t>报送单位：辖区内有能源加工转换或回收利用活动的规模以上工业法人单位</w:t>
      </w:r>
      <w:r>
        <w:rPr>
          <w:rFonts w:hint="eastAsia" w:ascii="宋体"/>
          <w:sz w:val="18"/>
        </w:rPr>
        <w:t>和规模以上</w:t>
      </w:r>
      <w:r>
        <w:rPr>
          <w:rFonts w:hint="eastAsia" w:ascii="宋体"/>
          <w:sz w:val="18"/>
          <w:lang w:eastAsia="zh-CN"/>
        </w:rPr>
        <w:t>工业</w:t>
      </w:r>
      <w:r>
        <w:rPr>
          <w:rFonts w:hint="eastAsia" w:ascii="宋体"/>
          <w:sz w:val="18"/>
        </w:rPr>
        <w:t>个体经营户</w:t>
      </w:r>
      <w:r>
        <w:rPr>
          <w:rFonts w:hint="eastAsia" w:ascii="宋体" w:hAnsi="宋体"/>
          <w:sz w:val="18"/>
        </w:rPr>
        <w:t>，报送日期及方式同205</w:t>
      </w:r>
      <w:r>
        <w:rPr>
          <w:rFonts w:hint="eastAsia" w:ascii="宋体" w:hAnsi="宋体"/>
          <w:bCs/>
          <w:spacing w:val="-4"/>
          <w:sz w:val="18"/>
        </w:rPr>
        <w:t>－1</w:t>
      </w:r>
      <w:r>
        <w:rPr>
          <w:rFonts w:hint="eastAsia" w:ascii="宋体" w:hAnsi="宋体"/>
          <w:sz w:val="18"/>
        </w:rPr>
        <w:t>表</w:t>
      </w:r>
      <w:r>
        <w:rPr>
          <w:rFonts w:ascii="宋体" w:hAnsi="宋体"/>
          <w:sz w:val="18"/>
        </w:rPr>
        <w:t>。</w:t>
      </w:r>
    </w:p>
    <w:p>
      <w:pPr>
        <w:snapToGrid w:val="0"/>
        <w:spacing w:line="260" w:lineRule="exact"/>
        <w:ind w:left="525" w:leftChars="250"/>
        <w:rPr>
          <w:rFonts w:ascii="宋体" w:hAnsi="宋体"/>
          <w:sz w:val="18"/>
        </w:rPr>
      </w:pPr>
      <w:r>
        <w:rPr>
          <w:rFonts w:hint="eastAsia" w:ascii="宋体" w:hAnsi="宋体"/>
          <w:sz w:val="18"/>
        </w:rPr>
        <w:t>2</w:t>
      </w:r>
      <w:r>
        <w:rPr>
          <w:rFonts w:hint="eastAsia" w:ascii="宋体" w:hAnsi="宋体"/>
          <w:sz w:val="18"/>
          <w:szCs w:val="18"/>
        </w:rPr>
        <w:t>.</w:t>
      </w:r>
      <w:r>
        <w:rPr>
          <w:rFonts w:ascii="宋体" w:hAnsi="宋体"/>
          <w:sz w:val="18"/>
        </w:rPr>
        <w:t>计算“能源加工转换产出”“回收利用”指标使用的折</w:t>
      </w:r>
      <w:r>
        <w:rPr>
          <w:rFonts w:hint="eastAsia" w:ascii="宋体" w:hAnsi="宋体"/>
          <w:sz w:val="18"/>
        </w:rPr>
        <w:t>标</w:t>
      </w:r>
      <w:r>
        <w:rPr>
          <w:rFonts w:ascii="宋体" w:hAnsi="宋体"/>
          <w:sz w:val="18"/>
        </w:rPr>
        <w:t>系数同</w:t>
      </w:r>
      <w:r>
        <w:rPr>
          <w:rFonts w:hint="eastAsia" w:ascii="宋体" w:hAnsi="宋体"/>
          <w:sz w:val="18"/>
        </w:rPr>
        <w:t>205</w:t>
      </w:r>
      <w:r>
        <w:rPr>
          <w:rFonts w:hint="eastAsia" w:ascii="宋体" w:hAnsi="宋体"/>
          <w:bCs/>
          <w:spacing w:val="-4"/>
          <w:sz w:val="18"/>
        </w:rPr>
        <w:t>－1</w:t>
      </w:r>
      <w:r>
        <w:rPr>
          <w:rFonts w:ascii="宋体" w:hAnsi="宋体"/>
          <w:sz w:val="18"/>
        </w:rPr>
        <w:t>表</w:t>
      </w:r>
      <w:r>
        <w:rPr>
          <w:rFonts w:hint="eastAsia" w:ascii="宋体" w:hAnsi="宋体"/>
          <w:sz w:val="18"/>
        </w:rPr>
        <w:t>。</w:t>
      </w:r>
    </w:p>
    <w:p>
      <w:pPr>
        <w:snapToGrid w:val="0"/>
        <w:spacing w:line="260" w:lineRule="exact"/>
        <w:ind w:left="525" w:leftChars="250"/>
        <w:rPr>
          <w:rFonts w:ascii="宋体" w:hAnsi="宋体" w:cs="宋体"/>
          <w:kern w:val="0"/>
          <w:sz w:val="18"/>
          <w:szCs w:val="18"/>
        </w:rPr>
      </w:pPr>
      <w:r>
        <w:rPr>
          <w:rFonts w:hint="eastAsia" w:ascii="宋体" w:hAnsi="宋体"/>
          <w:sz w:val="18"/>
        </w:rPr>
        <w:t>3.</w:t>
      </w:r>
      <w:r>
        <w:rPr>
          <w:rFonts w:hint="eastAsia" w:ascii="宋体" w:hAnsi="宋体" w:cs="宋体"/>
          <w:kern w:val="0"/>
          <w:sz w:val="18"/>
          <w:szCs w:val="18"/>
        </w:rPr>
        <w:t>本表甲栏下按</w:t>
      </w:r>
      <w:r>
        <w:rPr>
          <w:bCs/>
          <w:sz w:val="18"/>
          <w:szCs w:val="18"/>
        </w:rPr>
        <w:t>《</w:t>
      </w:r>
      <w:r>
        <w:rPr>
          <w:rFonts w:hint="eastAsia"/>
          <w:bCs/>
          <w:sz w:val="18"/>
          <w:szCs w:val="18"/>
        </w:rPr>
        <w:t>能源购进、消费与库存和能源加工转换与回收利用目录</w:t>
      </w:r>
      <w:r>
        <w:rPr>
          <w:bCs/>
          <w:spacing w:val="8"/>
          <w:sz w:val="18"/>
          <w:szCs w:val="18"/>
        </w:rPr>
        <w:t>》</w:t>
      </w:r>
      <w:r>
        <w:rPr>
          <w:rFonts w:hint="eastAsia" w:ascii="宋体" w:hAnsi="宋体" w:cs="宋体"/>
          <w:kern w:val="0"/>
          <w:sz w:val="18"/>
          <w:szCs w:val="18"/>
        </w:rPr>
        <w:t>目录填报。</w:t>
      </w:r>
    </w:p>
    <w:p>
      <w:pPr>
        <w:snapToGrid w:val="0"/>
        <w:spacing w:line="260" w:lineRule="exact"/>
        <w:ind w:left="525" w:leftChars="250"/>
        <w:rPr>
          <w:rFonts w:ascii="宋体" w:hAnsi="宋体"/>
          <w:sz w:val="18"/>
        </w:rPr>
      </w:pPr>
      <w:r>
        <w:rPr>
          <w:rFonts w:hint="eastAsia" w:ascii="宋体" w:hAnsi="宋体"/>
          <w:sz w:val="18"/>
          <w:szCs w:val="18"/>
        </w:rPr>
        <w:t>4.</w:t>
      </w:r>
      <w:r>
        <w:rPr>
          <w:rFonts w:ascii="宋体" w:hAnsi="宋体"/>
          <w:sz w:val="18"/>
        </w:rPr>
        <w:t>主要逻辑审核关系：</w:t>
      </w:r>
    </w:p>
    <w:p>
      <w:pPr>
        <w:snapToGrid w:val="0"/>
        <w:spacing w:line="260" w:lineRule="exact"/>
        <w:ind w:left="735" w:leftChars="350"/>
        <w:rPr>
          <w:rFonts w:ascii="宋体" w:hAnsi="宋体"/>
          <w:sz w:val="18"/>
          <w:szCs w:val="18"/>
        </w:rPr>
      </w:pPr>
      <w:r>
        <w:rPr>
          <w:rFonts w:hint="eastAsia" w:ascii="宋体" w:hAnsi="宋体"/>
          <w:sz w:val="18"/>
          <w:szCs w:val="18"/>
        </w:rPr>
        <w:t>(1)工业生产消费量与205-1</w:t>
      </w:r>
      <w:r>
        <w:rPr>
          <w:rFonts w:ascii="宋体" w:hAnsi="宋体"/>
          <w:sz w:val="18"/>
          <w:szCs w:val="18"/>
        </w:rPr>
        <w:t>表的工业生产消费量数</w:t>
      </w:r>
      <w:r>
        <w:rPr>
          <w:rFonts w:hint="eastAsia" w:ascii="宋体" w:hAnsi="宋体"/>
          <w:sz w:val="18"/>
          <w:szCs w:val="18"/>
        </w:rPr>
        <w:t>值</w:t>
      </w:r>
      <w:r>
        <w:rPr>
          <w:rFonts w:ascii="宋体" w:hAnsi="宋体"/>
          <w:sz w:val="18"/>
          <w:szCs w:val="18"/>
        </w:rPr>
        <w:t>一致</w:t>
      </w:r>
    </w:p>
    <w:p>
      <w:pPr>
        <w:snapToGrid w:val="0"/>
        <w:spacing w:line="260" w:lineRule="exact"/>
        <w:ind w:left="1005" w:leftChars="350" w:hanging="270" w:hangingChars="150"/>
        <w:rPr>
          <w:rFonts w:ascii="宋体" w:hAnsi="宋体"/>
          <w:sz w:val="18"/>
          <w:szCs w:val="18"/>
        </w:rPr>
      </w:pPr>
      <w:r>
        <w:rPr>
          <w:rFonts w:hint="eastAsia" w:ascii="宋体" w:hAnsi="宋体"/>
          <w:sz w:val="18"/>
          <w:szCs w:val="18"/>
        </w:rPr>
        <w:t>(2)</w:t>
      </w:r>
      <w:r>
        <w:rPr>
          <w:rFonts w:ascii="宋体" w:hAnsi="宋体"/>
          <w:sz w:val="18"/>
          <w:szCs w:val="18"/>
        </w:rPr>
        <w:t>加工转换投入合计=</w:t>
      </w:r>
      <w:r>
        <w:rPr>
          <w:rFonts w:hint="eastAsia" w:ascii="宋体" w:hAnsi="宋体"/>
          <w:sz w:val="18"/>
          <w:szCs w:val="18"/>
        </w:rPr>
        <w:t>火力发电</w:t>
      </w:r>
      <w:r>
        <w:rPr>
          <w:rFonts w:hint="eastAsia" w:ascii="宋体" w:hAnsi="宋体" w:cs="宋体"/>
          <w:kern w:val="0"/>
          <w:sz w:val="18"/>
          <w:szCs w:val="18"/>
        </w:rPr>
        <w:t>投入</w:t>
      </w:r>
      <w:r>
        <w:rPr>
          <w:rFonts w:ascii="宋体" w:hAnsi="宋体"/>
          <w:sz w:val="18"/>
          <w:szCs w:val="18"/>
        </w:rPr>
        <w:t>+供热投入+原煤入洗投入+炼焦投入+炼油</w:t>
      </w:r>
      <w:r>
        <w:rPr>
          <w:rFonts w:hint="eastAsia" w:ascii="宋体" w:hAnsi="宋体"/>
          <w:sz w:val="18"/>
          <w:szCs w:val="18"/>
        </w:rPr>
        <w:t>及煤制油</w:t>
      </w:r>
      <w:r>
        <w:rPr>
          <w:rFonts w:ascii="宋体" w:hAnsi="宋体"/>
          <w:sz w:val="18"/>
          <w:szCs w:val="18"/>
        </w:rPr>
        <w:t>投入+制气投入+</w:t>
      </w:r>
      <w:r>
        <w:rPr>
          <w:rFonts w:hint="eastAsia" w:ascii="宋体" w:hAnsi="宋体"/>
          <w:sz w:val="18"/>
          <w:szCs w:val="18"/>
        </w:rPr>
        <w:t>天然气</w:t>
      </w:r>
      <w:r>
        <w:rPr>
          <w:rFonts w:ascii="宋体" w:hAnsi="宋体"/>
          <w:sz w:val="18"/>
          <w:szCs w:val="18"/>
        </w:rPr>
        <w:t>液化</w:t>
      </w:r>
      <w:r>
        <w:rPr>
          <w:rFonts w:hint="eastAsia" w:ascii="宋体" w:hAnsi="宋体"/>
          <w:sz w:val="18"/>
          <w:szCs w:val="18"/>
        </w:rPr>
        <w:t>投</w:t>
      </w:r>
      <w:r>
        <w:rPr>
          <w:rFonts w:ascii="宋体" w:hAnsi="宋体"/>
          <w:sz w:val="18"/>
          <w:szCs w:val="18"/>
        </w:rPr>
        <w:t>入+</w:t>
      </w:r>
      <w:r>
        <w:rPr>
          <w:sz w:val="18"/>
          <w:szCs w:val="18"/>
        </w:rPr>
        <w:t>煤制品</w:t>
      </w:r>
      <w:r>
        <w:rPr>
          <w:rFonts w:ascii="宋体" w:hAnsi="宋体"/>
          <w:sz w:val="18"/>
          <w:szCs w:val="18"/>
        </w:rPr>
        <w:t>加工投入</w:t>
      </w:r>
    </w:p>
    <w:p>
      <w:pPr>
        <w:adjustRightInd w:val="0"/>
        <w:ind w:right="-38"/>
        <w:rPr>
          <w:spacing w:val="-10"/>
          <w:sz w:val="18"/>
          <w:szCs w:val="18"/>
        </w:rPr>
      </w:pPr>
    </w:p>
    <w:p>
      <w:pPr>
        <w:adjustRightInd w:val="0"/>
        <w:ind w:left="504" w:leftChars="164" w:right="-38" w:hanging="160" w:hangingChars="100"/>
        <w:rPr>
          <w:spacing w:val="-10"/>
          <w:sz w:val="18"/>
          <w:szCs w:val="18"/>
        </w:rPr>
      </w:pPr>
    </w:p>
    <w:p>
      <w:pPr>
        <w:pStyle w:val="2"/>
        <w:rPr>
          <w:b/>
        </w:rPr>
      </w:pPr>
      <w:r>
        <w:rPr>
          <w:rFonts w:hint="eastAsia"/>
          <w:b/>
        </w:rPr>
        <w:t>主要耗能工业企业单位产品能源消费情况</w:t>
      </w:r>
    </w:p>
    <w:tbl>
      <w:tblPr>
        <w:tblStyle w:val="21"/>
        <w:tblW w:w="0" w:type="auto"/>
        <w:jc w:val="center"/>
        <w:tblLayout w:type="fixed"/>
        <w:tblCellMar>
          <w:top w:w="0" w:type="dxa"/>
          <w:left w:w="0" w:type="dxa"/>
          <w:bottom w:w="0" w:type="dxa"/>
          <w:right w:w="0" w:type="dxa"/>
        </w:tblCellMar>
      </w:tblPr>
      <w:tblGrid>
        <w:gridCol w:w="3209"/>
        <w:gridCol w:w="790"/>
        <w:gridCol w:w="2865"/>
        <w:gridCol w:w="945"/>
        <w:gridCol w:w="1653"/>
      </w:tblGrid>
      <w:tr>
        <w:tblPrEx>
          <w:tblCellMar>
            <w:top w:w="0" w:type="dxa"/>
            <w:left w:w="0" w:type="dxa"/>
            <w:bottom w:w="0" w:type="dxa"/>
            <w:right w:w="0" w:type="dxa"/>
          </w:tblCellMar>
        </w:tblPrEx>
        <w:trPr>
          <w:jc w:val="center"/>
        </w:trPr>
        <w:tc>
          <w:tcPr>
            <w:tcW w:w="3209" w:type="dxa"/>
            <w:noWrap/>
          </w:tcPr>
          <w:p>
            <w:pPr>
              <w:spacing w:line="260" w:lineRule="exact"/>
              <w:rPr>
                <w:rFonts w:ascii="宋体" w:hAnsi="宋体"/>
                <w:sz w:val="18"/>
                <w:szCs w:val="18"/>
              </w:rPr>
            </w:pPr>
          </w:p>
        </w:tc>
        <w:tc>
          <w:tcPr>
            <w:tcW w:w="790" w:type="dxa"/>
            <w:noWrap/>
          </w:tcPr>
          <w:p>
            <w:pPr>
              <w:spacing w:line="260" w:lineRule="exact"/>
              <w:rPr>
                <w:rFonts w:ascii="宋体" w:hAnsi="宋体"/>
                <w:sz w:val="18"/>
                <w:szCs w:val="18"/>
              </w:rPr>
            </w:pPr>
          </w:p>
        </w:tc>
        <w:tc>
          <w:tcPr>
            <w:tcW w:w="2865" w:type="dxa"/>
            <w:noWrap/>
          </w:tcPr>
          <w:p>
            <w:pPr>
              <w:spacing w:line="260" w:lineRule="exact"/>
              <w:rPr>
                <w:rFonts w:ascii="宋体" w:hAnsi="宋体"/>
                <w:sz w:val="18"/>
                <w:szCs w:val="18"/>
              </w:rPr>
            </w:pPr>
          </w:p>
        </w:tc>
        <w:tc>
          <w:tcPr>
            <w:tcW w:w="945" w:type="dxa"/>
            <w:noWrap/>
            <w:tcMar>
              <w:left w:w="0" w:type="dxa"/>
              <w:right w:w="0" w:type="dxa"/>
            </w:tcMar>
          </w:tcPr>
          <w:p>
            <w:pPr>
              <w:spacing w:line="260" w:lineRule="exact"/>
              <w:rPr>
                <w:rFonts w:ascii="宋体" w:hAnsi="宋体"/>
                <w:sz w:val="18"/>
                <w:szCs w:val="18"/>
              </w:rPr>
            </w:pPr>
            <w:r>
              <w:rPr>
                <w:rFonts w:hint="eastAsia" w:ascii="宋体" w:hAnsi="宋体"/>
                <w:sz w:val="18"/>
                <w:szCs w:val="18"/>
              </w:rPr>
              <w:t>表    号：</w:t>
            </w:r>
          </w:p>
        </w:tc>
        <w:tc>
          <w:tcPr>
            <w:tcW w:w="1653" w:type="dxa"/>
            <w:noWrap/>
            <w:vAlign w:val="center"/>
          </w:tcPr>
          <w:p>
            <w:pPr>
              <w:spacing w:line="260" w:lineRule="exact"/>
              <w:jc w:val="distribute"/>
              <w:rPr>
                <w:rFonts w:ascii="宋体" w:hAnsi="宋体"/>
                <w:sz w:val="18"/>
                <w:szCs w:val="18"/>
              </w:rPr>
            </w:pPr>
            <w:r>
              <w:rPr>
                <w:rFonts w:hint="eastAsia" w:ascii="宋体" w:hAnsi="宋体"/>
                <w:sz w:val="18"/>
                <w:szCs w:val="18"/>
              </w:rPr>
              <w:t>２０５－３</w:t>
            </w:r>
            <w:r>
              <w:rPr>
                <w:rFonts w:ascii="宋体" w:hAnsi="宋体"/>
                <w:sz w:val="18"/>
                <w:szCs w:val="18"/>
              </w:rPr>
              <w:t>表</w:t>
            </w:r>
          </w:p>
        </w:tc>
      </w:tr>
      <w:tr>
        <w:tblPrEx>
          <w:tblCellMar>
            <w:top w:w="0" w:type="dxa"/>
            <w:left w:w="0" w:type="dxa"/>
            <w:bottom w:w="0" w:type="dxa"/>
            <w:right w:w="0" w:type="dxa"/>
          </w:tblCellMar>
        </w:tblPrEx>
        <w:trPr>
          <w:jc w:val="center"/>
        </w:trPr>
        <w:tc>
          <w:tcPr>
            <w:tcW w:w="6864" w:type="dxa"/>
            <w:gridSpan w:val="3"/>
            <w:noWrap/>
          </w:tcPr>
          <w:p>
            <w:pPr>
              <w:spacing w:line="260" w:lineRule="exact"/>
              <w:rPr>
                <w:rFonts w:ascii="宋体" w:hAnsi="宋体"/>
                <w:sz w:val="18"/>
                <w:szCs w:val="18"/>
              </w:rPr>
            </w:pPr>
            <w:r>
              <w:rPr>
                <w:sz w:val="18"/>
              </w:rPr>
              <w:t>统一社会信用代</w:t>
            </w:r>
            <w:r>
              <w:rPr>
                <w:rFonts w:ascii="宋体" w:hAnsi="宋体"/>
                <w:sz w:val="18"/>
              </w:rPr>
              <w:t>码□□□□□□□□□□□□□□□□□□</w:t>
            </w:r>
          </w:p>
        </w:tc>
        <w:tc>
          <w:tcPr>
            <w:tcW w:w="945" w:type="dxa"/>
            <w:noWrap/>
            <w:tcMar>
              <w:left w:w="0" w:type="dxa"/>
              <w:right w:w="0" w:type="dxa"/>
            </w:tcMar>
            <w:vAlign w:val="center"/>
          </w:tcPr>
          <w:p>
            <w:pPr>
              <w:spacing w:line="260" w:lineRule="exact"/>
              <w:rPr>
                <w:rFonts w:ascii="宋体" w:hAnsi="宋体"/>
                <w:sz w:val="18"/>
                <w:szCs w:val="18"/>
              </w:rPr>
            </w:pPr>
            <w:r>
              <w:rPr>
                <w:rFonts w:hint="eastAsia" w:ascii="宋体" w:hAnsi="宋体"/>
                <w:sz w:val="18"/>
                <w:szCs w:val="18"/>
              </w:rPr>
              <w:t>制定机关：</w:t>
            </w:r>
          </w:p>
        </w:tc>
        <w:tc>
          <w:tcPr>
            <w:tcW w:w="1653" w:type="dxa"/>
            <w:noWrap/>
            <w:vAlign w:val="center"/>
          </w:tcPr>
          <w:p>
            <w:pPr>
              <w:spacing w:line="260" w:lineRule="exact"/>
              <w:jc w:val="distribute"/>
              <w:rPr>
                <w:rFonts w:ascii="宋体" w:hAnsi="宋体"/>
                <w:sz w:val="18"/>
                <w:szCs w:val="18"/>
              </w:rPr>
            </w:pPr>
            <w:r>
              <w:rPr>
                <w:rFonts w:hint="eastAsia" w:ascii="宋体" w:hAnsi="宋体"/>
                <w:sz w:val="18"/>
                <w:szCs w:val="18"/>
              </w:rPr>
              <w:t>国 家 统 计 局</w:t>
            </w:r>
          </w:p>
        </w:tc>
      </w:tr>
      <w:tr>
        <w:tblPrEx>
          <w:tblCellMar>
            <w:top w:w="0" w:type="dxa"/>
            <w:left w:w="0" w:type="dxa"/>
            <w:bottom w:w="0" w:type="dxa"/>
            <w:right w:w="0" w:type="dxa"/>
          </w:tblCellMar>
        </w:tblPrEx>
        <w:trPr>
          <w:jc w:val="center"/>
        </w:trPr>
        <w:tc>
          <w:tcPr>
            <w:tcW w:w="6864" w:type="dxa"/>
            <w:gridSpan w:val="3"/>
            <w:noWrap/>
          </w:tcPr>
          <w:p>
            <w:pPr>
              <w:spacing w:line="260" w:lineRule="exact"/>
              <w:rPr>
                <w:rFonts w:ascii="宋体" w:hAnsi="宋体"/>
                <w:sz w:val="18"/>
                <w:szCs w:val="18"/>
              </w:rPr>
            </w:pPr>
          </w:p>
        </w:tc>
        <w:tc>
          <w:tcPr>
            <w:tcW w:w="945" w:type="dxa"/>
            <w:noWrap/>
            <w:tcMar>
              <w:left w:w="0" w:type="dxa"/>
              <w:right w:w="0" w:type="dxa"/>
            </w:tcMar>
            <w:vAlign w:val="center"/>
          </w:tcPr>
          <w:p>
            <w:pPr>
              <w:spacing w:line="260" w:lineRule="exact"/>
              <w:rPr>
                <w:rFonts w:ascii="宋体" w:hAnsi="宋体"/>
                <w:sz w:val="18"/>
                <w:szCs w:val="18"/>
              </w:rPr>
            </w:pPr>
            <w:r>
              <w:rPr>
                <w:rFonts w:hint="eastAsia" w:ascii="宋体" w:hAnsi="宋体"/>
                <w:sz w:val="18"/>
                <w:szCs w:val="18"/>
              </w:rPr>
              <w:t>文    号：</w:t>
            </w:r>
          </w:p>
        </w:tc>
        <w:tc>
          <w:tcPr>
            <w:tcW w:w="1653" w:type="dxa"/>
            <w:noWrap/>
            <w:vAlign w:val="center"/>
          </w:tcPr>
          <w:p>
            <w:pPr>
              <w:spacing w:line="260" w:lineRule="exact"/>
              <w:jc w:val="distribute"/>
              <w:rPr>
                <w:rFonts w:ascii="宋体" w:hAnsi="宋体"/>
                <w:color w:val="auto"/>
                <w:sz w:val="18"/>
                <w:szCs w:val="18"/>
              </w:rPr>
            </w:pPr>
            <w:r>
              <w:rPr>
                <w:rFonts w:hint="eastAsia" w:ascii="宋体" w:hAnsi="宋体"/>
                <w:color w:val="auto"/>
                <w:sz w:val="18"/>
                <w:szCs w:val="18"/>
              </w:rPr>
              <w:t>国统字〔202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color w:val="auto"/>
                <w:sz w:val="18"/>
                <w:szCs w:val="18"/>
              </w:rPr>
              <w:t>号</w:t>
            </w:r>
          </w:p>
        </w:tc>
      </w:tr>
      <w:tr>
        <w:tblPrEx>
          <w:tblCellMar>
            <w:top w:w="0" w:type="dxa"/>
            <w:left w:w="0" w:type="dxa"/>
            <w:bottom w:w="0" w:type="dxa"/>
            <w:right w:w="0" w:type="dxa"/>
          </w:tblCellMar>
        </w:tblPrEx>
        <w:trPr>
          <w:jc w:val="center"/>
        </w:trPr>
        <w:tc>
          <w:tcPr>
            <w:tcW w:w="3209" w:type="dxa"/>
            <w:noWrap/>
          </w:tcPr>
          <w:p>
            <w:pPr>
              <w:spacing w:line="260" w:lineRule="exact"/>
              <w:rPr>
                <w:rFonts w:ascii="宋体" w:hAnsi="宋体"/>
                <w:sz w:val="18"/>
                <w:szCs w:val="18"/>
              </w:rPr>
            </w:pPr>
            <w:r>
              <w:rPr>
                <w:rFonts w:hint="eastAsia" w:ascii="宋体"/>
                <w:sz w:val="18"/>
              </w:rPr>
              <w:t>单位详细名称：</w:t>
            </w:r>
          </w:p>
        </w:tc>
        <w:tc>
          <w:tcPr>
            <w:tcW w:w="790" w:type="dxa"/>
            <w:noWrap/>
          </w:tcPr>
          <w:p>
            <w:pPr>
              <w:spacing w:line="260" w:lineRule="exact"/>
              <w:rPr>
                <w:rFonts w:ascii="宋体" w:hAnsi="宋体"/>
                <w:sz w:val="18"/>
                <w:szCs w:val="18"/>
              </w:rPr>
            </w:pPr>
          </w:p>
        </w:tc>
        <w:tc>
          <w:tcPr>
            <w:tcW w:w="2865" w:type="dxa"/>
            <w:noWrap/>
          </w:tcPr>
          <w:p>
            <w:pPr>
              <w:spacing w:line="260" w:lineRule="exact"/>
              <w:rPr>
                <w:rFonts w:ascii="宋体" w:hAnsi="宋体"/>
                <w:sz w:val="18"/>
                <w:szCs w:val="18"/>
              </w:rPr>
            </w:pPr>
            <w:r>
              <w:rPr>
                <w:rFonts w:hint="eastAsia" w:ascii="宋体" w:hAnsi="宋体"/>
                <w:sz w:val="18"/>
                <w:szCs w:val="18"/>
              </w:rPr>
              <w:t>２０　　年 １－　　　月</w:t>
            </w:r>
          </w:p>
        </w:tc>
        <w:tc>
          <w:tcPr>
            <w:tcW w:w="945" w:type="dxa"/>
            <w:noWrap/>
            <w:tcMar>
              <w:left w:w="0" w:type="dxa"/>
              <w:right w:w="0" w:type="dxa"/>
            </w:tcMar>
            <w:vAlign w:val="center"/>
          </w:tcPr>
          <w:p>
            <w:pPr>
              <w:spacing w:line="260" w:lineRule="exact"/>
              <w:rPr>
                <w:rFonts w:ascii="宋体" w:hAnsi="宋体"/>
                <w:sz w:val="18"/>
                <w:szCs w:val="18"/>
              </w:rPr>
            </w:pPr>
            <w:r>
              <w:rPr>
                <w:rFonts w:hint="eastAsia" w:ascii="宋体" w:hAnsi="宋体"/>
                <w:sz w:val="18"/>
                <w:szCs w:val="18"/>
              </w:rPr>
              <w:t>有效期至：</w:t>
            </w:r>
          </w:p>
        </w:tc>
        <w:tc>
          <w:tcPr>
            <w:tcW w:w="1653" w:type="dxa"/>
            <w:noWrap/>
            <w:vAlign w:val="center"/>
          </w:tcPr>
          <w:p>
            <w:pPr>
              <w:spacing w:line="260" w:lineRule="exact"/>
              <w:jc w:val="distribute"/>
              <w:rPr>
                <w:rFonts w:ascii="宋体" w:hAnsi="宋体"/>
                <w:color w:val="auto"/>
                <w:sz w:val="18"/>
                <w:szCs w:val="18"/>
              </w:rPr>
            </w:pPr>
            <w:r>
              <w:rPr>
                <w:color w:val="auto"/>
                <w:sz w:val="18"/>
                <w:szCs w:val="18"/>
              </w:rPr>
              <w:t>２０２</w:t>
            </w:r>
            <w:r>
              <w:rPr>
                <w:rFonts w:hint="eastAsia" w:ascii="宋体" w:hAnsi="宋体" w:cs="宋体"/>
                <w:color w:val="auto"/>
                <w:sz w:val="18"/>
                <w:szCs w:val="18"/>
                <w:lang w:val="en-US" w:eastAsia="zh-CN"/>
              </w:rPr>
              <w:t>7</w:t>
            </w:r>
            <w:r>
              <w:rPr>
                <w:color w:val="auto"/>
                <w:sz w:val="18"/>
                <w:szCs w:val="18"/>
              </w:rPr>
              <w:t>年１月</w:t>
            </w:r>
          </w:p>
        </w:tc>
      </w:tr>
    </w:tbl>
    <w:p>
      <w:pPr>
        <w:spacing w:line="20" w:lineRule="exact"/>
        <w:rPr>
          <w:rFonts w:ascii="宋体" w:hAnsi="宋体"/>
          <w:sz w:val="18"/>
          <w:szCs w:val="18"/>
        </w:rPr>
      </w:pPr>
    </w:p>
    <w:tbl>
      <w:tblPr>
        <w:tblStyle w:val="21"/>
        <w:tblW w:w="0" w:type="auto"/>
        <w:jc w:val="center"/>
        <w:tblLayout w:type="fixed"/>
        <w:tblCellMar>
          <w:top w:w="0" w:type="dxa"/>
          <w:left w:w="0" w:type="dxa"/>
          <w:bottom w:w="0" w:type="dxa"/>
          <w:right w:w="0" w:type="dxa"/>
        </w:tblCellMar>
      </w:tblPr>
      <w:tblGrid>
        <w:gridCol w:w="969"/>
        <w:gridCol w:w="691"/>
        <w:gridCol w:w="692"/>
        <w:gridCol w:w="692"/>
        <w:gridCol w:w="640"/>
        <w:gridCol w:w="798"/>
        <w:gridCol w:w="829"/>
        <w:gridCol w:w="830"/>
        <w:gridCol w:w="830"/>
        <w:gridCol w:w="830"/>
        <w:gridCol w:w="830"/>
        <w:gridCol w:w="830"/>
      </w:tblGrid>
      <w:tr>
        <w:tblPrEx>
          <w:tblCellMar>
            <w:top w:w="0" w:type="dxa"/>
            <w:left w:w="0" w:type="dxa"/>
            <w:bottom w:w="0" w:type="dxa"/>
            <w:right w:w="0" w:type="dxa"/>
          </w:tblCellMar>
        </w:tblPrEx>
        <w:trPr>
          <w:trHeight w:val="454" w:hRule="atLeast"/>
          <w:jc w:val="center"/>
        </w:trPr>
        <w:tc>
          <w:tcPr>
            <w:tcW w:w="969" w:type="dxa"/>
            <w:vMerge w:val="restart"/>
            <w:tcBorders>
              <w:top w:val="single" w:color="auto" w:sz="8" w:space="0"/>
              <w:bottom w:val="single" w:color="auto" w:sz="4" w:space="0"/>
              <w:right w:val="single" w:color="auto" w:sz="2" w:space="0"/>
            </w:tcBorders>
            <w:shd w:val="clear" w:color="auto" w:fill="auto"/>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hint="eastAsia" w:ascii="宋体" w:hAnsi="宋体"/>
                <w:bCs/>
                <w:sz w:val="18"/>
                <w:szCs w:val="18"/>
              </w:rPr>
              <w:t>单位产品   能耗名称</w:t>
            </w:r>
          </w:p>
        </w:tc>
        <w:tc>
          <w:tcPr>
            <w:tcW w:w="2075" w:type="dxa"/>
            <w:gridSpan w:val="3"/>
            <w:tcBorders>
              <w:top w:val="single" w:color="auto" w:sz="8" w:space="0"/>
              <w:left w:val="single" w:color="auto" w:sz="2" w:space="0"/>
              <w:bottom w:val="single" w:color="auto" w:sz="2" w:space="0"/>
              <w:right w:val="single" w:color="auto" w:sz="2" w:space="0"/>
            </w:tcBorders>
            <w:shd w:val="clear" w:color="auto" w:fill="auto"/>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ascii="宋体" w:hAnsi="宋体"/>
                <w:bCs/>
                <w:sz w:val="18"/>
                <w:szCs w:val="18"/>
              </w:rPr>
              <w:t>计</w:t>
            </w:r>
            <w:r>
              <w:rPr>
                <w:rFonts w:hint="eastAsia" w:ascii="宋体" w:hAnsi="宋体"/>
                <w:bCs/>
                <w:sz w:val="18"/>
                <w:szCs w:val="18"/>
              </w:rPr>
              <w:t>量</w:t>
            </w:r>
            <w:r>
              <w:rPr>
                <w:rFonts w:ascii="宋体" w:hAnsi="宋体"/>
                <w:bCs/>
                <w:sz w:val="18"/>
                <w:szCs w:val="18"/>
              </w:rPr>
              <w:t>单</w:t>
            </w:r>
            <w:r>
              <w:rPr>
                <w:rFonts w:hint="eastAsia" w:ascii="宋体" w:hAnsi="宋体"/>
                <w:bCs/>
                <w:sz w:val="18"/>
                <w:szCs w:val="18"/>
              </w:rPr>
              <w:t>位</w:t>
            </w:r>
          </w:p>
        </w:tc>
        <w:tc>
          <w:tcPr>
            <w:tcW w:w="640" w:type="dxa"/>
            <w:vMerge w:val="restart"/>
            <w:tcBorders>
              <w:top w:val="single" w:color="auto" w:sz="8" w:space="0"/>
              <w:left w:val="single" w:color="auto" w:sz="2" w:space="0"/>
              <w:right w:val="single" w:color="auto" w:sz="2" w:space="0"/>
            </w:tcBorders>
            <w:shd w:val="clear" w:color="auto" w:fill="auto"/>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hint="eastAsia" w:ascii="宋体" w:hAnsi="宋体"/>
                <w:bCs/>
                <w:sz w:val="18"/>
                <w:szCs w:val="18"/>
              </w:rPr>
              <w:t>代</w:t>
            </w:r>
            <w:r>
              <w:rPr>
                <w:rFonts w:ascii="宋体" w:hAnsi="宋体"/>
                <w:bCs/>
                <w:sz w:val="18"/>
                <w:szCs w:val="18"/>
              </w:rPr>
              <w:t>码</w:t>
            </w:r>
          </w:p>
        </w:tc>
        <w:tc>
          <w:tcPr>
            <w:tcW w:w="798" w:type="dxa"/>
            <w:vMerge w:val="restart"/>
            <w:tcBorders>
              <w:top w:val="single" w:color="auto" w:sz="8" w:space="0"/>
              <w:left w:val="single" w:color="auto" w:sz="2" w:space="0"/>
              <w:bottom w:val="single" w:color="000000" w:sz="4" w:space="0"/>
              <w:right w:val="single" w:color="auto" w:sz="2" w:space="0"/>
            </w:tcBorders>
            <w:shd w:val="clear" w:color="auto" w:fill="auto"/>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ascii="宋体" w:hAnsi="宋体"/>
                <w:bCs/>
                <w:sz w:val="18"/>
                <w:szCs w:val="18"/>
              </w:rPr>
              <w:t>单</w:t>
            </w:r>
            <w:r>
              <w:rPr>
                <w:rFonts w:hint="eastAsia" w:ascii="宋体" w:hAnsi="宋体"/>
                <w:bCs/>
                <w:sz w:val="18"/>
                <w:szCs w:val="18"/>
              </w:rPr>
              <w:t>位</w:t>
            </w:r>
            <w:r>
              <w:rPr>
                <w:rFonts w:ascii="宋体" w:hAnsi="宋体"/>
                <w:bCs/>
                <w:sz w:val="18"/>
                <w:szCs w:val="18"/>
              </w:rPr>
              <w:t>换</w:t>
            </w:r>
            <w:r>
              <w:rPr>
                <w:rFonts w:hint="eastAsia" w:ascii="宋体" w:hAnsi="宋体"/>
                <w:bCs/>
                <w:sz w:val="18"/>
                <w:szCs w:val="18"/>
              </w:rPr>
              <w:t xml:space="preserve">算　　　系    </w:t>
            </w:r>
            <w:r>
              <w:rPr>
                <w:rFonts w:ascii="宋体" w:hAnsi="宋体"/>
                <w:bCs/>
                <w:sz w:val="18"/>
                <w:szCs w:val="18"/>
              </w:rPr>
              <w:t>数</w:t>
            </w:r>
          </w:p>
        </w:tc>
        <w:tc>
          <w:tcPr>
            <w:tcW w:w="2489" w:type="dxa"/>
            <w:gridSpan w:val="3"/>
            <w:tcBorders>
              <w:top w:val="single" w:color="auto" w:sz="8" w:space="0"/>
              <w:left w:val="single" w:color="auto" w:sz="2" w:space="0"/>
              <w:bottom w:val="single" w:color="auto" w:sz="2" w:space="0"/>
              <w:right w:val="single" w:color="auto" w:sz="2" w:space="0"/>
            </w:tcBorders>
            <w:shd w:val="clear" w:color="auto" w:fill="auto"/>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hint="eastAsia" w:ascii="宋体" w:hAnsi="宋体"/>
                <w:bCs/>
                <w:sz w:val="18"/>
                <w:szCs w:val="18"/>
              </w:rPr>
              <w:t>本期</w:t>
            </w:r>
          </w:p>
        </w:tc>
        <w:tc>
          <w:tcPr>
            <w:tcW w:w="2490" w:type="dxa"/>
            <w:gridSpan w:val="3"/>
            <w:tcBorders>
              <w:top w:val="single" w:color="auto" w:sz="8" w:space="0"/>
              <w:left w:val="single" w:color="auto" w:sz="2" w:space="0"/>
              <w:bottom w:val="single" w:color="auto" w:sz="2" w:space="0"/>
            </w:tcBorders>
            <w:shd w:val="clear" w:color="auto" w:fill="D9D9D9"/>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hint="eastAsia" w:ascii="宋体" w:hAnsi="宋体"/>
                <w:bCs/>
                <w:sz w:val="18"/>
                <w:szCs w:val="18"/>
              </w:rPr>
              <w:t>上年同期</w:t>
            </w:r>
          </w:p>
        </w:tc>
      </w:tr>
      <w:tr>
        <w:tblPrEx>
          <w:tblCellMar>
            <w:top w:w="0" w:type="dxa"/>
            <w:left w:w="0" w:type="dxa"/>
            <w:bottom w:w="0" w:type="dxa"/>
            <w:right w:w="0" w:type="dxa"/>
          </w:tblCellMar>
        </w:tblPrEx>
        <w:trPr>
          <w:trHeight w:val="737" w:hRule="atLeast"/>
          <w:jc w:val="center"/>
        </w:trPr>
        <w:tc>
          <w:tcPr>
            <w:tcW w:w="969" w:type="dxa"/>
            <w:vMerge w:val="continue"/>
            <w:tcBorders>
              <w:top w:val="single" w:color="auto" w:sz="4" w:space="0"/>
              <w:bottom w:val="single" w:color="auto" w:sz="2" w:space="0"/>
              <w:right w:val="single" w:color="auto" w:sz="2" w:space="0"/>
            </w:tcBorders>
            <w:shd w:val="clear" w:color="auto" w:fill="auto"/>
            <w:noWrap/>
            <w:vAlign w:val="center"/>
          </w:tcPr>
          <w:p>
            <w:pPr>
              <w:spacing w:line="240" w:lineRule="exact"/>
              <w:jc w:val="center"/>
              <w:rPr>
                <w:rFonts w:ascii="宋体" w:hAnsi="宋体" w:cs="Arial Unicode MS"/>
                <w:bCs/>
                <w:sz w:val="18"/>
                <w:szCs w:val="18"/>
              </w:rPr>
            </w:pPr>
          </w:p>
        </w:tc>
        <w:tc>
          <w:tcPr>
            <w:tcW w:w="691" w:type="dxa"/>
            <w:tcBorders>
              <w:top w:val="single" w:color="auto" w:sz="2" w:space="0"/>
              <w:left w:val="single" w:color="auto" w:sz="2" w:space="0"/>
              <w:bottom w:val="single" w:color="auto" w:sz="2" w:space="0"/>
              <w:right w:val="single" w:color="auto" w:sz="2" w:space="0"/>
            </w:tcBorders>
            <w:shd w:val="clear" w:color="auto" w:fill="auto"/>
            <w:noWrap/>
            <w:vAlign w:val="center"/>
          </w:tcPr>
          <w:p>
            <w:pPr>
              <w:spacing w:line="240" w:lineRule="exact"/>
              <w:jc w:val="center"/>
              <w:rPr>
                <w:rFonts w:ascii="宋体" w:hAnsi="宋体" w:cs="Arial Unicode MS"/>
                <w:bCs/>
                <w:sz w:val="18"/>
                <w:szCs w:val="18"/>
              </w:rPr>
            </w:pPr>
            <w:r>
              <w:rPr>
                <w:rFonts w:hint="eastAsia" w:ascii="宋体" w:hAnsi="宋体"/>
                <w:bCs/>
                <w:sz w:val="18"/>
                <w:szCs w:val="18"/>
              </w:rPr>
              <w:t>指</w:t>
            </w:r>
            <w:r>
              <w:rPr>
                <w:rFonts w:ascii="宋体" w:hAnsi="宋体"/>
                <w:bCs/>
                <w:sz w:val="18"/>
                <w:szCs w:val="18"/>
              </w:rPr>
              <w:t>标单</w:t>
            </w:r>
            <w:r>
              <w:rPr>
                <w:rFonts w:hint="eastAsia" w:ascii="宋体" w:hAnsi="宋体"/>
                <w:bCs/>
                <w:sz w:val="18"/>
                <w:szCs w:val="18"/>
              </w:rPr>
              <w:t>位</w:t>
            </w:r>
          </w:p>
        </w:tc>
        <w:tc>
          <w:tcPr>
            <w:tcW w:w="692" w:type="dxa"/>
            <w:tcBorders>
              <w:top w:val="single" w:color="auto" w:sz="2" w:space="0"/>
              <w:left w:val="single" w:color="auto" w:sz="2" w:space="0"/>
              <w:bottom w:val="single" w:color="auto" w:sz="2" w:space="0"/>
              <w:right w:val="single" w:color="auto" w:sz="2" w:space="0"/>
            </w:tcBorders>
            <w:shd w:val="clear" w:color="auto" w:fill="auto"/>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hint="eastAsia" w:ascii="宋体" w:hAnsi="宋体"/>
                <w:bCs/>
                <w:sz w:val="18"/>
                <w:szCs w:val="18"/>
              </w:rPr>
              <w:t>子</w:t>
            </w:r>
            <w:r>
              <w:rPr>
                <w:rFonts w:ascii="宋体" w:hAnsi="宋体"/>
                <w:bCs/>
                <w:sz w:val="18"/>
                <w:szCs w:val="18"/>
              </w:rPr>
              <w:t>项单</w:t>
            </w:r>
            <w:r>
              <w:rPr>
                <w:rFonts w:hint="eastAsia" w:ascii="宋体" w:hAnsi="宋体"/>
                <w:bCs/>
                <w:sz w:val="18"/>
                <w:szCs w:val="18"/>
              </w:rPr>
              <w:t>位</w:t>
            </w:r>
          </w:p>
        </w:tc>
        <w:tc>
          <w:tcPr>
            <w:tcW w:w="692" w:type="dxa"/>
            <w:tcBorders>
              <w:top w:val="single" w:color="auto" w:sz="2" w:space="0"/>
              <w:left w:val="single" w:color="auto" w:sz="2" w:space="0"/>
              <w:bottom w:val="single" w:color="auto" w:sz="2" w:space="0"/>
              <w:right w:val="single" w:color="auto" w:sz="2" w:space="0"/>
            </w:tcBorders>
            <w:shd w:val="clear" w:color="auto" w:fill="auto"/>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ascii="宋体" w:hAnsi="宋体"/>
                <w:bCs/>
                <w:sz w:val="18"/>
                <w:szCs w:val="18"/>
              </w:rPr>
              <w:t>母项单</w:t>
            </w:r>
            <w:r>
              <w:rPr>
                <w:rFonts w:hint="eastAsia" w:ascii="宋体" w:hAnsi="宋体"/>
                <w:bCs/>
                <w:sz w:val="18"/>
                <w:szCs w:val="18"/>
              </w:rPr>
              <w:t>位</w:t>
            </w:r>
          </w:p>
        </w:tc>
        <w:tc>
          <w:tcPr>
            <w:tcW w:w="640" w:type="dxa"/>
            <w:vMerge w:val="continue"/>
            <w:tcBorders>
              <w:left w:val="single" w:color="auto" w:sz="2" w:space="0"/>
              <w:bottom w:val="single" w:color="auto" w:sz="2" w:space="0"/>
              <w:right w:val="single" w:color="auto" w:sz="2" w:space="0"/>
            </w:tcBorders>
            <w:shd w:val="clear" w:color="auto" w:fill="auto"/>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p>
        </w:tc>
        <w:tc>
          <w:tcPr>
            <w:tcW w:w="798" w:type="dxa"/>
            <w:vMerge w:val="continue"/>
            <w:tcBorders>
              <w:top w:val="single" w:color="auto" w:sz="8" w:space="0"/>
              <w:left w:val="single" w:color="auto" w:sz="2" w:space="0"/>
              <w:bottom w:val="single" w:color="auto" w:sz="2" w:space="0"/>
              <w:right w:val="single" w:color="auto" w:sz="2" w:space="0"/>
            </w:tcBorders>
            <w:shd w:val="clear" w:color="auto" w:fill="auto"/>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p>
        </w:tc>
        <w:tc>
          <w:tcPr>
            <w:tcW w:w="829" w:type="dxa"/>
            <w:tcBorders>
              <w:top w:val="single" w:color="auto" w:sz="2" w:space="0"/>
              <w:left w:val="single" w:color="auto" w:sz="2" w:space="0"/>
              <w:bottom w:val="single" w:color="auto" w:sz="2" w:space="0"/>
              <w:right w:val="single" w:color="auto" w:sz="2" w:space="0"/>
            </w:tcBorders>
            <w:shd w:val="clear" w:color="auto" w:fill="auto"/>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hint="eastAsia" w:ascii="宋体" w:hAnsi="宋体"/>
                <w:bCs/>
                <w:sz w:val="18"/>
                <w:szCs w:val="18"/>
              </w:rPr>
              <w:t>指</w:t>
            </w:r>
            <w:r>
              <w:rPr>
                <w:rFonts w:ascii="宋体" w:hAnsi="宋体"/>
                <w:bCs/>
                <w:sz w:val="18"/>
                <w:szCs w:val="18"/>
              </w:rPr>
              <w:t>标</w:t>
            </w:r>
            <w:r>
              <w:rPr>
                <w:rFonts w:hint="eastAsia" w:ascii="宋体" w:hAnsi="宋体"/>
                <w:bCs/>
                <w:sz w:val="18"/>
                <w:szCs w:val="18"/>
              </w:rPr>
              <w:t>值</w:t>
            </w:r>
          </w:p>
        </w:tc>
        <w:tc>
          <w:tcPr>
            <w:tcW w:w="830" w:type="dxa"/>
            <w:tcBorders>
              <w:top w:val="single" w:color="auto" w:sz="2" w:space="0"/>
              <w:left w:val="single" w:color="auto" w:sz="2" w:space="0"/>
              <w:bottom w:val="single" w:color="auto" w:sz="2" w:space="0"/>
              <w:right w:val="single" w:color="auto" w:sz="2" w:space="0"/>
            </w:tcBorders>
            <w:shd w:val="clear" w:color="auto" w:fill="auto"/>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hint="eastAsia" w:ascii="宋体" w:hAnsi="宋体"/>
                <w:bCs/>
                <w:sz w:val="18"/>
                <w:szCs w:val="18"/>
              </w:rPr>
              <w:t>子</w:t>
            </w:r>
            <w:r>
              <w:rPr>
                <w:rFonts w:ascii="宋体" w:hAnsi="宋体"/>
                <w:bCs/>
                <w:sz w:val="18"/>
                <w:szCs w:val="18"/>
              </w:rPr>
              <w:t>项</w:t>
            </w:r>
            <w:r>
              <w:rPr>
                <w:rFonts w:hint="eastAsia" w:ascii="宋体" w:hAnsi="宋体"/>
                <w:bCs/>
                <w:sz w:val="18"/>
                <w:szCs w:val="18"/>
              </w:rPr>
              <w:t>值</w:t>
            </w:r>
          </w:p>
        </w:tc>
        <w:tc>
          <w:tcPr>
            <w:tcW w:w="830" w:type="dxa"/>
            <w:tcBorders>
              <w:top w:val="single" w:color="auto" w:sz="2" w:space="0"/>
              <w:left w:val="single" w:color="auto" w:sz="2" w:space="0"/>
              <w:bottom w:val="single" w:color="auto" w:sz="2" w:space="0"/>
              <w:right w:val="single" w:color="auto" w:sz="2" w:space="0"/>
            </w:tcBorders>
            <w:shd w:val="clear" w:color="auto" w:fill="auto"/>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ascii="宋体" w:hAnsi="宋体"/>
                <w:bCs/>
                <w:sz w:val="18"/>
                <w:szCs w:val="18"/>
              </w:rPr>
              <w:t>母项</w:t>
            </w:r>
            <w:r>
              <w:rPr>
                <w:rFonts w:hint="eastAsia" w:ascii="宋体" w:hAnsi="宋体"/>
                <w:bCs/>
                <w:sz w:val="18"/>
                <w:szCs w:val="18"/>
              </w:rPr>
              <w:t>值</w:t>
            </w:r>
          </w:p>
        </w:tc>
        <w:tc>
          <w:tcPr>
            <w:tcW w:w="830" w:type="dxa"/>
            <w:tcBorders>
              <w:top w:val="single" w:color="auto" w:sz="2" w:space="0"/>
              <w:left w:val="single" w:color="auto" w:sz="2" w:space="0"/>
              <w:bottom w:val="single" w:color="auto" w:sz="2" w:space="0"/>
              <w:right w:val="single" w:color="auto" w:sz="2" w:space="0"/>
            </w:tcBorders>
            <w:shd w:val="clear" w:color="auto" w:fill="D9D9D9"/>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hint="eastAsia" w:ascii="宋体" w:hAnsi="宋体"/>
                <w:bCs/>
                <w:sz w:val="18"/>
                <w:szCs w:val="18"/>
              </w:rPr>
              <w:t>指</w:t>
            </w:r>
            <w:r>
              <w:rPr>
                <w:rFonts w:ascii="宋体" w:hAnsi="宋体"/>
                <w:bCs/>
                <w:sz w:val="18"/>
                <w:szCs w:val="18"/>
              </w:rPr>
              <w:t>标</w:t>
            </w:r>
            <w:r>
              <w:rPr>
                <w:rFonts w:hint="eastAsia" w:ascii="宋体" w:hAnsi="宋体"/>
                <w:bCs/>
                <w:sz w:val="18"/>
                <w:szCs w:val="18"/>
              </w:rPr>
              <w:t>值</w:t>
            </w:r>
          </w:p>
        </w:tc>
        <w:tc>
          <w:tcPr>
            <w:tcW w:w="830" w:type="dxa"/>
            <w:tcBorders>
              <w:top w:val="single" w:color="auto" w:sz="2" w:space="0"/>
              <w:left w:val="single" w:color="auto" w:sz="2" w:space="0"/>
              <w:bottom w:val="single" w:color="auto" w:sz="2" w:space="0"/>
              <w:right w:val="single" w:color="auto" w:sz="2" w:space="0"/>
            </w:tcBorders>
            <w:shd w:val="clear" w:color="auto" w:fill="D9D9D9"/>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hint="eastAsia" w:ascii="宋体" w:hAnsi="宋体"/>
                <w:bCs/>
                <w:sz w:val="18"/>
                <w:szCs w:val="18"/>
              </w:rPr>
              <w:t>子</w:t>
            </w:r>
            <w:r>
              <w:rPr>
                <w:rFonts w:ascii="宋体" w:hAnsi="宋体"/>
                <w:bCs/>
                <w:sz w:val="18"/>
                <w:szCs w:val="18"/>
              </w:rPr>
              <w:t>项</w:t>
            </w:r>
            <w:r>
              <w:rPr>
                <w:rFonts w:hint="eastAsia" w:ascii="宋体" w:hAnsi="宋体"/>
                <w:bCs/>
                <w:sz w:val="18"/>
                <w:szCs w:val="18"/>
              </w:rPr>
              <w:t>值</w:t>
            </w:r>
          </w:p>
        </w:tc>
        <w:tc>
          <w:tcPr>
            <w:tcW w:w="830" w:type="dxa"/>
            <w:tcBorders>
              <w:top w:val="single" w:color="auto" w:sz="2" w:space="0"/>
              <w:left w:val="single" w:color="auto" w:sz="2" w:space="0"/>
              <w:bottom w:val="single" w:color="auto" w:sz="2" w:space="0"/>
            </w:tcBorders>
            <w:shd w:val="clear" w:color="auto" w:fill="D9D9D9"/>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ascii="宋体" w:hAnsi="宋体"/>
                <w:bCs/>
                <w:sz w:val="18"/>
                <w:szCs w:val="18"/>
              </w:rPr>
              <w:t>母项</w:t>
            </w:r>
            <w:r>
              <w:rPr>
                <w:rFonts w:hint="eastAsia" w:ascii="宋体" w:hAnsi="宋体"/>
                <w:bCs/>
                <w:sz w:val="18"/>
                <w:szCs w:val="18"/>
              </w:rPr>
              <w:t>值</w:t>
            </w:r>
          </w:p>
        </w:tc>
      </w:tr>
      <w:tr>
        <w:tblPrEx>
          <w:tblCellMar>
            <w:top w:w="0" w:type="dxa"/>
            <w:left w:w="0" w:type="dxa"/>
            <w:bottom w:w="0" w:type="dxa"/>
            <w:right w:w="0" w:type="dxa"/>
          </w:tblCellMar>
        </w:tblPrEx>
        <w:trPr>
          <w:trHeight w:val="340" w:hRule="atLeast"/>
          <w:jc w:val="center"/>
        </w:trPr>
        <w:tc>
          <w:tcPr>
            <w:tcW w:w="96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hint="eastAsia" w:ascii="宋体" w:hAnsi="宋体"/>
                <w:bCs/>
                <w:sz w:val="18"/>
                <w:szCs w:val="18"/>
              </w:rPr>
              <w:t>甲</w:t>
            </w:r>
          </w:p>
        </w:tc>
        <w:tc>
          <w:tcPr>
            <w:tcW w:w="69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hint="eastAsia" w:ascii="宋体" w:hAnsi="宋体"/>
                <w:bCs/>
                <w:sz w:val="18"/>
                <w:szCs w:val="18"/>
              </w:rPr>
              <w:t>乙</w:t>
            </w:r>
          </w:p>
        </w:tc>
        <w:tc>
          <w:tcPr>
            <w:tcW w:w="69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hint="eastAsia" w:ascii="宋体" w:hAnsi="宋体"/>
                <w:bCs/>
                <w:sz w:val="18"/>
                <w:szCs w:val="18"/>
              </w:rPr>
              <w:t>丙</w:t>
            </w:r>
          </w:p>
        </w:tc>
        <w:tc>
          <w:tcPr>
            <w:tcW w:w="69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hint="eastAsia" w:ascii="宋体" w:hAnsi="宋体"/>
                <w:bCs/>
                <w:sz w:val="18"/>
                <w:szCs w:val="18"/>
              </w:rPr>
              <w:t>丁</w:t>
            </w:r>
          </w:p>
        </w:tc>
        <w:tc>
          <w:tcPr>
            <w:tcW w:w="64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hint="eastAsia" w:ascii="宋体" w:hAnsi="宋体"/>
                <w:bCs/>
                <w:sz w:val="18"/>
                <w:szCs w:val="18"/>
              </w:rPr>
              <w:t>戊</w:t>
            </w:r>
          </w:p>
        </w:tc>
        <w:tc>
          <w:tcPr>
            <w:tcW w:w="798"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ascii="宋体" w:hAnsi="宋体"/>
                <w:bCs/>
                <w:sz w:val="18"/>
                <w:szCs w:val="18"/>
              </w:rPr>
              <w:t>1</w:t>
            </w:r>
          </w:p>
        </w:tc>
        <w:tc>
          <w:tcPr>
            <w:tcW w:w="829"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ascii="宋体" w:hAnsi="宋体"/>
                <w:bCs/>
                <w:sz w:val="18"/>
                <w:szCs w:val="18"/>
              </w:rPr>
              <w:t>2</w:t>
            </w:r>
          </w:p>
        </w:tc>
        <w:tc>
          <w:tcPr>
            <w:tcW w:w="83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ascii="宋体" w:hAnsi="宋体"/>
                <w:bCs/>
                <w:sz w:val="18"/>
                <w:szCs w:val="18"/>
              </w:rPr>
              <w:t>3</w:t>
            </w:r>
          </w:p>
        </w:tc>
        <w:tc>
          <w:tcPr>
            <w:tcW w:w="83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ascii="宋体" w:hAnsi="宋体"/>
                <w:bCs/>
                <w:sz w:val="18"/>
                <w:szCs w:val="18"/>
              </w:rPr>
              <w:t>4</w:t>
            </w:r>
          </w:p>
        </w:tc>
        <w:tc>
          <w:tcPr>
            <w:tcW w:w="83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ascii="宋体" w:hAnsi="宋体"/>
                <w:bCs/>
                <w:sz w:val="18"/>
                <w:szCs w:val="18"/>
              </w:rPr>
              <w:t>5</w:t>
            </w:r>
          </w:p>
        </w:tc>
        <w:tc>
          <w:tcPr>
            <w:tcW w:w="83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ascii="宋体" w:hAnsi="宋体"/>
                <w:bCs/>
                <w:sz w:val="18"/>
                <w:szCs w:val="18"/>
              </w:rPr>
              <w:t>6</w:t>
            </w:r>
          </w:p>
        </w:tc>
        <w:tc>
          <w:tcPr>
            <w:tcW w:w="830"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40" w:lineRule="exact"/>
              <w:jc w:val="center"/>
              <w:rPr>
                <w:rFonts w:ascii="宋体" w:hAnsi="宋体" w:cs="Arial Unicode MS"/>
                <w:bCs/>
                <w:sz w:val="18"/>
                <w:szCs w:val="18"/>
              </w:rPr>
            </w:pPr>
            <w:r>
              <w:rPr>
                <w:rFonts w:ascii="宋体" w:hAnsi="宋体"/>
                <w:bCs/>
                <w:sz w:val="18"/>
                <w:szCs w:val="18"/>
              </w:rPr>
              <w:t>7</w:t>
            </w:r>
          </w:p>
        </w:tc>
      </w:tr>
      <w:tr>
        <w:tblPrEx>
          <w:tblCellMar>
            <w:top w:w="0" w:type="dxa"/>
            <w:left w:w="0" w:type="dxa"/>
            <w:bottom w:w="0" w:type="dxa"/>
            <w:right w:w="0" w:type="dxa"/>
          </w:tblCellMar>
        </w:tblPrEx>
        <w:trPr>
          <w:trHeight w:val="454" w:hRule="atLeast"/>
          <w:jc w:val="center"/>
        </w:trPr>
        <w:tc>
          <w:tcPr>
            <w:tcW w:w="969" w:type="dxa"/>
            <w:tcBorders>
              <w:top w:val="single" w:color="auto" w:sz="2" w:space="0"/>
              <w:bottom w:val="single" w:color="auto" w:sz="8" w:space="0"/>
              <w:right w:val="single" w:color="auto" w:sz="2" w:space="0"/>
            </w:tcBorders>
            <w:noWrap/>
            <w:vAlign w:val="center"/>
          </w:tcPr>
          <w:p>
            <w:pPr>
              <w:spacing w:line="240" w:lineRule="exact"/>
              <w:rPr>
                <w:bCs/>
                <w:sz w:val="18"/>
                <w:szCs w:val="18"/>
              </w:rPr>
            </w:pPr>
          </w:p>
        </w:tc>
        <w:tc>
          <w:tcPr>
            <w:tcW w:w="691" w:type="dxa"/>
            <w:tcBorders>
              <w:top w:val="single" w:color="auto" w:sz="2" w:space="0"/>
              <w:left w:val="single" w:color="auto" w:sz="2" w:space="0"/>
              <w:bottom w:val="single" w:color="auto" w:sz="8" w:space="0"/>
              <w:right w:val="single" w:color="auto" w:sz="2" w:space="0"/>
            </w:tcBorders>
            <w:noWrap/>
            <w:vAlign w:val="center"/>
          </w:tcPr>
          <w:p>
            <w:pPr>
              <w:spacing w:line="240" w:lineRule="exact"/>
              <w:rPr>
                <w:rFonts w:ascii="宋体" w:hAnsi="宋体" w:cs="Arial Unicode MS"/>
                <w:bCs/>
                <w:sz w:val="18"/>
                <w:szCs w:val="18"/>
              </w:rPr>
            </w:pPr>
          </w:p>
        </w:tc>
        <w:tc>
          <w:tcPr>
            <w:tcW w:w="692" w:type="dxa"/>
            <w:tcBorders>
              <w:top w:val="single" w:color="auto" w:sz="2" w:space="0"/>
              <w:left w:val="single" w:color="auto" w:sz="2" w:space="0"/>
              <w:bottom w:val="single" w:color="auto" w:sz="8" w:space="0"/>
              <w:right w:val="single" w:color="auto" w:sz="2" w:space="0"/>
            </w:tcBorders>
            <w:noWrap/>
            <w:vAlign w:val="center"/>
          </w:tcPr>
          <w:p>
            <w:pPr>
              <w:spacing w:line="240" w:lineRule="exact"/>
              <w:rPr>
                <w:bCs/>
                <w:sz w:val="18"/>
                <w:szCs w:val="18"/>
              </w:rPr>
            </w:pPr>
          </w:p>
        </w:tc>
        <w:tc>
          <w:tcPr>
            <w:tcW w:w="692" w:type="dxa"/>
            <w:tcBorders>
              <w:top w:val="single" w:color="auto" w:sz="2" w:space="0"/>
              <w:left w:val="single" w:color="auto" w:sz="2" w:space="0"/>
              <w:bottom w:val="single" w:color="auto" w:sz="8" w:space="0"/>
              <w:right w:val="single" w:color="auto" w:sz="2" w:space="0"/>
            </w:tcBorders>
            <w:noWrap/>
            <w:vAlign w:val="center"/>
          </w:tcPr>
          <w:p>
            <w:pPr>
              <w:spacing w:line="240" w:lineRule="exact"/>
              <w:rPr>
                <w:bCs/>
                <w:sz w:val="18"/>
                <w:szCs w:val="18"/>
              </w:rPr>
            </w:pPr>
          </w:p>
        </w:tc>
        <w:tc>
          <w:tcPr>
            <w:tcW w:w="640" w:type="dxa"/>
            <w:tcBorders>
              <w:top w:val="single" w:color="auto" w:sz="2" w:space="0"/>
              <w:left w:val="single" w:color="auto" w:sz="2" w:space="0"/>
              <w:bottom w:val="single" w:color="auto" w:sz="8" w:space="0"/>
              <w:right w:val="single" w:color="auto" w:sz="2" w:space="0"/>
            </w:tcBorders>
            <w:noWrap/>
            <w:vAlign w:val="center"/>
          </w:tcPr>
          <w:p>
            <w:pPr>
              <w:spacing w:line="240" w:lineRule="exact"/>
              <w:rPr>
                <w:bCs/>
                <w:sz w:val="18"/>
                <w:szCs w:val="18"/>
              </w:rPr>
            </w:pPr>
          </w:p>
        </w:tc>
        <w:tc>
          <w:tcPr>
            <w:tcW w:w="5777" w:type="dxa"/>
            <w:gridSpan w:val="7"/>
            <w:tcBorders>
              <w:top w:val="single" w:color="auto" w:sz="2" w:space="0"/>
              <w:left w:val="single" w:color="auto" w:sz="2" w:space="0"/>
              <w:bottom w:val="single" w:color="auto" w:sz="8" w:space="0"/>
            </w:tcBorders>
            <w:noWrap/>
            <w:vAlign w:val="center"/>
          </w:tcPr>
          <w:p>
            <w:pPr>
              <w:spacing w:line="240" w:lineRule="exact"/>
              <w:rPr>
                <w:bCs/>
                <w:sz w:val="18"/>
                <w:szCs w:val="18"/>
              </w:rPr>
            </w:pPr>
          </w:p>
        </w:tc>
      </w:tr>
    </w:tbl>
    <w:p>
      <w:pPr>
        <w:adjustRightInd w:val="0"/>
        <w:spacing w:line="300" w:lineRule="exact"/>
        <w:rPr>
          <w:rFonts w:ascii="宋体" w:hAnsi="宋体"/>
          <w:sz w:val="18"/>
          <w:szCs w:val="18"/>
        </w:rPr>
      </w:pPr>
      <w:r>
        <w:rPr>
          <w:rFonts w:hint="eastAsia" w:ascii="宋体"/>
          <w:sz w:val="18"/>
          <w:szCs w:val="18"/>
        </w:rPr>
        <w:t>单位负责人：</w:t>
      </w:r>
      <w:r>
        <w:rPr>
          <w:rFonts w:hint="eastAsia" w:ascii="宋体"/>
          <w:sz w:val="18"/>
          <w:szCs w:val="18"/>
          <w:shd w:val="clear" w:color="auto" w:fill="FFFFFF"/>
        </w:rPr>
        <w:t>　     　</w:t>
      </w:r>
      <w:r>
        <w:rPr>
          <w:rFonts w:hint="eastAsia" w:ascii="宋体"/>
          <w:sz w:val="18"/>
          <w:szCs w:val="18"/>
        </w:rPr>
        <w:t xml:space="preserve">统计负责人：   </w:t>
      </w:r>
      <w:r>
        <w:rPr>
          <w:rFonts w:hint="eastAsia" w:ascii="宋体"/>
          <w:sz w:val="18"/>
          <w:szCs w:val="18"/>
          <w:shd w:val="clear" w:color="auto" w:fill="FFFFFF"/>
        </w:rPr>
        <w:t>　　</w:t>
      </w:r>
      <w:r>
        <w:rPr>
          <w:rFonts w:hint="eastAsia" w:ascii="宋体"/>
          <w:sz w:val="18"/>
          <w:szCs w:val="18"/>
        </w:rPr>
        <w:t xml:space="preserve">填表人： </w:t>
      </w:r>
      <w:r>
        <w:rPr>
          <w:rFonts w:hint="eastAsia" w:ascii="宋体"/>
          <w:sz w:val="18"/>
          <w:szCs w:val="18"/>
          <w:shd w:val="clear" w:color="auto" w:fill="FFFFFF"/>
        </w:rPr>
        <w:t>　    　联系</w:t>
      </w:r>
      <w:r>
        <w:rPr>
          <w:rFonts w:hint="eastAsia" w:ascii="宋体" w:hAnsi="宋体"/>
          <w:sz w:val="18"/>
        </w:rPr>
        <w:t>电话</w:t>
      </w:r>
      <w:r>
        <w:rPr>
          <w:rFonts w:hint="eastAsia" w:ascii="宋体"/>
          <w:sz w:val="18"/>
          <w:szCs w:val="18"/>
        </w:rPr>
        <w:t>：</w:t>
      </w:r>
      <w:r>
        <w:rPr>
          <w:rFonts w:hint="eastAsia" w:ascii="宋体"/>
          <w:sz w:val="18"/>
          <w:szCs w:val="18"/>
          <w:shd w:val="clear" w:color="auto" w:fill="FFFFFF"/>
        </w:rPr>
        <w:t xml:space="preserve">　 　   </w:t>
      </w:r>
      <w:r>
        <w:rPr>
          <w:rFonts w:hint="eastAsia" w:ascii="宋体"/>
          <w:sz w:val="18"/>
          <w:szCs w:val="18"/>
        </w:rPr>
        <w:t>报出日期：２０</w:t>
      </w:r>
      <w:r>
        <w:rPr>
          <w:rFonts w:hint="eastAsia" w:ascii="宋体"/>
          <w:sz w:val="18"/>
          <w:szCs w:val="18"/>
          <w:shd w:val="clear" w:color="auto" w:fill="FFFFFF"/>
        </w:rPr>
        <w:t xml:space="preserve">　 </w:t>
      </w:r>
      <w:r>
        <w:rPr>
          <w:rFonts w:hint="eastAsia" w:ascii="宋体"/>
          <w:sz w:val="18"/>
          <w:szCs w:val="18"/>
        </w:rPr>
        <w:t>年</w:t>
      </w:r>
      <w:r>
        <w:rPr>
          <w:rFonts w:hint="eastAsia" w:ascii="宋体"/>
          <w:sz w:val="18"/>
          <w:szCs w:val="18"/>
          <w:shd w:val="clear" w:color="auto" w:fill="FFFFFF"/>
        </w:rPr>
        <w:t xml:space="preserve">　 </w:t>
      </w:r>
      <w:r>
        <w:rPr>
          <w:rFonts w:hint="eastAsia" w:ascii="宋体"/>
          <w:sz w:val="18"/>
          <w:szCs w:val="18"/>
        </w:rPr>
        <w:t>月   日</w:t>
      </w:r>
    </w:p>
    <w:p>
      <w:pPr>
        <w:adjustRightInd w:val="0"/>
        <w:snapToGrid w:val="0"/>
        <w:spacing w:line="280" w:lineRule="exact"/>
        <w:ind w:left="724" w:hanging="723" w:hangingChars="402"/>
        <w:rPr>
          <w:rFonts w:ascii="宋体" w:hAnsi="宋体"/>
          <w:sz w:val="18"/>
        </w:rPr>
      </w:pPr>
    </w:p>
    <w:p>
      <w:pPr>
        <w:adjustRightInd w:val="0"/>
        <w:snapToGrid w:val="0"/>
        <w:spacing w:line="260" w:lineRule="exact"/>
        <w:ind w:left="726" w:hanging="726" w:hangingChars="40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说明：</w:t>
      </w:r>
      <w:r>
        <w:rPr>
          <w:rFonts w:hint="eastAsia" w:asciiTheme="minorEastAsia" w:hAnsiTheme="minorEastAsia" w:eastAsiaTheme="minorEastAsia" w:cstheme="minorEastAsia"/>
          <w:sz w:val="18"/>
          <w:szCs w:val="18"/>
        </w:rPr>
        <w:t>1.报送单位：辖区内年综合能源消费1万吨标准煤及以上的规模以上工业法人单位</w:t>
      </w:r>
      <w:r>
        <w:rPr>
          <w:rFonts w:hint="eastAsia" w:ascii="宋体"/>
          <w:sz w:val="18"/>
        </w:rPr>
        <w:t>和规模以上</w:t>
      </w:r>
      <w:r>
        <w:rPr>
          <w:rFonts w:hint="eastAsia" w:ascii="宋体"/>
          <w:sz w:val="18"/>
          <w:lang w:eastAsia="zh-CN"/>
        </w:rPr>
        <w:t>工业</w:t>
      </w:r>
      <w:r>
        <w:rPr>
          <w:rFonts w:hint="eastAsia" w:ascii="宋体"/>
          <w:sz w:val="18"/>
        </w:rPr>
        <w:t>个体经营户</w:t>
      </w:r>
      <w:r>
        <w:rPr>
          <w:rFonts w:hint="eastAsia" w:asciiTheme="minorEastAsia" w:hAnsiTheme="minorEastAsia" w:eastAsiaTheme="minorEastAsia" w:cstheme="minorEastAsia"/>
          <w:sz w:val="18"/>
          <w:szCs w:val="18"/>
        </w:rPr>
        <w:t>。</w:t>
      </w:r>
    </w:p>
    <w:p>
      <w:pPr>
        <w:keepNext w:val="0"/>
        <w:keepLines w:val="0"/>
        <w:pageBreakBefore w:val="0"/>
        <w:widowControl w:val="0"/>
        <w:numPr>
          <w:ilvl w:val="255"/>
          <w:numId w:val="0"/>
        </w:numPr>
        <w:kinsoku/>
        <w:wordWrap/>
        <w:overflowPunct/>
        <w:topLinePunct w:val="0"/>
        <w:autoSpaceDE/>
        <w:autoSpaceDN/>
        <w:bidi w:val="0"/>
        <w:adjustRightInd/>
        <w:snapToGrid/>
        <w:spacing w:line="260" w:lineRule="exact"/>
        <w:ind w:left="2198" w:leftChars="259" w:hanging="1654" w:hangingChars="919"/>
        <w:textAlignment w:val="auto"/>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r>
        <w:rPr>
          <w:rFonts w:hint="eastAsia" w:asciiTheme="minorEastAsia" w:hAnsiTheme="minorEastAsia" w:eastAsiaTheme="minorEastAsia" w:cstheme="minorEastAsia"/>
          <w:sz w:val="18"/>
          <w:szCs w:val="18"/>
        </w:rPr>
        <w:t>.报</w:t>
      </w:r>
      <w:r>
        <w:rPr>
          <w:rFonts w:hint="eastAsia" w:asciiTheme="minorEastAsia" w:hAnsiTheme="minorEastAsia" w:eastAsiaTheme="minorEastAsia" w:cstheme="minorEastAsia"/>
          <w:kern w:val="0"/>
          <w:sz w:val="18"/>
          <w:szCs w:val="18"/>
        </w:rPr>
        <w:t>送日</w:t>
      </w:r>
      <w:r>
        <w:rPr>
          <w:rFonts w:hint="eastAsia" w:asciiTheme="minorEastAsia" w:hAnsiTheme="minorEastAsia" w:eastAsiaTheme="minorEastAsia" w:cstheme="minorEastAsia"/>
          <w:sz w:val="18"/>
          <w:szCs w:val="18"/>
        </w:rPr>
        <w:t>期及方式：调查单位上半年7月10日、下半年次年1月10日12:00前独立自行网上填报；</w:t>
      </w:r>
      <w:r>
        <w:rPr>
          <w:rFonts w:hint="eastAsia" w:asciiTheme="minorEastAsia" w:hAnsiTheme="minorEastAsia" w:eastAsiaTheme="minorEastAsia" w:cstheme="minorEastAsia"/>
          <w:kern w:val="0"/>
          <w:sz w:val="18"/>
          <w:szCs w:val="18"/>
        </w:rPr>
        <w:t>各级统计机构在规定时间完成数据的审核、验收和上报。</w:t>
      </w:r>
    </w:p>
    <w:p>
      <w:pPr>
        <w:pStyle w:val="7"/>
        <w:spacing w:line="260" w:lineRule="exact"/>
        <w:ind w:firstLine="540" w:firstLineChars="3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3.本表为半年报，上半年报送1-6月份累计数据，下半年报送1-12月份累计数据。</w:t>
      </w:r>
    </w:p>
    <w:p>
      <w:pPr>
        <w:snapToGrid w:val="0"/>
        <w:spacing w:line="260" w:lineRule="exact"/>
        <w:ind w:left="724" w:leftChars="259" w:right="-40" w:hanging="180" w:hanging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4.</w:t>
      </w:r>
      <w:r>
        <w:rPr>
          <w:rFonts w:hint="eastAsia" w:asciiTheme="minorEastAsia" w:hAnsiTheme="minorEastAsia" w:eastAsiaTheme="minorEastAsia" w:cstheme="minorEastAsia"/>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本年新增指标的同期数由调查单位自行填报。</w:t>
      </w:r>
    </w:p>
    <w:p>
      <w:pPr>
        <w:adjustRightInd w:val="0"/>
        <w:snapToGrid w:val="0"/>
        <w:spacing w:line="260" w:lineRule="exact"/>
        <w:ind w:left="737" w:leftChars="265" w:hanging="181" w:hangingChars="101"/>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5.本表甲栏下按《主要耗能工业企业单位产品能源消费情况目录》填报。</w:t>
      </w:r>
    </w:p>
    <w:p>
      <w:pPr>
        <w:adjustRightInd w:val="0"/>
        <w:snapToGrid w:val="0"/>
        <w:spacing w:line="260" w:lineRule="exact"/>
        <w:ind w:left="737" w:leftChars="265" w:hanging="181" w:hangingChars="101"/>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6.主要逻辑审核关系：指标值=子项值/母项值×单位换算系数。</w:t>
      </w:r>
    </w:p>
    <w:p>
      <w:pPr>
        <w:adjustRightInd w:val="0"/>
        <w:ind w:left="720" w:hanging="720" w:hangingChars="400"/>
        <w:rPr>
          <w:rFonts w:ascii="宋体" w:hAnsi="宋体"/>
          <w:sz w:val="18"/>
          <w:szCs w:val="18"/>
        </w:rPr>
      </w:pPr>
      <w:r>
        <w:rPr>
          <w:rFonts w:ascii="宋体" w:hAnsi="宋体"/>
          <w:sz w:val="18"/>
          <w:szCs w:val="18"/>
        </w:rPr>
        <w:br w:type="page"/>
      </w:r>
    </w:p>
    <w:p>
      <w:pPr>
        <w:keepNext w:val="0"/>
        <w:keepLines w:val="0"/>
        <w:pageBreakBefore w:val="0"/>
        <w:widowControl w:val="0"/>
        <w:kinsoku/>
        <w:wordWrap/>
        <w:overflowPunct/>
        <w:topLinePunct w:val="0"/>
        <w:autoSpaceDE/>
        <w:autoSpaceDN/>
        <w:bidi w:val="0"/>
        <w:adjustRightInd/>
        <w:snapToGrid/>
        <w:spacing w:after="120" w:afterLines="50" w:line="360" w:lineRule="exact"/>
        <w:ind w:firstLine="0" w:firstLineChars="0"/>
        <w:jc w:val="center"/>
        <w:textAlignment w:val="auto"/>
        <w:rPr>
          <w:rFonts w:hint="eastAsia" w:ascii="宋体" w:hAnsi="宋体"/>
          <w:b/>
          <w:bCs/>
          <w:sz w:val="32"/>
          <w:szCs w:val="32"/>
        </w:rPr>
      </w:pPr>
      <w:r>
        <w:rPr>
          <w:rFonts w:hint="eastAsia" w:ascii="宋体" w:hAnsi="宋体"/>
          <w:b/>
          <w:bCs/>
          <w:sz w:val="32"/>
          <w:szCs w:val="32"/>
        </w:rPr>
        <w:t>工业企业用水情况</w:t>
      </w:r>
    </w:p>
    <w:tbl>
      <w:tblPr>
        <w:tblStyle w:val="21"/>
        <w:tblW w:w="9990" w:type="dxa"/>
        <w:jc w:val="center"/>
        <w:tblLayout w:type="fixed"/>
        <w:tblCellMar>
          <w:top w:w="0" w:type="dxa"/>
          <w:left w:w="0" w:type="dxa"/>
          <w:bottom w:w="0" w:type="dxa"/>
          <w:right w:w="0" w:type="dxa"/>
        </w:tblCellMar>
      </w:tblPr>
      <w:tblGrid>
        <w:gridCol w:w="3219"/>
        <w:gridCol w:w="316"/>
        <w:gridCol w:w="420"/>
        <w:gridCol w:w="491"/>
        <w:gridCol w:w="810"/>
        <w:gridCol w:w="1253"/>
        <w:gridCol w:w="619"/>
        <w:gridCol w:w="634"/>
        <w:gridCol w:w="314"/>
        <w:gridCol w:w="936"/>
        <w:gridCol w:w="978"/>
      </w:tblGrid>
      <w:tr>
        <w:tblPrEx>
          <w:tblCellMar>
            <w:top w:w="0" w:type="dxa"/>
            <w:left w:w="0" w:type="dxa"/>
            <w:bottom w:w="0" w:type="dxa"/>
            <w:right w:w="0" w:type="dxa"/>
          </w:tblCellMar>
        </w:tblPrEx>
        <w:trPr>
          <w:jc w:val="center"/>
        </w:trPr>
        <w:tc>
          <w:tcPr>
            <w:tcW w:w="3535" w:type="dxa"/>
            <w:gridSpan w:val="2"/>
            <w:noWrap/>
          </w:tcPr>
          <w:p>
            <w:pPr>
              <w:spacing w:line="260" w:lineRule="exact"/>
              <w:rPr>
                <w:rFonts w:asciiTheme="minorEastAsia" w:hAnsiTheme="minorEastAsia" w:eastAsiaTheme="minorEastAsia" w:cstheme="minorEastAsia"/>
                <w:sz w:val="18"/>
                <w:szCs w:val="18"/>
              </w:rPr>
            </w:pPr>
          </w:p>
        </w:tc>
        <w:tc>
          <w:tcPr>
            <w:tcW w:w="420" w:type="dxa"/>
            <w:noWrap/>
          </w:tcPr>
          <w:p>
            <w:pPr>
              <w:spacing w:line="260" w:lineRule="exact"/>
              <w:rPr>
                <w:rFonts w:asciiTheme="minorEastAsia" w:hAnsiTheme="minorEastAsia" w:eastAsiaTheme="minorEastAsia" w:cstheme="minorEastAsia"/>
                <w:sz w:val="18"/>
                <w:szCs w:val="18"/>
              </w:rPr>
            </w:pPr>
          </w:p>
        </w:tc>
        <w:tc>
          <w:tcPr>
            <w:tcW w:w="3173" w:type="dxa"/>
            <w:gridSpan w:val="4"/>
            <w:noWrap/>
          </w:tcPr>
          <w:p>
            <w:pPr>
              <w:spacing w:line="260" w:lineRule="exact"/>
              <w:rPr>
                <w:rFonts w:asciiTheme="minorEastAsia" w:hAnsiTheme="minorEastAsia" w:eastAsiaTheme="minorEastAsia" w:cstheme="minorEastAsia"/>
                <w:sz w:val="18"/>
                <w:szCs w:val="18"/>
              </w:rPr>
            </w:pPr>
          </w:p>
        </w:tc>
        <w:tc>
          <w:tcPr>
            <w:tcW w:w="948" w:type="dxa"/>
            <w:gridSpan w:val="2"/>
            <w:noWrap/>
            <w:tcMar>
              <w:left w:w="0" w:type="dxa"/>
              <w:right w:w="0" w:type="dxa"/>
            </w:tcMa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表    号：</w:t>
            </w:r>
          </w:p>
        </w:tc>
        <w:tc>
          <w:tcPr>
            <w:tcW w:w="1914" w:type="dxa"/>
            <w:gridSpan w:val="2"/>
            <w:noWrap/>
            <w:vAlign w:val="center"/>
          </w:tcPr>
          <w:p>
            <w:pPr>
              <w:spacing w:line="26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２０５－４表</w:t>
            </w:r>
          </w:p>
        </w:tc>
      </w:tr>
      <w:tr>
        <w:tblPrEx>
          <w:tblCellMar>
            <w:top w:w="0" w:type="dxa"/>
            <w:left w:w="0" w:type="dxa"/>
            <w:bottom w:w="0" w:type="dxa"/>
            <w:right w:w="0" w:type="dxa"/>
          </w:tblCellMar>
        </w:tblPrEx>
        <w:trPr>
          <w:jc w:val="center"/>
        </w:trPr>
        <w:tc>
          <w:tcPr>
            <w:tcW w:w="7128" w:type="dxa"/>
            <w:gridSpan w:val="7"/>
            <w:noWrap/>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统一社会信用代码□□□□□□□□□□□□□□□□□□</w:t>
            </w:r>
          </w:p>
        </w:tc>
        <w:tc>
          <w:tcPr>
            <w:tcW w:w="948" w:type="dxa"/>
            <w:gridSpan w:val="2"/>
            <w:noWrap/>
            <w:tcMar>
              <w:left w:w="0" w:type="dxa"/>
              <w:right w:w="0"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制定机关：</w:t>
            </w:r>
          </w:p>
        </w:tc>
        <w:tc>
          <w:tcPr>
            <w:tcW w:w="1914" w:type="dxa"/>
            <w:gridSpan w:val="2"/>
            <w:noWrap/>
            <w:vAlign w:val="center"/>
          </w:tcPr>
          <w:p>
            <w:pPr>
              <w:spacing w:line="26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国 家 统 计 局</w:t>
            </w:r>
          </w:p>
        </w:tc>
      </w:tr>
      <w:tr>
        <w:tblPrEx>
          <w:tblCellMar>
            <w:top w:w="0" w:type="dxa"/>
            <w:left w:w="0" w:type="dxa"/>
            <w:bottom w:w="0" w:type="dxa"/>
            <w:right w:w="0" w:type="dxa"/>
          </w:tblCellMar>
        </w:tblPrEx>
        <w:trPr>
          <w:jc w:val="center"/>
        </w:trPr>
        <w:tc>
          <w:tcPr>
            <w:tcW w:w="7128" w:type="dxa"/>
            <w:gridSpan w:val="7"/>
            <w:noWrap/>
          </w:tcPr>
          <w:p>
            <w:pPr>
              <w:spacing w:line="260" w:lineRule="exact"/>
              <w:rPr>
                <w:rFonts w:asciiTheme="minorEastAsia" w:hAnsiTheme="minorEastAsia" w:eastAsiaTheme="minorEastAsia" w:cstheme="minorEastAsia"/>
                <w:sz w:val="18"/>
                <w:szCs w:val="18"/>
              </w:rPr>
            </w:pPr>
          </w:p>
        </w:tc>
        <w:tc>
          <w:tcPr>
            <w:tcW w:w="948" w:type="dxa"/>
            <w:gridSpan w:val="2"/>
            <w:noWrap/>
            <w:tcMar>
              <w:left w:w="0" w:type="dxa"/>
              <w:right w:w="0"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文    号：</w:t>
            </w:r>
          </w:p>
        </w:tc>
        <w:tc>
          <w:tcPr>
            <w:tcW w:w="1914" w:type="dxa"/>
            <w:gridSpan w:val="2"/>
            <w:noWrap/>
            <w:vAlign w:val="center"/>
          </w:tcPr>
          <w:p>
            <w:pPr>
              <w:spacing w:line="260" w:lineRule="exact"/>
              <w:jc w:val="distribute"/>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国</w:t>
            </w:r>
            <w:r>
              <w:rPr>
                <w:rFonts w:hint="eastAsia" w:ascii="宋体" w:hAnsi="宋体"/>
                <w:color w:val="auto"/>
                <w:sz w:val="18"/>
                <w:szCs w:val="18"/>
              </w:rPr>
              <w:t>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Theme="minorEastAsia" w:hAnsiTheme="minorEastAsia" w:eastAsiaTheme="minorEastAsia" w:cstheme="minorEastAsia"/>
                <w:color w:val="auto"/>
                <w:sz w:val="18"/>
                <w:szCs w:val="18"/>
              </w:rPr>
              <w:t>号</w:t>
            </w:r>
          </w:p>
        </w:tc>
      </w:tr>
      <w:tr>
        <w:tblPrEx>
          <w:tblCellMar>
            <w:top w:w="0" w:type="dxa"/>
            <w:left w:w="0" w:type="dxa"/>
            <w:bottom w:w="0" w:type="dxa"/>
            <w:right w:w="0" w:type="dxa"/>
          </w:tblCellMar>
        </w:tblPrEx>
        <w:trPr>
          <w:jc w:val="center"/>
        </w:trPr>
        <w:tc>
          <w:tcPr>
            <w:tcW w:w="3535" w:type="dxa"/>
            <w:gridSpan w:val="2"/>
            <w:noWrap/>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单位详细名称：</w:t>
            </w:r>
          </w:p>
        </w:tc>
        <w:tc>
          <w:tcPr>
            <w:tcW w:w="420" w:type="dxa"/>
            <w:noWrap/>
          </w:tcPr>
          <w:p>
            <w:pPr>
              <w:spacing w:line="260" w:lineRule="exact"/>
              <w:rPr>
                <w:rFonts w:asciiTheme="minorEastAsia" w:hAnsiTheme="minorEastAsia" w:eastAsiaTheme="minorEastAsia" w:cstheme="minorEastAsia"/>
                <w:sz w:val="18"/>
                <w:szCs w:val="18"/>
              </w:rPr>
            </w:pPr>
          </w:p>
        </w:tc>
        <w:tc>
          <w:tcPr>
            <w:tcW w:w="3173" w:type="dxa"/>
            <w:gridSpan w:val="4"/>
            <w:noWrap/>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２０　　年 １－　月</w:t>
            </w:r>
          </w:p>
        </w:tc>
        <w:tc>
          <w:tcPr>
            <w:tcW w:w="948" w:type="dxa"/>
            <w:gridSpan w:val="2"/>
            <w:noWrap/>
            <w:tcMar>
              <w:left w:w="0" w:type="dxa"/>
              <w:right w:w="0"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有效期至：</w:t>
            </w:r>
          </w:p>
        </w:tc>
        <w:tc>
          <w:tcPr>
            <w:tcW w:w="1914" w:type="dxa"/>
            <w:gridSpan w:val="2"/>
            <w:noWrap/>
            <w:vAlign w:val="center"/>
          </w:tcPr>
          <w:p>
            <w:pPr>
              <w:spacing w:line="260" w:lineRule="exact"/>
              <w:jc w:val="distribute"/>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２０２</w:t>
            </w:r>
            <w:r>
              <w:rPr>
                <w:rFonts w:hint="eastAsia" w:asciiTheme="minorEastAsia" w:hAnsiTheme="minorEastAsia" w:eastAsiaTheme="minorEastAsia" w:cstheme="minorEastAsia"/>
                <w:color w:val="auto"/>
                <w:sz w:val="18"/>
                <w:szCs w:val="18"/>
                <w:lang w:val="en-US" w:eastAsia="zh-CN"/>
              </w:rPr>
              <w:t>7</w:t>
            </w:r>
            <w:r>
              <w:rPr>
                <w:rFonts w:hint="eastAsia" w:asciiTheme="minorEastAsia" w:hAnsiTheme="minorEastAsia" w:eastAsiaTheme="minorEastAsia" w:cstheme="minorEastAsia"/>
                <w:color w:val="auto"/>
                <w:sz w:val="18"/>
                <w:szCs w:val="18"/>
              </w:rPr>
              <w:t>年１月</w:t>
            </w:r>
          </w:p>
        </w:tc>
      </w:tr>
      <w:tr>
        <w:tblPrEx>
          <w:tblCellMar>
            <w:top w:w="0" w:type="dxa"/>
            <w:left w:w="108" w:type="dxa"/>
            <w:bottom w:w="0" w:type="dxa"/>
            <w:right w:w="108" w:type="dxa"/>
          </w:tblCellMar>
        </w:tblPrEx>
        <w:trPr>
          <w:trHeight w:val="285" w:hRule="atLeast"/>
          <w:jc w:val="center"/>
        </w:trPr>
        <w:tc>
          <w:tcPr>
            <w:tcW w:w="3219" w:type="dxa"/>
            <w:vMerge w:val="restart"/>
            <w:tcBorders>
              <w:top w:val="single" w:color="auto" w:sz="8" w:space="0"/>
              <w:left w:val="nil"/>
              <w:bottom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指标名称</w:t>
            </w:r>
          </w:p>
        </w:tc>
        <w:tc>
          <w:tcPr>
            <w:tcW w:w="1227" w:type="dxa"/>
            <w:gridSpan w:val="3"/>
            <w:vMerge w:val="restart"/>
            <w:tcBorders>
              <w:top w:val="single" w:color="auto" w:sz="8" w:space="0"/>
              <w:left w:val="single" w:color="auto" w:sz="2" w:space="0"/>
              <w:bottom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计量单位</w:t>
            </w:r>
          </w:p>
        </w:tc>
        <w:tc>
          <w:tcPr>
            <w:tcW w:w="810" w:type="dxa"/>
            <w:vMerge w:val="restart"/>
            <w:tcBorders>
              <w:top w:val="single" w:color="auto" w:sz="8" w:space="0"/>
              <w:left w:val="single" w:color="auto" w:sz="2" w:space="0"/>
              <w:bottom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代码</w:t>
            </w:r>
          </w:p>
        </w:tc>
        <w:tc>
          <w:tcPr>
            <w:tcW w:w="2506" w:type="dxa"/>
            <w:gridSpan w:val="3"/>
            <w:tcBorders>
              <w:top w:val="single" w:color="auto" w:sz="8" w:space="0"/>
              <w:left w:val="single" w:color="auto" w:sz="2" w:space="0"/>
              <w:bottom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取水量</w:t>
            </w:r>
          </w:p>
        </w:tc>
        <w:tc>
          <w:tcPr>
            <w:tcW w:w="2228" w:type="dxa"/>
            <w:gridSpan w:val="3"/>
            <w:tcBorders>
              <w:top w:val="single" w:color="auto" w:sz="8" w:space="0"/>
              <w:left w:val="single" w:color="auto" w:sz="2" w:space="0"/>
              <w:bottom w:val="single" w:color="auto" w:sz="2" w:space="0"/>
              <w:right w:val="nil"/>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外供水量</w:t>
            </w:r>
          </w:p>
        </w:tc>
      </w:tr>
      <w:tr>
        <w:tblPrEx>
          <w:tblCellMar>
            <w:top w:w="0" w:type="dxa"/>
            <w:left w:w="108" w:type="dxa"/>
            <w:bottom w:w="0" w:type="dxa"/>
            <w:right w:w="108" w:type="dxa"/>
          </w:tblCellMar>
        </w:tblPrEx>
        <w:trPr>
          <w:trHeight w:val="285" w:hRule="atLeast"/>
          <w:jc w:val="center"/>
        </w:trPr>
        <w:tc>
          <w:tcPr>
            <w:tcW w:w="3219" w:type="dxa"/>
            <w:vMerge w:val="continue"/>
            <w:tcBorders>
              <w:top w:val="single" w:color="auto" w:sz="2" w:space="0"/>
              <w:left w:val="nil"/>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1227" w:type="dxa"/>
            <w:gridSpan w:val="3"/>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810"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1253" w:type="dxa"/>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本期</w:t>
            </w:r>
          </w:p>
        </w:tc>
        <w:tc>
          <w:tcPr>
            <w:tcW w:w="1253" w:type="dxa"/>
            <w:gridSpan w:val="2"/>
            <w:tcBorders>
              <w:top w:val="single" w:color="auto" w:sz="2" w:space="0"/>
              <w:left w:val="single" w:color="auto" w:sz="2" w:space="0"/>
              <w:bottom w:val="single" w:color="auto" w:sz="2" w:space="0"/>
              <w:right w:val="single" w:color="auto" w:sz="2" w:space="0"/>
            </w:tcBorders>
            <w:shd w:val="clear" w:color="auto" w:fill="D9D9D9"/>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上年同期</w:t>
            </w:r>
          </w:p>
        </w:tc>
        <w:tc>
          <w:tcPr>
            <w:tcW w:w="1250" w:type="dxa"/>
            <w:gridSpan w:val="2"/>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本期</w:t>
            </w:r>
          </w:p>
        </w:tc>
        <w:tc>
          <w:tcPr>
            <w:tcW w:w="978" w:type="dxa"/>
            <w:tcBorders>
              <w:top w:val="single" w:color="auto" w:sz="2" w:space="0"/>
              <w:left w:val="single" w:color="auto" w:sz="2" w:space="0"/>
              <w:bottom w:val="single" w:color="auto" w:sz="2" w:space="0"/>
              <w:right w:val="nil"/>
            </w:tcBorders>
            <w:shd w:val="clear" w:color="auto" w:fill="D9D9D9"/>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上年同期</w:t>
            </w:r>
          </w:p>
        </w:tc>
      </w:tr>
      <w:tr>
        <w:tblPrEx>
          <w:tblCellMar>
            <w:top w:w="0" w:type="dxa"/>
            <w:left w:w="108" w:type="dxa"/>
            <w:bottom w:w="0" w:type="dxa"/>
            <w:right w:w="108" w:type="dxa"/>
          </w:tblCellMar>
        </w:tblPrEx>
        <w:trPr>
          <w:trHeight w:val="306" w:hRule="atLeast"/>
          <w:jc w:val="center"/>
        </w:trPr>
        <w:tc>
          <w:tcPr>
            <w:tcW w:w="3219" w:type="dxa"/>
            <w:tcBorders>
              <w:top w:val="single" w:color="auto" w:sz="2" w:space="0"/>
              <w:left w:val="nil"/>
              <w:bottom w:val="single" w:color="auto" w:sz="2" w:space="0"/>
              <w:right w:val="single" w:color="auto" w:sz="2" w:space="0"/>
            </w:tcBorders>
            <w:shd w:val="clear" w:color="auto" w:fill="auto"/>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甲</w:t>
            </w:r>
          </w:p>
        </w:tc>
        <w:tc>
          <w:tcPr>
            <w:tcW w:w="1227" w:type="dxa"/>
            <w:gridSpan w:val="3"/>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乙</w:t>
            </w:r>
          </w:p>
        </w:tc>
        <w:tc>
          <w:tcPr>
            <w:tcW w:w="810" w:type="dxa"/>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丙</w:t>
            </w:r>
          </w:p>
        </w:tc>
        <w:tc>
          <w:tcPr>
            <w:tcW w:w="1253" w:type="dxa"/>
            <w:tcBorders>
              <w:top w:val="single" w:color="auto" w:sz="2" w:space="0"/>
              <w:left w:val="single" w:color="auto" w:sz="2" w:space="0"/>
              <w:bottom w:val="single" w:color="auto" w:sz="2" w:space="0"/>
              <w:right w:val="single" w:color="auto" w:sz="2" w:space="0"/>
            </w:tcBorders>
            <w:shd w:val="clear" w:color="auto" w:fill="auto"/>
            <w:noWrap/>
            <w:vAlign w:val="center"/>
          </w:tcPr>
          <w:p>
            <w:pPr>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tc>
        <w:tc>
          <w:tcPr>
            <w:tcW w:w="1253" w:type="dxa"/>
            <w:gridSpan w:val="2"/>
            <w:tcBorders>
              <w:top w:val="single" w:color="auto" w:sz="2" w:space="0"/>
              <w:left w:val="single" w:color="auto" w:sz="2" w:space="0"/>
              <w:bottom w:val="single" w:color="auto" w:sz="2" w:space="0"/>
              <w:right w:val="single" w:color="auto" w:sz="2" w:space="0"/>
            </w:tcBorders>
            <w:shd w:val="clear" w:color="auto" w:fill="D9D9D9"/>
            <w:noWrap/>
            <w:vAlign w:val="center"/>
          </w:tcPr>
          <w:p>
            <w:pPr>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1250" w:type="dxa"/>
            <w:gridSpan w:val="2"/>
            <w:tcBorders>
              <w:top w:val="single" w:color="auto" w:sz="2" w:space="0"/>
              <w:left w:val="single" w:color="auto" w:sz="2" w:space="0"/>
              <w:bottom w:val="single" w:color="auto" w:sz="2" w:space="0"/>
              <w:right w:val="single" w:color="auto" w:sz="2" w:space="0"/>
            </w:tcBorders>
            <w:shd w:val="clear" w:color="auto" w:fill="auto"/>
            <w:noWrap/>
            <w:vAlign w:val="center"/>
          </w:tcPr>
          <w:p>
            <w:pPr>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w:t>
            </w:r>
          </w:p>
        </w:tc>
        <w:tc>
          <w:tcPr>
            <w:tcW w:w="978" w:type="dxa"/>
            <w:tcBorders>
              <w:top w:val="single" w:color="auto" w:sz="2" w:space="0"/>
              <w:left w:val="single" w:color="auto" w:sz="2" w:space="0"/>
              <w:bottom w:val="single" w:color="auto" w:sz="2" w:space="0"/>
              <w:right w:val="nil"/>
            </w:tcBorders>
            <w:shd w:val="clear" w:color="auto" w:fill="D9D9D9"/>
            <w:noWrap/>
            <w:vAlign w:val="center"/>
          </w:tcPr>
          <w:p>
            <w:pPr>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p>
        </w:tc>
      </w:tr>
      <w:tr>
        <w:tblPrEx>
          <w:tblCellMar>
            <w:top w:w="0" w:type="dxa"/>
            <w:left w:w="108" w:type="dxa"/>
            <w:bottom w:w="0" w:type="dxa"/>
            <w:right w:w="108" w:type="dxa"/>
          </w:tblCellMar>
        </w:tblPrEx>
        <w:trPr>
          <w:trHeight w:val="270" w:hRule="atLeast"/>
          <w:jc w:val="center"/>
        </w:trPr>
        <w:tc>
          <w:tcPr>
            <w:tcW w:w="3219" w:type="dxa"/>
            <w:tcBorders>
              <w:top w:val="single" w:color="auto" w:sz="2" w:space="0"/>
              <w:left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合计</w:t>
            </w:r>
          </w:p>
        </w:tc>
        <w:tc>
          <w:tcPr>
            <w:tcW w:w="1227" w:type="dxa"/>
            <w:gridSpan w:val="3"/>
            <w:tcBorders>
              <w:top w:val="single" w:color="auto" w:sz="2" w:space="0"/>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top w:val="single" w:color="auto" w:sz="2" w:space="0"/>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w:t>
            </w:r>
          </w:p>
        </w:tc>
        <w:tc>
          <w:tcPr>
            <w:tcW w:w="4734" w:type="dxa"/>
            <w:gridSpan w:val="6"/>
            <w:vMerge w:val="restart"/>
            <w:tcBorders>
              <w:top w:val="single" w:color="auto" w:sz="2" w:space="0"/>
              <w:left w:val="single" w:color="auto" w:sz="2"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70" w:hRule="atLeast"/>
          <w:jc w:val="center"/>
        </w:trPr>
        <w:tc>
          <w:tcPr>
            <w:tcW w:w="3219" w:type="dxa"/>
            <w:tcBorders>
              <w:left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1.地表淡水</w:t>
            </w:r>
          </w:p>
        </w:tc>
        <w:tc>
          <w:tcPr>
            <w:tcW w:w="1227" w:type="dxa"/>
            <w:gridSpan w:val="3"/>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01</w:t>
            </w:r>
          </w:p>
        </w:tc>
        <w:tc>
          <w:tcPr>
            <w:tcW w:w="4734" w:type="dxa"/>
            <w:gridSpan w:val="6"/>
            <w:vMerge w:val="continue"/>
            <w:tcBorders>
              <w:left w:val="single" w:color="auto" w:sz="2"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70" w:hRule="atLeast"/>
          <w:jc w:val="center"/>
        </w:trPr>
        <w:tc>
          <w:tcPr>
            <w:tcW w:w="3219" w:type="dxa"/>
            <w:tcBorders>
              <w:left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2.地下淡水</w:t>
            </w:r>
          </w:p>
        </w:tc>
        <w:tc>
          <w:tcPr>
            <w:tcW w:w="1227" w:type="dxa"/>
            <w:gridSpan w:val="3"/>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02</w:t>
            </w:r>
          </w:p>
        </w:tc>
        <w:tc>
          <w:tcPr>
            <w:tcW w:w="4734" w:type="dxa"/>
            <w:gridSpan w:val="6"/>
            <w:vMerge w:val="continue"/>
            <w:tcBorders>
              <w:left w:val="single" w:color="auto" w:sz="2"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70" w:hRule="atLeast"/>
          <w:jc w:val="center"/>
        </w:trPr>
        <w:tc>
          <w:tcPr>
            <w:tcW w:w="3219" w:type="dxa"/>
            <w:tcBorders>
              <w:left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3.自来水</w:t>
            </w:r>
          </w:p>
        </w:tc>
        <w:tc>
          <w:tcPr>
            <w:tcW w:w="1227" w:type="dxa"/>
            <w:gridSpan w:val="3"/>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03</w:t>
            </w:r>
          </w:p>
        </w:tc>
        <w:tc>
          <w:tcPr>
            <w:tcW w:w="4734" w:type="dxa"/>
            <w:gridSpan w:val="6"/>
            <w:vMerge w:val="continue"/>
            <w:tcBorders>
              <w:left w:val="single" w:color="auto" w:sz="2"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70" w:hRule="atLeast"/>
          <w:jc w:val="center"/>
        </w:trPr>
        <w:tc>
          <w:tcPr>
            <w:tcW w:w="3219" w:type="dxa"/>
            <w:tcBorders>
              <w:left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4.海水</w:t>
            </w:r>
          </w:p>
        </w:tc>
        <w:tc>
          <w:tcPr>
            <w:tcW w:w="1227" w:type="dxa"/>
            <w:gridSpan w:val="3"/>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04</w:t>
            </w:r>
          </w:p>
        </w:tc>
        <w:tc>
          <w:tcPr>
            <w:tcW w:w="4734" w:type="dxa"/>
            <w:gridSpan w:val="6"/>
            <w:vMerge w:val="continue"/>
            <w:tcBorders>
              <w:left w:val="single" w:color="auto" w:sz="2"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70" w:hRule="atLeast"/>
          <w:jc w:val="center"/>
        </w:trPr>
        <w:tc>
          <w:tcPr>
            <w:tcW w:w="3219" w:type="dxa"/>
            <w:tcBorders>
              <w:left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5.陆地苦咸水</w:t>
            </w:r>
          </w:p>
        </w:tc>
        <w:tc>
          <w:tcPr>
            <w:tcW w:w="1227" w:type="dxa"/>
            <w:gridSpan w:val="3"/>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05</w:t>
            </w:r>
          </w:p>
        </w:tc>
        <w:tc>
          <w:tcPr>
            <w:tcW w:w="4734" w:type="dxa"/>
            <w:gridSpan w:val="6"/>
            <w:vMerge w:val="continue"/>
            <w:tcBorders>
              <w:left w:val="single" w:color="auto" w:sz="2"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70" w:hRule="atLeast"/>
          <w:jc w:val="center"/>
        </w:trPr>
        <w:tc>
          <w:tcPr>
            <w:tcW w:w="3219" w:type="dxa"/>
            <w:tcBorders>
              <w:left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6.矿井水</w:t>
            </w:r>
          </w:p>
        </w:tc>
        <w:tc>
          <w:tcPr>
            <w:tcW w:w="1227" w:type="dxa"/>
            <w:gridSpan w:val="3"/>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06</w:t>
            </w:r>
          </w:p>
        </w:tc>
        <w:tc>
          <w:tcPr>
            <w:tcW w:w="4734" w:type="dxa"/>
            <w:gridSpan w:val="6"/>
            <w:vMerge w:val="continue"/>
            <w:tcBorders>
              <w:left w:val="single" w:color="auto" w:sz="2"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70" w:hRule="atLeast"/>
          <w:jc w:val="center"/>
        </w:trPr>
        <w:tc>
          <w:tcPr>
            <w:tcW w:w="3219" w:type="dxa"/>
            <w:tcBorders>
              <w:left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7.雨水</w:t>
            </w:r>
          </w:p>
        </w:tc>
        <w:tc>
          <w:tcPr>
            <w:tcW w:w="1227" w:type="dxa"/>
            <w:gridSpan w:val="3"/>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07</w:t>
            </w:r>
          </w:p>
        </w:tc>
        <w:tc>
          <w:tcPr>
            <w:tcW w:w="4734" w:type="dxa"/>
            <w:gridSpan w:val="6"/>
            <w:vMerge w:val="continue"/>
            <w:tcBorders>
              <w:left w:val="single" w:color="auto" w:sz="2"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70" w:hRule="atLeast"/>
          <w:jc w:val="center"/>
        </w:trPr>
        <w:tc>
          <w:tcPr>
            <w:tcW w:w="3219" w:type="dxa"/>
            <w:tcBorders>
              <w:left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8.再生水（中水）</w:t>
            </w:r>
          </w:p>
        </w:tc>
        <w:tc>
          <w:tcPr>
            <w:tcW w:w="1227" w:type="dxa"/>
            <w:gridSpan w:val="3"/>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08</w:t>
            </w:r>
          </w:p>
        </w:tc>
        <w:tc>
          <w:tcPr>
            <w:tcW w:w="4734" w:type="dxa"/>
            <w:gridSpan w:val="6"/>
            <w:vMerge w:val="continue"/>
            <w:tcBorders>
              <w:left w:val="single" w:color="auto" w:sz="2"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70" w:hRule="atLeast"/>
          <w:jc w:val="center"/>
        </w:trPr>
        <w:tc>
          <w:tcPr>
            <w:tcW w:w="3219" w:type="dxa"/>
            <w:tcBorders>
              <w:left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9.海水淡化水</w:t>
            </w:r>
          </w:p>
        </w:tc>
        <w:tc>
          <w:tcPr>
            <w:tcW w:w="1227" w:type="dxa"/>
            <w:gridSpan w:val="3"/>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09</w:t>
            </w:r>
          </w:p>
        </w:tc>
        <w:tc>
          <w:tcPr>
            <w:tcW w:w="4734" w:type="dxa"/>
            <w:gridSpan w:val="6"/>
            <w:vMerge w:val="continue"/>
            <w:tcBorders>
              <w:left w:val="single" w:color="auto" w:sz="2"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3219" w:type="dxa"/>
            <w:tcBorders>
              <w:left w:val="nil"/>
              <w:bottom w:val="single" w:color="auto" w:sz="2" w:space="0"/>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10.其他水</w:t>
            </w:r>
          </w:p>
        </w:tc>
        <w:tc>
          <w:tcPr>
            <w:tcW w:w="1227" w:type="dxa"/>
            <w:gridSpan w:val="3"/>
            <w:tcBorders>
              <w:left w:val="single" w:color="auto" w:sz="2" w:space="0"/>
              <w:bottom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left w:val="single" w:color="auto" w:sz="2" w:space="0"/>
              <w:bottom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w:t>
            </w:r>
          </w:p>
        </w:tc>
        <w:tc>
          <w:tcPr>
            <w:tcW w:w="4734" w:type="dxa"/>
            <w:gridSpan w:val="6"/>
            <w:vMerge w:val="continue"/>
            <w:tcBorders>
              <w:left w:val="single" w:color="auto" w:sz="2" w:space="0"/>
              <w:bottom w:val="single" w:color="auto" w:sz="2"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9990" w:type="dxa"/>
            <w:gridSpan w:val="11"/>
            <w:tcBorders>
              <w:top w:val="single" w:color="auto" w:sz="2" w:space="0"/>
              <w:left w:val="nil"/>
              <w:bottom w:val="single" w:color="auto" w:sz="2" w:space="0"/>
              <w:right w:val="nil"/>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补充指标</w:t>
            </w:r>
          </w:p>
        </w:tc>
      </w:tr>
      <w:tr>
        <w:tblPrEx>
          <w:tblCellMar>
            <w:top w:w="0" w:type="dxa"/>
            <w:left w:w="108" w:type="dxa"/>
            <w:bottom w:w="0" w:type="dxa"/>
            <w:right w:w="108" w:type="dxa"/>
          </w:tblCellMar>
        </w:tblPrEx>
        <w:trPr>
          <w:trHeight w:val="285" w:hRule="atLeast"/>
          <w:jc w:val="center"/>
        </w:trPr>
        <w:tc>
          <w:tcPr>
            <w:tcW w:w="3219" w:type="dxa"/>
            <w:tcBorders>
              <w:top w:val="single" w:color="auto" w:sz="2" w:space="0"/>
              <w:left w:val="nil"/>
              <w:bottom w:val="single" w:color="auto" w:sz="2" w:space="0"/>
              <w:right w:val="single" w:color="auto" w:sz="2"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指标名称</w:t>
            </w:r>
          </w:p>
        </w:tc>
        <w:tc>
          <w:tcPr>
            <w:tcW w:w="1227" w:type="dxa"/>
            <w:gridSpan w:val="3"/>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计量单位</w:t>
            </w:r>
          </w:p>
        </w:tc>
        <w:tc>
          <w:tcPr>
            <w:tcW w:w="810" w:type="dxa"/>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代码</w:t>
            </w:r>
          </w:p>
        </w:tc>
        <w:tc>
          <w:tcPr>
            <w:tcW w:w="2506" w:type="dxa"/>
            <w:gridSpan w:val="3"/>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本期</w:t>
            </w:r>
          </w:p>
        </w:tc>
        <w:tc>
          <w:tcPr>
            <w:tcW w:w="2228" w:type="dxa"/>
            <w:gridSpan w:val="3"/>
            <w:tcBorders>
              <w:top w:val="single" w:color="auto" w:sz="2" w:space="0"/>
              <w:left w:val="single" w:color="auto" w:sz="2" w:space="0"/>
              <w:bottom w:val="single" w:color="auto" w:sz="2" w:space="0"/>
              <w:right w:val="nil"/>
            </w:tcBorders>
            <w:shd w:val="clear" w:color="auto" w:fill="D9D9D9"/>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上年同期</w:t>
            </w:r>
          </w:p>
        </w:tc>
      </w:tr>
      <w:tr>
        <w:tblPrEx>
          <w:tblCellMar>
            <w:top w:w="0" w:type="dxa"/>
            <w:left w:w="108" w:type="dxa"/>
            <w:bottom w:w="0" w:type="dxa"/>
            <w:right w:w="108" w:type="dxa"/>
          </w:tblCellMar>
        </w:tblPrEx>
        <w:trPr>
          <w:trHeight w:val="306" w:hRule="atLeast"/>
          <w:jc w:val="center"/>
        </w:trPr>
        <w:tc>
          <w:tcPr>
            <w:tcW w:w="3219" w:type="dxa"/>
            <w:tcBorders>
              <w:top w:val="single" w:color="auto" w:sz="2" w:space="0"/>
              <w:left w:val="nil"/>
              <w:bottom w:val="single" w:color="auto" w:sz="2" w:space="0"/>
              <w:right w:val="single" w:color="auto" w:sz="2" w:space="0"/>
            </w:tcBorders>
            <w:shd w:val="clear" w:color="auto" w:fill="auto"/>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甲</w:t>
            </w:r>
          </w:p>
        </w:tc>
        <w:tc>
          <w:tcPr>
            <w:tcW w:w="1227" w:type="dxa"/>
            <w:gridSpan w:val="3"/>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乙</w:t>
            </w:r>
          </w:p>
        </w:tc>
        <w:tc>
          <w:tcPr>
            <w:tcW w:w="810" w:type="dxa"/>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丙</w:t>
            </w:r>
          </w:p>
        </w:tc>
        <w:tc>
          <w:tcPr>
            <w:tcW w:w="2506" w:type="dxa"/>
            <w:gridSpan w:val="3"/>
            <w:tcBorders>
              <w:top w:val="single" w:color="auto" w:sz="2" w:space="0"/>
              <w:left w:val="single" w:color="auto" w:sz="2" w:space="0"/>
              <w:bottom w:val="single" w:color="auto" w:sz="2" w:space="0"/>
              <w:right w:val="single" w:color="auto" w:sz="2" w:space="0"/>
            </w:tcBorders>
            <w:shd w:val="clear" w:color="auto" w:fill="auto"/>
            <w:noWrap/>
            <w:vAlign w:val="center"/>
          </w:tcPr>
          <w:p>
            <w:pPr>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tc>
        <w:tc>
          <w:tcPr>
            <w:tcW w:w="2228" w:type="dxa"/>
            <w:gridSpan w:val="3"/>
            <w:tcBorders>
              <w:top w:val="single" w:color="auto" w:sz="2" w:space="0"/>
              <w:left w:val="single" w:color="auto" w:sz="2" w:space="0"/>
              <w:bottom w:val="single" w:color="auto" w:sz="2" w:space="0"/>
              <w:right w:val="nil"/>
            </w:tcBorders>
            <w:shd w:val="clear" w:color="auto" w:fill="D9D9D9"/>
            <w:noWrap/>
            <w:vAlign w:val="center"/>
          </w:tcPr>
          <w:p>
            <w:pPr>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r>
      <w:tr>
        <w:tblPrEx>
          <w:tblCellMar>
            <w:top w:w="0" w:type="dxa"/>
            <w:left w:w="108" w:type="dxa"/>
            <w:bottom w:w="0" w:type="dxa"/>
            <w:right w:w="108" w:type="dxa"/>
          </w:tblCellMar>
        </w:tblPrEx>
        <w:trPr>
          <w:trHeight w:val="270" w:hRule="atLeast"/>
          <w:jc w:val="center"/>
        </w:trPr>
        <w:tc>
          <w:tcPr>
            <w:tcW w:w="3219" w:type="dxa"/>
            <w:tcBorders>
              <w:top w:val="single" w:color="auto" w:sz="2" w:space="0"/>
              <w:left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外排水量</w:t>
            </w:r>
          </w:p>
        </w:tc>
        <w:tc>
          <w:tcPr>
            <w:tcW w:w="1227" w:type="dxa"/>
            <w:gridSpan w:val="3"/>
            <w:tcBorders>
              <w:top w:val="single" w:color="auto" w:sz="2" w:space="0"/>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top w:val="single" w:color="auto" w:sz="2" w:space="0"/>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w:t>
            </w:r>
          </w:p>
        </w:tc>
        <w:tc>
          <w:tcPr>
            <w:tcW w:w="4734" w:type="dxa"/>
            <w:gridSpan w:val="6"/>
            <w:vMerge w:val="restart"/>
            <w:tcBorders>
              <w:top w:val="single" w:color="auto" w:sz="2" w:space="0"/>
              <w:left w:val="single" w:color="auto" w:sz="2" w:space="0"/>
            </w:tcBorders>
            <w:noWrap/>
            <w:vAlign w:val="center"/>
          </w:tcPr>
          <w:p>
            <w:pPr>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70" w:hRule="atLeast"/>
          <w:jc w:val="center"/>
        </w:trPr>
        <w:tc>
          <w:tcPr>
            <w:tcW w:w="3219" w:type="dxa"/>
            <w:tcBorders>
              <w:left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重复用水量</w:t>
            </w:r>
          </w:p>
        </w:tc>
        <w:tc>
          <w:tcPr>
            <w:tcW w:w="1227" w:type="dxa"/>
            <w:gridSpan w:val="3"/>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w:t>
            </w:r>
          </w:p>
        </w:tc>
        <w:tc>
          <w:tcPr>
            <w:tcW w:w="4734" w:type="dxa"/>
            <w:gridSpan w:val="6"/>
            <w:vMerge w:val="continue"/>
            <w:tcBorders>
              <w:left w:val="single" w:color="auto" w:sz="2" w:space="0"/>
            </w:tcBorders>
            <w:noWrap/>
            <w:vAlign w:val="center"/>
          </w:tcPr>
          <w:p>
            <w:pPr>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70" w:hRule="atLeast"/>
          <w:jc w:val="center"/>
        </w:trPr>
        <w:tc>
          <w:tcPr>
            <w:tcW w:w="3219" w:type="dxa"/>
            <w:tcBorders>
              <w:left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直流冷却水量（河湖水）</w:t>
            </w:r>
          </w:p>
        </w:tc>
        <w:tc>
          <w:tcPr>
            <w:tcW w:w="1227" w:type="dxa"/>
            <w:gridSpan w:val="3"/>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13</w:t>
            </w:r>
          </w:p>
        </w:tc>
        <w:tc>
          <w:tcPr>
            <w:tcW w:w="4734" w:type="dxa"/>
            <w:gridSpan w:val="6"/>
            <w:vMerge w:val="continue"/>
            <w:tcBorders>
              <w:left w:val="single" w:color="auto" w:sz="2" w:space="0"/>
            </w:tcBorders>
            <w:noWrap/>
            <w:vAlign w:val="center"/>
          </w:tcPr>
          <w:p>
            <w:pPr>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70" w:hRule="atLeast"/>
          <w:jc w:val="center"/>
        </w:trPr>
        <w:tc>
          <w:tcPr>
            <w:tcW w:w="3219" w:type="dxa"/>
            <w:tcBorders>
              <w:left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直流冷却水量（海水）</w:t>
            </w:r>
          </w:p>
        </w:tc>
        <w:tc>
          <w:tcPr>
            <w:tcW w:w="1227" w:type="dxa"/>
            <w:gridSpan w:val="3"/>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w:t>
            </w:r>
          </w:p>
        </w:tc>
        <w:tc>
          <w:tcPr>
            <w:tcW w:w="4734" w:type="dxa"/>
            <w:gridSpan w:val="6"/>
            <w:vMerge w:val="continue"/>
            <w:tcBorders>
              <w:left w:val="single" w:color="auto" w:sz="2" w:space="0"/>
            </w:tcBorders>
            <w:noWrap/>
            <w:vAlign w:val="center"/>
          </w:tcPr>
          <w:p>
            <w:pPr>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70" w:hRule="atLeast"/>
          <w:jc w:val="center"/>
        </w:trPr>
        <w:tc>
          <w:tcPr>
            <w:tcW w:w="3219" w:type="dxa"/>
            <w:tcBorders>
              <w:left w:val="nil"/>
              <w:bottom w:val="single" w:color="auto" w:sz="8" w:space="0"/>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污水处理量</w:t>
            </w:r>
          </w:p>
        </w:tc>
        <w:tc>
          <w:tcPr>
            <w:tcW w:w="1227" w:type="dxa"/>
            <w:gridSpan w:val="3"/>
            <w:tcBorders>
              <w:left w:val="single" w:color="auto" w:sz="2" w:space="0"/>
              <w:bottom w:val="single" w:color="auto" w:sz="8"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tc>
        <w:tc>
          <w:tcPr>
            <w:tcW w:w="810" w:type="dxa"/>
            <w:tcBorders>
              <w:left w:val="single" w:color="auto" w:sz="2" w:space="0"/>
              <w:bottom w:val="single" w:color="auto" w:sz="8"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15</w:t>
            </w:r>
          </w:p>
        </w:tc>
        <w:tc>
          <w:tcPr>
            <w:tcW w:w="4734" w:type="dxa"/>
            <w:gridSpan w:val="6"/>
            <w:vMerge w:val="continue"/>
            <w:tcBorders>
              <w:left w:val="single" w:color="auto" w:sz="2" w:space="0"/>
              <w:bottom w:val="single" w:color="auto" w:sz="8" w:space="0"/>
            </w:tcBorders>
            <w:noWrap/>
            <w:vAlign w:val="center"/>
          </w:tcPr>
          <w:p>
            <w:pPr>
              <w:jc w:val="left"/>
              <w:rPr>
                <w:rFonts w:asciiTheme="minorEastAsia" w:hAnsiTheme="minorEastAsia" w:eastAsiaTheme="minorEastAsia" w:cstheme="minorEastAsia"/>
                <w:kern w:val="0"/>
                <w:sz w:val="18"/>
                <w:szCs w:val="18"/>
              </w:rPr>
            </w:pPr>
          </w:p>
        </w:tc>
      </w:tr>
    </w:tbl>
    <w:p>
      <w:pPr>
        <w:adjustRightInd w:val="0"/>
        <w:spacing w:line="260" w:lineRule="exact"/>
        <w:jc w:val="center"/>
        <w:rPr>
          <w:szCs w:val="20"/>
        </w:rPr>
      </w:pPr>
      <w:r>
        <w:rPr>
          <w:rFonts w:hint="eastAsia" w:ascii="宋体"/>
          <w:sz w:val="18"/>
          <w:szCs w:val="18"/>
        </w:rPr>
        <w:t xml:space="preserve">单位负责人：       </w:t>
      </w:r>
      <w:r>
        <w:rPr>
          <w:rFonts w:hint="eastAsia" w:ascii="宋体"/>
          <w:sz w:val="18"/>
          <w:szCs w:val="18"/>
          <w:shd w:val="clear" w:color="auto" w:fill="FFFFFF"/>
        </w:rPr>
        <w:t xml:space="preserve">　 </w:t>
      </w:r>
      <w:r>
        <w:rPr>
          <w:rFonts w:hint="eastAsia" w:ascii="宋体"/>
          <w:sz w:val="18"/>
          <w:szCs w:val="18"/>
        </w:rPr>
        <w:t xml:space="preserve">统计负责人：  </w:t>
      </w:r>
      <w:r>
        <w:rPr>
          <w:rFonts w:hint="eastAsia" w:ascii="宋体"/>
          <w:sz w:val="18"/>
          <w:szCs w:val="18"/>
          <w:shd w:val="clear" w:color="auto" w:fill="FFFFFF"/>
        </w:rPr>
        <w:t xml:space="preserve">       　</w:t>
      </w:r>
      <w:r>
        <w:rPr>
          <w:rFonts w:hint="eastAsia" w:ascii="宋体"/>
          <w:sz w:val="18"/>
          <w:szCs w:val="18"/>
        </w:rPr>
        <w:t xml:space="preserve">填表人：         </w:t>
      </w:r>
      <w:r>
        <w:rPr>
          <w:rFonts w:hint="eastAsia" w:ascii="宋体"/>
          <w:sz w:val="18"/>
          <w:szCs w:val="18"/>
          <w:shd w:val="clear" w:color="auto" w:fill="FFFFFF"/>
        </w:rPr>
        <w:t>联系电话</w:t>
      </w:r>
      <w:r>
        <w:rPr>
          <w:rFonts w:hint="eastAsia" w:ascii="宋体"/>
          <w:sz w:val="18"/>
          <w:szCs w:val="18"/>
        </w:rPr>
        <w:t xml:space="preserve">：     </w:t>
      </w:r>
      <w:r>
        <w:rPr>
          <w:rFonts w:hint="eastAsia" w:ascii="宋体"/>
          <w:sz w:val="18"/>
          <w:szCs w:val="18"/>
          <w:shd w:val="clear" w:color="auto" w:fill="FFFFFF"/>
        </w:rPr>
        <w:t xml:space="preserve"> 　 </w:t>
      </w:r>
      <w:r>
        <w:rPr>
          <w:rFonts w:hint="eastAsia" w:ascii="宋体"/>
          <w:sz w:val="18"/>
          <w:szCs w:val="18"/>
        </w:rPr>
        <w:t>报出日期：２０</w:t>
      </w:r>
      <w:r>
        <w:rPr>
          <w:rFonts w:hint="eastAsia" w:ascii="宋体"/>
          <w:sz w:val="18"/>
          <w:szCs w:val="18"/>
          <w:shd w:val="clear" w:color="auto" w:fill="FFFFFF"/>
        </w:rPr>
        <w:t xml:space="preserve">　 </w:t>
      </w:r>
      <w:r>
        <w:rPr>
          <w:rFonts w:hint="eastAsia" w:ascii="宋体"/>
          <w:sz w:val="18"/>
          <w:szCs w:val="18"/>
        </w:rPr>
        <w:t>年</w:t>
      </w:r>
      <w:r>
        <w:rPr>
          <w:rFonts w:hint="eastAsia" w:ascii="宋体"/>
          <w:sz w:val="18"/>
          <w:szCs w:val="18"/>
          <w:shd w:val="clear" w:color="auto" w:fill="FFFFFF"/>
        </w:rPr>
        <w:t>　</w:t>
      </w:r>
      <w:r>
        <w:rPr>
          <w:rFonts w:hint="eastAsia" w:ascii="宋体"/>
          <w:sz w:val="18"/>
          <w:szCs w:val="18"/>
        </w:rPr>
        <w:t>月  日</w:t>
      </w:r>
    </w:p>
    <w:p>
      <w:pPr>
        <w:rPr>
          <w:rFonts w:ascii="宋体" w:hAnsi="宋体"/>
          <w:sz w:val="18"/>
          <w:szCs w:val="18"/>
        </w:rPr>
      </w:pPr>
    </w:p>
    <w:p>
      <w:pPr>
        <w:adjustRightInd w:val="0"/>
        <w:snapToGrid w:val="0"/>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说明</w:t>
      </w:r>
      <w:r>
        <w:rPr>
          <w:rFonts w:hint="eastAsia" w:asciiTheme="minorEastAsia" w:hAnsiTheme="minorEastAsia" w:eastAsiaTheme="minorEastAsia" w:cstheme="minorEastAsia"/>
          <w:sz w:val="18"/>
          <w:szCs w:val="18"/>
        </w:rPr>
        <w:t>：1.报送单位：辖区内规模以上工业法人单位</w:t>
      </w:r>
      <w:r>
        <w:rPr>
          <w:rFonts w:hint="eastAsia" w:ascii="宋体"/>
          <w:sz w:val="18"/>
        </w:rPr>
        <w:t>和规模以上</w:t>
      </w:r>
      <w:r>
        <w:rPr>
          <w:rFonts w:hint="eastAsia" w:ascii="宋体"/>
          <w:sz w:val="18"/>
          <w:lang w:eastAsia="zh-CN"/>
        </w:rPr>
        <w:t>工业</w:t>
      </w:r>
      <w:r>
        <w:rPr>
          <w:rFonts w:hint="eastAsia" w:ascii="宋体"/>
          <w:sz w:val="18"/>
        </w:rPr>
        <w:t>个体经营户</w:t>
      </w:r>
      <w:r>
        <w:rPr>
          <w:rFonts w:hint="eastAsia" w:asciiTheme="minorEastAsia" w:hAnsiTheme="minorEastAsia" w:eastAsiaTheme="minorEastAsia" w:cstheme="minorEastAsia"/>
          <w:sz w:val="18"/>
          <w:szCs w:val="18"/>
        </w:rPr>
        <w:t>。</w:t>
      </w:r>
    </w:p>
    <w:p>
      <w:pPr>
        <w:spacing w:line="260" w:lineRule="exact"/>
        <w:ind w:left="2145" w:leftChars="250" w:hanging="1620" w:hangingChars="900"/>
        <w:rPr>
          <w:rFonts w:asciiTheme="minorEastAsia" w:hAnsiTheme="minorEastAsia" w:eastAsiaTheme="minorEastAsia" w:cstheme="minorEastAsia"/>
          <w:sz w:val="18"/>
        </w:rPr>
      </w:pPr>
      <w:r>
        <w:rPr>
          <w:rFonts w:hint="eastAsia" w:asciiTheme="minorEastAsia" w:hAnsiTheme="minorEastAsia" w:eastAsiaTheme="minorEastAsia" w:cstheme="minorEastAsia"/>
          <w:sz w:val="18"/>
          <w:szCs w:val="18"/>
        </w:rPr>
        <w:t>2.报送日期及方式：调查单位上半年7月10日、下半年次年1月10日12:00前</w:t>
      </w:r>
      <w:r>
        <w:rPr>
          <w:rFonts w:hint="eastAsia" w:asciiTheme="minorEastAsia" w:hAnsiTheme="minorEastAsia" w:eastAsiaTheme="minorEastAsia" w:cstheme="minorEastAsia"/>
          <w:sz w:val="18"/>
        </w:rPr>
        <w:t>独立自行</w:t>
      </w:r>
      <w:r>
        <w:rPr>
          <w:rFonts w:hint="eastAsia" w:asciiTheme="minorEastAsia" w:hAnsiTheme="minorEastAsia" w:eastAsiaTheme="minorEastAsia" w:cstheme="minorEastAsia"/>
          <w:sz w:val="18"/>
          <w:szCs w:val="18"/>
        </w:rPr>
        <w:t>网上填报；</w:t>
      </w:r>
      <w:r>
        <w:rPr>
          <w:rFonts w:hint="eastAsia" w:asciiTheme="minorEastAsia" w:hAnsiTheme="minorEastAsia" w:eastAsiaTheme="minorEastAsia" w:cstheme="minorEastAsia"/>
          <w:kern w:val="0"/>
          <w:sz w:val="18"/>
          <w:szCs w:val="18"/>
        </w:rPr>
        <w:t>各级统计机构在规定时间完成数据的审核、验收和上报</w:t>
      </w:r>
      <w:r>
        <w:rPr>
          <w:rFonts w:hint="eastAsia" w:asciiTheme="minorEastAsia" w:hAnsiTheme="minorEastAsia" w:eastAsiaTheme="minorEastAsia" w:cstheme="minorEastAsia"/>
          <w:sz w:val="18"/>
          <w:szCs w:val="18"/>
        </w:rPr>
        <w:t>。</w:t>
      </w:r>
    </w:p>
    <w:p>
      <w:pPr>
        <w:adjustRightInd w:val="0"/>
        <w:snapToGrid w:val="0"/>
        <w:spacing w:line="260" w:lineRule="exact"/>
        <w:ind w:left="525" w:leftChars="2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3.本表为半年报，上半年报送1-6月份累计数据，下半年报送1-12月份累计数据。</w:t>
      </w:r>
    </w:p>
    <w:p>
      <w:pPr>
        <w:adjustRightInd w:val="0"/>
        <w:snapToGrid w:val="0"/>
        <w:spacing w:line="260" w:lineRule="exact"/>
        <w:ind w:left="705" w:leftChars="250" w:hanging="180" w:hanging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4.</w:t>
      </w:r>
      <w:r>
        <w:rPr>
          <w:rFonts w:hint="eastAsia" w:asciiTheme="minorEastAsia" w:hAnsiTheme="minorEastAsia" w:eastAsiaTheme="minorEastAsia" w:cstheme="minorEastAsia"/>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w:t>
      </w:r>
    </w:p>
    <w:p>
      <w:pPr>
        <w:adjustRightInd w:val="0"/>
        <w:snapToGrid w:val="0"/>
        <w:spacing w:line="260" w:lineRule="exact"/>
        <w:ind w:left="2055" w:leftChars="250" w:hanging="1530" w:hangingChars="8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5.审核关系：（1）合计＝地表淡水＋地下淡水＋自来水＋海水＋陆地苦咸水＋矿井水＋雨水＋再生水（中水）＋海水淡化水＋其他水</w:t>
      </w:r>
    </w:p>
    <w:p>
      <w:pPr>
        <w:adjustRightInd w:val="0"/>
        <w:snapToGrid w:val="0"/>
        <w:spacing w:line="260" w:lineRule="exact"/>
        <w:ind w:firstLine="1620" w:firstLineChars="9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（2）取水量合计＋污水处理量＞外供水量合计＋外排水量</w:t>
      </w:r>
    </w:p>
    <w:p>
      <w:pPr>
        <w:adjustRightInd w:val="0"/>
        <w:snapToGrid w:val="0"/>
        <w:spacing w:line="260" w:lineRule="exact"/>
        <w:ind w:left="525" w:leftChars="2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6.重复用水率＝重复用水量/(用新水量+重复用水量)×100%</w:t>
      </w:r>
    </w:p>
    <w:p>
      <w:pPr>
        <w:adjustRightInd w:val="0"/>
        <w:snapToGrid w:val="0"/>
        <w:spacing w:line="260" w:lineRule="exact"/>
        <w:ind w:left="525" w:leftChars="2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7.企业用新水量说明：</w:t>
      </w:r>
    </w:p>
    <w:p>
      <w:pPr>
        <w:adjustRightInd w:val="0"/>
        <w:snapToGrid w:val="0"/>
        <w:spacing w:line="260" w:lineRule="exact"/>
        <w:ind w:left="735" w:leftChars="3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（1）没有外供水的企业:用新水量＝取水量合计</w:t>
      </w:r>
    </w:p>
    <w:p>
      <w:pPr>
        <w:adjustRightInd w:val="0"/>
        <w:snapToGrid w:val="0"/>
        <w:spacing w:line="260" w:lineRule="exact"/>
        <w:ind w:left="735" w:leftChars="3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（2）有外供水的企业，比如自来水厂、矿泉水生产企业，用新水量＝取水量合计－外供水量合计</w:t>
      </w:r>
    </w:p>
    <w:p>
      <w:pPr>
        <w:adjustRightInd w:val="0"/>
        <w:snapToGrid w:val="0"/>
        <w:spacing w:line="260" w:lineRule="exact"/>
        <w:ind w:left="735" w:leftChars="3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（3）有污水处理设备的企业取水量不包括污水和自用的再生水（中水）</w:t>
      </w:r>
    </w:p>
    <w:p>
      <w:pPr>
        <w:spacing w:line="260" w:lineRule="exact"/>
        <w:ind w:left="525" w:leftChars="2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8.用新水量计算说明：汇总国家或地区的用新水量的计算公式如下：</w:t>
      </w:r>
    </w:p>
    <w:p>
      <w:pPr>
        <w:spacing w:line="260" w:lineRule="exact"/>
        <w:ind w:left="525" w:leftChars="250" w:firstLine="180" w:firstLineChars="1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用新水量汇总数＝取水量汇总数－外供水量汇总数</w:t>
      </w:r>
    </w:p>
    <w:p>
      <w:pPr>
        <w:keepNext w:val="0"/>
        <w:keepLines w:val="0"/>
        <w:pageBreakBefore w:val="0"/>
        <w:widowControl/>
        <w:kinsoku/>
        <w:wordWrap/>
        <w:overflowPunct/>
        <w:topLinePunct w:val="0"/>
        <w:autoSpaceDE/>
        <w:autoSpaceDN/>
        <w:bidi w:val="0"/>
        <w:adjustRightInd/>
        <w:snapToGrid/>
        <w:spacing w:line="260" w:lineRule="exact"/>
        <w:ind w:left="705" w:leftChars="250" w:hanging="180" w:hangingChars="100"/>
        <w:textAlignment w:val="auto"/>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9.取水量不包括为转供给其他企业、居民等而取的自来水，外供水量不包括取来直接转供给其他企业、居民等的自来水。</w:t>
      </w:r>
    </w:p>
    <w:p>
      <w:pPr>
        <w:ind w:firstLine="2100" w:firstLineChars="1000"/>
      </w:pPr>
      <w:r>
        <w:br w:type="page"/>
      </w:r>
    </w:p>
    <w:p>
      <w:pPr>
        <w:ind w:firstLine="2248" w:firstLineChars="700"/>
        <w:rPr>
          <w:rFonts w:ascii="宋体" w:hAnsi="宋体"/>
          <w:b/>
          <w:sz w:val="32"/>
          <w:szCs w:val="32"/>
        </w:rPr>
      </w:pPr>
      <w:r>
        <w:rPr>
          <w:rFonts w:hint="eastAsia" w:ascii="宋体" w:hAnsi="宋体"/>
          <w:b/>
          <w:sz w:val="32"/>
          <w:szCs w:val="32"/>
        </w:rPr>
        <w:t>非工业重点耗能单位能源消费情况</w:t>
      </w:r>
    </w:p>
    <w:tbl>
      <w:tblPr>
        <w:tblStyle w:val="21"/>
        <w:tblW w:w="9677"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1315"/>
        <w:gridCol w:w="1121"/>
        <w:gridCol w:w="566"/>
        <w:gridCol w:w="160"/>
        <w:gridCol w:w="753"/>
        <w:gridCol w:w="1004"/>
        <w:gridCol w:w="1000"/>
        <w:gridCol w:w="821"/>
        <w:gridCol w:w="181"/>
        <w:gridCol w:w="976"/>
        <w:gridCol w:w="1770"/>
        <w:gridCol w:w="10"/>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55" w:hRule="atLeast"/>
          <w:jc w:val="center"/>
        </w:trPr>
        <w:tc>
          <w:tcPr>
            <w:tcW w:w="6740" w:type="dxa"/>
            <w:gridSpan w:val="8"/>
            <w:tcBorders>
              <w:top w:val="nil"/>
              <w:bottom w:val="nil"/>
              <w:right w:val="nil"/>
            </w:tcBorders>
            <w:noWrap/>
            <w:vAlign w:val="center"/>
          </w:tcPr>
          <w:p>
            <w:pPr>
              <w:adjustRightInd w:val="0"/>
              <w:snapToGrid w:val="0"/>
              <w:jc w:val="center"/>
              <w:rPr>
                <w:rFonts w:asciiTheme="minorEastAsia" w:hAnsiTheme="minorEastAsia" w:eastAsiaTheme="minorEastAsia" w:cstheme="minorEastAsia"/>
                <w:sz w:val="18"/>
                <w:szCs w:val="18"/>
              </w:rPr>
            </w:pPr>
          </w:p>
        </w:tc>
        <w:tc>
          <w:tcPr>
            <w:tcW w:w="1157" w:type="dxa"/>
            <w:gridSpan w:val="2"/>
            <w:tcBorders>
              <w:top w:val="nil"/>
              <w:left w:val="nil"/>
              <w:bottom w:val="nil"/>
              <w:right w:val="nil"/>
            </w:tcBorders>
            <w:noWrap/>
          </w:tcPr>
          <w:p>
            <w:pPr>
              <w:spacing w:line="26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表    号：</w:t>
            </w:r>
          </w:p>
        </w:tc>
        <w:tc>
          <w:tcPr>
            <w:tcW w:w="1780" w:type="dxa"/>
            <w:gridSpan w:val="2"/>
            <w:tcBorders>
              <w:top w:val="nil"/>
              <w:left w:val="nil"/>
              <w:bottom w:val="nil"/>
            </w:tcBorders>
            <w:noWrap/>
            <w:vAlign w:val="center"/>
          </w:tcPr>
          <w:p>
            <w:pPr>
              <w:spacing w:line="26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２０５－５表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55" w:hRule="atLeast"/>
          <w:jc w:val="center"/>
        </w:trPr>
        <w:tc>
          <w:tcPr>
            <w:tcW w:w="6740" w:type="dxa"/>
            <w:gridSpan w:val="8"/>
            <w:tcBorders>
              <w:top w:val="nil"/>
              <w:bottom w:val="nil"/>
              <w:right w:val="nil"/>
            </w:tcBorders>
            <w:noWrap/>
            <w:vAlign w:val="center"/>
          </w:tcPr>
          <w:p>
            <w:pPr>
              <w:adjustRightInd w:val="0"/>
              <w:snapToGrid w:val="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统一社会信用代码□□□□□□□□□□□□□□□□□□</w:t>
            </w:r>
          </w:p>
        </w:tc>
        <w:tc>
          <w:tcPr>
            <w:tcW w:w="1157" w:type="dxa"/>
            <w:gridSpan w:val="2"/>
            <w:tcBorders>
              <w:top w:val="nil"/>
              <w:left w:val="nil"/>
              <w:bottom w:val="nil"/>
              <w:right w:val="nil"/>
            </w:tcBorders>
            <w:noWrap/>
            <w:vAlign w:val="center"/>
          </w:tcPr>
          <w:p>
            <w:pPr>
              <w:spacing w:line="26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制定机关：</w:t>
            </w:r>
          </w:p>
        </w:tc>
        <w:tc>
          <w:tcPr>
            <w:tcW w:w="1780" w:type="dxa"/>
            <w:gridSpan w:val="2"/>
            <w:tcBorders>
              <w:top w:val="nil"/>
              <w:left w:val="nil"/>
              <w:bottom w:val="nil"/>
            </w:tcBorders>
            <w:noWrap/>
            <w:vAlign w:val="center"/>
          </w:tcPr>
          <w:p>
            <w:pPr>
              <w:spacing w:line="26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国 家 统 计 局</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55" w:hRule="atLeast"/>
          <w:jc w:val="center"/>
        </w:trPr>
        <w:tc>
          <w:tcPr>
            <w:tcW w:w="6740" w:type="dxa"/>
            <w:gridSpan w:val="8"/>
            <w:tcBorders>
              <w:top w:val="nil"/>
              <w:bottom w:val="nil"/>
              <w:right w:val="nil"/>
            </w:tcBorders>
            <w:noWrap/>
            <w:vAlign w:val="center"/>
          </w:tcPr>
          <w:p>
            <w:pPr>
              <w:adjustRightInd w:val="0"/>
              <w:snapToGrid w:val="0"/>
              <w:rPr>
                <w:rFonts w:asciiTheme="minorEastAsia" w:hAnsiTheme="minorEastAsia" w:eastAsiaTheme="minorEastAsia" w:cstheme="minorEastAsia"/>
                <w:sz w:val="18"/>
                <w:szCs w:val="18"/>
              </w:rPr>
            </w:pPr>
          </w:p>
        </w:tc>
        <w:tc>
          <w:tcPr>
            <w:tcW w:w="1157" w:type="dxa"/>
            <w:gridSpan w:val="2"/>
            <w:tcBorders>
              <w:top w:val="nil"/>
              <w:left w:val="nil"/>
              <w:bottom w:val="nil"/>
              <w:right w:val="nil"/>
            </w:tcBorders>
            <w:noWrap/>
            <w:vAlign w:val="center"/>
          </w:tcPr>
          <w:p>
            <w:pPr>
              <w:spacing w:line="26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文    号：</w:t>
            </w:r>
          </w:p>
        </w:tc>
        <w:tc>
          <w:tcPr>
            <w:tcW w:w="1780" w:type="dxa"/>
            <w:gridSpan w:val="2"/>
            <w:tcBorders>
              <w:top w:val="nil"/>
              <w:left w:val="nil"/>
              <w:bottom w:val="nil"/>
            </w:tcBorders>
            <w:noWrap/>
            <w:vAlign w:val="center"/>
          </w:tcPr>
          <w:p>
            <w:pPr>
              <w:spacing w:line="260" w:lineRule="exact"/>
              <w:jc w:val="distribute"/>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国</w:t>
            </w:r>
            <w:r>
              <w:rPr>
                <w:rFonts w:hint="eastAsia" w:ascii="宋体" w:hAnsi="宋体"/>
                <w:color w:val="auto"/>
                <w:sz w:val="18"/>
                <w:szCs w:val="18"/>
              </w:rPr>
              <w:t>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Theme="minorEastAsia" w:hAnsiTheme="minorEastAsia" w:eastAsiaTheme="minorEastAsia" w:cstheme="minorEastAsia"/>
                <w:color w:val="auto"/>
                <w:sz w:val="18"/>
                <w:szCs w:val="18"/>
              </w:rPr>
              <w:t>号</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55" w:hRule="atLeast"/>
          <w:jc w:val="center"/>
        </w:trPr>
        <w:tc>
          <w:tcPr>
            <w:tcW w:w="3162" w:type="dxa"/>
            <w:gridSpan w:val="4"/>
            <w:tcBorders>
              <w:top w:val="nil"/>
              <w:bottom w:val="single" w:color="auto" w:sz="8" w:space="0"/>
              <w:right w:val="nil"/>
            </w:tcBorders>
            <w:noWrap/>
            <w:vAlign w:val="center"/>
          </w:tcPr>
          <w:p>
            <w:pPr>
              <w:adjustRightInd w:val="0"/>
              <w:snapToGrid w:val="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单位详细名称：</w:t>
            </w:r>
          </w:p>
        </w:tc>
        <w:tc>
          <w:tcPr>
            <w:tcW w:w="3578" w:type="dxa"/>
            <w:gridSpan w:val="4"/>
            <w:tcBorders>
              <w:top w:val="nil"/>
              <w:left w:val="nil"/>
              <w:bottom w:val="single" w:color="auto" w:sz="8" w:space="0"/>
              <w:right w:val="nil"/>
            </w:tcBorders>
            <w:noWrap/>
            <w:tcMar>
              <w:top w:w="0" w:type="dxa"/>
              <w:left w:w="0" w:type="dxa"/>
              <w:bottom w:w="0" w:type="dxa"/>
              <w:right w:w="0"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２０　　年  １－　　季</w:t>
            </w:r>
          </w:p>
        </w:tc>
        <w:tc>
          <w:tcPr>
            <w:tcW w:w="1157" w:type="dxa"/>
            <w:gridSpan w:val="2"/>
            <w:tcBorders>
              <w:top w:val="nil"/>
              <w:left w:val="nil"/>
              <w:bottom w:val="single" w:color="auto" w:sz="8" w:space="0"/>
              <w:right w:val="nil"/>
            </w:tcBorders>
            <w:noWrap/>
            <w:vAlign w:val="center"/>
          </w:tcPr>
          <w:p>
            <w:pPr>
              <w:spacing w:line="26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有效期至：</w:t>
            </w:r>
          </w:p>
        </w:tc>
        <w:tc>
          <w:tcPr>
            <w:tcW w:w="1780" w:type="dxa"/>
            <w:gridSpan w:val="2"/>
            <w:tcBorders>
              <w:top w:val="nil"/>
              <w:left w:val="nil"/>
              <w:bottom w:val="single" w:color="auto" w:sz="8" w:space="0"/>
            </w:tcBorders>
            <w:noWrap/>
            <w:vAlign w:val="center"/>
          </w:tcPr>
          <w:p>
            <w:pPr>
              <w:spacing w:line="260" w:lineRule="exact"/>
              <w:jc w:val="distribute"/>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２０２</w:t>
            </w:r>
            <w:r>
              <w:rPr>
                <w:rFonts w:hint="eastAsia" w:asciiTheme="minorEastAsia" w:hAnsiTheme="minorEastAsia" w:eastAsiaTheme="minorEastAsia" w:cstheme="minorEastAsia"/>
                <w:color w:val="auto"/>
                <w:sz w:val="18"/>
                <w:szCs w:val="18"/>
                <w:lang w:val="en-US" w:eastAsia="zh-CN"/>
              </w:rPr>
              <w:t>7</w:t>
            </w:r>
            <w:r>
              <w:rPr>
                <w:rFonts w:hint="eastAsia" w:asciiTheme="minorEastAsia" w:hAnsiTheme="minorEastAsia" w:eastAsiaTheme="minorEastAsia" w:cstheme="minorEastAsia"/>
                <w:color w:val="auto"/>
                <w:sz w:val="18"/>
                <w:szCs w:val="18"/>
              </w:rPr>
              <w:t>年１月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420" w:hRule="atLeast"/>
          <w:jc w:val="center"/>
        </w:trPr>
        <w:tc>
          <w:tcPr>
            <w:tcW w:w="1315" w:type="dxa"/>
            <w:vMerge w:val="restart"/>
            <w:shd w:val="clear" w:color="auto" w:fill="auto"/>
            <w:noWrap/>
            <w:vAlign w:val="center"/>
          </w:tcPr>
          <w:p>
            <w:pPr>
              <w:adjustRightInd w:val="0"/>
              <w:snapToGri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能源名称</w:t>
            </w:r>
          </w:p>
        </w:tc>
        <w:tc>
          <w:tcPr>
            <w:tcW w:w="1121" w:type="dxa"/>
            <w:vMerge w:val="restart"/>
            <w:shd w:val="clear" w:color="auto" w:fill="auto"/>
            <w:noWrap/>
            <w:tcMar>
              <w:left w:w="108" w:type="dxa"/>
              <w:right w:w="108" w:type="dxa"/>
            </w:tcMar>
            <w:vAlign w:val="center"/>
          </w:tcPr>
          <w:p>
            <w:pPr>
              <w:adjustRightInd w:val="0"/>
              <w:snapToGri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计量单位</w:t>
            </w:r>
          </w:p>
        </w:tc>
        <w:tc>
          <w:tcPr>
            <w:tcW w:w="566" w:type="dxa"/>
            <w:vMerge w:val="restart"/>
            <w:shd w:val="clear" w:color="auto" w:fill="auto"/>
            <w:noWrap/>
            <w:tcMar>
              <w:top w:w="0" w:type="dxa"/>
              <w:left w:w="108" w:type="dxa"/>
              <w:bottom w:w="0" w:type="dxa"/>
              <w:right w:w="108" w:type="dxa"/>
            </w:tcMar>
            <w:vAlign w:val="center"/>
          </w:tcPr>
          <w:p>
            <w:pPr>
              <w:adjustRightInd w:val="0"/>
              <w:snapToGri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代码</w:t>
            </w:r>
          </w:p>
        </w:tc>
        <w:tc>
          <w:tcPr>
            <w:tcW w:w="1917" w:type="dxa"/>
            <w:gridSpan w:val="3"/>
            <w:shd w:val="clear" w:color="auto" w:fill="auto"/>
            <w:noWrap/>
            <w:tcMar>
              <w:top w:w="0" w:type="dxa"/>
              <w:left w:w="0" w:type="dxa"/>
              <w:bottom w:w="0" w:type="dxa"/>
              <w:right w:w="0" w:type="dxa"/>
            </w:tcMar>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1-本季    </w:t>
            </w:r>
          </w:p>
        </w:tc>
        <w:tc>
          <w:tcPr>
            <w:tcW w:w="2002" w:type="dxa"/>
            <w:gridSpan w:val="3"/>
            <w:tcBorders>
              <w:top w:val="single" w:color="auto" w:sz="8" w:space="0"/>
              <w:bottom w:val="single" w:color="auto" w:sz="2" w:space="0"/>
            </w:tcBorders>
            <w:shd w:val="clear" w:color="auto" w:fill="D9D9D9"/>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上年同期  </w:t>
            </w:r>
          </w:p>
        </w:tc>
        <w:tc>
          <w:tcPr>
            <w:tcW w:w="2756" w:type="dxa"/>
            <w:gridSpan w:val="3"/>
            <w:vMerge w:val="restart"/>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参考折标准煤系数</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561" w:hRule="exact"/>
          <w:jc w:val="center"/>
        </w:trPr>
        <w:tc>
          <w:tcPr>
            <w:tcW w:w="1315" w:type="dxa"/>
            <w:vMerge w:val="continue"/>
            <w:shd w:val="clear" w:color="auto" w:fill="auto"/>
            <w:noWrap/>
            <w:vAlign w:val="center"/>
          </w:tcPr>
          <w:p>
            <w:pPr>
              <w:adjustRightInd w:val="0"/>
              <w:snapToGrid w:val="0"/>
              <w:jc w:val="center"/>
              <w:rPr>
                <w:rFonts w:asciiTheme="minorEastAsia" w:hAnsiTheme="minorEastAsia" w:eastAsiaTheme="minorEastAsia" w:cstheme="minorEastAsia"/>
                <w:sz w:val="18"/>
                <w:szCs w:val="18"/>
              </w:rPr>
            </w:pPr>
          </w:p>
        </w:tc>
        <w:tc>
          <w:tcPr>
            <w:tcW w:w="1121" w:type="dxa"/>
            <w:vMerge w:val="continue"/>
            <w:shd w:val="clear" w:color="auto" w:fill="auto"/>
            <w:noWrap/>
            <w:tcMar>
              <w:left w:w="108" w:type="dxa"/>
              <w:right w:w="108" w:type="dxa"/>
            </w:tcMar>
            <w:vAlign w:val="center"/>
          </w:tcPr>
          <w:p>
            <w:pPr>
              <w:adjustRightInd w:val="0"/>
              <w:snapToGrid w:val="0"/>
              <w:jc w:val="center"/>
              <w:rPr>
                <w:rFonts w:asciiTheme="minorEastAsia" w:hAnsiTheme="minorEastAsia" w:eastAsiaTheme="minorEastAsia" w:cstheme="minorEastAsia"/>
                <w:sz w:val="18"/>
                <w:szCs w:val="18"/>
              </w:rPr>
            </w:pPr>
          </w:p>
        </w:tc>
        <w:tc>
          <w:tcPr>
            <w:tcW w:w="566" w:type="dxa"/>
            <w:vMerge w:val="continue"/>
            <w:shd w:val="clear" w:color="auto" w:fill="auto"/>
            <w:noWrap/>
            <w:tcMar>
              <w:top w:w="0" w:type="dxa"/>
              <w:left w:w="108" w:type="dxa"/>
              <w:bottom w:w="0" w:type="dxa"/>
              <w:right w:w="108" w:type="dxa"/>
            </w:tcMar>
            <w:vAlign w:val="center"/>
          </w:tcPr>
          <w:p>
            <w:pPr>
              <w:adjustRightInd w:val="0"/>
              <w:snapToGrid w:val="0"/>
              <w:jc w:val="center"/>
              <w:rPr>
                <w:rFonts w:asciiTheme="minorEastAsia" w:hAnsiTheme="minorEastAsia" w:eastAsiaTheme="minorEastAsia" w:cstheme="minorEastAsia"/>
                <w:sz w:val="18"/>
                <w:szCs w:val="18"/>
              </w:rPr>
            </w:pPr>
          </w:p>
        </w:tc>
        <w:tc>
          <w:tcPr>
            <w:tcW w:w="913" w:type="dxa"/>
            <w:gridSpan w:val="2"/>
            <w:shd w:val="clear" w:color="auto" w:fill="auto"/>
            <w:noWrap/>
            <w:tcMar>
              <w:top w:w="0" w:type="dxa"/>
              <w:left w:w="0" w:type="dxa"/>
              <w:bottom w:w="0" w:type="dxa"/>
              <w:right w:w="0" w:type="dxa"/>
            </w:tcMar>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消费量</w:t>
            </w:r>
          </w:p>
        </w:tc>
        <w:tc>
          <w:tcPr>
            <w:tcW w:w="1004" w:type="dxa"/>
            <w:shd w:val="clear" w:color="auto" w:fill="auto"/>
            <w:noWrap/>
            <w:tcMar>
              <w:top w:w="0" w:type="dxa"/>
              <w:left w:w="108" w:type="dxa"/>
              <w:bottom w:w="0" w:type="dxa"/>
              <w:right w:w="108" w:type="dxa"/>
            </w:tcMar>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消费金额(千元)</w:t>
            </w:r>
          </w:p>
        </w:tc>
        <w:tc>
          <w:tcPr>
            <w:tcW w:w="1000" w:type="dxa"/>
            <w:tcBorders>
              <w:top w:val="single" w:color="auto" w:sz="2" w:space="0"/>
              <w:bottom w:val="single" w:color="auto" w:sz="2" w:space="0"/>
            </w:tcBorders>
            <w:shd w:val="clear" w:color="auto" w:fill="D9D9D9"/>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消费量</w:t>
            </w:r>
          </w:p>
        </w:tc>
        <w:tc>
          <w:tcPr>
            <w:tcW w:w="1002" w:type="dxa"/>
            <w:gridSpan w:val="2"/>
            <w:tcBorders>
              <w:top w:val="single" w:color="auto" w:sz="2" w:space="0"/>
              <w:bottom w:val="single" w:color="auto" w:sz="2" w:space="0"/>
            </w:tcBorders>
            <w:shd w:val="clear" w:color="auto" w:fill="D9D9D9"/>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消费金额(千元)</w:t>
            </w:r>
          </w:p>
        </w:tc>
        <w:tc>
          <w:tcPr>
            <w:tcW w:w="2756" w:type="dxa"/>
            <w:gridSpan w:val="3"/>
            <w:vMerge w:val="continue"/>
            <w:noWrap/>
            <w:vAlign w:val="center"/>
          </w:tcPr>
          <w:p>
            <w:pPr>
              <w:widowControl/>
              <w:jc w:val="center"/>
              <w:rPr>
                <w:rFonts w:asciiTheme="minorEastAsia" w:hAnsiTheme="minorEastAsia" w:eastAsiaTheme="minorEastAsia" w:cstheme="minorEastAsia"/>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1"/>
          <w:wAfter w:w="10" w:type="dxa"/>
          <w:cantSplit/>
          <w:trHeight w:val="306" w:hRule="exact"/>
          <w:jc w:val="center"/>
        </w:trPr>
        <w:tc>
          <w:tcPr>
            <w:tcW w:w="1315" w:type="dxa"/>
            <w:shd w:val="clear" w:color="auto" w:fill="auto"/>
            <w:noWrap/>
            <w:vAlign w:val="center"/>
          </w:tcPr>
          <w:p>
            <w:pPr>
              <w:adjustRightInd w:val="0"/>
              <w:snapToGrid w:val="0"/>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甲</w:t>
            </w:r>
          </w:p>
        </w:tc>
        <w:tc>
          <w:tcPr>
            <w:tcW w:w="1121" w:type="dxa"/>
            <w:shd w:val="clear" w:color="auto" w:fill="auto"/>
            <w:noWrap/>
            <w:tcMar>
              <w:left w:w="108" w:type="dxa"/>
              <w:right w:w="108" w:type="dxa"/>
            </w:tcMar>
            <w:vAlign w:val="center"/>
          </w:tcPr>
          <w:p>
            <w:pPr>
              <w:adjustRightInd w:val="0"/>
              <w:snapToGrid w:val="0"/>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乙</w:t>
            </w:r>
          </w:p>
        </w:tc>
        <w:tc>
          <w:tcPr>
            <w:tcW w:w="566" w:type="dxa"/>
            <w:shd w:val="clear" w:color="auto" w:fill="auto"/>
            <w:noWrap/>
            <w:tcMar>
              <w:top w:w="0" w:type="dxa"/>
              <w:left w:w="108" w:type="dxa"/>
              <w:bottom w:w="0" w:type="dxa"/>
              <w:right w:w="108" w:type="dxa"/>
            </w:tcMar>
            <w:vAlign w:val="center"/>
          </w:tcPr>
          <w:p>
            <w:pPr>
              <w:adjustRightInd w:val="0"/>
              <w:snapToGrid w:val="0"/>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丙</w:t>
            </w:r>
          </w:p>
        </w:tc>
        <w:tc>
          <w:tcPr>
            <w:tcW w:w="913" w:type="dxa"/>
            <w:gridSpan w:val="2"/>
            <w:shd w:val="clear" w:color="auto" w:fill="auto"/>
            <w:noWrap/>
            <w:tcMar>
              <w:top w:w="0" w:type="dxa"/>
              <w:left w:w="0" w:type="dxa"/>
              <w:bottom w:w="0" w:type="dxa"/>
              <w:right w:w="0" w:type="dxa"/>
            </w:tcMar>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tc>
        <w:tc>
          <w:tcPr>
            <w:tcW w:w="1004" w:type="dxa"/>
            <w:shd w:val="clear" w:color="auto" w:fill="auto"/>
            <w:noWrap/>
            <w:tcMar>
              <w:top w:w="0" w:type="dxa"/>
              <w:left w:w="108" w:type="dxa"/>
              <w:bottom w:w="0" w:type="dxa"/>
              <w:right w:w="108" w:type="dxa"/>
            </w:tcMar>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1000" w:type="dxa"/>
            <w:tcBorders>
              <w:top w:val="single" w:color="auto" w:sz="2" w:space="0"/>
              <w:bottom w:val="single" w:color="auto" w:sz="2" w:space="0"/>
            </w:tcBorders>
            <w:shd w:val="clear" w:color="auto" w:fill="D9D9D9"/>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w:t>
            </w:r>
          </w:p>
        </w:tc>
        <w:tc>
          <w:tcPr>
            <w:tcW w:w="1002" w:type="dxa"/>
            <w:gridSpan w:val="2"/>
            <w:tcBorders>
              <w:top w:val="single" w:color="auto" w:sz="2" w:space="0"/>
              <w:bottom w:val="single" w:color="auto" w:sz="2" w:space="0"/>
            </w:tcBorders>
            <w:shd w:val="clear" w:color="auto" w:fill="D9D9D9"/>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p>
        </w:tc>
        <w:tc>
          <w:tcPr>
            <w:tcW w:w="2746" w:type="dxa"/>
            <w:gridSpan w:val="2"/>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丁</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1"/>
          <w:wAfter w:w="10" w:type="dxa"/>
          <w:cantSplit/>
          <w:trHeight w:val="723" w:hRule="atLeast"/>
          <w:jc w:val="center"/>
        </w:trPr>
        <w:tc>
          <w:tcPr>
            <w:tcW w:w="1315" w:type="dxa"/>
            <w:noWrap/>
          </w:tcPr>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电力</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煤炭</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焦炭</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煤气</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天然气</w:t>
            </w:r>
          </w:p>
          <w:p>
            <w:pPr>
              <w:adjustRightInd w:val="0"/>
              <w:snapToGrid w:val="0"/>
              <w:spacing w:line="320" w:lineRule="exact"/>
              <w:ind w:firstLine="8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napToGrid w:val="0"/>
                <w:spacing w:val="-10"/>
                <w:kern w:val="0"/>
                <w:sz w:val="18"/>
                <w:szCs w:val="18"/>
              </w:rPr>
              <w:t>液化石油气</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汽油</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煤油</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柴油</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燃料油</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外购热力</w:t>
            </w:r>
          </w:p>
        </w:tc>
        <w:tc>
          <w:tcPr>
            <w:tcW w:w="1121" w:type="dxa"/>
            <w:noWrap/>
            <w:tcMar>
              <w:left w:w="108" w:type="dxa"/>
              <w:right w:w="108" w:type="dxa"/>
            </w:tcMar>
          </w:tcPr>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千瓦时(度)</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立方米</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百万千焦</w:t>
            </w:r>
          </w:p>
        </w:tc>
        <w:tc>
          <w:tcPr>
            <w:tcW w:w="566" w:type="dxa"/>
            <w:noWrap/>
            <w:tcMar>
              <w:top w:w="0" w:type="dxa"/>
              <w:left w:w="108" w:type="dxa"/>
              <w:bottom w:w="0" w:type="dxa"/>
              <w:right w:w="108" w:type="dxa"/>
            </w:tcMar>
            <w:vAlign w:val="center"/>
          </w:tcPr>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01</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02</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03</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04</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05</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06</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07</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08</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09</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w:t>
            </w:r>
          </w:p>
          <w:p>
            <w:pPr>
              <w:widowControl/>
              <w:snapToGrid w:val="0"/>
              <w:spacing w:line="32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w:t>
            </w:r>
          </w:p>
        </w:tc>
        <w:tc>
          <w:tcPr>
            <w:tcW w:w="3919" w:type="dxa"/>
            <w:gridSpan w:val="6"/>
            <w:noWrap/>
            <w:tcMar>
              <w:top w:w="0" w:type="dxa"/>
              <w:left w:w="0" w:type="dxa"/>
              <w:bottom w:w="0" w:type="dxa"/>
              <w:right w:w="0" w:type="dxa"/>
            </w:tcMar>
          </w:tcPr>
          <w:p>
            <w:pPr>
              <w:adjustRightInd w:val="0"/>
              <w:snapToGrid w:val="0"/>
              <w:ind w:firstLine="90" w:firstLineChars="50"/>
              <w:rPr>
                <w:rFonts w:asciiTheme="minorEastAsia" w:hAnsiTheme="minorEastAsia" w:eastAsiaTheme="minorEastAsia" w:cstheme="minorEastAsia"/>
                <w:sz w:val="18"/>
                <w:szCs w:val="18"/>
              </w:rPr>
            </w:pPr>
          </w:p>
        </w:tc>
        <w:tc>
          <w:tcPr>
            <w:tcW w:w="2746" w:type="dxa"/>
            <w:gridSpan w:val="2"/>
            <w:noWrap/>
          </w:tcPr>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0.1229千克标准煤/千瓦时</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0.7143吨标准煤/吨</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0.9714吨标准煤/吨</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0.5714千克标准煤/立方米</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1.33千克标准煤/立方米</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1.7143吨标准煤/吨</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1.4714吨标准煤/吨</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1.4714吨标准煤/吨</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1.4571吨标准煤/吨</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1.4286吨标准煤/吨</w:t>
            </w:r>
          </w:p>
          <w:p>
            <w:pPr>
              <w:adjustRightInd w:val="0"/>
              <w:snapToGrid w:val="0"/>
              <w:spacing w:line="32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0.0341吨标准煤/百万千焦</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1"/>
          <w:wAfter w:w="10" w:type="dxa"/>
          <w:cantSplit/>
          <w:trHeight w:val="293" w:hRule="atLeast"/>
          <w:jc w:val="center"/>
        </w:trPr>
        <w:tc>
          <w:tcPr>
            <w:tcW w:w="1315" w:type="dxa"/>
            <w:noWrap/>
            <w:vAlign w:val="center"/>
          </w:tcPr>
          <w:p>
            <w:pPr>
              <w:adjustRightInd w:val="0"/>
              <w:snapToGrid w:val="0"/>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能源合计</w:t>
            </w:r>
          </w:p>
        </w:tc>
        <w:tc>
          <w:tcPr>
            <w:tcW w:w="1121" w:type="dxa"/>
            <w:noWrap/>
            <w:tcMar>
              <w:left w:w="108" w:type="dxa"/>
              <w:right w:w="108" w:type="dxa"/>
            </w:tcMar>
            <w:vAlign w:val="center"/>
          </w:tcPr>
          <w:p>
            <w:pPr>
              <w:widowControl/>
              <w:snapToGrid w:val="0"/>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吨标准煤</w:t>
            </w:r>
          </w:p>
        </w:tc>
        <w:tc>
          <w:tcPr>
            <w:tcW w:w="566" w:type="dxa"/>
            <w:noWrap/>
            <w:tcMar>
              <w:top w:w="0" w:type="dxa"/>
              <w:left w:w="108" w:type="dxa"/>
              <w:bottom w:w="0" w:type="dxa"/>
              <w:right w:w="108" w:type="dxa"/>
            </w:tcMar>
            <w:vAlign w:val="center"/>
          </w:tcPr>
          <w:p>
            <w:pPr>
              <w:widowControl/>
              <w:snapToGrid w:val="0"/>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w:t>
            </w:r>
          </w:p>
        </w:tc>
        <w:tc>
          <w:tcPr>
            <w:tcW w:w="913" w:type="dxa"/>
            <w:gridSpan w:val="2"/>
            <w:noWrap/>
            <w:tcMar>
              <w:top w:w="0" w:type="dxa"/>
              <w:left w:w="0" w:type="dxa"/>
              <w:bottom w:w="0" w:type="dxa"/>
              <w:right w:w="0" w:type="dxa"/>
            </w:tcMar>
            <w:vAlign w:val="center"/>
          </w:tcPr>
          <w:p>
            <w:pPr>
              <w:widowControl/>
              <w:jc w:val="center"/>
              <w:rPr>
                <w:rFonts w:asciiTheme="minorEastAsia" w:hAnsiTheme="minorEastAsia" w:eastAsiaTheme="minorEastAsia" w:cstheme="minorEastAsia"/>
                <w:sz w:val="18"/>
                <w:szCs w:val="18"/>
              </w:rPr>
            </w:pPr>
          </w:p>
        </w:tc>
        <w:tc>
          <w:tcPr>
            <w:tcW w:w="1004" w:type="dxa"/>
            <w:noWrap/>
            <w:tcMar>
              <w:top w:w="0" w:type="dxa"/>
              <w:left w:w="108" w:type="dxa"/>
              <w:bottom w:w="0" w:type="dxa"/>
              <w:right w:w="108" w:type="dxa"/>
            </w:tcMar>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000" w:type="dxa"/>
            <w:noWrap/>
            <w:vAlign w:val="center"/>
          </w:tcPr>
          <w:p>
            <w:pPr>
              <w:widowControl/>
              <w:jc w:val="center"/>
              <w:rPr>
                <w:rFonts w:asciiTheme="minorEastAsia" w:hAnsiTheme="minorEastAsia" w:eastAsiaTheme="minorEastAsia" w:cstheme="minorEastAsia"/>
                <w:sz w:val="18"/>
                <w:szCs w:val="18"/>
              </w:rPr>
            </w:pPr>
          </w:p>
        </w:tc>
        <w:tc>
          <w:tcPr>
            <w:tcW w:w="1002" w:type="dxa"/>
            <w:gridSpan w:val="2"/>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2746" w:type="dxa"/>
            <w:gridSpan w:val="2"/>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r>
    </w:tbl>
    <w:p>
      <w:pPr>
        <w:adjustRightInd w:val="0"/>
        <w:spacing w:line="260" w:lineRule="exact"/>
        <w:rPr>
          <w:szCs w:val="20"/>
        </w:rPr>
      </w:pPr>
      <w:r>
        <w:rPr>
          <w:rFonts w:hint="eastAsia" w:ascii="宋体"/>
          <w:sz w:val="18"/>
          <w:szCs w:val="18"/>
        </w:rPr>
        <w:t xml:space="preserve">单位负责人：      </w:t>
      </w:r>
      <w:r>
        <w:rPr>
          <w:rFonts w:hint="eastAsia" w:ascii="宋体"/>
          <w:sz w:val="18"/>
          <w:szCs w:val="18"/>
          <w:shd w:val="clear" w:color="auto" w:fill="FFFFFF"/>
        </w:rPr>
        <w:t xml:space="preserve">　 </w:t>
      </w:r>
      <w:r>
        <w:rPr>
          <w:rFonts w:hint="eastAsia" w:ascii="宋体"/>
          <w:sz w:val="18"/>
          <w:szCs w:val="18"/>
        </w:rPr>
        <w:t xml:space="preserve">统计负责人：  </w:t>
      </w:r>
      <w:r>
        <w:rPr>
          <w:rFonts w:hint="eastAsia" w:ascii="宋体"/>
          <w:sz w:val="18"/>
          <w:szCs w:val="18"/>
          <w:shd w:val="clear" w:color="auto" w:fill="FFFFFF"/>
        </w:rPr>
        <w:t xml:space="preserve">      　</w:t>
      </w:r>
      <w:r>
        <w:rPr>
          <w:rFonts w:hint="eastAsia" w:ascii="宋体"/>
          <w:sz w:val="18"/>
          <w:szCs w:val="18"/>
        </w:rPr>
        <w:t xml:space="preserve">填表人：         </w:t>
      </w:r>
      <w:r>
        <w:rPr>
          <w:rFonts w:hint="eastAsia" w:ascii="宋体"/>
          <w:sz w:val="18"/>
          <w:szCs w:val="18"/>
          <w:shd w:val="clear" w:color="auto" w:fill="FFFFFF"/>
        </w:rPr>
        <w:t>联系电话</w:t>
      </w:r>
      <w:r>
        <w:rPr>
          <w:rFonts w:hint="eastAsia" w:ascii="宋体"/>
          <w:sz w:val="18"/>
          <w:szCs w:val="18"/>
        </w:rPr>
        <w:t xml:space="preserve">：     </w:t>
      </w:r>
      <w:r>
        <w:rPr>
          <w:rFonts w:hint="eastAsia" w:ascii="宋体"/>
          <w:sz w:val="18"/>
          <w:szCs w:val="18"/>
          <w:shd w:val="clear" w:color="auto" w:fill="FFFFFF"/>
        </w:rPr>
        <w:t xml:space="preserve"> 　 </w:t>
      </w:r>
      <w:r>
        <w:rPr>
          <w:rFonts w:hint="eastAsia" w:ascii="宋体"/>
          <w:sz w:val="18"/>
          <w:szCs w:val="18"/>
        </w:rPr>
        <w:t>报出日期：２０</w:t>
      </w:r>
      <w:r>
        <w:rPr>
          <w:rFonts w:hint="eastAsia" w:ascii="宋体"/>
          <w:sz w:val="18"/>
          <w:szCs w:val="18"/>
          <w:shd w:val="clear" w:color="auto" w:fill="FFFFFF"/>
        </w:rPr>
        <w:t xml:space="preserve">　 </w:t>
      </w:r>
      <w:r>
        <w:rPr>
          <w:rFonts w:hint="eastAsia" w:ascii="宋体"/>
          <w:sz w:val="18"/>
          <w:szCs w:val="18"/>
        </w:rPr>
        <w:t>年</w:t>
      </w:r>
      <w:r>
        <w:rPr>
          <w:rFonts w:hint="eastAsia" w:ascii="宋体"/>
          <w:sz w:val="18"/>
          <w:szCs w:val="18"/>
          <w:shd w:val="clear" w:color="auto" w:fill="FFFFFF"/>
        </w:rPr>
        <w:t>　</w:t>
      </w:r>
      <w:r>
        <w:rPr>
          <w:rFonts w:hint="eastAsia" w:ascii="宋体"/>
          <w:sz w:val="18"/>
          <w:szCs w:val="18"/>
        </w:rPr>
        <w:t>月   日</w:t>
      </w:r>
    </w:p>
    <w:p>
      <w:pPr>
        <w:tabs>
          <w:tab w:val="left" w:pos="5430"/>
        </w:tabs>
        <w:adjustRightInd w:val="0"/>
        <w:spacing w:line="320" w:lineRule="exact"/>
        <w:ind w:left="720" w:right="-38" w:rightChars="-18" w:hanging="720" w:hangingChars="400"/>
        <w:rPr>
          <w:rFonts w:ascii="宋体" w:hAnsi="宋体"/>
          <w:sz w:val="18"/>
        </w:rPr>
      </w:pPr>
    </w:p>
    <w:p>
      <w:pPr>
        <w:tabs>
          <w:tab w:val="left" w:pos="5430"/>
        </w:tabs>
        <w:adjustRightInd w:val="0"/>
        <w:spacing w:line="280" w:lineRule="exact"/>
        <w:ind w:left="1626" w:hanging="1626" w:hangingChars="9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说明</w:t>
      </w:r>
      <w:r>
        <w:rPr>
          <w:rFonts w:hint="eastAsia" w:asciiTheme="minorEastAsia" w:hAnsiTheme="minorEastAsia" w:eastAsiaTheme="minorEastAsia" w:cstheme="minorEastAsia"/>
          <w:sz w:val="18"/>
          <w:szCs w:val="18"/>
        </w:rPr>
        <w:t>：1.报送单位：辖区内年综合能源消费量1万吨标准煤及以上的有资质的建筑业、限额以上批发和零售业、限额以上住宿和餐饮业、有开发经营活动的房地产开发经营业和规模以上服务业法人单位。</w:t>
      </w:r>
    </w:p>
    <w:p>
      <w:pPr>
        <w:adjustRightInd w:val="0"/>
        <w:spacing w:line="280" w:lineRule="exact"/>
        <w:ind w:left="2145" w:leftChars="250" w:hanging="1620" w:hangingChars="9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2.报送日期及方式：调查单位季后10日12:00前</w:t>
      </w:r>
      <w:r>
        <w:rPr>
          <w:rFonts w:hint="eastAsia" w:asciiTheme="minorEastAsia" w:hAnsiTheme="minorEastAsia" w:eastAsiaTheme="minorEastAsia" w:cstheme="minorEastAsia"/>
          <w:sz w:val="18"/>
        </w:rPr>
        <w:t>独立自行</w:t>
      </w:r>
      <w:r>
        <w:rPr>
          <w:rFonts w:hint="eastAsia" w:asciiTheme="minorEastAsia" w:hAnsiTheme="minorEastAsia" w:eastAsiaTheme="minorEastAsia" w:cstheme="minorEastAsia"/>
          <w:sz w:val="18"/>
          <w:szCs w:val="18"/>
        </w:rPr>
        <w:t>网上填报；</w:t>
      </w:r>
      <w:r>
        <w:rPr>
          <w:rFonts w:hint="eastAsia" w:asciiTheme="minorEastAsia" w:hAnsiTheme="minorEastAsia" w:eastAsiaTheme="minorEastAsia" w:cstheme="minorEastAsia"/>
          <w:kern w:val="0"/>
          <w:sz w:val="18"/>
          <w:szCs w:val="18"/>
        </w:rPr>
        <w:t>各级统计机构在规定时间完成数据的审核、验收和上报</w:t>
      </w:r>
      <w:r>
        <w:rPr>
          <w:rFonts w:hint="eastAsia" w:asciiTheme="minorEastAsia" w:hAnsiTheme="minorEastAsia" w:eastAsiaTheme="minorEastAsia" w:cstheme="minorEastAsia"/>
          <w:sz w:val="18"/>
        </w:rPr>
        <w:t>。</w:t>
      </w:r>
    </w:p>
    <w:p>
      <w:pPr>
        <w:adjustRightInd w:val="0"/>
        <w:spacing w:line="280" w:lineRule="exact"/>
        <w:ind w:left="705" w:leftChars="250" w:hanging="180" w:hangingChars="100"/>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3.</w:t>
      </w:r>
      <w:r>
        <w:rPr>
          <w:rFonts w:hint="eastAsia" w:asciiTheme="minorEastAsia" w:hAnsiTheme="minorEastAsia" w:eastAsiaTheme="minorEastAsia" w:cstheme="minorEastAsia"/>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w:t>
      </w:r>
    </w:p>
    <w:p>
      <w:pPr>
        <w:tabs>
          <w:tab w:val="left" w:pos="5430"/>
        </w:tabs>
        <w:adjustRightInd w:val="0"/>
        <w:spacing w:line="280" w:lineRule="exact"/>
        <w:ind w:left="525" w:leftChars="2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4.油品的重量单位与容积单位的换算关系：</w:t>
      </w:r>
    </w:p>
    <w:p>
      <w:pPr>
        <w:adjustRightInd w:val="0"/>
        <w:spacing w:line="280" w:lineRule="exact"/>
        <w:ind w:left="735" w:leftChars="3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(1)汽  油：1升≈0.73千克≈0.00073吨</w:t>
      </w:r>
    </w:p>
    <w:p>
      <w:pPr>
        <w:adjustRightInd w:val="0"/>
        <w:spacing w:line="280" w:lineRule="exact"/>
        <w:ind w:left="735" w:leftChars="3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(2)轻柴油：1升≈0.86千克≈0.00086吨</w:t>
      </w:r>
    </w:p>
    <w:p>
      <w:pPr>
        <w:adjustRightInd w:val="0"/>
        <w:spacing w:line="280" w:lineRule="exact"/>
        <w:ind w:left="735" w:leftChars="3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(3)重柴油：1升≈0.92千克≈0.00092吨</w:t>
      </w:r>
    </w:p>
    <w:p>
      <w:pPr>
        <w:adjustRightInd w:val="0"/>
        <w:spacing w:line="280" w:lineRule="exact"/>
        <w:ind w:left="735" w:leftChars="3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(4)煤  油：1升≈0.82千克≈0.00082吨</w:t>
      </w:r>
    </w:p>
    <w:p>
      <w:pPr>
        <w:adjustRightInd w:val="0"/>
        <w:spacing w:line="280" w:lineRule="exact"/>
        <w:ind w:left="735" w:leftChars="3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(5)燃料油：1升≈0.91千克≈0.00091吨</w:t>
      </w:r>
    </w:p>
    <w:p>
      <w:pPr>
        <w:adjustRightInd w:val="0"/>
        <w:spacing w:line="280" w:lineRule="exact"/>
        <w:ind w:left="525" w:leftChars="2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5.液化天然气与天然气换算关系：</w:t>
      </w:r>
    </w:p>
    <w:p>
      <w:pPr>
        <w:adjustRightInd w:val="0"/>
        <w:spacing w:line="280" w:lineRule="exact"/>
        <w:ind w:left="735" w:leftChars="3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1千克液化天然气</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sz w:val="18"/>
          <w:szCs w:val="18"/>
        </w:rPr>
        <w:t>1.38立方米天然气</w:t>
      </w:r>
    </w:p>
    <w:p>
      <w:pPr>
        <w:adjustRightInd w:val="0"/>
        <w:spacing w:line="280" w:lineRule="exact"/>
        <w:ind w:left="735" w:leftChars="3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天然气包括液化天然气。</w:t>
      </w:r>
    </w:p>
    <w:p>
      <w:pPr>
        <w:adjustRightInd w:val="0"/>
        <w:spacing w:line="280" w:lineRule="exact"/>
        <w:ind w:left="525" w:leftChars="2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6.能源合计＝∑各能源品种消费量×折标准煤系数。</w:t>
      </w:r>
    </w:p>
    <w:p>
      <w:pPr>
        <w:jc w:val="center"/>
        <w:rPr>
          <w:rFonts w:ascii="宋体" w:hAnsi="宋体"/>
          <w:sz w:val="18"/>
          <w:szCs w:val="18"/>
        </w:rPr>
      </w:pPr>
      <w:r>
        <w:rPr>
          <w:rFonts w:ascii="宋体" w:hAnsi="宋体"/>
          <w:sz w:val="18"/>
          <w:szCs w:val="18"/>
        </w:rPr>
        <w:br w:type="page"/>
      </w:r>
    </w:p>
    <w:p>
      <w:pPr>
        <w:jc w:val="center"/>
        <w:rPr>
          <w:rFonts w:ascii="宋体" w:hAnsi="宋体" w:cs="宋体"/>
          <w:b/>
          <w:bCs/>
          <w:kern w:val="0"/>
          <w:sz w:val="32"/>
          <w:szCs w:val="32"/>
        </w:rPr>
      </w:pPr>
      <w:r>
        <w:rPr>
          <w:rFonts w:hint="eastAsia" w:ascii="宋体" w:hAnsi="宋体" w:cs="宋体"/>
          <w:b/>
          <w:bCs/>
          <w:kern w:val="0"/>
          <w:sz w:val="32"/>
          <w:szCs w:val="32"/>
        </w:rPr>
        <w:t>能源生产、销售与库存</w:t>
      </w:r>
    </w:p>
    <w:tbl>
      <w:tblPr>
        <w:tblStyle w:val="21"/>
        <w:tblW w:w="0" w:type="auto"/>
        <w:tblInd w:w="0" w:type="dxa"/>
        <w:tblLayout w:type="fixed"/>
        <w:tblCellMar>
          <w:top w:w="0" w:type="dxa"/>
          <w:left w:w="108" w:type="dxa"/>
          <w:bottom w:w="0" w:type="dxa"/>
          <w:right w:w="108" w:type="dxa"/>
        </w:tblCellMar>
      </w:tblPr>
      <w:tblGrid>
        <w:gridCol w:w="7"/>
        <w:gridCol w:w="14"/>
        <w:gridCol w:w="678"/>
        <w:gridCol w:w="474"/>
        <w:gridCol w:w="117"/>
        <w:gridCol w:w="590"/>
        <w:gridCol w:w="159"/>
        <w:gridCol w:w="431"/>
        <w:gridCol w:w="445"/>
        <w:gridCol w:w="146"/>
        <w:gridCol w:w="594"/>
        <w:gridCol w:w="161"/>
        <w:gridCol w:w="429"/>
        <w:gridCol w:w="387"/>
        <w:gridCol w:w="209"/>
        <w:gridCol w:w="590"/>
        <w:gridCol w:w="594"/>
        <w:gridCol w:w="590"/>
        <w:gridCol w:w="63"/>
        <w:gridCol w:w="533"/>
        <w:gridCol w:w="393"/>
        <w:gridCol w:w="197"/>
        <w:gridCol w:w="594"/>
        <w:gridCol w:w="640"/>
        <w:gridCol w:w="629"/>
      </w:tblGrid>
      <w:tr>
        <w:tblPrEx>
          <w:tblCellMar>
            <w:top w:w="0" w:type="dxa"/>
            <w:left w:w="108" w:type="dxa"/>
            <w:bottom w:w="0" w:type="dxa"/>
            <w:right w:w="108" w:type="dxa"/>
          </w:tblCellMar>
        </w:tblPrEx>
        <w:trPr>
          <w:gridBefore w:val="1"/>
          <w:wBefore w:w="7" w:type="dxa"/>
        </w:trPr>
        <w:tc>
          <w:tcPr>
            <w:tcW w:w="1166" w:type="dxa"/>
            <w:gridSpan w:val="3"/>
            <w:tcBorders>
              <w:top w:val="nil"/>
              <w:left w:val="nil"/>
              <w:bottom w:val="nil"/>
              <w:right w:val="nil"/>
            </w:tcBorders>
            <w:noWrap/>
            <w:tcMar>
              <w:left w:w="28" w:type="dxa"/>
              <w:right w:w="28" w:type="dxa"/>
            </w:tcMar>
            <w:vAlign w:val="center"/>
          </w:tcPr>
          <w:p>
            <w:pPr>
              <w:widowControl/>
              <w:adjustRightInd w:val="0"/>
              <w:snapToGrid w:val="0"/>
              <w:spacing w:line="260" w:lineRule="atLeast"/>
              <w:jc w:val="left"/>
              <w:rPr>
                <w:rFonts w:asciiTheme="minorEastAsia" w:hAnsiTheme="minorEastAsia" w:eastAsiaTheme="minorEastAsia" w:cstheme="minorEastAsia"/>
                <w:kern w:val="0"/>
                <w:sz w:val="18"/>
                <w:szCs w:val="18"/>
              </w:rPr>
            </w:pPr>
          </w:p>
        </w:tc>
        <w:tc>
          <w:tcPr>
            <w:tcW w:w="866" w:type="dxa"/>
            <w:gridSpan w:val="3"/>
            <w:tcBorders>
              <w:top w:val="nil"/>
              <w:left w:val="nil"/>
              <w:bottom w:val="nil"/>
              <w:right w:val="nil"/>
            </w:tcBorders>
            <w:noWrap/>
            <w:tcMar>
              <w:left w:w="28" w:type="dxa"/>
              <w:right w:w="28" w:type="dxa"/>
            </w:tcMar>
            <w:vAlign w:val="center"/>
          </w:tcPr>
          <w:p>
            <w:pPr>
              <w:widowControl/>
              <w:adjustRightInd w:val="0"/>
              <w:snapToGrid w:val="0"/>
              <w:spacing w:line="260" w:lineRule="atLeast"/>
              <w:jc w:val="left"/>
              <w:rPr>
                <w:rFonts w:asciiTheme="minorEastAsia" w:hAnsiTheme="minorEastAsia" w:eastAsiaTheme="minorEastAsia" w:cstheme="minorEastAsia"/>
                <w:kern w:val="0"/>
                <w:sz w:val="18"/>
                <w:szCs w:val="18"/>
              </w:rPr>
            </w:pPr>
          </w:p>
        </w:tc>
        <w:tc>
          <w:tcPr>
            <w:tcW w:w="876" w:type="dxa"/>
            <w:gridSpan w:val="2"/>
            <w:tcBorders>
              <w:top w:val="nil"/>
              <w:left w:val="nil"/>
              <w:bottom w:val="nil"/>
              <w:right w:val="nil"/>
            </w:tcBorders>
            <w:noWrap/>
            <w:tcMar>
              <w:left w:w="28" w:type="dxa"/>
              <w:right w:w="28" w:type="dxa"/>
            </w:tcMar>
            <w:vAlign w:val="center"/>
          </w:tcPr>
          <w:p>
            <w:pPr>
              <w:widowControl/>
              <w:adjustRightInd w:val="0"/>
              <w:snapToGrid w:val="0"/>
              <w:spacing w:line="260" w:lineRule="atLeast"/>
              <w:jc w:val="left"/>
              <w:rPr>
                <w:rFonts w:asciiTheme="minorEastAsia" w:hAnsiTheme="minorEastAsia" w:eastAsiaTheme="minorEastAsia" w:cstheme="minorEastAsia"/>
                <w:kern w:val="0"/>
                <w:sz w:val="18"/>
                <w:szCs w:val="18"/>
              </w:rPr>
            </w:pPr>
          </w:p>
        </w:tc>
        <w:tc>
          <w:tcPr>
            <w:tcW w:w="901" w:type="dxa"/>
            <w:gridSpan w:val="3"/>
            <w:tcBorders>
              <w:top w:val="nil"/>
              <w:left w:val="nil"/>
              <w:bottom w:val="nil"/>
              <w:right w:val="nil"/>
            </w:tcBorders>
            <w:noWrap/>
            <w:tcMar>
              <w:left w:w="28" w:type="dxa"/>
              <w:right w:w="28" w:type="dxa"/>
            </w:tcMar>
            <w:vAlign w:val="center"/>
          </w:tcPr>
          <w:p>
            <w:pPr>
              <w:widowControl/>
              <w:adjustRightInd w:val="0"/>
              <w:snapToGrid w:val="0"/>
              <w:spacing w:line="260" w:lineRule="atLeast"/>
              <w:jc w:val="left"/>
              <w:rPr>
                <w:rFonts w:asciiTheme="minorEastAsia" w:hAnsiTheme="minorEastAsia" w:eastAsiaTheme="minorEastAsia" w:cstheme="minorEastAsia"/>
                <w:kern w:val="0"/>
                <w:sz w:val="18"/>
                <w:szCs w:val="18"/>
              </w:rPr>
            </w:pPr>
          </w:p>
        </w:tc>
        <w:tc>
          <w:tcPr>
            <w:tcW w:w="816" w:type="dxa"/>
            <w:gridSpan w:val="2"/>
            <w:tcBorders>
              <w:top w:val="nil"/>
              <w:left w:val="nil"/>
              <w:bottom w:val="nil"/>
              <w:right w:val="nil"/>
            </w:tcBorders>
            <w:noWrap/>
            <w:tcMar>
              <w:left w:w="28" w:type="dxa"/>
              <w:right w:w="28" w:type="dxa"/>
            </w:tcMar>
            <w:vAlign w:val="center"/>
          </w:tcPr>
          <w:p>
            <w:pPr>
              <w:widowControl/>
              <w:adjustRightInd w:val="0"/>
              <w:snapToGrid w:val="0"/>
              <w:spacing w:line="260" w:lineRule="atLeast"/>
              <w:jc w:val="left"/>
              <w:rPr>
                <w:rFonts w:asciiTheme="minorEastAsia" w:hAnsiTheme="minorEastAsia" w:eastAsiaTheme="minorEastAsia" w:cstheme="minorEastAsia"/>
                <w:kern w:val="0"/>
                <w:sz w:val="18"/>
                <w:szCs w:val="18"/>
              </w:rPr>
            </w:pPr>
          </w:p>
        </w:tc>
        <w:tc>
          <w:tcPr>
            <w:tcW w:w="2046" w:type="dxa"/>
            <w:gridSpan w:val="5"/>
            <w:tcBorders>
              <w:top w:val="nil"/>
              <w:left w:val="nil"/>
              <w:bottom w:val="nil"/>
              <w:right w:val="nil"/>
            </w:tcBorders>
            <w:noWrap/>
            <w:tcMar>
              <w:left w:w="28" w:type="dxa"/>
              <w:right w:w="28" w:type="dxa"/>
            </w:tcMar>
            <w:vAlign w:val="center"/>
          </w:tcPr>
          <w:p>
            <w:pPr>
              <w:widowControl/>
              <w:adjustRightInd w:val="0"/>
              <w:snapToGrid w:val="0"/>
              <w:spacing w:line="260" w:lineRule="atLeast"/>
              <w:jc w:val="left"/>
              <w:rPr>
                <w:rFonts w:asciiTheme="minorEastAsia" w:hAnsiTheme="minorEastAsia" w:eastAsiaTheme="minorEastAsia" w:cstheme="minorEastAsia"/>
                <w:kern w:val="0"/>
                <w:sz w:val="18"/>
                <w:szCs w:val="18"/>
              </w:rPr>
            </w:pPr>
          </w:p>
        </w:tc>
        <w:tc>
          <w:tcPr>
            <w:tcW w:w="926" w:type="dxa"/>
            <w:gridSpan w:val="2"/>
            <w:tcBorders>
              <w:top w:val="nil"/>
              <w:left w:val="nil"/>
              <w:bottom w:val="nil"/>
              <w:right w:val="nil"/>
            </w:tcBorders>
            <w:noWrap/>
            <w:tcMar>
              <w:left w:w="28" w:type="dxa"/>
              <w:right w:w="28" w:type="dxa"/>
            </w:tcMar>
            <w:vAlign w:val="center"/>
          </w:tcPr>
          <w:p>
            <w:pPr>
              <w:widowControl/>
              <w:adjustRightInd w:val="0"/>
              <w:snapToGrid w:val="0"/>
              <w:spacing w:line="260" w:lineRule="atLeas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表　　号：</w:t>
            </w:r>
          </w:p>
        </w:tc>
        <w:tc>
          <w:tcPr>
            <w:tcW w:w="2060" w:type="dxa"/>
            <w:gridSpan w:val="4"/>
            <w:tcBorders>
              <w:top w:val="nil"/>
              <w:left w:val="nil"/>
              <w:bottom w:val="nil"/>
              <w:right w:val="nil"/>
            </w:tcBorders>
            <w:noWrap/>
            <w:tcMar>
              <w:left w:w="28" w:type="dxa"/>
              <w:right w:w="28" w:type="dxa"/>
            </w:tcMar>
            <w:vAlign w:val="center"/>
          </w:tcPr>
          <w:p>
            <w:pPr>
              <w:widowControl/>
              <w:adjustRightInd w:val="0"/>
              <w:snapToGrid w:val="0"/>
              <w:spacing w:line="260" w:lineRule="atLeast"/>
              <w:jc w:val="distribute"/>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２０５－６表</w:t>
            </w:r>
          </w:p>
        </w:tc>
      </w:tr>
      <w:tr>
        <w:tblPrEx>
          <w:tblCellMar>
            <w:top w:w="0" w:type="dxa"/>
            <w:left w:w="108" w:type="dxa"/>
            <w:bottom w:w="0" w:type="dxa"/>
            <w:right w:w="108" w:type="dxa"/>
          </w:tblCellMar>
        </w:tblPrEx>
        <w:trPr>
          <w:gridBefore w:val="1"/>
          <w:wBefore w:w="7" w:type="dxa"/>
        </w:trPr>
        <w:tc>
          <w:tcPr>
            <w:tcW w:w="6671" w:type="dxa"/>
            <w:gridSpan w:val="18"/>
            <w:tcBorders>
              <w:top w:val="nil"/>
              <w:left w:val="nil"/>
              <w:bottom w:val="nil"/>
              <w:right w:val="nil"/>
            </w:tcBorders>
            <w:noWrap/>
            <w:tcMar>
              <w:left w:w="28" w:type="dxa"/>
              <w:right w:w="28" w:type="dxa"/>
            </w:tcMar>
            <w:vAlign w:val="center"/>
          </w:tcPr>
          <w:p>
            <w:pPr>
              <w:widowControl/>
              <w:adjustRightInd w:val="0"/>
              <w:snapToGrid w:val="0"/>
              <w:spacing w:line="260" w:lineRule="atLeas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统一社会信用代码□□□□□□□□□□□□□□□□□□</w:t>
            </w:r>
          </w:p>
        </w:tc>
        <w:tc>
          <w:tcPr>
            <w:tcW w:w="926" w:type="dxa"/>
            <w:gridSpan w:val="2"/>
            <w:tcBorders>
              <w:top w:val="nil"/>
              <w:left w:val="nil"/>
              <w:bottom w:val="nil"/>
              <w:right w:val="nil"/>
            </w:tcBorders>
            <w:noWrap/>
            <w:tcMar>
              <w:left w:w="28" w:type="dxa"/>
              <w:right w:w="28" w:type="dxa"/>
            </w:tcMar>
            <w:vAlign w:val="center"/>
          </w:tcPr>
          <w:p>
            <w:pPr>
              <w:widowControl/>
              <w:adjustRightInd w:val="0"/>
              <w:snapToGrid w:val="0"/>
              <w:spacing w:line="260" w:lineRule="atLeas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制表机关：</w:t>
            </w:r>
          </w:p>
        </w:tc>
        <w:tc>
          <w:tcPr>
            <w:tcW w:w="2060" w:type="dxa"/>
            <w:gridSpan w:val="4"/>
            <w:tcBorders>
              <w:top w:val="nil"/>
              <w:left w:val="nil"/>
              <w:bottom w:val="nil"/>
              <w:right w:val="nil"/>
            </w:tcBorders>
            <w:noWrap/>
            <w:tcMar>
              <w:left w:w="28" w:type="dxa"/>
              <w:right w:w="28" w:type="dxa"/>
            </w:tcMar>
            <w:vAlign w:val="center"/>
          </w:tcPr>
          <w:p>
            <w:pPr>
              <w:widowControl/>
              <w:adjustRightInd w:val="0"/>
              <w:snapToGrid w:val="0"/>
              <w:spacing w:line="260" w:lineRule="atLeast"/>
              <w:jc w:val="distribute"/>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国家统计局</w:t>
            </w:r>
          </w:p>
        </w:tc>
      </w:tr>
      <w:tr>
        <w:tblPrEx>
          <w:tblCellMar>
            <w:top w:w="0" w:type="dxa"/>
            <w:left w:w="108" w:type="dxa"/>
            <w:bottom w:w="0" w:type="dxa"/>
            <w:right w:w="108" w:type="dxa"/>
          </w:tblCellMar>
        </w:tblPrEx>
        <w:trPr>
          <w:gridBefore w:val="1"/>
          <w:wBefore w:w="7" w:type="dxa"/>
        </w:trPr>
        <w:tc>
          <w:tcPr>
            <w:tcW w:w="6671" w:type="dxa"/>
            <w:gridSpan w:val="18"/>
            <w:tcBorders>
              <w:top w:val="nil"/>
              <w:left w:val="nil"/>
              <w:bottom w:val="nil"/>
              <w:right w:val="nil"/>
            </w:tcBorders>
            <w:noWrap/>
            <w:tcMar>
              <w:left w:w="28" w:type="dxa"/>
              <w:right w:w="28" w:type="dxa"/>
            </w:tcMar>
            <w:vAlign w:val="center"/>
          </w:tcPr>
          <w:p>
            <w:pPr>
              <w:widowControl/>
              <w:adjustRightInd w:val="0"/>
              <w:snapToGrid w:val="0"/>
              <w:spacing w:line="260" w:lineRule="atLeast"/>
              <w:jc w:val="left"/>
              <w:rPr>
                <w:rFonts w:asciiTheme="minorEastAsia" w:hAnsiTheme="minorEastAsia" w:eastAsiaTheme="minorEastAsia" w:cstheme="minorEastAsia"/>
                <w:kern w:val="0"/>
                <w:sz w:val="18"/>
                <w:szCs w:val="18"/>
              </w:rPr>
            </w:pPr>
          </w:p>
        </w:tc>
        <w:tc>
          <w:tcPr>
            <w:tcW w:w="926" w:type="dxa"/>
            <w:gridSpan w:val="2"/>
            <w:tcBorders>
              <w:top w:val="nil"/>
              <w:left w:val="nil"/>
              <w:bottom w:val="nil"/>
              <w:right w:val="nil"/>
            </w:tcBorders>
            <w:noWrap/>
            <w:tcMar>
              <w:left w:w="28" w:type="dxa"/>
              <w:right w:w="28" w:type="dxa"/>
            </w:tcMar>
            <w:vAlign w:val="center"/>
          </w:tcPr>
          <w:p>
            <w:pPr>
              <w:widowControl/>
              <w:adjustRightInd w:val="0"/>
              <w:snapToGrid w:val="0"/>
              <w:spacing w:line="260" w:lineRule="atLeas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文　　号：</w:t>
            </w:r>
          </w:p>
        </w:tc>
        <w:tc>
          <w:tcPr>
            <w:tcW w:w="2060" w:type="dxa"/>
            <w:gridSpan w:val="4"/>
            <w:tcBorders>
              <w:top w:val="nil"/>
              <w:left w:val="nil"/>
              <w:bottom w:val="nil"/>
              <w:right w:val="nil"/>
            </w:tcBorders>
            <w:noWrap/>
            <w:tcMar>
              <w:left w:w="28" w:type="dxa"/>
              <w:right w:w="28" w:type="dxa"/>
            </w:tcMar>
            <w:vAlign w:val="center"/>
          </w:tcPr>
          <w:p>
            <w:pPr>
              <w:spacing w:line="260" w:lineRule="exact"/>
              <w:jc w:val="distribute"/>
              <w:rPr>
                <w:rFonts w:asciiTheme="minorEastAsia" w:hAnsiTheme="minorEastAsia" w:eastAsiaTheme="minorEastAsia" w:cstheme="minorEastAsia"/>
                <w:color w:val="auto"/>
                <w:kern w:val="0"/>
                <w:sz w:val="18"/>
                <w:szCs w:val="18"/>
              </w:rPr>
            </w:pPr>
            <w:r>
              <w:rPr>
                <w:rFonts w:hint="eastAsia" w:asciiTheme="minorEastAsia" w:hAnsiTheme="minorEastAsia" w:eastAsiaTheme="minorEastAsia" w:cstheme="minorEastAsia"/>
                <w:color w:val="auto"/>
                <w:sz w:val="18"/>
                <w:szCs w:val="18"/>
              </w:rPr>
              <w:t>国</w:t>
            </w:r>
            <w:r>
              <w:rPr>
                <w:rFonts w:hint="eastAsia" w:ascii="宋体" w:hAnsi="宋体"/>
                <w:color w:val="auto"/>
                <w:sz w:val="18"/>
                <w:szCs w:val="18"/>
              </w:rPr>
              <w:t>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Theme="minorEastAsia" w:hAnsiTheme="minorEastAsia" w:eastAsiaTheme="minorEastAsia" w:cstheme="minorEastAsia"/>
                <w:color w:val="auto"/>
                <w:sz w:val="18"/>
                <w:szCs w:val="18"/>
              </w:rPr>
              <w:t>号</w:t>
            </w:r>
          </w:p>
        </w:tc>
      </w:tr>
      <w:tr>
        <w:tblPrEx>
          <w:tblCellMar>
            <w:top w:w="0" w:type="dxa"/>
            <w:left w:w="108" w:type="dxa"/>
            <w:bottom w:w="0" w:type="dxa"/>
            <w:right w:w="108" w:type="dxa"/>
          </w:tblCellMar>
        </w:tblPrEx>
        <w:trPr>
          <w:gridBefore w:val="1"/>
          <w:wBefore w:w="7" w:type="dxa"/>
        </w:trPr>
        <w:tc>
          <w:tcPr>
            <w:tcW w:w="2908" w:type="dxa"/>
            <w:gridSpan w:val="8"/>
            <w:tcBorders>
              <w:top w:val="nil"/>
              <w:left w:val="nil"/>
              <w:bottom w:val="single" w:color="000000" w:sz="2" w:space="0"/>
              <w:right w:val="nil"/>
            </w:tcBorders>
            <w:noWrap/>
            <w:tcMar>
              <w:left w:w="28" w:type="dxa"/>
              <w:right w:w="28" w:type="dxa"/>
            </w:tcMar>
            <w:vAlign w:val="center"/>
          </w:tcPr>
          <w:p>
            <w:pPr>
              <w:widowControl/>
              <w:adjustRightInd w:val="0"/>
              <w:snapToGrid w:val="0"/>
              <w:spacing w:line="260" w:lineRule="atLeas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单位详细名称：　</w:t>
            </w:r>
          </w:p>
        </w:tc>
        <w:tc>
          <w:tcPr>
            <w:tcW w:w="3763" w:type="dxa"/>
            <w:gridSpan w:val="10"/>
            <w:tcBorders>
              <w:top w:val="nil"/>
              <w:left w:val="nil"/>
            </w:tcBorders>
            <w:noWrap/>
            <w:tcMar>
              <w:left w:w="28" w:type="dxa"/>
              <w:right w:w="28" w:type="dxa"/>
            </w:tcMar>
          </w:tcPr>
          <w:p>
            <w:pPr>
              <w:adjustRightInd w:val="0"/>
              <w:snapToGrid w:val="0"/>
              <w:spacing w:line="260" w:lineRule="atLeast"/>
              <w:ind w:firstLine="900" w:firstLineChars="5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２０　　年　　　月</w:t>
            </w:r>
          </w:p>
        </w:tc>
        <w:tc>
          <w:tcPr>
            <w:tcW w:w="926" w:type="dxa"/>
            <w:gridSpan w:val="2"/>
            <w:tcBorders>
              <w:top w:val="nil"/>
              <w:left w:val="nil"/>
            </w:tcBorders>
            <w:noWrap/>
            <w:tcMar>
              <w:left w:w="28" w:type="dxa"/>
              <w:right w:w="28" w:type="dxa"/>
            </w:tcMar>
          </w:tcPr>
          <w:p>
            <w:pPr>
              <w:adjustRightInd w:val="0"/>
              <w:snapToGrid w:val="0"/>
              <w:spacing w:line="260" w:lineRule="atLeas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有效期至：</w:t>
            </w:r>
          </w:p>
        </w:tc>
        <w:tc>
          <w:tcPr>
            <w:tcW w:w="2060" w:type="dxa"/>
            <w:gridSpan w:val="4"/>
            <w:tcBorders>
              <w:top w:val="nil"/>
              <w:left w:val="nil"/>
            </w:tcBorders>
            <w:noWrap/>
            <w:tcMar>
              <w:left w:w="28" w:type="dxa"/>
              <w:right w:w="28" w:type="dxa"/>
            </w:tcMar>
            <w:vAlign w:val="center"/>
          </w:tcPr>
          <w:p>
            <w:pPr>
              <w:spacing w:line="260" w:lineRule="exact"/>
              <w:jc w:val="distribute"/>
              <w:rPr>
                <w:rFonts w:asciiTheme="minorEastAsia" w:hAnsiTheme="minorEastAsia" w:eastAsiaTheme="minorEastAsia" w:cstheme="minorEastAsia"/>
                <w:color w:val="auto"/>
                <w:kern w:val="0"/>
                <w:sz w:val="18"/>
                <w:szCs w:val="18"/>
              </w:rPr>
            </w:pPr>
            <w:r>
              <w:rPr>
                <w:rFonts w:hint="eastAsia" w:asciiTheme="minorEastAsia" w:hAnsiTheme="minorEastAsia" w:eastAsiaTheme="minorEastAsia" w:cstheme="minorEastAsia"/>
                <w:color w:val="auto"/>
                <w:sz w:val="18"/>
                <w:szCs w:val="18"/>
              </w:rPr>
              <w:t>２０２</w:t>
            </w:r>
            <w:r>
              <w:rPr>
                <w:rFonts w:hint="eastAsia" w:asciiTheme="minorEastAsia" w:hAnsiTheme="minorEastAsia" w:eastAsiaTheme="minorEastAsia" w:cstheme="minorEastAsia"/>
                <w:color w:val="auto"/>
                <w:sz w:val="18"/>
                <w:szCs w:val="18"/>
                <w:lang w:val="en-US" w:eastAsia="zh-CN"/>
              </w:rPr>
              <w:t>7</w:t>
            </w:r>
            <w:r>
              <w:rPr>
                <w:rFonts w:hint="eastAsia" w:asciiTheme="minorEastAsia" w:hAnsiTheme="minorEastAsia" w:eastAsiaTheme="minorEastAsia" w:cstheme="minorEastAsia"/>
                <w:color w:val="auto"/>
                <w:sz w:val="18"/>
                <w:szCs w:val="18"/>
              </w:rPr>
              <w:t>年１月</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gridBefore w:val="1"/>
          <w:wBefore w:w="7" w:type="dxa"/>
          <w:trHeight w:val="620" w:hRule="atLeast"/>
        </w:trPr>
        <w:tc>
          <w:tcPr>
            <w:tcW w:w="692" w:type="dxa"/>
            <w:gridSpan w:val="2"/>
            <w:tcBorders>
              <w:top w:val="single" w:color="auto" w:sz="2" w:space="0"/>
              <w:bottom w:val="nil"/>
              <w:right w:val="nil"/>
            </w:tcBorders>
            <w:noWrap/>
            <w:vAlign w:val="center"/>
          </w:tcPr>
          <w:p>
            <w:pPr>
              <w:widowControl/>
              <w:jc w:val="center"/>
              <w:rPr>
                <w:rFonts w:asciiTheme="minorEastAsia" w:hAnsiTheme="minorEastAsia" w:eastAsiaTheme="minorEastAsia" w:cstheme="minorEastAsia"/>
                <w:kern w:val="0"/>
                <w:sz w:val="18"/>
                <w:szCs w:val="18"/>
              </w:rPr>
            </w:pPr>
          </w:p>
          <w:p>
            <w:pPr>
              <w:widowControl/>
              <w:jc w:val="center"/>
              <w:rPr>
                <w:rFonts w:asciiTheme="minorEastAsia" w:hAnsiTheme="minorEastAsia" w:eastAsiaTheme="minorEastAsia" w:cstheme="minorEastAsia"/>
                <w:kern w:val="0"/>
                <w:sz w:val="18"/>
                <w:szCs w:val="18"/>
              </w:rPr>
            </w:pPr>
          </w:p>
        </w:tc>
        <w:tc>
          <w:tcPr>
            <w:tcW w:w="591" w:type="dxa"/>
            <w:gridSpan w:val="2"/>
            <w:vMerge w:val="restart"/>
            <w:tcBorders>
              <w:top w:val="single" w:color="auto" w:sz="8" w:space="0"/>
              <w:left w:val="nil"/>
              <w:bottom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计量单位</w:t>
            </w:r>
          </w:p>
        </w:tc>
        <w:tc>
          <w:tcPr>
            <w:tcW w:w="590" w:type="dxa"/>
            <w:vMerge w:val="restart"/>
            <w:tcBorders>
              <w:top w:val="single" w:color="auto" w:sz="8" w:space="0"/>
              <w:bottom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产品代码</w:t>
            </w:r>
          </w:p>
        </w:tc>
        <w:tc>
          <w:tcPr>
            <w:tcW w:w="590" w:type="dxa"/>
            <w:gridSpan w:val="2"/>
            <w:vMerge w:val="restart"/>
            <w:tcBorders>
              <w:top w:val="single" w:color="auto" w:sz="8" w:space="0"/>
              <w:bottom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年初产成品库存量</w:t>
            </w:r>
          </w:p>
        </w:tc>
        <w:tc>
          <w:tcPr>
            <w:tcW w:w="2371" w:type="dxa"/>
            <w:gridSpan w:val="7"/>
            <w:tcBorders>
              <w:top w:val="single" w:color="auto" w:sz="8" w:space="0"/>
              <w:bottom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生产量</w:t>
            </w:r>
          </w:p>
        </w:tc>
        <w:tc>
          <w:tcPr>
            <w:tcW w:w="2370" w:type="dxa"/>
            <w:gridSpan w:val="5"/>
            <w:tcBorders>
              <w:top w:val="single" w:color="auto" w:sz="8" w:space="0"/>
              <w:bottom w:val="nil"/>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销售量</w:t>
            </w:r>
          </w:p>
        </w:tc>
        <w:tc>
          <w:tcPr>
            <w:tcW w:w="1184" w:type="dxa"/>
            <w:gridSpan w:val="3"/>
            <w:tcBorders>
              <w:top w:val="single" w:color="auto" w:sz="8" w:space="0"/>
              <w:bottom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企业自用</w:t>
            </w:r>
          </w:p>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及 其 他</w:t>
            </w:r>
          </w:p>
        </w:tc>
        <w:tc>
          <w:tcPr>
            <w:tcW w:w="1269" w:type="dxa"/>
            <w:gridSpan w:val="2"/>
            <w:tcBorders>
              <w:top w:val="single" w:color="auto" w:sz="8" w:space="0"/>
              <w:bottom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期末产成品库存量</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99" w:hRule="atLeast"/>
        </w:trPr>
        <w:tc>
          <w:tcPr>
            <w:tcW w:w="699" w:type="dxa"/>
            <w:gridSpan w:val="3"/>
            <w:tcBorders>
              <w:top w:val="nil"/>
              <w:bottom w:val="nil"/>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产品名称</w:t>
            </w:r>
          </w:p>
        </w:tc>
        <w:tc>
          <w:tcPr>
            <w:tcW w:w="591" w:type="dxa"/>
            <w:gridSpan w:val="2"/>
            <w:vMerge w:val="continue"/>
            <w:tcBorders>
              <w:top w:val="single" w:color="auto" w:sz="2" w:space="0"/>
              <w:lef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590" w:type="dxa"/>
            <w:vMerge w:val="continue"/>
            <w:tcBorders>
              <w:top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590" w:type="dxa"/>
            <w:gridSpan w:val="2"/>
            <w:vMerge w:val="continue"/>
            <w:tcBorders>
              <w:top w:val="single" w:color="auto" w:sz="2"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p>
        </w:tc>
        <w:tc>
          <w:tcPr>
            <w:tcW w:w="1185" w:type="dxa"/>
            <w:gridSpan w:val="3"/>
            <w:tcBorders>
              <w:top w:val="single" w:color="auto" w:sz="2"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本年</w:t>
            </w:r>
          </w:p>
        </w:tc>
        <w:tc>
          <w:tcPr>
            <w:tcW w:w="1186" w:type="dxa"/>
            <w:gridSpan w:val="4"/>
            <w:tcBorders>
              <w:top w:val="single" w:color="auto" w:sz="2" w:space="0"/>
            </w:tcBorders>
            <w:shd w:val="clear" w:color="auto" w:fill="C0C0C0"/>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上年同期</w:t>
            </w:r>
          </w:p>
        </w:tc>
        <w:tc>
          <w:tcPr>
            <w:tcW w:w="1184" w:type="dxa"/>
            <w:gridSpan w:val="2"/>
            <w:tcBorders>
              <w:top w:val="nil"/>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w:t>
            </w:r>
          </w:p>
        </w:tc>
        <w:tc>
          <w:tcPr>
            <w:tcW w:w="1186" w:type="dxa"/>
            <w:gridSpan w:val="3"/>
            <w:tcBorders>
              <w:top w:val="single" w:color="auto" w:sz="2" w:space="0"/>
            </w:tcBorders>
            <w:shd w:val="clear" w:color="auto" w:fill="FFFFFF"/>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其中：</w:t>
            </w:r>
          </w:p>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销往省外</w:t>
            </w:r>
          </w:p>
        </w:tc>
        <w:tc>
          <w:tcPr>
            <w:tcW w:w="590" w:type="dxa"/>
            <w:gridSpan w:val="2"/>
            <w:vMerge w:val="restart"/>
            <w:tcBorders>
              <w:top w:val="single" w:color="auto" w:sz="2"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p>
            <w:pPr>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本月　</w:t>
            </w:r>
          </w:p>
        </w:tc>
        <w:tc>
          <w:tcPr>
            <w:tcW w:w="594" w:type="dxa"/>
            <w:vMerge w:val="restart"/>
            <w:tcBorders>
              <w:top w:val="single" w:color="auto" w:sz="2" w:space="0"/>
            </w:tcBorders>
            <w:shd w:val="clear" w:color="auto" w:fill="C0C0C0"/>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上年同期</w:t>
            </w:r>
          </w:p>
        </w:tc>
        <w:tc>
          <w:tcPr>
            <w:tcW w:w="640" w:type="dxa"/>
            <w:vMerge w:val="restart"/>
            <w:tcBorders>
              <w:top w:val="single" w:color="auto" w:sz="2" w:space="0"/>
            </w:tcBorders>
            <w:shd w:val="clear" w:color="auto" w:fill="auto"/>
            <w:noWrap/>
            <w:vAlign w:val="center"/>
          </w:tcPr>
          <w:p>
            <w:pPr>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本期　</w:t>
            </w:r>
          </w:p>
        </w:tc>
        <w:tc>
          <w:tcPr>
            <w:tcW w:w="629" w:type="dxa"/>
            <w:vMerge w:val="restart"/>
            <w:tcBorders>
              <w:top w:val="single" w:color="auto" w:sz="2" w:space="0"/>
            </w:tcBorders>
            <w:shd w:val="clear" w:color="auto" w:fill="C0C0C0"/>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上年</w:t>
            </w:r>
          </w:p>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同期</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17" w:hRule="atLeast"/>
        </w:trPr>
        <w:tc>
          <w:tcPr>
            <w:tcW w:w="699" w:type="dxa"/>
            <w:gridSpan w:val="3"/>
            <w:tcBorders>
              <w:top w:val="nil"/>
              <w:bottom w:val="nil"/>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591" w:type="dxa"/>
            <w:gridSpan w:val="2"/>
            <w:vMerge w:val="continue"/>
            <w:tcBorders>
              <w:left w:val="single" w:color="auto" w:sz="2" w:space="0"/>
              <w:bottom w:val="single" w:color="auto" w:sz="4"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590" w:type="dxa"/>
            <w:vMerge w:val="continue"/>
            <w:tcBorders>
              <w:bottom w:val="single" w:color="auto" w:sz="4"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590" w:type="dxa"/>
            <w:gridSpan w:val="2"/>
            <w:vMerge w:val="continue"/>
            <w:tcBorders>
              <w:bottom w:val="single" w:color="auto" w:sz="4"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591" w:type="dxa"/>
            <w:gridSpan w:val="2"/>
            <w:tcBorders>
              <w:bottom w:val="single" w:color="auto" w:sz="4"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本月</w:t>
            </w:r>
          </w:p>
        </w:tc>
        <w:tc>
          <w:tcPr>
            <w:tcW w:w="594" w:type="dxa"/>
            <w:tcBorders>
              <w:top w:val="single" w:color="auto" w:sz="2" w:space="0"/>
              <w:bottom w:val="single" w:color="auto" w:sz="2"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p>
            <w:pPr>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本月</w:t>
            </w:r>
          </w:p>
        </w:tc>
        <w:tc>
          <w:tcPr>
            <w:tcW w:w="590" w:type="dxa"/>
            <w:gridSpan w:val="2"/>
            <w:tcBorders>
              <w:bottom w:val="single" w:color="auto" w:sz="4" w:space="0"/>
            </w:tcBorders>
            <w:shd w:val="clear" w:color="auto" w:fill="C0C0C0"/>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本月</w:t>
            </w:r>
          </w:p>
        </w:tc>
        <w:tc>
          <w:tcPr>
            <w:tcW w:w="596" w:type="dxa"/>
            <w:gridSpan w:val="2"/>
            <w:tcBorders>
              <w:top w:val="single" w:color="auto" w:sz="2" w:space="0"/>
              <w:bottom w:val="single" w:color="auto" w:sz="2" w:space="0"/>
            </w:tcBorders>
            <w:shd w:val="clear" w:color="auto" w:fill="C0C0C0"/>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p>
            <w:pPr>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本月</w:t>
            </w:r>
          </w:p>
        </w:tc>
        <w:tc>
          <w:tcPr>
            <w:tcW w:w="590" w:type="dxa"/>
            <w:tcBorders>
              <w:bottom w:val="single" w:color="auto" w:sz="4" w:space="0"/>
            </w:tcBorders>
            <w:shd w:val="clear" w:color="auto" w:fill="FFFFFF"/>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p>
            <w:pPr>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本月</w:t>
            </w:r>
          </w:p>
        </w:tc>
        <w:tc>
          <w:tcPr>
            <w:tcW w:w="594" w:type="dxa"/>
            <w:tcBorders>
              <w:bottom w:val="single" w:color="auto" w:sz="4" w:space="0"/>
            </w:tcBorders>
            <w:shd w:val="clear" w:color="auto" w:fill="C0C0C0"/>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上年同期</w:t>
            </w:r>
          </w:p>
        </w:tc>
        <w:tc>
          <w:tcPr>
            <w:tcW w:w="590" w:type="dxa"/>
            <w:tcBorders>
              <w:bottom w:val="single" w:color="auto" w:sz="4"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p>
            <w:pPr>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本月</w:t>
            </w:r>
          </w:p>
        </w:tc>
        <w:tc>
          <w:tcPr>
            <w:tcW w:w="596" w:type="dxa"/>
            <w:gridSpan w:val="2"/>
            <w:tcBorders>
              <w:top w:val="single" w:color="auto" w:sz="2" w:space="0"/>
              <w:bottom w:val="single" w:color="auto" w:sz="4" w:space="0"/>
            </w:tcBorders>
            <w:shd w:val="clear" w:color="auto" w:fill="B3B3B3"/>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上年同期</w:t>
            </w:r>
          </w:p>
        </w:tc>
        <w:tc>
          <w:tcPr>
            <w:tcW w:w="590" w:type="dxa"/>
            <w:gridSpan w:val="2"/>
            <w:vMerge w:val="continue"/>
            <w:tcBorders>
              <w:bottom w:val="single" w:color="auto" w:sz="4" w:space="0"/>
            </w:tcBorders>
            <w:noWrap/>
            <w:vAlign w:val="center"/>
          </w:tcPr>
          <w:p>
            <w:pPr>
              <w:jc w:val="left"/>
              <w:rPr>
                <w:rFonts w:asciiTheme="minorEastAsia" w:hAnsiTheme="minorEastAsia" w:eastAsiaTheme="minorEastAsia" w:cstheme="minorEastAsia"/>
                <w:kern w:val="0"/>
                <w:sz w:val="18"/>
                <w:szCs w:val="18"/>
              </w:rPr>
            </w:pPr>
          </w:p>
        </w:tc>
        <w:tc>
          <w:tcPr>
            <w:tcW w:w="594" w:type="dxa"/>
            <w:vMerge w:val="continue"/>
            <w:tcBorders>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c>
          <w:tcPr>
            <w:tcW w:w="640" w:type="dxa"/>
            <w:vMerge w:val="continue"/>
            <w:tcBorders>
              <w:bottom w:val="single" w:color="auto" w:sz="4" w:space="0"/>
            </w:tcBorders>
            <w:noWrap/>
            <w:vAlign w:val="center"/>
          </w:tcPr>
          <w:p>
            <w:pPr>
              <w:jc w:val="left"/>
              <w:rPr>
                <w:rFonts w:asciiTheme="minorEastAsia" w:hAnsiTheme="minorEastAsia" w:eastAsiaTheme="minorEastAsia" w:cstheme="minorEastAsia"/>
                <w:kern w:val="0"/>
                <w:sz w:val="18"/>
                <w:szCs w:val="18"/>
              </w:rPr>
            </w:pPr>
          </w:p>
        </w:tc>
        <w:tc>
          <w:tcPr>
            <w:tcW w:w="629" w:type="dxa"/>
            <w:vMerge w:val="continue"/>
            <w:tcBorders>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gridBefore w:val="2"/>
          <w:wBefore w:w="21" w:type="dxa"/>
          <w:trHeight w:val="299" w:hRule="atLeast"/>
        </w:trPr>
        <w:tc>
          <w:tcPr>
            <w:tcW w:w="678"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甲</w:t>
            </w:r>
          </w:p>
        </w:tc>
        <w:tc>
          <w:tcPr>
            <w:tcW w:w="591" w:type="dxa"/>
            <w:gridSpan w:val="2"/>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乙</w:t>
            </w:r>
          </w:p>
        </w:tc>
        <w:tc>
          <w:tcPr>
            <w:tcW w:w="590"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丙</w:t>
            </w:r>
          </w:p>
        </w:tc>
        <w:tc>
          <w:tcPr>
            <w:tcW w:w="590" w:type="dxa"/>
            <w:gridSpan w:val="2"/>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tc>
        <w:tc>
          <w:tcPr>
            <w:tcW w:w="591" w:type="dxa"/>
            <w:gridSpan w:val="2"/>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594" w:type="dxa"/>
            <w:tcBorders>
              <w:top w:val="single" w:color="auto" w:sz="2" w:space="0"/>
              <w:bottom w:val="single" w:color="auto" w:sz="2"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w:t>
            </w:r>
          </w:p>
        </w:tc>
        <w:tc>
          <w:tcPr>
            <w:tcW w:w="590" w:type="dxa"/>
            <w:gridSpan w:val="2"/>
            <w:tcBorders>
              <w:top w:val="single" w:color="auto" w:sz="4" w:space="0"/>
              <w:bottom w:val="single" w:color="auto" w:sz="2"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p>
        </w:tc>
        <w:tc>
          <w:tcPr>
            <w:tcW w:w="596" w:type="dxa"/>
            <w:gridSpan w:val="2"/>
            <w:tcBorders>
              <w:top w:val="single" w:color="auto" w:sz="2" w:space="0"/>
              <w:bottom w:val="single" w:color="auto" w:sz="2"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w:t>
            </w:r>
          </w:p>
        </w:tc>
        <w:tc>
          <w:tcPr>
            <w:tcW w:w="590" w:type="dxa"/>
            <w:shd w:val="clear" w:color="auto" w:fill="FFFFFF"/>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w:t>
            </w:r>
          </w:p>
        </w:tc>
        <w:tc>
          <w:tcPr>
            <w:tcW w:w="594" w:type="dxa"/>
            <w:tcBorders>
              <w:top w:val="single" w:color="auto" w:sz="4" w:space="0"/>
              <w:bottom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w:t>
            </w:r>
          </w:p>
        </w:tc>
        <w:tc>
          <w:tcPr>
            <w:tcW w:w="590"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8</w:t>
            </w:r>
          </w:p>
        </w:tc>
        <w:tc>
          <w:tcPr>
            <w:tcW w:w="596" w:type="dxa"/>
            <w:gridSpan w:val="2"/>
            <w:tcBorders>
              <w:top w:val="single" w:color="auto" w:sz="4" w:space="0"/>
              <w:bottom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9</w:t>
            </w:r>
          </w:p>
        </w:tc>
        <w:tc>
          <w:tcPr>
            <w:tcW w:w="590" w:type="dxa"/>
            <w:gridSpan w:val="2"/>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w:t>
            </w:r>
          </w:p>
        </w:tc>
        <w:tc>
          <w:tcPr>
            <w:tcW w:w="594" w:type="dxa"/>
            <w:tcBorders>
              <w:top w:val="single" w:color="auto" w:sz="4" w:space="0"/>
              <w:bottom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w:t>
            </w:r>
          </w:p>
        </w:tc>
        <w:tc>
          <w:tcPr>
            <w:tcW w:w="640"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w:t>
            </w:r>
          </w:p>
        </w:tc>
        <w:tc>
          <w:tcPr>
            <w:tcW w:w="629" w:type="dxa"/>
            <w:tcBorders>
              <w:top w:val="single" w:color="auto" w:sz="4" w:space="0"/>
              <w:bottom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13</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gridBefore w:val="2"/>
          <w:wBefore w:w="21" w:type="dxa"/>
          <w:trHeight w:val="554" w:hRule="atLeast"/>
        </w:trPr>
        <w:tc>
          <w:tcPr>
            <w:tcW w:w="678" w:type="dxa"/>
            <w:tcBorders>
              <w:bottom w:val="single" w:color="auto" w:sz="8"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w:t>
            </w:r>
          </w:p>
        </w:tc>
        <w:tc>
          <w:tcPr>
            <w:tcW w:w="591" w:type="dxa"/>
            <w:gridSpan w:val="2"/>
            <w:tcBorders>
              <w:bottom w:val="single" w:color="auto" w:sz="8"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w:t>
            </w:r>
          </w:p>
        </w:tc>
        <w:tc>
          <w:tcPr>
            <w:tcW w:w="590" w:type="dxa"/>
            <w:tcBorders>
              <w:bottom w:val="single" w:color="auto" w:sz="8"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w:t>
            </w:r>
          </w:p>
        </w:tc>
        <w:tc>
          <w:tcPr>
            <w:tcW w:w="7784" w:type="dxa"/>
            <w:gridSpan w:val="19"/>
            <w:tcBorders>
              <w:bottom w:val="single" w:color="auto" w:sz="8"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w:t>
            </w:r>
          </w:p>
        </w:tc>
      </w:tr>
    </w:tbl>
    <w:p>
      <w:pPr>
        <w:spacing w:before="72" w:beforeLines="3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单位负责人：         统计负责人：         填表人：         联系电话：         报出日期：２０   年  月  日</w:t>
      </w:r>
    </w:p>
    <w:p>
      <w:pPr>
        <w:spacing w:line="260" w:lineRule="exact"/>
        <w:rPr>
          <w:rFonts w:asciiTheme="minorEastAsia" w:hAnsiTheme="minorEastAsia" w:eastAsiaTheme="minorEastAsia" w:cstheme="minorEastAsia"/>
          <w:sz w:val="18"/>
        </w:rPr>
      </w:pPr>
    </w:p>
    <w:p>
      <w:pPr>
        <w:spacing w:line="280" w:lineRule="exact"/>
        <w:ind w:left="1666" w:leftChars="0" w:hanging="1666" w:hangingChars="922"/>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b/>
          <w:sz w:val="18"/>
          <w:szCs w:val="18"/>
        </w:rPr>
        <w:t>说明</w:t>
      </w:r>
      <w:r>
        <w:rPr>
          <w:rFonts w:hint="eastAsia" w:asciiTheme="minorEastAsia" w:hAnsiTheme="minorEastAsia" w:eastAsiaTheme="minorEastAsia" w:cstheme="minorEastAsia"/>
          <w:sz w:val="18"/>
          <w:szCs w:val="18"/>
        </w:rPr>
        <w:t>：1.报送单位：辖区内规模以上工业、有资质的建筑业、限额以上批发和零售业、限额以上住宿和餐饮业、有开发经营活动的房</w:t>
      </w:r>
      <w:r>
        <w:rPr>
          <w:rFonts w:hint="eastAsia" w:asciiTheme="minorEastAsia" w:hAnsiTheme="minorEastAsia" w:eastAsiaTheme="minorEastAsia" w:cstheme="minorEastAsia"/>
          <w:color w:val="auto"/>
          <w:sz w:val="18"/>
          <w:szCs w:val="18"/>
        </w:rPr>
        <w:t>地产开发经营业</w:t>
      </w:r>
      <w:r>
        <w:rPr>
          <w:rFonts w:hint="eastAsia" w:asciiTheme="minorEastAsia" w:hAnsiTheme="minorEastAsia" w:eastAsiaTheme="minorEastAsia" w:cstheme="minorEastAsia"/>
          <w:color w:val="auto"/>
          <w:sz w:val="18"/>
          <w:szCs w:val="18"/>
          <w:lang w:eastAsia="zh-CN"/>
        </w:rPr>
        <w:t>、</w:t>
      </w:r>
      <w:r>
        <w:rPr>
          <w:rFonts w:hint="eastAsia" w:asciiTheme="minorEastAsia" w:hAnsiTheme="minorEastAsia" w:eastAsiaTheme="minorEastAsia" w:cstheme="minorEastAsia"/>
          <w:color w:val="auto"/>
          <w:sz w:val="18"/>
          <w:szCs w:val="18"/>
        </w:rPr>
        <w:t>规模以上服务业等重点法人单位</w:t>
      </w:r>
      <w:r>
        <w:rPr>
          <w:rFonts w:hint="eastAsia" w:ascii="宋体"/>
          <w:color w:val="auto"/>
          <w:sz w:val="18"/>
        </w:rPr>
        <w:t>和规模以上</w:t>
      </w:r>
      <w:r>
        <w:rPr>
          <w:rFonts w:hint="eastAsia" w:ascii="宋体"/>
          <w:color w:val="auto"/>
          <w:sz w:val="18"/>
          <w:lang w:eastAsia="zh-CN"/>
        </w:rPr>
        <w:t>工业</w:t>
      </w:r>
      <w:r>
        <w:rPr>
          <w:rFonts w:hint="eastAsia" w:ascii="宋体"/>
          <w:color w:val="auto"/>
          <w:sz w:val="18"/>
        </w:rPr>
        <w:t>个体经营户</w:t>
      </w:r>
      <w:r>
        <w:rPr>
          <w:rFonts w:hint="eastAsia" w:asciiTheme="minorEastAsia" w:hAnsiTheme="minorEastAsia" w:eastAsiaTheme="minorEastAsia" w:cstheme="minorEastAsia"/>
          <w:color w:val="auto"/>
          <w:sz w:val="18"/>
          <w:szCs w:val="18"/>
        </w:rPr>
        <w:t xml:space="preserve">。 </w:t>
      </w:r>
    </w:p>
    <w:p>
      <w:pPr>
        <w:spacing w:line="280" w:lineRule="exact"/>
        <w:ind w:left="2145" w:leftChars="250" w:hanging="1620" w:hangingChars="900"/>
        <w:jc w:val="left"/>
        <w:rPr>
          <w:rFonts w:ascii="宋体" w:hAnsi="宋体" w:eastAsiaTheme="minorEastAsia" w:cstheme="minorEastAsia"/>
          <w:color w:val="auto"/>
          <w:sz w:val="18"/>
          <w:szCs w:val="18"/>
        </w:rPr>
      </w:pPr>
      <w:r>
        <w:rPr>
          <w:rFonts w:hint="eastAsia" w:ascii="宋体" w:hAnsi="宋体" w:eastAsiaTheme="minorEastAsia" w:cstheme="minorEastAsia"/>
          <w:color w:val="auto"/>
          <w:sz w:val="18"/>
          <w:szCs w:val="18"/>
        </w:rPr>
        <w:t>2.报送日期及方式：</w:t>
      </w:r>
      <w:r>
        <w:rPr>
          <w:rFonts w:hint="eastAsia" w:asciiTheme="majorEastAsia" w:hAnsiTheme="majorEastAsia" w:eastAsiaTheme="majorEastAsia" w:cstheme="majorEastAsia"/>
          <w:color w:val="auto"/>
          <w:sz w:val="18"/>
          <w:szCs w:val="18"/>
        </w:rPr>
        <w:t>调查单位</w:t>
      </w:r>
      <w:r>
        <w:rPr>
          <w:rFonts w:hint="default" w:ascii="Times New Roman" w:hAnsi="Times New Roman" w:cs="Times New Roman" w:eastAsiaTheme="majorEastAsia"/>
          <w:color w:val="auto"/>
          <w:sz w:val="18"/>
          <w:szCs w:val="18"/>
        </w:rPr>
        <w:t>2、</w:t>
      </w:r>
      <w:r>
        <w:rPr>
          <w:rFonts w:hint="eastAsia" w:cs="Times New Roman" w:eastAsiaTheme="majorEastAsia"/>
          <w:color w:val="auto"/>
          <w:sz w:val="18"/>
          <w:szCs w:val="18"/>
          <w:lang w:val="en-US" w:eastAsia="zh-CN"/>
        </w:rPr>
        <w:t>10月月后6日，</w:t>
      </w:r>
      <w:r>
        <w:rPr>
          <w:rFonts w:hint="default" w:ascii="Times New Roman" w:hAnsi="Times New Roman" w:cs="Times New Roman" w:eastAsiaTheme="majorEastAsia"/>
          <w:color w:val="auto"/>
          <w:sz w:val="18"/>
          <w:szCs w:val="18"/>
        </w:rPr>
        <w:t>6、7、8、11</w:t>
      </w:r>
      <w:r>
        <w:rPr>
          <w:rFonts w:hint="eastAsia" w:asciiTheme="majorEastAsia" w:hAnsiTheme="majorEastAsia" w:eastAsiaTheme="majorEastAsia" w:cstheme="majorEastAsia"/>
          <w:color w:val="auto"/>
          <w:sz w:val="18"/>
          <w:szCs w:val="18"/>
        </w:rPr>
        <w:t>月月后</w:t>
      </w:r>
      <w:r>
        <w:rPr>
          <w:rFonts w:hint="default" w:ascii="Times New Roman" w:hAnsi="Times New Roman" w:cs="Times New Roman" w:eastAsiaTheme="majorEastAsia"/>
          <w:color w:val="auto"/>
          <w:sz w:val="18"/>
          <w:szCs w:val="18"/>
        </w:rPr>
        <w:t>7</w:t>
      </w:r>
      <w:r>
        <w:rPr>
          <w:rFonts w:hint="eastAsia" w:asciiTheme="majorEastAsia" w:hAnsiTheme="majorEastAsia" w:eastAsiaTheme="majorEastAsia" w:cstheme="majorEastAsia"/>
          <w:color w:val="auto"/>
          <w:sz w:val="18"/>
          <w:szCs w:val="18"/>
        </w:rPr>
        <w:t>日，</w:t>
      </w:r>
      <w:r>
        <w:rPr>
          <w:rFonts w:hint="default" w:ascii="Times New Roman" w:hAnsi="Times New Roman" w:eastAsia="7" w:cs="Times New Roman"/>
          <w:color w:val="auto"/>
          <w:sz w:val="18"/>
          <w:szCs w:val="18"/>
        </w:rPr>
        <w:t>3</w:t>
      </w:r>
      <w:r>
        <w:rPr>
          <w:rFonts w:hint="eastAsia" w:eastAsia="7" w:cs="Times New Roman"/>
          <w:color w:val="auto"/>
          <w:sz w:val="18"/>
          <w:szCs w:val="18"/>
          <w:lang w:eastAsia="zh-CN"/>
        </w:rPr>
        <w:t>、</w:t>
      </w:r>
      <w:r>
        <w:rPr>
          <w:rFonts w:hint="eastAsia" w:eastAsia="7" w:cs="Times New Roman"/>
          <w:color w:val="auto"/>
          <w:sz w:val="18"/>
          <w:szCs w:val="18"/>
          <w:lang w:val="en-US" w:eastAsia="zh-CN"/>
        </w:rPr>
        <w:t>5、12</w:t>
      </w:r>
      <w:r>
        <w:rPr>
          <w:rFonts w:hint="eastAsia" w:asciiTheme="majorEastAsia" w:hAnsiTheme="majorEastAsia" w:eastAsiaTheme="majorEastAsia" w:cstheme="majorEastAsia"/>
          <w:color w:val="auto"/>
          <w:sz w:val="18"/>
          <w:szCs w:val="18"/>
        </w:rPr>
        <w:t>月月后</w:t>
      </w:r>
      <w:r>
        <w:rPr>
          <w:rFonts w:hint="default" w:ascii="Times New Roman" w:hAnsi="Times New Roman" w:cs="Times New Roman" w:eastAsiaTheme="majorEastAsia"/>
          <w:b w:val="0"/>
          <w:bCs w:val="0"/>
          <w:color w:val="auto"/>
          <w:sz w:val="18"/>
          <w:szCs w:val="18"/>
        </w:rPr>
        <w:t>8</w:t>
      </w:r>
      <w:r>
        <w:rPr>
          <w:rFonts w:hint="eastAsia" w:asciiTheme="majorEastAsia" w:hAnsiTheme="majorEastAsia" w:eastAsiaTheme="majorEastAsia" w:cstheme="majorEastAsia"/>
          <w:color w:val="auto"/>
          <w:sz w:val="18"/>
          <w:szCs w:val="18"/>
        </w:rPr>
        <w:t>日，</w:t>
      </w:r>
      <w:r>
        <w:rPr>
          <w:rFonts w:hint="default" w:ascii="Times New Roman" w:hAnsi="Times New Roman" w:cs="Times New Roman" w:eastAsiaTheme="majorEastAsia"/>
          <w:color w:val="auto"/>
          <w:sz w:val="18"/>
          <w:szCs w:val="18"/>
        </w:rPr>
        <w:t>4</w:t>
      </w:r>
      <w:r>
        <w:rPr>
          <w:rFonts w:hint="eastAsia" w:asciiTheme="majorEastAsia" w:hAnsiTheme="majorEastAsia" w:eastAsiaTheme="majorEastAsia" w:cstheme="majorEastAsia"/>
          <w:color w:val="auto"/>
          <w:sz w:val="18"/>
          <w:szCs w:val="18"/>
        </w:rPr>
        <w:t>月月后</w:t>
      </w:r>
      <w:r>
        <w:rPr>
          <w:rFonts w:hint="default" w:ascii="Times New Roman" w:hAnsi="Times New Roman" w:cs="Times New Roman" w:eastAsiaTheme="majorEastAsia"/>
          <w:color w:val="auto"/>
          <w:sz w:val="18"/>
          <w:szCs w:val="18"/>
        </w:rPr>
        <w:t>9</w:t>
      </w:r>
      <w:r>
        <w:rPr>
          <w:rFonts w:hint="eastAsia" w:asciiTheme="majorEastAsia" w:hAnsiTheme="majorEastAsia" w:eastAsiaTheme="majorEastAsia" w:cstheme="majorEastAsia"/>
          <w:color w:val="auto"/>
          <w:sz w:val="18"/>
          <w:szCs w:val="18"/>
        </w:rPr>
        <w:t>日，</w:t>
      </w:r>
      <w:r>
        <w:rPr>
          <w:rFonts w:hint="default" w:ascii="Times New Roman" w:hAnsi="Times New Roman" w:cs="Times New Roman" w:eastAsiaTheme="majorEastAsia"/>
          <w:color w:val="auto"/>
          <w:sz w:val="18"/>
          <w:szCs w:val="18"/>
        </w:rPr>
        <w:t>9</w:t>
      </w:r>
      <w:r>
        <w:rPr>
          <w:rFonts w:hint="eastAsia" w:asciiTheme="majorEastAsia" w:hAnsiTheme="majorEastAsia" w:eastAsiaTheme="majorEastAsia" w:cstheme="majorEastAsia"/>
          <w:color w:val="auto"/>
          <w:sz w:val="18"/>
          <w:szCs w:val="18"/>
        </w:rPr>
        <w:t>月月后</w:t>
      </w:r>
      <w:r>
        <w:rPr>
          <w:rFonts w:hint="default" w:ascii="Times New Roman" w:hAnsi="Times New Roman" w:cs="Times New Roman" w:eastAsiaTheme="majorEastAsia"/>
          <w:color w:val="auto"/>
          <w:sz w:val="18"/>
          <w:szCs w:val="18"/>
        </w:rPr>
        <w:t>1</w:t>
      </w:r>
      <w:r>
        <w:rPr>
          <w:rFonts w:hint="eastAsia" w:cs="Times New Roman" w:eastAsiaTheme="majorEastAsia"/>
          <w:color w:val="auto"/>
          <w:sz w:val="18"/>
          <w:szCs w:val="18"/>
          <w:lang w:val="en-US" w:eastAsia="zh-CN"/>
        </w:rPr>
        <w:t>2</w:t>
      </w:r>
      <w:r>
        <w:rPr>
          <w:rFonts w:hint="eastAsia" w:asciiTheme="majorEastAsia" w:hAnsiTheme="majorEastAsia" w:eastAsiaTheme="majorEastAsia" w:cstheme="majorEastAsia"/>
          <w:color w:val="auto"/>
          <w:sz w:val="18"/>
          <w:szCs w:val="18"/>
        </w:rPr>
        <w:t>日</w:t>
      </w:r>
      <w:r>
        <w:rPr>
          <w:rFonts w:hint="default" w:ascii="Times New Roman" w:hAnsi="Times New Roman" w:cs="Times New Roman" w:eastAsiaTheme="majorEastAsia"/>
          <w:color w:val="auto"/>
          <w:sz w:val="18"/>
          <w:szCs w:val="18"/>
        </w:rPr>
        <w:t>12：00</w:t>
      </w:r>
      <w:r>
        <w:rPr>
          <w:rFonts w:hint="eastAsia" w:asciiTheme="majorEastAsia" w:hAnsiTheme="majorEastAsia" w:eastAsiaTheme="majorEastAsia" w:cstheme="majorEastAsia"/>
          <w:color w:val="auto"/>
          <w:sz w:val="18"/>
          <w:szCs w:val="18"/>
        </w:rPr>
        <w:t>前独立自行网上填报，</w:t>
      </w:r>
      <w:r>
        <w:rPr>
          <w:rFonts w:hint="default" w:ascii="Times New Roman" w:hAnsi="Times New Roman" w:cs="Times New Roman" w:eastAsiaTheme="majorEastAsia"/>
          <w:color w:val="auto"/>
          <w:sz w:val="18"/>
          <w:szCs w:val="18"/>
        </w:rPr>
        <w:t>1</w:t>
      </w:r>
      <w:r>
        <w:rPr>
          <w:rFonts w:hint="eastAsia" w:asciiTheme="majorEastAsia" w:hAnsiTheme="majorEastAsia" w:eastAsiaTheme="majorEastAsia" w:cstheme="majorEastAsia"/>
          <w:color w:val="auto"/>
          <w:sz w:val="18"/>
          <w:szCs w:val="18"/>
        </w:rPr>
        <w:t>月免报</w:t>
      </w:r>
      <w:r>
        <w:rPr>
          <w:rFonts w:hint="eastAsia" w:ascii="宋体" w:hAnsi="宋体" w:eastAsiaTheme="majorEastAsia" w:cstheme="majorEastAsia"/>
          <w:color w:val="auto"/>
          <w:sz w:val="18"/>
          <w:szCs w:val="18"/>
        </w:rPr>
        <w:t>；</w:t>
      </w:r>
      <w:r>
        <w:rPr>
          <w:rFonts w:hint="eastAsia" w:ascii="宋体" w:hAnsi="宋体" w:eastAsiaTheme="minorEastAsia" w:cstheme="minorEastAsia"/>
          <w:color w:val="auto"/>
          <w:kern w:val="0"/>
          <w:sz w:val="18"/>
          <w:szCs w:val="18"/>
        </w:rPr>
        <w:t>各级统计机构在规定时间完成数据的审核、验收和上报</w:t>
      </w:r>
      <w:r>
        <w:rPr>
          <w:rFonts w:hint="eastAsia" w:ascii="宋体" w:hAnsi="宋体" w:eastAsiaTheme="minorEastAsia" w:cstheme="minorEastAsia"/>
          <w:color w:val="auto"/>
          <w:sz w:val="18"/>
        </w:rPr>
        <w:t>。</w:t>
      </w:r>
    </w:p>
    <w:p>
      <w:pPr>
        <w:tabs>
          <w:tab w:val="left" w:pos="5430"/>
        </w:tabs>
        <w:adjustRightInd w:val="0"/>
        <w:spacing w:line="280" w:lineRule="exact"/>
        <w:ind w:left="525" w:leftChars="250"/>
        <w:rPr>
          <w:rFonts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color w:val="auto"/>
          <w:kern w:val="0"/>
          <w:sz w:val="18"/>
          <w:szCs w:val="18"/>
        </w:rPr>
        <w:t>3.</w:t>
      </w:r>
      <w:r>
        <w:rPr>
          <w:rFonts w:hint="eastAsia" w:asciiTheme="minorEastAsia" w:hAnsiTheme="minorEastAsia" w:eastAsiaTheme="minorEastAsia" w:cstheme="minorEastAsia"/>
          <w:color w:val="auto"/>
          <w:sz w:val="18"/>
        </w:rPr>
        <w:t>本表甲栏下</w:t>
      </w:r>
      <w:r>
        <w:rPr>
          <w:rFonts w:hint="eastAsia" w:asciiTheme="minorEastAsia" w:hAnsiTheme="minorEastAsia" w:eastAsiaTheme="minorEastAsia" w:cstheme="minorEastAsia"/>
          <w:color w:val="auto"/>
          <w:sz w:val="18"/>
          <w:szCs w:val="18"/>
        </w:rPr>
        <w:t>按《能源生产、销售与库存目录》</w:t>
      </w:r>
      <w:r>
        <w:rPr>
          <w:rFonts w:hint="eastAsia" w:asciiTheme="minorEastAsia" w:hAnsiTheme="minorEastAsia" w:eastAsiaTheme="minorEastAsia" w:cstheme="minorEastAsia"/>
          <w:sz w:val="18"/>
          <w:szCs w:val="18"/>
        </w:rPr>
        <w:t>填报。</w:t>
      </w:r>
    </w:p>
    <w:p>
      <w:pPr>
        <w:tabs>
          <w:tab w:val="left" w:pos="5430"/>
        </w:tabs>
        <w:adjustRightInd w:val="0"/>
        <w:spacing w:line="280" w:lineRule="exact"/>
        <w:ind w:left="705" w:leftChars="250" w:hanging="180" w:hanging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bCs/>
          <w:kern w:val="0"/>
          <w:sz w:val="18"/>
          <w:szCs w:val="18"/>
        </w:rPr>
        <w:t>4.</w:t>
      </w:r>
      <w:r>
        <w:rPr>
          <w:rFonts w:hint="eastAsia" w:asciiTheme="minorEastAsia" w:hAnsiTheme="minorEastAsia" w:eastAsiaTheme="minorEastAsia" w:cstheme="minorEastAsia"/>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本年新增指标的同期数由调查单位自行填报。</w:t>
      </w:r>
    </w:p>
    <w:p>
      <w:pPr>
        <w:tabs>
          <w:tab w:val="left" w:pos="5430"/>
        </w:tabs>
        <w:adjustRightInd w:val="0"/>
        <w:spacing w:line="280" w:lineRule="exact"/>
        <w:ind w:left="525" w:leftChars="2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5.几种能源产品重量单位与容积单位的换算关系：</w:t>
      </w:r>
    </w:p>
    <w:p>
      <w:pPr>
        <w:tabs>
          <w:tab w:val="left" w:pos="5430"/>
        </w:tabs>
        <w:adjustRightInd w:val="0"/>
        <w:spacing w:line="280" w:lineRule="exact"/>
        <w:ind w:left="735" w:leftChars="3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(1)氢气：1立方米≈0.0899千克，1千克≈11.1235立方米</w:t>
      </w:r>
    </w:p>
    <w:p>
      <w:pPr>
        <w:tabs>
          <w:tab w:val="left" w:pos="5430"/>
        </w:tabs>
        <w:adjustRightInd w:val="0"/>
        <w:spacing w:line="280" w:lineRule="exact"/>
        <w:ind w:left="735" w:leftChars="3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(2)汽油：1升≈0.73千克，1千克≈1.3699升</w:t>
      </w:r>
    </w:p>
    <w:p>
      <w:pPr>
        <w:tabs>
          <w:tab w:val="left" w:pos="5430"/>
        </w:tabs>
        <w:adjustRightInd w:val="0"/>
        <w:spacing w:line="280" w:lineRule="exact"/>
        <w:ind w:left="735" w:leftChars="3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(3)重柴油：1升≈0.92千克，1千克≈1.0870升</w:t>
      </w:r>
    </w:p>
    <w:p>
      <w:pPr>
        <w:tabs>
          <w:tab w:val="left" w:pos="5430"/>
        </w:tabs>
        <w:adjustRightInd w:val="0"/>
        <w:spacing w:line="280" w:lineRule="exact"/>
        <w:ind w:left="735" w:leftChars="3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(4)轻柴油：1升≈0.86千克，1千克≈1.1628升</w:t>
      </w:r>
    </w:p>
    <w:p>
      <w:pPr>
        <w:tabs>
          <w:tab w:val="left" w:pos="5430"/>
        </w:tabs>
        <w:adjustRightInd w:val="0"/>
        <w:spacing w:line="280" w:lineRule="exact"/>
        <w:ind w:left="735" w:leftChars="3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(5)煤油：1升≈0.82千克，1千克≈1.2195升</w:t>
      </w:r>
    </w:p>
    <w:p>
      <w:pPr>
        <w:tabs>
          <w:tab w:val="left" w:pos="5430"/>
        </w:tabs>
        <w:adjustRightInd w:val="0"/>
        <w:spacing w:line="280" w:lineRule="exact"/>
        <w:ind w:left="735" w:leftChars="35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(6)燃料油：1升≈0.91千克，1千克≈1.0990升</w:t>
      </w:r>
    </w:p>
    <w:p>
      <w:pPr>
        <w:jc w:val="center"/>
        <w:rPr>
          <w:rFonts w:ascii="宋体" w:hAnsi="宋体" w:cs="宋体"/>
          <w:bCs/>
          <w:kern w:val="0"/>
          <w:sz w:val="28"/>
          <w:szCs w:val="28"/>
        </w:rPr>
      </w:pPr>
      <w:r>
        <w:rPr>
          <w:rFonts w:ascii="宋体" w:hAnsi="宋体" w:cs="宋体"/>
          <w:bCs/>
          <w:kern w:val="0"/>
          <w:sz w:val="28"/>
          <w:szCs w:val="28"/>
        </w:rPr>
        <w:br w:type="page"/>
      </w:r>
    </w:p>
    <w:p>
      <w:pPr>
        <w:jc w:val="center"/>
        <w:rPr>
          <w:rFonts w:ascii="宋体" w:hAnsi="宋体" w:cs="宋体"/>
          <w:b/>
          <w:bCs/>
          <w:kern w:val="0"/>
          <w:sz w:val="32"/>
          <w:szCs w:val="32"/>
        </w:rPr>
      </w:pPr>
      <w:r>
        <w:rPr>
          <w:rFonts w:hint="eastAsia" w:ascii="宋体" w:hAnsi="宋体" w:cs="宋体"/>
          <w:b/>
          <w:bCs/>
          <w:kern w:val="0"/>
          <w:sz w:val="32"/>
          <w:szCs w:val="32"/>
        </w:rPr>
        <w:t>重点能源商品经销情况</w:t>
      </w:r>
    </w:p>
    <w:tbl>
      <w:tblPr>
        <w:tblStyle w:val="21"/>
        <w:tblW w:w="9728" w:type="dxa"/>
        <w:jc w:val="center"/>
        <w:tblLayout w:type="fixed"/>
        <w:tblCellMar>
          <w:top w:w="0" w:type="dxa"/>
          <w:left w:w="108" w:type="dxa"/>
          <w:bottom w:w="0" w:type="dxa"/>
          <w:right w:w="108" w:type="dxa"/>
        </w:tblCellMar>
      </w:tblPr>
      <w:tblGrid>
        <w:gridCol w:w="1146"/>
        <w:gridCol w:w="916"/>
        <w:gridCol w:w="1473"/>
        <w:gridCol w:w="161"/>
        <w:gridCol w:w="228"/>
        <w:gridCol w:w="858"/>
        <w:gridCol w:w="2236"/>
        <w:gridCol w:w="1005"/>
        <w:gridCol w:w="1705"/>
      </w:tblGrid>
      <w:tr>
        <w:tblPrEx>
          <w:tblCellMar>
            <w:top w:w="0" w:type="dxa"/>
            <w:left w:w="108" w:type="dxa"/>
            <w:bottom w:w="0" w:type="dxa"/>
            <w:right w:w="108" w:type="dxa"/>
          </w:tblCellMar>
        </w:tblPrEx>
        <w:trPr>
          <w:jc w:val="center"/>
        </w:trPr>
        <w:tc>
          <w:tcPr>
            <w:tcW w:w="1146" w:type="dxa"/>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kern w:val="0"/>
                <w:sz w:val="18"/>
                <w:szCs w:val="18"/>
              </w:rPr>
            </w:pPr>
          </w:p>
        </w:tc>
        <w:tc>
          <w:tcPr>
            <w:tcW w:w="916" w:type="dxa"/>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kern w:val="0"/>
                <w:sz w:val="18"/>
                <w:szCs w:val="18"/>
              </w:rPr>
            </w:pPr>
          </w:p>
        </w:tc>
        <w:tc>
          <w:tcPr>
            <w:tcW w:w="1473" w:type="dxa"/>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kern w:val="0"/>
                <w:sz w:val="18"/>
                <w:szCs w:val="18"/>
              </w:rPr>
            </w:pPr>
          </w:p>
        </w:tc>
        <w:tc>
          <w:tcPr>
            <w:tcW w:w="389" w:type="dxa"/>
            <w:gridSpan w:val="2"/>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kern w:val="0"/>
                <w:sz w:val="18"/>
                <w:szCs w:val="18"/>
              </w:rPr>
            </w:pPr>
          </w:p>
        </w:tc>
        <w:tc>
          <w:tcPr>
            <w:tcW w:w="858" w:type="dxa"/>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kern w:val="0"/>
                <w:sz w:val="18"/>
                <w:szCs w:val="18"/>
              </w:rPr>
            </w:pPr>
          </w:p>
        </w:tc>
        <w:tc>
          <w:tcPr>
            <w:tcW w:w="2236" w:type="dxa"/>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kern w:val="0"/>
                <w:sz w:val="18"/>
                <w:szCs w:val="18"/>
              </w:rPr>
            </w:pPr>
          </w:p>
        </w:tc>
        <w:tc>
          <w:tcPr>
            <w:tcW w:w="1005" w:type="dxa"/>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kern w:val="0"/>
                <w:sz w:val="18"/>
                <w:szCs w:val="18"/>
              </w:rPr>
            </w:pPr>
            <w:r>
              <w:rPr>
                <w:kern w:val="0"/>
                <w:sz w:val="18"/>
                <w:szCs w:val="18"/>
              </w:rPr>
              <w:t>表　　号：</w:t>
            </w:r>
          </w:p>
        </w:tc>
        <w:tc>
          <w:tcPr>
            <w:tcW w:w="1705" w:type="dxa"/>
            <w:tcBorders>
              <w:top w:val="nil"/>
              <w:left w:val="nil"/>
              <w:bottom w:val="nil"/>
              <w:right w:val="nil"/>
            </w:tcBorders>
            <w:noWrap/>
            <w:tcMar>
              <w:left w:w="28" w:type="dxa"/>
              <w:right w:w="28" w:type="dxa"/>
            </w:tcMar>
            <w:vAlign w:val="center"/>
          </w:tcPr>
          <w:p>
            <w:pPr>
              <w:widowControl/>
              <w:adjustRightInd w:val="0"/>
              <w:snapToGrid w:val="0"/>
              <w:spacing w:line="240" w:lineRule="atLeast"/>
              <w:jc w:val="distribute"/>
              <w:rPr>
                <w:kern w:val="0"/>
                <w:sz w:val="18"/>
                <w:szCs w:val="18"/>
              </w:rPr>
            </w:pPr>
            <w:r>
              <w:rPr>
                <w:kern w:val="0"/>
                <w:sz w:val="18"/>
                <w:szCs w:val="18"/>
              </w:rPr>
              <w:t>２０５－７表</w:t>
            </w:r>
          </w:p>
        </w:tc>
      </w:tr>
      <w:tr>
        <w:tblPrEx>
          <w:tblCellMar>
            <w:top w:w="0" w:type="dxa"/>
            <w:left w:w="108" w:type="dxa"/>
            <w:bottom w:w="0" w:type="dxa"/>
            <w:right w:w="108" w:type="dxa"/>
          </w:tblCellMar>
        </w:tblPrEx>
        <w:trPr>
          <w:jc w:val="center"/>
        </w:trPr>
        <w:tc>
          <w:tcPr>
            <w:tcW w:w="4782" w:type="dxa"/>
            <w:gridSpan w:val="6"/>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kern w:val="0"/>
                <w:sz w:val="18"/>
                <w:szCs w:val="18"/>
              </w:rPr>
            </w:pPr>
          </w:p>
        </w:tc>
        <w:tc>
          <w:tcPr>
            <w:tcW w:w="2236" w:type="dxa"/>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kern w:val="0"/>
                <w:sz w:val="18"/>
                <w:szCs w:val="18"/>
              </w:rPr>
            </w:pPr>
          </w:p>
        </w:tc>
        <w:tc>
          <w:tcPr>
            <w:tcW w:w="1005" w:type="dxa"/>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kern w:val="0"/>
                <w:sz w:val="18"/>
                <w:szCs w:val="18"/>
              </w:rPr>
            </w:pPr>
            <w:r>
              <w:rPr>
                <w:kern w:val="0"/>
                <w:sz w:val="18"/>
                <w:szCs w:val="18"/>
              </w:rPr>
              <w:t>制表机关：</w:t>
            </w:r>
          </w:p>
        </w:tc>
        <w:tc>
          <w:tcPr>
            <w:tcW w:w="1705" w:type="dxa"/>
            <w:tcBorders>
              <w:top w:val="nil"/>
              <w:left w:val="nil"/>
              <w:bottom w:val="nil"/>
              <w:right w:val="nil"/>
            </w:tcBorders>
            <w:noWrap/>
            <w:tcMar>
              <w:left w:w="28" w:type="dxa"/>
              <w:right w:w="28" w:type="dxa"/>
            </w:tcMar>
            <w:vAlign w:val="center"/>
          </w:tcPr>
          <w:p>
            <w:pPr>
              <w:widowControl/>
              <w:adjustRightInd w:val="0"/>
              <w:snapToGrid w:val="0"/>
              <w:spacing w:line="240" w:lineRule="atLeast"/>
              <w:jc w:val="distribute"/>
              <w:rPr>
                <w:kern w:val="0"/>
                <w:sz w:val="18"/>
                <w:szCs w:val="18"/>
              </w:rPr>
            </w:pPr>
            <w:r>
              <w:rPr>
                <w:kern w:val="0"/>
                <w:sz w:val="18"/>
                <w:szCs w:val="18"/>
              </w:rPr>
              <w:t>国家统计局</w:t>
            </w:r>
          </w:p>
        </w:tc>
      </w:tr>
      <w:tr>
        <w:tblPrEx>
          <w:tblCellMar>
            <w:top w:w="0" w:type="dxa"/>
            <w:left w:w="108" w:type="dxa"/>
            <w:bottom w:w="0" w:type="dxa"/>
            <w:right w:w="108" w:type="dxa"/>
          </w:tblCellMar>
        </w:tblPrEx>
        <w:trPr>
          <w:jc w:val="center"/>
        </w:trPr>
        <w:tc>
          <w:tcPr>
            <w:tcW w:w="4782" w:type="dxa"/>
            <w:gridSpan w:val="6"/>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rFonts w:ascii="宋体" w:hAnsi="宋体"/>
                <w:kern w:val="0"/>
                <w:sz w:val="18"/>
                <w:szCs w:val="18"/>
              </w:rPr>
            </w:pPr>
            <w:r>
              <w:rPr>
                <w:rFonts w:ascii="宋体" w:hAnsi="宋体"/>
                <w:sz w:val="18"/>
                <w:szCs w:val="18"/>
              </w:rPr>
              <w:t>统一社会信用代码□□□□□□□□□□□□□□□□□□</w:t>
            </w:r>
          </w:p>
        </w:tc>
        <w:tc>
          <w:tcPr>
            <w:tcW w:w="2236" w:type="dxa"/>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kern w:val="0"/>
                <w:sz w:val="18"/>
                <w:szCs w:val="18"/>
              </w:rPr>
            </w:pPr>
          </w:p>
        </w:tc>
        <w:tc>
          <w:tcPr>
            <w:tcW w:w="1005" w:type="dxa"/>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kern w:val="0"/>
                <w:sz w:val="18"/>
                <w:szCs w:val="18"/>
              </w:rPr>
            </w:pPr>
            <w:r>
              <w:rPr>
                <w:kern w:val="0"/>
                <w:sz w:val="18"/>
                <w:szCs w:val="18"/>
              </w:rPr>
              <w:t>文　　号：</w:t>
            </w:r>
          </w:p>
        </w:tc>
        <w:tc>
          <w:tcPr>
            <w:tcW w:w="1705" w:type="dxa"/>
            <w:tcBorders>
              <w:top w:val="nil"/>
              <w:left w:val="nil"/>
              <w:bottom w:val="nil"/>
              <w:right w:val="nil"/>
            </w:tcBorders>
            <w:noWrap/>
            <w:tcMar>
              <w:left w:w="28" w:type="dxa"/>
              <w:right w:w="28" w:type="dxa"/>
            </w:tcMar>
            <w:vAlign w:val="center"/>
          </w:tcPr>
          <w:p>
            <w:pPr>
              <w:spacing w:line="260" w:lineRule="exact"/>
              <w:jc w:val="distribute"/>
              <w:rPr>
                <w:color w:val="auto"/>
                <w:spacing w:val="-8"/>
                <w:kern w:val="0"/>
                <w:sz w:val="18"/>
                <w:szCs w:val="18"/>
              </w:rPr>
            </w:pPr>
            <w:r>
              <w:rPr>
                <w:rFonts w:hint="eastAsia" w:ascii="宋体" w:hAnsi="宋体"/>
                <w:color w:val="auto"/>
                <w:sz w:val="18"/>
                <w:szCs w:val="18"/>
              </w:rPr>
              <w:t>国统字〔202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color w:val="auto"/>
                <w:sz w:val="18"/>
                <w:szCs w:val="18"/>
              </w:rPr>
              <w:t>号</w:t>
            </w:r>
          </w:p>
        </w:tc>
      </w:tr>
      <w:tr>
        <w:trPr>
          <w:jc w:val="center"/>
        </w:trPr>
        <w:tc>
          <w:tcPr>
            <w:tcW w:w="7018" w:type="dxa"/>
            <w:gridSpan w:val="7"/>
            <w:tcBorders>
              <w:top w:val="nil"/>
              <w:left w:val="nil"/>
              <w:bottom w:val="nil"/>
            </w:tcBorders>
            <w:noWrap/>
            <w:tcMar>
              <w:left w:w="28" w:type="dxa"/>
              <w:right w:w="28" w:type="dxa"/>
            </w:tcMar>
            <w:vAlign w:val="center"/>
          </w:tcPr>
          <w:p>
            <w:pPr>
              <w:widowControl/>
              <w:adjustRightInd w:val="0"/>
              <w:snapToGrid w:val="0"/>
              <w:spacing w:line="240" w:lineRule="atLeast"/>
              <w:jc w:val="left"/>
              <w:rPr>
                <w:rFonts w:ascii="宋体" w:hAnsi="宋体"/>
                <w:kern w:val="0"/>
                <w:sz w:val="18"/>
                <w:szCs w:val="18"/>
              </w:rPr>
            </w:pPr>
          </w:p>
        </w:tc>
        <w:tc>
          <w:tcPr>
            <w:tcW w:w="1005" w:type="dxa"/>
            <w:tcBorders>
              <w:top w:val="nil"/>
              <w:left w:val="nil"/>
              <w:bottom w:val="nil"/>
            </w:tcBorders>
            <w:noWrap/>
            <w:tcMar>
              <w:left w:w="28" w:type="dxa"/>
              <w:right w:w="28" w:type="dxa"/>
            </w:tcMar>
          </w:tcPr>
          <w:p>
            <w:pPr>
              <w:adjustRightInd w:val="0"/>
              <w:snapToGrid w:val="0"/>
              <w:spacing w:line="240" w:lineRule="atLeast"/>
              <w:rPr>
                <w:kern w:val="0"/>
                <w:sz w:val="18"/>
                <w:szCs w:val="18"/>
              </w:rPr>
            </w:pPr>
            <w:r>
              <w:rPr>
                <w:kern w:val="0"/>
                <w:sz w:val="18"/>
                <w:szCs w:val="18"/>
              </w:rPr>
              <w:t>有效期至：</w:t>
            </w:r>
          </w:p>
        </w:tc>
        <w:tc>
          <w:tcPr>
            <w:tcW w:w="1705" w:type="dxa"/>
            <w:tcBorders>
              <w:top w:val="nil"/>
              <w:left w:val="nil"/>
              <w:bottom w:val="nil"/>
            </w:tcBorders>
            <w:noWrap/>
            <w:tcMar>
              <w:left w:w="28" w:type="dxa"/>
              <w:right w:w="28" w:type="dxa"/>
            </w:tcMar>
            <w:vAlign w:val="center"/>
          </w:tcPr>
          <w:p>
            <w:pPr>
              <w:spacing w:line="260" w:lineRule="exact"/>
              <w:jc w:val="distribute"/>
              <w:rPr>
                <w:color w:val="auto"/>
                <w:kern w:val="0"/>
                <w:sz w:val="18"/>
                <w:szCs w:val="18"/>
              </w:rPr>
            </w:pPr>
            <w:r>
              <w:rPr>
                <w:color w:val="auto"/>
                <w:sz w:val="18"/>
                <w:szCs w:val="18"/>
              </w:rPr>
              <w:t>２０２</w:t>
            </w:r>
            <w:r>
              <w:rPr>
                <w:rFonts w:hint="eastAsia" w:ascii="宋体" w:hAnsi="宋体" w:cs="宋体"/>
                <w:color w:val="auto"/>
                <w:sz w:val="18"/>
                <w:szCs w:val="18"/>
                <w:lang w:val="en-US" w:eastAsia="zh-CN"/>
              </w:rPr>
              <w:t>7</w:t>
            </w:r>
            <w:r>
              <w:rPr>
                <w:color w:val="auto"/>
                <w:sz w:val="18"/>
                <w:szCs w:val="18"/>
              </w:rPr>
              <w:t>年１月</w:t>
            </w:r>
          </w:p>
        </w:tc>
      </w:tr>
      <w:tr>
        <w:tblPrEx>
          <w:tblCellMar>
            <w:top w:w="0" w:type="dxa"/>
            <w:left w:w="108" w:type="dxa"/>
            <w:bottom w:w="0" w:type="dxa"/>
            <w:right w:w="108" w:type="dxa"/>
          </w:tblCellMar>
        </w:tblPrEx>
        <w:trPr>
          <w:jc w:val="center"/>
        </w:trPr>
        <w:tc>
          <w:tcPr>
            <w:tcW w:w="3696" w:type="dxa"/>
            <w:gridSpan w:val="4"/>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kern w:val="0"/>
                <w:sz w:val="18"/>
                <w:szCs w:val="18"/>
              </w:rPr>
            </w:pPr>
            <w:r>
              <w:rPr>
                <w:kern w:val="0"/>
                <w:sz w:val="18"/>
                <w:szCs w:val="18"/>
              </w:rPr>
              <w:t>单位详细名称：　</w:t>
            </w:r>
          </w:p>
        </w:tc>
        <w:tc>
          <w:tcPr>
            <w:tcW w:w="3322" w:type="dxa"/>
            <w:gridSpan w:val="3"/>
            <w:tcBorders>
              <w:top w:val="nil"/>
              <w:left w:val="nil"/>
              <w:bottom w:val="nil"/>
            </w:tcBorders>
            <w:noWrap/>
            <w:tcMar>
              <w:left w:w="28" w:type="dxa"/>
              <w:right w:w="28" w:type="dxa"/>
            </w:tcMar>
          </w:tcPr>
          <w:p>
            <w:pPr>
              <w:adjustRightInd w:val="0"/>
              <w:snapToGrid w:val="0"/>
              <w:spacing w:line="240" w:lineRule="atLeast"/>
              <w:ind w:firstLine="540" w:firstLineChars="300"/>
              <w:rPr>
                <w:kern w:val="0"/>
                <w:sz w:val="18"/>
                <w:szCs w:val="18"/>
              </w:rPr>
            </w:pPr>
            <w:r>
              <w:rPr>
                <w:kern w:val="0"/>
                <w:sz w:val="18"/>
                <w:szCs w:val="18"/>
              </w:rPr>
              <w:t>２０　　年</w:t>
            </w:r>
            <w:r>
              <w:rPr>
                <w:rFonts w:hint="eastAsia"/>
                <w:kern w:val="0"/>
                <w:sz w:val="18"/>
                <w:szCs w:val="18"/>
              </w:rPr>
              <w:t xml:space="preserve"> １</w:t>
            </w:r>
            <w:r>
              <w:rPr>
                <w:kern w:val="0"/>
                <w:sz w:val="18"/>
                <w:szCs w:val="18"/>
              </w:rPr>
              <w:t>－　　月</w:t>
            </w:r>
          </w:p>
        </w:tc>
        <w:tc>
          <w:tcPr>
            <w:tcW w:w="1005" w:type="dxa"/>
            <w:tcBorders>
              <w:top w:val="nil"/>
              <w:left w:val="nil"/>
              <w:bottom w:val="nil"/>
            </w:tcBorders>
            <w:noWrap/>
            <w:tcMar>
              <w:left w:w="28" w:type="dxa"/>
              <w:right w:w="28" w:type="dxa"/>
            </w:tcMar>
          </w:tcPr>
          <w:p>
            <w:pPr>
              <w:adjustRightInd w:val="0"/>
              <w:snapToGrid w:val="0"/>
              <w:spacing w:line="240" w:lineRule="atLeast"/>
              <w:rPr>
                <w:kern w:val="0"/>
                <w:sz w:val="18"/>
                <w:szCs w:val="18"/>
              </w:rPr>
            </w:pPr>
            <w:r>
              <w:rPr>
                <w:kern w:val="0"/>
                <w:sz w:val="18"/>
                <w:szCs w:val="18"/>
              </w:rPr>
              <w:t>计量单位：</w:t>
            </w:r>
          </w:p>
        </w:tc>
        <w:tc>
          <w:tcPr>
            <w:tcW w:w="1705" w:type="dxa"/>
            <w:tcBorders>
              <w:top w:val="nil"/>
              <w:left w:val="nil"/>
              <w:bottom w:val="nil"/>
            </w:tcBorders>
            <w:noWrap/>
            <w:tcMar>
              <w:left w:w="28" w:type="dxa"/>
              <w:right w:w="28" w:type="dxa"/>
            </w:tcMar>
            <w:vAlign w:val="center"/>
          </w:tcPr>
          <w:p>
            <w:pPr>
              <w:widowControl/>
              <w:adjustRightInd w:val="0"/>
              <w:snapToGrid w:val="0"/>
              <w:spacing w:line="240" w:lineRule="atLeast"/>
              <w:jc w:val="distribute"/>
              <w:rPr>
                <w:kern w:val="0"/>
                <w:sz w:val="18"/>
                <w:szCs w:val="18"/>
              </w:rPr>
            </w:pPr>
            <w:r>
              <w:rPr>
                <w:kern w:val="0"/>
                <w:sz w:val="18"/>
                <w:szCs w:val="18"/>
              </w:rPr>
              <w:t>吨</w:t>
            </w:r>
          </w:p>
        </w:tc>
      </w:tr>
    </w:tbl>
    <w:p>
      <w:pPr>
        <w:spacing w:line="20" w:lineRule="exact"/>
        <w:jc w:val="center"/>
        <w:rPr>
          <w:sz w:val="18"/>
          <w:szCs w:val="18"/>
        </w:rPr>
      </w:pPr>
    </w:p>
    <w:tbl>
      <w:tblPr>
        <w:tblStyle w:val="21"/>
        <w:tblW w:w="0" w:type="auto"/>
        <w:jc w:val="center"/>
        <w:tblLayout w:type="fixed"/>
        <w:tblCellMar>
          <w:top w:w="0" w:type="dxa"/>
          <w:left w:w="108" w:type="dxa"/>
          <w:bottom w:w="0" w:type="dxa"/>
          <w:right w:w="108" w:type="dxa"/>
        </w:tblCellMar>
      </w:tblPr>
      <w:tblGrid>
        <w:gridCol w:w="1325"/>
        <w:gridCol w:w="480"/>
        <w:gridCol w:w="813"/>
        <w:gridCol w:w="504"/>
        <w:gridCol w:w="587"/>
        <w:gridCol w:w="504"/>
        <w:gridCol w:w="587"/>
        <w:gridCol w:w="504"/>
        <w:gridCol w:w="585"/>
        <w:gridCol w:w="516"/>
        <w:gridCol w:w="587"/>
        <w:gridCol w:w="664"/>
        <w:gridCol w:w="687"/>
        <w:gridCol w:w="672"/>
        <w:gridCol w:w="699"/>
      </w:tblGrid>
      <w:tr>
        <w:tblPrEx>
          <w:tblCellMar>
            <w:top w:w="0" w:type="dxa"/>
            <w:left w:w="108" w:type="dxa"/>
            <w:bottom w:w="0" w:type="dxa"/>
            <w:right w:w="108" w:type="dxa"/>
          </w:tblCellMar>
        </w:tblPrEx>
        <w:trPr>
          <w:trHeight w:val="785" w:hRule="atLeast"/>
          <w:jc w:val="center"/>
        </w:trPr>
        <w:tc>
          <w:tcPr>
            <w:tcW w:w="1325" w:type="dxa"/>
            <w:vMerge w:val="restart"/>
            <w:tcBorders>
              <w:top w:val="single" w:color="auto" w:sz="8" w:space="0"/>
              <w:left w:val="nil"/>
              <w:bottom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商品名称</w:t>
            </w:r>
          </w:p>
        </w:tc>
        <w:tc>
          <w:tcPr>
            <w:tcW w:w="480" w:type="dxa"/>
            <w:vMerge w:val="restart"/>
            <w:tcBorders>
              <w:top w:val="single" w:color="auto" w:sz="8" w:space="0"/>
              <w:left w:val="single" w:color="auto" w:sz="2" w:space="0"/>
              <w:bottom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代码</w:t>
            </w:r>
          </w:p>
        </w:tc>
        <w:tc>
          <w:tcPr>
            <w:tcW w:w="813" w:type="dxa"/>
            <w:vMerge w:val="restart"/>
            <w:tcBorders>
              <w:top w:val="single" w:color="auto" w:sz="8" w:space="0"/>
              <w:left w:val="single" w:color="auto" w:sz="2" w:space="0"/>
              <w:bottom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年初</w:t>
            </w:r>
          </w:p>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商品</w:t>
            </w:r>
          </w:p>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库存量</w:t>
            </w:r>
          </w:p>
        </w:tc>
        <w:tc>
          <w:tcPr>
            <w:tcW w:w="2182" w:type="dxa"/>
            <w:gridSpan w:val="4"/>
            <w:tcBorders>
              <w:top w:val="single" w:color="auto" w:sz="8" w:space="0"/>
              <w:left w:val="single" w:color="auto" w:sz="2" w:space="0"/>
              <w:bottom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商品购进量</w:t>
            </w:r>
          </w:p>
        </w:tc>
        <w:tc>
          <w:tcPr>
            <w:tcW w:w="2192" w:type="dxa"/>
            <w:gridSpan w:val="4"/>
            <w:tcBorders>
              <w:top w:val="single" w:color="auto" w:sz="8" w:space="0"/>
              <w:left w:val="single" w:color="auto" w:sz="2" w:space="0"/>
              <w:bottom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商品销售量</w:t>
            </w:r>
          </w:p>
        </w:tc>
        <w:tc>
          <w:tcPr>
            <w:tcW w:w="1351" w:type="dxa"/>
            <w:gridSpan w:val="2"/>
            <w:tcBorders>
              <w:top w:val="single" w:color="auto" w:sz="8" w:space="0"/>
              <w:left w:val="single" w:color="auto" w:sz="2" w:space="0"/>
              <w:bottom w:val="single" w:color="auto" w:sz="2" w:space="0"/>
              <w:right w:val="single" w:color="auto" w:sz="2" w:space="0"/>
            </w:tcBorders>
            <w:noWrap/>
            <w:vAlign w:val="center"/>
          </w:tcPr>
          <w:p>
            <w:pPr>
              <w:widowControl/>
              <w:spacing w:line="24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损耗量</w:t>
            </w:r>
          </w:p>
          <w:p>
            <w:pPr>
              <w:widowControl/>
              <w:spacing w:line="24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及其他</w:t>
            </w:r>
          </w:p>
        </w:tc>
        <w:tc>
          <w:tcPr>
            <w:tcW w:w="1371" w:type="dxa"/>
            <w:gridSpan w:val="2"/>
            <w:tcBorders>
              <w:top w:val="single" w:color="auto" w:sz="8" w:space="0"/>
              <w:left w:val="single" w:color="auto" w:sz="2" w:space="0"/>
              <w:bottom w:val="single" w:color="auto" w:sz="2" w:space="0"/>
              <w:right w:val="nil"/>
            </w:tcBorders>
            <w:noWrap/>
            <w:vAlign w:val="center"/>
          </w:tcPr>
          <w:p>
            <w:pPr>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期末商品</w:t>
            </w:r>
          </w:p>
          <w:p>
            <w:pPr>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库存量</w:t>
            </w:r>
          </w:p>
        </w:tc>
      </w:tr>
      <w:tr>
        <w:tblPrEx>
          <w:tblCellMar>
            <w:top w:w="0" w:type="dxa"/>
            <w:left w:w="108" w:type="dxa"/>
            <w:bottom w:w="0" w:type="dxa"/>
            <w:right w:w="108" w:type="dxa"/>
          </w:tblCellMar>
        </w:tblPrEx>
        <w:trPr>
          <w:trHeight w:val="300" w:hRule="atLeast"/>
          <w:jc w:val="center"/>
        </w:trPr>
        <w:tc>
          <w:tcPr>
            <w:tcW w:w="1325" w:type="dxa"/>
            <w:vMerge w:val="continue"/>
            <w:tcBorders>
              <w:top w:val="single" w:color="auto" w:sz="2" w:space="0"/>
              <w:left w:val="nil"/>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480"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813"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1091" w:type="dxa"/>
            <w:gridSpan w:val="2"/>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本年</w:t>
            </w:r>
          </w:p>
        </w:tc>
        <w:tc>
          <w:tcPr>
            <w:tcW w:w="1091" w:type="dxa"/>
            <w:gridSpan w:val="2"/>
            <w:tcBorders>
              <w:top w:val="single" w:color="auto" w:sz="2" w:space="0"/>
              <w:left w:val="single" w:color="auto" w:sz="2" w:space="0"/>
              <w:bottom w:val="single" w:color="auto" w:sz="2" w:space="0"/>
              <w:right w:val="single" w:color="auto" w:sz="2" w:space="0"/>
            </w:tcBorders>
            <w:shd w:val="clear" w:color="auto" w:fill="D0CECE"/>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上年同期</w:t>
            </w:r>
          </w:p>
        </w:tc>
        <w:tc>
          <w:tcPr>
            <w:tcW w:w="1089" w:type="dxa"/>
            <w:gridSpan w:val="2"/>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本年</w:t>
            </w:r>
          </w:p>
        </w:tc>
        <w:tc>
          <w:tcPr>
            <w:tcW w:w="1103" w:type="dxa"/>
            <w:gridSpan w:val="2"/>
            <w:tcBorders>
              <w:top w:val="single" w:color="auto" w:sz="2" w:space="0"/>
              <w:left w:val="single" w:color="auto" w:sz="2" w:space="0"/>
              <w:bottom w:val="single" w:color="auto" w:sz="2" w:space="0"/>
              <w:right w:val="single" w:color="auto" w:sz="2" w:space="0"/>
            </w:tcBorders>
            <w:shd w:val="clear" w:color="auto" w:fill="D0CECE"/>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上年同期</w:t>
            </w:r>
          </w:p>
        </w:tc>
        <w:tc>
          <w:tcPr>
            <w:tcW w:w="664" w:type="dxa"/>
            <w:vMerge w:val="restart"/>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center"/>
              <w:rPr>
                <w:rFonts w:asciiTheme="minorEastAsia" w:hAnsiTheme="minorEastAsia" w:eastAsiaTheme="minorEastAsia" w:cstheme="minorEastAsia"/>
                <w:spacing w:val="-20"/>
                <w:kern w:val="0"/>
                <w:sz w:val="18"/>
                <w:szCs w:val="18"/>
              </w:rPr>
            </w:pPr>
            <w:r>
              <w:rPr>
                <w:rFonts w:hint="eastAsia" w:asciiTheme="minorEastAsia" w:hAnsiTheme="minorEastAsia" w:eastAsiaTheme="minorEastAsia" w:cstheme="minorEastAsia"/>
                <w:spacing w:val="-20"/>
                <w:kern w:val="0"/>
                <w:sz w:val="18"/>
                <w:szCs w:val="18"/>
              </w:rPr>
              <w:t>1</w:t>
            </w:r>
            <w:r>
              <w:rPr>
                <w:rFonts w:hint="eastAsia" w:asciiTheme="minorEastAsia" w:hAnsiTheme="minorEastAsia" w:eastAsiaTheme="minorEastAsia" w:cstheme="minorEastAsia"/>
                <w:kern w:val="0"/>
                <w:sz w:val="18"/>
                <w:szCs w:val="18"/>
              </w:rPr>
              <w:t>－</w:t>
            </w:r>
          </w:p>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pacing w:val="-20"/>
                <w:kern w:val="0"/>
                <w:sz w:val="18"/>
                <w:szCs w:val="18"/>
              </w:rPr>
              <w:t>本月</w:t>
            </w:r>
          </w:p>
        </w:tc>
        <w:tc>
          <w:tcPr>
            <w:tcW w:w="687" w:type="dxa"/>
            <w:vMerge w:val="restart"/>
            <w:tcBorders>
              <w:top w:val="single" w:color="auto" w:sz="2" w:space="0"/>
              <w:left w:val="single" w:color="auto" w:sz="2" w:space="0"/>
              <w:bottom w:val="single" w:color="auto" w:sz="2" w:space="0"/>
              <w:right w:val="single" w:color="auto" w:sz="2" w:space="0"/>
            </w:tcBorders>
            <w:shd w:val="clear" w:color="auto" w:fill="D0CECE"/>
            <w:noWrap/>
            <w:vAlign w:val="center"/>
          </w:tcPr>
          <w:p>
            <w:pPr>
              <w:widowControl/>
              <w:jc w:val="center"/>
              <w:rPr>
                <w:rFonts w:asciiTheme="minorEastAsia" w:hAnsiTheme="minorEastAsia" w:eastAsiaTheme="minorEastAsia" w:cstheme="minorEastAsia"/>
                <w:spacing w:val="-8"/>
                <w:kern w:val="0"/>
                <w:sz w:val="18"/>
                <w:szCs w:val="18"/>
              </w:rPr>
            </w:pPr>
            <w:r>
              <w:rPr>
                <w:rFonts w:hint="eastAsia" w:asciiTheme="minorEastAsia" w:hAnsiTheme="minorEastAsia" w:eastAsiaTheme="minorEastAsia" w:cstheme="minorEastAsia"/>
                <w:spacing w:val="-8"/>
                <w:kern w:val="0"/>
                <w:sz w:val="18"/>
                <w:szCs w:val="18"/>
              </w:rPr>
              <w:t>上年同期</w:t>
            </w:r>
          </w:p>
        </w:tc>
        <w:tc>
          <w:tcPr>
            <w:tcW w:w="672" w:type="dxa"/>
            <w:vMerge w:val="restart"/>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center"/>
              <w:rPr>
                <w:rFonts w:asciiTheme="minorEastAsia" w:hAnsiTheme="minorEastAsia" w:eastAsiaTheme="minorEastAsia" w:cstheme="minorEastAsia"/>
                <w:spacing w:val="-8"/>
                <w:kern w:val="0"/>
                <w:sz w:val="18"/>
                <w:szCs w:val="18"/>
              </w:rPr>
            </w:pPr>
            <w:r>
              <w:rPr>
                <w:rFonts w:hint="eastAsia" w:asciiTheme="minorEastAsia" w:hAnsiTheme="minorEastAsia" w:eastAsiaTheme="minorEastAsia" w:cstheme="minorEastAsia"/>
                <w:spacing w:val="-8"/>
                <w:kern w:val="0"/>
                <w:sz w:val="18"/>
                <w:szCs w:val="18"/>
              </w:rPr>
              <w:t>本期</w:t>
            </w:r>
          </w:p>
        </w:tc>
        <w:tc>
          <w:tcPr>
            <w:tcW w:w="699" w:type="dxa"/>
            <w:vMerge w:val="restart"/>
            <w:tcBorders>
              <w:top w:val="single" w:color="auto" w:sz="2" w:space="0"/>
              <w:left w:val="single" w:color="auto" w:sz="2" w:space="0"/>
              <w:bottom w:val="single" w:color="auto" w:sz="2" w:space="0"/>
              <w:right w:val="nil"/>
            </w:tcBorders>
            <w:shd w:val="clear" w:color="auto" w:fill="D0CECE"/>
            <w:noWrap/>
            <w:vAlign w:val="center"/>
          </w:tcPr>
          <w:p>
            <w:pPr>
              <w:widowControl/>
              <w:jc w:val="center"/>
              <w:rPr>
                <w:rFonts w:asciiTheme="minorEastAsia" w:hAnsiTheme="minorEastAsia" w:eastAsiaTheme="minorEastAsia" w:cstheme="minorEastAsia"/>
                <w:spacing w:val="-8"/>
                <w:kern w:val="0"/>
                <w:sz w:val="18"/>
                <w:szCs w:val="18"/>
              </w:rPr>
            </w:pPr>
            <w:r>
              <w:rPr>
                <w:rFonts w:hint="eastAsia" w:asciiTheme="minorEastAsia" w:hAnsiTheme="minorEastAsia" w:eastAsiaTheme="minorEastAsia" w:cstheme="minorEastAsia"/>
                <w:spacing w:val="-8"/>
                <w:kern w:val="0"/>
                <w:sz w:val="18"/>
                <w:szCs w:val="18"/>
              </w:rPr>
              <w:t>上年同期</w:t>
            </w:r>
          </w:p>
        </w:tc>
      </w:tr>
      <w:tr>
        <w:tblPrEx>
          <w:tblCellMar>
            <w:top w:w="0" w:type="dxa"/>
            <w:left w:w="108" w:type="dxa"/>
            <w:bottom w:w="0" w:type="dxa"/>
            <w:right w:w="108" w:type="dxa"/>
          </w:tblCellMar>
        </w:tblPrEx>
        <w:trPr>
          <w:trHeight w:val="285" w:hRule="atLeast"/>
          <w:jc w:val="center"/>
        </w:trPr>
        <w:tc>
          <w:tcPr>
            <w:tcW w:w="1325" w:type="dxa"/>
            <w:vMerge w:val="continue"/>
            <w:tcBorders>
              <w:top w:val="single" w:color="auto" w:sz="2" w:space="0"/>
              <w:left w:val="nil"/>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480"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813"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504" w:type="dxa"/>
            <w:vMerge w:val="restart"/>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center"/>
              <w:rPr>
                <w:rFonts w:asciiTheme="minorEastAsia" w:hAnsiTheme="minorEastAsia" w:eastAsiaTheme="minorEastAsia" w:cstheme="minorEastAsia"/>
                <w:spacing w:val="-20"/>
                <w:kern w:val="0"/>
                <w:sz w:val="18"/>
                <w:szCs w:val="18"/>
              </w:rPr>
            </w:pPr>
            <w:r>
              <w:rPr>
                <w:rFonts w:hint="eastAsia" w:asciiTheme="minorEastAsia" w:hAnsiTheme="minorEastAsia" w:eastAsiaTheme="minorEastAsia" w:cstheme="minorEastAsia"/>
                <w:spacing w:val="-20"/>
                <w:kern w:val="0"/>
                <w:sz w:val="18"/>
                <w:szCs w:val="18"/>
              </w:rPr>
              <w:t>1</w:t>
            </w:r>
            <w:r>
              <w:rPr>
                <w:rFonts w:hint="eastAsia" w:asciiTheme="minorEastAsia" w:hAnsiTheme="minorEastAsia" w:eastAsiaTheme="minorEastAsia" w:cstheme="minorEastAsia"/>
                <w:kern w:val="0"/>
                <w:sz w:val="18"/>
                <w:szCs w:val="18"/>
              </w:rPr>
              <w:t>－</w:t>
            </w:r>
          </w:p>
          <w:p>
            <w:pPr>
              <w:widowControl/>
              <w:jc w:val="center"/>
              <w:rPr>
                <w:rFonts w:asciiTheme="minorEastAsia" w:hAnsiTheme="minorEastAsia" w:eastAsiaTheme="minorEastAsia" w:cstheme="minorEastAsia"/>
                <w:spacing w:val="-20"/>
                <w:kern w:val="0"/>
                <w:sz w:val="18"/>
                <w:szCs w:val="18"/>
              </w:rPr>
            </w:pPr>
            <w:r>
              <w:rPr>
                <w:rFonts w:hint="eastAsia" w:asciiTheme="minorEastAsia" w:hAnsiTheme="minorEastAsia" w:eastAsiaTheme="minorEastAsia" w:cstheme="minorEastAsia"/>
                <w:spacing w:val="-20"/>
                <w:kern w:val="0"/>
                <w:sz w:val="18"/>
                <w:szCs w:val="18"/>
              </w:rPr>
              <w:t>本月</w:t>
            </w:r>
          </w:p>
        </w:tc>
        <w:tc>
          <w:tcPr>
            <w:tcW w:w="587" w:type="dxa"/>
            <w:vMerge w:val="restart"/>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pacing w:val="-20"/>
                <w:kern w:val="0"/>
                <w:sz w:val="18"/>
                <w:szCs w:val="18"/>
              </w:rPr>
              <w:t>其中：</w:t>
            </w:r>
            <w:r>
              <w:rPr>
                <w:rFonts w:hint="eastAsia" w:asciiTheme="minorEastAsia" w:hAnsiTheme="minorEastAsia" w:eastAsiaTheme="minorEastAsia" w:cstheme="minorEastAsia"/>
                <w:kern w:val="0"/>
                <w:sz w:val="18"/>
                <w:szCs w:val="18"/>
              </w:rPr>
              <w:t>购自省外</w:t>
            </w:r>
          </w:p>
        </w:tc>
        <w:tc>
          <w:tcPr>
            <w:tcW w:w="504" w:type="dxa"/>
            <w:vMerge w:val="restart"/>
            <w:tcBorders>
              <w:top w:val="single" w:color="auto" w:sz="2" w:space="0"/>
              <w:left w:val="single" w:color="auto" w:sz="2" w:space="0"/>
              <w:bottom w:val="single" w:color="auto" w:sz="2" w:space="0"/>
              <w:right w:val="single" w:color="auto" w:sz="2" w:space="0"/>
            </w:tcBorders>
            <w:shd w:val="clear" w:color="auto" w:fill="D9D9D9"/>
            <w:noWrap/>
            <w:vAlign w:val="center"/>
          </w:tcPr>
          <w:p>
            <w:pPr>
              <w:widowControl/>
              <w:jc w:val="center"/>
              <w:rPr>
                <w:rFonts w:asciiTheme="minorEastAsia" w:hAnsiTheme="minorEastAsia" w:eastAsiaTheme="minorEastAsia" w:cstheme="minorEastAsia"/>
                <w:spacing w:val="-20"/>
                <w:kern w:val="0"/>
                <w:sz w:val="18"/>
                <w:szCs w:val="18"/>
              </w:rPr>
            </w:pPr>
            <w:r>
              <w:rPr>
                <w:rFonts w:hint="eastAsia" w:asciiTheme="minorEastAsia" w:hAnsiTheme="minorEastAsia" w:eastAsiaTheme="minorEastAsia" w:cstheme="minorEastAsia"/>
                <w:spacing w:val="-20"/>
                <w:kern w:val="0"/>
                <w:sz w:val="18"/>
                <w:szCs w:val="18"/>
              </w:rPr>
              <w:t>1</w:t>
            </w:r>
            <w:r>
              <w:rPr>
                <w:rFonts w:hint="eastAsia" w:asciiTheme="minorEastAsia" w:hAnsiTheme="minorEastAsia" w:eastAsiaTheme="minorEastAsia" w:cstheme="minorEastAsia"/>
                <w:kern w:val="0"/>
                <w:sz w:val="18"/>
                <w:szCs w:val="18"/>
              </w:rPr>
              <w:t>－</w:t>
            </w:r>
          </w:p>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pacing w:val="-20"/>
                <w:kern w:val="0"/>
                <w:sz w:val="18"/>
                <w:szCs w:val="18"/>
              </w:rPr>
              <w:t>本月</w:t>
            </w:r>
          </w:p>
        </w:tc>
        <w:tc>
          <w:tcPr>
            <w:tcW w:w="587" w:type="dxa"/>
            <w:vMerge w:val="restart"/>
            <w:tcBorders>
              <w:top w:val="single" w:color="auto" w:sz="2" w:space="0"/>
              <w:left w:val="single" w:color="auto" w:sz="2" w:space="0"/>
              <w:bottom w:val="single" w:color="auto" w:sz="2" w:space="0"/>
              <w:right w:val="single" w:color="auto" w:sz="2" w:space="0"/>
            </w:tcBorders>
            <w:shd w:val="clear" w:color="auto" w:fill="D9D9D9"/>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pacing w:val="-20"/>
                <w:kern w:val="0"/>
                <w:sz w:val="18"/>
                <w:szCs w:val="18"/>
              </w:rPr>
              <w:t>其中：</w:t>
            </w:r>
            <w:r>
              <w:rPr>
                <w:rFonts w:hint="eastAsia" w:asciiTheme="minorEastAsia" w:hAnsiTheme="minorEastAsia" w:eastAsiaTheme="minorEastAsia" w:cstheme="minorEastAsia"/>
                <w:kern w:val="0"/>
                <w:sz w:val="18"/>
                <w:szCs w:val="18"/>
              </w:rPr>
              <w:t>购自省外</w:t>
            </w:r>
          </w:p>
        </w:tc>
        <w:tc>
          <w:tcPr>
            <w:tcW w:w="504" w:type="dxa"/>
            <w:vMerge w:val="restart"/>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center"/>
              <w:rPr>
                <w:rFonts w:asciiTheme="minorEastAsia" w:hAnsiTheme="minorEastAsia" w:eastAsiaTheme="minorEastAsia" w:cstheme="minorEastAsia"/>
                <w:spacing w:val="-20"/>
                <w:kern w:val="0"/>
                <w:sz w:val="18"/>
                <w:szCs w:val="18"/>
              </w:rPr>
            </w:pPr>
            <w:r>
              <w:rPr>
                <w:rFonts w:hint="eastAsia" w:asciiTheme="minorEastAsia" w:hAnsiTheme="minorEastAsia" w:eastAsiaTheme="minorEastAsia" w:cstheme="minorEastAsia"/>
                <w:spacing w:val="-20"/>
                <w:kern w:val="0"/>
                <w:sz w:val="18"/>
                <w:szCs w:val="18"/>
              </w:rPr>
              <w:t>1</w:t>
            </w:r>
            <w:r>
              <w:rPr>
                <w:rFonts w:hint="eastAsia" w:asciiTheme="minorEastAsia" w:hAnsiTheme="minorEastAsia" w:eastAsiaTheme="minorEastAsia" w:cstheme="minorEastAsia"/>
                <w:kern w:val="0"/>
                <w:sz w:val="18"/>
                <w:szCs w:val="18"/>
              </w:rPr>
              <w:t>－</w:t>
            </w:r>
          </w:p>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pacing w:val="-20"/>
                <w:kern w:val="0"/>
                <w:sz w:val="18"/>
                <w:szCs w:val="18"/>
              </w:rPr>
              <w:t>本月</w:t>
            </w:r>
          </w:p>
        </w:tc>
        <w:tc>
          <w:tcPr>
            <w:tcW w:w="585" w:type="dxa"/>
            <w:vMerge w:val="restart"/>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pacing w:val="-20"/>
                <w:kern w:val="0"/>
                <w:sz w:val="18"/>
                <w:szCs w:val="18"/>
              </w:rPr>
              <w:t>其中：</w:t>
            </w:r>
            <w:r>
              <w:rPr>
                <w:rFonts w:hint="eastAsia" w:asciiTheme="minorEastAsia" w:hAnsiTheme="minorEastAsia" w:eastAsiaTheme="minorEastAsia" w:cstheme="minorEastAsia"/>
                <w:kern w:val="0"/>
                <w:sz w:val="18"/>
                <w:szCs w:val="18"/>
              </w:rPr>
              <w:t>销往省外</w:t>
            </w:r>
          </w:p>
        </w:tc>
        <w:tc>
          <w:tcPr>
            <w:tcW w:w="516" w:type="dxa"/>
            <w:vMerge w:val="restart"/>
            <w:tcBorders>
              <w:top w:val="single" w:color="auto" w:sz="2" w:space="0"/>
              <w:left w:val="single" w:color="auto" w:sz="2" w:space="0"/>
              <w:bottom w:val="single" w:color="auto" w:sz="2" w:space="0"/>
              <w:right w:val="single" w:color="auto" w:sz="2" w:space="0"/>
            </w:tcBorders>
            <w:shd w:val="clear" w:color="auto" w:fill="D9D9D9"/>
            <w:noWrap/>
            <w:vAlign w:val="center"/>
          </w:tcPr>
          <w:p>
            <w:pPr>
              <w:widowControl/>
              <w:jc w:val="center"/>
              <w:rPr>
                <w:rFonts w:asciiTheme="minorEastAsia" w:hAnsiTheme="minorEastAsia" w:eastAsiaTheme="minorEastAsia" w:cstheme="minorEastAsia"/>
                <w:spacing w:val="-20"/>
                <w:kern w:val="0"/>
                <w:sz w:val="18"/>
                <w:szCs w:val="18"/>
              </w:rPr>
            </w:pPr>
            <w:r>
              <w:rPr>
                <w:rFonts w:hint="eastAsia" w:asciiTheme="minorEastAsia" w:hAnsiTheme="minorEastAsia" w:eastAsiaTheme="minorEastAsia" w:cstheme="minorEastAsia"/>
                <w:spacing w:val="-20"/>
                <w:kern w:val="0"/>
                <w:sz w:val="18"/>
                <w:szCs w:val="18"/>
              </w:rPr>
              <w:t>1</w:t>
            </w:r>
            <w:r>
              <w:rPr>
                <w:rFonts w:hint="eastAsia" w:asciiTheme="minorEastAsia" w:hAnsiTheme="minorEastAsia" w:eastAsiaTheme="minorEastAsia" w:cstheme="minorEastAsia"/>
                <w:kern w:val="0"/>
                <w:sz w:val="18"/>
                <w:szCs w:val="18"/>
              </w:rPr>
              <w:t>－</w:t>
            </w:r>
          </w:p>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pacing w:val="-20"/>
                <w:kern w:val="0"/>
                <w:sz w:val="18"/>
                <w:szCs w:val="18"/>
              </w:rPr>
              <w:t>本月</w:t>
            </w:r>
          </w:p>
        </w:tc>
        <w:tc>
          <w:tcPr>
            <w:tcW w:w="587" w:type="dxa"/>
            <w:vMerge w:val="restart"/>
            <w:tcBorders>
              <w:top w:val="single" w:color="auto" w:sz="2" w:space="0"/>
              <w:left w:val="single" w:color="auto" w:sz="2" w:space="0"/>
              <w:bottom w:val="single" w:color="auto" w:sz="2" w:space="0"/>
              <w:right w:val="single" w:color="auto" w:sz="2" w:space="0"/>
            </w:tcBorders>
            <w:shd w:val="clear" w:color="auto" w:fill="D9D9D9"/>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pacing w:val="-20"/>
                <w:kern w:val="0"/>
                <w:sz w:val="18"/>
                <w:szCs w:val="18"/>
              </w:rPr>
              <w:t>其中：</w:t>
            </w:r>
            <w:r>
              <w:rPr>
                <w:rFonts w:hint="eastAsia" w:asciiTheme="minorEastAsia" w:hAnsiTheme="minorEastAsia" w:eastAsiaTheme="minorEastAsia" w:cstheme="minorEastAsia"/>
                <w:kern w:val="0"/>
                <w:sz w:val="18"/>
                <w:szCs w:val="18"/>
              </w:rPr>
              <w:t>销往省外</w:t>
            </w:r>
          </w:p>
        </w:tc>
        <w:tc>
          <w:tcPr>
            <w:tcW w:w="664"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687"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672"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699" w:type="dxa"/>
            <w:vMerge w:val="continue"/>
            <w:tcBorders>
              <w:top w:val="single" w:color="auto" w:sz="2" w:space="0"/>
              <w:left w:val="single" w:color="auto" w:sz="2" w:space="0"/>
              <w:bottom w:val="single" w:color="auto" w:sz="2" w:space="0"/>
              <w:right w:val="nil"/>
            </w:tcBorders>
            <w:shd w:val="clear" w:color="auto" w:fill="D0CECE"/>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300" w:hRule="atLeast"/>
          <w:jc w:val="center"/>
        </w:trPr>
        <w:tc>
          <w:tcPr>
            <w:tcW w:w="1325" w:type="dxa"/>
            <w:vMerge w:val="continue"/>
            <w:tcBorders>
              <w:top w:val="single" w:color="auto" w:sz="2" w:space="0"/>
              <w:left w:val="nil"/>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480"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813"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504"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587"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504" w:type="dxa"/>
            <w:vMerge w:val="continue"/>
            <w:tcBorders>
              <w:top w:val="single" w:color="auto" w:sz="2" w:space="0"/>
              <w:left w:val="single" w:color="auto" w:sz="2" w:space="0"/>
              <w:bottom w:val="single" w:color="auto" w:sz="2" w:space="0"/>
              <w:right w:val="single" w:color="auto" w:sz="2" w:space="0"/>
            </w:tcBorders>
            <w:shd w:val="clear" w:color="auto" w:fill="D9D9D9"/>
            <w:noWrap/>
            <w:vAlign w:val="center"/>
          </w:tcPr>
          <w:p>
            <w:pPr>
              <w:widowControl/>
              <w:jc w:val="left"/>
              <w:rPr>
                <w:rFonts w:asciiTheme="minorEastAsia" w:hAnsiTheme="minorEastAsia" w:eastAsiaTheme="minorEastAsia" w:cstheme="minorEastAsia"/>
                <w:kern w:val="0"/>
                <w:sz w:val="18"/>
                <w:szCs w:val="18"/>
              </w:rPr>
            </w:pPr>
          </w:p>
        </w:tc>
        <w:tc>
          <w:tcPr>
            <w:tcW w:w="587" w:type="dxa"/>
            <w:vMerge w:val="continue"/>
            <w:tcBorders>
              <w:top w:val="single" w:color="auto" w:sz="2" w:space="0"/>
              <w:left w:val="single" w:color="auto" w:sz="2" w:space="0"/>
              <w:bottom w:val="single" w:color="auto" w:sz="2" w:space="0"/>
              <w:right w:val="single" w:color="auto" w:sz="2" w:space="0"/>
            </w:tcBorders>
            <w:shd w:val="clear" w:color="auto" w:fill="D9D9D9"/>
            <w:noWrap/>
            <w:vAlign w:val="center"/>
          </w:tcPr>
          <w:p>
            <w:pPr>
              <w:widowControl/>
              <w:jc w:val="left"/>
              <w:rPr>
                <w:rFonts w:asciiTheme="minorEastAsia" w:hAnsiTheme="minorEastAsia" w:eastAsiaTheme="minorEastAsia" w:cstheme="minorEastAsia"/>
                <w:kern w:val="0"/>
                <w:sz w:val="18"/>
                <w:szCs w:val="18"/>
              </w:rPr>
            </w:pPr>
          </w:p>
        </w:tc>
        <w:tc>
          <w:tcPr>
            <w:tcW w:w="504"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585"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516" w:type="dxa"/>
            <w:vMerge w:val="continue"/>
            <w:tcBorders>
              <w:top w:val="single" w:color="auto" w:sz="2" w:space="0"/>
              <w:left w:val="single" w:color="auto" w:sz="2" w:space="0"/>
              <w:bottom w:val="single" w:color="auto" w:sz="2" w:space="0"/>
              <w:right w:val="single" w:color="auto" w:sz="2" w:space="0"/>
            </w:tcBorders>
            <w:shd w:val="clear" w:color="auto" w:fill="D9D9D9"/>
            <w:noWrap/>
            <w:vAlign w:val="center"/>
          </w:tcPr>
          <w:p>
            <w:pPr>
              <w:widowControl/>
              <w:jc w:val="left"/>
              <w:rPr>
                <w:rFonts w:asciiTheme="minorEastAsia" w:hAnsiTheme="minorEastAsia" w:eastAsiaTheme="minorEastAsia" w:cstheme="minorEastAsia"/>
                <w:kern w:val="0"/>
                <w:sz w:val="18"/>
                <w:szCs w:val="18"/>
              </w:rPr>
            </w:pPr>
          </w:p>
        </w:tc>
        <w:tc>
          <w:tcPr>
            <w:tcW w:w="587" w:type="dxa"/>
            <w:vMerge w:val="continue"/>
            <w:tcBorders>
              <w:top w:val="single" w:color="auto" w:sz="2" w:space="0"/>
              <w:left w:val="single" w:color="auto" w:sz="2" w:space="0"/>
              <w:bottom w:val="single" w:color="auto" w:sz="2" w:space="0"/>
              <w:right w:val="single" w:color="auto" w:sz="2" w:space="0"/>
            </w:tcBorders>
            <w:shd w:val="clear" w:color="auto" w:fill="D9D9D9"/>
            <w:noWrap/>
            <w:vAlign w:val="center"/>
          </w:tcPr>
          <w:p>
            <w:pPr>
              <w:widowControl/>
              <w:jc w:val="left"/>
              <w:rPr>
                <w:rFonts w:asciiTheme="minorEastAsia" w:hAnsiTheme="minorEastAsia" w:eastAsiaTheme="minorEastAsia" w:cstheme="minorEastAsia"/>
                <w:kern w:val="0"/>
                <w:sz w:val="18"/>
                <w:szCs w:val="18"/>
              </w:rPr>
            </w:pPr>
          </w:p>
        </w:tc>
        <w:tc>
          <w:tcPr>
            <w:tcW w:w="664"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687"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672" w:type="dxa"/>
            <w:vMerge w:val="continue"/>
            <w:tcBorders>
              <w:top w:val="single" w:color="auto" w:sz="2" w:space="0"/>
              <w:left w:val="single" w:color="auto" w:sz="2" w:space="0"/>
              <w:bottom w:val="single" w:color="auto" w:sz="2" w:space="0"/>
              <w:right w:val="single" w:color="auto" w:sz="2" w:space="0"/>
            </w:tcBorders>
            <w:shd w:val="clear" w:color="auto" w:fill="auto"/>
            <w:noWrap/>
            <w:vAlign w:val="center"/>
          </w:tcPr>
          <w:p>
            <w:pPr>
              <w:widowControl/>
              <w:jc w:val="left"/>
              <w:rPr>
                <w:rFonts w:asciiTheme="minorEastAsia" w:hAnsiTheme="minorEastAsia" w:eastAsiaTheme="minorEastAsia" w:cstheme="minorEastAsia"/>
                <w:kern w:val="0"/>
                <w:sz w:val="18"/>
                <w:szCs w:val="18"/>
              </w:rPr>
            </w:pPr>
          </w:p>
        </w:tc>
        <w:tc>
          <w:tcPr>
            <w:tcW w:w="699" w:type="dxa"/>
            <w:vMerge w:val="continue"/>
            <w:tcBorders>
              <w:top w:val="single" w:color="auto" w:sz="2" w:space="0"/>
              <w:left w:val="single" w:color="auto" w:sz="2" w:space="0"/>
              <w:bottom w:val="single" w:color="auto" w:sz="2" w:space="0"/>
              <w:right w:val="nil"/>
            </w:tcBorders>
            <w:shd w:val="clear" w:color="auto" w:fill="D0CECE"/>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300" w:hRule="atLeast"/>
          <w:jc w:val="center"/>
        </w:trPr>
        <w:tc>
          <w:tcPr>
            <w:tcW w:w="1325" w:type="dxa"/>
            <w:tcBorders>
              <w:top w:val="single" w:color="auto" w:sz="2" w:space="0"/>
              <w:left w:val="nil"/>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甲</w:t>
            </w:r>
          </w:p>
        </w:tc>
        <w:tc>
          <w:tcPr>
            <w:tcW w:w="480"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乙</w:t>
            </w:r>
          </w:p>
        </w:tc>
        <w:tc>
          <w:tcPr>
            <w:tcW w:w="813"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tc>
        <w:tc>
          <w:tcPr>
            <w:tcW w:w="504"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587"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w:t>
            </w:r>
          </w:p>
        </w:tc>
        <w:tc>
          <w:tcPr>
            <w:tcW w:w="504"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p>
        </w:tc>
        <w:tc>
          <w:tcPr>
            <w:tcW w:w="587"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w:t>
            </w:r>
          </w:p>
        </w:tc>
        <w:tc>
          <w:tcPr>
            <w:tcW w:w="504"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w:t>
            </w:r>
          </w:p>
        </w:tc>
        <w:tc>
          <w:tcPr>
            <w:tcW w:w="585"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w:t>
            </w:r>
          </w:p>
        </w:tc>
        <w:tc>
          <w:tcPr>
            <w:tcW w:w="516"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8</w:t>
            </w:r>
          </w:p>
        </w:tc>
        <w:tc>
          <w:tcPr>
            <w:tcW w:w="587"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9</w:t>
            </w:r>
          </w:p>
        </w:tc>
        <w:tc>
          <w:tcPr>
            <w:tcW w:w="664"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w:t>
            </w:r>
          </w:p>
        </w:tc>
        <w:tc>
          <w:tcPr>
            <w:tcW w:w="687"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w:t>
            </w:r>
          </w:p>
        </w:tc>
        <w:tc>
          <w:tcPr>
            <w:tcW w:w="672"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w:t>
            </w:r>
          </w:p>
        </w:tc>
        <w:tc>
          <w:tcPr>
            <w:tcW w:w="699" w:type="dxa"/>
            <w:tcBorders>
              <w:top w:val="single" w:color="auto" w:sz="2" w:space="0"/>
              <w:left w:val="single" w:color="auto" w:sz="2" w:space="0"/>
              <w:bottom w:val="single" w:color="auto" w:sz="2" w:space="0"/>
              <w:right w:val="nil"/>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13</w:t>
            </w:r>
          </w:p>
        </w:tc>
      </w:tr>
      <w:tr>
        <w:tblPrEx>
          <w:tblCellMar>
            <w:top w:w="0" w:type="dxa"/>
            <w:left w:w="108" w:type="dxa"/>
            <w:bottom w:w="0" w:type="dxa"/>
            <w:right w:w="108" w:type="dxa"/>
          </w:tblCellMar>
        </w:tblPrEx>
        <w:trPr>
          <w:trHeight w:val="285" w:hRule="atLeast"/>
          <w:jc w:val="center"/>
        </w:trPr>
        <w:tc>
          <w:tcPr>
            <w:tcW w:w="1325" w:type="dxa"/>
            <w:tcBorders>
              <w:top w:val="single" w:color="auto" w:sz="2" w:space="0"/>
              <w:left w:val="nil"/>
              <w:bottom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原煤　</w:t>
            </w:r>
          </w:p>
        </w:tc>
        <w:tc>
          <w:tcPr>
            <w:tcW w:w="480" w:type="dxa"/>
            <w:tcBorders>
              <w:top w:val="single" w:color="auto" w:sz="2" w:space="0"/>
              <w:left w:val="single" w:color="auto" w:sz="2" w:space="0"/>
              <w:bottom w:val="nil"/>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01</w:t>
            </w:r>
          </w:p>
        </w:tc>
        <w:tc>
          <w:tcPr>
            <w:tcW w:w="7909" w:type="dxa"/>
            <w:gridSpan w:val="13"/>
            <w:vMerge w:val="restart"/>
            <w:tcBorders>
              <w:top w:val="single" w:color="auto" w:sz="2" w:space="0"/>
              <w:left w:val="single" w:color="auto" w:sz="2" w:space="0"/>
              <w:bottom w:val="single" w:color="auto" w:sz="4" w:space="0"/>
              <w:right w:val="nil"/>
            </w:tcBorders>
            <w:noWrap/>
            <w:vAlign w:val="center"/>
          </w:tcPr>
          <w:p>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w:t>
            </w:r>
          </w:p>
        </w:tc>
      </w:tr>
      <w:tr>
        <w:tblPrEx>
          <w:tblCellMar>
            <w:top w:w="0" w:type="dxa"/>
            <w:left w:w="108" w:type="dxa"/>
            <w:bottom w:w="0" w:type="dxa"/>
            <w:right w:w="108" w:type="dxa"/>
          </w:tblCellMar>
        </w:tblPrEx>
        <w:trPr>
          <w:trHeight w:val="354" w:hRule="atLeast"/>
          <w:jc w:val="center"/>
        </w:trPr>
        <w:tc>
          <w:tcPr>
            <w:tcW w:w="1325" w:type="dxa"/>
            <w:tcBorders>
              <w:top w:val="nil"/>
              <w:left w:val="nil"/>
              <w:bottom w:val="nil"/>
              <w:right w:val="single" w:color="auto" w:sz="2" w:space="0"/>
            </w:tcBorders>
            <w:noWrap/>
            <w:vAlign w:val="center"/>
          </w:tcPr>
          <w:p>
            <w:pPr>
              <w:widowControl/>
              <w:rPr>
                <w:rFonts w:asciiTheme="minorEastAsia" w:hAnsiTheme="minorEastAsia" w:eastAsiaTheme="minorEastAsia" w:cstheme="minorEastAsia"/>
                <w:spacing w:val="-14"/>
                <w:w w:val="90"/>
                <w:kern w:val="0"/>
                <w:sz w:val="18"/>
                <w:szCs w:val="18"/>
              </w:rPr>
            </w:pPr>
            <w:r>
              <w:rPr>
                <w:rFonts w:hint="eastAsia" w:asciiTheme="minorEastAsia" w:hAnsiTheme="minorEastAsia" w:eastAsiaTheme="minorEastAsia" w:cstheme="minorEastAsia"/>
                <w:spacing w:val="-14"/>
                <w:w w:val="90"/>
                <w:kern w:val="0"/>
                <w:sz w:val="18"/>
                <w:szCs w:val="18"/>
              </w:rPr>
              <w:t>洗精煤（用于炼焦）</w:t>
            </w:r>
          </w:p>
        </w:tc>
        <w:tc>
          <w:tcPr>
            <w:tcW w:w="480" w:type="dxa"/>
            <w:tcBorders>
              <w:top w:val="nil"/>
              <w:left w:val="single" w:color="auto" w:sz="2" w:space="0"/>
              <w:bottom w:val="nil"/>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02</w:t>
            </w:r>
          </w:p>
        </w:tc>
        <w:tc>
          <w:tcPr>
            <w:tcW w:w="7909" w:type="dxa"/>
            <w:gridSpan w:val="13"/>
            <w:vMerge w:val="continue"/>
            <w:tcBorders>
              <w:top w:val="nil"/>
              <w:left w:val="single" w:color="auto" w:sz="2" w:space="0"/>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其他洗煤</w:t>
            </w:r>
          </w:p>
        </w:tc>
        <w:tc>
          <w:tcPr>
            <w:tcW w:w="480" w:type="dxa"/>
            <w:tcBorders>
              <w:top w:val="nil"/>
              <w:left w:val="single" w:color="auto" w:sz="2" w:space="0"/>
              <w:bottom w:val="nil"/>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03</w:t>
            </w:r>
          </w:p>
        </w:tc>
        <w:tc>
          <w:tcPr>
            <w:tcW w:w="7909" w:type="dxa"/>
            <w:gridSpan w:val="13"/>
            <w:vMerge w:val="continue"/>
            <w:tcBorders>
              <w:top w:val="nil"/>
              <w:left w:val="single" w:color="auto" w:sz="2" w:space="0"/>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煤制品</w:t>
            </w:r>
          </w:p>
        </w:tc>
        <w:tc>
          <w:tcPr>
            <w:tcW w:w="480" w:type="dxa"/>
            <w:tcBorders>
              <w:top w:val="nil"/>
              <w:left w:val="single" w:color="auto" w:sz="2" w:space="0"/>
              <w:bottom w:val="nil"/>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04</w:t>
            </w:r>
          </w:p>
        </w:tc>
        <w:tc>
          <w:tcPr>
            <w:tcW w:w="7909" w:type="dxa"/>
            <w:gridSpan w:val="13"/>
            <w:vMerge w:val="continue"/>
            <w:tcBorders>
              <w:top w:val="nil"/>
              <w:left w:val="single" w:color="auto" w:sz="2" w:space="0"/>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ign w:val="center"/>
          </w:tcPr>
          <w:p>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焦炭</w:t>
            </w:r>
          </w:p>
        </w:tc>
        <w:tc>
          <w:tcPr>
            <w:tcW w:w="480" w:type="dxa"/>
            <w:tcBorders>
              <w:top w:val="nil"/>
              <w:left w:val="single" w:color="auto" w:sz="2" w:space="0"/>
              <w:bottom w:val="nil"/>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05</w:t>
            </w:r>
          </w:p>
        </w:tc>
        <w:tc>
          <w:tcPr>
            <w:tcW w:w="7909" w:type="dxa"/>
            <w:gridSpan w:val="13"/>
            <w:vMerge w:val="continue"/>
            <w:tcBorders>
              <w:top w:val="nil"/>
              <w:left w:val="single" w:color="auto" w:sz="2" w:space="0"/>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液化天然气</w:t>
            </w:r>
          </w:p>
        </w:tc>
        <w:tc>
          <w:tcPr>
            <w:tcW w:w="480" w:type="dxa"/>
            <w:tcBorders>
              <w:top w:val="nil"/>
              <w:left w:val="single" w:color="auto" w:sz="2" w:space="0"/>
              <w:bottom w:val="nil"/>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06</w:t>
            </w:r>
          </w:p>
        </w:tc>
        <w:tc>
          <w:tcPr>
            <w:tcW w:w="7909" w:type="dxa"/>
            <w:gridSpan w:val="13"/>
            <w:vMerge w:val="continue"/>
            <w:tcBorders>
              <w:top w:val="nil"/>
              <w:left w:val="single" w:color="auto" w:sz="2" w:space="0"/>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原油</w:t>
            </w:r>
          </w:p>
        </w:tc>
        <w:tc>
          <w:tcPr>
            <w:tcW w:w="480" w:type="dxa"/>
            <w:tcBorders>
              <w:top w:val="nil"/>
              <w:left w:val="single" w:color="auto" w:sz="2" w:space="0"/>
              <w:bottom w:val="nil"/>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07</w:t>
            </w:r>
          </w:p>
        </w:tc>
        <w:tc>
          <w:tcPr>
            <w:tcW w:w="7909" w:type="dxa"/>
            <w:gridSpan w:val="13"/>
            <w:vMerge w:val="continue"/>
            <w:tcBorders>
              <w:top w:val="nil"/>
              <w:left w:val="single" w:color="auto" w:sz="2" w:space="0"/>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汽油</w:t>
            </w:r>
          </w:p>
        </w:tc>
        <w:tc>
          <w:tcPr>
            <w:tcW w:w="480" w:type="dxa"/>
            <w:tcBorders>
              <w:top w:val="nil"/>
              <w:left w:val="single" w:color="auto" w:sz="2" w:space="0"/>
              <w:bottom w:val="nil"/>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08</w:t>
            </w:r>
          </w:p>
        </w:tc>
        <w:tc>
          <w:tcPr>
            <w:tcW w:w="7909" w:type="dxa"/>
            <w:gridSpan w:val="13"/>
            <w:vMerge w:val="continue"/>
            <w:tcBorders>
              <w:top w:val="nil"/>
              <w:left w:val="single" w:color="auto" w:sz="2" w:space="0"/>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煤油</w:t>
            </w:r>
          </w:p>
        </w:tc>
        <w:tc>
          <w:tcPr>
            <w:tcW w:w="480" w:type="dxa"/>
            <w:tcBorders>
              <w:top w:val="nil"/>
              <w:left w:val="single" w:color="auto" w:sz="2" w:space="0"/>
              <w:bottom w:val="nil"/>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09</w:t>
            </w:r>
          </w:p>
        </w:tc>
        <w:tc>
          <w:tcPr>
            <w:tcW w:w="7909" w:type="dxa"/>
            <w:gridSpan w:val="13"/>
            <w:vMerge w:val="continue"/>
            <w:tcBorders>
              <w:top w:val="nil"/>
              <w:left w:val="single" w:color="auto" w:sz="2" w:space="0"/>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柴油</w:t>
            </w:r>
          </w:p>
        </w:tc>
        <w:tc>
          <w:tcPr>
            <w:tcW w:w="480" w:type="dxa"/>
            <w:tcBorders>
              <w:top w:val="nil"/>
              <w:left w:val="single" w:color="auto" w:sz="2" w:space="0"/>
              <w:bottom w:val="nil"/>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w:t>
            </w:r>
          </w:p>
        </w:tc>
        <w:tc>
          <w:tcPr>
            <w:tcW w:w="7909" w:type="dxa"/>
            <w:gridSpan w:val="13"/>
            <w:vMerge w:val="continue"/>
            <w:tcBorders>
              <w:top w:val="nil"/>
              <w:left w:val="single" w:color="auto" w:sz="2" w:space="0"/>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燃料油</w:t>
            </w:r>
          </w:p>
        </w:tc>
        <w:tc>
          <w:tcPr>
            <w:tcW w:w="480" w:type="dxa"/>
            <w:tcBorders>
              <w:top w:val="nil"/>
              <w:left w:val="single" w:color="auto" w:sz="2" w:space="0"/>
              <w:bottom w:val="nil"/>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w:t>
            </w:r>
          </w:p>
        </w:tc>
        <w:tc>
          <w:tcPr>
            <w:tcW w:w="7909" w:type="dxa"/>
            <w:gridSpan w:val="13"/>
            <w:vMerge w:val="continue"/>
            <w:tcBorders>
              <w:top w:val="nil"/>
              <w:left w:val="single" w:color="auto" w:sz="2" w:space="0"/>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液化石油气</w:t>
            </w:r>
          </w:p>
        </w:tc>
        <w:tc>
          <w:tcPr>
            <w:tcW w:w="480" w:type="dxa"/>
            <w:tcBorders>
              <w:top w:val="nil"/>
              <w:left w:val="single" w:color="auto" w:sz="2" w:space="0"/>
              <w:bottom w:val="nil"/>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w:t>
            </w:r>
          </w:p>
        </w:tc>
        <w:tc>
          <w:tcPr>
            <w:tcW w:w="7909" w:type="dxa"/>
            <w:gridSpan w:val="13"/>
            <w:vMerge w:val="continue"/>
            <w:tcBorders>
              <w:top w:val="nil"/>
              <w:left w:val="single" w:color="auto" w:sz="2" w:space="0"/>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石脑油</w:t>
            </w:r>
          </w:p>
        </w:tc>
        <w:tc>
          <w:tcPr>
            <w:tcW w:w="480" w:type="dxa"/>
            <w:tcBorders>
              <w:top w:val="nil"/>
              <w:left w:val="single" w:color="auto" w:sz="2" w:space="0"/>
              <w:bottom w:val="nil"/>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13</w:t>
            </w:r>
          </w:p>
        </w:tc>
        <w:tc>
          <w:tcPr>
            <w:tcW w:w="7909" w:type="dxa"/>
            <w:gridSpan w:val="13"/>
            <w:vMerge w:val="continue"/>
            <w:tcBorders>
              <w:top w:val="nil"/>
              <w:left w:val="single" w:color="auto" w:sz="2" w:space="0"/>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润滑油</w:t>
            </w:r>
          </w:p>
        </w:tc>
        <w:tc>
          <w:tcPr>
            <w:tcW w:w="480" w:type="dxa"/>
            <w:tcBorders>
              <w:top w:val="nil"/>
              <w:left w:val="single" w:color="auto" w:sz="2" w:space="0"/>
              <w:bottom w:val="nil"/>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w:t>
            </w:r>
          </w:p>
        </w:tc>
        <w:tc>
          <w:tcPr>
            <w:tcW w:w="7909" w:type="dxa"/>
            <w:gridSpan w:val="13"/>
            <w:vMerge w:val="continue"/>
            <w:tcBorders>
              <w:top w:val="nil"/>
              <w:left w:val="single" w:color="auto" w:sz="2" w:space="0"/>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溶剂油</w:t>
            </w:r>
          </w:p>
        </w:tc>
        <w:tc>
          <w:tcPr>
            <w:tcW w:w="480" w:type="dxa"/>
            <w:tcBorders>
              <w:top w:val="nil"/>
              <w:left w:val="single" w:color="auto" w:sz="2" w:space="0"/>
              <w:bottom w:val="nil"/>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15</w:t>
            </w:r>
          </w:p>
        </w:tc>
        <w:tc>
          <w:tcPr>
            <w:tcW w:w="7909" w:type="dxa"/>
            <w:gridSpan w:val="13"/>
            <w:vMerge w:val="continue"/>
            <w:tcBorders>
              <w:top w:val="nil"/>
              <w:left w:val="single" w:color="auto" w:sz="2" w:space="0"/>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285" w:hRule="atLeast"/>
          <w:jc w:val="center"/>
        </w:trPr>
        <w:tc>
          <w:tcPr>
            <w:tcW w:w="1325" w:type="dxa"/>
            <w:tcBorders>
              <w:top w:val="nil"/>
              <w:left w:val="nil"/>
              <w:bottom w:val="nil"/>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石油焦</w:t>
            </w:r>
          </w:p>
        </w:tc>
        <w:tc>
          <w:tcPr>
            <w:tcW w:w="480" w:type="dxa"/>
            <w:tcBorders>
              <w:top w:val="nil"/>
              <w:left w:val="single" w:color="auto" w:sz="2"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16</w:t>
            </w:r>
          </w:p>
        </w:tc>
        <w:tc>
          <w:tcPr>
            <w:tcW w:w="7909" w:type="dxa"/>
            <w:gridSpan w:val="13"/>
            <w:vMerge w:val="continue"/>
            <w:tcBorders>
              <w:top w:val="nil"/>
              <w:left w:val="single" w:color="auto" w:sz="2" w:space="0"/>
              <w:bottom w:val="single" w:color="auto" w:sz="4" w:space="0"/>
            </w:tcBorders>
            <w:noWrap/>
            <w:vAlign w:val="center"/>
          </w:tcPr>
          <w:p>
            <w:pPr>
              <w:widowControl/>
              <w:jc w:val="left"/>
              <w:rPr>
                <w:rFonts w:asciiTheme="minorEastAsia" w:hAnsiTheme="minorEastAsia" w:eastAsiaTheme="minorEastAsia" w:cstheme="minorEastAsia"/>
                <w:kern w:val="0"/>
                <w:sz w:val="18"/>
                <w:szCs w:val="18"/>
              </w:rPr>
            </w:pPr>
          </w:p>
        </w:tc>
      </w:tr>
      <w:tr>
        <w:tblPrEx>
          <w:tblCellMar>
            <w:top w:w="0" w:type="dxa"/>
            <w:left w:w="108" w:type="dxa"/>
            <w:bottom w:w="0" w:type="dxa"/>
            <w:right w:w="108" w:type="dxa"/>
          </w:tblCellMar>
        </w:tblPrEx>
        <w:trPr>
          <w:trHeight w:val="300" w:hRule="atLeast"/>
          <w:jc w:val="center"/>
        </w:trPr>
        <w:tc>
          <w:tcPr>
            <w:tcW w:w="1325" w:type="dxa"/>
            <w:tcBorders>
              <w:top w:val="nil"/>
              <w:left w:val="nil"/>
              <w:bottom w:val="single" w:color="auto" w:sz="8" w:space="0"/>
              <w:right w:val="single" w:color="auto" w:sz="2"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石油沥青</w:t>
            </w:r>
          </w:p>
        </w:tc>
        <w:tc>
          <w:tcPr>
            <w:tcW w:w="480" w:type="dxa"/>
            <w:tcBorders>
              <w:top w:val="nil"/>
              <w:left w:val="single" w:color="auto" w:sz="2" w:space="0"/>
              <w:bottom w:val="single" w:color="auto" w:sz="8" w:space="0"/>
              <w:right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17</w:t>
            </w:r>
          </w:p>
        </w:tc>
        <w:tc>
          <w:tcPr>
            <w:tcW w:w="7909" w:type="dxa"/>
            <w:gridSpan w:val="13"/>
            <w:vMerge w:val="continue"/>
            <w:tcBorders>
              <w:top w:val="nil"/>
              <w:left w:val="single" w:color="auto" w:sz="2" w:space="0"/>
              <w:bottom w:val="single" w:color="auto" w:sz="8" w:space="0"/>
            </w:tcBorders>
            <w:noWrap/>
            <w:vAlign w:val="center"/>
          </w:tcPr>
          <w:p>
            <w:pPr>
              <w:widowControl/>
              <w:jc w:val="left"/>
              <w:rPr>
                <w:rFonts w:asciiTheme="minorEastAsia" w:hAnsiTheme="minorEastAsia" w:eastAsiaTheme="minorEastAsia" w:cstheme="minorEastAsia"/>
                <w:kern w:val="0"/>
                <w:sz w:val="18"/>
                <w:szCs w:val="18"/>
              </w:rPr>
            </w:pPr>
          </w:p>
        </w:tc>
      </w:tr>
    </w:tbl>
    <w:p>
      <w:pPr>
        <w:tabs>
          <w:tab w:val="left" w:pos="5430"/>
        </w:tabs>
        <w:adjustRightInd w:val="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单位负责人：　　    　统计负责人：　       　填表人：　　　  联系电话：       　报出日期：２０  年　月  日</w:t>
      </w:r>
    </w:p>
    <w:p>
      <w:pPr>
        <w:spacing w:line="260" w:lineRule="exact"/>
        <w:rPr>
          <w:rFonts w:asciiTheme="minorEastAsia" w:hAnsiTheme="minorEastAsia" w:eastAsiaTheme="minorEastAsia" w:cstheme="minorEastAsia"/>
          <w:sz w:val="18"/>
        </w:rPr>
      </w:pPr>
    </w:p>
    <w:p>
      <w:pPr>
        <w:spacing w:line="260" w:lineRule="exact"/>
        <w:ind w:left="1626" w:hanging="1626" w:hangingChars="900"/>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b/>
          <w:sz w:val="18"/>
          <w:szCs w:val="18"/>
        </w:rPr>
        <w:t>说明</w:t>
      </w:r>
      <w:r>
        <w:rPr>
          <w:rFonts w:hint="eastAsia" w:asciiTheme="minorEastAsia" w:hAnsiTheme="minorEastAsia" w:eastAsiaTheme="minorEastAsia" w:cstheme="minorEastAsia"/>
          <w:sz w:val="18"/>
          <w:szCs w:val="18"/>
        </w:rPr>
        <w:t>：1.报送单位：辖区内有资质的建筑业、限</w:t>
      </w:r>
      <w:r>
        <w:rPr>
          <w:rFonts w:hint="eastAsia" w:asciiTheme="minorEastAsia" w:hAnsiTheme="minorEastAsia" w:eastAsiaTheme="minorEastAsia" w:cstheme="minorEastAsia"/>
          <w:color w:val="auto"/>
          <w:sz w:val="18"/>
          <w:szCs w:val="18"/>
        </w:rPr>
        <w:t xml:space="preserve">额以上批发和零售业、限额以上住宿和餐饮业、有开发经营活动的房地产开发经营业和规模以上服务业等重点法人单位。 </w:t>
      </w:r>
    </w:p>
    <w:p>
      <w:pPr>
        <w:spacing w:line="240" w:lineRule="exact"/>
        <w:ind w:left="2145" w:leftChars="250" w:hanging="1620" w:hangingChars="900"/>
        <w:jc w:val="left"/>
        <w:rPr>
          <w:rFonts w:ascii="宋体" w:hAnsi="宋体" w:eastAsiaTheme="minorEastAsia" w:cstheme="minorEastAsia"/>
          <w:color w:val="auto"/>
          <w:sz w:val="18"/>
          <w:szCs w:val="18"/>
        </w:rPr>
      </w:pPr>
      <w:r>
        <w:rPr>
          <w:rFonts w:hint="eastAsia" w:ascii="宋体" w:hAnsi="宋体" w:eastAsiaTheme="minorEastAsia" w:cstheme="minorEastAsia"/>
          <w:color w:val="auto"/>
          <w:sz w:val="18"/>
          <w:szCs w:val="18"/>
        </w:rPr>
        <w:t>2.报送日期及方式：</w:t>
      </w:r>
      <w:r>
        <w:rPr>
          <w:rFonts w:hint="eastAsia" w:asciiTheme="majorEastAsia" w:hAnsiTheme="majorEastAsia" w:eastAsiaTheme="majorEastAsia" w:cstheme="majorEastAsia"/>
          <w:color w:val="auto"/>
          <w:sz w:val="18"/>
          <w:szCs w:val="18"/>
        </w:rPr>
        <w:t>调查单位</w:t>
      </w:r>
      <w:r>
        <w:rPr>
          <w:rFonts w:hint="default" w:ascii="Times New Roman" w:hAnsi="Times New Roman" w:cs="Times New Roman" w:eastAsiaTheme="majorEastAsia"/>
          <w:color w:val="auto"/>
          <w:sz w:val="18"/>
          <w:szCs w:val="18"/>
        </w:rPr>
        <w:t>2、</w:t>
      </w:r>
      <w:r>
        <w:rPr>
          <w:rFonts w:hint="eastAsia" w:cs="Times New Roman" w:eastAsiaTheme="majorEastAsia"/>
          <w:color w:val="auto"/>
          <w:sz w:val="18"/>
          <w:szCs w:val="18"/>
          <w:lang w:val="en-US" w:eastAsia="zh-CN"/>
        </w:rPr>
        <w:t>10月月后6日，</w:t>
      </w:r>
      <w:r>
        <w:rPr>
          <w:rFonts w:hint="default" w:ascii="Times New Roman" w:hAnsi="Times New Roman" w:cs="Times New Roman" w:eastAsiaTheme="majorEastAsia"/>
          <w:color w:val="auto"/>
          <w:sz w:val="18"/>
          <w:szCs w:val="18"/>
        </w:rPr>
        <w:t>6、7、8、11</w:t>
      </w:r>
      <w:r>
        <w:rPr>
          <w:rFonts w:hint="eastAsia" w:asciiTheme="majorEastAsia" w:hAnsiTheme="majorEastAsia" w:eastAsiaTheme="majorEastAsia" w:cstheme="majorEastAsia"/>
          <w:color w:val="auto"/>
          <w:sz w:val="18"/>
          <w:szCs w:val="18"/>
        </w:rPr>
        <w:t>月月后</w:t>
      </w:r>
      <w:r>
        <w:rPr>
          <w:rFonts w:hint="default" w:ascii="Times New Roman" w:hAnsi="Times New Roman" w:cs="Times New Roman" w:eastAsiaTheme="majorEastAsia"/>
          <w:color w:val="auto"/>
          <w:sz w:val="18"/>
          <w:szCs w:val="18"/>
        </w:rPr>
        <w:t>7</w:t>
      </w:r>
      <w:r>
        <w:rPr>
          <w:rFonts w:hint="eastAsia" w:asciiTheme="majorEastAsia" w:hAnsiTheme="majorEastAsia" w:eastAsiaTheme="majorEastAsia" w:cstheme="majorEastAsia"/>
          <w:color w:val="auto"/>
          <w:sz w:val="18"/>
          <w:szCs w:val="18"/>
        </w:rPr>
        <w:t>日，</w:t>
      </w:r>
      <w:r>
        <w:rPr>
          <w:rFonts w:hint="default" w:ascii="Times New Roman" w:hAnsi="Times New Roman" w:eastAsia="7" w:cs="Times New Roman"/>
          <w:color w:val="auto"/>
          <w:sz w:val="18"/>
          <w:szCs w:val="18"/>
        </w:rPr>
        <w:t>3</w:t>
      </w:r>
      <w:r>
        <w:rPr>
          <w:rFonts w:hint="eastAsia" w:eastAsia="7" w:cs="Times New Roman"/>
          <w:color w:val="auto"/>
          <w:sz w:val="18"/>
          <w:szCs w:val="18"/>
          <w:lang w:eastAsia="zh-CN"/>
        </w:rPr>
        <w:t>、</w:t>
      </w:r>
      <w:r>
        <w:rPr>
          <w:rFonts w:hint="eastAsia" w:eastAsia="7" w:cs="Times New Roman"/>
          <w:color w:val="auto"/>
          <w:sz w:val="18"/>
          <w:szCs w:val="18"/>
          <w:lang w:val="en-US" w:eastAsia="zh-CN"/>
        </w:rPr>
        <w:t>5、12</w:t>
      </w:r>
      <w:r>
        <w:rPr>
          <w:rFonts w:hint="eastAsia" w:asciiTheme="majorEastAsia" w:hAnsiTheme="majorEastAsia" w:eastAsiaTheme="majorEastAsia" w:cstheme="majorEastAsia"/>
          <w:color w:val="auto"/>
          <w:sz w:val="18"/>
          <w:szCs w:val="18"/>
        </w:rPr>
        <w:t>月月后</w:t>
      </w:r>
      <w:r>
        <w:rPr>
          <w:rFonts w:hint="default" w:ascii="Times New Roman" w:hAnsi="Times New Roman" w:cs="Times New Roman" w:eastAsiaTheme="majorEastAsia"/>
          <w:b w:val="0"/>
          <w:bCs w:val="0"/>
          <w:color w:val="auto"/>
          <w:sz w:val="18"/>
          <w:szCs w:val="18"/>
        </w:rPr>
        <w:t>8</w:t>
      </w:r>
      <w:r>
        <w:rPr>
          <w:rFonts w:hint="eastAsia" w:asciiTheme="majorEastAsia" w:hAnsiTheme="majorEastAsia" w:eastAsiaTheme="majorEastAsia" w:cstheme="majorEastAsia"/>
          <w:color w:val="auto"/>
          <w:sz w:val="18"/>
          <w:szCs w:val="18"/>
        </w:rPr>
        <w:t>日，</w:t>
      </w:r>
      <w:r>
        <w:rPr>
          <w:rFonts w:hint="default" w:ascii="Times New Roman" w:hAnsi="Times New Roman" w:cs="Times New Roman" w:eastAsiaTheme="majorEastAsia"/>
          <w:color w:val="auto"/>
          <w:sz w:val="18"/>
          <w:szCs w:val="18"/>
        </w:rPr>
        <w:t>4</w:t>
      </w:r>
      <w:r>
        <w:rPr>
          <w:rFonts w:hint="eastAsia" w:asciiTheme="majorEastAsia" w:hAnsiTheme="majorEastAsia" w:eastAsiaTheme="majorEastAsia" w:cstheme="majorEastAsia"/>
          <w:color w:val="auto"/>
          <w:sz w:val="18"/>
          <w:szCs w:val="18"/>
        </w:rPr>
        <w:t>月月后</w:t>
      </w:r>
      <w:r>
        <w:rPr>
          <w:rFonts w:hint="default" w:ascii="Times New Roman" w:hAnsi="Times New Roman" w:cs="Times New Roman" w:eastAsiaTheme="majorEastAsia"/>
          <w:color w:val="auto"/>
          <w:sz w:val="18"/>
          <w:szCs w:val="18"/>
        </w:rPr>
        <w:t>9</w:t>
      </w:r>
      <w:r>
        <w:rPr>
          <w:rFonts w:hint="eastAsia" w:asciiTheme="majorEastAsia" w:hAnsiTheme="majorEastAsia" w:eastAsiaTheme="majorEastAsia" w:cstheme="majorEastAsia"/>
          <w:color w:val="auto"/>
          <w:sz w:val="18"/>
          <w:szCs w:val="18"/>
        </w:rPr>
        <w:t>日，</w:t>
      </w:r>
      <w:r>
        <w:rPr>
          <w:rFonts w:hint="default" w:ascii="Times New Roman" w:hAnsi="Times New Roman" w:cs="Times New Roman" w:eastAsiaTheme="majorEastAsia"/>
          <w:color w:val="auto"/>
          <w:sz w:val="18"/>
          <w:szCs w:val="18"/>
        </w:rPr>
        <w:t>9</w:t>
      </w:r>
      <w:r>
        <w:rPr>
          <w:rFonts w:hint="eastAsia" w:asciiTheme="majorEastAsia" w:hAnsiTheme="majorEastAsia" w:eastAsiaTheme="majorEastAsia" w:cstheme="majorEastAsia"/>
          <w:color w:val="auto"/>
          <w:sz w:val="18"/>
          <w:szCs w:val="18"/>
        </w:rPr>
        <w:t>月月后</w:t>
      </w:r>
      <w:r>
        <w:rPr>
          <w:rFonts w:hint="default" w:ascii="Times New Roman" w:hAnsi="Times New Roman" w:cs="Times New Roman" w:eastAsiaTheme="majorEastAsia"/>
          <w:color w:val="auto"/>
          <w:sz w:val="18"/>
          <w:szCs w:val="18"/>
        </w:rPr>
        <w:t>1</w:t>
      </w:r>
      <w:r>
        <w:rPr>
          <w:rFonts w:hint="eastAsia" w:cs="Times New Roman" w:eastAsiaTheme="majorEastAsia"/>
          <w:color w:val="auto"/>
          <w:sz w:val="18"/>
          <w:szCs w:val="18"/>
          <w:lang w:val="en-US" w:eastAsia="zh-CN"/>
        </w:rPr>
        <w:t>2</w:t>
      </w:r>
      <w:r>
        <w:rPr>
          <w:rFonts w:hint="eastAsia" w:asciiTheme="majorEastAsia" w:hAnsiTheme="majorEastAsia" w:eastAsiaTheme="majorEastAsia" w:cstheme="majorEastAsia"/>
          <w:color w:val="auto"/>
          <w:sz w:val="18"/>
          <w:szCs w:val="18"/>
        </w:rPr>
        <w:t>日</w:t>
      </w:r>
      <w:r>
        <w:rPr>
          <w:rFonts w:hint="default" w:ascii="Times New Roman" w:hAnsi="Times New Roman" w:cs="Times New Roman" w:eastAsiaTheme="majorEastAsia"/>
          <w:color w:val="auto"/>
          <w:sz w:val="18"/>
          <w:szCs w:val="18"/>
        </w:rPr>
        <w:t>12：00</w:t>
      </w:r>
      <w:r>
        <w:rPr>
          <w:rFonts w:hint="eastAsia" w:asciiTheme="majorEastAsia" w:hAnsiTheme="majorEastAsia" w:eastAsiaTheme="majorEastAsia" w:cstheme="majorEastAsia"/>
          <w:color w:val="auto"/>
          <w:sz w:val="18"/>
          <w:szCs w:val="18"/>
        </w:rPr>
        <w:t>前独立自行网上填报，</w:t>
      </w:r>
      <w:r>
        <w:rPr>
          <w:rFonts w:hint="default" w:ascii="Times New Roman" w:hAnsi="Times New Roman" w:cs="Times New Roman" w:eastAsiaTheme="majorEastAsia"/>
          <w:color w:val="auto"/>
          <w:sz w:val="18"/>
          <w:szCs w:val="18"/>
        </w:rPr>
        <w:t>1</w:t>
      </w:r>
      <w:r>
        <w:rPr>
          <w:rFonts w:hint="eastAsia" w:asciiTheme="majorEastAsia" w:hAnsiTheme="majorEastAsia" w:eastAsiaTheme="majorEastAsia" w:cstheme="majorEastAsia"/>
          <w:color w:val="auto"/>
          <w:sz w:val="18"/>
          <w:szCs w:val="18"/>
        </w:rPr>
        <w:t>月免报</w:t>
      </w:r>
      <w:r>
        <w:rPr>
          <w:rFonts w:hint="eastAsia" w:ascii="宋体" w:hAnsi="宋体" w:eastAsiaTheme="majorEastAsia" w:cstheme="majorEastAsia"/>
          <w:color w:val="auto"/>
          <w:sz w:val="18"/>
          <w:szCs w:val="18"/>
        </w:rPr>
        <w:t>；</w:t>
      </w:r>
      <w:r>
        <w:rPr>
          <w:rFonts w:hint="eastAsia" w:ascii="宋体" w:hAnsi="宋体" w:eastAsiaTheme="minorEastAsia" w:cstheme="minorEastAsia"/>
          <w:color w:val="auto"/>
          <w:kern w:val="0"/>
          <w:sz w:val="18"/>
          <w:szCs w:val="18"/>
        </w:rPr>
        <w:t>各级统计机构在规定时间完成数据的审核、验收和上报</w:t>
      </w:r>
      <w:r>
        <w:rPr>
          <w:rFonts w:hint="eastAsia" w:ascii="宋体" w:hAnsi="宋体" w:eastAsiaTheme="minorEastAsia" w:cstheme="minorEastAsia"/>
          <w:color w:val="auto"/>
          <w:sz w:val="18"/>
          <w:szCs w:val="18"/>
        </w:rPr>
        <w:t>。</w:t>
      </w:r>
    </w:p>
    <w:p>
      <w:pPr>
        <w:spacing w:line="240" w:lineRule="exact"/>
        <w:ind w:left="705" w:leftChars="250" w:hanging="180" w:hangingChars="100"/>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3.本表中“上年同期”数据统一由国家</w:t>
      </w:r>
      <w:r>
        <w:rPr>
          <w:rFonts w:hint="eastAsia" w:asciiTheme="minorEastAsia" w:hAnsiTheme="minorEastAsia" w:eastAsiaTheme="minorEastAsia" w:cstheme="minorEastAsia"/>
          <w:kern w:val="0"/>
          <w:sz w:val="18"/>
          <w:szCs w:val="18"/>
        </w:rPr>
        <w:t>统计局在数据处理软件中复制，调查单位和各级统计机构原则上不得修改；本年新增的调查单位自行填报“上年同期”数据；涉及兼并、重组等情况的企业，经国家统计局批准后，调查单位可调整同期数。</w:t>
      </w:r>
    </w:p>
    <w:p>
      <w:pPr>
        <w:adjustRightInd w:val="0"/>
        <w:snapToGrid w:val="0"/>
        <w:spacing w:line="280" w:lineRule="atLeast"/>
        <w:ind w:left="525" w:leftChars="2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4.油品重量单位与容积单位的换算关系：</w:t>
      </w:r>
    </w:p>
    <w:p>
      <w:pPr>
        <w:spacing w:line="240" w:lineRule="exact"/>
        <w:ind w:left="525" w:leftChars="250"/>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(1)汽  油：1升≈0.73千克≈0.00073吨</w:t>
      </w:r>
    </w:p>
    <w:p>
      <w:pPr>
        <w:spacing w:line="240" w:lineRule="exact"/>
        <w:ind w:left="525" w:leftChars="250"/>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(2)轻柴油：1升≈0.86千克≈0.00086吨</w:t>
      </w:r>
    </w:p>
    <w:p>
      <w:pPr>
        <w:spacing w:line="240" w:lineRule="exact"/>
        <w:ind w:left="525" w:leftChars="250"/>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(3)重柴油：1升≈0.92千克≈0.00092吨</w:t>
      </w:r>
    </w:p>
    <w:p>
      <w:pPr>
        <w:spacing w:line="240" w:lineRule="exact"/>
        <w:ind w:left="525" w:leftChars="250"/>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(4)煤  油：1升≈0.82千克≈0.00082吨</w:t>
      </w:r>
    </w:p>
    <w:p>
      <w:pPr>
        <w:spacing w:line="240" w:lineRule="exact"/>
        <w:ind w:left="525" w:leftChars="250"/>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(5)燃料油：1升≈0.91千克≈0.00091吨</w:t>
      </w:r>
    </w:p>
    <w:p>
      <w:pPr>
        <w:spacing w:line="240" w:lineRule="exact"/>
        <w:ind w:left="741" w:leftChars="250" w:hanging="216" w:hangingChars="120"/>
        <w:jc w:val="left"/>
        <w:rPr>
          <w:rFonts w:asciiTheme="minorEastAsia" w:hAnsiTheme="minorEastAsia" w:eastAsiaTheme="minorEastAsia" w:cstheme="minorEastAsia"/>
          <w:sz w:val="18"/>
          <w:szCs w:val="18"/>
        </w:rPr>
      </w:pPr>
    </w:p>
    <w:p>
      <w:pPr>
        <w:spacing w:line="240" w:lineRule="exact"/>
        <w:ind w:left="741" w:leftChars="250" w:hanging="216" w:hangingChars="120"/>
        <w:jc w:val="left"/>
        <w:rPr>
          <w:rFonts w:asciiTheme="minorEastAsia" w:hAnsiTheme="minorEastAsia" w:eastAsiaTheme="minorEastAsia" w:cstheme="minorEastAsia"/>
          <w:sz w:val="18"/>
          <w:szCs w:val="18"/>
        </w:rPr>
      </w:pPr>
    </w:p>
    <w:p>
      <w:pPr>
        <w:jc w:val="left"/>
        <w:rPr>
          <w:rFonts w:ascii="宋体" w:hAnsi="宋体" w:cs="宋体"/>
          <w:b/>
          <w:bCs/>
          <w:kern w:val="0"/>
          <w:sz w:val="32"/>
          <w:szCs w:val="32"/>
        </w:rPr>
      </w:pPr>
      <w:r>
        <w:rPr>
          <w:rFonts w:hint="eastAsia" w:ascii="宋体" w:hAnsi="宋体" w:cs="宋体"/>
          <w:b/>
          <w:bCs/>
          <w:kern w:val="0"/>
          <w:sz w:val="32"/>
          <w:szCs w:val="32"/>
        </w:rPr>
        <w:br w:type="page"/>
      </w:r>
    </w:p>
    <w:p>
      <w:pPr>
        <w:jc w:val="center"/>
        <w:rPr>
          <w:rFonts w:ascii="宋体" w:hAnsi="宋体" w:cs="宋体"/>
          <w:b/>
          <w:bCs/>
          <w:kern w:val="0"/>
          <w:sz w:val="32"/>
          <w:szCs w:val="32"/>
        </w:rPr>
      </w:pPr>
      <w:r>
        <w:rPr>
          <w:rFonts w:hint="eastAsia" w:ascii="宋体" w:hAnsi="宋体" w:cs="宋体"/>
          <w:b/>
          <w:bCs/>
          <w:kern w:val="0"/>
          <w:sz w:val="32"/>
          <w:szCs w:val="32"/>
        </w:rPr>
        <w:t>四下企业主要能源产品产量</w:t>
      </w:r>
    </w:p>
    <w:tbl>
      <w:tblPr>
        <w:tblStyle w:val="21"/>
        <w:tblW w:w="5023" w:type="pct"/>
        <w:jc w:val="center"/>
        <w:tblLayout w:type="autofit"/>
        <w:tblCellMar>
          <w:top w:w="0" w:type="dxa"/>
          <w:left w:w="108" w:type="dxa"/>
          <w:bottom w:w="0" w:type="dxa"/>
          <w:right w:w="108" w:type="dxa"/>
        </w:tblCellMar>
      </w:tblPr>
      <w:tblGrid>
        <w:gridCol w:w="3469"/>
        <w:gridCol w:w="628"/>
        <w:gridCol w:w="2469"/>
        <w:gridCol w:w="1116"/>
        <w:gridCol w:w="1882"/>
      </w:tblGrid>
      <w:tr>
        <w:tblPrEx>
          <w:tblCellMar>
            <w:top w:w="0" w:type="dxa"/>
            <w:left w:w="108" w:type="dxa"/>
            <w:bottom w:w="0" w:type="dxa"/>
            <w:right w:w="108" w:type="dxa"/>
          </w:tblCellMar>
        </w:tblPrEx>
        <w:trPr>
          <w:trHeight w:val="318" w:hRule="atLeast"/>
          <w:jc w:val="center"/>
        </w:trPr>
        <w:tc>
          <w:tcPr>
            <w:tcW w:w="1839" w:type="pct"/>
            <w:noWrap/>
            <w:tcMar>
              <w:left w:w="0" w:type="dxa"/>
              <w:right w:w="0" w:type="dxa"/>
            </w:tcMar>
          </w:tcPr>
          <w:p>
            <w:pPr>
              <w:spacing w:line="240" w:lineRule="exact"/>
              <w:jc w:val="center"/>
              <w:rPr>
                <w:sz w:val="18"/>
                <w:szCs w:val="18"/>
              </w:rPr>
            </w:pPr>
          </w:p>
        </w:tc>
        <w:tc>
          <w:tcPr>
            <w:tcW w:w="354" w:type="pct"/>
            <w:noWrap/>
          </w:tcPr>
          <w:p>
            <w:pPr>
              <w:spacing w:line="240" w:lineRule="exact"/>
              <w:jc w:val="center"/>
              <w:rPr>
                <w:sz w:val="18"/>
                <w:szCs w:val="18"/>
              </w:rPr>
            </w:pPr>
          </w:p>
        </w:tc>
        <w:tc>
          <w:tcPr>
            <w:tcW w:w="1315" w:type="pct"/>
            <w:noWrap/>
          </w:tcPr>
          <w:p>
            <w:pPr>
              <w:spacing w:line="240" w:lineRule="exact"/>
              <w:jc w:val="center"/>
              <w:rPr>
                <w:sz w:val="18"/>
                <w:szCs w:val="18"/>
              </w:rPr>
            </w:pPr>
          </w:p>
        </w:tc>
        <w:tc>
          <w:tcPr>
            <w:tcW w:w="561" w:type="pct"/>
            <w:noWrap/>
            <w:vAlign w:val="center"/>
          </w:tcPr>
          <w:p>
            <w:pPr>
              <w:spacing w:line="240" w:lineRule="exact"/>
              <w:rPr>
                <w:sz w:val="18"/>
                <w:szCs w:val="18"/>
              </w:rPr>
            </w:pPr>
            <w:r>
              <w:rPr>
                <w:sz w:val="18"/>
                <w:szCs w:val="18"/>
              </w:rPr>
              <w:t>表    号：</w:t>
            </w:r>
          </w:p>
        </w:tc>
        <w:tc>
          <w:tcPr>
            <w:tcW w:w="929" w:type="pct"/>
            <w:noWrap/>
            <w:vAlign w:val="center"/>
          </w:tcPr>
          <w:p>
            <w:pPr>
              <w:spacing w:line="240" w:lineRule="exact"/>
              <w:jc w:val="distribute"/>
              <w:rPr>
                <w:sz w:val="18"/>
                <w:szCs w:val="18"/>
              </w:rPr>
            </w:pPr>
            <w:r>
              <w:rPr>
                <w:sz w:val="18"/>
                <w:szCs w:val="18"/>
              </w:rPr>
              <w:t>Ｐ２０６表</w:t>
            </w:r>
          </w:p>
        </w:tc>
      </w:tr>
      <w:tr>
        <w:tblPrEx>
          <w:tblCellMar>
            <w:top w:w="0" w:type="dxa"/>
            <w:left w:w="108" w:type="dxa"/>
            <w:bottom w:w="0" w:type="dxa"/>
            <w:right w:w="108" w:type="dxa"/>
          </w:tblCellMar>
        </w:tblPrEx>
        <w:trPr>
          <w:trHeight w:val="318" w:hRule="atLeast"/>
          <w:jc w:val="center"/>
        </w:trPr>
        <w:tc>
          <w:tcPr>
            <w:tcW w:w="3509" w:type="pct"/>
            <w:gridSpan w:val="3"/>
            <w:noWrap/>
            <w:tcMar>
              <w:left w:w="0" w:type="dxa"/>
              <w:right w:w="0" w:type="dxa"/>
            </w:tcMar>
          </w:tcPr>
          <w:p>
            <w:pPr>
              <w:spacing w:line="240" w:lineRule="exact"/>
              <w:jc w:val="left"/>
              <w:rPr>
                <w:sz w:val="18"/>
                <w:szCs w:val="18"/>
              </w:rPr>
            </w:pPr>
            <w:r>
              <w:rPr>
                <w:sz w:val="18"/>
                <w:szCs w:val="18"/>
              </w:rPr>
              <w:t>统一社会信用代码</w:t>
            </w:r>
            <w:r>
              <w:rPr>
                <w:rFonts w:hint="eastAsia" w:ascii="宋体" w:hAnsi="宋体" w:cs="宋体"/>
                <w:color w:val="000000"/>
                <w:kern w:val="0"/>
                <w:sz w:val="18"/>
                <w:szCs w:val="18"/>
              </w:rPr>
              <w:t>□□□□□□□□□□□□□□□□□□</w:t>
            </w:r>
          </w:p>
        </w:tc>
        <w:tc>
          <w:tcPr>
            <w:tcW w:w="561" w:type="pct"/>
            <w:noWrap/>
            <w:vAlign w:val="center"/>
          </w:tcPr>
          <w:p>
            <w:pPr>
              <w:spacing w:line="240" w:lineRule="exact"/>
              <w:rPr>
                <w:sz w:val="18"/>
                <w:szCs w:val="18"/>
              </w:rPr>
            </w:pPr>
            <w:r>
              <w:rPr>
                <w:sz w:val="18"/>
                <w:szCs w:val="18"/>
              </w:rPr>
              <w:t>制定机关：</w:t>
            </w:r>
          </w:p>
        </w:tc>
        <w:tc>
          <w:tcPr>
            <w:tcW w:w="929" w:type="pct"/>
            <w:noWrap/>
            <w:vAlign w:val="center"/>
          </w:tcPr>
          <w:p>
            <w:pPr>
              <w:spacing w:line="240" w:lineRule="exact"/>
              <w:jc w:val="distribute"/>
              <w:rPr>
                <w:sz w:val="18"/>
                <w:szCs w:val="18"/>
              </w:rPr>
            </w:pPr>
            <w:r>
              <w:rPr>
                <w:sz w:val="18"/>
                <w:szCs w:val="18"/>
              </w:rPr>
              <w:t>国家统计局</w:t>
            </w:r>
          </w:p>
        </w:tc>
      </w:tr>
      <w:tr>
        <w:tblPrEx>
          <w:tblCellMar>
            <w:top w:w="0" w:type="dxa"/>
            <w:left w:w="108" w:type="dxa"/>
            <w:bottom w:w="0" w:type="dxa"/>
            <w:right w:w="108" w:type="dxa"/>
          </w:tblCellMar>
        </w:tblPrEx>
        <w:trPr>
          <w:trHeight w:val="344" w:hRule="atLeast"/>
          <w:jc w:val="center"/>
        </w:trPr>
        <w:tc>
          <w:tcPr>
            <w:tcW w:w="3509" w:type="pct"/>
            <w:gridSpan w:val="3"/>
            <w:noWrap/>
            <w:tcMar>
              <w:left w:w="0" w:type="dxa"/>
              <w:right w:w="0" w:type="dxa"/>
            </w:tcMar>
          </w:tcPr>
          <w:p>
            <w:pPr>
              <w:spacing w:line="240" w:lineRule="exact"/>
              <w:jc w:val="left"/>
              <w:rPr>
                <w:sz w:val="18"/>
                <w:szCs w:val="18"/>
              </w:rPr>
            </w:pPr>
          </w:p>
        </w:tc>
        <w:tc>
          <w:tcPr>
            <w:tcW w:w="561" w:type="pct"/>
            <w:noWrap/>
            <w:vAlign w:val="center"/>
          </w:tcPr>
          <w:p>
            <w:pPr>
              <w:spacing w:line="240" w:lineRule="exact"/>
              <w:rPr>
                <w:sz w:val="18"/>
                <w:szCs w:val="18"/>
              </w:rPr>
            </w:pPr>
            <w:r>
              <w:rPr>
                <w:sz w:val="18"/>
                <w:szCs w:val="18"/>
              </w:rPr>
              <w:t>文    号：</w:t>
            </w:r>
          </w:p>
        </w:tc>
        <w:tc>
          <w:tcPr>
            <w:tcW w:w="929" w:type="pct"/>
            <w:noWrap/>
            <w:vAlign w:val="center"/>
          </w:tcPr>
          <w:p>
            <w:pPr>
              <w:spacing w:line="260" w:lineRule="exact"/>
              <w:jc w:val="distribute"/>
              <w:rPr>
                <w:color w:val="auto"/>
                <w:sz w:val="18"/>
                <w:szCs w:val="18"/>
              </w:rPr>
            </w:pPr>
            <w:r>
              <w:rPr>
                <w:rFonts w:hint="eastAsia" w:ascii="宋体" w:hAnsi="宋体"/>
                <w:color w:val="auto"/>
                <w:sz w:val="18"/>
                <w:szCs w:val="18"/>
              </w:rPr>
              <w:t>国统字〔202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color w:val="auto"/>
                <w:sz w:val="18"/>
                <w:szCs w:val="18"/>
              </w:rPr>
              <w:t>号</w:t>
            </w:r>
          </w:p>
        </w:tc>
      </w:tr>
      <w:tr>
        <w:tblPrEx>
          <w:tblCellMar>
            <w:top w:w="0" w:type="dxa"/>
            <w:left w:w="108" w:type="dxa"/>
            <w:bottom w:w="0" w:type="dxa"/>
            <w:right w:w="108" w:type="dxa"/>
          </w:tblCellMar>
        </w:tblPrEx>
        <w:trPr>
          <w:trHeight w:val="344" w:hRule="atLeast"/>
          <w:jc w:val="center"/>
        </w:trPr>
        <w:tc>
          <w:tcPr>
            <w:tcW w:w="1839" w:type="pct"/>
            <w:noWrap/>
            <w:tcMar>
              <w:left w:w="0" w:type="dxa"/>
              <w:right w:w="0" w:type="dxa"/>
            </w:tcMar>
          </w:tcPr>
          <w:p>
            <w:pPr>
              <w:spacing w:line="240" w:lineRule="exact"/>
              <w:rPr>
                <w:sz w:val="18"/>
                <w:szCs w:val="18"/>
              </w:rPr>
            </w:pPr>
            <w:r>
              <w:rPr>
                <w:rFonts w:hint="eastAsia"/>
                <w:kern w:val="0"/>
                <w:sz w:val="18"/>
                <w:szCs w:val="18"/>
              </w:rPr>
              <w:t>单位详细</w:t>
            </w:r>
            <w:r>
              <w:rPr>
                <w:kern w:val="0"/>
                <w:sz w:val="18"/>
                <w:szCs w:val="18"/>
              </w:rPr>
              <w:t>名称：</w:t>
            </w:r>
          </w:p>
        </w:tc>
        <w:tc>
          <w:tcPr>
            <w:tcW w:w="354" w:type="pct"/>
            <w:noWrap/>
          </w:tcPr>
          <w:p>
            <w:pPr>
              <w:spacing w:line="240" w:lineRule="exact"/>
              <w:jc w:val="center"/>
              <w:rPr>
                <w:sz w:val="18"/>
                <w:szCs w:val="18"/>
              </w:rPr>
            </w:pPr>
          </w:p>
        </w:tc>
        <w:tc>
          <w:tcPr>
            <w:tcW w:w="1315" w:type="pct"/>
            <w:noWrap/>
          </w:tcPr>
          <w:p>
            <w:pPr>
              <w:spacing w:line="240" w:lineRule="exact"/>
              <w:rPr>
                <w:sz w:val="18"/>
                <w:szCs w:val="18"/>
              </w:rPr>
            </w:pPr>
            <w:r>
              <w:rPr>
                <w:sz w:val="18"/>
                <w:szCs w:val="18"/>
              </w:rPr>
              <w:t>２０　　年 １－　月</w:t>
            </w:r>
          </w:p>
        </w:tc>
        <w:tc>
          <w:tcPr>
            <w:tcW w:w="561" w:type="pct"/>
            <w:noWrap/>
            <w:vAlign w:val="center"/>
          </w:tcPr>
          <w:p>
            <w:pPr>
              <w:spacing w:line="240" w:lineRule="exact"/>
              <w:rPr>
                <w:sz w:val="18"/>
                <w:szCs w:val="18"/>
              </w:rPr>
            </w:pPr>
            <w:r>
              <w:rPr>
                <w:sz w:val="18"/>
                <w:szCs w:val="18"/>
              </w:rPr>
              <w:t>有效期至：</w:t>
            </w:r>
          </w:p>
        </w:tc>
        <w:tc>
          <w:tcPr>
            <w:tcW w:w="929" w:type="pct"/>
            <w:noWrap/>
            <w:vAlign w:val="center"/>
          </w:tcPr>
          <w:p>
            <w:pPr>
              <w:spacing w:line="260" w:lineRule="exact"/>
              <w:jc w:val="distribute"/>
              <w:rPr>
                <w:color w:val="auto"/>
                <w:sz w:val="18"/>
                <w:szCs w:val="18"/>
              </w:rPr>
            </w:pPr>
            <w:r>
              <w:rPr>
                <w:color w:val="auto"/>
                <w:sz w:val="18"/>
                <w:szCs w:val="18"/>
              </w:rPr>
              <w:t>２０２</w:t>
            </w:r>
            <w:r>
              <w:rPr>
                <w:rFonts w:hint="eastAsia" w:ascii="宋体" w:hAnsi="宋体" w:cs="宋体"/>
                <w:color w:val="auto"/>
                <w:sz w:val="18"/>
                <w:szCs w:val="18"/>
                <w:lang w:val="en-US" w:eastAsia="zh-CN"/>
              </w:rPr>
              <w:t>7</w:t>
            </w:r>
            <w:r>
              <w:rPr>
                <w:color w:val="auto"/>
                <w:sz w:val="18"/>
                <w:szCs w:val="18"/>
              </w:rPr>
              <w:t>年１月</w:t>
            </w:r>
          </w:p>
        </w:tc>
      </w:tr>
    </w:tbl>
    <w:p>
      <w:pPr>
        <w:spacing w:line="20" w:lineRule="exact"/>
        <w:jc w:val="center"/>
        <w:rPr>
          <w:bCs/>
          <w:kern w:val="0"/>
          <w:sz w:val="32"/>
          <w:szCs w:val="32"/>
        </w:rPr>
      </w:pPr>
    </w:p>
    <w:tbl>
      <w:tblPr>
        <w:tblStyle w:val="21"/>
        <w:tblW w:w="4968"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684"/>
        <w:gridCol w:w="1361"/>
        <w:gridCol w:w="1434"/>
        <w:gridCol w:w="1962"/>
        <w:gridCol w:w="2125"/>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vMerge w:val="restart"/>
            <w:tcBorders>
              <w:top w:val="single" w:color="auto" w:sz="8" w:space="0"/>
              <w:bottom w:val="single" w:color="auto" w:sz="2" w:space="0"/>
            </w:tcBorders>
            <w:shd w:val="clear" w:color="auto" w:fill="auto"/>
            <w:vAlign w:val="center"/>
          </w:tcPr>
          <w:p>
            <w:pPr>
              <w:widowControl/>
              <w:jc w:val="center"/>
              <w:rPr>
                <w:rFonts w:eastAsia="宋体"/>
                <w:kern w:val="0"/>
                <w:sz w:val="18"/>
                <w:szCs w:val="18"/>
              </w:rPr>
            </w:pPr>
            <w:r>
              <w:rPr>
                <w:rFonts w:eastAsia="宋体"/>
                <w:kern w:val="0"/>
                <w:sz w:val="18"/>
                <w:szCs w:val="18"/>
              </w:rPr>
              <w:t>产品名称</w:t>
            </w:r>
          </w:p>
        </w:tc>
        <w:tc>
          <w:tcPr>
            <w:tcW w:w="711" w:type="pct"/>
            <w:vMerge w:val="restart"/>
            <w:tcBorders>
              <w:top w:val="single" w:color="auto" w:sz="8" w:space="0"/>
              <w:bottom w:val="single" w:color="auto" w:sz="2" w:space="0"/>
            </w:tcBorders>
            <w:shd w:val="clear" w:color="auto" w:fill="auto"/>
            <w:vAlign w:val="center"/>
          </w:tcPr>
          <w:p>
            <w:pPr>
              <w:widowControl/>
              <w:jc w:val="center"/>
              <w:rPr>
                <w:rFonts w:eastAsia="宋体"/>
                <w:kern w:val="0"/>
                <w:sz w:val="18"/>
                <w:szCs w:val="18"/>
              </w:rPr>
            </w:pPr>
            <w:r>
              <w:rPr>
                <w:rFonts w:eastAsia="宋体"/>
                <w:kern w:val="0"/>
                <w:sz w:val="18"/>
                <w:szCs w:val="18"/>
              </w:rPr>
              <w:t>计量单位</w:t>
            </w:r>
          </w:p>
        </w:tc>
        <w:tc>
          <w:tcPr>
            <w:tcW w:w="749" w:type="pct"/>
            <w:vMerge w:val="restart"/>
            <w:tcBorders>
              <w:top w:val="single" w:color="auto" w:sz="8" w:space="0"/>
              <w:bottom w:val="single" w:color="auto" w:sz="2" w:space="0"/>
            </w:tcBorders>
            <w:shd w:val="clear" w:color="auto" w:fill="auto"/>
            <w:vAlign w:val="center"/>
          </w:tcPr>
          <w:p>
            <w:pPr>
              <w:jc w:val="center"/>
              <w:rPr>
                <w:rFonts w:eastAsia="宋体"/>
                <w:kern w:val="0"/>
                <w:sz w:val="18"/>
                <w:szCs w:val="18"/>
              </w:rPr>
            </w:pPr>
            <w:r>
              <w:rPr>
                <w:rFonts w:eastAsia="宋体"/>
                <w:kern w:val="0"/>
                <w:sz w:val="18"/>
                <w:szCs w:val="18"/>
              </w:rPr>
              <w:t>产品代码</w:t>
            </w:r>
          </w:p>
        </w:tc>
        <w:tc>
          <w:tcPr>
            <w:tcW w:w="2135" w:type="pct"/>
            <w:gridSpan w:val="2"/>
            <w:tcBorders>
              <w:top w:val="single" w:color="auto" w:sz="8" w:space="0"/>
              <w:bottom w:val="single" w:color="auto" w:sz="2" w:space="0"/>
            </w:tcBorders>
            <w:shd w:val="clear" w:color="auto" w:fill="auto"/>
            <w:vAlign w:val="center"/>
          </w:tcPr>
          <w:p>
            <w:pPr>
              <w:widowControl/>
              <w:jc w:val="center"/>
              <w:rPr>
                <w:rFonts w:eastAsia="宋体"/>
                <w:kern w:val="0"/>
                <w:sz w:val="18"/>
                <w:szCs w:val="18"/>
              </w:rPr>
            </w:pPr>
            <w:r>
              <w:rPr>
                <w:rFonts w:eastAsia="宋体"/>
                <w:kern w:val="0"/>
                <w:sz w:val="18"/>
                <w:szCs w:val="18"/>
              </w:rPr>
              <w:t>生产量</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vMerge w:val="continue"/>
            <w:tcBorders>
              <w:top w:val="single" w:color="auto" w:sz="2" w:space="0"/>
              <w:bottom w:val="single" w:color="auto" w:sz="2" w:space="0"/>
            </w:tcBorders>
            <w:shd w:val="clear" w:color="auto" w:fill="auto"/>
            <w:vAlign w:val="center"/>
          </w:tcPr>
          <w:p>
            <w:pPr>
              <w:widowControl/>
              <w:jc w:val="center"/>
              <w:rPr>
                <w:rFonts w:eastAsia="宋体"/>
                <w:kern w:val="0"/>
                <w:sz w:val="18"/>
                <w:szCs w:val="18"/>
              </w:rPr>
            </w:pPr>
          </w:p>
        </w:tc>
        <w:tc>
          <w:tcPr>
            <w:tcW w:w="711" w:type="pct"/>
            <w:vMerge w:val="continue"/>
            <w:tcBorders>
              <w:top w:val="single" w:color="auto" w:sz="2" w:space="0"/>
              <w:bottom w:val="single" w:color="auto" w:sz="2" w:space="0"/>
            </w:tcBorders>
            <w:shd w:val="clear" w:color="auto" w:fill="auto"/>
            <w:vAlign w:val="center"/>
          </w:tcPr>
          <w:p>
            <w:pPr>
              <w:widowControl/>
              <w:jc w:val="center"/>
              <w:rPr>
                <w:rFonts w:eastAsia="宋体"/>
                <w:kern w:val="0"/>
                <w:sz w:val="18"/>
                <w:szCs w:val="18"/>
              </w:rPr>
            </w:pPr>
          </w:p>
        </w:tc>
        <w:tc>
          <w:tcPr>
            <w:tcW w:w="749" w:type="pct"/>
            <w:vMerge w:val="continue"/>
            <w:tcBorders>
              <w:top w:val="single" w:color="auto" w:sz="2" w:space="0"/>
              <w:bottom w:val="single" w:color="auto" w:sz="2" w:space="0"/>
            </w:tcBorders>
            <w:shd w:val="clear" w:color="auto" w:fill="auto"/>
            <w:vAlign w:val="center"/>
          </w:tcPr>
          <w:p>
            <w:pPr>
              <w:widowControl/>
              <w:jc w:val="center"/>
              <w:rPr>
                <w:rFonts w:eastAsia="宋体"/>
                <w:kern w:val="0"/>
                <w:sz w:val="18"/>
                <w:szCs w:val="18"/>
              </w:rPr>
            </w:pPr>
          </w:p>
        </w:tc>
        <w:tc>
          <w:tcPr>
            <w:tcW w:w="1025" w:type="pct"/>
            <w:tcBorders>
              <w:top w:val="single" w:color="auto" w:sz="2" w:space="0"/>
              <w:bottom w:val="single" w:color="auto" w:sz="2" w:space="0"/>
            </w:tcBorders>
            <w:shd w:val="clear" w:color="auto" w:fill="auto"/>
            <w:vAlign w:val="center"/>
          </w:tcPr>
          <w:p>
            <w:pPr>
              <w:widowControl/>
              <w:jc w:val="center"/>
              <w:rPr>
                <w:rFonts w:eastAsia="宋体"/>
                <w:kern w:val="0"/>
                <w:sz w:val="18"/>
                <w:szCs w:val="18"/>
              </w:rPr>
            </w:pPr>
            <w:r>
              <w:rPr>
                <w:rFonts w:eastAsia="宋体"/>
                <w:kern w:val="0"/>
                <w:sz w:val="18"/>
                <w:szCs w:val="18"/>
              </w:rPr>
              <w:t>本年</w:t>
            </w:r>
          </w:p>
        </w:tc>
        <w:tc>
          <w:tcPr>
            <w:tcW w:w="1110" w:type="pct"/>
            <w:tcBorders>
              <w:bottom w:val="single" w:color="auto" w:sz="2" w:space="0"/>
            </w:tcBorders>
            <w:shd w:val="clear" w:color="auto" w:fill="auto"/>
            <w:vAlign w:val="center"/>
          </w:tcPr>
          <w:p>
            <w:pPr>
              <w:widowControl/>
              <w:jc w:val="center"/>
              <w:rPr>
                <w:rFonts w:eastAsia="宋体"/>
                <w:kern w:val="0"/>
                <w:sz w:val="18"/>
                <w:szCs w:val="18"/>
              </w:rPr>
            </w:pPr>
            <w:r>
              <w:rPr>
                <w:rFonts w:eastAsia="宋体"/>
                <w:kern w:val="0"/>
                <w:sz w:val="18"/>
                <w:szCs w:val="18"/>
              </w:rPr>
              <w:t>上年同期</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single" w:color="auto" w:sz="2" w:space="0"/>
              <w:bottom w:val="single" w:color="auto" w:sz="2" w:space="0"/>
            </w:tcBorders>
            <w:shd w:val="clear" w:color="auto" w:fill="auto"/>
            <w:vAlign w:val="center"/>
          </w:tcPr>
          <w:p>
            <w:pPr>
              <w:widowControl/>
              <w:spacing w:line="240" w:lineRule="exact"/>
              <w:jc w:val="center"/>
              <w:textAlignment w:val="center"/>
              <w:rPr>
                <w:rFonts w:eastAsia="宋体"/>
                <w:kern w:val="0"/>
                <w:sz w:val="18"/>
                <w:szCs w:val="18"/>
              </w:rPr>
            </w:pPr>
            <w:r>
              <w:rPr>
                <w:rFonts w:eastAsia="宋体"/>
                <w:kern w:val="0"/>
                <w:sz w:val="18"/>
                <w:szCs w:val="18"/>
              </w:rPr>
              <w:t>甲</w:t>
            </w:r>
          </w:p>
        </w:tc>
        <w:tc>
          <w:tcPr>
            <w:tcW w:w="711" w:type="pct"/>
            <w:tcBorders>
              <w:top w:val="single" w:color="auto" w:sz="2" w:space="0"/>
              <w:bottom w:val="single" w:color="auto" w:sz="2" w:space="0"/>
            </w:tcBorders>
            <w:shd w:val="clear" w:color="auto" w:fill="auto"/>
            <w:vAlign w:val="center"/>
          </w:tcPr>
          <w:p>
            <w:pPr>
              <w:widowControl/>
              <w:spacing w:line="240" w:lineRule="exact"/>
              <w:jc w:val="center"/>
              <w:textAlignment w:val="center"/>
              <w:rPr>
                <w:rFonts w:eastAsia="宋体"/>
                <w:kern w:val="0"/>
                <w:sz w:val="18"/>
                <w:szCs w:val="18"/>
              </w:rPr>
            </w:pPr>
            <w:r>
              <w:rPr>
                <w:rFonts w:eastAsia="宋体"/>
                <w:kern w:val="0"/>
                <w:sz w:val="18"/>
                <w:szCs w:val="18"/>
              </w:rPr>
              <w:t>乙</w:t>
            </w:r>
          </w:p>
        </w:tc>
        <w:tc>
          <w:tcPr>
            <w:tcW w:w="749" w:type="pct"/>
            <w:tcBorders>
              <w:top w:val="single" w:color="auto" w:sz="2" w:space="0"/>
              <w:bottom w:val="single" w:color="auto" w:sz="2" w:space="0"/>
            </w:tcBorders>
            <w:shd w:val="clear" w:color="auto" w:fill="auto"/>
            <w:vAlign w:val="center"/>
          </w:tcPr>
          <w:p>
            <w:pPr>
              <w:widowControl/>
              <w:spacing w:line="240" w:lineRule="exact"/>
              <w:jc w:val="center"/>
              <w:textAlignment w:val="center"/>
              <w:rPr>
                <w:rFonts w:eastAsia="宋体"/>
                <w:kern w:val="0"/>
                <w:sz w:val="18"/>
                <w:szCs w:val="18"/>
              </w:rPr>
            </w:pPr>
            <w:r>
              <w:rPr>
                <w:rFonts w:eastAsia="宋体"/>
                <w:kern w:val="0"/>
                <w:sz w:val="18"/>
                <w:szCs w:val="18"/>
              </w:rPr>
              <w:t>丙</w:t>
            </w:r>
          </w:p>
        </w:tc>
        <w:tc>
          <w:tcPr>
            <w:tcW w:w="1025" w:type="pct"/>
            <w:tcBorders>
              <w:top w:val="single" w:color="auto" w:sz="2" w:space="0"/>
              <w:bottom w:val="single" w:color="auto" w:sz="2" w:space="0"/>
            </w:tcBorders>
            <w:shd w:val="clear" w:color="auto" w:fill="auto"/>
            <w:vAlign w:val="center"/>
          </w:tcPr>
          <w:p>
            <w:pPr>
              <w:widowControl/>
              <w:spacing w:line="240" w:lineRule="exact"/>
              <w:jc w:val="center"/>
              <w:textAlignment w:val="center"/>
              <w:rPr>
                <w:rFonts w:eastAsia="宋体"/>
                <w:kern w:val="0"/>
                <w:sz w:val="18"/>
                <w:szCs w:val="18"/>
              </w:rPr>
            </w:pPr>
            <w:r>
              <w:rPr>
                <w:rFonts w:hint="eastAsia" w:asciiTheme="minorEastAsia" w:hAnsiTheme="minorEastAsia" w:eastAsiaTheme="minorEastAsia" w:cstheme="minorEastAsia"/>
                <w:kern w:val="0"/>
                <w:sz w:val="18"/>
                <w:szCs w:val="18"/>
              </w:rPr>
              <w:t>1</w:t>
            </w:r>
          </w:p>
        </w:tc>
        <w:tc>
          <w:tcPr>
            <w:tcW w:w="1110" w:type="pct"/>
            <w:tcBorders>
              <w:bottom w:val="single" w:color="auto" w:sz="2" w:space="0"/>
            </w:tcBorders>
            <w:shd w:val="clear" w:color="auto" w:fill="auto"/>
            <w:vAlign w:val="center"/>
          </w:tcPr>
          <w:p>
            <w:pPr>
              <w:widowControl/>
              <w:spacing w:line="240" w:lineRule="exact"/>
              <w:jc w:val="center"/>
              <w:textAlignment w:val="center"/>
              <w:rPr>
                <w:rFonts w:eastAsia="宋体"/>
                <w:kern w:val="0"/>
                <w:sz w:val="18"/>
                <w:szCs w:val="18"/>
              </w:rPr>
            </w:pPr>
            <w:r>
              <w:rPr>
                <w:rFonts w:hint="eastAsia" w:asciiTheme="minorEastAsia" w:hAnsiTheme="minorEastAsia" w:eastAsiaTheme="minorEastAsia" w:cstheme="minorEastAsia"/>
                <w:kern w:val="0"/>
                <w:sz w:val="18"/>
                <w:szCs w:val="18"/>
              </w:rPr>
              <w:t>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single" w:color="auto" w:sz="2" w:space="0"/>
              <w:bottom w:val="nil"/>
            </w:tcBorders>
            <w:shd w:val="clear" w:color="auto" w:fill="auto"/>
            <w:vAlign w:val="center"/>
          </w:tcPr>
          <w:p>
            <w:pPr>
              <w:widowControl/>
              <w:rPr>
                <w:rFonts w:hint="eastAsia" w:ascii="宋体" w:hAnsi="宋体" w:eastAsia="宋体" w:cs="宋体"/>
                <w:kern w:val="0"/>
                <w:sz w:val="18"/>
                <w:szCs w:val="18"/>
              </w:rPr>
            </w:pPr>
            <w:r>
              <w:rPr>
                <w:rFonts w:hint="eastAsia" w:ascii="宋体" w:hAnsi="宋体" w:eastAsia="宋体" w:cs="宋体"/>
                <w:kern w:val="0"/>
                <w:sz w:val="18"/>
                <w:szCs w:val="18"/>
              </w:rPr>
              <w:t>原煤</w:t>
            </w:r>
          </w:p>
        </w:tc>
        <w:tc>
          <w:tcPr>
            <w:tcW w:w="711" w:type="pct"/>
            <w:tcBorders>
              <w:top w:val="single" w:color="auto" w:sz="2" w:space="0"/>
              <w:bottom w:val="nil"/>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吨</w:t>
            </w:r>
          </w:p>
        </w:tc>
        <w:tc>
          <w:tcPr>
            <w:tcW w:w="749" w:type="pct"/>
            <w:tcBorders>
              <w:top w:val="single" w:color="auto" w:sz="2" w:space="0"/>
              <w:bottom w:val="nil"/>
            </w:tcBorders>
            <w:shd w:val="clear" w:color="auto" w:fill="auto"/>
            <w:vAlign w:val="center"/>
          </w:tcPr>
          <w:p>
            <w:pPr>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rPr>
              <w:t>0601000000</w:t>
            </w:r>
          </w:p>
        </w:tc>
        <w:tc>
          <w:tcPr>
            <w:tcW w:w="2135" w:type="pct"/>
            <w:gridSpan w:val="2"/>
            <w:vMerge w:val="restart"/>
            <w:tcBorders>
              <w:top w:val="single" w:color="auto" w:sz="2" w:space="0"/>
            </w:tcBorders>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rPr>
                <w:rFonts w:hint="eastAsia" w:ascii="宋体" w:hAnsi="宋体" w:eastAsia="宋体" w:cs="宋体"/>
                <w:color w:val="auto"/>
                <w:kern w:val="0"/>
                <w:sz w:val="18"/>
                <w:szCs w:val="18"/>
              </w:rPr>
            </w:pPr>
            <w:r>
              <w:rPr>
                <w:rFonts w:hint="eastAsia" w:ascii="宋体" w:hAnsi="宋体" w:eastAsia="宋体" w:cs="宋体"/>
                <w:color w:val="auto"/>
                <w:sz w:val="18"/>
                <w:szCs w:val="18"/>
              </w:rPr>
              <w:t xml:space="preserve">  无烟煤</w:t>
            </w:r>
          </w:p>
        </w:tc>
        <w:tc>
          <w:tcPr>
            <w:tcW w:w="711" w:type="pct"/>
            <w:tcBorders>
              <w:top w:val="nil"/>
              <w:bottom w:val="nil"/>
            </w:tcBorders>
            <w:shd w:val="clear" w:color="auto" w:fill="auto"/>
            <w:vAlign w:val="center"/>
          </w:tcPr>
          <w:p>
            <w:pPr>
              <w:widowControl/>
              <w:jc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吨</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0601010000</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rPr>
                <w:rFonts w:hint="eastAsia" w:ascii="宋体" w:hAnsi="宋体" w:eastAsia="宋体" w:cs="宋体"/>
                <w:color w:val="auto"/>
                <w:kern w:val="0"/>
                <w:sz w:val="18"/>
                <w:szCs w:val="18"/>
              </w:rPr>
            </w:pPr>
            <w:r>
              <w:rPr>
                <w:rFonts w:hint="eastAsia" w:ascii="宋体" w:hAnsi="宋体" w:eastAsia="宋体" w:cs="宋体"/>
                <w:color w:val="auto"/>
                <w:sz w:val="18"/>
                <w:szCs w:val="18"/>
              </w:rPr>
              <w:t>　炼焦烟煤</w:t>
            </w:r>
          </w:p>
        </w:tc>
        <w:tc>
          <w:tcPr>
            <w:tcW w:w="711" w:type="pct"/>
            <w:tcBorders>
              <w:top w:val="nil"/>
              <w:bottom w:val="nil"/>
            </w:tcBorders>
            <w:shd w:val="clear" w:color="auto" w:fill="auto"/>
            <w:vAlign w:val="center"/>
          </w:tcPr>
          <w:p>
            <w:pPr>
              <w:widowControl/>
              <w:jc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吨</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0601020100</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rPr>
                <w:rFonts w:hint="eastAsia" w:ascii="宋体" w:hAnsi="宋体" w:eastAsia="宋体" w:cs="宋体"/>
                <w:color w:val="auto"/>
                <w:kern w:val="0"/>
                <w:sz w:val="18"/>
                <w:szCs w:val="18"/>
              </w:rPr>
            </w:pPr>
            <w:r>
              <w:rPr>
                <w:rFonts w:hint="eastAsia" w:ascii="宋体" w:hAnsi="宋体" w:eastAsia="宋体" w:cs="宋体"/>
                <w:color w:val="auto"/>
                <w:sz w:val="18"/>
                <w:szCs w:val="18"/>
              </w:rPr>
              <w:t>　一般烟煤</w:t>
            </w:r>
          </w:p>
        </w:tc>
        <w:tc>
          <w:tcPr>
            <w:tcW w:w="711" w:type="pct"/>
            <w:tcBorders>
              <w:top w:val="nil"/>
              <w:bottom w:val="nil"/>
            </w:tcBorders>
            <w:shd w:val="clear" w:color="auto" w:fill="auto"/>
            <w:vAlign w:val="center"/>
          </w:tcPr>
          <w:p>
            <w:pPr>
              <w:widowControl/>
              <w:jc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吨</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0601020200</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rPr>
                <w:rFonts w:hint="eastAsia" w:ascii="宋体" w:hAnsi="宋体" w:eastAsia="宋体" w:cs="宋体"/>
                <w:color w:val="auto"/>
                <w:kern w:val="0"/>
                <w:sz w:val="18"/>
                <w:szCs w:val="18"/>
              </w:rPr>
            </w:pPr>
            <w:r>
              <w:rPr>
                <w:rFonts w:hint="eastAsia" w:ascii="宋体" w:hAnsi="宋体" w:eastAsia="宋体" w:cs="宋体"/>
                <w:color w:val="auto"/>
                <w:sz w:val="18"/>
                <w:szCs w:val="18"/>
              </w:rPr>
              <w:t xml:space="preserve">  褐煤</w:t>
            </w:r>
          </w:p>
        </w:tc>
        <w:tc>
          <w:tcPr>
            <w:tcW w:w="711" w:type="pct"/>
            <w:tcBorders>
              <w:top w:val="nil"/>
              <w:bottom w:val="nil"/>
            </w:tcBorders>
            <w:shd w:val="clear" w:color="auto" w:fill="auto"/>
            <w:vAlign w:val="center"/>
          </w:tcPr>
          <w:p>
            <w:pPr>
              <w:widowControl/>
              <w:jc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吨</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0601030000</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rPr>
                <w:rFonts w:hint="eastAsia" w:ascii="宋体" w:hAnsi="宋体" w:eastAsia="宋体" w:cs="宋体"/>
                <w:kern w:val="0"/>
                <w:sz w:val="18"/>
                <w:szCs w:val="18"/>
              </w:rPr>
            </w:pPr>
            <w:r>
              <w:rPr>
                <w:rFonts w:hint="eastAsia" w:ascii="宋体" w:hAnsi="宋体" w:eastAsia="宋体" w:cs="宋体"/>
                <w:kern w:val="0"/>
                <w:sz w:val="18"/>
                <w:szCs w:val="18"/>
              </w:rPr>
              <w:t>天然气</w:t>
            </w:r>
          </w:p>
        </w:tc>
        <w:tc>
          <w:tcPr>
            <w:tcW w:w="711" w:type="pct"/>
            <w:tcBorders>
              <w:top w:val="nil"/>
              <w:bottom w:val="nil"/>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万立方米</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rPr>
              <w:t>0702000000</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rPr>
                <w:rFonts w:hint="eastAsia" w:ascii="宋体" w:hAnsi="宋体" w:eastAsia="宋体" w:cs="宋体"/>
                <w:color w:val="auto"/>
                <w:kern w:val="0"/>
                <w:sz w:val="18"/>
                <w:szCs w:val="18"/>
              </w:rPr>
            </w:pPr>
            <w:r>
              <w:rPr>
                <w:rFonts w:hint="eastAsia" w:ascii="宋体" w:hAnsi="宋体" w:eastAsia="宋体" w:cs="宋体"/>
                <w:color w:val="auto"/>
                <w:sz w:val="18"/>
                <w:szCs w:val="18"/>
              </w:rPr>
              <w:t xml:space="preserve">  常规天然气</w:t>
            </w:r>
          </w:p>
        </w:tc>
        <w:tc>
          <w:tcPr>
            <w:tcW w:w="711" w:type="pct"/>
            <w:tcBorders>
              <w:top w:val="nil"/>
              <w:bottom w:val="nil"/>
            </w:tcBorders>
            <w:shd w:val="clear" w:color="auto" w:fill="auto"/>
            <w:vAlign w:val="center"/>
          </w:tcPr>
          <w:p>
            <w:pPr>
              <w:widowControl/>
              <w:jc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万立方米</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0702010000</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rPr>
                <w:rFonts w:hint="eastAsia" w:ascii="宋体" w:hAnsi="宋体" w:eastAsia="宋体" w:cs="宋体"/>
                <w:color w:val="auto"/>
                <w:kern w:val="0"/>
                <w:sz w:val="18"/>
                <w:szCs w:val="18"/>
              </w:rPr>
            </w:pPr>
            <w:r>
              <w:rPr>
                <w:rFonts w:hint="eastAsia" w:ascii="宋体" w:hAnsi="宋体" w:eastAsia="宋体" w:cs="宋体"/>
                <w:color w:val="auto"/>
                <w:sz w:val="18"/>
                <w:szCs w:val="18"/>
              </w:rPr>
              <w:t xml:space="preserve">  非常规天然气</w:t>
            </w:r>
          </w:p>
        </w:tc>
        <w:tc>
          <w:tcPr>
            <w:tcW w:w="711" w:type="pct"/>
            <w:tcBorders>
              <w:top w:val="nil"/>
              <w:bottom w:val="nil"/>
            </w:tcBorders>
            <w:shd w:val="clear" w:color="auto" w:fill="auto"/>
            <w:vAlign w:val="center"/>
          </w:tcPr>
          <w:p>
            <w:pPr>
              <w:widowControl/>
              <w:jc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万立方米</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0702020000</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rPr>
                <w:rFonts w:hint="eastAsia" w:ascii="宋体" w:hAnsi="宋体" w:eastAsia="宋体" w:cs="宋体"/>
                <w:color w:val="auto"/>
                <w:kern w:val="0"/>
                <w:sz w:val="18"/>
                <w:szCs w:val="18"/>
              </w:rPr>
            </w:pPr>
            <w:r>
              <w:rPr>
                <w:rFonts w:hint="eastAsia" w:ascii="宋体" w:hAnsi="宋体" w:eastAsia="宋体" w:cs="宋体"/>
                <w:color w:val="auto"/>
                <w:sz w:val="18"/>
                <w:szCs w:val="18"/>
              </w:rPr>
              <w:t xml:space="preserve">    煤层气</w:t>
            </w:r>
          </w:p>
        </w:tc>
        <w:tc>
          <w:tcPr>
            <w:tcW w:w="711" w:type="pct"/>
            <w:tcBorders>
              <w:top w:val="nil"/>
              <w:bottom w:val="nil"/>
            </w:tcBorders>
            <w:shd w:val="clear" w:color="auto" w:fill="auto"/>
            <w:vAlign w:val="center"/>
          </w:tcPr>
          <w:p>
            <w:pPr>
              <w:widowControl/>
              <w:jc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万立方米</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0704000000</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rPr>
                <w:rFonts w:hint="eastAsia" w:ascii="宋体" w:hAnsi="宋体" w:eastAsia="宋体" w:cs="宋体"/>
                <w:color w:val="auto"/>
                <w:kern w:val="0"/>
                <w:sz w:val="18"/>
                <w:szCs w:val="18"/>
              </w:rPr>
            </w:pPr>
            <w:r>
              <w:rPr>
                <w:rFonts w:hint="eastAsia" w:ascii="宋体" w:hAnsi="宋体" w:eastAsia="宋体" w:cs="宋体"/>
                <w:color w:val="auto"/>
                <w:sz w:val="18"/>
                <w:szCs w:val="18"/>
              </w:rPr>
              <w:t xml:space="preserve">    页岩气</w:t>
            </w:r>
          </w:p>
        </w:tc>
        <w:tc>
          <w:tcPr>
            <w:tcW w:w="711" w:type="pct"/>
            <w:tcBorders>
              <w:top w:val="nil"/>
              <w:bottom w:val="nil"/>
            </w:tcBorders>
            <w:shd w:val="clear" w:color="auto" w:fill="auto"/>
            <w:vAlign w:val="center"/>
          </w:tcPr>
          <w:p>
            <w:pPr>
              <w:widowControl/>
              <w:jc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万立方米</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0702020100</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rPr>
                <w:rFonts w:hint="eastAsia" w:ascii="宋体" w:hAnsi="宋体" w:eastAsia="宋体" w:cs="宋体"/>
                <w:color w:val="auto"/>
                <w:kern w:val="0"/>
                <w:sz w:val="18"/>
                <w:szCs w:val="18"/>
              </w:rPr>
            </w:pPr>
            <w:r>
              <w:rPr>
                <w:rFonts w:hint="eastAsia" w:ascii="宋体" w:hAnsi="宋体" w:eastAsia="宋体" w:cs="宋体"/>
                <w:color w:val="auto"/>
                <w:sz w:val="18"/>
                <w:szCs w:val="18"/>
              </w:rPr>
              <w:t xml:space="preserve">    致密砂岩气</w:t>
            </w:r>
          </w:p>
        </w:tc>
        <w:tc>
          <w:tcPr>
            <w:tcW w:w="711" w:type="pct"/>
            <w:tcBorders>
              <w:top w:val="nil"/>
              <w:bottom w:val="nil"/>
            </w:tcBorders>
            <w:shd w:val="clear" w:color="auto" w:fill="auto"/>
            <w:vAlign w:val="center"/>
          </w:tcPr>
          <w:p>
            <w:pPr>
              <w:widowControl/>
              <w:jc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万立方米</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sz w:val="18"/>
                <w:szCs w:val="18"/>
              </w:rPr>
              <w:t>0702020200</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textAlignment w:val="center"/>
              <w:rPr>
                <w:rFonts w:hint="eastAsia" w:ascii="宋体" w:hAnsi="宋体" w:eastAsia="宋体" w:cs="宋体"/>
                <w:kern w:val="0"/>
                <w:sz w:val="18"/>
                <w:szCs w:val="18"/>
              </w:rPr>
            </w:pPr>
            <w:r>
              <w:rPr>
                <w:rFonts w:hint="eastAsia" w:ascii="宋体" w:hAnsi="宋体" w:eastAsia="宋体" w:cs="宋体"/>
                <w:kern w:val="0"/>
                <w:sz w:val="18"/>
                <w:szCs w:val="18"/>
              </w:rPr>
              <w:t>火力发电量</w:t>
            </w:r>
          </w:p>
        </w:tc>
        <w:tc>
          <w:tcPr>
            <w:tcW w:w="711" w:type="pct"/>
            <w:tcBorders>
              <w:top w:val="nil"/>
              <w:bottom w:val="nil"/>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万千瓦时</w:t>
            </w:r>
          </w:p>
        </w:tc>
        <w:tc>
          <w:tcPr>
            <w:tcW w:w="749" w:type="pct"/>
            <w:tcBorders>
              <w:top w:val="nil"/>
              <w:bottom w:val="nil"/>
            </w:tcBorders>
            <w:shd w:val="clear" w:color="auto" w:fill="auto"/>
            <w:vAlign w:val="center"/>
          </w:tcPr>
          <w:p>
            <w:pPr>
              <w:widowControl/>
              <w:jc w:val="center"/>
              <w:textAlignment w:val="center"/>
              <w:rPr>
                <w:rFonts w:hint="eastAsia" w:ascii="宋体" w:hAnsi="宋体" w:eastAsia="宋体" w:cs="宋体"/>
                <w:kern w:val="0"/>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"http://www.stats.gov.cn/zjtj/tjbz/tjypflml/2010/44/01/01/44010199.html" </w:instrText>
            </w:r>
            <w:r>
              <w:rPr>
                <w:rFonts w:hint="eastAsia" w:ascii="宋体" w:hAnsi="宋体" w:eastAsia="宋体" w:cs="宋体"/>
                <w:sz w:val="18"/>
                <w:szCs w:val="18"/>
              </w:rPr>
              <w:fldChar w:fldCharType="separate"/>
            </w:r>
            <w:r>
              <w:rPr>
                <w:rFonts w:hint="eastAsia" w:ascii="宋体" w:hAnsi="宋体" w:eastAsia="宋体" w:cs="宋体"/>
                <w:kern w:val="0"/>
                <w:sz w:val="18"/>
                <w:szCs w:val="18"/>
              </w:rPr>
              <w:t>44010</w:t>
            </w:r>
            <w:bookmarkStart w:id="4" w:name="_GoBack"/>
            <w:bookmarkEnd w:id="4"/>
            <w:r>
              <w:rPr>
                <w:rFonts w:hint="eastAsia" w:ascii="宋体" w:hAnsi="宋体" w:eastAsia="宋体" w:cs="宋体"/>
                <w:kern w:val="0"/>
                <w:sz w:val="18"/>
                <w:szCs w:val="18"/>
              </w:rPr>
              <w:t>10100</w:t>
            </w:r>
            <w:r>
              <w:rPr>
                <w:rFonts w:hint="eastAsia" w:ascii="宋体" w:hAnsi="宋体" w:eastAsia="宋体" w:cs="宋体"/>
                <w:kern w:val="0"/>
                <w:sz w:val="18"/>
                <w:szCs w:val="18"/>
              </w:rPr>
              <w:fldChar w:fldCharType="end"/>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spacing w:line="200" w:lineRule="exact"/>
              <w:jc w:val="left"/>
              <w:rPr>
                <w:rFonts w:hint="eastAsia" w:ascii="宋体" w:hAnsi="宋体" w:eastAsia="宋体" w:cs="宋体"/>
                <w:kern w:val="0"/>
                <w:sz w:val="18"/>
                <w:szCs w:val="18"/>
              </w:rPr>
            </w:pPr>
            <w:r>
              <w:rPr>
                <w:rFonts w:hint="eastAsia" w:ascii="宋体" w:hAnsi="宋体" w:eastAsia="宋体" w:cs="宋体"/>
                <w:sz w:val="18"/>
                <w:szCs w:val="18"/>
              </w:rPr>
              <w:t xml:space="preserve">  燃煤发电量</w:t>
            </w:r>
          </w:p>
        </w:tc>
        <w:tc>
          <w:tcPr>
            <w:tcW w:w="711" w:type="pct"/>
            <w:tcBorders>
              <w:top w:val="nil"/>
              <w:bottom w:val="nil"/>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sz w:val="18"/>
                <w:szCs w:val="18"/>
              </w:rPr>
              <w:t>万千瓦时</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sz w:val="18"/>
                <w:szCs w:val="18"/>
              </w:rPr>
            </w:pPr>
            <w:r>
              <w:rPr>
                <w:rFonts w:hint="eastAsia" w:ascii="宋体" w:hAnsi="宋体" w:eastAsia="宋体" w:cs="宋体"/>
                <w:sz w:val="18"/>
                <w:szCs w:val="18"/>
              </w:rPr>
              <w:t>4401010101</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spacing w:line="200" w:lineRule="exact"/>
              <w:jc w:val="left"/>
              <w:rPr>
                <w:rFonts w:hint="eastAsia" w:ascii="宋体" w:hAnsi="宋体" w:eastAsia="宋体" w:cs="宋体"/>
                <w:kern w:val="0"/>
                <w:sz w:val="18"/>
                <w:szCs w:val="18"/>
              </w:rPr>
            </w:pPr>
            <w:r>
              <w:rPr>
                <w:rFonts w:hint="eastAsia" w:ascii="宋体" w:hAnsi="宋体" w:eastAsia="宋体" w:cs="宋体"/>
                <w:sz w:val="18"/>
                <w:szCs w:val="18"/>
              </w:rPr>
              <w:t xml:space="preserve">    其中：煤矸石发电量</w:t>
            </w:r>
          </w:p>
        </w:tc>
        <w:tc>
          <w:tcPr>
            <w:tcW w:w="711" w:type="pct"/>
            <w:tcBorders>
              <w:top w:val="nil"/>
              <w:bottom w:val="nil"/>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sz w:val="18"/>
                <w:szCs w:val="18"/>
              </w:rPr>
              <w:t>万千瓦时</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sz w:val="18"/>
                <w:szCs w:val="18"/>
              </w:rPr>
            </w:pPr>
            <w:r>
              <w:rPr>
                <w:rFonts w:hint="eastAsia" w:ascii="宋体" w:hAnsi="宋体" w:eastAsia="宋体" w:cs="宋体"/>
                <w:sz w:val="18"/>
                <w:szCs w:val="18"/>
              </w:rPr>
              <w:t>4401010105</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spacing w:line="200" w:lineRule="exact"/>
              <w:jc w:val="left"/>
              <w:rPr>
                <w:rFonts w:hint="eastAsia" w:ascii="宋体" w:hAnsi="宋体" w:eastAsia="宋体" w:cs="宋体"/>
                <w:kern w:val="0"/>
                <w:sz w:val="18"/>
                <w:szCs w:val="18"/>
              </w:rPr>
            </w:pPr>
            <w:r>
              <w:rPr>
                <w:rFonts w:hint="eastAsia" w:ascii="宋体" w:hAnsi="宋体" w:eastAsia="宋体" w:cs="宋体"/>
                <w:sz w:val="18"/>
                <w:szCs w:val="18"/>
              </w:rPr>
              <w:t xml:space="preserve">  燃油发电量</w:t>
            </w:r>
          </w:p>
        </w:tc>
        <w:tc>
          <w:tcPr>
            <w:tcW w:w="711" w:type="pct"/>
            <w:tcBorders>
              <w:top w:val="nil"/>
              <w:bottom w:val="nil"/>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sz w:val="18"/>
                <w:szCs w:val="18"/>
              </w:rPr>
              <w:t>万千瓦时</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sz w:val="18"/>
                <w:szCs w:val="18"/>
              </w:rPr>
            </w:pPr>
            <w:r>
              <w:rPr>
                <w:rFonts w:hint="eastAsia" w:ascii="宋体" w:hAnsi="宋体" w:eastAsia="宋体" w:cs="宋体"/>
                <w:sz w:val="18"/>
                <w:szCs w:val="18"/>
              </w:rPr>
              <w:t>4401010102</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spacing w:line="200" w:lineRule="exact"/>
              <w:jc w:val="left"/>
              <w:rPr>
                <w:rFonts w:hint="eastAsia" w:ascii="宋体" w:hAnsi="宋体" w:eastAsia="宋体" w:cs="宋体"/>
                <w:kern w:val="0"/>
                <w:sz w:val="18"/>
                <w:szCs w:val="18"/>
              </w:rPr>
            </w:pPr>
            <w:r>
              <w:rPr>
                <w:rFonts w:hint="eastAsia" w:ascii="宋体" w:hAnsi="宋体" w:eastAsia="宋体" w:cs="宋体"/>
                <w:sz w:val="18"/>
                <w:szCs w:val="18"/>
              </w:rPr>
              <w:t xml:space="preserve">  燃气发电量</w:t>
            </w:r>
          </w:p>
        </w:tc>
        <w:tc>
          <w:tcPr>
            <w:tcW w:w="711" w:type="pct"/>
            <w:tcBorders>
              <w:top w:val="nil"/>
              <w:bottom w:val="nil"/>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sz w:val="18"/>
                <w:szCs w:val="18"/>
              </w:rPr>
              <w:t>万千瓦时</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sz w:val="18"/>
                <w:szCs w:val="18"/>
              </w:rPr>
            </w:pPr>
            <w:r>
              <w:rPr>
                <w:rFonts w:hint="eastAsia" w:ascii="宋体" w:hAnsi="宋体" w:eastAsia="宋体" w:cs="宋体"/>
                <w:sz w:val="18"/>
                <w:szCs w:val="18"/>
              </w:rPr>
              <w:t>4401010103</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spacing w:line="200" w:lineRule="exact"/>
              <w:jc w:val="left"/>
              <w:rPr>
                <w:rFonts w:hint="eastAsia" w:ascii="宋体" w:hAnsi="宋体" w:eastAsia="宋体" w:cs="宋体"/>
                <w:kern w:val="0"/>
                <w:sz w:val="18"/>
                <w:szCs w:val="18"/>
              </w:rPr>
            </w:pPr>
            <w:r>
              <w:rPr>
                <w:rFonts w:hint="eastAsia" w:ascii="宋体" w:hAnsi="宋体" w:eastAsia="宋体" w:cs="宋体"/>
                <w:sz w:val="18"/>
                <w:szCs w:val="18"/>
              </w:rPr>
              <w:t xml:space="preserve">    其中：煤层气发电量  </w:t>
            </w:r>
          </w:p>
        </w:tc>
        <w:tc>
          <w:tcPr>
            <w:tcW w:w="711" w:type="pct"/>
            <w:tcBorders>
              <w:top w:val="nil"/>
              <w:bottom w:val="nil"/>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sz w:val="18"/>
                <w:szCs w:val="18"/>
              </w:rPr>
              <w:t>万千瓦时</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sz w:val="18"/>
                <w:szCs w:val="18"/>
              </w:rPr>
            </w:pPr>
            <w:r>
              <w:rPr>
                <w:rFonts w:hint="eastAsia" w:ascii="宋体" w:hAnsi="宋体" w:eastAsia="宋体" w:cs="宋体"/>
                <w:sz w:val="18"/>
                <w:szCs w:val="18"/>
              </w:rPr>
              <w:t>4401010106</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spacing w:line="200" w:lineRule="exact"/>
              <w:jc w:val="left"/>
              <w:rPr>
                <w:rFonts w:hint="eastAsia" w:ascii="宋体" w:hAnsi="宋体" w:eastAsia="宋体" w:cs="宋体"/>
                <w:kern w:val="0"/>
                <w:sz w:val="18"/>
                <w:szCs w:val="18"/>
              </w:rPr>
            </w:pPr>
            <w:r>
              <w:rPr>
                <w:rFonts w:hint="eastAsia" w:ascii="宋体" w:hAnsi="宋体" w:eastAsia="宋体" w:cs="宋体"/>
                <w:sz w:val="18"/>
                <w:szCs w:val="18"/>
              </w:rPr>
              <w:t xml:space="preserve">  </w:t>
            </w:r>
            <w:r>
              <w:rPr>
                <w:rFonts w:hint="eastAsia" w:ascii="宋体" w:hAnsi="宋体" w:eastAsia="宋体" w:cs="宋体"/>
                <w:spacing w:val="-10"/>
                <w:sz w:val="18"/>
                <w:szCs w:val="18"/>
              </w:rPr>
              <w:t>余热、余压、余气发电量</w:t>
            </w:r>
          </w:p>
        </w:tc>
        <w:tc>
          <w:tcPr>
            <w:tcW w:w="711" w:type="pct"/>
            <w:tcBorders>
              <w:top w:val="nil"/>
              <w:bottom w:val="nil"/>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sz w:val="18"/>
                <w:szCs w:val="18"/>
              </w:rPr>
              <w:t>万千瓦时</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sz w:val="18"/>
                <w:szCs w:val="18"/>
              </w:rPr>
            </w:pPr>
            <w:r>
              <w:rPr>
                <w:rFonts w:hint="eastAsia" w:ascii="宋体" w:hAnsi="宋体" w:eastAsia="宋体" w:cs="宋体"/>
                <w:sz w:val="18"/>
                <w:szCs w:val="18"/>
              </w:rPr>
              <w:t>4401010104</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spacing w:line="200" w:lineRule="exact"/>
              <w:jc w:val="left"/>
              <w:rPr>
                <w:rFonts w:hint="eastAsia" w:ascii="宋体" w:hAnsi="宋体" w:eastAsia="宋体" w:cs="宋体"/>
                <w:kern w:val="0"/>
                <w:sz w:val="18"/>
                <w:szCs w:val="18"/>
              </w:rPr>
            </w:pPr>
            <w:r>
              <w:rPr>
                <w:rFonts w:hint="eastAsia" w:ascii="宋体" w:hAnsi="宋体" w:eastAsia="宋体" w:cs="宋体"/>
                <w:sz w:val="18"/>
                <w:szCs w:val="18"/>
              </w:rPr>
              <w:t xml:space="preserve">  生物质发电量</w:t>
            </w:r>
          </w:p>
        </w:tc>
        <w:tc>
          <w:tcPr>
            <w:tcW w:w="711" w:type="pct"/>
            <w:tcBorders>
              <w:top w:val="nil"/>
              <w:bottom w:val="nil"/>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sz w:val="18"/>
                <w:szCs w:val="18"/>
              </w:rPr>
              <w:t>万千瓦时</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sz w:val="18"/>
                <w:szCs w:val="18"/>
              </w:rPr>
            </w:pPr>
            <w:r>
              <w:rPr>
                <w:rFonts w:hint="eastAsia" w:ascii="宋体" w:hAnsi="宋体" w:eastAsia="宋体" w:cs="宋体"/>
                <w:sz w:val="18"/>
                <w:szCs w:val="18"/>
              </w:rPr>
              <w:t>4401011000</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nil"/>
            </w:tcBorders>
            <w:shd w:val="clear" w:color="auto" w:fill="auto"/>
            <w:vAlign w:val="center"/>
          </w:tcPr>
          <w:p>
            <w:pPr>
              <w:widowControl/>
              <w:spacing w:line="200" w:lineRule="exact"/>
              <w:jc w:val="left"/>
              <w:rPr>
                <w:rFonts w:hint="eastAsia" w:ascii="宋体" w:hAnsi="宋体" w:eastAsia="宋体" w:cs="宋体"/>
                <w:kern w:val="0"/>
                <w:sz w:val="18"/>
                <w:szCs w:val="18"/>
              </w:rPr>
            </w:pPr>
            <w:r>
              <w:rPr>
                <w:rFonts w:hint="eastAsia" w:ascii="宋体" w:hAnsi="宋体" w:eastAsia="宋体" w:cs="宋体"/>
                <w:sz w:val="18"/>
                <w:szCs w:val="18"/>
              </w:rPr>
              <w:t xml:space="preserve">    其中：沼气发电量</w:t>
            </w:r>
          </w:p>
        </w:tc>
        <w:tc>
          <w:tcPr>
            <w:tcW w:w="711" w:type="pct"/>
            <w:tcBorders>
              <w:top w:val="nil"/>
              <w:bottom w:val="nil"/>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sz w:val="18"/>
                <w:szCs w:val="18"/>
              </w:rPr>
              <w:t>万千瓦时</w:t>
            </w:r>
          </w:p>
        </w:tc>
        <w:tc>
          <w:tcPr>
            <w:tcW w:w="749" w:type="pct"/>
            <w:tcBorders>
              <w:top w:val="nil"/>
              <w:bottom w:val="nil"/>
            </w:tcBorders>
            <w:shd w:val="clear" w:color="auto" w:fill="auto"/>
            <w:vAlign w:val="center"/>
          </w:tcPr>
          <w:p>
            <w:pPr>
              <w:jc w:val="center"/>
              <w:textAlignment w:val="center"/>
              <w:rPr>
                <w:rFonts w:hint="eastAsia" w:ascii="宋体" w:hAnsi="宋体" w:eastAsia="宋体" w:cs="宋体"/>
                <w:sz w:val="18"/>
                <w:szCs w:val="18"/>
              </w:rPr>
            </w:pPr>
            <w:r>
              <w:rPr>
                <w:rFonts w:hint="eastAsia" w:ascii="宋体" w:hAnsi="宋体" w:eastAsia="宋体" w:cs="宋体"/>
                <w:sz w:val="18"/>
                <w:szCs w:val="18"/>
              </w:rPr>
              <w:t>4401010700</w:t>
            </w:r>
          </w:p>
        </w:tc>
        <w:tc>
          <w:tcPr>
            <w:tcW w:w="2135" w:type="pct"/>
            <w:gridSpan w:val="2"/>
            <w:vMerge w:val="continue"/>
            <w:shd w:val="clear" w:color="auto" w:fill="auto"/>
            <w:vAlign w:val="center"/>
          </w:tcPr>
          <w:p>
            <w:pPr>
              <w:widowControl/>
              <w:jc w:val="center"/>
              <w:rPr>
                <w:rFonts w:eastAsia="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403" w:type="pct"/>
            <w:tcBorders>
              <w:top w:val="nil"/>
              <w:bottom w:val="single" w:color="auto" w:sz="8" w:space="0"/>
            </w:tcBorders>
            <w:shd w:val="clear" w:color="auto" w:fill="auto"/>
            <w:vAlign w:val="center"/>
          </w:tcPr>
          <w:p>
            <w:pPr>
              <w:widowControl/>
              <w:spacing w:line="200" w:lineRule="exact"/>
              <w:jc w:val="left"/>
              <w:rPr>
                <w:rFonts w:hint="eastAsia" w:ascii="宋体" w:hAnsi="宋体" w:eastAsia="宋体" w:cs="宋体"/>
                <w:kern w:val="0"/>
                <w:sz w:val="18"/>
                <w:szCs w:val="18"/>
              </w:rPr>
            </w:pPr>
            <w:r>
              <w:rPr>
                <w:rFonts w:hint="eastAsia" w:ascii="宋体" w:hAnsi="宋体" w:eastAsia="宋体" w:cs="宋体"/>
                <w:sz w:val="18"/>
                <w:szCs w:val="18"/>
              </w:rPr>
              <w:t xml:space="preserve">          </w:t>
            </w:r>
            <w:r>
              <w:rPr>
                <w:rFonts w:hint="eastAsia" w:ascii="宋体" w:hAnsi="宋体" w:eastAsia="宋体" w:cs="宋体"/>
                <w:w w:val="100"/>
                <w:sz w:val="18"/>
                <w:szCs w:val="18"/>
              </w:rPr>
              <w:t>垃圾焚烧发电量</w:t>
            </w:r>
          </w:p>
        </w:tc>
        <w:tc>
          <w:tcPr>
            <w:tcW w:w="711" w:type="pct"/>
            <w:tcBorders>
              <w:top w:val="nil"/>
              <w:bottom w:val="single" w:color="auto" w:sz="8"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sz w:val="18"/>
                <w:szCs w:val="18"/>
              </w:rPr>
              <w:t>万千瓦时</w:t>
            </w:r>
          </w:p>
        </w:tc>
        <w:tc>
          <w:tcPr>
            <w:tcW w:w="749" w:type="pct"/>
            <w:tcBorders>
              <w:top w:val="nil"/>
              <w:bottom w:val="single" w:color="auto" w:sz="8" w:space="0"/>
            </w:tcBorders>
            <w:shd w:val="clear" w:color="auto" w:fill="auto"/>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4401010900</w:t>
            </w:r>
          </w:p>
        </w:tc>
        <w:tc>
          <w:tcPr>
            <w:tcW w:w="2135" w:type="pct"/>
            <w:gridSpan w:val="2"/>
            <w:vMerge w:val="continue"/>
            <w:tcBorders>
              <w:bottom w:val="single" w:color="auto" w:sz="8" w:space="0"/>
            </w:tcBorders>
            <w:shd w:val="clear" w:color="auto" w:fill="auto"/>
            <w:vAlign w:val="center"/>
          </w:tcPr>
          <w:p>
            <w:pPr>
              <w:widowControl/>
              <w:jc w:val="center"/>
              <w:rPr>
                <w:rFonts w:eastAsia="宋体"/>
                <w:kern w:val="0"/>
                <w:sz w:val="18"/>
                <w:szCs w:val="18"/>
              </w:rPr>
            </w:pPr>
          </w:p>
        </w:tc>
      </w:tr>
    </w:tbl>
    <w:p>
      <w:pPr>
        <w:spacing w:line="280" w:lineRule="exact"/>
        <w:ind w:right="-38"/>
        <w:rPr>
          <w:rFonts w:eastAsia="宋体"/>
          <w:sz w:val="18"/>
        </w:rPr>
      </w:pPr>
      <w:r>
        <w:rPr>
          <w:rFonts w:eastAsia="宋体"/>
          <w:sz w:val="18"/>
        </w:rPr>
        <w:t>单位负责人：             统计负责人：         填表人：          联系电话：       报出日期：２０　年　月　日</w:t>
      </w:r>
    </w:p>
    <w:p>
      <w:pPr>
        <w:spacing w:before="48" w:line="260" w:lineRule="exact"/>
        <w:ind w:left="1530" w:hanging="1530" w:hangingChars="850"/>
        <w:textAlignment w:val="center"/>
        <w:rPr>
          <w:rFonts w:asciiTheme="minorEastAsia" w:hAnsiTheme="minorEastAsia" w:eastAsiaTheme="minorEastAsia" w:cstheme="minorEastAsia"/>
          <w:sz w:val="18"/>
          <w:szCs w:val="18"/>
        </w:rPr>
      </w:pPr>
    </w:p>
    <w:p>
      <w:pPr>
        <w:adjustRightInd w:val="0"/>
        <w:spacing w:before="48" w:line="260" w:lineRule="exact"/>
        <w:ind w:left="1620" w:hanging="1620" w:hangingChars="900"/>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说明：1.报送单位：辖区内有原煤、天然气和火电生产的规模以下工业、资质外的建筑业、限额以下批发和零售业、限额以下住宿和餐饮业和规模以下服务业等重点法人单位。</w:t>
      </w:r>
    </w:p>
    <w:p>
      <w:pPr>
        <w:keepNext w:val="0"/>
        <w:keepLines w:val="0"/>
        <w:pageBreakBefore w:val="0"/>
        <w:widowControl w:val="0"/>
        <w:kinsoku/>
        <w:wordWrap/>
        <w:overflowPunct/>
        <w:topLinePunct w:val="0"/>
        <w:autoSpaceDE/>
        <w:autoSpaceDN/>
        <w:bidi w:val="0"/>
        <w:adjustRightInd w:val="0"/>
        <w:snapToGrid/>
        <w:spacing w:line="260" w:lineRule="exact"/>
        <w:ind w:left="2163" w:leftChars="250" w:hanging="1638" w:hangingChars="910"/>
        <w:jc w:val="left"/>
        <w:textAlignment w:val="auto"/>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2.报送日期及方式：调查单位次年1月12日12:00前网上填报；</w:t>
      </w:r>
      <w:r>
        <w:rPr>
          <w:rFonts w:hint="eastAsia" w:asciiTheme="minorEastAsia" w:hAnsiTheme="minorEastAsia" w:eastAsiaTheme="minorEastAsia" w:cstheme="minorEastAsia"/>
          <w:kern w:val="0"/>
          <w:sz w:val="18"/>
          <w:szCs w:val="18"/>
        </w:rPr>
        <w:t>各级统计机构在规定时间完成数据的审核、验收和上报。</w:t>
      </w:r>
    </w:p>
    <w:p>
      <w:pPr>
        <w:adjustRightInd w:val="0"/>
        <w:spacing w:line="260" w:lineRule="exact"/>
        <w:ind w:left="525" w:leftChars="250"/>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3.本表为半年报，上半年免报，下半年报送1-12月份累计数据。</w:t>
      </w:r>
    </w:p>
    <w:p>
      <w:pPr>
        <w:spacing w:line="100" w:lineRule="exact"/>
        <w:ind w:right="-38" w:rightChars="-18"/>
        <w:rPr>
          <w:sz w:val="10"/>
          <w:szCs w:val="10"/>
        </w:rPr>
      </w:pPr>
      <w:r>
        <w:rPr>
          <w:sz w:val="18"/>
        </w:rPr>
        <w:br w:type="page"/>
      </w:r>
    </w:p>
    <w:p>
      <w:pPr>
        <w:spacing w:before="240" w:beforeLines="100"/>
        <w:jc w:val="center"/>
        <w:rPr>
          <w:rFonts w:ascii="黑体" w:hAnsi="黑体" w:eastAsia="黑体" w:cs="黑体"/>
          <w:sz w:val="28"/>
          <w:szCs w:val="28"/>
        </w:rPr>
      </w:pPr>
      <w:r>
        <w:rPr>
          <w:rFonts w:hint="eastAsia" w:ascii="黑体" w:hAnsi="黑体" w:eastAsia="黑体" w:cs="黑体"/>
          <w:sz w:val="28"/>
          <w:szCs w:val="28"/>
        </w:rPr>
        <w:t>（</w:t>
      </w:r>
      <w:r>
        <w:rPr>
          <w:rFonts w:hint="eastAsia" w:ascii="黑体" w:hAnsi="黑体" w:eastAsia="黑体" w:cs="黑体"/>
          <w:sz w:val="28"/>
          <w:szCs w:val="28"/>
          <w:lang w:eastAsia="zh-CN"/>
        </w:rPr>
        <w:t>二</w:t>
      </w:r>
      <w:r>
        <w:rPr>
          <w:rFonts w:hint="eastAsia" w:ascii="黑体" w:hAnsi="黑体" w:eastAsia="黑体" w:cs="黑体"/>
          <w:sz w:val="28"/>
          <w:szCs w:val="28"/>
        </w:rPr>
        <w:t>） 综合年报表式</w:t>
      </w:r>
    </w:p>
    <w:p>
      <w:pPr>
        <w:pStyle w:val="7"/>
      </w:pPr>
    </w:p>
    <w:p>
      <w:pPr>
        <w:spacing w:line="440" w:lineRule="exact"/>
        <w:jc w:val="center"/>
        <w:rPr>
          <w:rFonts w:ascii="宋体" w:hAnsi="宋体"/>
          <w:b/>
          <w:sz w:val="32"/>
          <w:szCs w:val="32"/>
        </w:rPr>
      </w:pPr>
      <w:r>
        <w:rPr>
          <w:rFonts w:hint="eastAsia" w:ascii="宋体" w:hAnsi="宋体"/>
          <w:b/>
          <w:sz w:val="32"/>
          <w:szCs w:val="32"/>
        </w:rPr>
        <w:t>能源平衡表(实物量)</w:t>
      </w:r>
    </w:p>
    <w:tbl>
      <w:tblPr>
        <w:tblStyle w:val="21"/>
        <w:tblW w:w="9402" w:type="dxa"/>
        <w:jc w:val="center"/>
        <w:tblLayout w:type="autofit"/>
        <w:tblCellMar>
          <w:top w:w="0" w:type="dxa"/>
          <w:left w:w="0" w:type="dxa"/>
          <w:bottom w:w="0" w:type="dxa"/>
          <w:right w:w="0" w:type="dxa"/>
        </w:tblCellMar>
      </w:tblPr>
      <w:tblGrid>
        <w:gridCol w:w="3355"/>
        <w:gridCol w:w="840"/>
        <w:gridCol w:w="2458"/>
        <w:gridCol w:w="850"/>
        <w:gridCol w:w="1899"/>
      </w:tblGrid>
      <w:tr>
        <w:tblPrEx>
          <w:tblCellMar>
            <w:top w:w="0" w:type="dxa"/>
            <w:left w:w="0" w:type="dxa"/>
            <w:bottom w:w="0" w:type="dxa"/>
            <w:right w:w="0" w:type="dxa"/>
          </w:tblCellMar>
        </w:tblPrEx>
        <w:trPr>
          <w:jc w:val="center"/>
        </w:trPr>
        <w:tc>
          <w:tcPr>
            <w:tcW w:w="3355" w:type="dxa"/>
          </w:tcPr>
          <w:p>
            <w:pPr>
              <w:spacing w:line="260" w:lineRule="exact"/>
              <w:rPr>
                <w:sz w:val="18"/>
                <w:szCs w:val="18"/>
              </w:rPr>
            </w:pPr>
          </w:p>
        </w:tc>
        <w:tc>
          <w:tcPr>
            <w:tcW w:w="840" w:type="dxa"/>
          </w:tcPr>
          <w:p>
            <w:pPr>
              <w:spacing w:line="260" w:lineRule="exact"/>
              <w:rPr>
                <w:sz w:val="18"/>
                <w:szCs w:val="18"/>
              </w:rPr>
            </w:pPr>
          </w:p>
        </w:tc>
        <w:tc>
          <w:tcPr>
            <w:tcW w:w="2458" w:type="dxa"/>
          </w:tcPr>
          <w:p>
            <w:pPr>
              <w:spacing w:line="260" w:lineRule="exact"/>
              <w:rPr>
                <w:sz w:val="18"/>
                <w:szCs w:val="18"/>
              </w:rPr>
            </w:pPr>
            <w:r>
              <w:rPr>
                <w:sz w:val="18"/>
                <w:szCs w:val="18"/>
              </w:rPr>
              <w:t>　　　　　　　　　　　　　</w:t>
            </w:r>
          </w:p>
        </w:tc>
        <w:tc>
          <w:tcPr>
            <w:tcW w:w="850" w:type="dxa"/>
            <w:tcMar>
              <w:left w:w="0" w:type="dxa"/>
              <w:right w:w="0" w:type="dxa"/>
            </w:tcMar>
          </w:tcPr>
          <w:p>
            <w:pPr>
              <w:spacing w:line="260" w:lineRule="exact"/>
              <w:rPr>
                <w:sz w:val="18"/>
                <w:szCs w:val="18"/>
              </w:rPr>
            </w:pPr>
            <w:r>
              <w:rPr>
                <w:sz w:val="18"/>
                <w:szCs w:val="18"/>
              </w:rPr>
              <w:t>表    号：</w:t>
            </w:r>
          </w:p>
        </w:tc>
        <w:tc>
          <w:tcPr>
            <w:tcW w:w="1899" w:type="dxa"/>
            <w:vAlign w:val="center"/>
          </w:tcPr>
          <w:p>
            <w:pPr>
              <w:spacing w:line="260" w:lineRule="exact"/>
              <w:jc w:val="distribute"/>
              <w:rPr>
                <w:sz w:val="18"/>
                <w:szCs w:val="18"/>
              </w:rPr>
            </w:pPr>
            <w:r>
              <w:rPr>
                <w:sz w:val="18"/>
                <w:szCs w:val="18"/>
              </w:rPr>
              <w:t>Ｐ３０３－１表</w:t>
            </w:r>
          </w:p>
        </w:tc>
      </w:tr>
      <w:tr>
        <w:tblPrEx>
          <w:tblCellMar>
            <w:top w:w="0" w:type="dxa"/>
            <w:left w:w="0" w:type="dxa"/>
            <w:bottom w:w="0" w:type="dxa"/>
            <w:right w:w="0" w:type="dxa"/>
          </w:tblCellMar>
        </w:tblPrEx>
        <w:trPr>
          <w:jc w:val="center"/>
        </w:trPr>
        <w:tc>
          <w:tcPr>
            <w:tcW w:w="3355" w:type="dxa"/>
          </w:tcPr>
          <w:p>
            <w:pPr>
              <w:spacing w:line="260" w:lineRule="exact"/>
              <w:rPr>
                <w:sz w:val="18"/>
                <w:szCs w:val="18"/>
              </w:rPr>
            </w:pPr>
          </w:p>
        </w:tc>
        <w:tc>
          <w:tcPr>
            <w:tcW w:w="840" w:type="dxa"/>
          </w:tcPr>
          <w:p>
            <w:pPr>
              <w:spacing w:line="260" w:lineRule="exact"/>
              <w:rPr>
                <w:sz w:val="18"/>
                <w:szCs w:val="18"/>
              </w:rPr>
            </w:pPr>
          </w:p>
        </w:tc>
        <w:tc>
          <w:tcPr>
            <w:tcW w:w="2458" w:type="dxa"/>
          </w:tcPr>
          <w:p>
            <w:pPr>
              <w:spacing w:line="260" w:lineRule="exact"/>
              <w:rPr>
                <w:sz w:val="18"/>
                <w:szCs w:val="18"/>
              </w:rPr>
            </w:pPr>
          </w:p>
        </w:tc>
        <w:tc>
          <w:tcPr>
            <w:tcW w:w="850" w:type="dxa"/>
            <w:tcMar>
              <w:left w:w="0" w:type="dxa"/>
              <w:right w:w="0" w:type="dxa"/>
            </w:tcMar>
            <w:vAlign w:val="center"/>
          </w:tcPr>
          <w:p>
            <w:pPr>
              <w:spacing w:line="260" w:lineRule="exact"/>
              <w:rPr>
                <w:sz w:val="18"/>
                <w:szCs w:val="18"/>
              </w:rPr>
            </w:pPr>
            <w:r>
              <w:rPr>
                <w:sz w:val="18"/>
                <w:szCs w:val="18"/>
              </w:rPr>
              <w:t>制定机关：</w:t>
            </w:r>
          </w:p>
        </w:tc>
        <w:tc>
          <w:tcPr>
            <w:tcW w:w="1899" w:type="dxa"/>
            <w:vAlign w:val="center"/>
          </w:tcPr>
          <w:p>
            <w:pPr>
              <w:spacing w:line="260" w:lineRule="exact"/>
              <w:jc w:val="distribute"/>
              <w:rPr>
                <w:sz w:val="18"/>
                <w:szCs w:val="18"/>
              </w:rPr>
            </w:pPr>
            <w:r>
              <w:rPr>
                <w:sz w:val="18"/>
                <w:szCs w:val="18"/>
              </w:rPr>
              <w:t>国 家 统 计 局</w:t>
            </w:r>
          </w:p>
        </w:tc>
      </w:tr>
      <w:tr>
        <w:trPr>
          <w:jc w:val="center"/>
        </w:trPr>
        <w:tc>
          <w:tcPr>
            <w:tcW w:w="3355" w:type="dxa"/>
          </w:tcPr>
          <w:p>
            <w:pPr>
              <w:spacing w:line="260" w:lineRule="exact"/>
              <w:jc w:val="left"/>
              <w:rPr>
                <w:sz w:val="18"/>
                <w:szCs w:val="18"/>
              </w:rPr>
            </w:pPr>
          </w:p>
        </w:tc>
        <w:tc>
          <w:tcPr>
            <w:tcW w:w="840" w:type="dxa"/>
          </w:tcPr>
          <w:p>
            <w:pPr>
              <w:spacing w:line="260" w:lineRule="exact"/>
              <w:rPr>
                <w:sz w:val="18"/>
                <w:szCs w:val="18"/>
              </w:rPr>
            </w:pPr>
          </w:p>
        </w:tc>
        <w:tc>
          <w:tcPr>
            <w:tcW w:w="2458" w:type="dxa"/>
          </w:tcPr>
          <w:p>
            <w:pPr>
              <w:spacing w:line="260" w:lineRule="exact"/>
              <w:rPr>
                <w:sz w:val="18"/>
                <w:szCs w:val="18"/>
              </w:rPr>
            </w:pPr>
          </w:p>
        </w:tc>
        <w:tc>
          <w:tcPr>
            <w:tcW w:w="850" w:type="dxa"/>
            <w:tcMar>
              <w:left w:w="0" w:type="dxa"/>
              <w:right w:w="0" w:type="dxa"/>
            </w:tcMar>
            <w:vAlign w:val="center"/>
          </w:tcPr>
          <w:p>
            <w:pPr>
              <w:spacing w:line="260" w:lineRule="exact"/>
              <w:rPr>
                <w:sz w:val="18"/>
                <w:szCs w:val="18"/>
              </w:rPr>
            </w:pPr>
            <w:r>
              <w:rPr>
                <w:sz w:val="18"/>
                <w:szCs w:val="18"/>
              </w:rPr>
              <w:t>文    号：</w:t>
            </w:r>
          </w:p>
        </w:tc>
        <w:tc>
          <w:tcPr>
            <w:tcW w:w="1899" w:type="dxa"/>
            <w:vAlign w:val="center"/>
          </w:tcPr>
          <w:p>
            <w:pPr>
              <w:spacing w:line="260" w:lineRule="exact"/>
              <w:jc w:val="distribute"/>
              <w:rPr>
                <w:color w:val="auto"/>
                <w:sz w:val="18"/>
                <w:szCs w:val="18"/>
              </w:rPr>
            </w:pPr>
            <w:r>
              <w:rPr>
                <w:rFonts w:hint="eastAsia" w:ascii="宋体" w:hAnsi="宋体"/>
                <w:color w:val="auto"/>
                <w:sz w:val="18"/>
                <w:szCs w:val="18"/>
              </w:rPr>
              <w:t>国统字〔202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color w:val="auto"/>
                <w:spacing w:val="-16"/>
                <w:sz w:val="18"/>
                <w:szCs w:val="18"/>
              </w:rPr>
              <w:t>号</w:t>
            </w:r>
          </w:p>
        </w:tc>
      </w:tr>
      <w:tr>
        <w:tblPrEx>
          <w:tblCellMar>
            <w:top w:w="0" w:type="dxa"/>
            <w:left w:w="0" w:type="dxa"/>
            <w:bottom w:w="0" w:type="dxa"/>
            <w:right w:w="0" w:type="dxa"/>
          </w:tblCellMar>
        </w:tblPrEx>
        <w:trPr>
          <w:jc w:val="center"/>
        </w:trPr>
        <w:tc>
          <w:tcPr>
            <w:tcW w:w="3355" w:type="dxa"/>
          </w:tcPr>
          <w:p>
            <w:pPr>
              <w:spacing w:line="260" w:lineRule="exact"/>
              <w:rPr>
                <w:sz w:val="18"/>
                <w:szCs w:val="18"/>
              </w:rPr>
            </w:pPr>
            <w:r>
              <w:rPr>
                <w:sz w:val="18"/>
                <w:szCs w:val="18"/>
              </w:rPr>
              <w:t>综合机关名称：</w:t>
            </w:r>
          </w:p>
        </w:tc>
        <w:tc>
          <w:tcPr>
            <w:tcW w:w="840" w:type="dxa"/>
          </w:tcPr>
          <w:p>
            <w:pPr>
              <w:spacing w:line="260" w:lineRule="exact"/>
              <w:rPr>
                <w:sz w:val="18"/>
                <w:szCs w:val="18"/>
              </w:rPr>
            </w:pPr>
          </w:p>
        </w:tc>
        <w:tc>
          <w:tcPr>
            <w:tcW w:w="2458" w:type="dxa"/>
          </w:tcPr>
          <w:p>
            <w:pPr>
              <w:spacing w:line="260" w:lineRule="exact"/>
              <w:rPr>
                <w:sz w:val="18"/>
                <w:szCs w:val="18"/>
              </w:rPr>
            </w:pPr>
            <w:r>
              <w:rPr>
                <w:sz w:val="18"/>
                <w:szCs w:val="18"/>
              </w:rPr>
              <w:t>２０　　年　　　　　　　　　</w:t>
            </w:r>
          </w:p>
        </w:tc>
        <w:tc>
          <w:tcPr>
            <w:tcW w:w="850" w:type="dxa"/>
            <w:tcMar>
              <w:left w:w="0" w:type="dxa"/>
              <w:right w:w="0" w:type="dxa"/>
            </w:tcMar>
            <w:vAlign w:val="center"/>
          </w:tcPr>
          <w:p>
            <w:pPr>
              <w:spacing w:line="260" w:lineRule="exact"/>
              <w:rPr>
                <w:sz w:val="18"/>
                <w:szCs w:val="18"/>
              </w:rPr>
            </w:pPr>
            <w:r>
              <w:rPr>
                <w:sz w:val="18"/>
                <w:szCs w:val="18"/>
              </w:rPr>
              <w:t>有效期至：</w:t>
            </w:r>
          </w:p>
        </w:tc>
        <w:tc>
          <w:tcPr>
            <w:tcW w:w="1899" w:type="dxa"/>
            <w:vAlign w:val="center"/>
          </w:tcPr>
          <w:p>
            <w:pPr>
              <w:spacing w:line="260" w:lineRule="exact"/>
              <w:jc w:val="distribute"/>
              <w:rPr>
                <w:color w:val="auto"/>
                <w:sz w:val="18"/>
                <w:szCs w:val="18"/>
                <w:lang w:val="en"/>
              </w:rPr>
            </w:pPr>
            <w:r>
              <w:rPr>
                <w:color w:val="auto"/>
                <w:sz w:val="18"/>
                <w:szCs w:val="18"/>
                <w:lang w:val="en"/>
              </w:rPr>
              <w:t>２０２</w:t>
            </w:r>
            <w:r>
              <w:rPr>
                <w:rFonts w:hint="eastAsia" w:ascii="宋体" w:hAnsi="宋体" w:cs="宋体"/>
                <w:color w:val="auto"/>
                <w:sz w:val="18"/>
                <w:szCs w:val="18"/>
                <w:lang w:val="en-US" w:eastAsia="zh-CN"/>
              </w:rPr>
              <w:t>6</w:t>
            </w:r>
            <w:r>
              <w:rPr>
                <w:color w:val="auto"/>
                <w:sz w:val="18"/>
                <w:szCs w:val="18"/>
                <w:lang w:val="en"/>
              </w:rPr>
              <w:t>年６月</w:t>
            </w:r>
          </w:p>
        </w:tc>
      </w:tr>
    </w:tbl>
    <w:p>
      <w:pPr>
        <w:spacing w:line="20" w:lineRule="exact"/>
        <w:ind w:firstLine="7020" w:firstLineChars="3900"/>
        <w:rPr>
          <w:sz w:val="18"/>
          <w:szCs w:val="18"/>
        </w:rPr>
      </w:pPr>
    </w:p>
    <w:tbl>
      <w:tblPr>
        <w:tblStyle w:val="21"/>
        <w:tblW w:w="9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2"/>
        <w:gridCol w:w="598"/>
        <w:gridCol w:w="692"/>
        <w:gridCol w:w="693"/>
        <w:gridCol w:w="693"/>
        <w:gridCol w:w="693"/>
        <w:gridCol w:w="693"/>
        <w:gridCol w:w="693"/>
        <w:gridCol w:w="693"/>
        <w:gridCol w:w="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281" w:type="dxa"/>
            <w:vMerge w:val="restart"/>
            <w:tcBorders>
              <w:top w:val="single" w:color="auto" w:sz="8" w:space="0"/>
              <w:left w:val="nil"/>
              <w:bottom w:val="single" w:color="auto" w:sz="2" w:space="0"/>
              <w:right w:val="single" w:color="auto" w:sz="2" w:space="0"/>
            </w:tcBorders>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指标名称</w:t>
            </w:r>
          </w:p>
        </w:tc>
        <w:tc>
          <w:tcPr>
            <w:tcW w:w="599" w:type="dxa"/>
            <w:vMerge w:val="restart"/>
            <w:tcBorders>
              <w:top w:val="single" w:color="auto" w:sz="8" w:space="0"/>
              <w:left w:val="single" w:color="auto" w:sz="2" w:space="0"/>
              <w:bottom w:val="single" w:color="auto" w:sz="2" w:space="0"/>
              <w:right w:val="single" w:color="auto" w:sz="2" w:space="0"/>
            </w:tcBorders>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代码</w:t>
            </w:r>
          </w:p>
        </w:tc>
        <w:tc>
          <w:tcPr>
            <w:tcW w:w="692" w:type="dxa"/>
            <w:vMerge w:val="restart"/>
            <w:tcBorders>
              <w:top w:val="single" w:color="auto" w:sz="8" w:space="0"/>
              <w:left w:val="single" w:color="auto" w:sz="2" w:space="0"/>
              <w:bottom w:val="single" w:color="auto" w:sz="2" w:space="0"/>
              <w:right w:val="single" w:color="auto" w:sz="2" w:space="0"/>
            </w:tcBorders>
            <w:vAlign w:val="center"/>
          </w:tcPr>
          <w:p>
            <w:pPr>
              <w:ind w:left="-105" w:leftChars="-50" w:right="-105" w:rightChars="-5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煤合计        (万吨)</w:t>
            </w:r>
          </w:p>
        </w:tc>
        <w:tc>
          <w:tcPr>
            <w:tcW w:w="692" w:type="dxa"/>
            <w:vMerge w:val="restart"/>
            <w:tcBorders>
              <w:top w:val="single" w:color="auto" w:sz="8" w:space="0"/>
              <w:left w:val="single" w:color="auto" w:sz="2" w:space="0"/>
              <w:bottom w:val="single" w:color="auto" w:sz="2" w:space="0"/>
              <w:right w:val="nil"/>
            </w:tcBorders>
            <w:vAlign w:val="center"/>
          </w:tcPr>
          <w:p>
            <w:pPr>
              <w:ind w:left="-105" w:leftChars="-50" w:right="-105" w:rightChars="-5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原 煤      (万吨)</w:t>
            </w:r>
          </w:p>
        </w:tc>
        <w:tc>
          <w:tcPr>
            <w:tcW w:w="692" w:type="dxa"/>
            <w:gridSpan w:val="4"/>
            <w:tcBorders>
              <w:top w:val="single" w:color="auto" w:sz="8" w:space="0"/>
              <w:left w:val="nil"/>
              <w:bottom w:val="single" w:color="auto" w:sz="2" w:space="0"/>
              <w:right w:val="single" w:color="auto" w:sz="2" w:space="0"/>
            </w:tcBorders>
            <w:vAlign w:val="center"/>
          </w:tcPr>
          <w:p>
            <w:pPr>
              <w:ind w:left="-105" w:leftChars="-50" w:right="-105" w:rightChars="-50"/>
              <w:jc w:val="center"/>
              <w:rPr>
                <w:rFonts w:asciiTheme="minorEastAsia" w:hAnsiTheme="minorEastAsia" w:eastAsiaTheme="minorEastAsia" w:cstheme="minorEastAsia"/>
                <w:sz w:val="18"/>
                <w:szCs w:val="18"/>
              </w:rPr>
            </w:pPr>
          </w:p>
        </w:tc>
        <w:tc>
          <w:tcPr>
            <w:tcW w:w="692" w:type="dxa"/>
            <w:vMerge w:val="restart"/>
            <w:tcBorders>
              <w:top w:val="single" w:color="auto" w:sz="8" w:space="0"/>
              <w:left w:val="single" w:color="auto" w:sz="2" w:space="0"/>
              <w:bottom w:val="single" w:color="auto" w:sz="2" w:space="0"/>
              <w:right w:val="single" w:color="auto" w:sz="2" w:space="0"/>
            </w:tcBorders>
            <w:vAlign w:val="center"/>
          </w:tcPr>
          <w:p>
            <w:pPr>
              <w:ind w:left="-105" w:leftChars="-50" w:right="-105" w:rightChars="-5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洗精煤  (万吨)</w:t>
            </w:r>
          </w:p>
        </w:tc>
        <w:tc>
          <w:tcPr>
            <w:tcW w:w="692" w:type="dxa"/>
            <w:vMerge w:val="restart"/>
            <w:tcBorders>
              <w:top w:val="single" w:color="auto" w:sz="8" w:space="0"/>
              <w:left w:val="single" w:color="auto" w:sz="2" w:space="0"/>
              <w:right w:val="nil"/>
            </w:tcBorders>
            <w:vAlign w:val="center"/>
          </w:tcPr>
          <w:p>
            <w:pPr>
              <w:ind w:left="-105" w:leftChars="-50" w:right="-105" w:rightChars="-5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其 他       洗 煤         (万吨)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3281" w:type="dxa"/>
            <w:vMerge w:val="continue"/>
            <w:tcBorders>
              <w:top w:val="single" w:color="auto" w:sz="2" w:space="0"/>
              <w:left w:val="nil"/>
              <w:bottom w:val="single" w:color="auto" w:sz="2" w:space="0"/>
              <w:right w:val="single" w:color="auto" w:sz="2" w:space="0"/>
            </w:tcBorders>
            <w:vAlign w:val="center"/>
          </w:tcPr>
          <w:p>
            <w:pPr>
              <w:rPr>
                <w:rFonts w:asciiTheme="minorEastAsia" w:hAnsiTheme="minorEastAsia" w:eastAsiaTheme="minorEastAsia" w:cstheme="minorEastAsia"/>
                <w:sz w:val="18"/>
                <w:szCs w:val="18"/>
              </w:rPr>
            </w:pPr>
          </w:p>
        </w:tc>
        <w:tc>
          <w:tcPr>
            <w:tcW w:w="599" w:type="dxa"/>
            <w:vMerge w:val="continue"/>
            <w:tcBorders>
              <w:top w:val="single" w:color="auto" w:sz="2" w:space="0"/>
              <w:left w:val="single" w:color="auto" w:sz="2" w:space="0"/>
              <w:bottom w:val="single" w:color="auto" w:sz="2" w:space="0"/>
              <w:right w:val="single" w:color="auto" w:sz="2" w:space="0"/>
            </w:tcBorders>
            <w:vAlign w:val="center"/>
          </w:tcPr>
          <w:p>
            <w:pPr>
              <w:jc w:val="center"/>
              <w:rPr>
                <w:rFonts w:asciiTheme="minorEastAsia" w:hAnsiTheme="minorEastAsia" w:eastAsiaTheme="minorEastAsia" w:cstheme="minorEastAsia"/>
                <w:sz w:val="18"/>
                <w:szCs w:val="18"/>
              </w:rPr>
            </w:pPr>
          </w:p>
        </w:tc>
        <w:tc>
          <w:tcPr>
            <w:tcW w:w="692" w:type="dxa"/>
            <w:vMerge w:val="continue"/>
            <w:tcBorders>
              <w:top w:val="single" w:color="auto" w:sz="2" w:space="0"/>
              <w:left w:val="single" w:color="auto" w:sz="2" w:space="0"/>
              <w:bottom w:val="single" w:color="auto" w:sz="2" w:space="0"/>
              <w:right w:val="single" w:color="auto" w:sz="2" w:space="0"/>
            </w:tcBorders>
            <w:vAlign w:val="center"/>
          </w:tcPr>
          <w:p>
            <w:pPr>
              <w:ind w:left="-105" w:leftChars="-50" w:right="-105" w:rightChars="-50"/>
              <w:jc w:val="center"/>
              <w:rPr>
                <w:rFonts w:asciiTheme="minorEastAsia" w:hAnsiTheme="minorEastAsia" w:eastAsiaTheme="minorEastAsia" w:cstheme="minorEastAsia"/>
                <w:sz w:val="18"/>
                <w:szCs w:val="18"/>
              </w:rPr>
            </w:pPr>
          </w:p>
        </w:tc>
        <w:tc>
          <w:tcPr>
            <w:tcW w:w="692" w:type="dxa"/>
            <w:vMerge w:val="continue"/>
            <w:tcBorders>
              <w:top w:val="single" w:color="auto" w:sz="2" w:space="0"/>
              <w:left w:val="single" w:color="auto" w:sz="2" w:space="0"/>
              <w:bottom w:val="single" w:color="auto" w:sz="2" w:space="0"/>
              <w:right w:val="single" w:color="auto" w:sz="2" w:space="0"/>
            </w:tcBorders>
            <w:vAlign w:val="center"/>
          </w:tcPr>
          <w:p>
            <w:pPr>
              <w:ind w:left="-105" w:leftChars="-50" w:right="-105" w:rightChars="-50"/>
              <w:jc w:val="center"/>
              <w:rPr>
                <w:rFonts w:asciiTheme="minorEastAsia" w:hAnsiTheme="minorEastAsia" w:eastAsiaTheme="minorEastAsia" w:cstheme="minorEastAsia"/>
                <w:sz w:val="18"/>
                <w:szCs w:val="18"/>
              </w:rPr>
            </w:pPr>
          </w:p>
        </w:tc>
        <w:tc>
          <w:tcPr>
            <w:tcW w:w="692" w:type="dxa"/>
            <w:vMerge w:val="restart"/>
            <w:tcBorders>
              <w:top w:val="single" w:color="auto" w:sz="2" w:space="0"/>
              <w:left w:val="single" w:color="auto" w:sz="2" w:space="0"/>
              <w:bottom w:val="single" w:color="auto" w:sz="2" w:space="0"/>
              <w:right w:val="single" w:color="auto" w:sz="2" w:space="0"/>
            </w:tcBorders>
            <w:vAlign w:val="center"/>
          </w:tcPr>
          <w:p>
            <w:pPr>
              <w:ind w:left="-105" w:leftChars="-50" w:right="-105" w:rightChars="-5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无烟煤 (万吨)</w:t>
            </w:r>
          </w:p>
        </w:tc>
        <w:tc>
          <w:tcPr>
            <w:tcW w:w="692" w:type="dxa"/>
            <w:gridSpan w:val="2"/>
            <w:tcBorders>
              <w:top w:val="single" w:color="auto" w:sz="2" w:space="0"/>
              <w:left w:val="single" w:color="auto" w:sz="2" w:space="0"/>
              <w:bottom w:val="single" w:color="auto" w:sz="2" w:space="0"/>
              <w:right w:val="single" w:color="auto" w:sz="2" w:space="0"/>
            </w:tcBorders>
            <w:shd w:val="clear" w:color="auto" w:fill="auto"/>
            <w:vAlign w:val="center"/>
          </w:tcPr>
          <w:p>
            <w:pPr>
              <w:ind w:left="-105" w:leftChars="-50" w:right="-105" w:rightChars="-5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烟煤(万吨)</w:t>
            </w:r>
          </w:p>
        </w:tc>
        <w:tc>
          <w:tcPr>
            <w:tcW w:w="692" w:type="dxa"/>
            <w:vMerge w:val="restart"/>
            <w:tcBorders>
              <w:top w:val="single" w:color="auto" w:sz="2" w:space="0"/>
              <w:left w:val="single" w:color="auto" w:sz="2" w:space="0"/>
              <w:bottom w:val="single" w:color="auto" w:sz="2" w:space="0"/>
              <w:right w:val="single" w:color="auto" w:sz="2" w:space="0"/>
            </w:tcBorders>
            <w:shd w:val="clear" w:color="auto" w:fill="auto"/>
            <w:vAlign w:val="center"/>
          </w:tcPr>
          <w:p>
            <w:pPr>
              <w:ind w:left="-105" w:leftChars="-50" w:right="-105" w:rightChars="-5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褐 煤           (万吨)</w:t>
            </w:r>
          </w:p>
        </w:tc>
        <w:tc>
          <w:tcPr>
            <w:tcW w:w="692" w:type="dxa"/>
            <w:vMerge w:val="continue"/>
            <w:tcBorders>
              <w:top w:val="single" w:color="auto" w:sz="2" w:space="0"/>
              <w:left w:val="single" w:color="auto" w:sz="2" w:space="0"/>
              <w:bottom w:val="single" w:color="auto" w:sz="2" w:space="0"/>
              <w:right w:val="single" w:color="auto" w:sz="2" w:space="0"/>
            </w:tcBorders>
            <w:vAlign w:val="center"/>
          </w:tcPr>
          <w:p>
            <w:pPr>
              <w:ind w:left="-105" w:leftChars="-50" w:right="-105" w:rightChars="-50"/>
              <w:jc w:val="center"/>
              <w:rPr>
                <w:rFonts w:asciiTheme="minorEastAsia" w:hAnsiTheme="minorEastAsia" w:eastAsiaTheme="minorEastAsia" w:cstheme="minorEastAsia"/>
                <w:sz w:val="18"/>
                <w:szCs w:val="18"/>
              </w:rPr>
            </w:pPr>
          </w:p>
        </w:tc>
        <w:tc>
          <w:tcPr>
            <w:tcW w:w="692" w:type="dxa"/>
            <w:vMerge w:val="continue"/>
            <w:tcBorders>
              <w:left w:val="single" w:color="auto" w:sz="2" w:space="0"/>
              <w:right w:val="nil"/>
            </w:tcBorders>
            <w:vAlign w:val="center"/>
          </w:tcPr>
          <w:p>
            <w:pPr>
              <w:ind w:left="-105" w:leftChars="-50" w:right="-105" w:rightChars="-50"/>
              <w:jc w:val="center"/>
              <w:rPr>
                <w:rFonts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281" w:type="dxa"/>
            <w:vMerge w:val="continue"/>
            <w:tcBorders>
              <w:top w:val="single" w:color="auto" w:sz="2" w:space="0"/>
              <w:left w:val="nil"/>
              <w:bottom w:val="single" w:color="auto" w:sz="2" w:space="0"/>
              <w:right w:val="single" w:color="auto" w:sz="2" w:space="0"/>
            </w:tcBorders>
            <w:vAlign w:val="center"/>
          </w:tcPr>
          <w:p>
            <w:pPr>
              <w:rPr>
                <w:rFonts w:asciiTheme="minorEastAsia" w:hAnsiTheme="minorEastAsia" w:eastAsiaTheme="minorEastAsia" w:cstheme="minorEastAsia"/>
                <w:sz w:val="18"/>
                <w:szCs w:val="18"/>
              </w:rPr>
            </w:pPr>
          </w:p>
        </w:tc>
        <w:tc>
          <w:tcPr>
            <w:tcW w:w="599" w:type="dxa"/>
            <w:vMerge w:val="continue"/>
            <w:tcBorders>
              <w:top w:val="single" w:color="auto" w:sz="2" w:space="0"/>
              <w:left w:val="single" w:color="auto" w:sz="2" w:space="0"/>
              <w:bottom w:val="single" w:color="auto" w:sz="2" w:space="0"/>
              <w:right w:val="single" w:color="auto" w:sz="2" w:space="0"/>
            </w:tcBorders>
            <w:vAlign w:val="center"/>
          </w:tcPr>
          <w:p>
            <w:pPr>
              <w:jc w:val="center"/>
              <w:rPr>
                <w:rFonts w:asciiTheme="minorEastAsia" w:hAnsiTheme="minorEastAsia" w:eastAsiaTheme="minorEastAsia" w:cstheme="minorEastAsia"/>
                <w:sz w:val="18"/>
                <w:szCs w:val="18"/>
              </w:rPr>
            </w:pPr>
          </w:p>
        </w:tc>
        <w:tc>
          <w:tcPr>
            <w:tcW w:w="692" w:type="dxa"/>
            <w:vMerge w:val="continue"/>
            <w:tcBorders>
              <w:top w:val="single" w:color="auto" w:sz="2" w:space="0"/>
              <w:left w:val="single" w:color="auto" w:sz="2" w:space="0"/>
              <w:bottom w:val="single" w:color="auto" w:sz="2" w:space="0"/>
              <w:right w:val="single" w:color="auto" w:sz="2" w:space="0"/>
            </w:tcBorders>
            <w:vAlign w:val="center"/>
          </w:tcPr>
          <w:p>
            <w:pPr>
              <w:ind w:left="-105" w:leftChars="-50" w:right="-105" w:rightChars="-50"/>
              <w:jc w:val="center"/>
              <w:rPr>
                <w:rFonts w:asciiTheme="minorEastAsia" w:hAnsiTheme="minorEastAsia" w:eastAsiaTheme="minorEastAsia" w:cstheme="minorEastAsia"/>
                <w:sz w:val="18"/>
                <w:szCs w:val="18"/>
              </w:rPr>
            </w:pPr>
          </w:p>
        </w:tc>
        <w:tc>
          <w:tcPr>
            <w:tcW w:w="692" w:type="dxa"/>
            <w:vMerge w:val="continue"/>
            <w:tcBorders>
              <w:top w:val="single" w:color="auto" w:sz="2" w:space="0"/>
              <w:left w:val="single" w:color="auto" w:sz="2" w:space="0"/>
              <w:bottom w:val="single" w:color="auto" w:sz="2" w:space="0"/>
              <w:right w:val="single" w:color="auto" w:sz="2" w:space="0"/>
            </w:tcBorders>
            <w:vAlign w:val="center"/>
          </w:tcPr>
          <w:p>
            <w:pPr>
              <w:ind w:left="-105" w:leftChars="-50" w:right="-105" w:rightChars="-50"/>
              <w:jc w:val="center"/>
              <w:rPr>
                <w:rFonts w:asciiTheme="minorEastAsia" w:hAnsiTheme="minorEastAsia" w:eastAsiaTheme="minorEastAsia" w:cstheme="minorEastAsia"/>
                <w:sz w:val="18"/>
                <w:szCs w:val="18"/>
              </w:rPr>
            </w:pPr>
          </w:p>
        </w:tc>
        <w:tc>
          <w:tcPr>
            <w:tcW w:w="692" w:type="dxa"/>
            <w:vMerge w:val="continue"/>
            <w:tcBorders>
              <w:top w:val="single" w:color="auto" w:sz="2" w:space="0"/>
              <w:left w:val="single" w:color="auto" w:sz="2" w:space="0"/>
              <w:bottom w:val="single" w:color="auto" w:sz="2" w:space="0"/>
              <w:right w:val="single" w:color="auto" w:sz="2" w:space="0"/>
            </w:tcBorders>
            <w:vAlign w:val="center"/>
          </w:tcPr>
          <w:p>
            <w:pPr>
              <w:ind w:left="-105" w:leftChars="-50" w:right="-105" w:rightChars="-50"/>
              <w:jc w:val="center"/>
              <w:rPr>
                <w:rFonts w:asciiTheme="minorEastAsia" w:hAnsiTheme="minorEastAsia" w:eastAsiaTheme="minorEastAsia" w:cstheme="minorEastAsia"/>
                <w:sz w:val="18"/>
                <w:szCs w:val="18"/>
              </w:rPr>
            </w:pPr>
          </w:p>
        </w:tc>
        <w:tc>
          <w:tcPr>
            <w:tcW w:w="692" w:type="dxa"/>
            <w:tcBorders>
              <w:top w:val="single" w:color="auto" w:sz="2" w:space="0"/>
              <w:left w:val="single" w:color="auto" w:sz="2" w:space="0"/>
              <w:bottom w:val="single" w:color="auto" w:sz="2" w:space="0"/>
              <w:right w:val="single" w:color="auto" w:sz="2" w:space="0"/>
            </w:tcBorders>
            <w:shd w:val="clear" w:color="auto" w:fill="auto"/>
            <w:vAlign w:val="center"/>
          </w:tcPr>
          <w:p>
            <w:pPr>
              <w:ind w:left="-105" w:leftChars="-50" w:right="-105" w:rightChars="-5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炼焦          烟煤</w:t>
            </w:r>
          </w:p>
        </w:tc>
        <w:tc>
          <w:tcPr>
            <w:tcW w:w="692" w:type="dxa"/>
            <w:tcBorders>
              <w:top w:val="single" w:color="auto" w:sz="2" w:space="0"/>
              <w:left w:val="single" w:color="auto" w:sz="2" w:space="0"/>
              <w:bottom w:val="single" w:color="auto" w:sz="2" w:space="0"/>
              <w:right w:val="single" w:color="auto" w:sz="2" w:space="0"/>
            </w:tcBorders>
            <w:shd w:val="clear" w:color="auto" w:fill="auto"/>
            <w:vAlign w:val="center"/>
          </w:tcPr>
          <w:p>
            <w:pPr>
              <w:ind w:left="-105" w:leftChars="-50" w:right="-105" w:rightChars="-5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一般           烟煤</w:t>
            </w:r>
          </w:p>
        </w:tc>
        <w:tc>
          <w:tcPr>
            <w:tcW w:w="692" w:type="dxa"/>
            <w:vMerge w:val="continue"/>
            <w:tcBorders>
              <w:top w:val="single" w:color="auto" w:sz="2" w:space="0"/>
              <w:left w:val="single" w:color="auto" w:sz="2" w:space="0"/>
              <w:bottom w:val="single" w:color="auto" w:sz="2" w:space="0"/>
              <w:right w:val="single" w:color="auto" w:sz="2" w:space="0"/>
            </w:tcBorders>
            <w:shd w:val="clear" w:color="auto" w:fill="auto"/>
            <w:vAlign w:val="center"/>
          </w:tcPr>
          <w:p>
            <w:pPr>
              <w:ind w:left="-105" w:leftChars="-50" w:right="-105" w:rightChars="-50"/>
              <w:jc w:val="center"/>
              <w:rPr>
                <w:rFonts w:asciiTheme="minorEastAsia" w:hAnsiTheme="minorEastAsia" w:eastAsiaTheme="minorEastAsia" w:cstheme="minorEastAsia"/>
                <w:sz w:val="18"/>
                <w:szCs w:val="18"/>
              </w:rPr>
            </w:pPr>
          </w:p>
        </w:tc>
        <w:tc>
          <w:tcPr>
            <w:tcW w:w="692" w:type="dxa"/>
            <w:vMerge w:val="continue"/>
            <w:tcBorders>
              <w:top w:val="single" w:color="auto" w:sz="2" w:space="0"/>
              <w:left w:val="single" w:color="auto" w:sz="2" w:space="0"/>
              <w:bottom w:val="single" w:color="auto" w:sz="2" w:space="0"/>
              <w:right w:val="single" w:color="auto" w:sz="2" w:space="0"/>
            </w:tcBorders>
            <w:vAlign w:val="center"/>
          </w:tcPr>
          <w:p>
            <w:pPr>
              <w:ind w:left="-105" w:leftChars="-50" w:right="-105" w:rightChars="-50"/>
              <w:jc w:val="center"/>
              <w:rPr>
                <w:rFonts w:asciiTheme="minorEastAsia" w:hAnsiTheme="minorEastAsia" w:eastAsiaTheme="minorEastAsia" w:cstheme="minorEastAsia"/>
                <w:sz w:val="18"/>
                <w:szCs w:val="18"/>
              </w:rPr>
            </w:pPr>
          </w:p>
        </w:tc>
        <w:tc>
          <w:tcPr>
            <w:tcW w:w="692" w:type="dxa"/>
            <w:vMerge w:val="continue"/>
            <w:tcBorders>
              <w:left w:val="single" w:color="auto" w:sz="2" w:space="0"/>
              <w:bottom w:val="single" w:color="auto" w:sz="2" w:space="0"/>
              <w:right w:val="nil"/>
            </w:tcBorders>
            <w:vAlign w:val="center"/>
          </w:tcPr>
          <w:p>
            <w:pPr>
              <w:ind w:left="-105" w:leftChars="-50" w:right="-105" w:rightChars="-50"/>
              <w:jc w:val="center"/>
              <w:rPr>
                <w:rFonts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81" w:type="dxa"/>
            <w:tcBorders>
              <w:top w:val="single" w:color="auto" w:sz="2" w:space="0"/>
              <w:left w:val="nil"/>
              <w:bottom w:val="single" w:color="auto" w:sz="2" w:space="0"/>
              <w:right w:val="single" w:color="auto" w:sz="2" w:space="0"/>
            </w:tcBorders>
            <w:vAlign w:val="center"/>
          </w:tcPr>
          <w:p>
            <w:pPr>
              <w:spacing w:line="240" w:lineRule="atLeas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甲</w:t>
            </w:r>
          </w:p>
        </w:tc>
        <w:tc>
          <w:tcPr>
            <w:tcW w:w="599" w:type="dxa"/>
            <w:tcBorders>
              <w:top w:val="single" w:color="auto" w:sz="2" w:space="0"/>
              <w:left w:val="single" w:color="auto" w:sz="2" w:space="0"/>
              <w:bottom w:val="single" w:color="auto" w:sz="2" w:space="0"/>
              <w:right w:val="single" w:color="auto" w:sz="2" w:space="0"/>
            </w:tcBorders>
            <w:vAlign w:val="center"/>
          </w:tcPr>
          <w:p>
            <w:pPr>
              <w:spacing w:line="240" w:lineRule="atLeas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乙</w:t>
            </w:r>
          </w:p>
        </w:tc>
        <w:tc>
          <w:tcPr>
            <w:tcW w:w="692" w:type="dxa"/>
            <w:tcBorders>
              <w:top w:val="single" w:color="auto" w:sz="2" w:space="0"/>
              <w:left w:val="single" w:color="auto" w:sz="2" w:space="0"/>
              <w:bottom w:val="single" w:color="auto" w:sz="2" w:space="0"/>
              <w:right w:val="single" w:color="auto" w:sz="2" w:space="0"/>
            </w:tcBorders>
            <w:vAlign w:val="center"/>
          </w:tcPr>
          <w:p>
            <w:pPr>
              <w:spacing w:line="240" w:lineRule="atLeast"/>
              <w:ind w:left="-105" w:leftChars="-50" w:right="-105" w:rightChars="-50"/>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692" w:type="dxa"/>
            <w:tcBorders>
              <w:top w:val="single" w:color="auto" w:sz="2" w:space="0"/>
              <w:left w:val="single" w:color="auto" w:sz="2" w:space="0"/>
              <w:bottom w:val="single" w:color="auto" w:sz="2" w:space="0"/>
              <w:right w:val="single" w:color="auto" w:sz="2" w:space="0"/>
            </w:tcBorders>
            <w:vAlign w:val="center"/>
          </w:tcPr>
          <w:p>
            <w:pPr>
              <w:spacing w:line="240" w:lineRule="atLeast"/>
              <w:ind w:left="-105" w:leftChars="-50" w:right="-105" w:rightChars="-50"/>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692" w:type="dxa"/>
            <w:tcBorders>
              <w:top w:val="single" w:color="auto" w:sz="2" w:space="0"/>
              <w:left w:val="single" w:color="auto" w:sz="2" w:space="0"/>
              <w:bottom w:val="single" w:color="auto" w:sz="2" w:space="0"/>
              <w:right w:val="single" w:color="auto" w:sz="2" w:space="0"/>
            </w:tcBorders>
            <w:vAlign w:val="center"/>
          </w:tcPr>
          <w:p>
            <w:pPr>
              <w:spacing w:line="240" w:lineRule="atLeast"/>
              <w:ind w:left="-105" w:leftChars="-50" w:right="-105" w:rightChars="-50"/>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692" w:type="dxa"/>
            <w:tcBorders>
              <w:top w:val="single" w:color="auto" w:sz="2" w:space="0"/>
              <w:left w:val="single" w:color="auto" w:sz="2" w:space="0"/>
              <w:bottom w:val="single" w:color="auto" w:sz="2" w:space="0"/>
              <w:right w:val="single" w:color="auto" w:sz="2" w:space="0"/>
            </w:tcBorders>
            <w:vAlign w:val="center"/>
          </w:tcPr>
          <w:p>
            <w:pPr>
              <w:spacing w:line="240" w:lineRule="atLeast"/>
              <w:ind w:left="-105" w:leftChars="-50" w:right="-105" w:rightChars="-50"/>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w:t>
            </w:r>
          </w:p>
        </w:tc>
        <w:tc>
          <w:tcPr>
            <w:tcW w:w="692" w:type="dxa"/>
            <w:tcBorders>
              <w:top w:val="single" w:color="auto" w:sz="2" w:space="0"/>
              <w:left w:val="single" w:color="auto" w:sz="2" w:space="0"/>
              <w:bottom w:val="single" w:color="auto" w:sz="2" w:space="0"/>
              <w:right w:val="single" w:color="auto" w:sz="2" w:space="0"/>
            </w:tcBorders>
            <w:vAlign w:val="center"/>
          </w:tcPr>
          <w:p>
            <w:pPr>
              <w:spacing w:line="240" w:lineRule="atLeast"/>
              <w:ind w:left="-105" w:leftChars="-50" w:right="-105" w:rightChars="-50"/>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692" w:type="dxa"/>
            <w:tcBorders>
              <w:top w:val="single" w:color="auto" w:sz="2" w:space="0"/>
              <w:left w:val="single" w:color="auto" w:sz="2" w:space="0"/>
              <w:bottom w:val="single" w:color="auto" w:sz="2" w:space="0"/>
              <w:right w:val="single" w:color="auto" w:sz="2" w:space="0"/>
            </w:tcBorders>
            <w:vAlign w:val="center"/>
          </w:tcPr>
          <w:p>
            <w:pPr>
              <w:spacing w:line="240" w:lineRule="atLeast"/>
              <w:ind w:left="-105" w:leftChars="-50" w:right="-105" w:rightChars="-50"/>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w:t>
            </w:r>
          </w:p>
        </w:tc>
        <w:tc>
          <w:tcPr>
            <w:tcW w:w="692" w:type="dxa"/>
            <w:tcBorders>
              <w:top w:val="single" w:color="auto" w:sz="2" w:space="0"/>
              <w:left w:val="single" w:color="auto" w:sz="2" w:space="0"/>
              <w:bottom w:val="single" w:color="auto" w:sz="2" w:space="0"/>
              <w:right w:val="single" w:color="auto" w:sz="2" w:space="0"/>
            </w:tcBorders>
            <w:vAlign w:val="center"/>
          </w:tcPr>
          <w:p>
            <w:pPr>
              <w:spacing w:line="240" w:lineRule="atLeast"/>
              <w:ind w:left="-105" w:leftChars="-50" w:right="-105" w:rightChars="-50"/>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w:t>
            </w:r>
          </w:p>
        </w:tc>
        <w:tc>
          <w:tcPr>
            <w:tcW w:w="692" w:type="dxa"/>
            <w:tcBorders>
              <w:top w:val="single" w:color="auto" w:sz="2" w:space="0"/>
              <w:left w:val="single" w:color="auto" w:sz="2" w:space="0"/>
              <w:bottom w:val="single" w:color="auto" w:sz="2" w:space="0"/>
              <w:right w:val="nil"/>
            </w:tcBorders>
            <w:vAlign w:val="center"/>
          </w:tcPr>
          <w:p>
            <w:pPr>
              <w:spacing w:line="240" w:lineRule="atLeast"/>
              <w:ind w:left="-105" w:leftChars="-50" w:right="-105" w:rightChars="-50"/>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3281" w:type="dxa"/>
            <w:tcBorders>
              <w:top w:val="single" w:color="auto" w:sz="2" w:space="0"/>
              <w:left w:val="nil"/>
              <w:bottom w:val="single" w:color="auto" w:sz="8" w:space="0"/>
              <w:right w:val="single" w:color="auto" w:sz="2" w:space="0"/>
            </w:tcBorders>
            <w:vAlign w:val="center"/>
          </w:tcPr>
          <w:p>
            <w:pPr>
              <w:widowControl/>
              <w:spacing w:line="256" w:lineRule="exact"/>
              <w:rPr>
                <w:rFonts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一、可供本地区消费的能源量</w:t>
            </w:r>
          </w:p>
          <w:p>
            <w:pPr>
              <w:widowControl/>
              <w:spacing w:line="256"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1.年初库存量</w:t>
            </w:r>
          </w:p>
          <w:p>
            <w:pPr>
              <w:widowControl/>
              <w:spacing w:line="256"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2.一次能源生产量</w:t>
            </w:r>
          </w:p>
          <w:p>
            <w:pPr>
              <w:widowControl/>
              <w:spacing w:line="256"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3.外省(区、市)调入量</w:t>
            </w:r>
          </w:p>
          <w:p>
            <w:pPr>
              <w:widowControl/>
              <w:spacing w:line="256"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4.进口量</w:t>
            </w:r>
          </w:p>
          <w:p>
            <w:pPr>
              <w:widowControl/>
              <w:spacing w:line="256"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5.境内飞机和轮船在境外加油量</w:t>
            </w:r>
          </w:p>
          <w:p>
            <w:pPr>
              <w:widowControl/>
              <w:spacing w:line="256"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6.本省(区、市)调出量(-) </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7.出口量(-)</w:t>
            </w:r>
          </w:p>
          <w:p>
            <w:pPr>
              <w:widowControl/>
              <w:spacing w:line="256"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8.境外飞机和轮船在境内加油量(-)</w:t>
            </w:r>
          </w:p>
          <w:p>
            <w:pPr>
              <w:widowControl/>
              <w:spacing w:line="256"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9.年末库存量(-)</w:t>
            </w:r>
          </w:p>
          <w:p>
            <w:pPr>
              <w:widowControl/>
              <w:spacing w:line="256" w:lineRule="exact"/>
              <w:rPr>
                <w:rFonts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二、加工转换投入</w:t>
            </w: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bCs/>
                <w:kern w:val="0"/>
                <w:sz w:val="18"/>
                <w:szCs w:val="18"/>
              </w:rPr>
              <w:t xml:space="preserve"> 产出(+)量</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1.火力发电</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2.供热</w:t>
            </w:r>
          </w:p>
          <w:p>
            <w:pPr>
              <w:widowControl/>
              <w:spacing w:line="256"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3.煤炭洗选 </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4.炼焦</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5.炼油及煤制油</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其中：油品再投入量(-)</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6.制气</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其中：再投入量(-)</w:t>
            </w:r>
          </w:p>
          <w:p>
            <w:pPr>
              <w:widowControl/>
              <w:spacing w:line="256"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7.天然气液化</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8.煤制品加工</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9.回收能</w:t>
            </w:r>
          </w:p>
          <w:p>
            <w:pPr>
              <w:widowControl/>
              <w:spacing w:line="256" w:lineRule="exact"/>
              <w:rPr>
                <w:rFonts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三、损失量</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其中：运输和输配损失</w:t>
            </w:r>
            <w:r>
              <w:rPr>
                <w:rFonts w:hint="eastAsia" w:asciiTheme="minorEastAsia" w:hAnsiTheme="minorEastAsia" w:eastAsiaTheme="minorEastAsia" w:cstheme="minorEastAsia"/>
                <w:bCs/>
                <w:kern w:val="0"/>
                <w:sz w:val="18"/>
                <w:szCs w:val="18"/>
              </w:rPr>
              <w:t>量</w:t>
            </w:r>
          </w:p>
          <w:p>
            <w:pPr>
              <w:widowControl/>
              <w:spacing w:line="256" w:lineRule="exact"/>
              <w:rPr>
                <w:rFonts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四、终端消费量</w:t>
            </w:r>
          </w:p>
          <w:p>
            <w:pPr>
              <w:widowControl/>
              <w:spacing w:line="256" w:lineRule="exact"/>
              <w:ind w:left="252" w:leftChars="12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1.农、林、牧、渔业</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农、林、牧、渔业</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2.工业和建筑业</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工业</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其中：用作原料、材料</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建筑业</w:t>
            </w:r>
          </w:p>
          <w:p>
            <w:pPr>
              <w:widowControl/>
              <w:spacing w:line="256" w:lineRule="exact"/>
              <w:ind w:firstLine="252" w:firstLineChars="14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3.服务业</w:t>
            </w:r>
            <w:r>
              <w:rPr>
                <w:rFonts w:hint="eastAsia" w:asciiTheme="minorEastAsia" w:hAnsiTheme="minorEastAsia" w:eastAsiaTheme="minorEastAsia" w:cstheme="minorEastAsia"/>
                <w:kern w:val="0"/>
                <w:sz w:val="18"/>
                <w:szCs w:val="18"/>
                <w:vertAlign w:val="superscript"/>
              </w:rPr>
              <w:t>*</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交通运输、仓储和邮政业</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批发和零售业、住宿和餐饮业</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其他</w:t>
            </w:r>
          </w:p>
          <w:p>
            <w:pPr>
              <w:widowControl/>
              <w:spacing w:line="256" w:lineRule="exact"/>
              <w:ind w:firstLine="252" w:firstLineChars="14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4.居民生活</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城镇</w:t>
            </w:r>
          </w:p>
          <w:p>
            <w:pPr>
              <w:widowControl/>
              <w:spacing w:line="256"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乡村</w:t>
            </w:r>
          </w:p>
          <w:p>
            <w:pPr>
              <w:widowControl/>
              <w:spacing w:line="256" w:lineRule="exact"/>
              <w:rPr>
                <w:rFonts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五、平衡差额(+、-)</w:t>
            </w:r>
          </w:p>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Cs/>
                <w:kern w:val="0"/>
                <w:sz w:val="18"/>
                <w:szCs w:val="18"/>
              </w:rPr>
              <w:t>六、消费量合计</w:t>
            </w:r>
          </w:p>
        </w:tc>
        <w:tc>
          <w:tcPr>
            <w:tcW w:w="599" w:type="dxa"/>
            <w:tcBorders>
              <w:top w:val="single" w:color="auto" w:sz="2" w:space="0"/>
              <w:left w:val="single" w:color="auto" w:sz="2" w:space="0"/>
              <w:bottom w:val="single" w:color="auto" w:sz="8" w:space="0"/>
              <w:right w:val="single" w:color="auto" w:sz="2" w:space="0"/>
            </w:tcBorders>
          </w:tcPr>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01</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02</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03</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04</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05</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06</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07</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08</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09</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13</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18</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19</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20</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21</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22</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23</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24</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w:t>
            </w:r>
          </w:p>
          <w:p>
            <w:pPr>
              <w:widowControl/>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37</w:t>
            </w:r>
          </w:p>
          <w:p>
            <w:pPr>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38</w:t>
            </w:r>
          </w:p>
          <w:p>
            <w:pPr>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39</w:t>
            </w:r>
          </w:p>
          <w:p>
            <w:pPr>
              <w:spacing w:line="25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40</w:t>
            </w:r>
          </w:p>
        </w:tc>
        <w:tc>
          <w:tcPr>
            <w:tcW w:w="692" w:type="dxa"/>
            <w:gridSpan w:val="8"/>
            <w:tcBorders>
              <w:top w:val="single" w:color="auto" w:sz="2" w:space="0"/>
              <w:left w:val="single" w:color="auto" w:sz="2" w:space="0"/>
              <w:bottom w:val="single" w:color="auto" w:sz="8" w:space="0"/>
              <w:right w:val="nil"/>
            </w:tcBorders>
          </w:tcPr>
          <w:p>
            <w:pPr>
              <w:spacing w:line="260" w:lineRule="exact"/>
              <w:rPr>
                <w:rFonts w:asciiTheme="minorEastAsia" w:hAnsiTheme="minorEastAsia" w:eastAsiaTheme="minorEastAsia" w:cstheme="minorEastAsia"/>
                <w:sz w:val="18"/>
                <w:szCs w:val="18"/>
              </w:rPr>
            </w:pPr>
          </w:p>
        </w:tc>
      </w:tr>
    </w:tbl>
    <w:p>
      <w:pPr>
        <w:rPr>
          <w:rFonts w:ascii="宋体" w:hAnsi="宋体"/>
          <w:sz w:val="18"/>
          <w:szCs w:val="18"/>
        </w:rPr>
      </w:pPr>
      <w:r>
        <w:br w:type="page"/>
      </w:r>
      <w:r>
        <w:rPr>
          <w:rFonts w:hint="eastAsia" w:ascii="宋体" w:hAnsi="宋体"/>
          <w:sz w:val="18"/>
          <w:szCs w:val="18"/>
        </w:rPr>
        <w:t>续表一</w:t>
      </w:r>
    </w:p>
    <w:tbl>
      <w:tblPr>
        <w:tblStyle w:val="21"/>
        <w:tblW w:w="9792" w:type="dxa"/>
        <w:tblInd w:w="-24"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1000"/>
        <w:gridCol w:w="1052"/>
        <w:gridCol w:w="883"/>
        <w:gridCol w:w="975"/>
        <w:gridCol w:w="1022"/>
        <w:gridCol w:w="960"/>
        <w:gridCol w:w="960"/>
        <w:gridCol w:w="1155"/>
        <w:gridCol w:w="873"/>
        <w:gridCol w:w="912"/>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601" w:hRule="atLeast"/>
        </w:trPr>
        <w:tc>
          <w:tcPr>
            <w:tcW w:w="1000" w:type="dxa"/>
            <w:noWrap/>
            <w:vAlign w:val="center"/>
          </w:tcPr>
          <w:p>
            <w:pPr>
              <w:jc w:val="center"/>
              <w:rPr>
                <w:rFonts w:ascii="宋体" w:hAnsi="宋体"/>
                <w:sz w:val="18"/>
                <w:szCs w:val="18"/>
              </w:rPr>
            </w:pPr>
            <w:r>
              <w:rPr>
                <w:rFonts w:hint="eastAsia" w:ascii="宋体" w:hAnsi="宋体"/>
                <w:sz w:val="18"/>
                <w:szCs w:val="18"/>
              </w:rPr>
              <w:t xml:space="preserve">煤制品 </w:t>
            </w:r>
          </w:p>
          <w:p>
            <w:pPr>
              <w:jc w:val="center"/>
              <w:rPr>
                <w:rFonts w:ascii="宋体" w:hAnsi="宋体"/>
                <w:sz w:val="18"/>
                <w:szCs w:val="18"/>
              </w:rPr>
            </w:pPr>
            <w:r>
              <w:rPr>
                <w:rFonts w:hint="eastAsia" w:ascii="宋体" w:hAnsi="宋体"/>
                <w:sz w:val="18"/>
                <w:szCs w:val="18"/>
              </w:rPr>
              <w:t>(万吨)</w:t>
            </w:r>
          </w:p>
        </w:tc>
        <w:tc>
          <w:tcPr>
            <w:tcW w:w="1052" w:type="dxa"/>
            <w:noWrap/>
            <w:vAlign w:val="center"/>
          </w:tcPr>
          <w:p>
            <w:pPr>
              <w:jc w:val="center"/>
              <w:rPr>
                <w:rFonts w:ascii="宋体" w:hAnsi="宋体"/>
                <w:sz w:val="18"/>
                <w:szCs w:val="18"/>
              </w:rPr>
            </w:pPr>
            <w:r>
              <w:rPr>
                <w:rFonts w:hint="eastAsia" w:ascii="宋体" w:hAnsi="宋体"/>
                <w:sz w:val="18"/>
                <w:szCs w:val="18"/>
              </w:rPr>
              <w:t>煤矸石            (万吨)</w:t>
            </w:r>
          </w:p>
        </w:tc>
        <w:tc>
          <w:tcPr>
            <w:tcW w:w="883" w:type="dxa"/>
            <w:noWrap/>
            <w:vAlign w:val="center"/>
          </w:tcPr>
          <w:p>
            <w:pPr>
              <w:jc w:val="center"/>
              <w:rPr>
                <w:rFonts w:ascii="宋体" w:hAnsi="宋体"/>
                <w:sz w:val="18"/>
                <w:szCs w:val="18"/>
              </w:rPr>
            </w:pPr>
            <w:r>
              <w:rPr>
                <w:rFonts w:hint="eastAsia" w:ascii="宋体" w:hAnsi="宋体"/>
                <w:sz w:val="18"/>
                <w:szCs w:val="18"/>
              </w:rPr>
              <w:t>焦炭           (万吨)</w:t>
            </w:r>
          </w:p>
        </w:tc>
        <w:tc>
          <w:tcPr>
            <w:tcW w:w="975" w:type="dxa"/>
            <w:noWrap/>
            <w:vAlign w:val="center"/>
          </w:tcPr>
          <w:p>
            <w:pPr>
              <w:jc w:val="center"/>
              <w:rPr>
                <w:rFonts w:ascii="宋体" w:hAnsi="宋体"/>
                <w:sz w:val="18"/>
                <w:szCs w:val="18"/>
              </w:rPr>
            </w:pPr>
            <w:r>
              <w:rPr>
                <w:rFonts w:hint="eastAsia" w:ascii="宋体" w:hAnsi="宋体"/>
                <w:sz w:val="18"/>
                <w:szCs w:val="18"/>
              </w:rPr>
              <w:t>焦炉煤气</w:t>
            </w:r>
          </w:p>
          <w:p>
            <w:pPr>
              <w:jc w:val="center"/>
              <w:rPr>
                <w:rFonts w:ascii="宋体" w:hAnsi="宋体"/>
                <w:sz w:val="18"/>
                <w:szCs w:val="18"/>
              </w:rPr>
            </w:pPr>
            <w:r>
              <w:rPr>
                <w:rFonts w:hint="eastAsia" w:ascii="宋体" w:hAnsi="宋体"/>
                <w:sz w:val="18"/>
                <w:szCs w:val="18"/>
              </w:rPr>
              <w:t>(亿立方米)</w:t>
            </w:r>
          </w:p>
        </w:tc>
        <w:tc>
          <w:tcPr>
            <w:tcW w:w="1022" w:type="dxa"/>
            <w:noWrap/>
            <w:vAlign w:val="center"/>
          </w:tcPr>
          <w:p>
            <w:pPr>
              <w:jc w:val="center"/>
              <w:rPr>
                <w:rFonts w:ascii="宋体" w:hAnsi="宋体"/>
                <w:sz w:val="18"/>
                <w:szCs w:val="18"/>
              </w:rPr>
            </w:pPr>
            <w:r>
              <w:rPr>
                <w:rFonts w:hint="eastAsia" w:ascii="宋体" w:hAnsi="宋体"/>
                <w:sz w:val="18"/>
                <w:szCs w:val="18"/>
              </w:rPr>
              <w:t>高炉煤气(亿立方米)</w:t>
            </w:r>
          </w:p>
        </w:tc>
        <w:tc>
          <w:tcPr>
            <w:tcW w:w="960" w:type="dxa"/>
            <w:noWrap/>
            <w:vAlign w:val="center"/>
          </w:tcPr>
          <w:p>
            <w:pPr>
              <w:jc w:val="center"/>
              <w:rPr>
                <w:rFonts w:ascii="宋体" w:hAnsi="宋体"/>
                <w:sz w:val="18"/>
                <w:szCs w:val="18"/>
              </w:rPr>
            </w:pPr>
            <w:r>
              <w:rPr>
                <w:rFonts w:hint="eastAsia" w:ascii="宋体" w:hAnsi="宋体"/>
                <w:sz w:val="18"/>
                <w:szCs w:val="18"/>
              </w:rPr>
              <w:t>转炉煤气(亿立方米)</w:t>
            </w:r>
          </w:p>
        </w:tc>
        <w:tc>
          <w:tcPr>
            <w:tcW w:w="960" w:type="dxa"/>
            <w:noWrap/>
            <w:vAlign w:val="center"/>
          </w:tcPr>
          <w:p>
            <w:pPr>
              <w:jc w:val="center"/>
              <w:rPr>
                <w:rFonts w:ascii="宋体" w:hAnsi="宋体"/>
                <w:sz w:val="18"/>
                <w:szCs w:val="18"/>
              </w:rPr>
            </w:pPr>
            <w:r>
              <w:rPr>
                <w:rFonts w:hint="eastAsia" w:ascii="宋体" w:hAnsi="宋体"/>
                <w:sz w:val="18"/>
                <w:szCs w:val="18"/>
              </w:rPr>
              <w:t>其他煤气(亿立方米)</w:t>
            </w:r>
          </w:p>
        </w:tc>
        <w:tc>
          <w:tcPr>
            <w:tcW w:w="1155" w:type="dxa"/>
            <w:noWrap/>
            <w:vAlign w:val="center"/>
          </w:tcPr>
          <w:p>
            <w:pPr>
              <w:jc w:val="center"/>
              <w:rPr>
                <w:rFonts w:ascii="宋体" w:hAnsi="宋体"/>
                <w:sz w:val="18"/>
                <w:szCs w:val="18"/>
              </w:rPr>
            </w:pPr>
            <w:r>
              <w:rPr>
                <w:rFonts w:hint="eastAsia" w:ascii="宋体" w:hAnsi="宋体"/>
                <w:sz w:val="18"/>
                <w:szCs w:val="18"/>
              </w:rPr>
              <w:t>其他焦化产品        (万吨)</w:t>
            </w:r>
          </w:p>
        </w:tc>
        <w:tc>
          <w:tcPr>
            <w:tcW w:w="873" w:type="dxa"/>
            <w:noWrap/>
            <w:vAlign w:val="center"/>
          </w:tcPr>
          <w:p>
            <w:pPr>
              <w:jc w:val="center"/>
              <w:rPr>
                <w:rFonts w:ascii="宋体" w:hAnsi="宋体"/>
                <w:sz w:val="18"/>
                <w:szCs w:val="18"/>
              </w:rPr>
            </w:pPr>
            <w:r>
              <w:rPr>
                <w:rFonts w:hint="eastAsia" w:ascii="宋体" w:hAnsi="宋体"/>
                <w:sz w:val="18"/>
                <w:szCs w:val="18"/>
              </w:rPr>
              <w:t>油品合计(万吨)</w:t>
            </w:r>
          </w:p>
        </w:tc>
        <w:tc>
          <w:tcPr>
            <w:tcW w:w="912" w:type="dxa"/>
            <w:noWrap/>
            <w:vAlign w:val="center"/>
          </w:tcPr>
          <w:p>
            <w:pPr>
              <w:jc w:val="center"/>
              <w:rPr>
                <w:rFonts w:ascii="宋体" w:hAnsi="宋体"/>
                <w:sz w:val="18"/>
                <w:szCs w:val="18"/>
              </w:rPr>
            </w:pPr>
            <w:r>
              <w:rPr>
                <w:rFonts w:hint="eastAsia" w:ascii="宋体" w:hAnsi="宋体"/>
                <w:sz w:val="18"/>
                <w:szCs w:val="18"/>
              </w:rPr>
              <w:t>原 油           (万吨)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noWrap/>
            <w:vAlign w:val="center"/>
          </w:tcPr>
          <w:p>
            <w:pPr>
              <w:jc w:val="center"/>
              <w:rPr>
                <w:rFonts w:ascii="宋体" w:hAnsi="宋体"/>
                <w:sz w:val="18"/>
                <w:szCs w:val="18"/>
              </w:rPr>
            </w:pPr>
            <w:r>
              <w:rPr>
                <w:rFonts w:hint="eastAsia" w:ascii="宋体" w:hAnsi="宋体"/>
                <w:sz w:val="18"/>
                <w:szCs w:val="18"/>
              </w:rPr>
              <w:t>9</w:t>
            </w:r>
          </w:p>
        </w:tc>
        <w:tc>
          <w:tcPr>
            <w:tcW w:w="1052" w:type="dxa"/>
            <w:noWrap/>
            <w:vAlign w:val="center"/>
          </w:tcPr>
          <w:p>
            <w:pPr>
              <w:jc w:val="center"/>
              <w:rPr>
                <w:rFonts w:ascii="宋体" w:hAnsi="宋体"/>
                <w:sz w:val="18"/>
                <w:szCs w:val="18"/>
              </w:rPr>
            </w:pPr>
            <w:r>
              <w:rPr>
                <w:rFonts w:hint="eastAsia" w:ascii="宋体" w:hAnsi="宋体"/>
                <w:sz w:val="18"/>
                <w:szCs w:val="18"/>
              </w:rPr>
              <w:t>10</w:t>
            </w:r>
          </w:p>
        </w:tc>
        <w:tc>
          <w:tcPr>
            <w:tcW w:w="883" w:type="dxa"/>
            <w:noWrap/>
            <w:vAlign w:val="center"/>
          </w:tcPr>
          <w:p>
            <w:pPr>
              <w:jc w:val="center"/>
              <w:rPr>
                <w:rFonts w:ascii="宋体" w:hAnsi="宋体"/>
                <w:sz w:val="18"/>
                <w:szCs w:val="18"/>
              </w:rPr>
            </w:pPr>
            <w:r>
              <w:rPr>
                <w:rFonts w:hint="eastAsia" w:ascii="宋体" w:hAnsi="宋体"/>
                <w:sz w:val="18"/>
                <w:szCs w:val="18"/>
              </w:rPr>
              <w:t>11</w:t>
            </w:r>
          </w:p>
        </w:tc>
        <w:tc>
          <w:tcPr>
            <w:tcW w:w="975" w:type="dxa"/>
            <w:noWrap/>
            <w:vAlign w:val="center"/>
          </w:tcPr>
          <w:p>
            <w:pPr>
              <w:jc w:val="center"/>
              <w:rPr>
                <w:rFonts w:ascii="宋体" w:hAnsi="宋体"/>
                <w:sz w:val="18"/>
                <w:szCs w:val="18"/>
              </w:rPr>
            </w:pPr>
            <w:r>
              <w:rPr>
                <w:rFonts w:hint="eastAsia" w:ascii="宋体" w:hAnsi="宋体"/>
                <w:sz w:val="18"/>
                <w:szCs w:val="18"/>
              </w:rPr>
              <w:t>12</w:t>
            </w:r>
          </w:p>
        </w:tc>
        <w:tc>
          <w:tcPr>
            <w:tcW w:w="1022" w:type="dxa"/>
            <w:noWrap/>
            <w:vAlign w:val="center"/>
          </w:tcPr>
          <w:p>
            <w:pPr>
              <w:jc w:val="center"/>
              <w:rPr>
                <w:rFonts w:ascii="宋体" w:hAnsi="宋体"/>
                <w:sz w:val="18"/>
                <w:szCs w:val="18"/>
              </w:rPr>
            </w:pPr>
            <w:r>
              <w:rPr>
                <w:rFonts w:hint="eastAsia" w:ascii="宋体" w:hAnsi="宋体"/>
                <w:sz w:val="18"/>
                <w:szCs w:val="18"/>
              </w:rPr>
              <w:t>13</w:t>
            </w:r>
          </w:p>
        </w:tc>
        <w:tc>
          <w:tcPr>
            <w:tcW w:w="960" w:type="dxa"/>
            <w:noWrap/>
            <w:vAlign w:val="center"/>
          </w:tcPr>
          <w:p>
            <w:pPr>
              <w:jc w:val="center"/>
              <w:rPr>
                <w:rFonts w:ascii="宋体" w:hAnsi="宋体"/>
                <w:sz w:val="18"/>
                <w:szCs w:val="18"/>
              </w:rPr>
            </w:pPr>
            <w:r>
              <w:rPr>
                <w:rFonts w:hint="eastAsia" w:ascii="宋体" w:hAnsi="宋体"/>
                <w:sz w:val="18"/>
                <w:szCs w:val="18"/>
              </w:rPr>
              <w:t>14</w:t>
            </w:r>
          </w:p>
        </w:tc>
        <w:tc>
          <w:tcPr>
            <w:tcW w:w="960" w:type="dxa"/>
            <w:noWrap/>
            <w:vAlign w:val="center"/>
          </w:tcPr>
          <w:p>
            <w:pPr>
              <w:jc w:val="center"/>
              <w:rPr>
                <w:rFonts w:ascii="宋体" w:hAnsi="宋体"/>
                <w:sz w:val="18"/>
                <w:szCs w:val="18"/>
              </w:rPr>
            </w:pPr>
            <w:r>
              <w:rPr>
                <w:rFonts w:hint="eastAsia" w:ascii="宋体" w:hAnsi="宋体"/>
                <w:sz w:val="18"/>
                <w:szCs w:val="18"/>
              </w:rPr>
              <w:t>15</w:t>
            </w:r>
          </w:p>
        </w:tc>
        <w:tc>
          <w:tcPr>
            <w:tcW w:w="1155" w:type="dxa"/>
            <w:noWrap/>
            <w:vAlign w:val="center"/>
          </w:tcPr>
          <w:p>
            <w:pPr>
              <w:jc w:val="center"/>
              <w:rPr>
                <w:rFonts w:ascii="宋体" w:hAnsi="宋体"/>
                <w:sz w:val="18"/>
                <w:szCs w:val="18"/>
              </w:rPr>
            </w:pPr>
            <w:r>
              <w:rPr>
                <w:rFonts w:hint="eastAsia" w:ascii="宋体" w:hAnsi="宋体"/>
                <w:sz w:val="18"/>
                <w:szCs w:val="18"/>
              </w:rPr>
              <w:t>16</w:t>
            </w:r>
          </w:p>
        </w:tc>
        <w:tc>
          <w:tcPr>
            <w:tcW w:w="873" w:type="dxa"/>
            <w:noWrap/>
            <w:vAlign w:val="center"/>
          </w:tcPr>
          <w:p>
            <w:pPr>
              <w:jc w:val="center"/>
              <w:rPr>
                <w:rFonts w:ascii="宋体" w:hAnsi="宋体"/>
                <w:sz w:val="18"/>
                <w:szCs w:val="18"/>
              </w:rPr>
            </w:pPr>
            <w:r>
              <w:rPr>
                <w:rFonts w:hint="eastAsia" w:ascii="宋体" w:hAnsi="宋体"/>
                <w:sz w:val="18"/>
                <w:szCs w:val="18"/>
              </w:rPr>
              <w:t>17</w:t>
            </w:r>
          </w:p>
        </w:tc>
        <w:tc>
          <w:tcPr>
            <w:tcW w:w="912" w:type="dxa"/>
            <w:noWrap/>
            <w:vAlign w:val="center"/>
          </w:tcPr>
          <w:p>
            <w:pPr>
              <w:jc w:val="center"/>
              <w:rPr>
                <w:rFonts w:ascii="宋体" w:hAnsi="宋体"/>
                <w:sz w:val="18"/>
                <w:szCs w:val="18"/>
              </w:rPr>
            </w:pPr>
            <w:r>
              <w:rPr>
                <w:rFonts w:hint="eastAsia" w:ascii="宋体" w:hAnsi="宋体"/>
                <w:sz w:val="18"/>
                <w:szCs w:val="18"/>
              </w:rPr>
              <w:t>18</w:t>
            </w:r>
          </w:p>
        </w:tc>
      </w:tr>
    </w:tbl>
    <w:p>
      <w:pPr>
        <w:spacing w:before="96" w:beforeLines="40"/>
        <w:rPr>
          <w:rFonts w:ascii="宋体" w:hAnsi="宋体"/>
          <w:sz w:val="18"/>
          <w:szCs w:val="18"/>
        </w:rPr>
      </w:pPr>
      <w:r>
        <w:rPr>
          <w:rFonts w:hint="eastAsia" w:ascii="宋体" w:hAnsi="宋体"/>
          <w:sz w:val="18"/>
          <w:szCs w:val="18"/>
        </w:rPr>
        <w:t>续表二</w:t>
      </w:r>
    </w:p>
    <w:tbl>
      <w:tblPr>
        <w:tblStyle w:val="21"/>
        <w:tblW w:w="9792" w:type="dxa"/>
        <w:tblInd w:w="-24"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972"/>
        <w:gridCol w:w="916"/>
        <w:gridCol w:w="878"/>
        <w:gridCol w:w="878"/>
        <w:gridCol w:w="878"/>
        <w:gridCol w:w="879"/>
        <w:gridCol w:w="878"/>
        <w:gridCol w:w="878"/>
        <w:gridCol w:w="878"/>
        <w:gridCol w:w="812"/>
        <w:gridCol w:w="945"/>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c>
          <w:tcPr>
            <w:tcW w:w="972" w:type="dxa"/>
            <w:noWrap/>
            <w:vAlign w:val="center"/>
          </w:tcPr>
          <w:p>
            <w:pPr>
              <w:jc w:val="center"/>
              <w:rPr>
                <w:rFonts w:ascii="宋体" w:hAnsi="宋体"/>
                <w:sz w:val="18"/>
                <w:szCs w:val="18"/>
              </w:rPr>
            </w:pPr>
            <w:r>
              <w:rPr>
                <w:rFonts w:hint="eastAsia" w:ascii="宋体" w:hAnsi="宋体"/>
                <w:sz w:val="18"/>
                <w:szCs w:val="18"/>
              </w:rPr>
              <w:t>汽 油       (万吨)</w:t>
            </w:r>
          </w:p>
        </w:tc>
        <w:tc>
          <w:tcPr>
            <w:tcW w:w="916" w:type="dxa"/>
            <w:noWrap/>
            <w:vAlign w:val="center"/>
          </w:tcPr>
          <w:p>
            <w:pPr>
              <w:jc w:val="center"/>
              <w:rPr>
                <w:rFonts w:ascii="宋体" w:hAnsi="宋体"/>
                <w:sz w:val="18"/>
                <w:szCs w:val="18"/>
              </w:rPr>
            </w:pPr>
            <w:r>
              <w:rPr>
                <w:rFonts w:hint="eastAsia" w:ascii="宋体" w:hAnsi="宋体"/>
                <w:sz w:val="18"/>
                <w:szCs w:val="18"/>
              </w:rPr>
              <w:t>煤 油          (万吨)</w:t>
            </w:r>
          </w:p>
        </w:tc>
        <w:tc>
          <w:tcPr>
            <w:tcW w:w="878" w:type="dxa"/>
            <w:noWrap/>
            <w:vAlign w:val="center"/>
          </w:tcPr>
          <w:p>
            <w:pPr>
              <w:jc w:val="center"/>
              <w:rPr>
                <w:rFonts w:ascii="宋体" w:hAnsi="宋体"/>
                <w:sz w:val="18"/>
                <w:szCs w:val="18"/>
              </w:rPr>
            </w:pPr>
            <w:r>
              <w:rPr>
                <w:rFonts w:hint="eastAsia" w:ascii="宋体" w:hAnsi="宋体"/>
                <w:sz w:val="18"/>
                <w:szCs w:val="18"/>
              </w:rPr>
              <w:t>柴 油          (万吨)</w:t>
            </w:r>
          </w:p>
        </w:tc>
        <w:tc>
          <w:tcPr>
            <w:tcW w:w="878" w:type="dxa"/>
            <w:noWrap/>
            <w:vAlign w:val="center"/>
          </w:tcPr>
          <w:p>
            <w:pPr>
              <w:jc w:val="center"/>
              <w:rPr>
                <w:rFonts w:ascii="宋体" w:hAnsi="宋体"/>
                <w:sz w:val="18"/>
                <w:szCs w:val="18"/>
              </w:rPr>
            </w:pPr>
            <w:r>
              <w:rPr>
                <w:rFonts w:hint="eastAsia" w:ascii="宋体" w:hAnsi="宋体"/>
                <w:sz w:val="18"/>
                <w:szCs w:val="18"/>
              </w:rPr>
              <w:t>燃料油   (万吨)</w:t>
            </w:r>
          </w:p>
        </w:tc>
        <w:tc>
          <w:tcPr>
            <w:tcW w:w="878" w:type="dxa"/>
            <w:noWrap/>
            <w:vAlign w:val="center"/>
          </w:tcPr>
          <w:p>
            <w:pPr>
              <w:jc w:val="center"/>
              <w:rPr>
                <w:rFonts w:ascii="宋体" w:hAnsi="宋体"/>
                <w:sz w:val="18"/>
                <w:szCs w:val="18"/>
              </w:rPr>
            </w:pPr>
            <w:r>
              <w:rPr>
                <w:rFonts w:hint="eastAsia" w:ascii="宋体" w:hAnsi="宋体"/>
                <w:sz w:val="18"/>
                <w:szCs w:val="18"/>
              </w:rPr>
              <w:t>石脑油  (万吨)</w:t>
            </w:r>
          </w:p>
        </w:tc>
        <w:tc>
          <w:tcPr>
            <w:tcW w:w="879" w:type="dxa"/>
            <w:noWrap/>
            <w:vAlign w:val="center"/>
          </w:tcPr>
          <w:p>
            <w:pPr>
              <w:jc w:val="center"/>
              <w:rPr>
                <w:rFonts w:ascii="宋体" w:hAnsi="宋体"/>
                <w:sz w:val="18"/>
                <w:szCs w:val="18"/>
              </w:rPr>
            </w:pPr>
            <w:r>
              <w:rPr>
                <w:rFonts w:hint="eastAsia" w:ascii="宋体" w:hAnsi="宋体"/>
                <w:sz w:val="18"/>
                <w:szCs w:val="18"/>
              </w:rPr>
              <w:t>润滑油  (万吨)</w:t>
            </w:r>
          </w:p>
        </w:tc>
        <w:tc>
          <w:tcPr>
            <w:tcW w:w="878" w:type="dxa"/>
            <w:noWrap/>
            <w:vAlign w:val="center"/>
          </w:tcPr>
          <w:p>
            <w:pPr>
              <w:jc w:val="center"/>
              <w:rPr>
                <w:rFonts w:ascii="宋体" w:hAnsi="宋体"/>
                <w:sz w:val="18"/>
                <w:szCs w:val="18"/>
              </w:rPr>
            </w:pPr>
            <w:r>
              <w:rPr>
                <w:rFonts w:hint="eastAsia" w:ascii="宋体" w:hAnsi="宋体"/>
                <w:sz w:val="18"/>
                <w:szCs w:val="18"/>
              </w:rPr>
              <w:t>石蜡          (万吨)</w:t>
            </w:r>
          </w:p>
        </w:tc>
        <w:tc>
          <w:tcPr>
            <w:tcW w:w="878" w:type="dxa"/>
            <w:tcBorders>
              <w:right w:val="single" w:color="auto" w:sz="4" w:space="0"/>
            </w:tcBorders>
            <w:noWrap/>
            <w:vAlign w:val="center"/>
          </w:tcPr>
          <w:p>
            <w:pPr>
              <w:jc w:val="center"/>
              <w:rPr>
                <w:rFonts w:ascii="宋体" w:hAnsi="宋体"/>
                <w:sz w:val="18"/>
                <w:szCs w:val="18"/>
              </w:rPr>
            </w:pPr>
            <w:r>
              <w:rPr>
                <w:rFonts w:hint="eastAsia" w:ascii="宋体" w:hAnsi="宋体"/>
                <w:sz w:val="18"/>
                <w:szCs w:val="18"/>
              </w:rPr>
              <w:t>溶剂油</w:t>
            </w:r>
          </w:p>
          <w:p>
            <w:pPr>
              <w:jc w:val="center"/>
              <w:rPr>
                <w:rFonts w:ascii="宋体" w:hAnsi="宋体"/>
                <w:sz w:val="18"/>
                <w:szCs w:val="18"/>
              </w:rPr>
            </w:pPr>
            <w:r>
              <w:rPr>
                <w:rFonts w:hint="eastAsia" w:ascii="宋体" w:hAnsi="宋体"/>
                <w:sz w:val="18"/>
                <w:szCs w:val="18"/>
              </w:rPr>
              <w:t>(万吨)</w:t>
            </w:r>
          </w:p>
        </w:tc>
        <w:tc>
          <w:tcPr>
            <w:tcW w:w="878" w:type="dxa"/>
            <w:tcBorders>
              <w:left w:val="single" w:color="auto" w:sz="4" w:space="0"/>
            </w:tcBorders>
            <w:noWrap/>
            <w:vAlign w:val="center"/>
          </w:tcPr>
          <w:p>
            <w:pPr>
              <w:jc w:val="center"/>
              <w:rPr>
                <w:rFonts w:ascii="宋体" w:hAnsi="宋体"/>
                <w:sz w:val="18"/>
                <w:szCs w:val="18"/>
              </w:rPr>
            </w:pPr>
            <w:r>
              <w:rPr>
                <w:rFonts w:hint="eastAsia" w:ascii="宋体" w:hAnsi="宋体"/>
                <w:sz w:val="18"/>
                <w:szCs w:val="18"/>
              </w:rPr>
              <w:t>石油沥青 (万吨)</w:t>
            </w:r>
          </w:p>
        </w:tc>
        <w:tc>
          <w:tcPr>
            <w:tcW w:w="812" w:type="dxa"/>
            <w:noWrap/>
            <w:vAlign w:val="center"/>
          </w:tcPr>
          <w:p>
            <w:pPr>
              <w:jc w:val="center"/>
              <w:rPr>
                <w:rFonts w:ascii="宋体" w:hAnsi="宋体"/>
                <w:sz w:val="18"/>
                <w:szCs w:val="18"/>
              </w:rPr>
            </w:pPr>
            <w:r>
              <w:rPr>
                <w:rFonts w:hint="eastAsia" w:ascii="宋体" w:hAnsi="宋体"/>
                <w:sz w:val="18"/>
                <w:szCs w:val="18"/>
              </w:rPr>
              <w:t>石油焦  (万吨)</w:t>
            </w:r>
          </w:p>
        </w:tc>
        <w:tc>
          <w:tcPr>
            <w:tcW w:w="945" w:type="dxa"/>
            <w:noWrap/>
            <w:vAlign w:val="center"/>
          </w:tcPr>
          <w:p>
            <w:pPr>
              <w:jc w:val="center"/>
              <w:rPr>
                <w:rFonts w:ascii="宋体" w:hAnsi="宋体"/>
                <w:sz w:val="18"/>
                <w:szCs w:val="18"/>
              </w:rPr>
            </w:pPr>
            <w:r>
              <w:rPr>
                <w:rFonts w:hint="eastAsia" w:ascii="宋体" w:hAnsi="宋体"/>
                <w:sz w:val="18"/>
                <w:szCs w:val="18"/>
              </w:rPr>
              <w:t>液化石油气           (万吨)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972" w:type="dxa"/>
            <w:noWrap/>
            <w:vAlign w:val="center"/>
          </w:tcPr>
          <w:p>
            <w:pPr>
              <w:jc w:val="center"/>
              <w:rPr>
                <w:rFonts w:ascii="宋体" w:hAnsi="宋体"/>
                <w:sz w:val="18"/>
                <w:szCs w:val="18"/>
              </w:rPr>
            </w:pPr>
            <w:r>
              <w:rPr>
                <w:rFonts w:hint="eastAsia" w:ascii="宋体" w:hAnsi="宋体"/>
                <w:sz w:val="18"/>
                <w:szCs w:val="18"/>
              </w:rPr>
              <w:t>19</w:t>
            </w:r>
          </w:p>
        </w:tc>
        <w:tc>
          <w:tcPr>
            <w:tcW w:w="916" w:type="dxa"/>
            <w:noWrap/>
            <w:vAlign w:val="center"/>
          </w:tcPr>
          <w:p>
            <w:pPr>
              <w:jc w:val="center"/>
              <w:rPr>
                <w:rFonts w:ascii="宋体" w:hAnsi="宋体"/>
                <w:sz w:val="18"/>
                <w:szCs w:val="18"/>
              </w:rPr>
            </w:pPr>
            <w:r>
              <w:rPr>
                <w:rFonts w:hint="eastAsia" w:ascii="宋体" w:hAnsi="宋体"/>
                <w:sz w:val="18"/>
                <w:szCs w:val="18"/>
              </w:rPr>
              <w:t>20</w:t>
            </w:r>
          </w:p>
        </w:tc>
        <w:tc>
          <w:tcPr>
            <w:tcW w:w="878" w:type="dxa"/>
            <w:noWrap/>
            <w:vAlign w:val="center"/>
          </w:tcPr>
          <w:p>
            <w:pPr>
              <w:jc w:val="center"/>
              <w:rPr>
                <w:rFonts w:ascii="宋体" w:hAnsi="宋体"/>
                <w:sz w:val="18"/>
                <w:szCs w:val="18"/>
              </w:rPr>
            </w:pPr>
            <w:r>
              <w:rPr>
                <w:rFonts w:hint="eastAsia" w:ascii="宋体" w:hAnsi="宋体"/>
                <w:sz w:val="18"/>
                <w:szCs w:val="18"/>
              </w:rPr>
              <w:t>21</w:t>
            </w:r>
          </w:p>
        </w:tc>
        <w:tc>
          <w:tcPr>
            <w:tcW w:w="878" w:type="dxa"/>
            <w:noWrap/>
            <w:vAlign w:val="center"/>
          </w:tcPr>
          <w:p>
            <w:pPr>
              <w:jc w:val="center"/>
              <w:rPr>
                <w:rFonts w:ascii="宋体" w:hAnsi="宋体"/>
                <w:sz w:val="18"/>
                <w:szCs w:val="18"/>
              </w:rPr>
            </w:pPr>
            <w:r>
              <w:rPr>
                <w:rFonts w:hint="eastAsia" w:ascii="宋体" w:hAnsi="宋体"/>
                <w:sz w:val="18"/>
                <w:szCs w:val="18"/>
              </w:rPr>
              <w:t>22</w:t>
            </w:r>
          </w:p>
        </w:tc>
        <w:tc>
          <w:tcPr>
            <w:tcW w:w="878" w:type="dxa"/>
            <w:noWrap/>
            <w:vAlign w:val="center"/>
          </w:tcPr>
          <w:p>
            <w:pPr>
              <w:jc w:val="center"/>
              <w:rPr>
                <w:rFonts w:ascii="宋体" w:hAnsi="宋体"/>
                <w:sz w:val="18"/>
                <w:szCs w:val="18"/>
              </w:rPr>
            </w:pPr>
            <w:r>
              <w:rPr>
                <w:rFonts w:hint="eastAsia" w:ascii="宋体" w:hAnsi="宋体"/>
                <w:sz w:val="18"/>
                <w:szCs w:val="18"/>
              </w:rPr>
              <w:t>23</w:t>
            </w:r>
          </w:p>
        </w:tc>
        <w:tc>
          <w:tcPr>
            <w:tcW w:w="879" w:type="dxa"/>
            <w:noWrap/>
            <w:vAlign w:val="center"/>
          </w:tcPr>
          <w:p>
            <w:pPr>
              <w:jc w:val="center"/>
              <w:rPr>
                <w:rFonts w:ascii="宋体" w:hAnsi="宋体"/>
                <w:sz w:val="18"/>
                <w:szCs w:val="18"/>
              </w:rPr>
            </w:pPr>
            <w:r>
              <w:rPr>
                <w:rFonts w:hint="eastAsia" w:ascii="宋体" w:hAnsi="宋体"/>
                <w:sz w:val="18"/>
                <w:szCs w:val="18"/>
              </w:rPr>
              <w:t>24</w:t>
            </w:r>
          </w:p>
        </w:tc>
        <w:tc>
          <w:tcPr>
            <w:tcW w:w="878" w:type="dxa"/>
            <w:noWrap/>
            <w:vAlign w:val="center"/>
          </w:tcPr>
          <w:p>
            <w:pPr>
              <w:jc w:val="center"/>
              <w:rPr>
                <w:rFonts w:ascii="宋体" w:hAnsi="宋体"/>
                <w:sz w:val="18"/>
                <w:szCs w:val="18"/>
              </w:rPr>
            </w:pPr>
            <w:r>
              <w:rPr>
                <w:rFonts w:hint="eastAsia" w:ascii="宋体" w:hAnsi="宋体"/>
                <w:sz w:val="18"/>
                <w:szCs w:val="18"/>
              </w:rPr>
              <w:t>25</w:t>
            </w:r>
          </w:p>
        </w:tc>
        <w:tc>
          <w:tcPr>
            <w:tcW w:w="878" w:type="dxa"/>
            <w:tcBorders>
              <w:right w:val="single" w:color="auto" w:sz="4" w:space="0"/>
            </w:tcBorders>
            <w:noWrap/>
            <w:vAlign w:val="center"/>
          </w:tcPr>
          <w:p>
            <w:pPr>
              <w:jc w:val="center"/>
              <w:rPr>
                <w:rFonts w:ascii="宋体" w:hAnsi="宋体"/>
                <w:sz w:val="18"/>
                <w:szCs w:val="18"/>
              </w:rPr>
            </w:pPr>
            <w:r>
              <w:rPr>
                <w:rFonts w:hint="eastAsia" w:ascii="宋体" w:hAnsi="宋体"/>
                <w:sz w:val="18"/>
                <w:szCs w:val="18"/>
              </w:rPr>
              <w:t>26</w:t>
            </w:r>
          </w:p>
        </w:tc>
        <w:tc>
          <w:tcPr>
            <w:tcW w:w="878" w:type="dxa"/>
            <w:tcBorders>
              <w:left w:val="single" w:color="auto" w:sz="4" w:space="0"/>
            </w:tcBorders>
            <w:noWrap/>
            <w:vAlign w:val="center"/>
          </w:tcPr>
          <w:p>
            <w:pPr>
              <w:jc w:val="center"/>
              <w:rPr>
                <w:rFonts w:ascii="宋体" w:hAnsi="宋体"/>
                <w:sz w:val="18"/>
                <w:szCs w:val="18"/>
              </w:rPr>
            </w:pPr>
            <w:r>
              <w:rPr>
                <w:rFonts w:hint="eastAsia" w:ascii="宋体" w:hAnsi="宋体"/>
                <w:sz w:val="18"/>
                <w:szCs w:val="18"/>
              </w:rPr>
              <w:t>27</w:t>
            </w:r>
          </w:p>
        </w:tc>
        <w:tc>
          <w:tcPr>
            <w:tcW w:w="812" w:type="dxa"/>
            <w:noWrap/>
            <w:vAlign w:val="center"/>
          </w:tcPr>
          <w:p>
            <w:pPr>
              <w:jc w:val="center"/>
              <w:rPr>
                <w:rFonts w:ascii="宋体" w:hAnsi="宋体"/>
                <w:sz w:val="18"/>
                <w:szCs w:val="18"/>
              </w:rPr>
            </w:pPr>
            <w:r>
              <w:rPr>
                <w:rFonts w:hint="eastAsia" w:ascii="宋体" w:hAnsi="宋体"/>
                <w:sz w:val="18"/>
                <w:szCs w:val="18"/>
              </w:rPr>
              <w:t>28</w:t>
            </w:r>
          </w:p>
        </w:tc>
        <w:tc>
          <w:tcPr>
            <w:tcW w:w="945" w:type="dxa"/>
            <w:noWrap/>
            <w:vAlign w:val="center"/>
          </w:tcPr>
          <w:p>
            <w:pPr>
              <w:jc w:val="center"/>
              <w:rPr>
                <w:rFonts w:ascii="宋体" w:hAnsi="宋体"/>
                <w:sz w:val="18"/>
                <w:szCs w:val="18"/>
              </w:rPr>
            </w:pPr>
            <w:r>
              <w:rPr>
                <w:rFonts w:hint="eastAsia" w:ascii="宋体" w:hAnsi="宋体"/>
                <w:sz w:val="18"/>
                <w:szCs w:val="18"/>
              </w:rPr>
              <w:t>29</w:t>
            </w:r>
          </w:p>
        </w:tc>
      </w:tr>
    </w:tbl>
    <w:p>
      <w:pPr>
        <w:spacing w:before="96" w:beforeLines="40"/>
        <w:rPr>
          <w:rFonts w:ascii="宋体" w:hAnsi="宋体"/>
          <w:sz w:val="18"/>
          <w:szCs w:val="18"/>
        </w:rPr>
      </w:pPr>
      <w:r>
        <w:rPr>
          <w:rFonts w:hint="eastAsia" w:ascii="宋体" w:hAnsi="宋体"/>
          <w:sz w:val="18"/>
          <w:szCs w:val="18"/>
        </w:rPr>
        <w:t>续表三</w:t>
      </w:r>
    </w:p>
    <w:tbl>
      <w:tblPr>
        <w:tblStyle w:val="21"/>
        <w:tblW w:w="9792" w:type="dxa"/>
        <w:tblInd w:w="-24"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972"/>
        <w:gridCol w:w="1092"/>
        <w:gridCol w:w="966"/>
        <w:gridCol w:w="966"/>
        <w:gridCol w:w="849"/>
        <w:gridCol w:w="857"/>
        <w:gridCol w:w="1005"/>
        <w:gridCol w:w="1245"/>
        <w:gridCol w:w="874"/>
        <w:gridCol w:w="966"/>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804" w:hRule="atLeast"/>
        </w:trPr>
        <w:tc>
          <w:tcPr>
            <w:tcW w:w="972" w:type="dxa"/>
            <w:noWrap/>
            <w:vAlign w:val="center"/>
          </w:tcPr>
          <w:p>
            <w:pPr>
              <w:jc w:val="center"/>
              <w:rPr>
                <w:rFonts w:ascii="宋体" w:hAnsi="宋体"/>
                <w:sz w:val="18"/>
                <w:szCs w:val="18"/>
              </w:rPr>
            </w:pPr>
            <w:r>
              <w:rPr>
                <w:rFonts w:hint="eastAsia" w:ascii="宋体" w:hAnsi="宋体"/>
                <w:sz w:val="18"/>
                <w:szCs w:val="18"/>
              </w:rPr>
              <w:t>炼厂干气          (万吨)</w:t>
            </w:r>
          </w:p>
        </w:tc>
        <w:tc>
          <w:tcPr>
            <w:tcW w:w="1092" w:type="dxa"/>
            <w:noWrap/>
            <w:vAlign w:val="center"/>
          </w:tcPr>
          <w:p>
            <w:pPr>
              <w:jc w:val="center"/>
              <w:rPr>
                <w:rFonts w:ascii="宋体" w:hAnsi="宋体"/>
                <w:sz w:val="18"/>
                <w:szCs w:val="18"/>
              </w:rPr>
            </w:pPr>
            <w:r>
              <w:rPr>
                <w:rFonts w:hint="eastAsia" w:ascii="宋体" w:hAnsi="宋体"/>
                <w:sz w:val="18"/>
                <w:szCs w:val="18"/>
              </w:rPr>
              <w:t>其他石油制品(万吨)</w:t>
            </w:r>
          </w:p>
        </w:tc>
        <w:tc>
          <w:tcPr>
            <w:tcW w:w="966" w:type="dxa"/>
            <w:noWrap/>
            <w:vAlign w:val="center"/>
          </w:tcPr>
          <w:p>
            <w:pPr>
              <w:jc w:val="center"/>
              <w:rPr>
                <w:rFonts w:ascii="宋体" w:hAnsi="宋体"/>
                <w:sz w:val="18"/>
                <w:szCs w:val="18"/>
              </w:rPr>
            </w:pPr>
            <w:r>
              <w:rPr>
                <w:rFonts w:hint="eastAsia" w:ascii="宋体" w:hAnsi="宋体"/>
                <w:sz w:val="18"/>
                <w:szCs w:val="18"/>
              </w:rPr>
              <w:t>天然气    (亿立方米)</w:t>
            </w:r>
          </w:p>
        </w:tc>
        <w:tc>
          <w:tcPr>
            <w:tcW w:w="966" w:type="dxa"/>
            <w:noWrap/>
            <w:vAlign w:val="center"/>
          </w:tcPr>
          <w:p>
            <w:pPr>
              <w:jc w:val="center"/>
              <w:rPr>
                <w:rFonts w:ascii="宋体" w:hAnsi="宋体"/>
                <w:sz w:val="18"/>
                <w:szCs w:val="18"/>
              </w:rPr>
            </w:pPr>
            <w:r>
              <w:rPr>
                <w:rFonts w:hint="eastAsia" w:ascii="宋体" w:hAnsi="宋体"/>
                <w:sz w:val="18"/>
                <w:szCs w:val="18"/>
              </w:rPr>
              <w:t>液化天然气  (万吨)</w:t>
            </w:r>
          </w:p>
        </w:tc>
        <w:tc>
          <w:tcPr>
            <w:tcW w:w="849" w:type="dxa"/>
            <w:noWrap/>
            <w:vAlign w:val="center"/>
          </w:tcPr>
          <w:p>
            <w:pPr>
              <w:jc w:val="center"/>
              <w:rPr>
                <w:rFonts w:ascii="宋体" w:hAnsi="宋体"/>
                <w:color w:val="auto"/>
                <w:sz w:val="18"/>
                <w:szCs w:val="18"/>
              </w:rPr>
            </w:pPr>
            <w:r>
              <w:rPr>
                <w:rFonts w:hint="eastAsia" w:ascii="宋体" w:hAnsi="宋体"/>
                <w:color w:val="auto"/>
                <w:sz w:val="18"/>
                <w:szCs w:val="18"/>
                <w:lang w:eastAsia="zh-CN"/>
              </w:rPr>
              <w:t>氢</w:t>
            </w:r>
            <w:r>
              <w:rPr>
                <w:rFonts w:hint="eastAsia" w:ascii="宋体" w:hAnsi="宋体"/>
                <w:color w:val="auto"/>
                <w:sz w:val="18"/>
                <w:szCs w:val="18"/>
                <w:lang w:val="en-US" w:eastAsia="zh-CN"/>
              </w:rPr>
              <w:t xml:space="preserve">  气</w:t>
            </w:r>
            <w:r>
              <w:rPr>
                <w:rFonts w:hint="eastAsia" w:ascii="宋体" w:hAnsi="宋体"/>
                <w:color w:val="auto"/>
                <w:sz w:val="18"/>
                <w:szCs w:val="18"/>
              </w:rPr>
              <w:t xml:space="preserve">            (</w:t>
            </w:r>
            <w:r>
              <w:rPr>
                <w:rFonts w:hint="eastAsia" w:ascii="宋体" w:hAnsi="宋体"/>
                <w:color w:val="auto"/>
                <w:sz w:val="18"/>
                <w:szCs w:val="18"/>
                <w:lang w:eastAsia="zh-CN"/>
              </w:rPr>
              <w:t>亿立方米</w:t>
            </w:r>
            <w:r>
              <w:rPr>
                <w:rFonts w:hint="eastAsia" w:ascii="宋体" w:hAnsi="宋体"/>
                <w:color w:val="auto"/>
                <w:sz w:val="18"/>
                <w:szCs w:val="18"/>
              </w:rPr>
              <w:t>)</w:t>
            </w:r>
          </w:p>
        </w:tc>
        <w:tc>
          <w:tcPr>
            <w:tcW w:w="857" w:type="dxa"/>
            <w:noWrap/>
            <w:vAlign w:val="center"/>
          </w:tcPr>
          <w:p>
            <w:pPr>
              <w:jc w:val="center"/>
              <w:rPr>
                <w:rFonts w:ascii="宋体" w:hAnsi="宋体"/>
                <w:sz w:val="18"/>
                <w:szCs w:val="18"/>
              </w:rPr>
            </w:pPr>
            <w:r>
              <w:rPr>
                <w:rFonts w:hint="eastAsia" w:ascii="宋体" w:hAnsi="宋体"/>
                <w:sz w:val="18"/>
                <w:szCs w:val="18"/>
              </w:rPr>
              <w:t>秸秆薪柴           (万吨)</w:t>
            </w:r>
          </w:p>
        </w:tc>
        <w:tc>
          <w:tcPr>
            <w:tcW w:w="1005" w:type="dxa"/>
            <w:noWrap/>
            <w:vAlign w:val="center"/>
          </w:tcPr>
          <w:p>
            <w:pPr>
              <w:jc w:val="center"/>
              <w:rPr>
                <w:rFonts w:ascii="宋体" w:hAnsi="宋体"/>
                <w:sz w:val="18"/>
                <w:szCs w:val="18"/>
              </w:rPr>
            </w:pPr>
            <w:r>
              <w:rPr>
                <w:rFonts w:hint="eastAsia" w:ascii="宋体" w:hAnsi="宋体"/>
                <w:sz w:val="18"/>
                <w:szCs w:val="18"/>
              </w:rPr>
              <w:t>沼  气          (万立方米)</w:t>
            </w:r>
          </w:p>
        </w:tc>
        <w:tc>
          <w:tcPr>
            <w:tcW w:w="1245" w:type="dxa"/>
            <w:noWrap/>
            <w:vAlign w:val="center"/>
          </w:tcPr>
          <w:p>
            <w:pPr>
              <w:jc w:val="center"/>
              <w:rPr>
                <w:rFonts w:ascii="宋体" w:hAnsi="宋体"/>
                <w:sz w:val="18"/>
                <w:szCs w:val="18"/>
              </w:rPr>
            </w:pPr>
            <w:r>
              <w:rPr>
                <w:rFonts w:hint="eastAsia" w:ascii="宋体" w:hAnsi="宋体"/>
                <w:sz w:val="18"/>
                <w:szCs w:val="18"/>
              </w:rPr>
              <w:t>热  力             (万百万千焦)</w:t>
            </w:r>
          </w:p>
        </w:tc>
        <w:tc>
          <w:tcPr>
            <w:tcW w:w="874" w:type="dxa"/>
            <w:noWrap/>
            <w:vAlign w:val="center"/>
          </w:tcPr>
          <w:p>
            <w:pPr>
              <w:jc w:val="center"/>
              <w:rPr>
                <w:rFonts w:ascii="宋体" w:hAnsi="宋体"/>
                <w:sz w:val="18"/>
                <w:szCs w:val="18"/>
              </w:rPr>
            </w:pPr>
            <w:r>
              <w:rPr>
                <w:rFonts w:hint="eastAsia" w:ascii="宋体" w:hAnsi="宋体"/>
                <w:sz w:val="18"/>
                <w:szCs w:val="18"/>
              </w:rPr>
              <w:t>电  力           (亿千瓦时)</w:t>
            </w:r>
          </w:p>
        </w:tc>
        <w:tc>
          <w:tcPr>
            <w:tcW w:w="966" w:type="dxa"/>
            <w:noWrap/>
            <w:vAlign w:val="center"/>
          </w:tcPr>
          <w:p>
            <w:pPr>
              <w:jc w:val="center"/>
              <w:rPr>
                <w:rFonts w:ascii="宋体" w:hAnsi="宋体"/>
                <w:sz w:val="18"/>
                <w:szCs w:val="18"/>
              </w:rPr>
            </w:pPr>
            <w:r>
              <w:rPr>
                <w:rFonts w:hint="eastAsia" w:ascii="宋体" w:hAnsi="宋体"/>
                <w:sz w:val="18"/>
                <w:szCs w:val="18"/>
              </w:rPr>
              <w:t>其他能源</w:t>
            </w:r>
          </w:p>
          <w:p>
            <w:pPr>
              <w:jc w:val="center"/>
              <w:rPr>
                <w:rFonts w:ascii="宋体" w:hAnsi="宋体"/>
                <w:sz w:val="18"/>
                <w:szCs w:val="18"/>
              </w:rPr>
            </w:pPr>
            <w:r>
              <w:rPr>
                <w:rFonts w:hint="eastAsia" w:ascii="宋体" w:hAnsi="宋体"/>
                <w:sz w:val="18"/>
                <w:szCs w:val="18"/>
              </w:rPr>
              <w:t>(万吨标煤)</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972" w:type="dxa"/>
            <w:noWrap/>
            <w:vAlign w:val="center"/>
          </w:tcPr>
          <w:p>
            <w:pPr>
              <w:jc w:val="center"/>
              <w:rPr>
                <w:rFonts w:ascii="宋体" w:hAnsi="宋体"/>
                <w:sz w:val="18"/>
                <w:szCs w:val="18"/>
              </w:rPr>
            </w:pPr>
            <w:r>
              <w:rPr>
                <w:rFonts w:hint="eastAsia" w:ascii="宋体" w:hAnsi="宋体"/>
                <w:sz w:val="18"/>
                <w:szCs w:val="18"/>
              </w:rPr>
              <w:t>30</w:t>
            </w:r>
          </w:p>
        </w:tc>
        <w:tc>
          <w:tcPr>
            <w:tcW w:w="1092" w:type="dxa"/>
            <w:noWrap/>
            <w:vAlign w:val="center"/>
          </w:tcPr>
          <w:p>
            <w:pPr>
              <w:jc w:val="center"/>
              <w:rPr>
                <w:rFonts w:ascii="宋体" w:hAnsi="宋体"/>
                <w:sz w:val="18"/>
                <w:szCs w:val="18"/>
              </w:rPr>
            </w:pPr>
            <w:r>
              <w:rPr>
                <w:rFonts w:hint="eastAsia" w:ascii="宋体" w:hAnsi="宋体"/>
                <w:sz w:val="18"/>
                <w:szCs w:val="18"/>
              </w:rPr>
              <w:t>31</w:t>
            </w:r>
          </w:p>
        </w:tc>
        <w:tc>
          <w:tcPr>
            <w:tcW w:w="966" w:type="dxa"/>
            <w:noWrap/>
            <w:vAlign w:val="center"/>
          </w:tcPr>
          <w:p>
            <w:pPr>
              <w:jc w:val="center"/>
              <w:rPr>
                <w:rFonts w:ascii="宋体" w:hAnsi="宋体"/>
                <w:sz w:val="18"/>
                <w:szCs w:val="18"/>
              </w:rPr>
            </w:pPr>
            <w:r>
              <w:rPr>
                <w:rFonts w:hint="eastAsia" w:ascii="宋体" w:hAnsi="宋体"/>
                <w:sz w:val="18"/>
                <w:szCs w:val="18"/>
              </w:rPr>
              <w:t>32</w:t>
            </w:r>
          </w:p>
        </w:tc>
        <w:tc>
          <w:tcPr>
            <w:tcW w:w="966" w:type="dxa"/>
            <w:noWrap/>
            <w:vAlign w:val="center"/>
          </w:tcPr>
          <w:p>
            <w:pPr>
              <w:jc w:val="center"/>
              <w:rPr>
                <w:rFonts w:ascii="宋体" w:hAnsi="宋体"/>
                <w:sz w:val="18"/>
                <w:szCs w:val="18"/>
              </w:rPr>
            </w:pPr>
            <w:r>
              <w:rPr>
                <w:rFonts w:hint="eastAsia" w:ascii="宋体" w:hAnsi="宋体"/>
                <w:sz w:val="18"/>
                <w:szCs w:val="18"/>
              </w:rPr>
              <w:t>33</w:t>
            </w:r>
          </w:p>
        </w:tc>
        <w:tc>
          <w:tcPr>
            <w:tcW w:w="849" w:type="dxa"/>
            <w:noWrap/>
            <w:vAlign w:val="center"/>
          </w:tcPr>
          <w:p>
            <w:pPr>
              <w:jc w:val="center"/>
              <w:rPr>
                <w:rFonts w:ascii="宋体" w:hAnsi="宋体"/>
                <w:sz w:val="18"/>
                <w:szCs w:val="18"/>
              </w:rPr>
            </w:pPr>
            <w:r>
              <w:rPr>
                <w:rFonts w:hint="eastAsia" w:ascii="宋体" w:hAnsi="宋体"/>
                <w:sz w:val="18"/>
                <w:szCs w:val="18"/>
              </w:rPr>
              <w:t>34</w:t>
            </w:r>
          </w:p>
        </w:tc>
        <w:tc>
          <w:tcPr>
            <w:tcW w:w="857" w:type="dxa"/>
            <w:noWrap/>
            <w:vAlign w:val="center"/>
          </w:tcPr>
          <w:p>
            <w:pPr>
              <w:jc w:val="center"/>
              <w:rPr>
                <w:rFonts w:ascii="宋体" w:hAnsi="宋体"/>
                <w:sz w:val="18"/>
                <w:szCs w:val="18"/>
              </w:rPr>
            </w:pPr>
            <w:r>
              <w:rPr>
                <w:rFonts w:hint="eastAsia" w:ascii="宋体" w:hAnsi="宋体"/>
                <w:sz w:val="18"/>
                <w:szCs w:val="18"/>
              </w:rPr>
              <w:t>35</w:t>
            </w:r>
          </w:p>
        </w:tc>
        <w:tc>
          <w:tcPr>
            <w:tcW w:w="1005" w:type="dxa"/>
            <w:noWrap/>
            <w:vAlign w:val="center"/>
          </w:tcPr>
          <w:p>
            <w:pPr>
              <w:jc w:val="center"/>
              <w:rPr>
                <w:rFonts w:ascii="宋体" w:hAnsi="宋体"/>
                <w:sz w:val="18"/>
                <w:szCs w:val="18"/>
              </w:rPr>
            </w:pPr>
            <w:r>
              <w:rPr>
                <w:rFonts w:hint="eastAsia" w:ascii="宋体" w:hAnsi="宋体"/>
                <w:sz w:val="18"/>
                <w:szCs w:val="18"/>
              </w:rPr>
              <w:t>36</w:t>
            </w:r>
          </w:p>
        </w:tc>
        <w:tc>
          <w:tcPr>
            <w:tcW w:w="1245" w:type="dxa"/>
            <w:noWrap/>
            <w:vAlign w:val="center"/>
          </w:tcPr>
          <w:p>
            <w:pPr>
              <w:jc w:val="center"/>
              <w:rPr>
                <w:rFonts w:ascii="宋体" w:hAnsi="宋体"/>
                <w:sz w:val="18"/>
                <w:szCs w:val="18"/>
              </w:rPr>
            </w:pPr>
            <w:r>
              <w:rPr>
                <w:rFonts w:hint="eastAsia" w:ascii="宋体" w:hAnsi="宋体"/>
                <w:sz w:val="18"/>
                <w:szCs w:val="18"/>
              </w:rPr>
              <w:t>37</w:t>
            </w:r>
          </w:p>
        </w:tc>
        <w:tc>
          <w:tcPr>
            <w:tcW w:w="874" w:type="dxa"/>
            <w:noWrap/>
            <w:vAlign w:val="center"/>
          </w:tcPr>
          <w:p>
            <w:pPr>
              <w:jc w:val="center"/>
              <w:rPr>
                <w:rFonts w:ascii="宋体" w:hAnsi="宋体"/>
                <w:sz w:val="18"/>
                <w:szCs w:val="18"/>
              </w:rPr>
            </w:pPr>
            <w:r>
              <w:rPr>
                <w:rFonts w:hint="eastAsia" w:ascii="宋体" w:hAnsi="宋体"/>
                <w:sz w:val="18"/>
                <w:szCs w:val="18"/>
              </w:rPr>
              <w:t>38</w:t>
            </w:r>
          </w:p>
        </w:tc>
        <w:tc>
          <w:tcPr>
            <w:tcW w:w="966" w:type="dxa"/>
            <w:noWrap/>
            <w:vAlign w:val="center"/>
          </w:tcPr>
          <w:p>
            <w:pPr>
              <w:jc w:val="center"/>
              <w:rPr>
                <w:rFonts w:ascii="宋体" w:hAnsi="宋体"/>
                <w:sz w:val="18"/>
                <w:szCs w:val="18"/>
              </w:rPr>
            </w:pPr>
            <w:r>
              <w:rPr>
                <w:rFonts w:hint="eastAsia" w:ascii="宋体" w:hAnsi="宋体"/>
                <w:sz w:val="18"/>
                <w:szCs w:val="18"/>
              </w:rPr>
              <w:t>39</w:t>
            </w:r>
          </w:p>
        </w:tc>
      </w:tr>
    </w:tbl>
    <w:p>
      <w:pPr>
        <w:spacing w:before="96" w:beforeLines="40"/>
        <w:rPr>
          <w:rFonts w:ascii="宋体" w:hAnsi="宋体"/>
          <w:sz w:val="18"/>
          <w:szCs w:val="18"/>
        </w:rPr>
      </w:pPr>
      <w:r>
        <w:rPr>
          <w:rFonts w:hint="eastAsia" w:ascii="宋体" w:hAnsi="宋体"/>
          <w:sz w:val="18"/>
          <w:szCs w:val="18"/>
        </w:rPr>
        <w:t xml:space="preserve">补充资料1：电力产量                                                                   计量单位：亿千瓦时                                               </w:t>
      </w:r>
    </w:p>
    <w:tbl>
      <w:tblPr>
        <w:tblStyle w:val="21"/>
        <w:tblW w:w="9792" w:type="dxa"/>
        <w:tblInd w:w="-24"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72"/>
        <w:gridCol w:w="1320"/>
        <w:gridCol w:w="1080"/>
        <w:gridCol w:w="1080"/>
        <w:gridCol w:w="1080"/>
        <w:gridCol w:w="1080"/>
        <w:gridCol w:w="1080"/>
        <w:gridCol w:w="1080"/>
        <w:gridCol w:w="102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c>
          <w:tcPr>
            <w:tcW w:w="972" w:type="dxa"/>
            <w:tcBorders>
              <w:top w:val="single" w:color="auto" w:sz="8" w:space="0"/>
              <w:bottom w:val="single" w:color="auto" w:sz="2" w:space="0"/>
              <w:right w:val="single" w:color="auto" w:sz="2" w:space="0"/>
            </w:tcBorders>
            <w:noWrap/>
            <w:vAlign w:val="center"/>
          </w:tcPr>
          <w:p>
            <w:pPr>
              <w:jc w:val="center"/>
              <w:rPr>
                <w:rFonts w:ascii="宋体" w:hAnsi="宋体"/>
                <w:sz w:val="18"/>
                <w:szCs w:val="18"/>
              </w:rPr>
            </w:pPr>
          </w:p>
        </w:tc>
        <w:tc>
          <w:tcPr>
            <w:tcW w:w="1320" w:type="dxa"/>
            <w:tcBorders>
              <w:top w:val="single" w:color="auto" w:sz="8"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合  计</w:t>
            </w:r>
          </w:p>
        </w:tc>
        <w:tc>
          <w:tcPr>
            <w:tcW w:w="1080" w:type="dxa"/>
            <w:tcBorders>
              <w:top w:val="single" w:color="auto" w:sz="8"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太阳能          热发电</w:t>
            </w:r>
          </w:p>
        </w:tc>
        <w:tc>
          <w:tcPr>
            <w:tcW w:w="1080" w:type="dxa"/>
            <w:tcBorders>
              <w:top w:val="single" w:color="auto" w:sz="8"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太阳能</w:t>
            </w:r>
          </w:p>
          <w:p>
            <w:pPr>
              <w:jc w:val="center"/>
              <w:rPr>
                <w:rFonts w:ascii="宋体" w:hAnsi="宋体"/>
                <w:sz w:val="18"/>
                <w:szCs w:val="18"/>
              </w:rPr>
            </w:pPr>
            <w:r>
              <w:rPr>
                <w:rFonts w:hint="eastAsia" w:ascii="宋体" w:hAnsi="宋体"/>
                <w:sz w:val="18"/>
                <w:szCs w:val="18"/>
              </w:rPr>
              <w:t>光伏发电</w:t>
            </w:r>
          </w:p>
        </w:tc>
        <w:tc>
          <w:tcPr>
            <w:tcW w:w="1080" w:type="dxa"/>
            <w:tcBorders>
              <w:top w:val="single" w:color="auto" w:sz="8"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风  电</w:t>
            </w:r>
          </w:p>
        </w:tc>
        <w:tc>
          <w:tcPr>
            <w:tcW w:w="1080" w:type="dxa"/>
            <w:tcBorders>
              <w:top w:val="single" w:color="auto" w:sz="8"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核  电</w:t>
            </w:r>
          </w:p>
        </w:tc>
        <w:tc>
          <w:tcPr>
            <w:tcW w:w="1080" w:type="dxa"/>
            <w:tcBorders>
              <w:top w:val="single" w:color="auto" w:sz="8"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水  电</w:t>
            </w:r>
          </w:p>
        </w:tc>
        <w:tc>
          <w:tcPr>
            <w:tcW w:w="1080" w:type="dxa"/>
            <w:tcBorders>
              <w:top w:val="single" w:color="auto" w:sz="8"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其    他          能源发电</w:t>
            </w:r>
          </w:p>
        </w:tc>
        <w:tc>
          <w:tcPr>
            <w:tcW w:w="1020" w:type="dxa"/>
            <w:tcBorders>
              <w:top w:val="single" w:color="auto" w:sz="8" w:space="0"/>
              <w:left w:val="single" w:color="auto" w:sz="2" w:space="0"/>
              <w:bottom w:val="single" w:color="auto" w:sz="2" w:space="0"/>
            </w:tcBorders>
            <w:noWrap/>
            <w:vAlign w:val="center"/>
          </w:tcPr>
          <w:p>
            <w:pPr>
              <w:jc w:val="center"/>
              <w:rPr>
                <w:rFonts w:ascii="宋体" w:hAnsi="宋体"/>
                <w:sz w:val="18"/>
                <w:szCs w:val="18"/>
              </w:rPr>
            </w:pPr>
            <w:r>
              <w:rPr>
                <w:rFonts w:hint="eastAsia" w:ascii="宋体" w:hAnsi="宋体"/>
                <w:sz w:val="18"/>
                <w:szCs w:val="18"/>
              </w:rPr>
              <w:t>火  电</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72" w:type="dxa"/>
            <w:tcBorders>
              <w:top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甲</w:t>
            </w:r>
          </w:p>
        </w:tc>
        <w:tc>
          <w:tcPr>
            <w:tcW w:w="1320"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1</w:t>
            </w:r>
          </w:p>
        </w:tc>
        <w:tc>
          <w:tcPr>
            <w:tcW w:w="1080"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2</w:t>
            </w:r>
          </w:p>
        </w:tc>
        <w:tc>
          <w:tcPr>
            <w:tcW w:w="1080"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3</w:t>
            </w:r>
          </w:p>
        </w:tc>
        <w:tc>
          <w:tcPr>
            <w:tcW w:w="1080"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4</w:t>
            </w:r>
          </w:p>
        </w:tc>
        <w:tc>
          <w:tcPr>
            <w:tcW w:w="1080"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5</w:t>
            </w:r>
          </w:p>
        </w:tc>
        <w:tc>
          <w:tcPr>
            <w:tcW w:w="1080"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6</w:t>
            </w:r>
          </w:p>
        </w:tc>
        <w:tc>
          <w:tcPr>
            <w:tcW w:w="1080"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7</w:t>
            </w:r>
          </w:p>
        </w:tc>
        <w:tc>
          <w:tcPr>
            <w:tcW w:w="1020" w:type="dxa"/>
            <w:tcBorders>
              <w:top w:val="single" w:color="auto" w:sz="2" w:space="0"/>
              <w:left w:val="single" w:color="auto" w:sz="2" w:space="0"/>
              <w:bottom w:val="single" w:color="auto" w:sz="2" w:space="0"/>
            </w:tcBorders>
            <w:noWrap/>
            <w:vAlign w:val="center"/>
          </w:tcPr>
          <w:p>
            <w:pPr>
              <w:jc w:val="center"/>
              <w:rPr>
                <w:rFonts w:ascii="宋体" w:hAnsi="宋体"/>
                <w:sz w:val="18"/>
                <w:szCs w:val="18"/>
              </w:rPr>
            </w:pPr>
            <w:r>
              <w:rPr>
                <w:rFonts w:hint="eastAsia" w:ascii="宋体" w:hAnsi="宋体"/>
                <w:sz w:val="18"/>
                <w:szCs w:val="18"/>
              </w:rPr>
              <w:t>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72" w:type="dxa"/>
            <w:tcBorders>
              <w:top w:val="single" w:color="auto" w:sz="2" w:space="0"/>
              <w:bottom w:val="single" w:color="auto" w:sz="8" w:space="0"/>
              <w:right w:val="single" w:color="auto" w:sz="2" w:space="0"/>
            </w:tcBorders>
            <w:noWrap/>
            <w:vAlign w:val="center"/>
          </w:tcPr>
          <w:p>
            <w:pPr>
              <w:jc w:val="center"/>
              <w:rPr>
                <w:rFonts w:ascii="宋体" w:hAnsi="宋体"/>
                <w:sz w:val="18"/>
                <w:szCs w:val="18"/>
              </w:rPr>
            </w:pPr>
            <w:r>
              <w:rPr>
                <w:rFonts w:hint="eastAsia" w:ascii="宋体" w:hAnsi="宋体"/>
                <w:sz w:val="18"/>
                <w:szCs w:val="18"/>
              </w:rPr>
              <w:t>产量</w:t>
            </w:r>
          </w:p>
        </w:tc>
        <w:tc>
          <w:tcPr>
            <w:tcW w:w="8820" w:type="dxa"/>
            <w:gridSpan w:val="8"/>
            <w:tcBorders>
              <w:top w:val="single" w:color="auto" w:sz="2" w:space="0"/>
              <w:left w:val="single" w:color="auto" w:sz="2" w:space="0"/>
              <w:bottom w:val="single" w:color="auto" w:sz="8" w:space="0"/>
            </w:tcBorders>
            <w:noWrap/>
            <w:vAlign w:val="center"/>
          </w:tcPr>
          <w:p>
            <w:pPr>
              <w:rPr>
                <w:rFonts w:ascii="宋体" w:hAnsi="宋体"/>
                <w:sz w:val="18"/>
                <w:szCs w:val="18"/>
              </w:rPr>
            </w:pPr>
          </w:p>
        </w:tc>
      </w:tr>
    </w:tbl>
    <w:p>
      <w:pPr>
        <w:spacing w:before="96" w:beforeLines="40"/>
        <w:rPr>
          <w:rFonts w:ascii="宋体" w:hAnsi="宋体"/>
          <w:sz w:val="18"/>
          <w:szCs w:val="18"/>
        </w:rPr>
      </w:pPr>
      <w:r>
        <w:rPr>
          <w:rFonts w:hint="eastAsia" w:ascii="宋体" w:hAnsi="宋体"/>
          <w:sz w:val="18"/>
          <w:szCs w:val="18"/>
        </w:rPr>
        <w:t>补充资料2：国际燃料舱                                                                  计量单位：万吨</w:t>
      </w:r>
    </w:p>
    <w:tbl>
      <w:tblPr>
        <w:tblStyle w:val="21"/>
        <w:tblW w:w="0" w:type="auto"/>
        <w:tblInd w:w="108"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23"/>
        <w:gridCol w:w="2043"/>
        <w:gridCol w:w="2043"/>
        <w:gridCol w:w="2043"/>
        <w:gridCol w:w="218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423" w:type="dxa"/>
            <w:tcBorders>
              <w:top w:val="single" w:color="auto" w:sz="8" w:space="0"/>
              <w:bottom w:val="single" w:color="auto" w:sz="2" w:space="0"/>
              <w:right w:val="single" w:color="auto" w:sz="2" w:space="0"/>
            </w:tcBorders>
            <w:noWrap/>
            <w:vAlign w:val="center"/>
          </w:tcPr>
          <w:p>
            <w:pPr>
              <w:jc w:val="center"/>
              <w:rPr>
                <w:rFonts w:ascii="宋体" w:hAnsi="宋体"/>
                <w:sz w:val="18"/>
                <w:szCs w:val="18"/>
              </w:rPr>
            </w:pPr>
          </w:p>
        </w:tc>
        <w:tc>
          <w:tcPr>
            <w:tcW w:w="2043" w:type="dxa"/>
            <w:tcBorders>
              <w:top w:val="single" w:color="auto" w:sz="8"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汽油</w:t>
            </w:r>
          </w:p>
        </w:tc>
        <w:tc>
          <w:tcPr>
            <w:tcW w:w="2043" w:type="dxa"/>
            <w:tcBorders>
              <w:top w:val="single" w:color="auto" w:sz="8"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煤油</w:t>
            </w:r>
          </w:p>
        </w:tc>
        <w:tc>
          <w:tcPr>
            <w:tcW w:w="2043" w:type="dxa"/>
            <w:tcBorders>
              <w:top w:val="single" w:color="auto" w:sz="8"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柴油</w:t>
            </w:r>
          </w:p>
        </w:tc>
        <w:tc>
          <w:tcPr>
            <w:tcW w:w="2184" w:type="dxa"/>
            <w:tcBorders>
              <w:top w:val="single" w:color="auto" w:sz="8" w:space="0"/>
              <w:left w:val="single" w:color="auto" w:sz="2" w:space="0"/>
              <w:bottom w:val="single" w:color="auto" w:sz="2" w:space="0"/>
            </w:tcBorders>
            <w:noWrap/>
            <w:vAlign w:val="center"/>
          </w:tcPr>
          <w:p>
            <w:pPr>
              <w:jc w:val="center"/>
              <w:rPr>
                <w:rFonts w:ascii="宋体" w:hAnsi="宋体"/>
                <w:sz w:val="18"/>
                <w:szCs w:val="18"/>
              </w:rPr>
            </w:pPr>
            <w:r>
              <w:rPr>
                <w:rFonts w:hint="eastAsia" w:ascii="宋体" w:hAnsi="宋体"/>
                <w:sz w:val="18"/>
                <w:szCs w:val="18"/>
              </w:rPr>
              <w:t>燃料油</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23" w:type="dxa"/>
            <w:tcBorders>
              <w:top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甲</w:t>
            </w:r>
          </w:p>
        </w:tc>
        <w:tc>
          <w:tcPr>
            <w:tcW w:w="2043"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1</w:t>
            </w:r>
          </w:p>
        </w:tc>
        <w:tc>
          <w:tcPr>
            <w:tcW w:w="2043"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2</w:t>
            </w:r>
          </w:p>
        </w:tc>
        <w:tc>
          <w:tcPr>
            <w:tcW w:w="2043"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3</w:t>
            </w:r>
          </w:p>
        </w:tc>
        <w:tc>
          <w:tcPr>
            <w:tcW w:w="2184" w:type="dxa"/>
            <w:tcBorders>
              <w:top w:val="single" w:color="auto" w:sz="2" w:space="0"/>
              <w:left w:val="single" w:color="auto" w:sz="2" w:space="0"/>
              <w:bottom w:val="single" w:color="auto" w:sz="2" w:space="0"/>
            </w:tcBorders>
            <w:noWrap/>
            <w:vAlign w:val="center"/>
          </w:tcPr>
          <w:p>
            <w:pPr>
              <w:jc w:val="center"/>
              <w:rPr>
                <w:rFonts w:ascii="宋体" w:hAnsi="宋体"/>
                <w:sz w:val="18"/>
                <w:szCs w:val="18"/>
              </w:rPr>
            </w:pPr>
            <w:r>
              <w:rPr>
                <w:rFonts w:hint="eastAsia" w:ascii="宋体" w:hAnsi="宋体"/>
                <w:sz w:val="18"/>
                <w:szCs w:val="18"/>
              </w:rPr>
              <w:t>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423" w:type="dxa"/>
            <w:tcBorders>
              <w:top w:val="single" w:color="auto" w:sz="2" w:space="0"/>
              <w:bottom w:val="single" w:color="auto" w:sz="8" w:space="0"/>
              <w:right w:val="single" w:color="auto" w:sz="2" w:space="0"/>
            </w:tcBorders>
            <w:noWrap/>
            <w:vAlign w:val="center"/>
          </w:tcPr>
          <w:p>
            <w:pPr>
              <w:rPr>
                <w:rFonts w:ascii="宋体" w:hAnsi="宋体"/>
                <w:sz w:val="18"/>
                <w:szCs w:val="18"/>
              </w:rPr>
            </w:pPr>
            <w:r>
              <w:rPr>
                <w:rFonts w:hint="eastAsia" w:ascii="宋体" w:hAnsi="宋体"/>
                <w:sz w:val="18"/>
                <w:szCs w:val="18"/>
              </w:rPr>
              <w:t>国际航空</w:t>
            </w:r>
          </w:p>
          <w:p>
            <w:pPr>
              <w:rPr>
                <w:rFonts w:ascii="宋体" w:hAnsi="宋体"/>
                <w:sz w:val="18"/>
                <w:szCs w:val="18"/>
              </w:rPr>
            </w:pPr>
            <w:r>
              <w:rPr>
                <w:rFonts w:hint="eastAsia" w:ascii="宋体" w:hAnsi="宋体"/>
                <w:sz w:val="18"/>
                <w:szCs w:val="18"/>
              </w:rPr>
              <w:t>国际海运</w:t>
            </w:r>
          </w:p>
        </w:tc>
        <w:tc>
          <w:tcPr>
            <w:tcW w:w="8312" w:type="dxa"/>
            <w:gridSpan w:val="4"/>
            <w:tcBorders>
              <w:top w:val="single" w:color="auto" w:sz="2" w:space="0"/>
              <w:left w:val="single" w:color="auto" w:sz="2" w:space="0"/>
              <w:bottom w:val="single" w:color="auto" w:sz="8" w:space="0"/>
            </w:tcBorders>
            <w:noWrap/>
          </w:tcPr>
          <w:p>
            <w:pPr>
              <w:rPr>
                <w:rFonts w:ascii="宋体" w:hAnsi="宋体"/>
                <w:sz w:val="18"/>
                <w:szCs w:val="18"/>
              </w:rPr>
            </w:pPr>
          </w:p>
        </w:tc>
      </w:tr>
    </w:tbl>
    <w:p>
      <w:pPr>
        <w:jc w:val="center"/>
        <w:rPr>
          <w:rFonts w:ascii="宋体" w:hAnsi="宋体"/>
          <w:sz w:val="18"/>
          <w:szCs w:val="18"/>
        </w:rPr>
      </w:pPr>
      <w:r>
        <w:rPr>
          <w:rFonts w:hint="eastAsia" w:ascii="宋体" w:hAnsi="宋体" w:cs="宋体"/>
          <w:kern w:val="0"/>
          <w:sz w:val="18"/>
          <w:szCs w:val="18"/>
        </w:rPr>
        <w:t>单位负责人：         统计负责人：         填表人：         联系电话：         报出日期：２０   年  月  日</w:t>
      </w:r>
    </w:p>
    <w:p>
      <w:pPr>
        <w:ind w:right="-40"/>
        <w:rPr>
          <w:rFonts w:ascii="宋体" w:hAnsi="宋体"/>
          <w:b/>
          <w:sz w:val="18"/>
          <w:szCs w:val="18"/>
        </w:rPr>
      </w:pPr>
    </w:p>
    <w:p>
      <w:pPr>
        <w:spacing w:line="260" w:lineRule="exact"/>
        <w:ind w:right="-4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说明</w:t>
      </w:r>
      <w:r>
        <w:rPr>
          <w:rFonts w:hint="eastAsia" w:asciiTheme="minorEastAsia" w:hAnsiTheme="minorEastAsia" w:eastAsiaTheme="minorEastAsia" w:cstheme="minorEastAsia"/>
          <w:sz w:val="18"/>
          <w:szCs w:val="18"/>
        </w:rPr>
        <w:t>：1.统计范围：辖区内除军队系统以外的全部能源生产和消费活动。</w:t>
      </w:r>
    </w:p>
    <w:p>
      <w:pPr>
        <w:spacing w:line="260" w:lineRule="exact"/>
        <w:ind w:left="556" w:leftChars="265" w:right="-4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2.本表由各区统计机构根据现有资料加工编制并负责报送。报送时间为次年5月30日前，报送方式为电子邮件</w:t>
      </w:r>
      <w:r>
        <w:rPr>
          <w:rFonts w:hint="eastAsia" w:asciiTheme="minorEastAsia" w:hAnsiTheme="minorEastAsia" w:eastAsiaTheme="minorEastAsia" w:cstheme="minorEastAsia"/>
          <w:sz w:val="18"/>
        </w:rPr>
        <w:t>（gzstjjnyc@gz.gov.cn）</w:t>
      </w:r>
      <w:r>
        <w:rPr>
          <w:rFonts w:hint="eastAsia" w:asciiTheme="minorEastAsia" w:hAnsiTheme="minorEastAsia" w:eastAsiaTheme="minorEastAsia" w:cstheme="minorEastAsia"/>
          <w:sz w:val="18"/>
          <w:szCs w:val="18"/>
        </w:rPr>
        <w:t>。</w:t>
      </w:r>
    </w:p>
    <w:p>
      <w:pPr>
        <w:spacing w:line="260" w:lineRule="exact"/>
        <w:ind w:left="556" w:leftChars="265" w:right="-4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3.平衡关系：</w:t>
      </w:r>
    </w:p>
    <w:p>
      <w:pPr>
        <w:spacing w:line="260" w:lineRule="exact"/>
        <w:ind w:left="573" w:leftChars="273" w:right="-40" w:firstLine="180" w:firstLineChars="1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列平衡关系：(1)第1列煤合计=2+7+8+9 （01-39行）</w:t>
      </w:r>
    </w:p>
    <w:p>
      <w:pPr>
        <w:spacing w:line="260" w:lineRule="exact"/>
        <w:ind w:left="573" w:leftChars="273" w:right="-40" w:firstLine="1260" w:firstLineChars="7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(2)第2列原煤=3+4+5+6 </w:t>
      </w:r>
    </w:p>
    <w:p>
      <w:pPr>
        <w:spacing w:line="260" w:lineRule="exact"/>
        <w:ind w:left="573" w:leftChars="273" w:right="-40" w:firstLine="1260" w:firstLineChars="7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(3)第17列油品合计=18+19+……+31（01-39行）</w:t>
      </w:r>
    </w:p>
    <w:p>
      <w:pPr>
        <w:spacing w:line="260" w:lineRule="exact"/>
        <w:ind w:left="573" w:leftChars="273" w:right="-40" w:firstLine="180" w:firstLineChars="1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行平衡关系：(1)平衡差额(39)=01+11-23-25</w:t>
      </w:r>
    </w:p>
    <w:p>
      <w:pPr>
        <w:spacing w:line="260" w:lineRule="exact"/>
        <w:ind w:left="573" w:leftChars="273" w:right="-40" w:firstLine="1260" w:firstLineChars="7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(2)消费量合计(40)=加工转换投入量(加工转换部分的全部负值求和后取绝对值)+23+25</w:t>
      </w:r>
    </w:p>
    <w:p>
      <w:pPr>
        <w:spacing w:line="260" w:lineRule="exact"/>
        <w:ind w:left="573" w:leftChars="273" w:right="-40" w:firstLine="1260" w:firstLineChars="7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(3)可供本地区消费的能源量(01)=02+03+……+10</w:t>
      </w:r>
    </w:p>
    <w:p>
      <w:pPr>
        <w:spacing w:line="260" w:lineRule="exact"/>
        <w:ind w:left="573" w:leftChars="273" w:right="-40" w:firstLine="1260" w:firstLineChars="7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(4)加工转换投入产出(11)=12+13+……+22                 </w:t>
      </w:r>
    </w:p>
    <w:p>
      <w:pPr>
        <w:spacing w:line="260" w:lineRule="exact"/>
        <w:ind w:left="573" w:leftChars="273" w:right="-40" w:firstLine="1260" w:firstLineChars="7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(5)损失量(23)≥24</w:t>
      </w:r>
    </w:p>
    <w:p>
      <w:pPr>
        <w:spacing w:line="260" w:lineRule="exact"/>
        <w:ind w:left="573" w:leftChars="273" w:right="-40" w:firstLine="1260" w:firstLineChars="7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(6)终端消费量(25)=26+28+32+36                         </w:t>
      </w:r>
    </w:p>
    <w:p>
      <w:pPr>
        <w:spacing w:line="260" w:lineRule="exact"/>
        <w:ind w:left="573" w:leftChars="273" w:right="-40" w:firstLine="1260" w:firstLineChars="7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(7)农、林、牧、渔业(26)≥27</w:t>
      </w:r>
    </w:p>
    <w:p>
      <w:pPr>
        <w:spacing w:line="260" w:lineRule="exact"/>
        <w:ind w:left="573" w:leftChars="273" w:right="-40" w:firstLine="1260" w:firstLineChars="7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(8)工业和建筑业(28)=29+31                                 </w:t>
      </w:r>
    </w:p>
    <w:p>
      <w:pPr>
        <w:spacing w:line="260" w:lineRule="exact"/>
        <w:ind w:left="573" w:leftChars="273" w:right="-40" w:firstLine="1260" w:firstLineChars="7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(9)工业(29)≥30</w:t>
      </w:r>
    </w:p>
    <w:p>
      <w:pPr>
        <w:spacing w:line="260" w:lineRule="exact"/>
        <w:ind w:left="573" w:leftChars="273" w:right="-40" w:firstLine="1260" w:firstLineChars="7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(10)服务业</w:t>
      </w:r>
      <w:r>
        <w:rPr>
          <w:rFonts w:hint="eastAsia" w:asciiTheme="minorEastAsia" w:hAnsiTheme="minorEastAsia" w:eastAsiaTheme="minorEastAsia" w:cstheme="minorEastAsia"/>
          <w:kern w:val="0"/>
          <w:sz w:val="18"/>
          <w:szCs w:val="18"/>
          <w:vertAlign w:val="superscript"/>
        </w:rPr>
        <w:t>*</w:t>
      </w:r>
      <w:r>
        <w:rPr>
          <w:rFonts w:hint="eastAsia" w:asciiTheme="minorEastAsia" w:hAnsiTheme="minorEastAsia" w:eastAsiaTheme="minorEastAsia" w:cstheme="minorEastAsia"/>
          <w:sz w:val="18"/>
          <w:szCs w:val="18"/>
        </w:rPr>
        <w:t xml:space="preserve">(32)=33+34+35                             </w:t>
      </w:r>
    </w:p>
    <w:p>
      <w:pPr>
        <w:spacing w:line="260" w:lineRule="exact"/>
        <w:ind w:left="573" w:leftChars="273" w:right="-40" w:firstLine="1260" w:firstLineChars="7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(11)居民生活(36)=37+38</w:t>
      </w:r>
    </w:p>
    <w:p>
      <w:pPr>
        <w:spacing w:line="260" w:lineRule="exact"/>
        <w:ind w:left="573" w:leftChars="273" w:right="-4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4.电力产量：合计(1)=2+3+4+5+6+7+8</w:t>
      </w:r>
    </w:p>
    <w:p>
      <w:pPr>
        <w:spacing w:line="260" w:lineRule="exact"/>
        <w:ind w:left="573" w:leftChars="273" w:right="-4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5.国际燃料舱指用于国际航空和海运航线</w:t>
      </w:r>
      <w:r>
        <w:rPr>
          <w:rFonts w:hint="eastAsia" w:asciiTheme="minorEastAsia" w:hAnsiTheme="minorEastAsia" w:eastAsiaTheme="minorEastAsia" w:cstheme="minorEastAsia"/>
          <w:kern w:val="0"/>
          <w:sz w:val="18"/>
          <w:szCs w:val="18"/>
        </w:rPr>
        <w:t>飞机和轮船</w:t>
      </w:r>
      <w:r>
        <w:rPr>
          <w:rFonts w:hint="eastAsia" w:asciiTheme="minorEastAsia" w:hAnsiTheme="minorEastAsia" w:eastAsiaTheme="minorEastAsia" w:cstheme="minorEastAsia"/>
          <w:sz w:val="18"/>
          <w:szCs w:val="18"/>
        </w:rPr>
        <w:t>的消费量。</w:t>
      </w:r>
    </w:p>
    <w:p>
      <w:pPr>
        <w:spacing w:line="260" w:lineRule="exact"/>
        <w:jc w:val="center"/>
      </w:pPr>
      <w:r>
        <w:br w:type="page"/>
      </w:r>
    </w:p>
    <w:p>
      <w:pPr>
        <w:jc w:val="center"/>
        <w:rPr>
          <w:rFonts w:ascii="宋体" w:hAnsi="宋体"/>
          <w:b/>
          <w:sz w:val="18"/>
          <w:szCs w:val="18"/>
        </w:rPr>
      </w:pPr>
      <w:r>
        <w:rPr>
          <w:rFonts w:hint="eastAsia" w:ascii="宋体" w:hAnsi="宋体"/>
          <w:b/>
          <w:sz w:val="32"/>
          <w:szCs w:val="32"/>
        </w:rPr>
        <w:t>分行业能源消费量(实物量)</w:t>
      </w:r>
    </w:p>
    <w:p>
      <w:pPr>
        <w:spacing w:line="480" w:lineRule="exact"/>
        <w:jc w:val="center"/>
        <w:rPr>
          <w:rFonts w:ascii="宋体" w:hAnsi="宋体"/>
          <w:sz w:val="28"/>
          <w:szCs w:val="28"/>
        </w:rPr>
      </w:pPr>
      <w:r>
        <w:rPr>
          <w:rFonts w:hint="eastAsia" w:ascii="宋体" w:hAnsi="宋体"/>
          <w:sz w:val="28"/>
          <w:szCs w:val="28"/>
        </w:rPr>
        <w:t xml:space="preserve"> (包括中间投入和损失量)</w:t>
      </w:r>
    </w:p>
    <w:tbl>
      <w:tblPr>
        <w:tblStyle w:val="21"/>
        <w:tblW w:w="9735" w:type="dxa"/>
        <w:jc w:val="center"/>
        <w:tblLayout w:type="autofit"/>
        <w:tblCellMar>
          <w:top w:w="0" w:type="dxa"/>
          <w:left w:w="0" w:type="dxa"/>
          <w:bottom w:w="0" w:type="dxa"/>
          <w:right w:w="0" w:type="dxa"/>
        </w:tblCellMar>
      </w:tblPr>
      <w:tblGrid>
        <w:gridCol w:w="1980"/>
        <w:gridCol w:w="720"/>
        <w:gridCol w:w="907"/>
        <w:gridCol w:w="198"/>
        <w:gridCol w:w="710"/>
        <w:gridCol w:w="130"/>
        <w:gridCol w:w="755"/>
        <w:gridCol w:w="900"/>
        <w:gridCol w:w="645"/>
        <w:gridCol w:w="255"/>
        <w:gridCol w:w="600"/>
        <w:gridCol w:w="285"/>
        <w:gridCol w:w="787"/>
        <w:gridCol w:w="863"/>
        <w:gridCol w:w="30"/>
      </w:tblGrid>
      <w:tr>
        <w:tblPrEx>
          <w:tblCellMar>
            <w:top w:w="0" w:type="dxa"/>
            <w:left w:w="0" w:type="dxa"/>
            <w:bottom w:w="0" w:type="dxa"/>
            <w:right w:w="0" w:type="dxa"/>
          </w:tblCellMar>
        </w:tblPrEx>
        <w:trPr>
          <w:gridAfter w:val="1"/>
          <w:wAfter w:w="30" w:type="dxa"/>
          <w:jc w:val="center"/>
        </w:trPr>
        <w:tc>
          <w:tcPr>
            <w:tcW w:w="3805" w:type="dxa"/>
            <w:gridSpan w:val="4"/>
          </w:tcPr>
          <w:p>
            <w:pPr>
              <w:spacing w:line="260" w:lineRule="exact"/>
              <w:rPr>
                <w:rFonts w:asciiTheme="minorEastAsia" w:hAnsiTheme="minorEastAsia" w:eastAsiaTheme="minorEastAsia" w:cstheme="minorEastAsia"/>
                <w:sz w:val="18"/>
                <w:szCs w:val="18"/>
              </w:rPr>
            </w:pPr>
          </w:p>
        </w:tc>
        <w:tc>
          <w:tcPr>
            <w:tcW w:w="840" w:type="dxa"/>
            <w:gridSpan w:val="2"/>
          </w:tcPr>
          <w:p>
            <w:pPr>
              <w:spacing w:line="260" w:lineRule="exact"/>
              <w:rPr>
                <w:rFonts w:asciiTheme="minorEastAsia" w:hAnsiTheme="minorEastAsia" w:eastAsiaTheme="minorEastAsia" w:cstheme="minorEastAsia"/>
                <w:sz w:val="18"/>
                <w:szCs w:val="18"/>
              </w:rPr>
            </w:pPr>
          </w:p>
        </w:tc>
        <w:tc>
          <w:tcPr>
            <w:tcW w:w="2300" w:type="dxa"/>
            <w:gridSpan w:val="3"/>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w:t>
            </w:r>
          </w:p>
        </w:tc>
        <w:tc>
          <w:tcPr>
            <w:tcW w:w="855" w:type="dxa"/>
            <w:gridSpan w:val="2"/>
            <w:tcMar>
              <w:left w:w="0" w:type="dxa"/>
              <w:right w:w="0" w:type="dxa"/>
            </w:tcMa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表    号：</w:t>
            </w:r>
          </w:p>
        </w:tc>
        <w:tc>
          <w:tcPr>
            <w:tcW w:w="1935" w:type="dxa"/>
            <w:gridSpan w:val="3"/>
            <w:vAlign w:val="center"/>
          </w:tcPr>
          <w:p>
            <w:pPr>
              <w:spacing w:line="26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Ｐ３０３－２表</w:t>
            </w:r>
          </w:p>
        </w:tc>
      </w:tr>
      <w:tr>
        <w:tblPrEx>
          <w:tblCellMar>
            <w:top w:w="0" w:type="dxa"/>
            <w:left w:w="0" w:type="dxa"/>
            <w:bottom w:w="0" w:type="dxa"/>
            <w:right w:w="0" w:type="dxa"/>
          </w:tblCellMar>
        </w:tblPrEx>
        <w:trPr>
          <w:gridAfter w:val="1"/>
          <w:wAfter w:w="30" w:type="dxa"/>
          <w:jc w:val="center"/>
        </w:trPr>
        <w:tc>
          <w:tcPr>
            <w:tcW w:w="3805" w:type="dxa"/>
            <w:gridSpan w:val="4"/>
          </w:tcPr>
          <w:p>
            <w:pPr>
              <w:spacing w:line="260" w:lineRule="exact"/>
              <w:rPr>
                <w:rFonts w:asciiTheme="minorEastAsia" w:hAnsiTheme="minorEastAsia" w:eastAsiaTheme="minorEastAsia" w:cstheme="minorEastAsia"/>
                <w:sz w:val="18"/>
                <w:szCs w:val="18"/>
              </w:rPr>
            </w:pPr>
          </w:p>
        </w:tc>
        <w:tc>
          <w:tcPr>
            <w:tcW w:w="840" w:type="dxa"/>
            <w:gridSpan w:val="2"/>
          </w:tcPr>
          <w:p>
            <w:pPr>
              <w:spacing w:line="260" w:lineRule="exact"/>
              <w:rPr>
                <w:rFonts w:asciiTheme="minorEastAsia" w:hAnsiTheme="minorEastAsia" w:eastAsiaTheme="minorEastAsia" w:cstheme="minorEastAsia"/>
                <w:sz w:val="18"/>
                <w:szCs w:val="18"/>
              </w:rPr>
            </w:pPr>
          </w:p>
        </w:tc>
        <w:tc>
          <w:tcPr>
            <w:tcW w:w="2300" w:type="dxa"/>
            <w:gridSpan w:val="3"/>
          </w:tcPr>
          <w:p>
            <w:pPr>
              <w:spacing w:line="260" w:lineRule="exact"/>
              <w:rPr>
                <w:rFonts w:asciiTheme="minorEastAsia" w:hAnsiTheme="minorEastAsia" w:eastAsiaTheme="minorEastAsia" w:cstheme="minorEastAsia"/>
                <w:sz w:val="18"/>
                <w:szCs w:val="18"/>
              </w:rPr>
            </w:pPr>
          </w:p>
        </w:tc>
        <w:tc>
          <w:tcPr>
            <w:tcW w:w="855" w:type="dxa"/>
            <w:gridSpan w:val="2"/>
            <w:tcMar>
              <w:left w:w="0" w:type="dxa"/>
              <w:right w:w="0"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制定机关：</w:t>
            </w:r>
          </w:p>
        </w:tc>
        <w:tc>
          <w:tcPr>
            <w:tcW w:w="1935" w:type="dxa"/>
            <w:gridSpan w:val="3"/>
            <w:vAlign w:val="center"/>
          </w:tcPr>
          <w:p>
            <w:pPr>
              <w:spacing w:line="26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国 家 统 计 局</w:t>
            </w:r>
          </w:p>
        </w:tc>
      </w:tr>
      <w:tr>
        <w:tblPrEx>
          <w:tblCellMar>
            <w:top w:w="0" w:type="dxa"/>
            <w:left w:w="0" w:type="dxa"/>
            <w:bottom w:w="0" w:type="dxa"/>
            <w:right w:w="0" w:type="dxa"/>
          </w:tblCellMar>
        </w:tblPrEx>
        <w:trPr>
          <w:gridAfter w:val="1"/>
          <w:wAfter w:w="30" w:type="dxa"/>
          <w:jc w:val="center"/>
        </w:trPr>
        <w:tc>
          <w:tcPr>
            <w:tcW w:w="3805" w:type="dxa"/>
            <w:gridSpan w:val="4"/>
          </w:tcPr>
          <w:p>
            <w:pPr>
              <w:spacing w:line="260" w:lineRule="exact"/>
              <w:jc w:val="left"/>
              <w:rPr>
                <w:rFonts w:asciiTheme="minorEastAsia" w:hAnsiTheme="minorEastAsia" w:eastAsiaTheme="minorEastAsia" w:cstheme="minorEastAsia"/>
                <w:sz w:val="18"/>
                <w:szCs w:val="18"/>
              </w:rPr>
            </w:pPr>
          </w:p>
        </w:tc>
        <w:tc>
          <w:tcPr>
            <w:tcW w:w="840" w:type="dxa"/>
            <w:gridSpan w:val="2"/>
          </w:tcPr>
          <w:p>
            <w:pPr>
              <w:spacing w:line="260" w:lineRule="exact"/>
              <w:rPr>
                <w:rFonts w:asciiTheme="minorEastAsia" w:hAnsiTheme="minorEastAsia" w:eastAsiaTheme="minorEastAsia" w:cstheme="minorEastAsia"/>
                <w:sz w:val="18"/>
                <w:szCs w:val="18"/>
              </w:rPr>
            </w:pPr>
          </w:p>
        </w:tc>
        <w:tc>
          <w:tcPr>
            <w:tcW w:w="2300" w:type="dxa"/>
            <w:gridSpan w:val="3"/>
          </w:tcPr>
          <w:p>
            <w:pPr>
              <w:spacing w:line="260" w:lineRule="exact"/>
              <w:rPr>
                <w:rFonts w:asciiTheme="minorEastAsia" w:hAnsiTheme="minorEastAsia" w:eastAsiaTheme="minorEastAsia" w:cstheme="minorEastAsia"/>
                <w:sz w:val="18"/>
                <w:szCs w:val="18"/>
              </w:rPr>
            </w:pPr>
          </w:p>
        </w:tc>
        <w:tc>
          <w:tcPr>
            <w:tcW w:w="855" w:type="dxa"/>
            <w:gridSpan w:val="2"/>
            <w:tcMar>
              <w:left w:w="0" w:type="dxa"/>
              <w:right w:w="0"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文    号：</w:t>
            </w:r>
          </w:p>
        </w:tc>
        <w:tc>
          <w:tcPr>
            <w:tcW w:w="1935" w:type="dxa"/>
            <w:gridSpan w:val="3"/>
            <w:vAlign w:val="center"/>
          </w:tcPr>
          <w:p>
            <w:pPr>
              <w:spacing w:line="260" w:lineRule="exact"/>
              <w:jc w:val="distribute"/>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国</w:t>
            </w:r>
            <w:r>
              <w:rPr>
                <w:rFonts w:hint="eastAsia" w:ascii="宋体" w:hAnsi="宋体"/>
                <w:color w:val="auto"/>
                <w:sz w:val="18"/>
                <w:szCs w:val="18"/>
              </w:rPr>
              <w:t>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Theme="minorEastAsia" w:hAnsiTheme="minorEastAsia" w:eastAsiaTheme="minorEastAsia" w:cstheme="minorEastAsia"/>
                <w:color w:val="auto"/>
                <w:spacing w:val="-16"/>
                <w:sz w:val="18"/>
                <w:szCs w:val="18"/>
              </w:rPr>
              <w:t>号</w:t>
            </w:r>
          </w:p>
        </w:tc>
      </w:tr>
      <w:tr>
        <w:tblPrEx>
          <w:tblCellMar>
            <w:top w:w="0" w:type="dxa"/>
            <w:left w:w="0" w:type="dxa"/>
            <w:bottom w:w="0" w:type="dxa"/>
            <w:right w:w="0" w:type="dxa"/>
          </w:tblCellMar>
        </w:tblPrEx>
        <w:trPr>
          <w:gridAfter w:val="1"/>
          <w:wAfter w:w="30" w:type="dxa"/>
          <w:jc w:val="center"/>
        </w:trPr>
        <w:tc>
          <w:tcPr>
            <w:tcW w:w="3805" w:type="dxa"/>
            <w:gridSpan w:val="4"/>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rPr>
              <w:t>综合机关名称：</w:t>
            </w:r>
          </w:p>
        </w:tc>
        <w:tc>
          <w:tcPr>
            <w:tcW w:w="840" w:type="dxa"/>
            <w:gridSpan w:val="2"/>
          </w:tcPr>
          <w:p>
            <w:pPr>
              <w:spacing w:line="260" w:lineRule="exact"/>
              <w:rPr>
                <w:rFonts w:asciiTheme="minorEastAsia" w:hAnsiTheme="minorEastAsia" w:eastAsiaTheme="minorEastAsia" w:cstheme="minorEastAsia"/>
                <w:sz w:val="18"/>
                <w:szCs w:val="18"/>
              </w:rPr>
            </w:pPr>
          </w:p>
        </w:tc>
        <w:tc>
          <w:tcPr>
            <w:tcW w:w="2300" w:type="dxa"/>
            <w:gridSpan w:val="3"/>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２０　　年　　　　　　　　　</w:t>
            </w:r>
          </w:p>
        </w:tc>
        <w:tc>
          <w:tcPr>
            <w:tcW w:w="855" w:type="dxa"/>
            <w:gridSpan w:val="2"/>
            <w:tcMar>
              <w:left w:w="0" w:type="dxa"/>
              <w:right w:w="0"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有效期至：</w:t>
            </w:r>
          </w:p>
        </w:tc>
        <w:tc>
          <w:tcPr>
            <w:tcW w:w="1935" w:type="dxa"/>
            <w:gridSpan w:val="3"/>
            <w:vAlign w:val="center"/>
          </w:tcPr>
          <w:p>
            <w:pPr>
              <w:spacing w:line="260" w:lineRule="exact"/>
              <w:jc w:val="distribute"/>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２０２</w:t>
            </w:r>
            <w:r>
              <w:rPr>
                <w:rFonts w:hint="eastAsia" w:asciiTheme="minorEastAsia" w:hAnsiTheme="minorEastAsia" w:eastAsiaTheme="minorEastAsia" w:cstheme="minorEastAsia"/>
                <w:color w:val="auto"/>
                <w:sz w:val="18"/>
                <w:szCs w:val="18"/>
                <w:lang w:val="en-US" w:eastAsia="zh-CN"/>
              </w:rPr>
              <w:t>6</w:t>
            </w:r>
            <w:r>
              <w:rPr>
                <w:rFonts w:hint="eastAsia" w:asciiTheme="minorEastAsia" w:hAnsiTheme="minorEastAsia" w:eastAsiaTheme="minorEastAsia" w:cstheme="minorEastAsia"/>
                <w:color w:val="auto"/>
                <w:sz w:val="18"/>
                <w:szCs w:val="18"/>
              </w:rPr>
              <w:t>年６月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125" w:hRule="atLeast"/>
          <w:jc w:val="center"/>
        </w:trPr>
        <w:tc>
          <w:tcPr>
            <w:tcW w:w="1980" w:type="dxa"/>
            <w:vMerge w:val="restart"/>
            <w:tcBorders>
              <w:top w:val="single" w:color="auto" w:sz="8" w:space="0"/>
            </w:tcBorders>
            <w:noWrap/>
            <w:vAlign w:val="center"/>
          </w:tcPr>
          <w:p>
            <w:pPr>
              <w:jc w:val="center"/>
              <w:rPr>
                <w:rFonts w:ascii="宋体" w:hAnsi="宋体"/>
                <w:sz w:val="18"/>
                <w:szCs w:val="18"/>
              </w:rPr>
            </w:pPr>
            <w:r>
              <w:rPr>
                <w:rFonts w:hint="eastAsia" w:ascii="宋体" w:hAnsi="宋体"/>
                <w:sz w:val="18"/>
                <w:szCs w:val="18"/>
              </w:rPr>
              <w:t>指标名称</w:t>
            </w:r>
          </w:p>
        </w:tc>
        <w:tc>
          <w:tcPr>
            <w:tcW w:w="720" w:type="dxa"/>
            <w:vMerge w:val="restart"/>
            <w:tcBorders>
              <w:top w:val="single" w:color="auto" w:sz="8" w:space="0"/>
            </w:tcBorders>
            <w:noWrap/>
            <w:vAlign w:val="center"/>
          </w:tcPr>
          <w:p>
            <w:pPr>
              <w:jc w:val="center"/>
              <w:rPr>
                <w:rFonts w:ascii="宋体" w:hAnsi="宋体"/>
                <w:sz w:val="18"/>
                <w:szCs w:val="18"/>
              </w:rPr>
            </w:pPr>
            <w:r>
              <w:rPr>
                <w:rFonts w:hint="eastAsia" w:ascii="宋体" w:hAnsi="宋体"/>
                <w:sz w:val="18"/>
                <w:szCs w:val="18"/>
              </w:rPr>
              <w:t>代码</w:t>
            </w:r>
          </w:p>
        </w:tc>
        <w:tc>
          <w:tcPr>
            <w:tcW w:w="907" w:type="dxa"/>
            <w:vMerge w:val="restart"/>
            <w:tcBorders>
              <w:top w:val="single" w:color="auto" w:sz="8" w:space="0"/>
            </w:tcBorders>
            <w:noWrap/>
            <w:vAlign w:val="center"/>
          </w:tcPr>
          <w:p>
            <w:pPr>
              <w:jc w:val="center"/>
              <w:rPr>
                <w:rFonts w:ascii="宋体" w:hAnsi="宋体"/>
                <w:sz w:val="18"/>
                <w:szCs w:val="18"/>
              </w:rPr>
            </w:pPr>
            <w:r>
              <w:rPr>
                <w:rFonts w:hint="eastAsia" w:ascii="宋体" w:hAnsi="宋体"/>
                <w:sz w:val="18"/>
                <w:szCs w:val="18"/>
              </w:rPr>
              <w:t>煤合</w:t>
            </w:r>
            <w:r>
              <w:rPr>
                <w:rFonts w:ascii="宋体" w:hAnsi="宋体"/>
                <w:sz w:val="18"/>
                <w:szCs w:val="18"/>
              </w:rPr>
              <w:t>计</w:t>
            </w:r>
          </w:p>
          <w:p>
            <w:pPr>
              <w:jc w:val="center"/>
              <w:rPr>
                <w:rFonts w:ascii="宋体" w:hAnsi="宋体"/>
                <w:sz w:val="18"/>
                <w:szCs w:val="18"/>
              </w:rPr>
            </w:pPr>
            <w:r>
              <w:rPr>
                <w:rFonts w:ascii="宋体" w:hAnsi="宋体"/>
                <w:sz w:val="18"/>
                <w:szCs w:val="18"/>
              </w:rPr>
              <w:t>(万吨)</w:t>
            </w:r>
          </w:p>
        </w:tc>
        <w:tc>
          <w:tcPr>
            <w:tcW w:w="908" w:type="dxa"/>
            <w:gridSpan w:val="2"/>
            <w:vMerge w:val="restart"/>
            <w:tcBorders>
              <w:top w:val="single" w:color="auto" w:sz="8" w:space="0"/>
              <w:bottom w:val="single" w:color="auto" w:sz="2" w:space="0"/>
              <w:right w:val="nil"/>
            </w:tcBorders>
            <w:noWrap/>
            <w:vAlign w:val="center"/>
          </w:tcPr>
          <w:p>
            <w:pPr>
              <w:jc w:val="center"/>
              <w:rPr>
                <w:rFonts w:ascii="宋体" w:hAnsi="宋体"/>
                <w:sz w:val="18"/>
                <w:szCs w:val="18"/>
              </w:rPr>
            </w:pPr>
            <w:r>
              <w:rPr>
                <w:rFonts w:hint="eastAsia" w:ascii="宋体" w:hAnsi="宋体"/>
                <w:sz w:val="18"/>
                <w:szCs w:val="18"/>
              </w:rPr>
              <w:t xml:space="preserve">原 </w:t>
            </w:r>
            <w:r>
              <w:rPr>
                <w:rFonts w:ascii="宋体" w:hAnsi="宋体"/>
                <w:sz w:val="18"/>
                <w:szCs w:val="18"/>
              </w:rPr>
              <w:t>煤</w:t>
            </w:r>
          </w:p>
          <w:p>
            <w:pPr>
              <w:jc w:val="center"/>
              <w:rPr>
                <w:rFonts w:ascii="宋体" w:hAnsi="宋体"/>
                <w:sz w:val="18"/>
                <w:szCs w:val="18"/>
              </w:rPr>
            </w:pPr>
            <w:r>
              <w:rPr>
                <w:rFonts w:ascii="宋体" w:hAnsi="宋体"/>
                <w:sz w:val="18"/>
                <w:szCs w:val="18"/>
              </w:rPr>
              <w:t>(万吨)</w:t>
            </w:r>
          </w:p>
        </w:tc>
        <w:tc>
          <w:tcPr>
            <w:tcW w:w="3570" w:type="dxa"/>
            <w:gridSpan w:val="7"/>
            <w:tcBorders>
              <w:top w:val="single" w:color="auto" w:sz="8" w:space="0"/>
              <w:left w:val="nil"/>
              <w:bottom w:val="single" w:color="auto" w:sz="2" w:space="0"/>
            </w:tcBorders>
            <w:noWrap/>
            <w:vAlign w:val="center"/>
          </w:tcPr>
          <w:p>
            <w:pPr>
              <w:jc w:val="center"/>
              <w:rPr>
                <w:rFonts w:ascii="宋体" w:hAnsi="宋体"/>
                <w:sz w:val="18"/>
                <w:szCs w:val="18"/>
              </w:rPr>
            </w:pPr>
          </w:p>
        </w:tc>
        <w:tc>
          <w:tcPr>
            <w:tcW w:w="787" w:type="dxa"/>
            <w:vMerge w:val="restart"/>
            <w:tcBorders>
              <w:top w:val="single" w:color="auto" w:sz="8" w:space="0"/>
            </w:tcBorders>
            <w:noWrap/>
            <w:vAlign w:val="center"/>
          </w:tcPr>
          <w:p>
            <w:pPr>
              <w:ind w:left="-105" w:leftChars="-50" w:right="-105" w:rightChars="-50"/>
              <w:jc w:val="center"/>
              <w:rPr>
                <w:rFonts w:ascii="宋体" w:hAnsi="宋体"/>
                <w:sz w:val="18"/>
                <w:szCs w:val="18"/>
              </w:rPr>
            </w:pPr>
            <w:r>
              <w:rPr>
                <w:rFonts w:hint="eastAsia" w:ascii="宋体" w:hAnsi="宋体"/>
                <w:sz w:val="18"/>
                <w:szCs w:val="18"/>
              </w:rPr>
              <w:t>洗精煤         (万吨)</w:t>
            </w:r>
          </w:p>
        </w:tc>
        <w:tc>
          <w:tcPr>
            <w:tcW w:w="893" w:type="dxa"/>
            <w:gridSpan w:val="2"/>
            <w:vMerge w:val="restart"/>
            <w:tcBorders>
              <w:top w:val="single" w:color="auto" w:sz="8" w:space="0"/>
            </w:tcBorders>
            <w:noWrap/>
            <w:vAlign w:val="center"/>
          </w:tcPr>
          <w:p>
            <w:pPr>
              <w:ind w:left="-105" w:leftChars="-50" w:right="-105" w:rightChars="-50"/>
              <w:jc w:val="center"/>
              <w:rPr>
                <w:rFonts w:ascii="宋体" w:hAnsi="宋体"/>
                <w:sz w:val="18"/>
                <w:szCs w:val="18"/>
              </w:rPr>
            </w:pPr>
            <w:r>
              <w:rPr>
                <w:rFonts w:hint="eastAsia" w:ascii="宋体" w:hAnsi="宋体"/>
                <w:sz w:val="18"/>
                <w:szCs w:val="18"/>
              </w:rPr>
              <w:t>其他洗煤         (万吨)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195" w:hRule="atLeast"/>
          <w:jc w:val="center"/>
        </w:trPr>
        <w:tc>
          <w:tcPr>
            <w:tcW w:w="1980" w:type="dxa"/>
            <w:vMerge w:val="continue"/>
            <w:noWrap/>
            <w:vAlign w:val="center"/>
          </w:tcPr>
          <w:p>
            <w:pPr>
              <w:jc w:val="center"/>
              <w:rPr>
                <w:rFonts w:ascii="宋体" w:hAnsi="宋体"/>
                <w:sz w:val="18"/>
                <w:szCs w:val="18"/>
              </w:rPr>
            </w:pPr>
          </w:p>
        </w:tc>
        <w:tc>
          <w:tcPr>
            <w:tcW w:w="720" w:type="dxa"/>
            <w:vMerge w:val="continue"/>
            <w:noWrap/>
            <w:vAlign w:val="center"/>
          </w:tcPr>
          <w:p>
            <w:pPr>
              <w:jc w:val="center"/>
              <w:rPr>
                <w:rFonts w:ascii="宋体" w:hAnsi="宋体"/>
                <w:sz w:val="18"/>
                <w:szCs w:val="18"/>
              </w:rPr>
            </w:pPr>
          </w:p>
        </w:tc>
        <w:tc>
          <w:tcPr>
            <w:tcW w:w="907" w:type="dxa"/>
            <w:vMerge w:val="continue"/>
            <w:noWrap/>
            <w:vAlign w:val="center"/>
          </w:tcPr>
          <w:p>
            <w:pPr>
              <w:jc w:val="center"/>
              <w:rPr>
                <w:rFonts w:ascii="宋体" w:hAnsi="宋体"/>
                <w:sz w:val="18"/>
                <w:szCs w:val="18"/>
              </w:rPr>
            </w:pPr>
          </w:p>
        </w:tc>
        <w:tc>
          <w:tcPr>
            <w:tcW w:w="908" w:type="dxa"/>
            <w:gridSpan w:val="2"/>
            <w:vMerge w:val="continue"/>
            <w:tcBorders>
              <w:top w:val="single" w:color="auto" w:sz="2" w:space="0"/>
            </w:tcBorders>
            <w:noWrap/>
            <w:vAlign w:val="center"/>
          </w:tcPr>
          <w:p>
            <w:pPr>
              <w:jc w:val="center"/>
              <w:rPr>
                <w:rFonts w:ascii="宋体" w:hAnsi="宋体"/>
                <w:sz w:val="18"/>
                <w:szCs w:val="18"/>
              </w:rPr>
            </w:pPr>
          </w:p>
        </w:tc>
        <w:tc>
          <w:tcPr>
            <w:tcW w:w="885" w:type="dxa"/>
            <w:gridSpan w:val="2"/>
            <w:vMerge w:val="restart"/>
            <w:tcBorders>
              <w:top w:val="single" w:color="auto" w:sz="2" w:space="0"/>
            </w:tcBorders>
            <w:noWrap/>
            <w:vAlign w:val="center"/>
          </w:tcPr>
          <w:p>
            <w:pPr>
              <w:jc w:val="center"/>
              <w:rPr>
                <w:rFonts w:ascii="宋体" w:hAnsi="宋体"/>
                <w:sz w:val="18"/>
                <w:szCs w:val="18"/>
              </w:rPr>
            </w:pPr>
            <w:r>
              <w:rPr>
                <w:rFonts w:hint="eastAsia" w:ascii="宋体" w:hAnsi="宋体"/>
                <w:sz w:val="18"/>
                <w:szCs w:val="18"/>
              </w:rPr>
              <w:t>无烟煤 (万吨)</w:t>
            </w:r>
          </w:p>
        </w:tc>
        <w:tc>
          <w:tcPr>
            <w:tcW w:w="1800" w:type="dxa"/>
            <w:gridSpan w:val="3"/>
            <w:tcBorders>
              <w:top w:val="single" w:color="auto" w:sz="2" w:space="0"/>
            </w:tcBorders>
            <w:noWrap/>
            <w:vAlign w:val="center"/>
          </w:tcPr>
          <w:p>
            <w:pPr>
              <w:jc w:val="center"/>
              <w:rPr>
                <w:rFonts w:ascii="宋体" w:hAnsi="宋体"/>
                <w:sz w:val="18"/>
                <w:szCs w:val="18"/>
              </w:rPr>
            </w:pPr>
            <w:r>
              <w:rPr>
                <w:rFonts w:hint="eastAsia" w:ascii="宋体" w:hAnsi="宋体"/>
                <w:sz w:val="18"/>
                <w:szCs w:val="18"/>
              </w:rPr>
              <w:t>烟煤(万吨)</w:t>
            </w:r>
          </w:p>
        </w:tc>
        <w:tc>
          <w:tcPr>
            <w:tcW w:w="885" w:type="dxa"/>
            <w:gridSpan w:val="2"/>
            <w:vMerge w:val="restart"/>
            <w:tcBorders>
              <w:top w:val="single" w:color="auto" w:sz="2" w:space="0"/>
            </w:tcBorders>
            <w:noWrap/>
            <w:vAlign w:val="center"/>
          </w:tcPr>
          <w:p>
            <w:pPr>
              <w:jc w:val="center"/>
              <w:rPr>
                <w:rFonts w:ascii="宋体" w:hAnsi="宋体"/>
                <w:sz w:val="18"/>
                <w:szCs w:val="18"/>
              </w:rPr>
            </w:pPr>
            <w:r>
              <w:rPr>
                <w:rFonts w:hint="eastAsia" w:ascii="宋体" w:hAnsi="宋体"/>
                <w:sz w:val="18"/>
                <w:szCs w:val="18"/>
              </w:rPr>
              <w:t xml:space="preserve">褐 煤 </w:t>
            </w:r>
          </w:p>
          <w:p>
            <w:pPr>
              <w:jc w:val="center"/>
              <w:rPr>
                <w:rFonts w:ascii="宋体" w:hAnsi="宋体"/>
                <w:sz w:val="18"/>
                <w:szCs w:val="18"/>
              </w:rPr>
            </w:pPr>
            <w:r>
              <w:rPr>
                <w:rFonts w:hint="eastAsia" w:ascii="宋体" w:hAnsi="宋体"/>
                <w:sz w:val="18"/>
                <w:szCs w:val="18"/>
              </w:rPr>
              <w:t>(万吨)</w:t>
            </w:r>
          </w:p>
        </w:tc>
        <w:tc>
          <w:tcPr>
            <w:tcW w:w="787" w:type="dxa"/>
            <w:vMerge w:val="continue"/>
            <w:noWrap/>
            <w:vAlign w:val="center"/>
          </w:tcPr>
          <w:p>
            <w:pPr>
              <w:jc w:val="center"/>
              <w:rPr>
                <w:rFonts w:ascii="宋体" w:hAnsi="宋体"/>
                <w:sz w:val="18"/>
                <w:szCs w:val="18"/>
              </w:rPr>
            </w:pPr>
          </w:p>
        </w:tc>
        <w:tc>
          <w:tcPr>
            <w:tcW w:w="893" w:type="dxa"/>
            <w:gridSpan w:val="2"/>
            <w:vMerge w:val="continue"/>
            <w:noWrap/>
            <w:vAlign w:val="center"/>
          </w:tcPr>
          <w:p>
            <w:pPr>
              <w:jc w:val="center"/>
              <w:rPr>
                <w:rFonts w:ascii="宋体" w:hAnsi="宋体"/>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0" w:hRule="atLeast"/>
          <w:jc w:val="center"/>
        </w:trPr>
        <w:tc>
          <w:tcPr>
            <w:tcW w:w="1980" w:type="dxa"/>
            <w:vMerge w:val="continue"/>
            <w:noWrap/>
            <w:vAlign w:val="center"/>
          </w:tcPr>
          <w:p>
            <w:pPr>
              <w:jc w:val="center"/>
              <w:rPr>
                <w:rFonts w:ascii="宋体" w:hAnsi="宋体"/>
                <w:sz w:val="18"/>
                <w:szCs w:val="18"/>
              </w:rPr>
            </w:pPr>
          </w:p>
        </w:tc>
        <w:tc>
          <w:tcPr>
            <w:tcW w:w="720" w:type="dxa"/>
            <w:vMerge w:val="continue"/>
            <w:noWrap/>
            <w:vAlign w:val="center"/>
          </w:tcPr>
          <w:p>
            <w:pPr>
              <w:jc w:val="center"/>
              <w:rPr>
                <w:rFonts w:ascii="宋体" w:hAnsi="宋体"/>
                <w:sz w:val="18"/>
                <w:szCs w:val="18"/>
              </w:rPr>
            </w:pPr>
          </w:p>
        </w:tc>
        <w:tc>
          <w:tcPr>
            <w:tcW w:w="907" w:type="dxa"/>
            <w:vMerge w:val="continue"/>
            <w:noWrap/>
            <w:vAlign w:val="center"/>
          </w:tcPr>
          <w:p>
            <w:pPr>
              <w:jc w:val="center"/>
              <w:rPr>
                <w:rFonts w:ascii="宋体" w:hAnsi="宋体"/>
                <w:sz w:val="18"/>
                <w:szCs w:val="18"/>
              </w:rPr>
            </w:pPr>
          </w:p>
        </w:tc>
        <w:tc>
          <w:tcPr>
            <w:tcW w:w="908" w:type="dxa"/>
            <w:gridSpan w:val="2"/>
            <w:vMerge w:val="continue"/>
            <w:noWrap/>
            <w:vAlign w:val="center"/>
          </w:tcPr>
          <w:p>
            <w:pPr>
              <w:jc w:val="center"/>
              <w:rPr>
                <w:rFonts w:ascii="宋体" w:hAnsi="宋体"/>
                <w:sz w:val="18"/>
                <w:szCs w:val="18"/>
              </w:rPr>
            </w:pPr>
          </w:p>
        </w:tc>
        <w:tc>
          <w:tcPr>
            <w:tcW w:w="885" w:type="dxa"/>
            <w:gridSpan w:val="2"/>
            <w:vMerge w:val="continue"/>
            <w:noWrap/>
            <w:vAlign w:val="center"/>
          </w:tcPr>
          <w:p>
            <w:pPr>
              <w:jc w:val="center"/>
              <w:rPr>
                <w:rFonts w:ascii="宋体" w:hAnsi="宋体"/>
                <w:sz w:val="18"/>
                <w:szCs w:val="18"/>
              </w:rPr>
            </w:pPr>
          </w:p>
        </w:tc>
        <w:tc>
          <w:tcPr>
            <w:tcW w:w="900" w:type="dxa"/>
            <w:noWrap/>
            <w:vAlign w:val="center"/>
          </w:tcPr>
          <w:p>
            <w:pPr>
              <w:ind w:left="-105" w:leftChars="-50" w:right="-105" w:rightChars="-50"/>
              <w:jc w:val="center"/>
              <w:rPr>
                <w:rFonts w:ascii="宋体" w:hAnsi="宋体"/>
                <w:sz w:val="18"/>
                <w:szCs w:val="18"/>
              </w:rPr>
            </w:pPr>
            <w:r>
              <w:rPr>
                <w:rFonts w:hint="eastAsia" w:ascii="宋体" w:hAnsi="宋体"/>
                <w:sz w:val="18"/>
                <w:szCs w:val="18"/>
              </w:rPr>
              <w:t>炼焦烟煤</w:t>
            </w:r>
          </w:p>
        </w:tc>
        <w:tc>
          <w:tcPr>
            <w:tcW w:w="900" w:type="dxa"/>
            <w:gridSpan w:val="2"/>
            <w:noWrap/>
            <w:vAlign w:val="center"/>
          </w:tcPr>
          <w:p>
            <w:pPr>
              <w:ind w:left="-105" w:leftChars="-50" w:right="-105" w:rightChars="-50"/>
              <w:jc w:val="center"/>
              <w:rPr>
                <w:rFonts w:ascii="宋体" w:hAnsi="宋体"/>
                <w:sz w:val="18"/>
                <w:szCs w:val="18"/>
              </w:rPr>
            </w:pPr>
            <w:r>
              <w:rPr>
                <w:rFonts w:hint="eastAsia" w:ascii="宋体" w:hAnsi="宋体"/>
                <w:sz w:val="18"/>
                <w:szCs w:val="18"/>
              </w:rPr>
              <w:t>一般烟煤</w:t>
            </w:r>
          </w:p>
        </w:tc>
        <w:tc>
          <w:tcPr>
            <w:tcW w:w="885" w:type="dxa"/>
            <w:gridSpan w:val="2"/>
            <w:vMerge w:val="continue"/>
            <w:noWrap/>
            <w:vAlign w:val="center"/>
          </w:tcPr>
          <w:p>
            <w:pPr>
              <w:jc w:val="center"/>
              <w:rPr>
                <w:rFonts w:ascii="宋体" w:hAnsi="宋体"/>
                <w:sz w:val="18"/>
                <w:szCs w:val="18"/>
              </w:rPr>
            </w:pPr>
          </w:p>
        </w:tc>
        <w:tc>
          <w:tcPr>
            <w:tcW w:w="787" w:type="dxa"/>
            <w:vMerge w:val="continue"/>
            <w:noWrap/>
            <w:vAlign w:val="center"/>
          </w:tcPr>
          <w:p>
            <w:pPr>
              <w:jc w:val="center"/>
              <w:rPr>
                <w:rFonts w:ascii="宋体" w:hAnsi="宋体"/>
                <w:sz w:val="18"/>
                <w:szCs w:val="18"/>
              </w:rPr>
            </w:pPr>
          </w:p>
        </w:tc>
        <w:tc>
          <w:tcPr>
            <w:tcW w:w="893" w:type="dxa"/>
            <w:gridSpan w:val="2"/>
            <w:vMerge w:val="continue"/>
            <w:noWrap/>
            <w:vAlign w:val="center"/>
          </w:tcPr>
          <w:p>
            <w:pPr>
              <w:jc w:val="center"/>
              <w:rPr>
                <w:rFonts w:ascii="宋体" w:hAnsi="宋体"/>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494" w:hRule="exact"/>
          <w:jc w:val="center"/>
        </w:trPr>
        <w:tc>
          <w:tcPr>
            <w:tcW w:w="1980" w:type="dxa"/>
            <w:noWrap/>
            <w:vAlign w:val="center"/>
          </w:tcPr>
          <w:p>
            <w:pPr>
              <w:jc w:val="center"/>
              <w:rPr>
                <w:rFonts w:ascii="宋体" w:hAnsi="宋体"/>
                <w:sz w:val="18"/>
                <w:szCs w:val="18"/>
              </w:rPr>
            </w:pPr>
            <w:r>
              <w:rPr>
                <w:rFonts w:hint="eastAsia" w:ascii="宋体" w:hAnsi="宋体"/>
                <w:sz w:val="18"/>
                <w:szCs w:val="18"/>
              </w:rPr>
              <w:t>甲</w:t>
            </w:r>
          </w:p>
        </w:tc>
        <w:tc>
          <w:tcPr>
            <w:tcW w:w="720" w:type="dxa"/>
            <w:noWrap/>
            <w:vAlign w:val="center"/>
          </w:tcPr>
          <w:p>
            <w:pPr>
              <w:jc w:val="center"/>
              <w:rPr>
                <w:rFonts w:ascii="宋体" w:hAnsi="宋体"/>
                <w:sz w:val="18"/>
                <w:szCs w:val="18"/>
              </w:rPr>
            </w:pPr>
            <w:r>
              <w:rPr>
                <w:rFonts w:hint="eastAsia" w:ascii="宋体" w:hAnsi="宋体"/>
                <w:sz w:val="18"/>
                <w:szCs w:val="18"/>
              </w:rPr>
              <w:t>乙</w:t>
            </w:r>
          </w:p>
        </w:tc>
        <w:tc>
          <w:tcPr>
            <w:tcW w:w="907" w:type="dxa"/>
            <w:noWrap/>
            <w:vAlign w:val="center"/>
          </w:tcPr>
          <w:p>
            <w:pPr>
              <w:jc w:val="center"/>
              <w:rPr>
                <w:rFonts w:ascii="宋体" w:hAnsi="宋体"/>
                <w:sz w:val="18"/>
                <w:szCs w:val="18"/>
              </w:rPr>
            </w:pPr>
            <w:r>
              <w:rPr>
                <w:rFonts w:ascii="宋体" w:hAnsi="宋体"/>
                <w:sz w:val="18"/>
                <w:szCs w:val="18"/>
              </w:rPr>
              <w:t>1</w:t>
            </w:r>
          </w:p>
        </w:tc>
        <w:tc>
          <w:tcPr>
            <w:tcW w:w="908" w:type="dxa"/>
            <w:gridSpan w:val="2"/>
            <w:noWrap/>
            <w:vAlign w:val="center"/>
          </w:tcPr>
          <w:p>
            <w:pPr>
              <w:jc w:val="center"/>
              <w:rPr>
                <w:rFonts w:ascii="宋体" w:hAnsi="宋体"/>
                <w:sz w:val="18"/>
                <w:szCs w:val="18"/>
              </w:rPr>
            </w:pPr>
            <w:r>
              <w:rPr>
                <w:rFonts w:ascii="宋体" w:hAnsi="宋体"/>
                <w:sz w:val="18"/>
                <w:szCs w:val="18"/>
              </w:rPr>
              <w:t>2</w:t>
            </w:r>
          </w:p>
        </w:tc>
        <w:tc>
          <w:tcPr>
            <w:tcW w:w="885" w:type="dxa"/>
            <w:gridSpan w:val="2"/>
            <w:noWrap/>
            <w:vAlign w:val="center"/>
          </w:tcPr>
          <w:p>
            <w:pPr>
              <w:jc w:val="center"/>
              <w:rPr>
                <w:rFonts w:ascii="宋体" w:hAnsi="宋体"/>
                <w:sz w:val="18"/>
                <w:szCs w:val="18"/>
              </w:rPr>
            </w:pPr>
            <w:r>
              <w:rPr>
                <w:rFonts w:ascii="宋体" w:hAnsi="宋体"/>
                <w:sz w:val="18"/>
                <w:szCs w:val="18"/>
              </w:rPr>
              <w:t>3</w:t>
            </w:r>
          </w:p>
        </w:tc>
        <w:tc>
          <w:tcPr>
            <w:tcW w:w="900" w:type="dxa"/>
            <w:noWrap/>
            <w:vAlign w:val="center"/>
          </w:tcPr>
          <w:p>
            <w:pPr>
              <w:jc w:val="center"/>
              <w:rPr>
                <w:rFonts w:ascii="宋体" w:hAnsi="宋体"/>
                <w:sz w:val="18"/>
                <w:szCs w:val="18"/>
              </w:rPr>
            </w:pPr>
            <w:r>
              <w:rPr>
                <w:rFonts w:ascii="宋体" w:hAnsi="宋体"/>
                <w:sz w:val="18"/>
                <w:szCs w:val="18"/>
              </w:rPr>
              <w:t>4</w:t>
            </w:r>
          </w:p>
        </w:tc>
        <w:tc>
          <w:tcPr>
            <w:tcW w:w="900" w:type="dxa"/>
            <w:gridSpan w:val="2"/>
            <w:noWrap/>
            <w:vAlign w:val="center"/>
          </w:tcPr>
          <w:p>
            <w:pPr>
              <w:jc w:val="center"/>
              <w:rPr>
                <w:rFonts w:ascii="宋体" w:hAnsi="宋体"/>
                <w:sz w:val="18"/>
                <w:szCs w:val="18"/>
              </w:rPr>
            </w:pPr>
            <w:r>
              <w:rPr>
                <w:rFonts w:ascii="宋体" w:hAnsi="宋体"/>
                <w:sz w:val="18"/>
                <w:szCs w:val="18"/>
              </w:rPr>
              <w:t>5</w:t>
            </w:r>
          </w:p>
        </w:tc>
        <w:tc>
          <w:tcPr>
            <w:tcW w:w="885" w:type="dxa"/>
            <w:gridSpan w:val="2"/>
            <w:noWrap/>
            <w:vAlign w:val="center"/>
          </w:tcPr>
          <w:p>
            <w:pPr>
              <w:jc w:val="center"/>
              <w:rPr>
                <w:rFonts w:ascii="宋体" w:hAnsi="宋体"/>
                <w:sz w:val="18"/>
                <w:szCs w:val="18"/>
              </w:rPr>
            </w:pPr>
            <w:r>
              <w:rPr>
                <w:rFonts w:ascii="宋体" w:hAnsi="宋体"/>
                <w:sz w:val="18"/>
                <w:szCs w:val="18"/>
              </w:rPr>
              <w:t>6</w:t>
            </w:r>
          </w:p>
        </w:tc>
        <w:tc>
          <w:tcPr>
            <w:tcW w:w="787" w:type="dxa"/>
            <w:noWrap/>
            <w:vAlign w:val="center"/>
          </w:tcPr>
          <w:p>
            <w:pPr>
              <w:jc w:val="center"/>
              <w:rPr>
                <w:rFonts w:ascii="宋体" w:hAnsi="宋体"/>
                <w:sz w:val="18"/>
                <w:szCs w:val="18"/>
              </w:rPr>
            </w:pPr>
            <w:r>
              <w:rPr>
                <w:rFonts w:ascii="宋体" w:hAnsi="宋体"/>
                <w:sz w:val="18"/>
                <w:szCs w:val="18"/>
              </w:rPr>
              <w:t>7</w:t>
            </w:r>
          </w:p>
        </w:tc>
        <w:tc>
          <w:tcPr>
            <w:tcW w:w="893" w:type="dxa"/>
            <w:gridSpan w:val="2"/>
            <w:noWrap/>
            <w:vAlign w:val="center"/>
          </w:tcPr>
          <w:p>
            <w:pPr>
              <w:jc w:val="center"/>
              <w:rPr>
                <w:rFonts w:ascii="宋体" w:hAnsi="宋体"/>
                <w:sz w:val="18"/>
                <w:szCs w:val="18"/>
              </w:rPr>
            </w:pPr>
            <w:r>
              <w:rPr>
                <w:rFonts w:ascii="宋体" w:hAnsi="宋体"/>
                <w:sz w:val="18"/>
                <w:szCs w:val="18"/>
              </w:rPr>
              <w:t>8</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jc w:val="center"/>
        </w:trPr>
        <w:tc>
          <w:tcPr>
            <w:tcW w:w="1980" w:type="dxa"/>
            <w:noWrap/>
            <w:vAlign w:val="center"/>
          </w:tcPr>
          <w:p>
            <w:pPr>
              <w:rPr>
                <w:rFonts w:ascii="宋体" w:hAnsi="宋体"/>
                <w:sz w:val="18"/>
                <w:szCs w:val="18"/>
              </w:rPr>
            </w:pPr>
            <w:r>
              <w:rPr>
                <w:rFonts w:hint="eastAsia" w:ascii="宋体" w:hAnsi="宋体"/>
                <w:sz w:val="18"/>
                <w:szCs w:val="18"/>
              </w:rPr>
              <w:t>按《分行业能源消费量目录》填报</w:t>
            </w:r>
          </w:p>
        </w:tc>
        <w:tc>
          <w:tcPr>
            <w:tcW w:w="7785" w:type="dxa"/>
            <w:gridSpan w:val="14"/>
            <w:noWrap/>
          </w:tcPr>
          <w:p>
            <w:pPr>
              <w:widowControl/>
              <w:rPr>
                <w:rFonts w:ascii="宋体" w:hAnsi="宋体"/>
                <w:sz w:val="18"/>
                <w:szCs w:val="18"/>
              </w:rPr>
            </w:pPr>
          </w:p>
        </w:tc>
      </w:tr>
    </w:tbl>
    <w:p>
      <w:pPr>
        <w:spacing w:before="96" w:beforeLines="40"/>
        <w:rPr>
          <w:rFonts w:ascii="宋体" w:hAnsi="宋体"/>
          <w:sz w:val="18"/>
          <w:szCs w:val="18"/>
        </w:rPr>
      </w:pPr>
      <w:r>
        <w:rPr>
          <w:rFonts w:hint="eastAsia" w:ascii="宋体" w:hAnsi="宋体"/>
          <w:sz w:val="18"/>
          <w:szCs w:val="18"/>
        </w:rPr>
        <w:t>续表一</w:t>
      </w:r>
    </w:p>
    <w:tbl>
      <w:tblPr>
        <w:tblStyle w:val="21"/>
        <w:tblW w:w="9768"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1080"/>
        <w:gridCol w:w="972"/>
        <w:gridCol w:w="972"/>
        <w:gridCol w:w="972"/>
        <w:gridCol w:w="972"/>
        <w:gridCol w:w="972"/>
        <w:gridCol w:w="972"/>
        <w:gridCol w:w="1071"/>
        <w:gridCol w:w="892"/>
        <w:gridCol w:w="893"/>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645" w:hRule="atLeast"/>
          <w:jc w:val="center"/>
        </w:trPr>
        <w:tc>
          <w:tcPr>
            <w:tcW w:w="1080" w:type="dxa"/>
            <w:noWrap/>
            <w:vAlign w:val="center"/>
          </w:tcPr>
          <w:p>
            <w:pPr>
              <w:jc w:val="center"/>
              <w:rPr>
                <w:rFonts w:ascii="宋体" w:hAnsi="宋体"/>
                <w:sz w:val="18"/>
                <w:szCs w:val="18"/>
              </w:rPr>
            </w:pPr>
            <w:r>
              <w:rPr>
                <w:rFonts w:hint="eastAsia" w:ascii="宋体" w:hAnsi="宋体"/>
                <w:sz w:val="18"/>
                <w:szCs w:val="18"/>
              </w:rPr>
              <w:t>煤制品       (万吨)</w:t>
            </w:r>
          </w:p>
        </w:tc>
        <w:tc>
          <w:tcPr>
            <w:tcW w:w="972" w:type="dxa"/>
            <w:noWrap/>
            <w:vAlign w:val="center"/>
          </w:tcPr>
          <w:p>
            <w:pPr>
              <w:jc w:val="center"/>
              <w:rPr>
                <w:rFonts w:ascii="宋体" w:hAnsi="宋体"/>
                <w:sz w:val="18"/>
                <w:szCs w:val="18"/>
              </w:rPr>
            </w:pPr>
            <w:r>
              <w:rPr>
                <w:rFonts w:hint="eastAsia" w:ascii="宋体" w:hAnsi="宋体"/>
                <w:sz w:val="18"/>
                <w:szCs w:val="18"/>
              </w:rPr>
              <w:t>煤矸石           (万吨)</w:t>
            </w:r>
          </w:p>
        </w:tc>
        <w:tc>
          <w:tcPr>
            <w:tcW w:w="972" w:type="dxa"/>
            <w:noWrap/>
            <w:vAlign w:val="center"/>
          </w:tcPr>
          <w:p>
            <w:pPr>
              <w:jc w:val="center"/>
              <w:rPr>
                <w:rFonts w:ascii="宋体" w:hAnsi="宋体"/>
                <w:sz w:val="18"/>
                <w:szCs w:val="18"/>
              </w:rPr>
            </w:pPr>
            <w:r>
              <w:rPr>
                <w:rFonts w:hint="eastAsia" w:ascii="宋体" w:hAnsi="宋体"/>
                <w:sz w:val="18"/>
                <w:szCs w:val="18"/>
              </w:rPr>
              <w:t>焦炭            (万吨)</w:t>
            </w:r>
          </w:p>
        </w:tc>
        <w:tc>
          <w:tcPr>
            <w:tcW w:w="972" w:type="dxa"/>
            <w:noWrap/>
            <w:vAlign w:val="center"/>
          </w:tcPr>
          <w:p>
            <w:pPr>
              <w:jc w:val="center"/>
              <w:rPr>
                <w:rFonts w:ascii="宋体" w:hAnsi="宋体"/>
                <w:spacing w:val="-16"/>
                <w:sz w:val="18"/>
                <w:szCs w:val="18"/>
              </w:rPr>
            </w:pPr>
            <w:r>
              <w:rPr>
                <w:rFonts w:hint="eastAsia" w:ascii="宋体" w:hAnsi="宋体"/>
                <w:spacing w:val="-16"/>
                <w:sz w:val="18"/>
                <w:szCs w:val="18"/>
              </w:rPr>
              <w:t>焦炉煤气     (亿立方米)</w:t>
            </w:r>
          </w:p>
        </w:tc>
        <w:tc>
          <w:tcPr>
            <w:tcW w:w="972" w:type="dxa"/>
            <w:noWrap/>
            <w:vAlign w:val="center"/>
          </w:tcPr>
          <w:p>
            <w:pPr>
              <w:jc w:val="center"/>
              <w:rPr>
                <w:rFonts w:ascii="宋体" w:hAnsi="宋体"/>
                <w:spacing w:val="-16"/>
                <w:sz w:val="18"/>
                <w:szCs w:val="18"/>
              </w:rPr>
            </w:pPr>
            <w:r>
              <w:rPr>
                <w:rFonts w:hint="eastAsia" w:ascii="宋体" w:hAnsi="宋体"/>
                <w:spacing w:val="-16"/>
                <w:sz w:val="18"/>
                <w:szCs w:val="18"/>
              </w:rPr>
              <w:t>高炉煤气</w:t>
            </w:r>
          </w:p>
          <w:p>
            <w:pPr>
              <w:jc w:val="center"/>
              <w:rPr>
                <w:rFonts w:ascii="宋体" w:hAnsi="宋体"/>
                <w:spacing w:val="-16"/>
                <w:sz w:val="18"/>
                <w:szCs w:val="18"/>
              </w:rPr>
            </w:pPr>
            <w:r>
              <w:rPr>
                <w:rFonts w:hint="eastAsia" w:ascii="宋体" w:hAnsi="宋体"/>
                <w:spacing w:val="-16"/>
                <w:sz w:val="18"/>
                <w:szCs w:val="18"/>
              </w:rPr>
              <w:t xml:space="preserve"> (亿立方米)</w:t>
            </w:r>
          </w:p>
        </w:tc>
        <w:tc>
          <w:tcPr>
            <w:tcW w:w="972" w:type="dxa"/>
            <w:noWrap/>
            <w:vAlign w:val="center"/>
          </w:tcPr>
          <w:p>
            <w:pPr>
              <w:jc w:val="center"/>
              <w:rPr>
                <w:rFonts w:ascii="宋体" w:hAnsi="宋体"/>
                <w:spacing w:val="-16"/>
                <w:sz w:val="18"/>
                <w:szCs w:val="18"/>
              </w:rPr>
            </w:pPr>
            <w:r>
              <w:rPr>
                <w:rFonts w:hint="eastAsia" w:ascii="宋体" w:hAnsi="宋体"/>
                <w:spacing w:val="-16"/>
                <w:sz w:val="18"/>
                <w:szCs w:val="18"/>
              </w:rPr>
              <w:t xml:space="preserve">转炉煤气 </w:t>
            </w:r>
          </w:p>
          <w:p>
            <w:pPr>
              <w:jc w:val="center"/>
              <w:rPr>
                <w:rFonts w:ascii="宋体" w:hAnsi="宋体"/>
                <w:spacing w:val="-16"/>
                <w:sz w:val="18"/>
                <w:szCs w:val="18"/>
              </w:rPr>
            </w:pPr>
            <w:r>
              <w:rPr>
                <w:rFonts w:hint="eastAsia" w:ascii="宋体" w:hAnsi="宋体"/>
                <w:spacing w:val="-16"/>
                <w:sz w:val="18"/>
                <w:szCs w:val="18"/>
              </w:rPr>
              <w:t>(亿立方米)</w:t>
            </w:r>
          </w:p>
        </w:tc>
        <w:tc>
          <w:tcPr>
            <w:tcW w:w="972" w:type="dxa"/>
            <w:noWrap/>
            <w:vAlign w:val="center"/>
          </w:tcPr>
          <w:p>
            <w:pPr>
              <w:jc w:val="center"/>
              <w:rPr>
                <w:rFonts w:ascii="宋体" w:hAnsi="宋体"/>
                <w:spacing w:val="-16"/>
                <w:sz w:val="18"/>
                <w:szCs w:val="18"/>
              </w:rPr>
            </w:pPr>
            <w:r>
              <w:rPr>
                <w:rFonts w:hint="eastAsia" w:ascii="宋体" w:hAnsi="宋体"/>
                <w:spacing w:val="-16"/>
                <w:sz w:val="18"/>
                <w:szCs w:val="18"/>
              </w:rPr>
              <w:t>其他煤气</w:t>
            </w:r>
          </w:p>
          <w:p>
            <w:pPr>
              <w:jc w:val="center"/>
              <w:rPr>
                <w:rFonts w:ascii="宋体" w:hAnsi="宋体"/>
                <w:spacing w:val="-16"/>
                <w:sz w:val="18"/>
                <w:szCs w:val="18"/>
              </w:rPr>
            </w:pPr>
            <w:r>
              <w:rPr>
                <w:rFonts w:hint="eastAsia" w:ascii="宋体" w:hAnsi="宋体"/>
                <w:spacing w:val="-16"/>
                <w:sz w:val="18"/>
                <w:szCs w:val="18"/>
              </w:rPr>
              <w:t xml:space="preserve"> (亿立方米)</w:t>
            </w:r>
          </w:p>
        </w:tc>
        <w:tc>
          <w:tcPr>
            <w:tcW w:w="1071" w:type="dxa"/>
            <w:noWrap/>
            <w:vAlign w:val="center"/>
          </w:tcPr>
          <w:p>
            <w:pPr>
              <w:jc w:val="center"/>
              <w:rPr>
                <w:rFonts w:ascii="宋体" w:hAnsi="宋体"/>
                <w:spacing w:val="-10"/>
                <w:sz w:val="18"/>
                <w:szCs w:val="18"/>
              </w:rPr>
            </w:pPr>
            <w:r>
              <w:rPr>
                <w:rFonts w:hint="eastAsia" w:ascii="宋体" w:hAnsi="宋体"/>
                <w:spacing w:val="-10"/>
                <w:sz w:val="18"/>
                <w:szCs w:val="18"/>
              </w:rPr>
              <w:t>其他焦化产品(万吨)</w:t>
            </w:r>
          </w:p>
        </w:tc>
        <w:tc>
          <w:tcPr>
            <w:tcW w:w="892" w:type="dxa"/>
            <w:noWrap/>
            <w:vAlign w:val="center"/>
          </w:tcPr>
          <w:p>
            <w:pPr>
              <w:jc w:val="center"/>
              <w:rPr>
                <w:rFonts w:ascii="宋体" w:hAnsi="宋体"/>
                <w:spacing w:val="-10"/>
                <w:sz w:val="18"/>
                <w:szCs w:val="18"/>
              </w:rPr>
            </w:pPr>
            <w:r>
              <w:rPr>
                <w:rFonts w:hint="eastAsia" w:ascii="宋体" w:hAnsi="宋体"/>
                <w:spacing w:val="-10"/>
                <w:sz w:val="18"/>
                <w:szCs w:val="18"/>
              </w:rPr>
              <w:t>油品合计 (万吨)</w:t>
            </w:r>
          </w:p>
        </w:tc>
        <w:tc>
          <w:tcPr>
            <w:tcW w:w="893" w:type="dxa"/>
            <w:noWrap/>
            <w:vAlign w:val="center"/>
          </w:tcPr>
          <w:p>
            <w:pPr>
              <w:jc w:val="center"/>
              <w:rPr>
                <w:rFonts w:ascii="宋体" w:hAnsi="宋体"/>
                <w:spacing w:val="-10"/>
                <w:sz w:val="18"/>
                <w:szCs w:val="18"/>
              </w:rPr>
            </w:pPr>
            <w:r>
              <w:rPr>
                <w:rFonts w:hint="eastAsia" w:ascii="宋体" w:hAnsi="宋体"/>
                <w:spacing w:val="-10"/>
                <w:sz w:val="18"/>
                <w:szCs w:val="18"/>
              </w:rPr>
              <w:t>原 油           (万吨)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exact"/>
          <w:jc w:val="center"/>
        </w:trPr>
        <w:tc>
          <w:tcPr>
            <w:tcW w:w="1080" w:type="dxa"/>
            <w:noWrap/>
            <w:vAlign w:val="center"/>
          </w:tcPr>
          <w:p>
            <w:pPr>
              <w:jc w:val="center"/>
              <w:rPr>
                <w:rFonts w:ascii="宋体" w:hAnsi="宋体"/>
                <w:sz w:val="18"/>
                <w:szCs w:val="18"/>
              </w:rPr>
            </w:pPr>
            <w:r>
              <w:rPr>
                <w:rFonts w:hint="eastAsia" w:ascii="宋体" w:hAnsi="宋体"/>
                <w:sz w:val="18"/>
                <w:szCs w:val="18"/>
              </w:rPr>
              <w:t>9</w:t>
            </w:r>
          </w:p>
        </w:tc>
        <w:tc>
          <w:tcPr>
            <w:tcW w:w="972" w:type="dxa"/>
            <w:noWrap/>
            <w:vAlign w:val="center"/>
          </w:tcPr>
          <w:p>
            <w:pPr>
              <w:jc w:val="center"/>
              <w:rPr>
                <w:rFonts w:ascii="宋体" w:hAnsi="宋体"/>
                <w:sz w:val="18"/>
                <w:szCs w:val="18"/>
              </w:rPr>
            </w:pPr>
            <w:r>
              <w:rPr>
                <w:rFonts w:hint="eastAsia" w:ascii="宋体" w:hAnsi="宋体"/>
                <w:sz w:val="18"/>
                <w:szCs w:val="18"/>
              </w:rPr>
              <w:t>10</w:t>
            </w:r>
          </w:p>
        </w:tc>
        <w:tc>
          <w:tcPr>
            <w:tcW w:w="972" w:type="dxa"/>
            <w:noWrap/>
            <w:vAlign w:val="center"/>
          </w:tcPr>
          <w:p>
            <w:pPr>
              <w:jc w:val="center"/>
              <w:rPr>
                <w:rFonts w:ascii="宋体" w:hAnsi="宋体"/>
                <w:sz w:val="18"/>
                <w:szCs w:val="18"/>
              </w:rPr>
            </w:pPr>
            <w:r>
              <w:rPr>
                <w:rFonts w:hint="eastAsia" w:ascii="宋体" w:hAnsi="宋体"/>
                <w:sz w:val="18"/>
                <w:szCs w:val="18"/>
              </w:rPr>
              <w:t>11</w:t>
            </w:r>
          </w:p>
        </w:tc>
        <w:tc>
          <w:tcPr>
            <w:tcW w:w="972" w:type="dxa"/>
            <w:noWrap/>
            <w:vAlign w:val="center"/>
          </w:tcPr>
          <w:p>
            <w:pPr>
              <w:jc w:val="center"/>
              <w:rPr>
                <w:rFonts w:ascii="宋体" w:hAnsi="宋体"/>
                <w:sz w:val="18"/>
                <w:szCs w:val="18"/>
              </w:rPr>
            </w:pPr>
            <w:r>
              <w:rPr>
                <w:rFonts w:hint="eastAsia" w:ascii="宋体" w:hAnsi="宋体"/>
                <w:sz w:val="18"/>
                <w:szCs w:val="18"/>
              </w:rPr>
              <w:t>12</w:t>
            </w:r>
          </w:p>
        </w:tc>
        <w:tc>
          <w:tcPr>
            <w:tcW w:w="972" w:type="dxa"/>
            <w:noWrap/>
            <w:vAlign w:val="center"/>
          </w:tcPr>
          <w:p>
            <w:pPr>
              <w:jc w:val="center"/>
              <w:rPr>
                <w:rFonts w:ascii="宋体" w:hAnsi="宋体"/>
                <w:sz w:val="18"/>
                <w:szCs w:val="18"/>
              </w:rPr>
            </w:pPr>
            <w:r>
              <w:rPr>
                <w:rFonts w:hint="eastAsia" w:ascii="宋体" w:hAnsi="宋体"/>
                <w:sz w:val="18"/>
                <w:szCs w:val="18"/>
              </w:rPr>
              <w:t>13</w:t>
            </w:r>
          </w:p>
        </w:tc>
        <w:tc>
          <w:tcPr>
            <w:tcW w:w="972" w:type="dxa"/>
            <w:noWrap/>
            <w:vAlign w:val="center"/>
          </w:tcPr>
          <w:p>
            <w:pPr>
              <w:jc w:val="center"/>
              <w:rPr>
                <w:rFonts w:ascii="宋体" w:hAnsi="宋体"/>
                <w:sz w:val="18"/>
                <w:szCs w:val="18"/>
              </w:rPr>
            </w:pPr>
            <w:r>
              <w:rPr>
                <w:rFonts w:hint="eastAsia" w:ascii="宋体" w:hAnsi="宋体"/>
                <w:sz w:val="18"/>
                <w:szCs w:val="18"/>
              </w:rPr>
              <w:t>14</w:t>
            </w:r>
          </w:p>
        </w:tc>
        <w:tc>
          <w:tcPr>
            <w:tcW w:w="972" w:type="dxa"/>
            <w:noWrap/>
            <w:vAlign w:val="center"/>
          </w:tcPr>
          <w:p>
            <w:pPr>
              <w:jc w:val="center"/>
              <w:rPr>
                <w:rFonts w:ascii="宋体" w:hAnsi="宋体"/>
                <w:sz w:val="18"/>
                <w:szCs w:val="18"/>
              </w:rPr>
            </w:pPr>
            <w:r>
              <w:rPr>
                <w:rFonts w:hint="eastAsia" w:ascii="宋体" w:hAnsi="宋体"/>
                <w:sz w:val="18"/>
                <w:szCs w:val="18"/>
              </w:rPr>
              <w:t>15</w:t>
            </w:r>
          </w:p>
        </w:tc>
        <w:tc>
          <w:tcPr>
            <w:tcW w:w="1071" w:type="dxa"/>
            <w:noWrap/>
            <w:vAlign w:val="center"/>
          </w:tcPr>
          <w:p>
            <w:pPr>
              <w:jc w:val="center"/>
              <w:rPr>
                <w:rFonts w:ascii="宋体" w:hAnsi="宋体"/>
                <w:sz w:val="18"/>
                <w:szCs w:val="18"/>
              </w:rPr>
            </w:pPr>
            <w:r>
              <w:rPr>
                <w:rFonts w:hint="eastAsia" w:ascii="宋体" w:hAnsi="宋体"/>
                <w:sz w:val="18"/>
                <w:szCs w:val="18"/>
              </w:rPr>
              <w:t>16</w:t>
            </w:r>
          </w:p>
        </w:tc>
        <w:tc>
          <w:tcPr>
            <w:tcW w:w="892" w:type="dxa"/>
            <w:noWrap/>
            <w:vAlign w:val="center"/>
          </w:tcPr>
          <w:p>
            <w:pPr>
              <w:jc w:val="center"/>
              <w:rPr>
                <w:rFonts w:ascii="宋体" w:hAnsi="宋体"/>
                <w:sz w:val="18"/>
                <w:szCs w:val="18"/>
              </w:rPr>
            </w:pPr>
            <w:r>
              <w:rPr>
                <w:rFonts w:hint="eastAsia" w:ascii="宋体" w:hAnsi="宋体"/>
                <w:sz w:val="18"/>
                <w:szCs w:val="18"/>
              </w:rPr>
              <w:t>17</w:t>
            </w:r>
          </w:p>
        </w:tc>
        <w:tc>
          <w:tcPr>
            <w:tcW w:w="893" w:type="dxa"/>
            <w:noWrap/>
            <w:vAlign w:val="center"/>
          </w:tcPr>
          <w:p>
            <w:pPr>
              <w:jc w:val="center"/>
              <w:rPr>
                <w:rFonts w:ascii="宋体" w:hAnsi="宋体"/>
                <w:sz w:val="18"/>
                <w:szCs w:val="18"/>
              </w:rPr>
            </w:pPr>
            <w:r>
              <w:rPr>
                <w:rFonts w:hint="eastAsia" w:ascii="宋体" w:hAnsi="宋体"/>
                <w:sz w:val="18"/>
                <w:szCs w:val="18"/>
              </w:rPr>
              <w:t>18</w:t>
            </w:r>
          </w:p>
        </w:tc>
      </w:tr>
    </w:tbl>
    <w:p>
      <w:pPr>
        <w:spacing w:before="96" w:beforeLines="40"/>
        <w:rPr>
          <w:rFonts w:ascii="宋体" w:hAnsi="宋体"/>
          <w:sz w:val="18"/>
          <w:szCs w:val="18"/>
        </w:rPr>
      </w:pPr>
      <w:r>
        <w:rPr>
          <w:rFonts w:hint="eastAsia" w:ascii="宋体" w:hAnsi="宋体"/>
          <w:sz w:val="18"/>
          <w:szCs w:val="18"/>
        </w:rPr>
        <w:t>续表二</w:t>
      </w:r>
    </w:p>
    <w:tbl>
      <w:tblPr>
        <w:tblStyle w:val="21"/>
        <w:tblW w:w="9768"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979"/>
        <w:gridCol w:w="872"/>
        <w:gridCol w:w="871"/>
        <w:gridCol w:w="872"/>
        <w:gridCol w:w="871"/>
        <w:gridCol w:w="872"/>
        <w:gridCol w:w="871"/>
        <w:gridCol w:w="872"/>
        <w:gridCol w:w="871"/>
        <w:gridCol w:w="872"/>
        <w:gridCol w:w="945"/>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66" w:hRule="atLeast"/>
          <w:jc w:val="center"/>
        </w:trPr>
        <w:tc>
          <w:tcPr>
            <w:tcW w:w="979" w:type="dxa"/>
            <w:noWrap/>
            <w:vAlign w:val="center"/>
          </w:tcPr>
          <w:p>
            <w:pPr>
              <w:jc w:val="center"/>
              <w:rPr>
                <w:rFonts w:ascii="宋体" w:hAnsi="宋体"/>
                <w:sz w:val="18"/>
                <w:szCs w:val="18"/>
              </w:rPr>
            </w:pPr>
            <w:r>
              <w:rPr>
                <w:rFonts w:hint="eastAsia" w:ascii="宋体" w:hAnsi="宋体"/>
                <w:sz w:val="18"/>
                <w:szCs w:val="18"/>
              </w:rPr>
              <w:t>汽 油       (万吨)</w:t>
            </w:r>
          </w:p>
        </w:tc>
        <w:tc>
          <w:tcPr>
            <w:tcW w:w="872" w:type="dxa"/>
            <w:noWrap/>
            <w:vAlign w:val="center"/>
          </w:tcPr>
          <w:p>
            <w:pPr>
              <w:jc w:val="center"/>
              <w:rPr>
                <w:rFonts w:ascii="宋体" w:hAnsi="宋体"/>
                <w:sz w:val="18"/>
                <w:szCs w:val="18"/>
              </w:rPr>
            </w:pPr>
            <w:r>
              <w:rPr>
                <w:rFonts w:hint="eastAsia" w:ascii="宋体" w:hAnsi="宋体"/>
                <w:sz w:val="18"/>
                <w:szCs w:val="18"/>
              </w:rPr>
              <w:t>煤 油          (万吨)</w:t>
            </w:r>
          </w:p>
        </w:tc>
        <w:tc>
          <w:tcPr>
            <w:tcW w:w="871" w:type="dxa"/>
            <w:noWrap/>
            <w:vAlign w:val="center"/>
          </w:tcPr>
          <w:p>
            <w:pPr>
              <w:jc w:val="center"/>
              <w:rPr>
                <w:rFonts w:ascii="宋体" w:hAnsi="宋体"/>
                <w:sz w:val="18"/>
                <w:szCs w:val="18"/>
              </w:rPr>
            </w:pPr>
            <w:r>
              <w:rPr>
                <w:rFonts w:hint="eastAsia" w:ascii="宋体" w:hAnsi="宋体"/>
                <w:sz w:val="18"/>
                <w:szCs w:val="18"/>
              </w:rPr>
              <w:t>柴 油          (万吨)</w:t>
            </w:r>
          </w:p>
        </w:tc>
        <w:tc>
          <w:tcPr>
            <w:tcW w:w="872" w:type="dxa"/>
            <w:noWrap/>
            <w:vAlign w:val="center"/>
          </w:tcPr>
          <w:p>
            <w:pPr>
              <w:jc w:val="center"/>
              <w:rPr>
                <w:rFonts w:ascii="宋体" w:hAnsi="宋体"/>
                <w:sz w:val="18"/>
                <w:szCs w:val="18"/>
              </w:rPr>
            </w:pPr>
            <w:r>
              <w:rPr>
                <w:rFonts w:hint="eastAsia" w:ascii="宋体" w:hAnsi="宋体"/>
                <w:sz w:val="18"/>
                <w:szCs w:val="18"/>
              </w:rPr>
              <w:t>燃料油   (万吨)</w:t>
            </w:r>
          </w:p>
        </w:tc>
        <w:tc>
          <w:tcPr>
            <w:tcW w:w="871" w:type="dxa"/>
            <w:noWrap/>
            <w:vAlign w:val="center"/>
          </w:tcPr>
          <w:p>
            <w:pPr>
              <w:jc w:val="center"/>
              <w:rPr>
                <w:rFonts w:ascii="宋体" w:hAnsi="宋体"/>
                <w:sz w:val="18"/>
                <w:szCs w:val="18"/>
              </w:rPr>
            </w:pPr>
            <w:r>
              <w:rPr>
                <w:rFonts w:hint="eastAsia" w:ascii="宋体" w:hAnsi="宋体"/>
                <w:sz w:val="18"/>
                <w:szCs w:val="18"/>
              </w:rPr>
              <w:t>石脑油  (万吨)</w:t>
            </w:r>
          </w:p>
        </w:tc>
        <w:tc>
          <w:tcPr>
            <w:tcW w:w="872" w:type="dxa"/>
            <w:noWrap/>
            <w:vAlign w:val="center"/>
          </w:tcPr>
          <w:p>
            <w:pPr>
              <w:jc w:val="center"/>
              <w:rPr>
                <w:rFonts w:ascii="宋体" w:hAnsi="宋体"/>
                <w:sz w:val="18"/>
                <w:szCs w:val="18"/>
              </w:rPr>
            </w:pPr>
            <w:r>
              <w:rPr>
                <w:rFonts w:hint="eastAsia" w:ascii="宋体" w:hAnsi="宋体"/>
                <w:sz w:val="18"/>
                <w:szCs w:val="18"/>
              </w:rPr>
              <w:t>润滑油  (万吨)</w:t>
            </w:r>
          </w:p>
        </w:tc>
        <w:tc>
          <w:tcPr>
            <w:tcW w:w="871" w:type="dxa"/>
            <w:noWrap/>
            <w:vAlign w:val="center"/>
          </w:tcPr>
          <w:p>
            <w:pPr>
              <w:jc w:val="center"/>
              <w:rPr>
                <w:rFonts w:ascii="宋体" w:hAnsi="宋体"/>
                <w:sz w:val="18"/>
                <w:szCs w:val="18"/>
              </w:rPr>
            </w:pPr>
            <w:r>
              <w:rPr>
                <w:rFonts w:hint="eastAsia" w:ascii="宋体" w:hAnsi="宋体"/>
                <w:sz w:val="18"/>
                <w:szCs w:val="18"/>
              </w:rPr>
              <w:t>石蜡          (万吨)</w:t>
            </w:r>
          </w:p>
        </w:tc>
        <w:tc>
          <w:tcPr>
            <w:tcW w:w="872" w:type="dxa"/>
            <w:tcBorders>
              <w:right w:val="single" w:color="auto" w:sz="4" w:space="0"/>
            </w:tcBorders>
            <w:noWrap/>
            <w:vAlign w:val="center"/>
          </w:tcPr>
          <w:p>
            <w:pPr>
              <w:jc w:val="center"/>
              <w:rPr>
                <w:rFonts w:ascii="宋体" w:hAnsi="宋体"/>
                <w:sz w:val="18"/>
                <w:szCs w:val="18"/>
              </w:rPr>
            </w:pPr>
            <w:r>
              <w:rPr>
                <w:rFonts w:hint="eastAsia" w:ascii="宋体" w:hAnsi="宋体"/>
                <w:sz w:val="18"/>
                <w:szCs w:val="18"/>
              </w:rPr>
              <w:t>溶剂油</w:t>
            </w:r>
          </w:p>
          <w:p>
            <w:pPr>
              <w:jc w:val="center"/>
              <w:rPr>
                <w:rFonts w:ascii="宋体" w:hAnsi="宋体"/>
                <w:sz w:val="18"/>
                <w:szCs w:val="18"/>
              </w:rPr>
            </w:pPr>
            <w:r>
              <w:rPr>
                <w:rFonts w:hint="eastAsia" w:ascii="宋体" w:hAnsi="宋体"/>
                <w:sz w:val="18"/>
                <w:szCs w:val="18"/>
              </w:rPr>
              <w:t>(万吨)</w:t>
            </w:r>
          </w:p>
        </w:tc>
        <w:tc>
          <w:tcPr>
            <w:tcW w:w="871" w:type="dxa"/>
            <w:tcBorders>
              <w:left w:val="single" w:color="auto" w:sz="4" w:space="0"/>
            </w:tcBorders>
            <w:noWrap/>
            <w:vAlign w:val="center"/>
          </w:tcPr>
          <w:p>
            <w:pPr>
              <w:jc w:val="center"/>
              <w:rPr>
                <w:rFonts w:ascii="宋体" w:hAnsi="宋体"/>
                <w:sz w:val="18"/>
                <w:szCs w:val="18"/>
              </w:rPr>
            </w:pPr>
            <w:r>
              <w:rPr>
                <w:rFonts w:hint="eastAsia" w:ascii="宋体" w:hAnsi="宋体"/>
                <w:sz w:val="18"/>
                <w:szCs w:val="18"/>
              </w:rPr>
              <w:t>石油沥青 (万吨)</w:t>
            </w:r>
          </w:p>
        </w:tc>
        <w:tc>
          <w:tcPr>
            <w:tcW w:w="872" w:type="dxa"/>
            <w:noWrap/>
            <w:vAlign w:val="center"/>
          </w:tcPr>
          <w:p>
            <w:pPr>
              <w:jc w:val="center"/>
              <w:rPr>
                <w:rFonts w:ascii="宋体" w:hAnsi="宋体"/>
                <w:sz w:val="18"/>
                <w:szCs w:val="18"/>
              </w:rPr>
            </w:pPr>
            <w:r>
              <w:rPr>
                <w:rFonts w:hint="eastAsia" w:ascii="宋体" w:hAnsi="宋体"/>
                <w:sz w:val="18"/>
                <w:szCs w:val="18"/>
              </w:rPr>
              <w:t>石油焦  (万吨)</w:t>
            </w:r>
          </w:p>
        </w:tc>
        <w:tc>
          <w:tcPr>
            <w:tcW w:w="945" w:type="dxa"/>
            <w:noWrap/>
            <w:vAlign w:val="center"/>
          </w:tcPr>
          <w:p>
            <w:pPr>
              <w:jc w:val="center"/>
              <w:rPr>
                <w:rFonts w:ascii="宋体" w:hAnsi="宋体"/>
                <w:sz w:val="18"/>
                <w:szCs w:val="18"/>
              </w:rPr>
            </w:pPr>
            <w:r>
              <w:rPr>
                <w:rFonts w:hint="eastAsia" w:ascii="宋体" w:hAnsi="宋体"/>
                <w:sz w:val="18"/>
                <w:szCs w:val="18"/>
              </w:rPr>
              <w:t>液化石油气           (万吨)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exact"/>
          <w:jc w:val="center"/>
        </w:trPr>
        <w:tc>
          <w:tcPr>
            <w:tcW w:w="979" w:type="dxa"/>
            <w:noWrap/>
            <w:vAlign w:val="center"/>
          </w:tcPr>
          <w:p>
            <w:pPr>
              <w:jc w:val="center"/>
              <w:rPr>
                <w:rFonts w:ascii="宋体" w:hAnsi="宋体"/>
                <w:sz w:val="18"/>
                <w:szCs w:val="18"/>
              </w:rPr>
            </w:pPr>
            <w:r>
              <w:rPr>
                <w:rFonts w:hint="eastAsia" w:ascii="宋体" w:hAnsi="宋体"/>
                <w:sz w:val="18"/>
                <w:szCs w:val="18"/>
              </w:rPr>
              <w:t>19</w:t>
            </w:r>
          </w:p>
        </w:tc>
        <w:tc>
          <w:tcPr>
            <w:tcW w:w="872" w:type="dxa"/>
            <w:noWrap/>
            <w:vAlign w:val="center"/>
          </w:tcPr>
          <w:p>
            <w:pPr>
              <w:jc w:val="center"/>
              <w:rPr>
                <w:rFonts w:ascii="宋体" w:hAnsi="宋体"/>
                <w:sz w:val="18"/>
                <w:szCs w:val="18"/>
              </w:rPr>
            </w:pPr>
            <w:r>
              <w:rPr>
                <w:rFonts w:hint="eastAsia" w:ascii="宋体" w:hAnsi="宋体"/>
                <w:sz w:val="18"/>
                <w:szCs w:val="18"/>
              </w:rPr>
              <w:t>20</w:t>
            </w:r>
          </w:p>
        </w:tc>
        <w:tc>
          <w:tcPr>
            <w:tcW w:w="871" w:type="dxa"/>
            <w:noWrap/>
            <w:vAlign w:val="center"/>
          </w:tcPr>
          <w:p>
            <w:pPr>
              <w:jc w:val="center"/>
              <w:rPr>
                <w:rFonts w:ascii="宋体" w:hAnsi="宋体"/>
                <w:sz w:val="18"/>
                <w:szCs w:val="18"/>
              </w:rPr>
            </w:pPr>
            <w:r>
              <w:rPr>
                <w:rFonts w:hint="eastAsia" w:ascii="宋体" w:hAnsi="宋体"/>
                <w:sz w:val="18"/>
                <w:szCs w:val="18"/>
              </w:rPr>
              <w:t>21</w:t>
            </w:r>
          </w:p>
        </w:tc>
        <w:tc>
          <w:tcPr>
            <w:tcW w:w="872" w:type="dxa"/>
            <w:noWrap/>
            <w:vAlign w:val="center"/>
          </w:tcPr>
          <w:p>
            <w:pPr>
              <w:jc w:val="center"/>
              <w:rPr>
                <w:rFonts w:ascii="宋体" w:hAnsi="宋体"/>
                <w:sz w:val="18"/>
                <w:szCs w:val="18"/>
              </w:rPr>
            </w:pPr>
            <w:r>
              <w:rPr>
                <w:rFonts w:hint="eastAsia" w:ascii="宋体" w:hAnsi="宋体"/>
                <w:sz w:val="18"/>
                <w:szCs w:val="18"/>
              </w:rPr>
              <w:t>22</w:t>
            </w:r>
          </w:p>
        </w:tc>
        <w:tc>
          <w:tcPr>
            <w:tcW w:w="871" w:type="dxa"/>
            <w:noWrap/>
            <w:vAlign w:val="center"/>
          </w:tcPr>
          <w:p>
            <w:pPr>
              <w:jc w:val="center"/>
              <w:rPr>
                <w:rFonts w:ascii="宋体" w:hAnsi="宋体"/>
                <w:sz w:val="18"/>
                <w:szCs w:val="18"/>
              </w:rPr>
            </w:pPr>
            <w:r>
              <w:rPr>
                <w:rFonts w:hint="eastAsia" w:ascii="宋体" w:hAnsi="宋体"/>
                <w:sz w:val="18"/>
                <w:szCs w:val="18"/>
              </w:rPr>
              <w:t>23</w:t>
            </w:r>
          </w:p>
        </w:tc>
        <w:tc>
          <w:tcPr>
            <w:tcW w:w="872" w:type="dxa"/>
            <w:noWrap/>
            <w:vAlign w:val="center"/>
          </w:tcPr>
          <w:p>
            <w:pPr>
              <w:jc w:val="center"/>
              <w:rPr>
                <w:rFonts w:ascii="宋体" w:hAnsi="宋体"/>
                <w:sz w:val="18"/>
                <w:szCs w:val="18"/>
              </w:rPr>
            </w:pPr>
            <w:r>
              <w:rPr>
                <w:rFonts w:hint="eastAsia" w:ascii="宋体" w:hAnsi="宋体"/>
                <w:sz w:val="18"/>
                <w:szCs w:val="18"/>
              </w:rPr>
              <w:t>24</w:t>
            </w:r>
          </w:p>
        </w:tc>
        <w:tc>
          <w:tcPr>
            <w:tcW w:w="871" w:type="dxa"/>
            <w:noWrap/>
            <w:vAlign w:val="center"/>
          </w:tcPr>
          <w:p>
            <w:pPr>
              <w:jc w:val="center"/>
              <w:rPr>
                <w:rFonts w:ascii="宋体" w:hAnsi="宋体"/>
                <w:sz w:val="18"/>
                <w:szCs w:val="18"/>
              </w:rPr>
            </w:pPr>
            <w:r>
              <w:rPr>
                <w:rFonts w:hint="eastAsia" w:ascii="宋体" w:hAnsi="宋体"/>
                <w:sz w:val="18"/>
                <w:szCs w:val="18"/>
              </w:rPr>
              <w:t>25</w:t>
            </w:r>
          </w:p>
        </w:tc>
        <w:tc>
          <w:tcPr>
            <w:tcW w:w="872" w:type="dxa"/>
            <w:tcBorders>
              <w:right w:val="single" w:color="auto" w:sz="4" w:space="0"/>
            </w:tcBorders>
            <w:noWrap/>
            <w:vAlign w:val="center"/>
          </w:tcPr>
          <w:p>
            <w:pPr>
              <w:jc w:val="center"/>
              <w:rPr>
                <w:rFonts w:ascii="宋体" w:hAnsi="宋体"/>
                <w:sz w:val="18"/>
                <w:szCs w:val="18"/>
              </w:rPr>
            </w:pPr>
            <w:r>
              <w:rPr>
                <w:rFonts w:hint="eastAsia" w:ascii="宋体" w:hAnsi="宋体"/>
                <w:sz w:val="18"/>
                <w:szCs w:val="18"/>
              </w:rPr>
              <w:t>26</w:t>
            </w:r>
          </w:p>
        </w:tc>
        <w:tc>
          <w:tcPr>
            <w:tcW w:w="871" w:type="dxa"/>
            <w:tcBorders>
              <w:left w:val="single" w:color="auto" w:sz="4" w:space="0"/>
            </w:tcBorders>
            <w:noWrap/>
            <w:vAlign w:val="center"/>
          </w:tcPr>
          <w:p>
            <w:pPr>
              <w:jc w:val="center"/>
              <w:rPr>
                <w:rFonts w:ascii="宋体" w:hAnsi="宋体"/>
                <w:sz w:val="18"/>
                <w:szCs w:val="18"/>
              </w:rPr>
            </w:pPr>
            <w:r>
              <w:rPr>
                <w:rFonts w:hint="eastAsia" w:ascii="宋体" w:hAnsi="宋体"/>
                <w:sz w:val="18"/>
                <w:szCs w:val="18"/>
              </w:rPr>
              <w:t>27</w:t>
            </w:r>
          </w:p>
        </w:tc>
        <w:tc>
          <w:tcPr>
            <w:tcW w:w="872" w:type="dxa"/>
            <w:noWrap/>
            <w:vAlign w:val="center"/>
          </w:tcPr>
          <w:p>
            <w:pPr>
              <w:jc w:val="center"/>
              <w:rPr>
                <w:rFonts w:ascii="宋体" w:hAnsi="宋体"/>
                <w:sz w:val="18"/>
                <w:szCs w:val="18"/>
              </w:rPr>
            </w:pPr>
            <w:r>
              <w:rPr>
                <w:rFonts w:hint="eastAsia" w:ascii="宋体" w:hAnsi="宋体"/>
                <w:sz w:val="18"/>
                <w:szCs w:val="18"/>
              </w:rPr>
              <w:t>28</w:t>
            </w:r>
          </w:p>
        </w:tc>
        <w:tc>
          <w:tcPr>
            <w:tcW w:w="945" w:type="dxa"/>
            <w:noWrap/>
            <w:vAlign w:val="center"/>
          </w:tcPr>
          <w:p>
            <w:pPr>
              <w:jc w:val="center"/>
              <w:rPr>
                <w:rFonts w:ascii="宋体" w:hAnsi="宋体"/>
                <w:sz w:val="18"/>
                <w:szCs w:val="18"/>
              </w:rPr>
            </w:pPr>
            <w:r>
              <w:rPr>
                <w:rFonts w:hint="eastAsia" w:ascii="宋体" w:hAnsi="宋体"/>
                <w:sz w:val="18"/>
                <w:szCs w:val="18"/>
              </w:rPr>
              <w:t>29</w:t>
            </w:r>
          </w:p>
        </w:tc>
      </w:tr>
    </w:tbl>
    <w:p>
      <w:pPr>
        <w:spacing w:before="96" w:beforeLines="40"/>
        <w:rPr>
          <w:rFonts w:ascii="宋体" w:hAnsi="宋体"/>
          <w:sz w:val="18"/>
          <w:szCs w:val="18"/>
        </w:rPr>
      </w:pPr>
      <w:r>
        <w:rPr>
          <w:rFonts w:hint="eastAsia" w:ascii="宋体" w:hAnsi="宋体"/>
          <w:sz w:val="18"/>
          <w:szCs w:val="18"/>
        </w:rPr>
        <w:t>续表三</w:t>
      </w:r>
    </w:p>
    <w:tbl>
      <w:tblPr>
        <w:tblStyle w:val="21"/>
        <w:tblW w:w="9768"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948"/>
        <w:gridCol w:w="1092"/>
        <w:gridCol w:w="966"/>
        <w:gridCol w:w="966"/>
        <w:gridCol w:w="862"/>
        <w:gridCol w:w="881"/>
        <w:gridCol w:w="932"/>
        <w:gridCol w:w="1168"/>
        <w:gridCol w:w="987"/>
        <w:gridCol w:w="966"/>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24" w:hRule="atLeast"/>
          <w:jc w:val="center"/>
        </w:trPr>
        <w:tc>
          <w:tcPr>
            <w:tcW w:w="948" w:type="dxa"/>
            <w:noWrap/>
            <w:vAlign w:val="center"/>
          </w:tcPr>
          <w:p>
            <w:pPr>
              <w:jc w:val="center"/>
              <w:rPr>
                <w:rFonts w:ascii="宋体" w:hAnsi="宋体"/>
                <w:sz w:val="18"/>
                <w:szCs w:val="18"/>
              </w:rPr>
            </w:pPr>
            <w:r>
              <w:rPr>
                <w:rFonts w:hint="eastAsia" w:ascii="宋体" w:hAnsi="宋体"/>
                <w:sz w:val="18"/>
                <w:szCs w:val="18"/>
              </w:rPr>
              <w:t>炼厂干气          (万吨)</w:t>
            </w:r>
          </w:p>
        </w:tc>
        <w:tc>
          <w:tcPr>
            <w:tcW w:w="1092" w:type="dxa"/>
            <w:noWrap/>
            <w:vAlign w:val="center"/>
          </w:tcPr>
          <w:p>
            <w:pPr>
              <w:jc w:val="center"/>
              <w:rPr>
                <w:rFonts w:ascii="宋体" w:hAnsi="宋体"/>
                <w:sz w:val="18"/>
                <w:szCs w:val="18"/>
              </w:rPr>
            </w:pPr>
            <w:r>
              <w:rPr>
                <w:rFonts w:hint="eastAsia" w:ascii="宋体" w:hAnsi="宋体"/>
                <w:sz w:val="18"/>
                <w:szCs w:val="18"/>
              </w:rPr>
              <w:t>其他石油制品(万吨)</w:t>
            </w:r>
          </w:p>
        </w:tc>
        <w:tc>
          <w:tcPr>
            <w:tcW w:w="966" w:type="dxa"/>
            <w:noWrap/>
            <w:vAlign w:val="center"/>
          </w:tcPr>
          <w:p>
            <w:pPr>
              <w:jc w:val="center"/>
              <w:rPr>
                <w:rFonts w:ascii="宋体" w:hAnsi="宋体"/>
                <w:sz w:val="18"/>
                <w:szCs w:val="18"/>
              </w:rPr>
            </w:pPr>
            <w:r>
              <w:rPr>
                <w:rFonts w:hint="eastAsia" w:ascii="宋体" w:hAnsi="宋体"/>
                <w:sz w:val="18"/>
                <w:szCs w:val="18"/>
              </w:rPr>
              <w:t>天然气    (亿立方米)</w:t>
            </w:r>
          </w:p>
        </w:tc>
        <w:tc>
          <w:tcPr>
            <w:tcW w:w="966" w:type="dxa"/>
            <w:noWrap/>
            <w:vAlign w:val="center"/>
          </w:tcPr>
          <w:p>
            <w:pPr>
              <w:jc w:val="center"/>
              <w:rPr>
                <w:rFonts w:ascii="宋体" w:hAnsi="宋体"/>
                <w:sz w:val="18"/>
                <w:szCs w:val="18"/>
              </w:rPr>
            </w:pPr>
            <w:r>
              <w:rPr>
                <w:rFonts w:hint="eastAsia" w:ascii="宋体" w:hAnsi="宋体"/>
                <w:sz w:val="18"/>
                <w:szCs w:val="18"/>
              </w:rPr>
              <w:t>液化天然气 (万吨)</w:t>
            </w:r>
          </w:p>
        </w:tc>
        <w:tc>
          <w:tcPr>
            <w:tcW w:w="862" w:type="dxa"/>
            <w:noWrap/>
            <w:vAlign w:val="center"/>
          </w:tcPr>
          <w:p>
            <w:pPr>
              <w:jc w:val="center"/>
              <w:rPr>
                <w:rFonts w:ascii="宋体" w:hAnsi="宋体"/>
                <w:color w:val="auto"/>
                <w:sz w:val="18"/>
                <w:szCs w:val="18"/>
              </w:rPr>
            </w:pPr>
            <w:r>
              <w:rPr>
                <w:rFonts w:hint="eastAsia" w:ascii="宋体" w:hAnsi="宋体"/>
                <w:color w:val="auto"/>
                <w:sz w:val="18"/>
                <w:szCs w:val="18"/>
                <w:lang w:eastAsia="zh-CN"/>
              </w:rPr>
              <w:t>氢</w:t>
            </w:r>
            <w:r>
              <w:rPr>
                <w:rFonts w:hint="eastAsia" w:ascii="宋体" w:hAnsi="宋体"/>
                <w:color w:val="auto"/>
                <w:sz w:val="18"/>
                <w:szCs w:val="18"/>
                <w:lang w:val="en-US" w:eastAsia="zh-CN"/>
              </w:rPr>
              <w:t xml:space="preserve">  气</w:t>
            </w:r>
            <w:r>
              <w:rPr>
                <w:rFonts w:hint="eastAsia" w:ascii="宋体" w:hAnsi="宋体"/>
                <w:color w:val="auto"/>
                <w:sz w:val="18"/>
                <w:szCs w:val="18"/>
              </w:rPr>
              <w:t xml:space="preserve">            (</w:t>
            </w:r>
            <w:r>
              <w:rPr>
                <w:rFonts w:hint="eastAsia" w:ascii="宋体" w:hAnsi="宋体"/>
                <w:color w:val="auto"/>
                <w:sz w:val="18"/>
                <w:szCs w:val="18"/>
                <w:lang w:eastAsia="zh-CN"/>
              </w:rPr>
              <w:t>亿立方米</w:t>
            </w:r>
            <w:r>
              <w:rPr>
                <w:rFonts w:hint="eastAsia" w:ascii="宋体" w:hAnsi="宋体"/>
                <w:color w:val="auto"/>
                <w:sz w:val="18"/>
                <w:szCs w:val="18"/>
              </w:rPr>
              <w:t>)</w:t>
            </w:r>
          </w:p>
        </w:tc>
        <w:tc>
          <w:tcPr>
            <w:tcW w:w="881" w:type="dxa"/>
            <w:noWrap/>
            <w:vAlign w:val="center"/>
          </w:tcPr>
          <w:p>
            <w:pPr>
              <w:jc w:val="center"/>
              <w:rPr>
                <w:rFonts w:ascii="宋体" w:hAnsi="宋体"/>
                <w:sz w:val="18"/>
                <w:szCs w:val="18"/>
              </w:rPr>
            </w:pPr>
            <w:r>
              <w:rPr>
                <w:rFonts w:hint="eastAsia" w:ascii="宋体" w:hAnsi="宋体"/>
                <w:sz w:val="18"/>
                <w:szCs w:val="18"/>
              </w:rPr>
              <w:t>秸秆薪柴           (万吨)</w:t>
            </w:r>
          </w:p>
        </w:tc>
        <w:tc>
          <w:tcPr>
            <w:tcW w:w="932" w:type="dxa"/>
            <w:noWrap/>
            <w:vAlign w:val="center"/>
          </w:tcPr>
          <w:p>
            <w:pPr>
              <w:jc w:val="center"/>
              <w:rPr>
                <w:rFonts w:ascii="宋体" w:hAnsi="宋体"/>
                <w:sz w:val="18"/>
                <w:szCs w:val="18"/>
              </w:rPr>
            </w:pPr>
            <w:r>
              <w:rPr>
                <w:rFonts w:hint="eastAsia" w:ascii="宋体" w:hAnsi="宋体"/>
                <w:sz w:val="18"/>
                <w:szCs w:val="18"/>
              </w:rPr>
              <w:t>沼  气          (万立方米)</w:t>
            </w:r>
          </w:p>
        </w:tc>
        <w:tc>
          <w:tcPr>
            <w:tcW w:w="1168" w:type="dxa"/>
            <w:noWrap/>
            <w:vAlign w:val="center"/>
          </w:tcPr>
          <w:p>
            <w:pPr>
              <w:adjustRightInd w:val="0"/>
              <w:snapToGrid w:val="0"/>
              <w:jc w:val="center"/>
              <w:rPr>
                <w:rFonts w:ascii="宋体" w:hAnsi="宋体"/>
                <w:sz w:val="18"/>
                <w:szCs w:val="18"/>
              </w:rPr>
            </w:pPr>
            <w:r>
              <w:rPr>
                <w:rFonts w:hint="eastAsia" w:ascii="宋体" w:hAnsi="宋体"/>
                <w:sz w:val="18"/>
                <w:szCs w:val="18"/>
              </w:rPr>
              <w:t>热  力             (万百万千焦)</w:t>
            </w:r>
          </w:p>
        </w:tc>
        <w:tc>
          <w:tcPr>
            <w:tcW w:w="987" w:type="dxa"/>
            <w:noWrap/>
            <w:vAlign w:val="center"/>
          </w:tcPr>
          <w:p>
            <w:pPr>
              <w:jc w:val="center"/>
              <w:rPr>
                <w:rFonts w:ascii="宋体" w:hAnsi="宋体"/>
                <w:sz w:val="18"/>
                <w:szCs w:val="18"/>
              </w:rPr>
            </w:pPr>
            <w:r>
              <w:rPr>
                <w:rFonts w:hint="eastAsia" w:ascii="宋体" w:hAnsi="宋体"/>
                <w:sz w:val="18"/>
                <w:szCs w:val="18"/>
              </w:rPr>
              <w:t>电  力           (亿千瓦时)</w:t>
            </w:r>
          </w:p>
        </w:tc>
        <w:tc>
          <w:tcPr>
            <w:tcW w:w="966" w:type="dxa"/>
            <w:noWrap/>
            <w:vAlign w:val="center"/>
          </w:tcPr>
          <w:p>
            <w:pPr>
              <w:jc w:val="center"/>
              <w:rPr>
                <w:rFonts w:ascii="宋体" w:hAnsi="宋体"/>
                <w:sz w:val="18"/>
                <w:szCs w:val="18"/>
              </w:rPr>
            </w:pPr>
            <w:r>
              <w:rPr>
                <w:rFonts w:hint="eastAsia" w:ascii="宋体" w:hAnsi="宋体"/>
                <w:sz w:val="18"/>
                <w:szCs w:val="18"/>
              </w:rPr>
              <w:t>其他能源</w:t>
            </w:r>
          </w:p>
          <w:p>
            <w:pPr>
              <w:jc w:val="center"/>
              <w:rPr>
                <w:rFonts w:ascii="宋体" w:hAnsi="宋体"/>
                <w:sz w:val="18"/>
                <w:szCs w:val="18"/>
              </w:rPr>
            </w:pPr>
            <w:r>
              <w:rPr>
                <w:rFonts w:hint="eastAsia" w:ascii="宋体" w:hAnsi="宋体"/>
                <w:sz w:val="18"/>
                <w:szCs w:val="18"/>
              </w:rPr>
              <w:t>(万吨标煤)</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exact"/>
          <w:jc w:val="center"/>
        </w:trPr>
        <w:tc>
          <w:tcPr>
            <w:tcW w:w="948" w:type="dxa"/>
            <w:noWrap/>
            <w:vAlign w:val="center"/>
          </w:tcPr>
          <w:p>
            <w:pPr>
              <w:jc w:val="center"/>
              <w:rPr>
                <w:rFonts w:ascii="宋体" w:hAnsi="宋体"/>
                <w:sz w:val="18"/>
                <w:szCs w:val="18"/>
              </w:rPr>
            </w:pPr>
            <w:r>
              <w:rPr>
                <w:rFonts w:hint="eastAsia" w:ascii="宋体" w:hAnsi="宋体"/>
                <w:sz w:val="18"/>
                <w:szCs w:val="18"/>
              </w:rPr>
              <w:t>30</w:t>
            </w:r>
          </w:p>
        </w:tc>
        <w:tc>
          <w:tcPr>
            <w:tcW w:w="1092" w:type="dxa"/>
            <w:noWrap/>
            <w:vAlign w:val="center"/>
          </w:tcPr>
          <w:p>
            <w:pPr>
              <w:jc w:val="center"/>
              <w:rPr>
                <w:rFonts w:ascii="宋体" w:hAnsi="宋体"/>
                <w:sz w:val="18"/>
                <w:szCs w:val="18"/>
              </w:rPr>
            </w:pPr>
            <w:r>
              <w:rPr>
                <w:rFonts w:hint="eastAsia" w:ascii="宋体" w:hAnsi="宋体"/>
                <w:sz w:val="18"/>
                <w:szCs w:val="18"/>
              </w:rPr>
              <w:t>31</w:t>
            </w:r>
          </w:p>
        </w:tc>
        <w:tc>
          <w:tcPr>
            <w:tcW w:w="966" w:type="dxa"/>
            <w:noWrap/>
            <w:vAlign w:val="center"/>
          </w:tcPr>
          <w:p>
            <w:pPr>
              <w:jc w:val="center"/>
              <w:rPr>
                <w:rFonts w:ascii="宋体" w:hAnsi="宋体"/>
                <w:sz w:val="18"/>
                <w:szCs w:val="18"/>
              </w:rPr>
            </w:pPr>
            <w:r>
              <w:rPr>
                <w:rFonts w:hint="eastAsia" w:ascii="宋体" w:hAnsi="宋体"/>
                <w:sz w:val="18"/>
                <w:szCs w:val="18"/>
              </w:rPr>
              <w:t>32</w:t>
            </w:r>
          </w:p>
        </w:tc>
        <w:tc>
          <w:tcPr>
            <w:tcW w:w="966" w:type="dxa"/>
            <w:noWrap/>
            <w:vAlign w:val="center"/>
          </w:tcPr>
          <w:p>
            <w:pPr>
              <w:jc w:val="center"/>
              <w:rPr>
                <w:rFonts w:ascii="宋体" w:hAnsi="宋体"/>
                <w:sz w:val="18"/>
                <w:szCs w:val="18"/>
              </w:rPr>
            </w:pPr>
            <w:r>
              <w:rPr>
                <w:rFonts w:hint="eastAsia" w:ascii="宋体" w:hAnsi="宋体"/>
                <w:sz w:val="18"/>
                <w:szCs w:val="18"/>
              </w:rPr>
              <w:t>33</w:t>
            </w:r>
          </w:p>
        </w:tc>
        <w:tc>
          <w:tcPr>
            <w:tcW w:w="862" w:type="dxa"/>
            <w:noWrap/>
            <w:vAlign w:val="center"/>
          </w:tcPr>
          <w:p>
            <w:pPr>
              <w:jc w:val="center"/>
              <w:rPr>
                <w:rFonts w:ascii="宋体" w:hAnsi="宋体"/>
                <w:sz w:val="18"/>
                <w:szCs w:val="18"/>
              </w:rPr>
            </w:pPr>
            <w:r>
              <w:rPr>
                <w:rFonts w:hint="eastAsia" w:ascii="宋体" w:hAnsi="宋体"/>
                <w:sz w:val="18"/>
                <w:szCs w:val="18"/>
              </w:rPr>
              <w:t>34</w:t>
            </w:r>
          </w:p>
        </w:tc>
        <w:tc>
          <w:tcPr>
            <w:tcW w:w="881" w:type="dxa"/>
            <w:noWrap/>
            <w:vAlign w:val="center"/>
          </w:tcPr>
          <w:p>
            <w:pPr>
              <w:jc w:val="center"/>
              <w:rPr>
                <w:rFonts w:ascii="宋体" w:hAnsi="宋体"/>
                <w:sz w:val="18"/>
                <w:szCs w:val="18"/>
              </w:rPr>
            </w:pPr>
            <w:r>
              <w:rPr>
                <w:rFonts w:hint="eastAsia" w:ascii="宋体" w:hAnsi="宋体"/>
                <w:sz w:val="18"/>
                <w:szCs w:val="18"/>
              </w:rPr>
              <w:t>35</w:t>
            </w:r>
          </w:p>
        </w:tc>
        <w:tc>
          <w:tcPr>
            <w:tcW w:w="932" w:type="dxa"/>
            <w:noWrap/>
            <w:vAlign w:val="center"/>
          </w:tcPr>
          <w:p>
            <w:pPr>
              <w:jc w:val="center"/>
              <w:rPr>
                <w:rFonts w:ascii="宋体" w:hAnsi="宋体"/>
                <w:sz w:val="18"/>
                <w:szCs w:val="18"/>
              </w:rPr>
            </w:pPr>
            <w:r>
              <w:rPr>
                <w:rFonts w:hint="eastAsia" w:ascii="宋体" w:hAnsi="宋体"/>
                <w:sz w:val="18"/>
                <w:szCs w:val="18"/>
              </w:rPr>
              <w:t>36</w:t>
            </w:r>
          </w:p>
        </w:tc>
        <w:tc>
          <w:tcPr>
            <w:tcW w:w="1168" w:type="dxa"/>
            <w:noWrap/>
            <w:vAlign w:val="center"/>
          </w:tcPr>
          <w:p>
            <w:pPr>
              <w:jc w:val="center"/>
              <w:rPr>
                <w:rFonts w:ascii="宋体" w:hAnsi="宋体"/>
                <w:sz w:val="18"/>
                <w:szCs w:val="18"/>
              </w:rPr>
            </w:pPr>
            <w:r>
              <w:rPr>
                <w:rFonts w:hint="eastAsia" w:ascii="宋体" w:hAnsi="宋体"/>
                <w:sz w:val="18"/>
                <w:szCs w:val="18"/>
              </w:rPr>
              <w:t>37</w:t>
            </w:r>
          </w:p>
        </w:tc>
        <w:tc>
          <w:tcPr>
            <w:tcW w:w="987" w:type="dxa"/>
            <w:noWrap/>
            <w:vAlign w:val="center"/>
          </w:tcPr>
          <w:p>
            <w:pPr>
              <w:jc w:val="center"/>
              <w:rPr>
                <w:rFonts w:ascii="宋体" w:hAnsi="宋体"/>
                <w:sz w:val="18"/>
                <w:szCs w:val="18"/>
              </w:rPr>
            </w:pPr>
            <w:r>
              <w:rPr>
                <w:rFonts w:hint="eastAsia" w:ascii="宋体" w:hAnsi="宋体"/>
                <w:sz w:val="18"/>
                <w:szCs w:val="18"/>
              </w:rPr>
              <w:t>38</w:t>
            </w:r>
          </w:p>
        </w:tc>
        <w:tc>
          <w:tcPr>
            <w:tcW w:w="966" w:type="dxa"/>
            <w:noWrap/>
            <w:vAlign w:val="center"/>
          </w:tcPr>
          <w:p>
            <w:pPr>
              <w:jc w:val="center"/>
              <w:rPr>
                <w:rFonts w:ascii="宋体" w:hAnsi="宋体"/>
                <w:sz w:val="18"/>
                <w:szCs w:val="18"/>
              </w:rPr>
            </w:pPr>
            <w:r>
              <w:rPr>
                <w:rFonts w:hint="eastAsia" w:ascii="宋体" w:hAnsi="宋体"/>
                <w:sz w:val="18"/>
                <w:szCs w:val="18"/>
              </w:rPr>
              <w:t>39</w:t>
            </w:r>
          </w:p>
        </w:tc>
      </w:tr>
    </w:tbl>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单位负责人：         统计负责人：         填表人：         联系电话：         报出日期：２０   年  月  日</w:t>
      </w:r>
    </w:p>
    <w:p>
      <w:pPr>
        <w:spacing w:line="260" w:lineRule="exact"/>
        <w:ind w:right="-42" w:rightChars="-20"/>
        <w:rPr>
          <w:rFonts w:asciiTheme="minorEastAsia" w:hAnsiTheme="minorEastAsia" w:eastAsiaTheme="minorEastAsia" w:cstheme="minorEastAsia"/>
          <w:sz w:val="18"/>
        </w:rPr>
      </w:pPr>
    </w:p>
    <w:p>
      <w:pPr>
        <w:spacing w:line="280" w:lineRule="exact"/>
        <w:ind w:right="-42" w:rightChars="-2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说明</w:t>
      </w:r>
      <w:r>
        <w:rPr>
          <w:rFonts w:hint="eastAsia" w:asciiTheme="minorEastAsia" w:hAnsiTheme="minorEastAsia" w:eastAsiaTheme="minorEastAsia" w:cstheme="minorEastAsia"/>
          <w:sz w:val="18"/>
          <w:szCs w:val="18"/>
        </w:rPr>
        <w:t>：1.统计范围：辖区内除军队系统以外的全部能源生产和消费活动。</w:t>
      </w:r>
    </w:p>
    <w:p>
      <w:pPr>
        <w:spacing w:line="280" w:lineRule="exact"/>
        <w:ind w:left="722" w:leftChars="258" w:right="-40" w:hanging="180" w:hangingChars="1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2.本表由各区统计机构根据现有资料加工编制并负责报送。报送时间为次年5月30日前，报送方式为电子邮件</w:t>
      </w:r>
      <w:r>
        <w:rPr>
          <w:rFonts w:hint="eastAsia" w:asciiTheme="minorEastAsia" w:hAnsiTheme="minorEastAsia" w:eastAsiaTheme="minorEastAsia" w:cstheme="minorEastAsia"/>
          <w:sz w:val="18"/>
        </w:rPr>
        <w:t>（gzstjjnyc@gz.gov.cn）</w:t>
      </w:r>
      <w:r>
        <w:rPr>
          <w:rFonts w:hint="eastAsia" w:asciiTheme="minorEastAsia" w:hAnsiTheme="minorEastAsia" w:eastAsiaTheme="minorEastAsia" w:cstheme="minorEastAsia"/>
          <w:sz w:val="18"/>
          <w:szCs w:val="18"/>
        </w:rPr>
        <w:t>。</w:t>
      </w:r>
    </w:p>
    <w:p>
      <w:pPr>
        <w:spacing w:line="280" w:lineRule="exact"/>
        <w:ind w:right="-42" w:rightChars="-20" w:firstLine="540"/>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3.平衡关系：</w:t>
      </w:r>
    </w:p>
    <w:p>
      <w:pPr>
        <w:spacing w:line="280" w:lineRule="exact"/>
        <w:ind w:right="-42" w:rightChars="-20" w:firstLine="720" w:firstLineChars="400"/>
        <w:rPr>
          <w:rFonts w:asciiTheme="minorEastAsia" w:hAnsiTheme="minorEastAsia" w:eastAsiaTheme="minorEastAsia" w:cstheme="minorEastAsia"/>
          <w:sz w:val="18"/>
        </w:rPr>
      </w:pPr>
      <w:r>
        <w:rPr>
          <w:rFonts w:hint="eastAsia" w:asciiTheme="minorEastAsia" w:hAnsiTheme="minorEastAsia" w:eastAsiaTheme="minorEastAsia" w:cstheme="minorEastAsia"/>
          <w:sz w:val="18"/>
          <w:szCs w:val="18"/>
        </w:rPr>
        <w:t>列平衡关系：(1)煤合计(1)=2+7+8+9</w:t>
      </w:r>
    </w:p>
    <w:p>
      <w:pPr>
        <w:spacing w:line="280" w:lineRule="exact"/>
        <w:ind w:right="-42" w:rightChars="-20" w:firstLine="1800" w:firstLineChars="10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(2)原煤(2)=3+4+5+6</w:t>
      </w:r>
    </w:p>
    <w:p>
      <w:pPr>
        <w:spacing w:line="280" w:lineRule="exact"/>
        <w:ind w:right="-42" w:rightChars="-20" w:firstLine="1800" w:firstLineChars="10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(3)油品合计(17)=18+19+……+31</w:t>
      </w:r>
    </w:p>
    <w:p>
      <w:pPr>
        <w:spacing w:line="280" w:lineRule="exact"/>
        <w:ind w:right="-40" w:firstLine="720" w:firstLineChars="4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行平衡关系：与行业分类目录平衡关系一致。 </w:t>
      </w:r>
    </w:p>
    <w:p>
      <w:pPr>
        <w:pStyle w:val="7"/>
        <w:ind w:firstLine="360"/>
        <w:rPr>
          <w:rFonts w:ascii="宋体" w:hAnsi="宋体"/>
          <w:sz w:val="18"/>
          <w:szCs w:val="18"/>
        </w:rPr>
      </w:pPr>
    </w:p>
    <w:p>
      <w:pPr>
        <w:pStyle w:val="2"/>
        <w:rPr>
          <w:sz w:val="18"/>
          <w:szCs w:val="18"/>
        </w:rPr>
      </w:pPr>
    </w:p>
    <w:p>
      <w:pPr>
        <w:pStyle w:val="3"/>
        <w:rPr>
          <w:rFonts w:ascii="宋体" w:hAnsi="宋体"/>
          <w:sz w:val="18"/>
          <w:szCs w:val="18"/>
        </w:rPr>
      </w:pPr>
    </w:p>
    <w:p>
      <w:pPr>
        <w:rPr>
          <w:rFonts w:ascii="宋体" w:hAnsi="宋体"/>
          <w:sz w:val="18"/>
          <w:szCs w:val="18"/>
        </w:rPr>
      </w:pPr>
    </w:p>
    <w:p>
      <w:pPr>
        <w:pStyle w:val="7"/>
        <w:ind w:firstLine="360"/>
        <w:rPr>
          <w:rFonts w:ascii="宋体" w:hAnsi="宋体"/>
          <w:sz w:val="18"/>
          <w:szCs w:val="18"/>
        </w:rPr>
      </w:pPr>
    </w:p>
    <w:p>
      <w:pPr>
        <w:pStyle w:val="2"/>
        <w:rPr>
          <w:sz w:val="18"/>
          <w:szCs w:val="18"/>
        </w:rPr>
      </w:pPr>
    </w:p>
    <w:p>
      <w:pPr>
        <w:pStyle w:val="3"/>
        <w:rPr>
          <w:rFonts w:ascii="宋体" w:hAnsi="宋体"/>
          <w:sz w:val="18"/>
          <w:szCs w:val="18"/>
        </w:rPr>
      </w:pPr>
    </w:p>
    <w:p>
      <w:pPr>
        <w:rPr>
          <w:rFonts w:ascii="宋体" w:hAnsi="宋体"/>
          <w:sz w:val="18"/>
          <w:szCs w:val="18"/>
        </w:rPr>
      </w:pPr>
    </w:p>
    <w:p>
      <w:pPr>
        <w:pStyle w:val="7"/>
        <w:ind w:firstLine="360"/>
        <w:rPr>
          <w:rFonts w:ascii="宋体" w:hAnsi="宋体"/>
          <w:sz w:val="18"/>
          <w:szCs w:val="18"/>
        </w:rPr>
      </w:pPr>
    </w:p>
    <w:p>
      <w:pPr>
        <w:ind w:right="-40" w:firstLine="720" w:firstLineChars="400"/>
        <w:rPr>
          <w:rFonts w:ascii="宋体" w:hAnsi="宋体"/>
          <w:sz w:val="18"/>
          <w:szCs w:val="18"/>
        </w:rPr>
      </w:pPr>
    </w:p>
    <w:p>
      <w:pPr>
        <w:jc w:val="center"/>
      </w:pPr>
    </w:p>
    <w:p>
      <w:pPr>
        <w:keepNext w:val="0"/>
        <w:keepLines w:val="0"/>
        <w:pageBreakBefore w:val="0"/>
        <w:widowControl w:val="0"/>
        <w:kinsoku/>
        <w:wordWrap/>
        <w:overflowPunct/>
        <w:topLinePunct w:val="0"/>
        <w:autoSpaceDE/>
        <w:autoSpaceDN/>
        <w:bidi w:val="0"/>
        <w:adjustRightInd/>
        <w:snapToGrid/>
        <w:spacing w:after="240" w:afterLines="100" w:line="240" w:lineRule="auto"/>
        <w:jc w:val="center"/>
        <w:textAlignment w:val="auto"/>
        <w:rPr>
          <w:rFonts w:ascii="宋体" w:hAnsi="宋体"/>
          <w:b/>
          <w:sz w:val="28"/>
          <w:szCs w:val="28"/>
        </w:rPr>
      </w:pPr>
      <w:r>
        <w:rPr>
          <w:rFonts w:hint="eastAsia" w:ascii="宋体" w:hAnsi="宋体"/>
          <w:b/>
          <w:sz w:val="32"/>
          <w:szCs w:val="32"/>
        </w:rPr>
        <w:t>分行业终端能源消费量(实物量)</w:t>
      </w:r>
    </w:p>
    <w:tbl>
      <w:tblPr>
        <w:tblStyle w:val="21"/>
        <w:tblW w:w="9647" w:type="dxa"/>
        <w:jc w:val="center"/>
        <w:tblLayout w:type="autofit"/>
        <w:tblCellMar>
          <w:top w:w="0" w:type="dxa"/>
          <w:left w:w="0" w:type="dxa"/>
          <w:bottom w:w="0" w:type="dxa"/>
          <w:right w:w="0" w:type="dxa"/>
        </w:tblCellMar>
      </w:tblPr>
      <w:tblGrid>
        <w:gridCol w:w="2160"/>
        <w:gridCol w:w="720"/>
        <w:gridCol w:w="922"/>
        <w:gridCol w:w="7"/>
        <w:gridCol w:w="840"/>
        <w:gridCol w:w="76"/>
        <w:gridCol w:w="855"/>
        <w:gridCol w:w="900"/>
        <w:gridCol w:w="377"/>
        <w:gridCol w:w="523"/>
        <w:gridCol w:w="302"/>
        <w:gridCol w:w="508"/>
        <w:gridCol w:w="735"/>
        <w:gridCol w:w="722"/>
        <w:gridCol w:w="107"/>
      </w:tblGrid>
      <w:tr>
        <w:tblPrEx>
          <w:tblCellMar>
            <w:top w:w="0" w:type="dxa"/>
            <w:left w:w="0" w:type="dxa"/>
            <w:bottom w:w="0" w:type="dxa"/>
            <w:right w:w="0" w:type="dxa"/>
          </w:tblCellMar>
        </w:tblPrEx>
        <w:trPr>
          <w:gridAfter w:val="1"/>
          <w:wAfter w:w="107" w:type="dxa"/>
          <w:jc w:val="center"/>
        </w:trPr>
        <w:tc>
          <w:tcPr>
            <w:tcW w:w="3809" w:type="dxa"/>
            <w:gridSpan w:val="4"/>
          </w:tcPr>
          <w:p>
            <w:pPr>
              <w:spacing w:line="260" w:lineRule="exact"/>
              <w:rPr>
                <w:sz w:val="18"/>
                <w:szCs w:val="18"/>
              </w:rPr>
            </w:pPr>
          </w:p>
        </w:tc>
        <w:tc>
          <w:tcPr>
            <w:tcW w:w="840" w:type="dxa"/>
          </w:tcPr>
          <w:p>
            <w:pPr>
              <w:spacing w:line="260" w:lineRule="exact"/>
              <w:rPr>
                <w:sz w:val="18"/>
                <w:szCs w:val="18"/>
              </w:rPr>
            </w:pPr>
          </w:p>
        </w:tc>
        <w:tc>
          <w:tcPr>
            <w:tcW w:w="2208" w:type="dxa"/>
            <w:gridSpan w:val="4"/>
          </w:tcPr>
          <w:p>
            <w:pPr>
              <w:spacing w:line="260" w:lineRule="exact"/>
              <w:rPr>
                <w:sz w:val="18"/>
                <w:szCs w:val="18"/>
              </w:rPr>
            </w:pPr>
            <w:r>
              <w:rPr>
                <w:sz w:val="18"/>
                <w:szCs w:val="18"/>
              </w:rPr>
              <w:t>　　　　　　　　　　　　　</w:t>
            </w:r>
          </w:p>
        </w:tc>
        <w:tc>
          <w:tcPr>
            <w:tcW w:w="825" w:type="dxa"/>
            <w:gridSpan w:val="2"/>
            <w:tcMar>
              <w:left w:w="0" w:type="dxa"/>
              <w:right w:w="0" w:type="dxa"/>
            </w:tcMar>
          </w:tcPr>
          <w:p>
            <w:pPr>
              <w:spacing w:line="260" w:lineRule="exact"/>
              <w:rPr>
                <w:sz w:val="18"/>
                <w:szCs w:val="18"/>
              </w:rPr>
            </w:pPr>
            <w:r>
              <w:rPr>
                <w:sz w:val="18"/>
                <w:szCs w:val="18"/>
              </w:rPr>
              <w:t>表    号：</w:t>
            </w:r>
          </w:p>
        </w:tc>
        <w:tc>
          <w:tcPr>
            <w:tcW w:w="1965" w:type="dxa"/>
            <w:gridSpan w:val="3"/>
            <w:vAlign w:val="center"/>
          </w:tcPr>
          <w:p>
            <w:pPr>
              <w:spacing w:line="260" w:lineRule="exact"/>
              <w:jc w:val="distribute"/>
              <w:rPr>
                <w:sz w:val="18"/>
                <w:szCs w:val="18"/>
              </w:rPr>
            </w:pPr>
            <w:r>
              <w:rPr>
                <w:sz w:val="18"/>
                <w:szCs w:val="18"/>
              </w:rPr>
              <w:t>Ｐ３０３－３表</w:t>
            </w:r>
          </w:p>
        </w:tc>
      </w:tr>
      <w:tr>
        <w:tblPrEx>
          <w:tblCellMar>
            <w:top w:w="0" w:type="dxa"/>
            <w:left w:w="0" w:type="dxa"/>
            <w:bottom w:w="0" w:type="dxa"/>
            <w:right w:w="0" w:type="dxa"/>
          </w:tblCellMar>
        </w:tblPrEx>
        <w:trPr>
          <w:gridAfter w:val="1"/>
          <w:wAfter w:w="107" w:type="dxa"/>
          <w:jc w:val="center"/>
        </w:trPr>
        <w:tc>
          <w:tcPr>
            <w:tcW w:w="3809" w:type="dxa"/>
            <w:gridSpan w:val="4"/>
          </w:tcPr>
          <w:p>
            <w:pPr>
              <w:spacing w:line="260" w:lineRule="exact"/>
              <w:rPr>
                <w:sz w:val="18"/>
                <w:szCs w:val="18"/>
              </w:rPr>
            </w:pPr>
          </w:p>
        </w:tc>
        <w:tc>
          <w:tcPr>
            <w:tcW w:w="840" w:type="dxa"/>
          </w:tcPr>
          <w:p>
            <w:pPr>
              <w:spacing w:line="260" w:lineRule="exact"/>
              <w:rPr>
                <w:sz w:val="18"/>
                <w:szCs w:val="18"/>
              </w:rPr>
            </w:pPr>
          </w:p>
        </w:tc>
        <w:tc>
          <w:tcPr>
            <w:tcW w:w="2208" w:type="dxa"/>
            <w:gridSpan w:val="4"/>
          </w:tcPr>
          <w:p>
            <w:pPr>
              <w:spacing w:line="260" w:lineRule="exact"/>
              <w:rPr>
                <w:sz w:val="18"/>
                <w:szCs w:val="18"/>
              </w:rPr>
            </w:pPr>
          </w:p>
        </w:tc>
        <w:tc>
          <w:tcPr>
            <w:tcW w:w="825" w:type="dxa"/>
            <w:gridSpan w:val="2"/>
            <w:tcMar>
              <w:left w:w="0" w:type="dxa"/>
              <w:right w:w="0" w:type="dxa"/>
            </w:tcMar>
            <w:vAlign w:val="center"/>
          </w:tcPr>
          <w:p>
            <w:pPr>
              <w:spacing w:line="260" w:lineRule="exact"/>
              <w:rPr>
                <w:sz w:val="18"/>
                <w:szCs w:val="18"/>
              </w:rPr>
            </w:pPr>
            <w:r>
              <w:rPr>
                <w:sz w:val="18"/>
                <w:szCs w:val="18"/>
              </w:rPr>
              <w:t>制定机关：</w:t>
            </w:r>
          </w:p>
        </w:tc>
        <w:tc>
          <w:tcPr>
            <w:tcW w:w="1965" w:type="dxa"/>
            <w:gridSpan w:val="3"/>
            <w:vAlign w:val="center"/>
          </w:tcPr>
          <w:p>
            <w:pPr>
              <w:spacing w:line="260" w:lineRule="exact"/>
              <w:jc w:val="distribute"/>
              <w:rPr>
                <w:sz w:val="18"/>
                <w:szCs w:val="18"/>
              </w:rPr>
            </w:pPr>
            <w:r>
              <w:rPr>
                <w:sz w:val="18"/>
                <w:szCs w:val="18"/>
              </w:rPr>
              <w:t>国 家 统 计 局</w:t>
            </w:r>
          </w:p>
        </w:tc>
      </w:tr>
      <w:tr>
        <w:tblPrEx>
          <w:tblCellMar>
            <w:top w:w="0" w:type="dxa"/>
            <w:left w:w="0" w:type="dxa"/>
            <w:bottom w:w="0" w:type="dxa"/>
            <w:right w:w="0" w:type="dxa"/>
          </w:tblCellMar>
        </w:tblPrEx>
        <w:trPr>
          <w:gridAfter w:val="1"/>
          <w:wAfter w:w="107" w:type="dxa"/>
          <w:jc w:val="center"/>
        </w:trPr>
        <w:tc>
          <w:tcPr>
            <w:tcW w:w="3809" w:type="dxa"/>
            <w:gridSpan w:val="4"/>
          </w:tcPr>
          <w:p>
            <w:pPr>
              <w:spacing w:line="260" w:lineRule="exact"/>
              <w:jc w:val="left"/>
              <w:rPr>
                <w:sz w:val="18"/>
                <w:szCs w:val="18"/>
              </w:rPr>
            </w:pPr>
          </w:p>
        </w:tc>
        <w:tc>
          <w:tcPr>
            <w:tcW w:w="840" w:type="dxa"/>
          </w:tcPr>
          <w:p>
            <w:pPr>
              <w:spacing w:line="260" w:lineRule="exact"/>
              <w:rPr>
                <w:sz w:val="18"/>
                <w:szCs w:val="18"/>
              </w:rPr>
            </w:pPr>
          </w:p>
        </w:tc>
        <w:tc>
          <w:tcPr>
            <w:tcW w:w="2208" w:type="dxa"/>
            <w:gridSpan w:val="4"/>
          </w:tcPr>
          <w:p>
            <w:pPr>
              <w:spacing w:line="260" w:lineRule="exact"/>
              <w:rPr>
                <w:sz w:val="18"/>
                <w:szCs w:val="18"/>
              </w:rPr>
            </w:pPr>
          </w:p>
        </w:tc>
        <w:tc>
          <w:tcPr>
            <w:tcW w:w="825" w:type="dxa"/>
            <w:gridSpan w:val="2"/>
            <w:tcMar>
              <w:left w:w="0" w:type="dxa"/>
              <w:right w:w="0" w:type="dxa"/>
            </w:tcMar>
            <w:vAlign w:val="center"/>
          </w:tcPr>
          <w:p>
            <w:pPr>
              <w:spacing w:line="260" w:lineRule="exact"/>
              <w:rPr>
                <w:sz w:val="18"/>
                <w:szCs w:val="18"/>
              </w:rPr>
            </w:pPr>
            <w:r>
              <w:rPr>
                <w:sz w:val="18"/>
                <w:szCs w:val="18"/>
              </w:rPr>
              <w:t>文    号：</w:t>
            </w:r>
          </w:p>
        </w:tc>
        <w:tc>
          <w:tcPr>
            <w:tcW w:w="1965" w:type="dxa"/>
            <w:gridSpan w:val="3"/>
            <w:vAlign w:val="center"/>
          </w:tcPr>
          <w:p>
            <w:pPr>
              <w:spacing w:line="260" w:lineRule="exact"/>
              <w:jc w:val="distribute"/>
              <w:rPr>
                <w:color w:val="auto"/>
                <w:sz w:val="18"/>
                <w:szCs w:val="18"/>
              </w:rPr>
            </w:pPr>
            <w:r>
              <w:rPr>
                <w:rFonts w:hint="eastAsia" w:ascii="宋体" w:hAnsi="宋体"/>
                <w:color w:val="auto"/>
                <w:sz w:val="18"/>
                <w:szCs w:val="18"/>
              </w:rPr>
              <w:t>国统字〔202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color w:val="auto"/>
                <w:spacing w:val="-16"/>
                <w:sz w:val="18"/>
                <w:szCs w:val="18"/>
              </w:rPr>
              <w:t>号</w:t>
            </w:r>
          </w:p>
        </w:tc>
      </w:tr>
      <w:tr>
        <w:tblPrEx>
          <w:tblCellMar>
            <w:top w:w="0" w:type="dxa"/>
            <w:left w:w="0" w:type="dxa"/>
            <w:bottom w:w="0" w:type="dxa"/>
            <w:right w:w="0" w:type="dxa"/>
          </w:tblCellMar>
        </w:tblPrEx>
        <w:trPr>
          <w:gridAfter w:val="1"/>
          <w:wAfter w:w="107" w:type="dxa"/>
          <w:jc w:val="center"/>
        </w:trPr>
        <w:tc>
          <w:tcPr>
            <w:tcW w:w="3809" w:type="dxa"/>
            <w:gridSpan w:val="4"/>
          </w:tcPr>
          <w:p>
            <w:pPr>
              <w:spacing w:line="260" w:lineRule="exact"/>
              <w:rPr>
                <w:sz w:val="18"/>
                <w:szCs w:val="18"/>
              </w:rPr>
            </w:pPr>
            <w:r>
              <w:rPr>
                <w:sz w:val="18"/>
              </w:rPr>
              <w:t>综合机关名称：</w:t>
            </w:r>
          </w:p>
        </w:tc>
        <w:tc>
          <w:tcPr>
            <w:tcW w:w="840" w:type="dxa"/>
          </w:tcPr>
          <w:p>
            <w:pPr>
              <w:spacing w:line="260" w:lineRule="exact"/>
              <w:rPr>
                <w:sz w:val="18"/>
                <w:szCs w:val="18"/>
              </w:rPr>
            </w:pPr>
          </w:p>
        </w:tc>
        <w:tc>
          <w:tcPr>
            <w:tcW w:w="2208" w:type="dxa"/>
            <w:gridSpan w:val="4"/>
          </w:tcPr>
          <w:p>
            <w:pPr>
              <w:spacing w:line="260" w:lineRule="exact"/>
              <w:rPr>
                <w:sz w:val="18"/>
                <w:szCs w:val="18"/>
              </w:rPr>
            </w:pPr>
            <w:r>
              <w:rPr>
                <w:sz w:val="18"/>
                <w:szCs w:val="18"/>
              </w:rPr>
              <w:t>２０　　年　　　　　　　　　</w:t>
            </w:r>
          </w:p>
        </w:tc>
        <w:tc>
          <w:tcPr>
            <w:tcW w:w="825" w:type="dxa"/>
            <w:gridSpan w:val="2"/>
            <w:tcMar>
              <w:left w:w="0" w:type="dxa"/>
              <w:right w:w="0" w:type="dxa"/>
            </w:tcMar>
            <w:vAlign w:val="center"/>
          </w:tcPr>
          <w:p>
            <w:pPr>
              <w:spacing w:line="260" w:lineRule="exact"/>
              <w:rPr>
                <w:sz w:val="18"/>
                <w:szCs w:val="18"/>
              </w:rPr>
            </w:pPr>
            <w:r>
              <w:rPr>
                <w:sz w:val="18"/>
                <w:szCs w:val="18"/>
              </w:rPr>
              <w:t>有效期至：</w:t>
            </w:r>
          </w:p>
        </w:tc>
        <w:tc>
          <w:tcPr>
            <w:tcW w:w="1965" w:type="dxa"/>
            <w:gridSpan w:val="3"/>
            <w:vAlign w:val="center"/>
          </w:tcPr>
          <w:p>
            <w:pPr>
              <w:spacing w:line="260" w:lineRule="exact"/>
              <w:jc w:val="distribute"/>
              <w:rPr>
                <w:color w:val="auto"/>
                <w:sz w:val="18"/>
                <w:szCs w:val="18"/>
              </w:rPr>
            </w:pPr>
            <w:r>
              <w:rPr>
                <w:color w:val="auto"/>
                <w:sz w:val="18"/>
                <w:szCs w:val="18"/>
              </w:rPr>
              <w:t>２０２</w:t>
            </w:r>
            <w:r>
              <w:rPr>
                <w:rFonts w:hint="eastAsia" w:ascii="宋体" w:hAnsi="宋体" w:cs="宋体"/>
                <w:color w:val="auto"/>
                <w:sz w:val="18"/>
                <w:szCs w:val="18"/>
                <w:lang w:val="en-US" w:eastAsia="zh-CN"/>
              </w:rPr>
              <w:t>6</w:t>
            </w:r>
            <w:r>
              <w:rPr>
                <w:color w:val="auto"/>
                <w:sz w:val="18"/>
                <w:szCs w:val="18"/>
              </w:rPr>
              <w:t>年６月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5" w:hRule="atLeast"/>
          <w:jc w:val="center"/>
        </w:trPr>
        <w:tc>
          <w:tcPr>
            <w:tcW w:w="2160" w:type="dxa"/>
            <w:vMerge w:val="restart"/>
            <w:tcBorders>
              <w:top w:val="single" w:color="auto" w:sz="8" w:space="0"/>
              <w:left w:val="nil"/>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指标名称</w:t>
            </w:r>
          </w:p>
        </w:tc>
        <w:tc>
          <w:tcPr>
            <w:tcW w:w="720" w:type="dxa"/>
            <w:vMerge w:val="restart"/>
            <w:tcBorders>
              <w:top w:val="single" w:color="auto" w:sz="8"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代码</w:t>
            </w:r>
          </w:p>
        </w:tc>
        <w:tc>
          <w:tcPr>
            <w:tcW w:w="922" w:type="dxa"/>
            <w:vMerge w:val="restart"/>
            <w:tcBorders>
              <w:top w:val="single" w:color="auto" w:sz="8"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煤合</w:t>
            </w:r>
            <w:r>
              <w:rPr>
                <w:rFonts w:ascii="宋体" w:hAnsi="宋体"/>
                <w:sz w:val="18"/>
                <w:szCs w:val="18"/>
              </w:rPr>
              <w:t>计(万吨)</w:t>
            </w:r>
          </w:p>
        </w:tc>
        <w:tc>
          <w:tcPr>
            <w:tcW w:w="923" w:type="dxa"/>
            <w:gridSpan w:val="3"/>
            <w:vMerge w:val="restart"/>
            <w:tcBorders>
              <w:top w:val="single" w:color="auto" w:sz="8" w:space="0"/>
              <w:left w:val="single" w:color="auto" w:sz="2" w:space="0"/>
              <w:bottom w:val="single" w:color="auto" w:sz="2" w:space="0"/>
              <w:right w:val="nil"/>
            </w:tcBorders>
            <w:noWrap/>
            <w:vAlign w:val="center"/>
          </w:tcPr>
          <w:p>
            <w:pPr>
              <w:jc w:val="center"/>
              <w:rPr>
                <w:rFonts w:ascii="宋体" w:hAnsi="宋体"/>
                <w:sz w:val="18"/>
                <w:szCs w:val="18"/>
              </w:rPr>
            </w:pPr>
            <w:r>
              <w:rPr>
                <w:rFonts w:hint="eastAsia" w:ascii="宋体" w:hAnsi="宋体"/>
                <w:sz w:val="18"/>
                <w:szCs w:val="18"/>
              </w:rPr>
              <w:t>原</w:t>
            </w:r>
            <w:r>
              <w:rPr>
                <w:rFonts w:ascii="宋体" w:hAnsi="宋体"/>
                <w:sz w:val="18"/>
                <w:szCs w:val="18"/>
              </w:rPr>
              <w:t>煤(万吨)</w:t>
            </w:r>
          </w:p>
        </w:tc>
        <w:tc>
          <w:tcPr>
            <w:tcW w:w="3465" w:type="dxa"/>
            <w:gridSpan w:val="6"/>
            <w:tcBorders>
              <w:top w:val="single" w:color="auto" w:sz="8" w:space="0"/>
              <w:left w:val="nil"/>
              <w:bottom w:val="single" w:color="auto" w:sz="2" w:space="0"/>
              <w:right w:val="single" w:color="auto" w:sz="2" w:space="0"/>
            </w:tcBorders>
            <w:noWrap/>
            <w:vAlign w:val="center"/>
          </w:tcPr>
          <w:p>
            <w:pPr>
              <w:jc w:val="center"/>
              <w:rPr>
                <w:rFonts w:ascii="宋体" w:hAnsi="宋体"/>
                <w:sz w:val="18"/>
                <w:szCs w:val="18"/>
              </w:rPr>
            </w:pPr>
          </w:p>
        </w:tc>
        <w:tc>
          <w:tcPr>
            <w:tcW w:w="735" w:type="dxa"/>
            <w:vMerge w:val="restart"/>
            <w:tcBorders>
              <w:top w:val="single" w:color="auto" w:sz="8" w:space="0"/>
              <w:left w:val="single" w:color="auto" w:sz="2" w:space="0"/>
              <w:bottom w:val="single" w:color="auto" w:sz="2" w:space="0"/>
              <w:right w:val="single" w:color="auto" w:sz="2" w:space="0"/>
            </w:tcBorders>
            <w:noWrap/>
            <w:vAlign w:val="center"/>
          </w:tcPr>
          <w:p>
            <w:pPr>
              <w:ind w:left="-105" w:leftChars="-50" w:right="-105" w:rightChars="-50"/>
              <w:jc w:val="center"/>
              <w:rPr>
                <w:rFonts w:ascii="宋体" w:hAnsi="宋体"/>
                <w:sz w:val="18"/>
                <w:szCs w:val="18"/>
              </w:rPr>
            </w:pPr>
            <w:r>
              <w:rPr>
                <w:rFonts w:hint="eastAsia" w:ascii="宋体" w:hAnsi="宋体"/>
                <w:sz w:val="18"/>
                <w:szCs w:val="18"/>
              </w:rPr>
              <w:t>洗精煤                 (万吨)</w:t>
            </w:r>
          </w:p>
        </w:tc>
        <w:tc>
          <w:tcPr>
            <w:tcW w:w="829" w:type="dxa"/>
            <w:gridSpan w:val="2"/>
            <w:vMerge w:val="restart"/>
            <w:tcBorders>
              <w:top w:val="single" w:color="auto" w:sz="8" w:space="0"/>
              <w:left w:val="single" w:color="auto" w:sz="2" w:space="0"/>
              <w:bottom w:val="single" w:color="auto" w:sz="2" w:space="0"/>
              <w:right w:val="nil"/>
            </w:tcBorders>
            <w:noWrap/>
            <w:vAlign w:val="center"/>
          </w:tcPr>
          <w:p>
            <w:pPr>
              <w:ind w:left="-105" w:leftChars="-50" w:right="-105" w:rightChars="-50"/>
              <w:jc w:val="center"/>
              <w:rPr>
                <w:rFonts w:ascii="宋体" w:hAnsi="宋体"/>
                <w:sz w:val="18"/>
                <w:szCs w:val="18"/>
              </w:rPr>
            </w:pPr>
            <w:r>
              <w:rPr>
                <w:rFonts w:hint="eastAsia" w:ascii="宋体" w:hAnsi="宋体"/>
                <w:sz w:val="18"/>
                <w:szCs w:val="18"/>
              </w:rPr>
              <w:t>其他       洗煤            (万吨)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5" w:hRule="atLeast"/>
          <w:jc w:val="center"/>
        </w:trPr>
        <w:tc>
          <w:tcPr>
            <w:tcW w:w="2160" w:type="dxa"/>
            <w:vMerge w:val="continue"/>
            <w:tcBorders>
              <w:top w:val="single" w:color="auto" w:sz="2" w:space="0"/>
              <w:left w:val="nil"/>
              <w:bottom w:val="single" w:color="auto" w:sz="2" w:space="0"/>
              <w:right w:val="single" w:color="auto" w:sz="2" w:space="0"/>
            </w:tcBorders>
            <w:noWrap/>
            <w:vAlign w:val="center"/>
          </w:tcPr>
          <w:p>
            <w:pPr>
              <w:jc w:val="center"/>
              <w:rPr>
                <w:rFonts w:ascii="宋体" w:hAnsi="宋体"/>
                <w:sz w:val="18"/>
                <w:szCs w:val="18"/>
              </w:rPr>
            </w:pPr>
          </w:p>
        </w:tc>
        <w:tc>
          <w:tcPr>
            <w:tcW w:w="720" w:type="dxa"/>
            <w:vMerge w:val="continue"/>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p>
        </w:tc>
        <w:tc>
          <w:tcPr>
            <w:tcW w:w="922" w:type="dxa"/>
            <w:vMerge w:val="continue"/>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p>
        </w:tc>
        <w:tc>
          <w:tcPr>
            <w:tcW w:w="923" w:type="dxa"/>
            <w:gridSpan w:val="3"/>
            <w:vMerge w:val="continue"/>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p>
        </w:tc>
        <w:tc>
          <w:tcPr>
            <w:tcW w:w="855" w:type="dxa"/>
            <w:vMerge w:val="restart"/>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无烟煤              (万吨)</w:t>
            </w:r>
          </w:p>
        </w:tc>
        <w:tc>
          <w:tcPr>
            <w:tcW w:w="1800" w:type="dxa"/>
            <w:gridSpan w:val="3"/>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烟煤(万吨)</w:t>
            </w:r>
          </w:p>
        </w:tc>
        <w:tc>
          <w:tcPr>
            <w:tcW w:w="810" w:type="dxa"/>
            <w:gridSpan w:val="2"/>
            <w:vMerge w:val="restart"/>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褐煤                 (万吨)</w:t>
            </w:r>
          </w:p>
        </w:tc>
        <w:tc>
          <w:tcPr>
            <w:tcW w:w="735" w:type="dxa"/>
            <w:vMerge w:val="continue"/>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p>
        </w:tc>
        <w:tc>
          <w:tcPr>
            <w:tcW w:w="829" w:type="dxa"/>
            <w:gridSpan w:val="2"/>
            <w:vMerge w:val="continue"/>
            <w:tcBorders>
              <w:top w:val="single" w:color="auto" w:sz="2" w:space="0"/>
              <w:left w:val="single" w:color="auto" w:sz="2" w:space="0"/>
              <w:bottom w:val="single" w:color="auto" w:sz="2" w:space="0"/>
              <w:right w:val="nil"/>
            </w:tcBorders>
            <w:noWrap/>
            <w:vAlign w:val="center"/>
          </w:tcPr>
          <w:p>
            <w:pPr>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5" w:hRule="atLeast"/>
          <w:jc w:val="center"/>
        </w:trPr>
        <w:tc>
          <w:tcPr>
            <w:tcW w:w="2160" w:type="dxa"/>
            <w:vMerge w:val="continue"/>
            <w:tcBorders>
              <w:top w:val="single" w:color="auto" w:sz="2" w:space="0"/>
              <w:left w:val="nil"/>
              <w:bottom w:val="single" w:color="auto" w:sz="2" w:space="0"/>
              <w:right w:val="single" w:color="auto" w:sz="2" w:space="0"/>
            </w:tcBorders>
            <w:noWrap/>
            <w:vAlign w:val="center"/>
          </w:tcPr>
          <w:p>
            <w:pPr>
              <w:jc w:val="center"/>
              <w:rPr>
                <w:rFonts w:ascii="宋体" w:hAnsi="宋体"/>
                <w:sz w:val="18"/>
                <w:szCs w:val="18"/>
              </w:rPr>
            </w:pPr>
          </w:p>
        </w:tc>
        <w:tc>
          <w:tcPr>
            <w:tcW w:w="720" w:type="dxa"/>
            <w:vMerge w:val="continue"/>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p>
        </w:tc>
        <w:tc>
          <w:tcPr>
            <w:tcW w:w="922" w:type="dxa"/>
            <w:vMerge w:val="continue"/>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p>
        </w:tc>
        <w:tc>
          <w:tcPr>
            <w:tcW w:w="923" w:type="dxa"/>
            <w:gridSpan w:val="3"/>
            <w:vMerge w:val="continue"/>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p>
        </w:tc>
        <w:tc>
          <w:tcPr>
            <w:tcW w:w="855" w:type="dxa"/>
            <w:vMerge w:val="continue"/>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p>
        </w:tc>
        <w:tc>
          <w:tcPr>
            <w:tcW w:w="900" w:type="dxa"/>
            <w:tcBorders>
              <w:top w:val="single" w:color="auto" w:sz="2" w:space="0"/>
              <w:left w:val="single" w:color="auto" w:sz="2" w:space="0"/>
              <w:bottom w:val="single" w:color="auto" w:sz="2" w:space="0"/>
              <w:right w:val="single" w:color="auto" w:sz="2" w:space="0"/>
            </w:tcBorders>
            <w:noWrap/>
            <w:vAlign w:val="center"/>
          </w:tcPr>
          <w:p>
            <w:pPr>
              <w:ind w:left="-105" w:leftChars="-50" w:right="-105" w:rightChars="-50"/>
              <w:jc w:val="center"/>
              <w:rPr>
                <w:rFonts w:ascii="宋体" w:hAnsi="宋体"/>
                <w:sz w:val="18"/>
                <w:szCs w:val="18"/>
              </w:rPr>
            </w:pPr>
            <w:r>
              <w:rPr>
                <w:rFonts w:hint="eastAsia" w:ascii="宋体" w:hAnsi="宋体"/>
                <w:sz w:val="18"/>
                <w:szCs w:val="18"/>
              </w:rPr>
              <w:t>炼焦烟煤</w:t>
            </w:r>
          </w:p>
        </w:tc>
        <w:tc>
          <w:tcPr>
            <w:tcW w:w="900" w:type="dxa"/>
            <w:gridSpan w:val="2"/>
            <w:tcBorders>
              <w:top w:val="single" w:color="auto" w:sz="2" w:space="0"/>
              <w:left w:val="single" w:color="auto" w:sz="2" w:space="0"/>
              <w:bottom w:val="single" w:color="auto" w:sz="2" w:space="0"/>
              <w:right w:val="single" w:color="auto" w:sz="2" w:space="0"/>
            </w:tcBorders>
            <w:noWrap/>
            <w:vAlign w:val="center"/>
          </w:tcPr>
          <w:p>
            <w:pPr>
              <w:ind w:left="-105" w:leftChars="-50" w:right="-105" w:rightChars="-50"/>
              <w:jc w:val="center"/>
              <w:rPr>
                <w:rFonts w:ascii="宋体" w:hAnsi="宋体"/>
                <w:sz w:val="18"/>
                <w:szCs w:val="18"/>
              </w:rPr>
            </w:pPr>
            <w:r>
              <w:rPr>
                <w:rFonts w:hint="eastAsia" w:ascii="宋体" w:hAnsi="宋体"/>
                <w:sz w:val="18"/>
                <w:szCs w:val="18"/>
              </w:rPr>
              <w:t>一般烟煤</w:t>
            </w:r>
          </w:p>
        </w:tc>
        <w:tc>
          <w:tcPr>
            <w:tcW w:w="810" w:type="dxa"/>
            <w:gridSpan w:val="2"/>
            <w:vMerge w:val="continue"/>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p>
        </w:tc>
        <w:tc>
          <w:tcPr>
            <w:tcW w:w="735" w:type="dxa"/>
            <w:vMerge w:val="continue"/>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p>
        </w:tc>
        <w:tc>
          <w:tcPr>
            <w:tcW w:w="829" w:type="dxa"/>
            <w:gridSpan w:val="2"/>
            <w:vMerge w:val="continue"/>
            <w:tcBorders>
              <w:top w:val="single" w:color="auto" w:sz="2" w:space="0"/>
              <w:left w:val="single" w:color="auto" w:sz="2" w:space="0"/>
              <w:bottom w:val="single" w:color="auto" w:sz="2" w:space="0"/>
              <w:right w:val="nil"/>
            </w:tcBorders>
            <w:noWrap/>
            <w:vAlign w:val="center"/>
          </w:tcPr>
          <w:p>
            <w:pPr>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18" w:hRule="exact"/>
          <w:jc w:val="center"/>
        </w:trPr>
        <w:tc>
          <w:tcPr>
            <w:tcW w:w="2160" w:type="dxa"/>
            <w:tcBorders>
              <w:top w:val="single" w:color="auto" w:sz="2" w:space="0"/>
              <w:left w:val="nil"/>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甲</w:t>
            </w:r>
          </w:p>
        </w:tc>
        <w:tc>
          <w:tcPr>
            <w:tcW w:w="720"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hint="eastAsia" w:ascii="宋体" w:hAnsi="宋体"/>
                <w:sz w:val="18"/>
                <w:szCs w:val="18"/>
              </w:rPr>
              <w:t>乙</w:t>
            </w:r>
          </w:p>
        </w:tc>
        <w:tc>
          <w:tcPr>
            <w:tcW w:w="922"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ascii="宋体" w:hAnsi="宋体"/>
                <w:sz w:val="18"/>
                <w:szCs w:val="18"/>
              </w:rPr>
              <w:t>1</w:t>
            </w:r>
          </w:p>
        </w:tc>
        <w:tc>
          <w:tcPr>
            <w:tcW w:w="923" w:type="dxa"/>
            <w:gridSpan w:val="3"/>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ascii="宋体" w:hAnsi="宋体"/>
                <w:sz w:val="18"/>
                <w:szCs w:val="18"/>
              </w:rPr>
              <w:t>2</w:t>
            </w:r>
          </w:p>
        </w:tc>
        <w:tc>
          <w:tcPr>
            <w:tcW w:w="855"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ascii="宋体" w:hAnsi="宋体"/>
                <w:sz w:val="18"/>
                <w:szCs w:val="18"/>
              </w:rPr>
              <w:t>3</w:t>
            </w:r>
          </w:p>
        </w:tc>
        <w:tc>
          <w:tcPr>
            <w:tcW w:w="900"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ascii="宋体" w:hAnsi="宋体"/>
                <w:sz w:val="18"/>
                <w:szCs w:val="18"/>
              </w:rPr>
              <w:t>4</w:t>
            </w:r>
          </w:p>
        </w:tc>
        <w:tc>
          <w:tcPr>
            <w:tcW w:w="900" w:type="dxa"/>
            <w:gridSpan w:val="2"/>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ascii="宋体" w:hAnsi="宋体"/>
                <w:sz w:val="18"/>
                <w:szCs w:val="18"/>
              </w:rPr>
              <w:t>5</w:t>
            </w:r>
          </w:p>
        </w:tc>
        <w:tc>
          <w:tcPr>
            <w:tcW w:w="810" w:type="dxa"/>
            <w:gridSpan w:val="2"/>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ascii="宋体" w:hAnsi="宋体"/>
                <w:sz w:val="18"/>
                <w:szCs w:val="18"/>
              </w:rPr>
              <w:t>6</w:t>
            </w:r>
          </w:p>
        </w:tc>
        <w:tc>
          <w:tcPr>
            <w:tcW w:w="735"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sz w:val="18"/>
                <w:szCs w:val="18"/>
              </w:rPr>
            </w:pPr>
            <w:r>
              <w:rPr>
                <w:rFonts w:ascii="宋体" w:hAnsi="宋体"/>
                <w:sz w:val="18"/>
                <w:szCs w:val="18"/>
              </w:rPr>
              <w:t>7</w:t>
            </w:r>
          </w:p>
        </w:tc>
        <w:tc>
          <w:tcPr>
            <w:tcW w:w="829" w:type="dxa"/>
            <w:gridSpan w:val="2"/>
            <w:tcBorders>
              <w:top w:val="single" w:color="auto" w:sz="2" w:space="0"/>
              <w:left w:val="single" w:color="auto" w:sz="2" w:space="0"/>
              <w:bottom w:val="single" w:color="auto" w:sz="2" w:space="0"/>
              <w:right w:val="nil"/>
            </w:tcBorders>
            <w:noWrap/>
            <w:vAlign w:val="center"/>
          </w:tcPr>
          <w:p>
            <w:pPr>
              <w:jc w:val="center"/>
              <w:rPr>
                <w:rFonts w:ascii="宋体" w:hAnsi="宋体"/>
                <w:sz w:val="18"/>
                <w:szCs w:val="18"/>
              </w:rPr>
            </w:pPr>
            <w:r>
              <w:rPr>
                <w:rFonts w:ascii="宋体" w:hAnsi="宋体"/>
                <w:sz w:val="18"/>
                <w:szCs w:val="18"/>
              </w:rPr>
              <w:t>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55" w:hRule="atLeast"/>
          <w:jc w:val="center"/>
        </w:trPr>
        <w:tc>
          <w:tcPr>
            <w:tcW w:w="2160" w:type="dxa"/>
            <w:tcBorders>
              <w:top w:val="single" w:color="auto" w:sz="2" w:space="0"/>
              <w:left w:val="nil"/>
              <w:bottom w:val="single" w:color="auto" w:sz="8" w:space="0"/>
              <w:right w:val="single" w:color="auto" w:sz="2" w:space="0"/>
            </w:tcBorders>
            <w:noWrap/>
            <w:vAlign w:val="center"/>
          </w:tcPr>
          <w:p>
            <w:pPr>
              <w:rPr>
                <w:rFonts w:ascii="宋体" w:hAnsi="宋体"/>
                <w:sz w:val="18"/>
                <w:szCs w:val="18"/>
              </w:rPr>
            </w:pPr>
            <w:r>
              <w:rPr>
                <w:rFonts w:hint="eastAsia" w:ascii="宋体" w:hAnsi="宋体"/>
                <w:sz w:val="18"/>
                <w:szCs w:val="18"/>
              </w:rPr>
              <w:t>按《分行业能源消费量目录》填报</w:t>
            </w:r>
          </w:p>
        </w:tc>
        <w:tc>
          <w:tcPr>
            <w:tcW w:w="7594" w:type="dxa"/>
            <w:gridSpan w:val="14"/>
            <w:tcBorders>
              <w:top w:val="single" w:color="auto" w:sz="2" w:space="0"/>
              <w:left w:val="single" w:color="auto" w:sz="2" w:space="0"/>
              <w:bottom w:val="single" w:color="auto" w:sz="8" w:space="0"/>
              <w:right w:val="nil"/>
            </w:tcBorders>
            <w:noWrap/>
          </w:tcPr>
          <w:p>
            <w:pPr>
              <w:widowControl/>
              <w:jc w:val="center"/>
              <w:rPr>
                <w:rFonts w:ascii="宋体" w:hAnsi="宋体"/>
                <w:sz w:val="18"/>
                <w:szCs w:val="18"/>
              </w:rPr>
            </w:pPr>
          </w:p>
        </w:tc>
      </w:tr>
    </w:tbl>
    <w:p>
      <w:pPr>
        <w:spacing w:before="96" w:beforeLines="40"/>
        <w:rPr>
          <w:rFonts w:ascii="宋体" w:hAnsi="宋体"/>
          <w:sz w:val="18"/>
          <w:szCs w:val="18"/>
        </w:rPr>
      </w:pPr>
      <w:r>
        <w:rPr>
          <w:rFonts w:hint="eastAsia" w:ascii="宋体" w:hAnsi="宋体"/>
          <w:sz w:val="18"/>
          <w:szCs w:val="18"/>
        </w:rPr>
        <w:t>续表一</w:t>
      </w:r>
    </w:p>
    <w:tbl>
      <w:tblPr>
        <w:tblStyle w:val="21"/>
        <w:tblW w:w="9840"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1088"/>
        <w:gridCol w:w="979"/>
        <w:gridCol w:w="979"/>
        <w:gridCol w:w="979"/>
        <w:gridCol w:w="979"/>
        <w:gridCol w:w="979"/>
        <w:gridCol w:w="979"/>
        <w:gridCol w:w="1079"/>
        <w:gridCol w:w="899"/>
        <w:gridCol w:w="900"/>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1088" w:type="dxa"/>
            <w:noWrap/>
            <w:vAlign w:val="center"/>
          </w:tcPr>
          <w:p>
            <w:pPr>
              <w:jc w:val="center"/>
              <w:rPr>
                <w:rFonts w:ascii="宋体" w:hAnsi="宋体"/>
                <w:sz w:val="18"/>
                <w:szCs w:val="18"/>
              </w:rPr>
            </w:pPr>
            <w:r>
              <w:rPr>
                <w:rFonts w:hint="eastAsia" w:ascii="宋体" w:hAnsi="宋体"/>
                <w:sz w:val="18"/>
                <w:szCs w:val="18"/>
              </w:rPr>
              <w:t>煤制品       (万吨)</w:t>
            </w:r>
          </w:p>
        </w:tc>
        <w:tc>
          <w:tcPr>
            <w:tcW w:w="979" w:type="dxa"/>
            <w:noWrap/>
            <w:vAlign w:val="center"/>
          </w:tcPr>
          <w:p>
            <w:pPr>
              <w:jc w:val="center"/>
              <w:rPr>
                <w:rFonts w:ascii="宋体" w:hAnsi="宋体"/>
                <w:sz w:val="18"/>
                <w:szCs w:val="18"/>
              </w:rPr>
            </w:pPr>
            <w:r>
              <w:rPr>
                <w:rFonts w:hint="eastAsia" w:ascii="宋体" w:hAnsi="宋体"/>
                <w:sz w:val="18"/>
                <w:szCs w:val="18"/>
              </w:rPr>
              <w:t>煤矸石           (万吨)</w:t>
            </w:r>
          </w:p>
        </w:tc>
        <w:tc>
          <w:tcPr>
            <w:tcW w:w="979" w:type="dxa"/>
            <w:noWrap/>
            <w:vAlign w:val="center"/>
          </w:tcPr>
          <w:p>
            <w:pPr>
              <w:jc w:val="center"/>
              <w:rPr>
                <w:rFonts w:ascii="宋体" w:hAnsi="宋体"/>
                <w:sz w:val="18"/>
                <w:szCs w:val="18"/>
              </w:rPr>
            </w:pPr>
            <w:r>
              <w:rPr>
                <w:rFonts w:hint="eastAsia" w:ascii="宋体" w:hAnsi="宋体"/>
                <w:sz w:val="18"/>
                <w:szCs w:val="18"/>
              </w:rPr>
              <w:t>焦炭            (万吨)</w:t>
            </w:r>
          </w:p>
        </w:tc>
        <w:tc>
          <w:tcPr>
            <w:tcW w:w="979" w:type="dxa"/>
            <w:noWrap/>
            <w:vAlign w:val="center"/>
          </w:tcPr>
          <w:p>
            <w:pPr>
              <w:jc w:val="center"/>
              <w:rPr>
                <w:rFonts w:ascii="宋体" w:hAnsi="宋体"/>
                <w:sz w:val="18"/>
                <w:szCs w:val="18"/>
              </w:rPr>
            </w:pPr>
            <w:r>
              <w:rPr>
                <w:rFonts w:hint="eastAsia" w:ascii="宋体" w:hAnsi="宋体"/>
                <w:sz w:val="18"/>
                <w:szCs w:val="18"/>
              </w:rPr>
              <w:t>焦炉煤气     (亿立方米)</w:t>
            </w:r>
          </w:p>
        </w:tc>
        <w:tc>
          <w:tcPr>
            <w:tcW w:w="979" w:type="dxa"/>
            <w:noWrap/>
            <w:vAlign w:val="center"/>
          </w:tcPr>
          <w:p>
            <w:pPr>
              <w:jc w:val="center"/>
              <w:rPr>
                <w:rFonts w:ascii="宋体" w:hAnsi="宋体"/>
                <w:sz w:val="18"/>
                <w:szCs w:val="18"/>
              </w:rPr>
            </w:pPr>
            <w:r>
              <w:rPr>
                <w:rFonts w:hint="eastAsia" w:ascii="宋体" w:hAnsi="宋体"/>
                <w:sz w:val="18"/>
                <w:szCs w:val="18"/>
              </w:rPr>
              <w:t>高炉煤气 (亿立方米)</w:t>
            </w:r>
          </w:p>
        </w:tc>
        <w:tc>
          <w:tcPr>
            <w:tcW w:w="979" w:type="dxa"/>
            <w:noWrap/>
            <w:vAlign w:val="center"/>
          </w:tcPr>
          <w:p>
            <w:pPr>
              <w:jc w:val="center"/>
              <w:rPr>
                <w:rFonts w:ascii="宋体" w:hAnsi="宋体"/>
                <w:sz w:val="18"/>
                <w:szCs w:val="18"/>
              </w:rPr>
            </w:pPr>
            <w:r>
              <w:rPr>
                <w:rFonts w:hint="eastAsia" w:ascii="宋体" w:hAnsi="宋体"/>
                <w:sz w:val="18"/>
                <w:szCs w:val="18"/>
              </w:rPr>
              <w:t>转炉煤气 (亿立方米)</w:t>
            </w:r>
          </w:p>
        </w:tc>
        <w:tc>
          <w:tcPr>
            <w:tcW w:w="979" w:type="dxa"/>
            <w:noWrap/>
            <w:vAlign w:val="center"/>
          </w:tcPr>
          <w:p>
            <w:pPr>
              <w:jc w:val="center"/>
              <w:rPr>
                <w:rFonts w:ascii="宋体" w:hAnsi="宋体"/>
                <w:sz w:val="18"/>
                <w:szCs w:val="18"/>
              </w:rPr>
            </w:pPr>
            <w:r>
              <w:rPr>
                <w:rFonts w:hint="eastAsia" w:ascii="宋体" w:hAnsi="宋体"/>
                <w:sz w:val="18"/>
                <w:szCs w:val="18"/>
              </w:rPr>
              <w:t>其他煤气 (亿立方米)</w:t>
            </w:r>
          </w:p>
        </w:tc>
        <w:tc>
          <w:tcPr>
            <w:tcW w:w="1079" w:type="dxa"/>
            <w:noWrap/>
            <w:vAlign w:val="center"/>
          </w:tcPr>
          <w:p>
            <w:pPr>
              <w:jc w:val="center"/>
              <w:rPr>
                <w:rFonts w:ascii="宋体" w:hAnsi="宋体"/>
                <w:sz w:val="18"/>
                <w:szCs w:val="18"/>
              </w:rPr>
            </w:pPr>
            <w:r>
              <w:rPr>
                <w:rFonts w:hint="eastAsia" w:ascii="宋体" w:hAnsi="宋体"/>
                <w:sz w:val="18"/>
                <w:szCs w:val="18"/>
              </w:rPr>
              <w:t>其他焦化产品 (万吨)</w:t>
            </w:r>
          </w:p>
        </w:tc>
        <w:tc>
          <w:tcPr>
            <w:tcW w:w="899" w:type="dxa"/>
            <w:noWrap/>
            <w:vAlign w:val="center"/>
          </w:tcPr>
          <w:p>
            <w:pPr>
              <w:jc w:val="center"/>
              <w:rPr>
                <w:rFonts w:ascii="宋体" w:hAnsi="宋体"/>
                <w:sz w:val="18"/>
                <w:szCs w:val="18"/>
              </w:rPr>
            </w:pPr>
            <w:r>
              <w:rPr>
                <w:rFonts w:hint="eastAsia" w:ascii="宋体" w:hAnsi="宋体"/>
                <w:sz w:val="18"/>
                <w:szCs w:val="18"/>
              </w:rPr>
              <w:t>油品合计 (万吨)</w:t>
            </w:r>
          </w:p>
        </w:tc>
        <w:tc>
          <w:tcPr>
            <w:tcW w:w="900" w:type="dxa"/>
            <w:noWrap/>
            <w:vAlign w:val="center"/>
          </w:tcPr>
          <w:p>
            <w:pPr>
              <w:jc w:val="center"/>
              <w:rPr>
                <w:rFonts w:ascii="宋体" w:hAnsi="宋体"/>
                <w:sz w:val="18"/>
                <w:szCs w:val="18"/>
              </w:rPr>
            </w:pPr>
            <w:r>
              <w:rPr>
                <w:rFonts w:hint="eastAsia" w:ascii="宋体" w:hAnsi="宋体"/>
                <w:sz w:val="18"/>
                <w:szCs w:val="18"/>
              </w:rPr>
              <w:t>原 油           (万吨)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82" w:hRule="exact"/>
          <w:jc w:val="center"/>
        </w:trPr>
        <w:tc>
          <w:tcPr>
            <w:tcW w:w="1088" w:type="dxa"/>
            <w:noWrap/>
            <w:vAlign w:val="center"/>
          </w:tcPr>
          <w:p>
            <w:pPr>
              <w:jc w:val="center"/>
              <w:rPr>
                <w:rFonts w:ascii="宋体" w:hAnsi="宋体"/>
                <w:sz w:val="18"/>
                <w:szCs w:val="18"/>
              </w:rPr>
            </w:pPr>
            <w:r>
              <w:rPr>
                <w:rFonts w:hint="eastAsia" w:ascii="宋体" w:hAnsi="宋体"/>
                <w:sz w:val="18"/>
                <w:szCs w:val="18"/>
              </w:rPr>
              <w:t>9</w:t>
            </w:r>
          </w:p>
        </w:tc>
        <w:tc>
          <w:tcPr>
            <w:tcW w:w="979" w:type="dxa"/>
            <w:noWrap/>
            <w:vAlign w:val="center"/>
          </w:tcPr>
          <w:p>
            <w:pPr>
              <w:jc w:val="center"/>
              <w:rPr>
                <w:rFonts w:ascii="宋体" w:hAnsi="宋体"/>
                <w:sz w:val="18"/>
                <w:szCs w:val="18"/>
              </w:rPr>
            </w:pPr>
            <w:r>
              <w:rPr>
                <w:rFonts w:hint="eastAsia" w:ascii="宋体" w:hAnsi="宋体"/>
                <w:sz w:val="18"/>
                <w:szCs w:val="18"/>
              </w:rPr>
              <w:t>10</w:t>
            </w:r>
          </w:p>
        </w:tc>
        <w:tc>
          <w:tcPr>
            <w:tcW w:w="979" w:type="dxa"/>
            <w:noWrap/>
            <w:vAlign w:val="center"/>
          </w:tcPr>
          <w:p>
            <w:pPr>
              <w:jc w:val="center"/>
              <w:rPr>
                <w:rFonts w:ascii="宋体" w:hAnsi="宋体"/>
                <w:sz w:val="18"/>
                <w:szCs w:val="18"/>
              </w:rPr>
            </w:pPr>
            <w:r>
              <w:rPr>
                <w:rFonts w:hint="eastAsia" w:ascii="宋体" w:hAnsi="宋体"/>
                <w:sz w:val="18"/>
                <w:szCs w:val="18"/>
              </w:rPr>
              <w:t>11</w:t>
            </w:r>
          </w:p>
        </w:tc>
        <w:tc>
          <w:tcPr>
            <w:tcW w:w="979" w:type="dxa"/>
            <w:noWrap/>
            <w:vAlign w:val="center"/>
          </w:tcPr>
          <w:p>
            <w:pPr>
              <w:jc w:val="center"/>
              <w:rPr>
                <w:rFonts w:ascii="宋体" w:hAnsi="宋体"/>
                <w:sz w:val="18"/>
                <w:szCs w:val="18"/>
              </w:rPr>
            </w:pPr>
            <w:r>
              <w:rPr>
                <w:rFonts w:hint="eastAsia" w:ascii="宋体" w:hAnsi="宋体"/>
                <w:sz w:val="18"/>
                <w:szCs w:val="18"/>
              </w:rPr>
              <w:t>12</w:t>
            </w:r>
          </w:p>
        </w:tc>
        <w:tc>
          <w:tcPr>
            <w:tcW w:w="979" w:type="dxa"/>
            <w:noWrap/>
            <w:vAlign w:val="center"/>
          </w:tcPr>
          <w:p>
            <w:pPr>
              <w:jc w:val="center"/>
              <w:rPr>
                <w:rFonts w:ascii="宋体" w:hAnsi="宋体"/>
                <w:sz w:val="18"/>
                <w:szCs w:val="18"/>
              </w:rPr>
            </w:pPr>
            <w:r>
              <w:rPr>
                <w:rFonts w:hint="eastAsia" w:ascii="宋体" w:hAnsi="宋体"/>
                <w:sz w:val="18"/>
                <w:szCs w:val="18"/>
              </w:rPr>
              <w:t>13</w:t>
            </w:r>
          </w:p>
        </w:tc>
        <w:tc>
          <w:tcPr>
            <w:tcW w:w="979" w:type="dxa"/>
            <w:noWrap/>
            <w:vAlign w:val="center"/>
          </w:tcPr>
          <w:p>
            <w:pPr>
              <w:jc w:val="center"/>
              <w:rPr>
                <w:rFonts w:ascii="宋体" w:hAnsi="宋体"/>
                <w:sz w:val="18"/>
                <w:szCs w:val="18"/>
              </w:rPr>
            </w:pPr>
            <w:r>
              <w:rPr>
                <w:rFonts w:hint="eastAsia" w:ascii="宋体" w:hAnsi="宋体"/>
                <w:sz w:val="18"/>
                <w:szCs w:val="18"/>
              </w:rPr>
              <w:t>14</w:t>
            </w:r>
          </w:p>
        </w:tc>
        <w:tc>
          <w:tcPr>
            <w:tcW w:w="979" w:type="dxa"/>
            <w:noWrap/>
            <w:vAlign w:val="center"/>
          </w:tcPr>
          <w:p>
            <w:pPr>
              <w:jc w:val="center"/>
              <w:rPr>
                <w:rFonts w:ascii="宋体" w:hAnsi="宋体"/>
                <w:sz w:val="18"/>
                <w:szCs w:val="18"/>
              </w:rPr>
            </w:pPr>
            <w:r>
              <w:rPr>
                <w:rFonts w:hint="eastAsia" w:ascii="宋体" w:hAnsi="宋体"/>
                <w:sz w:val="18"/>
                <w:szCs w:val="18"/>
              </w:rPr>
              <w:t>15</w:t>
            </w:r>
          </w:p>
        </w:tc>
        <w:tc>
          <w:tcPr>
            <w:tcW w:w="1079" w:type="dxa"/>
            <w:noWrap/>
            <w:vAlign w:val="center"/>
          </w:tcPr>
          <w:p>
            <w:pPr>
              <w:jc w:val="center"/>
              <w:rPr>
                <w:rFonts w:ascii="宋体" w:hAnsi="宋体"/>
                <w:sz w:val="18"/>
                <w:szCs w:val="18"/>
              </w:rPr>
            </w:pPr>
            <w:r>
              <w:rPr>
                <w:rFonts w:hint="eastAsia" w:ascii="宋体" w:hAnsi="宋体"/>
                <w:sz w:val="18"/>
                <w:szCs w:val="18"/>
              </w:rPr>
              <w:t>16</w:t>
            </w:r>
          </w:p>
        </w:tc>
        <w:tc>
          <w:tcPr>
            <w:tcW w:w="899" w:type="dxa"/>
            <w:noWrap/>
            <w:vAlign w:val="center"/>
          </w:tcPr>
          <w:p>
            <w:pPr>
              <w:jc w:val="center"/>
              <w:rPr>
                <w:rFonts w:ascii="宋体" w:hAnsi="宋体"/>
                <w:sz w:val="18"/>
                <w:szCs w:val="18"/>
              </w:rPr>
            </w:pPr>
            <w:r>
              <w:rPr>
                <w:rFonts w:hint="eastAsia" w:ascii="宋体" w:hAnsi="宋体"/>
                <w:sz w:val="18"/>
                <w:szCs w:val="18"/>
              </w:rPr>
              <w:t>17</w:t>
            </w:r>
          </w:p>
        </w:tc>
        <w:tc>
          <w:tcPr>
            <w:tcW w:w="900" w:type="dxa"/>
            <w:noWrap/>
            <w:vAlign w:val="center"/>
          </w:tcPr>
          <w:p>
            <w:pPr>
              <w:jc w:val="center"/>
              <w:rPr>
                <w:rFonts w:ascii="宋体" w:hAnsi="宋体"/>
                <w:sz w:val="18"/>
                <w:szCs w:val="18"/>
              </w:rPr>
            </w:pPr>
            <w:r>
              <w:rPr>
                <w:rFonts w:hint="eastAsia" w:ascii="宋体" w:hAnsi="宋体"/>
                <w:sz w:val="18"/>
                <w:szCs w:val="18"/>
              </w:rPr>
              <w:t>18</w:t>
            </w:r>
          </w:p>
        </w:tc>
      </w:tr>
    </w:tbl>
    <w:p>
      <w:pPr>
        <w:spacing w:before="96" w:beforeLines="40"/>
        <w:rPr>
          <w:rFonts w:ascii="宋体" w:hAnsi="宋体"/>
          <w:sz w:val="18"/>
          <w:szCs w:val="18"/>
        </w:rPr>
      </w:pPr>
      <w:r>
        <w:rPr>
          <w:rFonts w:hint="eastAsia" w:ascii="宋体" w:hAnsi="宋体"/>
          <w:sz w:val="18"/>
          <w:szCs w:val="18"/>
        </w:rPr>
        <w:t>续表二</w:t>
      </w:r>
    </w:p>
    <w:tbl>
      <w:tblPr>
        <w:tblStyle w:val="21"/>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871"/>
        <w:gridCol w:w="872"/>
        <w:gridCol w:w="871"/>
        <w:gridCol w:w="872"/>
        <w:gridCol w:w="871"/>
        <w:gridCol w:w="872"/>
        <w:gridCol w:w="871"/>
        <w:gridCol w:w="872"/>
        <w:gridCol w:w="871"/>
        <w:gridCol w:w="872"/>
        <w:gridCol w:w="945"/>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jc w:val="center"/>
        </w:trPr>
        <w:tc>
          <w:tcPr>
            <w:tcW w:w="871" w:type="dxa"/>
            <w:noWrap/>
            <w:vAlign w:val="center"/>
          </w:tcPr>
          <w:p>
            <w:pPr>
              <w:jc w:val="center"/>
              <w:rPr>
                <w:rFonts w:ascii="宋体" w:hAnsi="宋体"/>
                <w:sz w:val="18"/>
                <w:szCs w:val="18"/>
              </w:rPr>
            </w:pPr>
            <w:r>
              <w:rPr>
                <w:rFonts w:hint="eastAsia" w:ascii="宋体" w:hAnsi="宋体"/>
                <w:sz w:val="18"/>
                <w:szCs w:val="18"/>
              </w:rPr>
              <w:t>汽 油       (万吨)</w:t>
            </w:r>
          </w:p>
        </w:tc>
        <w:tc>
          <w:tcPr>
            <w:tcW w:w="872" w:type="dxa"/>
            <w:noWrap/>
            <w:vAlign w:val="center"/>
          </w:tcPr>
          <w:p>
            <w:pPr>
              <w:jc w:val="center"/>
              <w:rPr>
                <w:rFonts w:ascii="宋体" w:hAnsi="宋体"/>
                <w:sz w:val="18"/>
                <w:szCs w:val="18"/>
              </w:rPr>
            </w:pPr>
            <w:r>
              <w:rPr>
                <w:rFonts w:hint="eastAsia" w:ascii="宋体" w:hAnsi="宋体"/>
                <w:sz w:val="18"/>
                <w:szCs w:val="18"/>
              </w:rPr>
              <w:t>煤 油          (万吨)</w:t>
            </w:r>
          </w:p>
        </w:tc>
        <w:tc>
          <w:tcPr>
            <w:tcW w:w="871" w:type="dxa"/>
            <w:noWrap/>
            <w:vAlign w:val="center"/>
          </w:tcPr>
          <w:p>
            <w:pPr>
              <w:jc w:val="center"/>
              <w:rPr>
                <w:rFonts w:ascii="宋体" w:hAnsi="宋体"/>
                <w:sz w:val="18"/>
                <w:szCs w:val="18"/>
              </w:rPr>
            </w:pPr>
            <w:r>
              <w:rPr>
                <w:rFonts w:hint="eastAsia" w:ascii="宋体" w:hAnsi="宋体"/>
                <w:sz w:val="18"/>
                <w:szCs w:val="18"/>
              </w:rPr>
              <w:t>柴 油          (万吨)</w:t>
            </w:r>
          </w:p>
        </w:tc>
        <w:tc>
          <w:tcPr>
            <w:tcW w:w="872" w:type="dxa"/>
            <w:noWrap/>
            <w:vAlign w:val="center"/>
          </w:tcPr>
          <w:p>
            <w:pPr>
              <w:jc w:val="center"/>
              <w:rPr>
                <w:rFonts w:ascii="宋体" w:hAnsi="宋体"/>
                <w:sz w:val="18"/>
                <w:szCs w:val="18"/>
              </w:rPr>
            </w:pPr>
            <w:r>
              <w:rPr>
                <w:rFonts w:hint="eastAsia" w:ascii="宋体" w:hAnsi="宋体"/>
                <w:sz w:val="18"/>
                <w:szCs w:val="18"/>
              </w:rPr>
              <w:t>燃料油   (万吨)</w:t>
            </w:r>
          </w:p>
        </w:tc>
        <w:tc>
          <w:tcPr>
            <w:tcW w:w="871" w:type="dxa"/>
            <w:noWrap/>
            <w:vAlign w:val="center"/>
          </w:tcPr>
          <w:p>
            <w:pPr>
              <w:jc w:val="center"/>
              <w:rPr>
                <w:rFonts w:ascii="宋体" w:hAnsi="宋体"/>
                <w:sz w:val="18"/>
                <w:szCs w:val="18"/>
              </w:rPr>
            </w:pPr>
            <w:r>
              <w:rPr>
                <w:rFonts w:hint="eastAsia" w:ascii="宋体" w:hAnsi="宋体"/>
                <w:sz w:val="18"/>
                <w:szCs w:val="18"/>
              </w:rPr>
              <w:t>石脑油  (万吨)</w:t>
            </w:r>
          </w:p>
        </w:tc>
        <w:tc>
          <w:tcPr>
            <w:tcW w:w="872" w:type="dxa"/>
            <w:noWrap/>
            <w:vAlign w:val="center"/>
          </w:tcPr>
          <w:p>
            <w:pPr>
              <w:jc w:val="center"/>
              <w:rPr>
                <w:rFonts w:ascii="宋体" w:hAnsi="宋体"/>
                <w:sz w:val="18"/>
                <w:szCs w:val="18"/>
              </w:rPr>
            </w:pPr>
            <w:r>
              <w:rPr>
                <w:rFonts w:hint="eastAsia" w:ascii="宋体" w:hAnsi="宋体"/>
                <w:sz w:val="18"/>
                <w:szCs w:val="18"/>
              </w:rPr>
              <w:t>润滑油  (万吨)</w:t>
            </w:r>
          </w:p>
        </w:tc>
        <w:tc>
          <w:tcPr>
            <w:tcW w:w="871" w:type="dxa"/>
            <w:noWrap/>
            <w:vAlign w:val="center"/>
          </w:tcPr>
          <w:p>
            <w:pPr>
              <w:jc w:val="center"/>
              <w:rPr>
                <w:rFonts w:ascii="宋体" w:hAnsi="宋体"/>
                <w:sz w:val="18"/>
                <w:szCs w:val="18"/>
              </w:rPr>
            </w:pPr>
            <w:r>
              <w:rPr>
                <w:rFonts w:hint="eastAsia" w:ascii="宋体" w:hAnsi="宋体"/>
                <w:sz w:val="18"/>
                <w:szCs w:val="18"/>
              </w:rPr>
              <w:t>石蜡          (万吨)</w:t>
            </w:r>
          </w:p>
        </w:tc>
        <w:tc>
          <w:tcPr>
            <w:tcW w:w="872" w:type="dxa"/>
            <w:tcBorders>
              <w:right w:val="single" w:color="auto" w:sz="4" w:space="0"/>
            </w:tcBorders>
            <w:noWrap/>
            <w:vAlign w:val="center"/>
          </w:tcPr>
          <w:p>
            <w:pPr>
              <w:jc w:val="center"/>
              <w:rPr>
                <w:rFonts w:ascii="宋体" w:hAnsi="宋体"/>
                <w:sz w:val="18"/>
                <w:szCs w:val="18"/>
              </w:rPr>
            </w:pPr>
            <w:r>
              <w:rPr>
                <w:rFonts w:hint="eastAsia" w:ascii="宋体" w:hAnsi="宋体"/>
                <w:sz w:val="18"/>
                <w:szCs w:val="18"/>
              </w:rPr>
              <w:t>溶剂油</w:t>
            </w:r>
          </w:p>
          <w:p>
            <w:pPr>
              <w:jc w:val="center"/>
              <w:rPr>
                <w:rFonts w:ascii="宋体" w:hAnsi="宋体"/>
                <w:sz w:val="18"/>
                <w:szCs w:val="18"/>
              </w:rPr>
            </w:pPr>
            <w:r>
              <w:rPr>
                <w:rFonts w:hint="eastAsia" w:ascii="宋体" w:hAnsi="宋体"/>
                <w:sz w:val="18"/>
                <w:szCs w:val="18"/>
              </w:rPr>
              <w:t>(万吨)</w:t>
            </w:r>
          </w:p>
        </w:tc>
        <w:tc>
          <w:tcPr>
            <w:tcW w:w="871" w:type="dxa"/>
            <w:tcBorders>
              <w:left w:val="single" w:color="auto" w:sz="4" w:space="0"/>
            </w:tcBorders>
            <w:noWrap/>
            <w:vAlign w:val="center"/>
          </w:tcPr>
          <w:p>
            <w:pPr>
              <w:jc w:val="center"/>
              <w:rPr>
                <w:rFonts w:ascii="宋体" w:hAnsi="宋体"/>
                <w:sz w:val="18"/>
                <w:szCs w:val="18"/>
              </w:rPr>
            </w:pPr>
            <w:r>
              <w:rPr>
                <w:rFonts w:hint="eastAsia" w:ascii="宋体" w:hAnsi="宋体"/>
                <w:sz w:val="18"/>
                <w:szCs w:val="18"/>
              </w:rPr>
              <w:t>石油沥青 (万吨)</w:t>
            </w:r>
          </w:p>
        </w:tc>
        <w:tc>
          <w:tcPr>
            <w:tcW w:w="872" w:type="dxa"/>
            <w:noWrap/>
            <w:vAlign w:val="center"/>
          </w:tcPr>
          <w:p>
            <w:pPr>
              <w:jc w:val="center"/>
              <w:rPr>
                <w:rFonts w:ascii="宋体" w:hAnsi="宋体"/>
                <w:sz w:val="18"/>
                <w:szCs w:val="18"/>
              </w:rPr>
            </w:pPr>
            <w:r>
              <w:rPr>
                <w:rFonts w:hint="eastAsia" w:ascii="宋体" w:hAnsi="宋体"/>
                <w:sz w:val="18"/>
                <w:szCs w:val="18"/>
              </w:rPr>
              <w:t>石油焦  (万吨)</w:t>
            </w:r>
          </w:p>
        </w:tc>
        <w:tc>
          <w:tcPr>
            <w:tcW w:w="945" w:type="dxa"/>
            <w:noWrap/>
            <w:vAlign w:val="center"/>
          </w:tcPr>
          <w:p>
            <w:pPr>
              <w:jc w:val="center"/>
              <w:rPr>
                <w:rFonts w:ascii="宋体" w:hAnsi="宋体"/>
                <w:sz w:val="18"/>
                <w:szCs w:val="18"/>
              </w:rPr>
            </w:pPr>
            <w:r>
              <w:rPr>
                <w:rFonts w:hint="eastAsia" w:ascii="宋体" w:hAnsi="宋体"/>
                <w:sz w:val="18"/>
                <w:szCs w:val="18"/>
              </w:rPr>
              <w:t>液化石油气           (万吨)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exact"/>
          <w:jc w:val="center"/>
        </w:trPr>
        <w:tc>
          <w:tcPr>
            <w:tcW w:w="871" w:type="dxa"/>
            <w:noWrap/>
            <w:vAlign w:val="center"/>
          </w:tcPr>
          <w:p>
            <w:pPr>
              <w:jc w:val="center"/>
              <w:rPr>
                <w:rFonts w:ascii="宋体" w:hAnsi="宋体"/>
                <w:sz w:val="18"/>
                <w:szCs w:val="18"/>
              </w:rPr>
            </w:pPr>
            <w:r>
              <w:rPr>
                <w:rFonts w:hint="eastAsia" w:ascii="宋体" w:hAnsi="宋体"/>
                <w:sz w:val="18"/>
                <w:szCs w:val="18"/>
              </w:rPr>
              <w:t>19</w:t>
            </w:r>
          </w:p>
        </w:tc>
        <w:tc>
          <w:tcPr>
            <w:tcW w:w="872" w:type="dxa"/>
            <w:noWrap/>
            <w:vAlign w:val="center"/>
          </w:tcPr>
          <w:p>
            <w:pPr>
              <w:jc w:val="center"/>
              <w:rPr>
                <w:rFonts w:ascii="宋体" w:hAnsi="宋体"/>
                <w:sz w:val="18"/>
                <w:szCs w:val="18"/>
              </w:rPr>
            </w:pPr>
            <w:r>
              <w:rPr>
                <w:rFonts w:hint="eastAsia" w:ascii="宋体" w:hAnsi="宋体"/>
                <w:sz w:val="18"/>
                <w:szCs w:val="18"/>
              </w:rPr>
              <w:t>20</w:t>
            </w:r>
          </w:p>
        </w:tc>
        <w:tc>
          <w:tcPr>
            <w:tcW w:w="871" w:type="dxa"/>
            <w:noWrap/>
            <w:vAlign w:val="center"/>
          </w:tcPr>
          <w:p>
            <w:pPr>
              <w:jc w:val="center"/>
              <w:rPr>
                <w:rFonts w:ascii="宋体" w:hAnsi="宋体"/>
                <w:sz w:val="18"/>
                <w:szCs w:val="18"/>
              </w:rPr>
            </w:pPr>
            <w:r>
              <w:rPr>
                <w:rFonts w:hint="eastAsia" w:ascii="宋体" w:hAnsi="宋体"/>
                <w:sz w:val="18"/>
                <w:szCs w:val="18"/>
              </w:rPr>
              <w:t>21</w:t>
            </w:r>
          </w:p>
        </w:tc>
        <w:tc>
          <w:tcPr>
            <w:tcW w:w="872" w:type="dxa"/>
            <w:noWrap/>
            <w:vAlign w:val="center"/>
          </w:tcPr>
          <w:p>
            <w:pPr>
              <w:jc w:val="center"/>
              <w:rPr>
                <w:rFonts w:ascii="宋体" w:hAnsi="宋体"/>
                <w:sz w:val="18"/>
                <w:szCs w:val="18"/>
              </w:rPr>
            </w:pPr>
            <w:r>
              <w:rPr>
                <w:rFonts w:hint="eastAsia" w:ascii="宋体" w:hAnsi="宋体"/>
                <w:sz w:val="18"/>
                <w:szCs w:val="18"/>
              </w:rPr>
              <w:t>22</w:t>
            </w:r>
          </w:p>
        </w:tc>
        <w:tc>
          <w:tcPr>
            <w:tcW w:w="871" w:type="dxa"/>
            <w:noWrap/>
            <w:vAlign w:val="center"/>
          </w:tcPr>
          <w:p>
            <w:pPr>
              <w:jc w:val="center"/>
              <w:rPr>
                <w:rFonts w:ascii="宋体" w:hAnsi="宋体"/>
                <w:sz w:val="18"/>
                <w:szCs w:val="18"/>
              </w:rPr>
            </w:pPr>
            <w:r>
              <w:rPr>
                <w:rFonts w:hint="eastAsia" w:ascii="宋体" w:hAnsi="宋体"/>
                <w:sz w:val="18"/>
                <w:szCs w:val="18"/>
              </w:rPr>
              <w:t>23</w:t>
            </w:r>
          </w:p>
        </w:tc>
        <w:tc>
          <w:tcPr>
            <w:tcW w:w="872" w:type="dxa"/>
            <w:noWrap/>
            <w:vAlign w:val="center"/>
          </w:tcPr>
          <w:p>
            <w:pPr>
              <w:jc w:val="center"/>
              <w:rPr>
                <w:rFonts w:ascii="宋体" w:hAnsi="宋体"/>
                <w:sz w:val="18"/>
                <w:szCs w:val="18"/>
              </w:rPr>
            </w:pPr>
            <w:r>
              <w:rPr>
                <w:rFonts w:hint="eastAsia" w:ascii="宋体" w:hAnsi="宋体"/>
                <w:sz w:val="18"/>
                <w:szCs w:val="18"/>
              </w:rPr>
              <w:t>24</w:t>
            </w:r>
          </w:p>
        </w:tc>
        <w:tc>
          <w:tcPr>
            <w:tcW w:w="871" w:type="dxa"/>
            <w:noWrap/>
            <w:vAlign w:val="center"/>
          </w:tcPr>
          <w:p>
            <w:pPr>
              <w:jc w:val="center"/>
              <w:rPr>
                <w:rFonts w:ascii="宋体" w:hAnsi="宋体"/>
                <w:sz w:val="18"/>
                <w:szCs w:val="18"/>
              </w:rPr>
            </w:pPr>
            <w:r>
              <w:rPr>
                <w:rFonts w:hint="eastAsia" w:ascii="宋体" w:hAnsi="宋体"/>
                <w:sz w:val="18"/>
                <w:szCs w:val="18"/>
              </w:rPr>
              <w:t>25</w:t>
            </w:r>
          </w:p>
        </w:tc>
        <w:tc>
          <w:tcPr>
            <w:tcW w:w="872" w:type="dxa"/>
            <w:tcBorders>
              <w:right w:val="single" w:color="auto" w:sz="4" w:space="0"/>
            </w:tcBorders>
            <w:noWrap/>
            <w:vAlign w:val="center"/>
          </w:tcPr>
          <w:p>
            <w:pPr>
              <w:jc w:val="center"/>
              <w:rPr>
                <w:rFonts w:ascii="宋体" w:hAnsi="宋体"/>
                <w:sz w:val="18"/>
                <w:szCs w:val="18"/>
              </w:rPr>
            </w:pPr>
            <w:r>
              <w:rPr>
                <w:rFonts w:hint="eastAsia" w:ascii="宋体" w:hAnsi="宋体"/>
                <w:sz w:val="18"/>
                <w:szCs w:val="18"/>
              </w:rPr>
              <w:t>26</w:t>
            </w:r>
          </w:p>
        </w:tc>
        <w:tc>
          <w:tcPr>
            <w:tcW w:w="871" w:type="dxa"/>
            <w:tcBorders>
              <w:left w:val="single" w:color="auto" w:sz="4" w:space="0"/>
            </w:tcBorders>
            <w:noWrap/>
            <w:vAlign w:val="center"/>
          </w:tcPr>
          <w:p>
            <w:pPr>
              <w:jc w:val="center"/>
              <w:rPr>
                <w:rFonts w:ascii="宋体" w:hAnsi="宋体"/>
                <w:sz w:val="18"/>
                <w:szCs w:val="18"/>
              </w:rPr>
            </w:pPr>
            <w:r>
              <w:rPr>
                <w:rFonts w:hint="eastAsia" w:ascii="宋体" w:hAnsi="宋体"/>
                <w:sz w:val="18"/>
                <w:szCs w:val="18"/>
              </w:rPr>
              <w:t>27</w:t>
            </w:r>
          </w:p>
        </w:tc>
        <w:tc>
          <w:tcPr>
            <w:tcW w:w="872" w:type="dxa"/>
            <w:noWrap/>
            <w:vAlign w:val="center"/>
          </w:tcPr>
          <w:p>
            <w:pPr>
              <w:jc w:val="center"/>
              <w:rPr>
                <w:rFonts w:ascii="宋体" w:hAnsi="宋体"/>
                <w:sz w:val="18"/>
                <w:szCs w:val="18"/>
              </w:rPr>
            </w:pPr>
            <w:r>
              <w:rPr>
                <w:rFonts w:hint="eastAsia" w:ascii="宋体" w:hAnsi="宋体"/>
                <w:sz w:val="18"/>
                <w:szCs w:val="18"/>
              </w:rPr>
              <w:t>28</w:t>
            </w:r>
          </w:p>
        </w:tc>
        <w:tc>
          <w:tcPr>
            <w:tcW w:w="945" w:type="dxa"/>
            <w:noWrap/>
            <w:vAlign w:val="center"/>
          </w:tcPr>
          <w:p>
            <w:pPr>
              <w:jc w:val="center"/>
              <w:rPr>
                <w:rFonts w:ascii="宋体" w:hAnsi="宋体"/>
                <w:sz w:val="18"/>
                <w:szCs w:val="18"/>
              </w:rPr>
            </w:pPr>
            <w:r>
              <w:rPr>
                <w:rFonts w:hint="eastAsia" w:ascii="宋体" w:hAnsi="宋体"/>
                <w:sz w:val="18"/>
                <w:szCs w:val="18"/>
              </w:rPr>
              <w:t>29</w:t>
            </w:r>
          </w:p>
        </w:tc>
      </w:tr>
    </w:tbl>
    <w:p>
      <w:pPr>
        <w:spacing w:before="96" w:beforeLines="40"/>
        <w:rPr>
          <w:rFonts w:ascii="宋体" w:hAnsi="宋体"/>
          <w:sz w:val="18"/>
          <w:szCs w:val="18"/>
        </w:rPr>
      </w:pPr>
      <w:r>
        <w:rPr>
          <w:rFonts w:hint="eastAsia" w:ascii="宋体" w:hAnsi="宋体"/>
          <w:sz w:val="18"/>
          <w:szCs w:val="18"/>
        </w:rPr>
        <w:t>续表三</w:t>
      </w:r>
    </w:p>
    <w:tbl>
      <w:tblPr>
        <w:tblStyle w:val="21"/>
        <w:tblW w:w="9660"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840"/>
        <w:gridCol w:w="1092"/>
        <w:gridCol w:w="966"/>
        <w:gridCol w:w="966"/>
        <w:gridCol w:w="871"/>
        <w:gridCol w:w="895"/>
        <w:gridCol w:w="1035"/>
        <w:gridCol w:w="1063"/>
        <w:gridCol w:w="966"/>
        <w:gridCol w:w="966"/>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665" w:hRule="atLeast"/>
          <w:jc w:val="center"/>
        </w:trPr>
        <w:tc>
          <w:tcPr>
            <w:tcW w:w="840" w:type="dxa"/>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炼厂干气          (万吨)</w:t>
            </w:r>
          </w:p>
        </w:tc>
        <w:tc>
          <w:tcPr>
            <w:tcW w:w="1092" w:type="dxa"/>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其他石油制品(万吨)</w:t>
            </w:r>
          </w:p>
        </w:tc>
        <w:tc>
          <w:tcPr>
            <w:tcW w:w="966" w:type="dxa"/>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天然气    (亿立方米)</w:t>
            </w:r>
          </w:p>
        </w:tc>
        <w:tc>
          <w:tcPr>
            <w:tcW w:w="966" w:type="dxa"/>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液化天然气  (万吨)</w:t>
            </w:r>
          </w:p>
        </w:tc>
        <w:tc>
          <w:tcPr>
            <w:tcW w:w="871" w:type="dxa"/>
            <w:noWrap/>
            <w:vAlign w:val="center"/>
          </w:tcPr>
          <w:p>
            <w:pPr>
              <w:adjustRightInd w:val="0"/>
              <w:snapToGrid w:val="0"/>
              <w:spacing w:line="240" w:lineRule="exact"/>
              <w:jc w:val="center"/>
              <w:rPr>
                <w:rFonts w:ascii="宋体" w:hAnsi="宋体"/>
                <w:color w:val="auto"/>
                <w:sz w:val="18"/>
                <w:szCs w:val="18"/>
              </w:rPr>
            </w:pPr>
            <w:r>
              <w:rPr>
                <w:rFonts w:hint="eastAsia" w:ascii="宋体" w:hAnsi="宋体"/>
                <w:color w:val="auto"/>
                <w:sz w:val="18"/>
                <w:szCs w:val="18"/>
                <w:lang w:eastAsia="zh-CN"/>
              </w:rPr>
              <w:t>氢</w:t>
            </w:r>
            <w:r>
              <w:rPr>
                <w:rFonts w:hint="eastAsia" w:ascii="宋体" w:hAnsi="宋体"/>
                <w:color w:val="auto"/>
                <w:sz w:val="18"/>
                <w:szCs w:val="18"/>
                <w:lang w:val="en-US" w:eastAsia="zh-CN"/>
              </w:rPr>
              <w:t xml:space="preserve">  气</w:t>
            </w:r>
            <w:r>
              <w:rPr>
                <w:rFonts w:hint="eastAsia" w:ascii="宋体" w:hAnsi="宋体"/>
                <w:color w:val="auto"/>
                <w:sz w:val="18"/>
                <w:szCs w:val="18"/>
              </w:rPr>
              <w:t xml:space="preserve">            (</w:t>
            </w:r>
            <w:r>
              <w:rPr>
                <w:rFonts w:hint="eastAsia" w:ascii="宋体" w:hAnsi="宋体"/>
                <w:color w:val="auto"/>
                <w:sz w:val="18"/>
                <w:szCs w:val="18"/>
                <w:lang w:eastAsia="zh-CN"/>
              </w:rPr>
              <w:t>亿立方米</w:t>
            </w:r>
            <w:r>
              <w:rPr>
                <w:rFonts w:hint="eastAsia" w:ascii="宋体" w:hAnsi="宋体"/>
                <w:color w:val="auto"/>
                <w:sz w:val="18"/>
                <w:szCs w:val="18"/>
              </w:rPr>
              <w:t>)</w:t>
            </w:r>
          </w:p>
        </w:tc>
        <w:tc>
          <w:tcPr>
            <w:tcW w:w="895" w:type="dxa"/>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秸秆薪柴           (万吨)</w:t>
            </w:r>
          </w:p>
        </w:tc>
        <w:tc>
          <w:tcPr>
            <w:tcW w:w="1035" w:type="dxa"/>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沼  气          (万立方米)</w:t>
            </w:r>
          </w:p>
        </w:tc>
        <w:tc>
          <w:tcPr>
            <w:tcW w:w="1063" w:type="dxa"/>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热  力             (万百万千焦)</w:t>
            </w:r>
          </w:p>
        </w:tc>
        <w:tc>
          <w:tcPr>
            <w:tcW w:w="966" w:type="dxa"/>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电  力           (亿千瓦时)</w:t>
            </w:r>
          </w:p>
        </w:tc>
        <w:tc>
          <w:tcPr>
            <w:tcW w:w="966" w:type="dxa"/>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其他能源</w:t>
            </w:r>
          </w:p>
          <w:p>
            <w:pPr>
              <w:adjustRightInd w:val="0"/>
              <w:snapToGrid w:val="0"/>
              <w:spacing w:line="240" w:lineRule="exact"/>
              <w:jc w:val="center"/>
              <w:rPr>
                <w:rFonts w:ascii="宋体" w:hAnsi="宋体"/>
                <w:sz w:val="18"/>
                <w:szCs w:val="18"/>
              </w:rPr>
            </w:pPr>
            <w:r>
              <w:rPr>
                <w:rFonts w:hint="eastAsia" w:ascii="宋体" w:hAnsi="宋体"/>
                <w:sz w:val="18"/>
                <w:szCs w:val="18"/>
              </w:rPr>
              <w:t>(万吨标煤)</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exact"/>
          <w:jc w:val="center"/>
        </w:trPr>
        <w:tc>
          <w:tcPr>
            <w:tcW w:w="840" w:type="dxa"/>
            <w:noWrap/>
            <w:vAlign w:val="center"/>
          </w:tcPr>
          <w:p>
            <w:pPr>
              <w:jc w:val="center"/>
              <w:rPr>
                <w:rFonts w:ascii="宋体" w:hAnsi="宋体"/>
                <w:sz w:val="18"/>
                <w:szCs w:val="18"/>
              </w:rPr>
            </w:pPr>
            <w:r>
              <w:rPr>
                <w:rFonts w:hint="eastAsia" w:ascii="宋体" w:hAnsi="宋体"/>
                <w:sz w:val="18"/>
                <w:szCs w:val="18"/>
              </w:rPr>
              <w:t>30</w:t>
            </w:r>
          </w:p>
        </w:tc>
        <w:tc>
          <w:tcPr>
            <w:tcW w:w="1092" w:type="dxa"/>
            <w:noWrap/>
            <w:vAlign w:val="center"/>
          </w:tcPr>
          <w:p>
            <w:pPr>
              <w:jc w:val="center"/>
              <w:rPr>
                <w:rFonts w:ascii="宋体" w:hAnsi="宋体"/>
                <w:sz w:val="18"/>
                <w:szCs w:val="18"/>
              </w:rPr>
            </w:pPr>
            <w:r>
              <w:rPr>
                <w:rFonts w:hint="eastAsia" w:ascii="宋体" w:hAnsi="宋体"/>
                <w:sz w:val="18"/>
                <w:szCs w:val="18"/>
              </w:rPr>
              <w:t>31</w:t>
            </w:r>
          </w:p>
        </w:tc>
        <w:tc>
          <w:tcPr>
            <w:tcW w:w="966" w:type="dxa"/>
            <w:noWrap/>
            <w:vAlign w:val="center"/>
          </w:tcPr>
          <w:p>
            <w:pPr>
              <w:jc w:val="center"/>
              <w:rPr>
                <w:rFonts w:ascii="宋体" w:hAnsi="宋体"/>
                <w:sz w:val="18"/>
                <w:szCs w:val="18"/>
              </w:rPr>
            </w:pPr>
            <w:r>
              <w:rPr>
                <w:rFonts w:hint="eastAsia" w:ascii="宋体" w:hAnsi="宋体"/>
                <w:sz w:val="18"/>
                <w:szCs w:val="18"/>
              </w:rPr>
              <w:t>32</w:t>
            </w:r>
          </w:p>
        </w:tc>
        <w:tc>
          <w:tcPr>
            <w:tcW w:w="966" w:type="dxa"/>
            <w:noWrap/>
            <w:vAlign w:val="center"/>
          </w:tcPr>
          <w:p>
            <w:pPr>
              <w:jc w:val="center"/>
              <w:rPr>
                <w:rFonts w:ascii="宋体" w:hAnsi="宋体"/>
                <w:sz w:val="18"/>
                <w:szCs w:val="18"/>
              </w:rPr>
            </w:pPr>
            <w:r>
              <w:rPr>
                <w:rFonts w:hint="eastAsia" w:ascii="宋体" w:hAnsi="宋体"/>
                <w:sz w:val="18"/>
                <w:szCs w:val="18"/>
              </w:rPr>
              <w:t>33</w:t>
            </w:r>
          </w:p>
        </w:tc>
        <w:tc>
          <w:tcPr>
            <w:tcW w:w="871" w:type="dxa"/>
            <w:noWrap/>
            <w:vAlign w:val="center"/>
          </w:tcPr>
          <w:p>
            <w:pPr>
              <w:jc w:val="center"/>
              <w:rPr>
                <w:rFonts w:ascii="宋体" w:hAnsi="宋体"/>
                <w:sz w:val="18"/>
                <w:szCs w:val="18"/>
              </w:rPr>
            </w:pPr>
            <w:r>
              <w:rPr>
                <w:rFonts w:hint="eastAsia" w:ascii="宋体" w:hAnsi="宋体"/>
                <w:sz w:val="18"/>
                <w:szCs w:val="18"/>
              </w:rPr>
              <w:t>34</w:t>
            </w:r>
          </w:p>
        </w:tc>
        <w:tc>
          <w:tcPr>
            <w:tcW w:w="895" w:type="dxa"/>
            <w:noWrap/>
            <w:vAlign w:val="center"/>
          </w:tcPr>
          <w:p>
            <w:pPr>
              <w:jc w:val="center"/>
              <w:rPr>
                <w:rFonts w:ascii="宋体" w:hAnsi="宋体"/>
                <w:sz w:val="18"/>
                <w:szCs w:val="18"/>
              </w:rPr>
            </w:pPr>
            <w:r>
              <w:rPr>
                <w:rFonts w:hint="eastAsia" w:ascii="宋体" w:hAnsi="宋体"/>
                <w:sz w:val="18"/>
                <w:szCs w:val="18"/>
              </w:rPr>
              <w:t>35</w:t>
            </w:r>
          </w:p>
        </w:tc>
        <w:tc>
          <w:tcPr>
            <w:tcW w:w="1035" w:type="dxa"/>
            <w:noWrap/>
            <w:vAlign w:val="center"/>
          </w:tcPr>
          <w:p>
            <w:pPr>
              <w:jc w:val="center"/>
              <w:rPr>
                <w:rFonts w:ascii="宋体" w:hAnsi="宋体"/>
                <w:sz w:val="18"/>
                <w:szCs w:val="18"/>
              </w:rPr>
            </w:pPr>
            <w:r>
              <w:rPr>
                <w:rFonts w:hint="eastAsia" w:ascii="宋体" w:hAnsi="宋体"/>
                <w:sz w:val="18"/>
                <w:szCs w:val="18"/>
              </w:rPr>
              <w:t>36</w:t>
            </w:r>
          </w:p>
        </w:tc>
        <w:tc>
          <w:tcPr>
            <w:tcW w:w="1063" w:type="dxa"/>
            <w:noWrap/>
            <w:vAlign w:val="center"/>
          </w:tcPr>
          <w:p>
            <w:pPr>
              <w:jc w:val="center"/>
              <w:rPr>
                <w:rFonts w:ascii="宋体" w:hAnsi="宋体"/>
                <w:sz w:val="18"/>
                <w:szCs w:val="18"/>
              </w:rPr>
            </w:pPr>
            <w:r>
              <w:rPr>
                <w:rFonts w:hint="eastAsia" w:ascii="宋体" w:hAnsi="宋体"/>
                <w:sz w:val="18"/>
                <w:szCs w:val="18"/>
              </w:rPr>
              <w:t>37</w:t>
            </w:r>
          </w:p>
        </w:tc>
        <w:tc>
          <w:tcPr>
            <w:tcW w:w="966" w:type="dxa"/>
            <w:noWrap/>
            <w:vAlign w:val="center"/>
          </w:tcPr>
          <w:p>
            <w:pPr>
              <w:jc w:val="center"/>
              <w:rPr>
                <w:rFonts w:ascii="宋体" w:hAnsi="宋体"/>
                <w:sz w:val="18"/>
                <w:szCs w:val="18"/>
              </w:rPr>
            </w:pPr>
            <w:r>
              <w:rPr>
                <w:rFonts w:hint="eastAsia" w:ascii="宋体" w:hAnsi="宋体"/>
                <w:sz w:val="18"/>
                <w:szCs w:val="18"/>
              </w:rPr>
              <w:t>38</w:t>
            </w:r>
          </w:p>
        </w:tc>
        <w:tc>
          <w:tcPr>
            <w:tcW w:w="966" w:type="dxa"/>
            <w:noWrap/>
            <w:vAlign w:val="center"/>
          </w:tcPr>
          <w:p>
            <w:pPr>
              <w:jc w:val="center"/>
              <w:rPr>
                <w:rFonts w:ascii="宋体" w:hAnsi="宋体"/>
                <w:sz w:val="18"/>
                <w:szCs w:val="18"/>
              </w:rPr>
            </w:pPr>
            <w:r>
              <w:rPr>
                <w:rFonts w:hint="eastAsia" w:ascii="宋体" w:hAnsi="宋体"/>
                <w:sz w:val="18"/>
                <w:szCs w:val="18"/>
              </w:rPr>
              <w:t>39</w:t>
            </w:r>
          </w:p>
        </w:tc>
      </w:tr>
    </w:tbl>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w:t>
      </w:r>
      <w:r>
        <w:rPr>
          <w:rFonts w:hint="eastAsia" w:asciiTheme="minorEastAsia" w:hAnsiTheme="minorEastAsia" w:eastAsiaTheme="minorEastAsia" w:cstheme="minorEastAsia"/>
          <w:kern w:val="0"/>
          <w:sz w:val="18"/>
          <w:szCs w:val="18"/>
        </w:rPr>
        <w:t>位负责人：         统计负责人：         填表人：         联系电话：         报出日期：２０   年  月  日</w:t>
      </w:r>
    </w:p>
    <w:p>
      <w:pPr>
        <w:spacing w:line="260" w:lineRule="exact"/>
        <w:ind w:right="-40"/>
        <w:rPr>
          <w:rFonts w:asciiTheme="minorEastAsia" w:hAnsiTheme="minorEastAsia" w:eastAsiaTheme="minorEastAsia" w:cstheme="minorEastAsia"/>
          <w:sz w:val="18"/>
        </w:rPr>
      </w:pPr>
    </w:p>
    <w:p>
      <w:pPr>
        <w:spacing w:line="260" w:lineRule="exact"/>
        <w:ind w:right="-40"/>
        <w:rPr>
          <w:rFonts w:asciiTheme="minorEastAsia" w:hAnsiTheme="minorEastAsia" w:eastAsiaTheme="minorEastAsia" w:cstheme="minorEastAsia"/>
          <w:sz w:val="18"/>
        </w:rPr>
      </w:pPr>
      <w:r>
        <w:rPr>
          <w:rFonts w:hint="eastAsia" w:asciiTheme="minorEastAsia" w:hAnsiTheme="minorEastAsia" w:eastAsiaTheme="minorEastAsia" w:cstheme="minorEastAsia"/>
          <w:b/>
          <w:sz w:val="18"/>
        </w:rPr>
        <w:t>说明</w:t>
      </w:r>
      <w:r>
        <w:rPr>
          <w:rFonts w:hint="eastAsia" w:asciiTheme="minorEastAsia" w:hAnsiTheme="minorEastAsia" w:eastAsiaTheme="minorEastAsia" w:cstheme="minorEastAsia"/>
          <w:sz w:val="18"/>
        </w:rPr>
        <w:t>：</w:t>
      </w:r>
      <w:r>
        <w:rPr>
          <w:rFonts w:hint="eastAsia" w:asciiTheme="minorEastAsia" w:hAnsiTheme="minorEastAsia" w:eastAsiaTheme="minorEastAsia" w:cstheme="minorEastAsia"/>
          <w:sz w:val="18"/>
          <w:szCs w:val="18"/>
        </w:rPr>
        <w:t>1.统计范围：辖区内除军队系统以外的全部能源生产和消费活动。</w:t>
      </w:r>
    </w:p>
    <w:p>
      <w:pPr>
        <w:spacing w:line="260" w:lineRule="exact"/>
        <w:ind w:left="722" w:leftChars="258" w:right="-40" w:hanging="180" w:hangingChars="1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2.本表由各区统计机构根据现有资料加工编制并负责报送。报送时间为次年5月30日前，报送方式为电子邮件</w:t>
      </w:r>
      <w:r>
        <w:rPr>
          <w:rFonts w:hint="eastAsia" w:asciiTheme="minorEastAsia" w:hAnsiTheme="minorEastAsia" w:eastAsiaTheme="minorEastAsia" w:cstheme="minorEastAsia"/>
          <w:sz w:val="18"/>
        </w:rPr>
        <w:t>（gzstjjnyc@gz.gov.cn）</w:t>
      </w:r>
      <w:r>
        <w:rPr>
          <w:rFonts w:hint="eastAsia" w:asciiTheme="minorEastAsia" w:hAnsiTheme="minorEastAsia" w:eastAsiaTheme="minorEastAsia" w:cstheme="minorEastAsia"/>
          <w:sz w:val="18"/>
          <w:szCs w:val="18"/>
        </w:rPr>
        <w:t>。</w:t>
      </w:r>
    </w:p>
    <w:p>
      <w:pPr>
        <w:spacing w:line="260" w:lineRule="exact"/>
        <w:ind w:right="-42" w:rightChars="-20" w:firstLine="540"/>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3.平衡关系：</w:t>
      </w:r>
    </w:p>
    <w:p>
      <w:pPr>
        <w:spacing w:line="260" w:lineRule="exact"/>
        <w:ind w:right="-42" w:rightChars="-20" w:firstLine="720" w:firstLineChars="4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列平衡关系：(1)煤合计(1)=2+7+8+9</w:t>
      </w:r>
    </w:p>
    <w:p>
      <w:pPr>
        <w:spacing w:line="260" w:lineRule="exact"/>
        <w:ind w:right="-42" w:rightChars="-20" w:firstLine="1800" w:firstLineChars="10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(2)原煤(2)=3+4+5+6</w:t>
      </w:r>
    </w:p>
    <w:p>
      <w:pPr>
        <w:spacing w:line="260" w:lineRule="exact"/>
        <w:ind w:right="-42" w:rightChars="-20" w:firstLine="1800" w:firstLineChars="10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(3)油品合计(17)=18+19+……+31</w:t>
      </w:r>
    </w:p>
    <w:p>
      <w:pPr>
        <w:spacing w:line="260" w:lineRule="exact"/>
        <w:ind w:right="-40"/>
        <w:rPr>
          <w:rFonts w:ascii="宋体" w:hAnsi="宋体"/>
          <w:sz w:val="18"/>
          <w:szCs w:val="18"/>
        </w:rPr>
      </w:pPr>
      <w:r>
        <w:rPr>
          <w:rFonts w:hint="eastAsia" w:asciiTheme="minorEastAsia" w:hAnsiTheme="minorEastAsia" w:eastAsiaTheme="minorEastAsia" w:cstheme="minorEastAsia"/>
          <w:sz w:val="18"/>
          <w:szCs w:val="18"/>
        </w:rPr>
        <w:t>　　　　行平衡关系：与行业分类目录平衡关系一致。</w:t>
      </w:r>
    </w:p>
    <w:p>
      <w:pPr>
        <w:spacing w:line="260" w:lineRule="exact"/>
        <w:ind w:right="-42" w:rightChars="-20" w:firstLine="525"/>
        <w:rPr>
          <w:rFonts w:ascii="宋体" w:hAnsi="宋体"/>
        </w:rPr>
      </w:pPr>
    </w:p>
    <w:p>
      <w:pPr>
        <w:pStyle w:val="7"/>
        <w:rPr>
          <w:rFonts w:ascii="宋体" w:hAnsi="宋体"/>
        </w:rPr>
      </w:pPr>
    </w:p>
    <w:p>
      <w:pPr>
        <w:rPr>
          <w:rFonts w:ascii="宋体" w:hAnsi="宋体"/>
        </w:rPr>
      </w:pPr>
    </w:p>
    <w:p>
      <w:pPr>
        <w:pStyle w:val="7"/>
        <w:rPr>
          <w:rFonts w:ascii="宋体" w:hAnsi="宋体"/>
        </w:rPr>
      </w:pPr>
    </w:p>
    <w:p>
      <w:pPr>
        <w:pStyle w:val="2"/>
      </w:pPr>
    </w:p>
    <w:p>
      <w:pPr>
        <w:pStyle w:val="3"/>
        <w:rPr>
          <w:rFonts w:ascii="宋体" w:hAnsi="宋体"/>
        </w:rPr>
      </w:pPr>
    </w:p>
    <w:p>
      <w:pPr>
        <w:pStyle w:val="2"/>
        <w:jc w:val="both"/>
      </w:pPr>
    </w:p>
    <w:p>
      <w:pPr>
        <w:spacing w:line="260" w:lineRule="exact"/>
        <w:ind w:right="-42" w:rightChars="-20"/>
        <w:rPr>
          <w:rFonts w:ascii="宋体" w:hAnsi="宋体"/>
        </w:rPr>
      </w:pPr>
    </w:p>
    <w:p>
      <w:pPr>
        <w:rPr>
          <w:rFonts w:ascii="宋体" w:hAnsi="宋体"/>
          <w:b/>
          <w:sz w:val="32"/>
          <w:szCs w:val="32"/>
        </w:rPr>
      </w:pPr>
      <w:r>
        <w:rPr>
          <w:rFonts w:hint="eastAsia" w:ascii="宋体" w:hAnsi="宋体"/>
          <w:b/>
          <w:sz w:val="32"/>
          <w:szCs w:val="32"/>
        </w:rPr>
        <w:br w:type="page"/>
      </w:r>
    </w:p>
    <w:p>
      <w:pPr>
        <w:keepNext w:val="0"/>
        <w:keepLines w:val="0"/>
        <w:pageBreakBefore w:val="0"/>
        <w:widowControl w:val="0"/>
        <w:kinsoku/>
        <w:wordWrap/>
        <w:overflowPunct/>
        <w:topLinePunct w:val="0"/>
        <w:autoSpaceDE/>
        <w:autoSpaceDN/>
        <w:bidi w:val="0"/>
        <w:adjustRightInd/>
        <w:snapToGrid/>
        <w:spacing w:line="240" w:lineRule="auto"/>
        <w:ind w:right="-40"/>
        <w:jc w:val="center"/>
        <w:textAlignment w:val="auto"/>
        <w:rPr>
          <w:rFonts w:ascii="宋体" w:hAnsi="宋体"/>
          <w:b/>
          <w:sz w:val="32"/>
          <w:szCs w:val="32"/>
        </w:rPr>
      </w:pPr>
      <w:r>
        <w:rPr>
          <w:rFonts w:hint="eastAsia" w:ascii="宋体" w:hAnsi="宋体"/>
          <w:b/>
          <w:sz w:val="32"/>
          <w:szCs w:val="32"/>
        </w:rPr>
        <w:t>能源平衡表(标准量)</w:t>
      </w:r>
    </w:p>
    <w:tbl>
      <w:tblPr>
        <w:tblStyle w:val="21"/>
        <w:tblW w:w="9720" w:type="dxa"/>
        <w:jc w:val="center"/>
        <w:tblLayout w:type="autofit"/>
        <w:tblCellMar>
          <w:top w:w="0" w:type="dxa"/>
          <w:left w:w="0" w:type="dxa"/>
          <w:bottom w:w="0" w:type="dxa"/>
          <w:right w:w="0" w:type="dxa"/>
        </w:tblCellMar>
      </w:tblPr>
      <w:tblGrid>
        <w:gridCol w:w="2205"/>
        <w:gridCol w:w="665"/>
        <w:gridCol w:w="665"/>
        <w:gridCol w:w="285"/>
        <w:gridCol w:w="380"/>
        <w:gridCol w:w="460"/>
        <w:gridCol w:w="380"/>
        <w:gridCol w:w="900"/>
        <w:gridCol w:w="900"/>
        <w:gridCol w:w="720"/>
        <w:gridCol w:w="195"/>
        <w:gridCol w:w="525"/>
        <w:gridCol w:w="720"/>
        <w:gridCol w:w="720"/>
      </w:tblGrid>
      <w:tr>
        <w:tblPrEx>
          <w:tblCellMar>
            <w:top w:w="0" w:type="dxa"/>
            <w:left w:w="0" w:type="dxa"/>
            <w:bottom w:w="0" w:type="dxa"/>
            <w:right w:w="0" w:type="dxa"/>
          </w:tblCellMar>
        </w:tblPrEx>
        <w:trPr>
          <w:jc w:val="center"/>
        </w:trPr>
        <w:tc>
          <w:tcPr>
            <w:tcW w:w="3820" w:type="dxa"/>
            <w:gridSpan w:val="4"/>
          </w:tcPr>
          <w:p>
            <w:pPr>
              <w:spacing w:line="260" w:lineRule="exact"/>
              <w:rPr>
                <w:sz w:val="18"/>
                <w:szCs w:val="18"/>
              </w:rPr>
            </w:pPr>
          </w:p>
        </w:tc>
        <w:tc>
          <w:tcPr>
            <w:tcW w:w="840" w:type="dxa"/>
            <w:gridSpan w:val="2"/>
          </w:tcPr>
          <w:p>
            <w:pPr>
              <w:spacing w:line="260" w:lineRule="exact"/>
              <w:rPr>
                <w:sz w:val="18"/>
                <w:szCs w:val="18"/>
              </w:rPr>
            </w:pPr>
          </w:p>
        </w:tc>
        <w:tc>
          <w:tcPr>
            <w:tcW w:w="2180" w:type="dxa"/>
            <w:gridSpan w:val="3"/>
          </w:tcPr>
          <w:p>
            <w:pPr>
              <w:spacing w:line="260" w:lineRule="exact"/>
              <w:rPr>
                <w:sz w:val="18"/>
                <w:szCs w:val="18"/>
              </w:rPr>
            </w:pPr>
            <w:r>
              <w:rPr>
                <w:sz w:val="18"/>
                <w:szCs w:val="18"/>
              </w:rPr>
              <w:t>　　　　　　　　　　　　　</w:t>
            </w:r>
          </w:p>
        </w:tc>
        <w:tc>
          <w:tcPr>
            <w:tcW w:w="915" w:type="dxa"/>
            <w:gridSpan w:val="2"/>
            <w:tcMar>
              <w:left w:w="0" w:type="dxa"/>
              <w:right w:w="0" w:type="dxa"/>
            </w:tcMar>
          </w:tcPr>
          <w:p>
            <w:pPr>
              <w:spacing w:line="260" w:lineRule="exact"/>
              <w:rPr>
                <w:sz w:val="18"/>
                <w:szCs w:val="18"/>
              </w:rPr>
            </w:pPr>
            <w:r>
              <w:rPr>
                <w:sz w:val="18"/>
                <w:szCs w:val="18"/>
              </w:rPr>
              <w:t>表    号：</w:t>
            </w:r>
          </w:p>
        </w:tc>
        <w:tc>
          <w:tcPr>
            <w:tcW w:w="1965" w:type="dxa"/>
            <w:gridSpan w:val="3"/>
            <w:vAlign w:val="center"/>
          </w:tcPr>
          <w:p>
            <w:pPr>
              <w:spacing w:line="260" w:lineRule="exact"/>
              <w:jc w:val="distribute"/>
              <w:rPr>
                <w:sz w:val="18"/>
                <w:szCs w:val="18"/>
              </w:rPr>
            </w:pPr>
            <w:r>
              <w:rPr>
                <w:sz w:val="18"/>
                <w:szCs w:val="18"/>
              </w:rPr>
              <w:t>Ｐ３０３－</w:t>
            </w:r>
            <w:r>
              <w:rPr>
                <w:rFonts w:hint="eastAsia"/>
                <w:sz w:val="18"/>
                <w:szCs w:val="18"/>
              </w:rPr>
              <w:t>４</w:t>
            </w:r>
            <w:r>
              <w:rPr>
                <w:sz w:val="18"/>
                <w:szCs w:val="18"/>
              </w:rPr>
              <w:t>表</w:t>
            </w:r>
          </w:p>
        </w:tc>
      </w:tr>
      <w:tr>
        <w:tblPrEx>
          <w:tblCellMar>
            <w:top w:w="0" w:type="dxa"/>
            <w:left w:w="0" w:type="dxa"/>
            <w:bottom w:w="0" w:type="dxa"/>
            <w:right w:w="0" w:type="dxa"/>
          </w:tblCellMar>
        </w:tblPrEx>
        <w:trPr>
          <w:jc w:val="center"/>
        </w:trPr>
        <w:tc>
          <w:tcPr>
            <w:tcW w:w="3820" w:type="dxa"/>
            <w:gridSpan w:val="4"/>
          </w:tcPr>
          <w:p>
            <w:pPr>
              <w:spacing w:line="260" w:lineRule="exact"/>
              <w:rPr>
                <w:sz w:val="18"/>
                <w:szCs w:val="18"/>
              </w:rPr>
            </w:pPr>
          </w:p>
        </w:tc>
        <w:tc>
          <w:tcPr>
            <w:tcW w:w="840" w:type="dxa"/>
            <w:gridSpan w:val="2"/>
          </w:tcPr>
          <w:p>
            <w:pPr>
              <w:spacing w:line="260" w:lineRule="exact"/>
              <w:rPr>
                <w:sz w:val="18"/>
                <w:szCs w:val="18"/>
              </w:rPr>
            </w:pPr>
          </w:p>
        </w:tc>
        <w:tc>
          <w:tcPr>
            <w:tcW w:w="2180" w:type="dxa"/>
            <w:gridSpan w:val="3"/>
          </w:tcPr>
          <w:p>
            <w:pPr>
              <w:spacing w:line="260" w:lineRule="exact"/>
              <w:rPr>
                <w:sz w:val="18"/>
                <w:szCs w:val="18"/>
              </w:rPr>
            </w:pPr>
          </w:p>
        </w:tc>
        <w:tc>
          <w:tcPr>
            <w:tcW w:w="915" w:type="dxa"/>
            <w:gridSpan w:val="2"/>
            <w:tcMar>
              <w:left w:w="0" w:type="dxa"/>
              <w:right w:w="0" w:type="dxa"/>
            </w:tcMar>
            <w:vAlign w:val="center"/>
          </w:tcPr>
          <w:p>
            <w:pPr>
              <w:spacing w:line="260" w:lineRule="exact"/>
              <w:rPr>
                <w:sz w:val="18"/>
                <w:szCs w:val="18"/>
              </w:rPr>
            </w:pPr>
            <w:r>
              <w:rPr>
                <w:sz w:val="18"/>
                <w:szCs w:val="18"/>
              </w:rPr>
              <w:t>制定机关：</w:t>
            </w:r>
          </w:p>
        </w:tc>
        <w:tc>
          <w:tcPr>
            <w:tcW w:w="1965" w:type="dxa"/>
            <w:gridSpan w:val="3"/>
            <w:vAlign w:val="center"/>
          </w:tcPr>
          <w:p>
            <w:pPr>
              <w:spacing w:line="260" w:lineRule="exact"/>
              <w:jc w:val="distribute"/>
              <w:rPr>
                <w:sz w:val="18"/>
                <w:szCs w:val="18"/>
              </w:rPr>
            </w:pPr>
            <w:r>
              <w:rPr>
                <w:sz w:val="18"/>
                <w:szCs w:val="18"/>
              </w:rPr>
              <w:t>国 家 统 计 局</w:t>
            </w:r>
          </w:p>
        </w:tc>
      </w:tr>
      <w:tr>
        <w:tblPrEx>
          <w:tblCellMar>
            <w:top w:w="0" w:type="dxa"/>
            <w:left w:w="0" w:type="dxa"/>
            <w:bottom w:w="0" w:type="dxa"/>
            <w:right w:w="0" w:type="dxa"/>
          </w:tblCellMar>
        </w:tblPrEx>
        <w:trPr>
          <w:jc w:val="center"/>
        </w:trPr>
        <w:tc>
          <w:tcPr>
            <w:tcW w:w="3820" w:type="dxa"/>
            <w:gridSpan w:val="4"/>
          </w:tcPr>
          <w:p>
            <w:pPr>
              <w:spacing w:line="260" w:lineRule="exact"/>
              <w:jc w:val="left"/>
              <w:rPr>
                <w:sz w:val="18"/>
                <w:szCs w:val="18"/>
              </w:rPr>
            </w:pPr>
          </w:p>
        </w:tc>
        <w:tc>
          <w:tcPr>
            <w:tcW w:w="840" w:type="dxa"/>
            <w:gridSpan w:val="2"/>
          </w:tcPr>
          <w:p>
            <w:pPr>
              <w:spacing w:line="260" w:lineRule="exact"/>
              <w:rPr>
                <w:sz w:val="18"/>
                <w:szCs w:val="18"/>
              </w:rPr>
            </w:pPr>
          </w:p>
        </w:tc>
        <w:tc>
          <w:tcPr>
            <w:tcW w:w="2180" w:type="dxa"/>
            <w:gridSpan w:val="3"/>
          </w:tcPr>
          <w:p>
            <w:pPr>
              <w:spacing w:line="260" w:lineRule="exact"/>
              <w:rPr>
                <w:sz w:val="18"/>
                <w:szCs w:val="18"/>
              </w:rPr>
            </w:pPr>
          </w:p>
        </w:tc>
        <w:tc>
          <w:tcPr>
            <w:tcW w:w="915" w:type="dxa"/>
            <w:gridSpan w:val="2"/>
            <w:tcMar>
              <w:left w:w="0" w:type="dxa"/>
              <w:right w:w="0" w:type="dxa"/>
            </w:tcMar>
            <w:vAlign w:val="center"/>
          </w:tcPr>
          <w:p>
            <w:pPr>
              <w:spacing w:line="260" w:lineRule="exact"/>
              <w:rPr>
                <w:sz w:val="18"/>
                <w:szCs w:val="18"/>
              </w:rPr>
            </w:pPr>
            <w:r>
              <w:rPr>
                <w:sz w:val="18"/>
                <w:szCs w:val="18"/>
              </w:rPr>
              <w:t>文    号：</w:t>
            </w:r>
          </w:p>
        </w:tc>
        <w:tc>
          <w:tcPr>
            <w:tcW w:w="1965" w:type="dxa"/>
            <w:gridSpan w:val="3"/>
            <w:vAlign w:val="center"/>
          </w:tcPr>
          <w:p>
            <w:pPr>
              <w:spacing w:line="260" w:lineRule="exact"/>
              <w:jc w:val="distribute"/>
              <w:rPr>
                <w:color w:val="auto"/>
                <w:sz w:val="18"/>
                <w:szCs w:val="18"/>
              </w:rPr>
            </w:pPr>
            <w:r>
              <w:rPr>
                <w:rFonts w:hint="eastAsia" w:ascii="宋体" w:hAnsi="宋体"/>
                <w:color w:val="auto"/>
                <w:sz w:val="18"/>
                <w:szCs w:val="18"/>
              </w:rPr>
              <w:t>国统字〔202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color w:val="auto"/>
                <w:spacing w:val="-16"/>
                <w:sz w:val="18"/>
                <w:szCs w:val="18"/>
              </w:rPr>
              <w:t>号</w:t>
            </w:r>
          </w:p>
        </w:tc>
      </w:tr>
      <w:tr>
        <w:tblPrEx>
          <w:tblCellMar>
            <w:top w:w="0" w:type="dxa"/>
            <w:left w:w="0" w:type="dxa"/>
            <w:bottom w:w="0" w:type="dxa"/>
            <w:right w:w="0" w:type="dxa"/>
          </w:tblCellMar>
        </w:tblPrEx>
        <w:trPr>
          <w:jc w:val="center"/>
        </w:trPr>
        <w:tc>
          <w:tcPr>
            <w:tcW w:w="3820" w:type="dxa"/>
            <w:gridSpan w:val="4"/>
          </w:tcPr>
          <w:p>
            <w:pPr>
              <w:spacing w:line="260" w:lineRule="exact"/>
              <w:rPr>
                <w:sz w:val="18"/>
                <w:szCs w:val="18"/>
              </w:rPr>
            </w:pPr>
            <w:r>
              <w:rPr>
                <w:sz w:val="18"/>
              </w:rPr>
              <w:t>综合机关名称：</w:t>
            </w:r>
          </w:p>
        </w:tc>
        <w:tc>
          <w:tcPr>
            <w:tcW w:w="840" w:type="dxa"/>
            <w:gridSpan w:val="2"/>
          </w:tcPr>
          <w:p>
            <w:pPr>
              <w:spacing w:line="260" w:lineRule="exact"/>
              <w:rPr>
                <w:sz w:val="18"/>
                <w:szCs w:val="18"/>
              </w:rPr>
            </w:pPr>
          </w:p>
        </w:tc>
        <w:tc>
          <w:tcPr>
            <w:tcW w:w="2180" w:type="dxa"/>
            <w:gridSpan w:val="3"/>
          </w:tcPr>
          <w:p>
            <w:pPr>
              <w:spacing w:line="260" w:lineRule="exact"/>
              <w:rPr>
                <w:sz w:val="18"/>
                <w:szCs w:val="18"/>
              </w:rPr>
            </w:pPr>
            <w:r>
              <w:rPr>
                <w:sz w:val="18"/>
                <w:szCs w:val="18"/>
              </w:rPr>
              <w:t>２０　　年　　　　　　　　　</w:t>
            </w:r>
          </w:p>
        </w:tc>
        <w:tc>
          <w:tcPr>
            <w:tcW w:w="915" w:type="dxa"/>
            <w:gridSpan w:val="2"/>
            <w:tcMar>
              <w:left w:w="0" w:type="dxa"/>
              <w:right w:w="0" w:type="dxa"/>
            </w:tcMar>
            <w:vAlign w:val="center"/>
          </w:tcPr>
          <w:p>
            <w:pPr>
              <w:spacing w:line="260" w:lineRule="exact"/>
              <w:rPr>
                <w:sz w:val="18"/>
                <w:szCs w:val="18"/>
              </w:rPr>
            </w:pPr>
            <w:r>
              <w:rPr>
                <w:sz w:val="18"/>
                <w:szCs w:val="18"/>
              </w:rPr>
              <w:t>有效期至：</w:t>
            </w:r>
          </w:p>
        </w:tc>
        <w:tc>
          <w:tcPr>
            <w:tcW w:w="1965" w:type="dxa"/>
            <w:gridSpan w:val="3"/>
            <w:vAlign w:val="center"/>
          </w:tcPr>
          <w:p>
            <w:pPr>
              <w:spacing w:line="260" w:lineRule="exact"/>
              <w:jc w:val="distribute"/>
              <w:rPr>
                <w:color w:val="auto"/>
                <w:sz w:val="18"/>
                <w:szCs w:val="18"/>
              </w:rPr>
            </w:pPr>
            <w:r>
              <w:rPr>
                <w:color w:val="auto"/>
                <w:sz w:val="18"/>
                <w:szCs w:val="18"/>
              </w:rPr>
              <w:t>２０２</w:t>
            </w:r>
            <w:r>
              <w:rPr>
                <w:rFonts w:hint="eastAsia" w:ascii="宋体" w:hAnsi="宋体" w:cs="宋体"/>
                <w:color w:val="auto"/>
                <w:sz w:val="18"/>
                <w:szCs w:val="18"/>
                <w:lang w:val="en-US" w:eastAsia="zh-CN"/>
              </w:rPr>
              <w:t>6</w:t>
            </w:r>
            <w:r>
              <w:rPr>
                <w:color w:val="auto"/>
                <w:sz w:val="18"/>
                <w:szCs w:val="18"/>
              </w:rPr>
              <w:t>年６月</w:t>
            </w:r>
          </w:p>
        </w:tc>
      </w:tr>
      <w:tr>
        <w:tblPrEx>
          <w:tblCellMar>
            <w:top w:w="0" w:type="dxa"/>
            <w:left w:w="108" w:type="dxa"/>
            <w:bottom w:w="0" w:type="dxa"/>
            <w:right w:w="108" w:type="dxa"/>
          </w:tblCellMar>
        </w:tblPrEx>
        <w:trPr>
          <w:trHeight w:val="189" w:hRule="atLeast"/>
          <w:jc w:val="center"/>
        </w:trPr>
        <w:tc>
          <w:tcPr>
            <w:tcW w:w="2205" w:type="dxa"/>
            <w:vMerge w:val="restart"/>
            <w:tcBorders>
              <w:top w:val="single" w:color="auto" w:sz="8"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kern w:val="0"/>
                <w:sz w:val="18"/>
                <w:szCs w:val="18"/>
              </w:rPr>
            </w:pPr>
            <w:r>
              <w:rPr>
                <w:rFonts w:hint="eastAsia" w:ascii="宋体" w:hAnsi="宋体" w:cs="宋体"/>
                <w:kern w:val="0"/>
                <w:sz w:val="18"/>
                <w:szCs w:val="18"/>
              </w:rPr>
              <w:t>指标名称</w:t>
            </w:r>
          </w:p>
        </w:tc>
        <w:tc>
          <w:tcPr>
            <w:tcW w:w="665" w:type="dxa"/>
            <w:vMerge w:val="restart"/>
            <w:tcBorders>
              <w:top w:val="single" w:color="auto" w:sz="8"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代码</w:t>
            </w:r>
          </w:p>
        </w:tc>
        <w:tc>
          <w:tcPr>
            <w:tcW w:w="665" w:type="dxa"/>
            <w:vMerge w:val="restart"/>
            <w:tcBorders>
              <w:top w:val="single" w:color="auto" w:sz="8"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 xml:space="preserve">煤 </w:t>
            </w:r>
            <w:r>
              <w:rPr>
                <w:rFonts w:hint="eastAsia"/>
                <w:sz w:val="18"/>
                <w:szCs w:val="18"/>
              </w:rPr>
              <w:t>炭　</w:t>
            </w:r>
            <w:r>
              <w:rPr>
                <w:rFonts w:hint="eastAsia" w:ascii="宋体" w:hAnsi="宋体" w:cs="宋体"/>
                <w:bCs/>
                <w:kern w:val="0"/>
                <w:sz w:val="18"/>
                <w:szCs w:val="18"/>
              </w:rPr>
              <w:t>合 计</w:t>
            </w:r>
          </w:p>
        </w:tc>
        <w:tc>
          <w:tcPr>
            <w:tcW w:w="665" w:type="dxa"/>
            <w:gridSpan w:val="2"/>
            <w:vMerge w:val="restart"/>
            <w:tcBorders>
              <w:top w:val="single" w:color="auto" w:sz="8" w:space="0"/>
              <w:left w:val="single" w:color="auto" w:sz="2" w:space="0"/>
              <w:bottom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原 煤</w:t>
            </w:r>
          </w:p>
        </w:tc>
        <w:tc>
          <w:tcPr>
            <w:tcW w:w="3360" w:type="dxa"/>
            <w:gridSpan w:val="5"/>
            <w:tcBorders>
              <w:top w:val="single" w:color="auto" w:sz="8"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　</w:t>
            </w:r>
          </w:p>
        </w:tc>
        <w:tc>
          <w:tcPr>
            <w:tcW w:w="720" w:type="dxa"/>
            <w:gridSpan w:val="2"/>
            <w:vMerge w:val="restart"/>
            <w:tcBorders>
              <w:top w:val="single" w:color="auto" w:sz="8"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洗精煤</w:t>
            </w:r>
          </w:p>
        </w:tc>
        <w:tc>
          <w:tcPr>
            <w:tcW w:w="720" w:type="dxa"/>
            <w:vMerge w:val="restart"/>
            <w:tcBorders>
              <w:top w:val="single" w:color="auto" w:sz="8"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其 他　　　　洗 煤</w:t>
            </w:r>
          </w:p>
        </w:tc>
        <w:tc>
          <w:tcPr>
            <w:tcW w:w="720" w:type="dxa"/>
            <w:vMerge w:val="restart"/>
            <w:tcBorders>
              <w:top w:val="single" w:color="auto" w:sz="8" w:space="0"/>
              <w:left w:val="single" w:color="auto" w:sz="2" w:space="0"/>
              <w:bottom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煤制品</w:t>
            </w:r>
          </w:p>
        </w:tc>
      </w:tr>
      <w:tr>
        <w:tblPrEx>
          <w:tblCellMar>
            <w:top w:w="0" w:type="dxa"/>
            <w:left w:w="108" w:type="dxa"/>
            <w:bottom w:w="0" w:type="dxa"/>
            <w:right w:w="108" w:type="dxa"/>
          </w:tblCellMar>
        </w:tblPrEx>
        <w:trPr>
          <w:trHeight w:val="158" w:hRule="atLeast"/>
          <w:jc w:val="center"/>
        </w:trPr>
        <w:tc>
          <w:tcPr>
            <w:tcW w:w="2205" w:type="dxa"/>
            <w:vMerge w:val="continue"/>
            <w:tcBorders>
              <w:top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left"/>
              <w:rPr>
                <w:rFonts w:ascii="宋体" w:hAnsi="宋体" w:cs="宋体"/>
                <w:kern w:val="0"/>
                <w:sz w:val="18"/>
                <w:szCs w:val="18"/>
              </w:rPr>
            </w:pPr>
          </w:p>
        </w:tc>
        <w:tc>
          <w:tcPr>
            <w:tcW w:w="665" w:type="dxa"/>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left"/>
              <w:rPr>
                <w:rFonts w:ascii="宋体" w:hAnsi="宋体" w:cs="宋体"/>
                <w:bCs/>
                <w:kern w:val="0"/>
                <w:sz w:val="18"/>
                <w:szCs w:val="18"/>
              </w:rPr>
            </w:pPr>
          </w:p>
        </w:tc>
        <w:tc>
          <w:tcPr>
            <w:tcW w:w="665" w:type="dxa"/>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rPr>
                <w:rFonts w:ascii="宋体" w:hAnsi="宋体" w:cs="宋体"/>
                <w:bCs/>
                <w:kern w:val="0"/>
                <w:sz w:val="18"/>
                <w:szCs w:val="18"/>
              </w:rPr>
            </w:pPr>
          </w:p>
        </w:tc>
        <w:tc>
          <w:tcPr>
            <w:tcW w:w="665" w:type="dxa"/>
            <w:gridSpan w:val="2"/>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left"/>
              <w:rPr>
                <w:rFonts w:ascii="宋体" w:hAnsi="宋体" w:cs="宋体"/>
                <w:bCs/>
                <w:kern w:val="0"/>
                <w:sz w:val="18"/>
                <w:szCs w:val="18"/>
              </w:rPr>
            </w:pPr>
          </w:p>
        </w:tc>
        <w:tc>
          <w:tcPr>
            <w:tcW w:w="840" w:type="dxa"/>
            <w:gridSpan w:val="2"/>
            <w:vMerge w:val="restart"/>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无烟煤</w:t>
            </w:r>
          </w:p>
        </w:tc>
        <w:tc>
          <w:tcPr>
            <w:tcW w:w="1800" w:type="dxa"/>
            <w:gridSpan w:val="2"/>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烟  煤</w:t>
            </w:r>
          </w:p>
        </w:tc>
        <w:tc>
          <w:tcPr>
            <w:tcW w:w="720" w:type="dxa"/>
            <w:vMerge w:val="restart"/>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7" w:leftChars="-51" w:right="-105" w:rightChars="-50" w:firstLine="1" w:firstLineChars="1"/>
              <w:jc w:val="center"/>
              <w:rPr>
                <w:rFonts w:ascii="宋体" w:hAnsi="宋体" w:cs="宋体"/>
                <w:bCs/>
                <w:kern w:val="0"/>
                <w:sz w:val="18"/>
                <w:szCs w:val="18"/>
              </w:rPr>
            </w:pPr>
            <w:r>
              <w:rPr>
                <w:rFonts w:hint="eastAsia" w:ascii="宋体" w:hAnsi="宋体" w:cs="宋体"/>
                <w:bCs/>
                <w:kern w:val="0"/>
                <w:sz w:val="18"/>
                <w:szCs w:val="18"/>
              </w:rPr>
              <w:t>褐 煤</w:t>
            </w:r>
          </w:p>
        </w:tc>
        <w:tc>
          <w:tcPr>
            <w:tcW w:w="720" w:type="dxa"/>
            <w:gridSpan w:val="2"/>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left"/>
              <w:rPr>
                <w:rFonts w:ascii="宋体" w:hAnsi="宋体" w:cs="宋体"/>
                <w:bCs/>
                <w:kern w:val="0"/>
                <w:sz w:val="18"/>
                <w:szCs w:val="18"/>
              </w:rPr>
            </w:pPr>
          </w:p>
        </w:tc>
        <w:tc>
          <w:tcPr>
            <w:tcW w:w="720" w:type="dxa"/>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left"/>
              <w:rPr>
                <w:rFonts w:ascii="宋体" w:hAnsi="宋体" w:cs="宋体"/>
                <w:bCs/>
                <w:kern w:val="0"/>
                <w:sz w:val="18"/>
                <w:szCs w:val="18"/>
              </w:rPr>
            </w:pPr>
          </w:p>
        </w:tc>
        <w:tc>
          <w:tcPr>
            <w:tcW w:w="720" w:type="dxa"/>
            <w:vMerge w:val="continue"/>
            <w:tcBorders>
              <w:top w:val="single" w:color="auto" w:sz="2" w:space="0"/>
              <w:left w:val="single" w:color="auto" w:sz="2" w:space="0"/>
              <w:bottom w:val="single" w:color="auto" w:sz="2" w:space="0"/>
            </w:tcBorders>
            <w:noWrap/>
            <w:vAlign w:val="center"/>
          </w:tcPr>
          <w:p>
            <w:pPr>
              <w:widowControl/>
              <w:adjustRightInd w:val="0"/>
              <w:snapToGrid w:val="0"/>
              <w:spacing w:line="240" w:lineRule="exact"/>
              <w:ind w:left="-105" w:leftChars="-50" w:right="-105" w:rightChars="-50"/>
              <w:jc w:val="left"/>
              <w:rPr>
                <w:rFonts w:ascii="宋体" w:hAnsi="宋体" w:cs="宋体"/>
                <w:bCs/>
                <w:kern w:val="0"/>
                <w:sz w:val="18"/>
                <w:szCs w:val="18"/>
              </w:rPr>
            </w:pPr>
          </w:p>
        </w:tc>
      </w:tr>
      <w:tr>
        <w:tblPrEx>
          <w:tblCellMar>
            <w:top w:w="0" w:type="dxa"/>
            <w:left w:w="108" w:type="dxa"/>
            <w:bottom w:w="0" w:type="dxa"/>
            <w:right w:w="108" w:type="dxa"/>
          </w:tblCellMar>
        </w:tblPrEx>
        <w:trPr>
          <w:trHeight w:val="157" w:hRule="atLeast"/>
          <w:jc w:val="center"/>
        </w:trPr>
        <w:tc>
          <w:tcPr>
            <w:tcW w:w="2205" w:type="dxa"/>
            <w:vMerge w:val="continue"/>
            <w:tcBorders>
              <w:top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left"/>
              <w:rPr>
                <w:rFonts w:ascii="宋体" w:hAnsi="宋体" w:cs="宋体"/>
                <w:kern w:val="0"/>
                <w:sz w:val="18"/>
                <w:szCs w:val="18"/>
              </w:rPr>
            </w:pPr>
          </w:p>
        </w:tc>
        <w:tc>
          <w:tcPr>
            <w:tcW w:w="665" w:type="dxa"/>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left"/>
              <w:rPr>
                <w:rFonts w:ascii="宋体" w:hAnsi="宋体" w:cs="宋体"/>
                <w:bCs/>
                <w:kern w:val="0"/>
                <w:sz w:val="18"/>
                <w:szCs w:val="18"/>
              </w:rPr>
            </w:pPr>
          </w:p>
        </w:tc>
        <w:tc>
          <w:tcPr>
            <w:tcW w:w="665" w:type="dxa"/>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rPr>
                <w:rFonts w:ascii="宋体" w:hAnsi="宋体" w:cs="宋体"/>
                <w:bCs/>
                <w:kern w:val="0"/>
                <w:sz w:val="18"/>
                <w:szCs w:val="18"/>
              </w:rPr>
            </w:pPr>
          </w:p>
        </w:tc>
        <w:tc>
          <w:tcPr>
            <w:tcW w:w="665" w:type="dxa"/>
            <w:gridSpan w:val="2"/>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left"/>
              <w:rPr>
                <w:rFonts w:ascii="宋体" w:hAnsi="宋体" w:cs="宋体"/>
                <w:bCs/>
                <w:kern w:val="0"/>
                <w:sz w:val="18"/>
                <w:szCs w:val="18"/>
              </w:rPr>
            </w:pPr>
          </w:p>
        </w:tc>
        <w:tc>
          <w:tcPr>
            <w:tcW w:w="840" w:type="dxa"/>
            <w:gridSpan w:val="2"/>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bCs/>
                <w:kern w:val="0"/>
                <w:sz w:val="18"/>
                <w:szCs w:val="18"/>
              </w:rPr>
            </w:pPr>
          </w:p>
        </w:tc>
        <w:tc>
          <w:tcPr>
            <w:tcW w:w="900" w:type="dxa"/>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炼焦烟煤</w:t>
            </w:r>
          </w:p>
        </w:tc>
        <w:tc>
          <w:tcPr>
            <w:tcW w:w="900" w:type="dxa"/>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一般烟煤</w:t>
            </w:r>
          </w:p>
        </w:tc>
        <w:tc>
          <w:tcPr>
            <w:tcW w:w="720" w:type="dxa"/>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bCs/>
                <w:kern w:val="0"/>
                <w:sz w:val="18"/>
                <w:szCs w:val="18"/>
              </w:rPr>
            </w:pPr>
          </w:p>
        </w:tc>
        <w:tc>
          <w:tcPr>
            <w:tcW w:w="720" w:type="dxa"/>
            <w:gridSpan w:val="2"/>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left"/>
              <w:rPr>
                <w:rFonts w:ascii="宋体" w:hAnsi="宋体" w:cs="宋体"/>
                <w:bCs/>
                <w:kern w:val="0"/>
                <w:sz w:val="18"/>
                <w:szCs w:val="18"/>
              </w:rPr>
            </w:pPr>
          </w:p>
        </w:tc>
        <w:tc>
          <w:tcPr>
            <w:tcW w:w="720" w:type="dxa"/>
            <w:vMerge w:val="continue"/>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left"/>
              <w:rPr>
                <w:rFonts w:ascii="宋体" w:hAnsi="宋体" w:cs="宋体"/>
                <w:bCs/>
                <w:kern w:val="0"/>
                <w:sz w:val="18"/>
                <w:szCs w:val="18"/>
              </w:rPr>
            </w:pPr>
          </w:p>
        </w:tc>
        <w:tc>
          <w:tcPr>
            <w:tcW w:w="720" w:type="dxa"/>
            <w:vMerge w:val="continue"/>
            <w:tcBorders>
              <w:top w:val="single" w:color="auto" w:sz="2" w:space="0"/>
              <w:left w:val="single" w:color="auto" w:sz="2" w:space="0"/>
              <w:bottom w:val="single" w:color="auto" w:sz="2" w:space="0"/>
            </w:tcBorders>
            <w:noWrap/>
            <w:vAlign w:val="center"/>
          </w:tcPr>
          <w:p>
            <w:pPr>
              <w:widowControl/>
              <w:adjustRightInd w:val="0"/>
              <w:snapToGrid w:val="0"/>
              <w:spacing w:line="240" w:lineRule="exact"/>
              <w:ind w:left="-105" w:leftChars="-50" w:right="-105" w:rightChars="-50"/>
              <w:jc w:val="left"/>
              <w:rPr>
                <w:rFonts w:ascii="宋体" w:hAnsi="宋体" w:cs="宋体"/>
                <w:bCs/>
                <w:kern w:val="0"/>
                <w:sz w:val="18"/>
                <w:szCs w:val="18"/>
              </w:rPr>
            </w:pPr>
          </w:p>
        </w:tc>
      </w:tr>
      <w:tr>
        <w:tblPrEx>
          <w:tblCellMar>
            <w:top w:w="0" w:type="dxa"/>
            <w:left w:w="108" w:type="dxa"/>
            <w:bottom w:w="0" w:type="dxa"/>
            <w:right w:w="108" w:type="dxa"/>
          </w:tblCellMar>
        </w:tblPrEx>
        <w:trPr>
          <w:trHeight w:val="259" w:hRule="atLeast"/>
          <w:jc w:val="center"/>
        </w:trPr>
        <w:tc>
          <w:tcPr>
            <w:tcW w:w="2205" w:type="dxa"/>
            <w:tcBorders>
              <w:top w:val="single" w:color="auto" w:sz="2" w:space="0"/>
              <w:left w:val="nil"/>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kern w:val="0"/>
                <w:sz w:val="18"/>
                <w:szCs w:val="18"/>
              </w:rPr>
            </w:pPr>
            <w:r>
              <w:rPr>
                <w:rFonts w:hint="eastAsia" w:ascii="宋体" w:hAnsi="宋体" w:cs="宋体"/>
                <w:kern w:val="0"/>
                <w:sz w:val="18"/>
                <w:szCs w:val="18"/>
              </w:rPr>
              <w:t>甲</w:t>
            </w:r>
          </w:p>
        </w:tc>
        <w:tc>
          <w:tcPr>
            <w:tcW w:w="665" w:type="dxa"/>
            <w:tcBorders>
              <w:top w:val="single" w:color="auto" w:sz="2" w:space="0"/>
              <w:left w:val="single" w:color="auto" w:sz="2" w:space="0"/>
              <w:bottom w:val="single" w:color="auto" w:sz="2" w:space="0"/>
              <w:right w:val="single" w:color="auto" w:sz="2" w:space="0"/>
            </w:tcBorders>
            <w:noWrap/>
            <w:vAlign w:val="center"/>
          </w:tcPr>
          <w:p>
            <w:pPr>
              <w:widowControl/>
              <w:adjustRightInd w:val="0"/>
              <w:snapToGrid w:val="0"/>
              <w:spacing w:line="240" w:lineRule="exact"/>
              <w:ind w:left="-105" w:leftChars="-50" w:right="-105" w:rightChars="-50"/>
              <w:jc w:val="center"/>
              <w:rPr>
                <w:rFonts w:ascii="宋体" w:hAnsi="宋体" w:cs="宋体"/>
                <w:kern w:val="0"/>
                <w:sz w:val="18"/>
                <w:szCs w:val="18"/>
              </w:rPr>
            </w:pPr>
            <w:r>
              <w:rPr>
                <w:rFonts w:hint="eastAsia" w:ascii="宋体" w:hAnsi="宋体" w:cs="宋体"/>
                <w:kern w:val="0"/>
                <w:sz w:val="18"/>
                <w:szCs w:val="18"/>
              </w:rPr>
              <w:t>乙</w:t>
            </w:r>
          </w:p>
        </w:tc>
        <w:tc>
          <w:tcPr>
            <w:tcW w:w="665" w:type="dxa"/>
            <w:tcBorders>
              <w:top w:val="single" w:color="auto" w:sz="2" w:space="0"/>
              <w:left w:val="single" w:color="auto" w:sz="2" w:space="0"/>
              <w:bottom w:val="single" w:color="auto" w:sz="2" w:space="0"/>
              <w:right w:val="single" w:color="auto" w:sz="2" w:space="0"/>
            </w:tcBorders>
            <w:noWrap/>
            <w:vAlign w:val="center"/>
          </w:tcPr>
          <w:p>
            <w:pPr>
              <w:adjustRightInd w:val="0"/>
              <w:snapToGrid w:val="0"/>
              <w:spacing w:line="240" w:lineRule="exact"/>
              <w:ind w:left="-105" w:leftChars="-50" w:right="-105" w:rightChars="-50"/>
              <w:jc w:val="center"/>
              <w:rPr>
                <w:rFonts w:ascii="宋体" w:hAnsi="宋体"/>
                <w:sz w:val="18"/>
                <w:szCs w:val="18"/>
              </w:rPr>
            </w:pPr>
            <w:r>
              <w:rPr>
                <w:rFonts w:ascii="宋体" w:hAnsi="宋体"/>
                <w:sz w:val="18"/>
                <w:szCs w:val="18"/>
              </w:rPr>
              <w:t>1</w:t>
            </w:r>
          </w:p>
        </w:tc>
        <w:tc>
          <w:tcPr>
            <w:tcW w:w="665" w:type="dxa"/>
            <w:gridSpan w:val="2"/>
            <w:tcBorders>
              <w:top w:val="single" w:color="auto" w:sz="2" w:space="0"/>
              <w:left w:val="single" w:color="auto" w:sz="2" w:space="0"/>
              <w:bottom w:val="single" w:color="auto" w:sz="2" w:space="0"/>
              <w:right w:val="single" w:color="auto" w:sz="2" w:space="0"/>
            </w:tcBorders>
            <w:noWrap/>
            <w:vAlign w:val="center"/>
          </w:tcPr>
          <w:p>
            <w:pPr>
              <w:adjustRightInd w:val="0"/>
              <w:snapToGrid w:val="0"/>
              <w:spacing w:line="240" w:lineRule="exact"/>
              <w:ind w:left="-105" w:leftChars="-50" w:right="-105" w:rightChars="-50"/>
              <w:jc w:val="center"/>
              <w:rPr>
                <w:rFonts w:ascii="宋体" w:hAnsi="宋体"/>
                <w:sz w:val="18"/>
                <w:szCs w:val="18"/>
              </w:rPr>
            </w:pPr>
            <w:r>
              <w:rPr>
                <w:rFonts w:ascii="宋体" w:hAnsi="宋体"/>
                <w:sz w:val="18"/>
                <w:szCs w:val="18"/>
              </w:rPr>
              <w:t>2</w:t>
            </w:r>
          </w:p>
        </w:tc>
        <w:tc>
          <w:tcPr>
            <w:tcW w:w="840" w:type="dxa"/>
            <w:gridSpan w:val="2"/>
            <w:tcBorders>
              <w:top w:val="single" w:color="auto" w:sz="2" w:space="0"/>
              <w:left w:val="single" w:color="auto" w:sz="2" w:space="0"/>
              <w:bottom w:val="single" w:color="auto" w:sz="2" w:space="0"/>
              <w:right w:val="single" w:color="auto" w:sz="2" w:space="0"/>
            </w:tcBorders>
            <w:noWrap/>
            <w:vAlign w:val="center"/>
          </w:tcPr>
          <w:p>
            <w:pPr>
              <w:adjustRightInd w:val="0"/>
              <w:snapToGrid w:val="0"/>
              <w:spacing w:line="240" w:lineRule="exact"/>
              <w:ind w:left="-105" w:leftChars="-50" w:right="-105" w:rightChars="-50"/>
              <w:jc w:val="center"/>
              <w:rPr>
                <w:rFonts w:ascii="宋体" w:hAnsi="宋体"/>
                <w:sz w:val="18"/>
                <w:szCs w:val="18"/>
              </w:rPr>
            </w:pPr>
            <w:r>
              <w:rPr>
                <w:rFonts w:ascii="宋体" w:hAnsi="宋体"/>
                <w:sz w:val="18"/>
                <w:szCs w:val="18"/>
              </w:rPr>
              <w:t>3</w:t>
            </w:r>
          </w:p>
        </w:tc>
        <w:tc>
          <w:tcPr>
            <w:tcW w:w="900" w:type="dxa"/>
            <w:tcBorders>
              <w:top w:val="single" w:color="auto" w:sz="2" w:space="0"/>
              <w:left w:val="single" w:color="auto" w:sz="2" w:space="0"/>
              <w:bottom w:val="single" w:color="auto" w:sz="2" w:space="0"/>
              <w:right w:val="single" w:color="auto" w:sz="2" w:space="0"/>
            </w:tcBorders>
            <w:noWrap/>
            <w:vAlign w:val="center"/>
          </w:tcPr>
          <w:p>
            <w:pPr>
              <w:adjustRightInd w:val="0"/>
              <w:snapToGrid w:val="0"/>
              <w:spacing w:line="240" w:lineRule="exact"/>
              <w:ind w:left="-105" w:leftChars="-50" w:right="-105" w:rightChars="-50"/>
              <w:jc w:val="center"/>
              <w:rPr>
                <w:rFonts w:ascii="宋体" w:hAnsi="宋体"/>
                <w:sz w:val="18"/>
                <w:szCs w:val="18"/>
              </w:rPr>
            </w:pPr>
            <w:r>
              <w:rPr>
                <w:rFonts w:ascii="宋体" w:hAnsi="宋体"/>
                <w:sz w:val="18"/>
                <w:szCs w:val="18"/>
              </w:rPr>
              <w:t>4</w:t>
            </w:r>
          </w:p>
        </w:tc>
        <w:tc>
          <w:tcPr>
            <w:tcW w:w="900" w:type="dxa"/>
            <w:tcBorders>
              <w:top w:val="single" w:color="auto" w:sz="2" w:space="0"/>
              <w:left w:val="single" w:color="auto" w:sz="2" w:space="0"/>
              <w:bottom w:val="single" w:color="auto" w:sz="2" w:space="0"/>
              <w:right w:val="single" w:color="auto" w:sz="2" w:space="0"/>
            </w:tcBorders>
            <w:noWrap/>
            <w:vAlign w:val="center"/>
          </w:tcPr>
          <w:p>
            <w:pPr>
              <w:adjustRightInd w:val="0"/>
              <w:snapToGrid w:val="0"/>
              <w:spacing w:line="240" w:lineRule="exact"/>
              <w:ind w:left="-105" w:leftChars="-50" w:right="-105" w:rightChars="-50"/>
              <w:jc w:val="center"/>
              <w:rPr>
                <w:rFonts w:ascii="宋体" w:hAnsi="宋体"/>
                <w:sz w:val="18"/>
                <w:szCs w:val="18"/>
              </w:rPr>
            </w:pPr>
            <w:r>
              <w:rPr>
                <w:rFonts w:ascii="宋体" w:hAnsi="宋体"/>
                <w:sz w:val="18"/>
                <w:szCs w:val="18"/>
              </w:rPr>
              <w:t>5</w:t>
            </w:r>
          </w:p>
        </w:tc>
        <w:tc>
          <w:tcPr>
            <w:tcW w:w="720" w:type="dxa"/>
            <w:tcBorders>
              <w:top w:val="single" w:color="auto" w:sz="2" w:space="0"/>
              <w:left w:val="single" w:color="auto" w:sz="2" w:space="0"/>
              <w:bottom w:val="single" w:color="auto" w:sz="2" w:space="0"/>
              <w:right w:val="single" w:color="auto" w:sz="2" w:space="0"/>
            </w:tcBorders>
            <w:noWrap/>
            <w:vAlign w:val="center"/>
          </w:tcPr>
          <w:p>
            <w:pPr>
              <w:adjustRightInd w:val="0"/>
              <w:snapToGrid w:val="0"/>
              <w:spacing w:line="240" w:lineRule="exact"/>
              <w:ind w:left="-105" w:leftChars="-50" w:right="-105" w:rightChars="-50"/>
              <w:jc w:val="center"/>
              <w:rPr>
                <w:rFonts w:ascii="宋体" w:hAnsi="宋体"/>
                <w:sz w:val="18"/>
                <w:szCs w:val="18"/>
              </w:rPr>
            </w:pPr>
            <w:r>
              <w:rPr>
                <w:rFonts w:ascii="宋体" w:hAnsi="宋体"/>
                <w:sz w:val="18"/>
                <w:szCs w:val="18"/>
              </w:rPr>
              <w:t>6</w:t>
            </w:r>
          </w:p>
        </w:tc>
        <w:tc>
          <w:tcPr>
            <w:tcW w:w="720" w:type="dxa"/>
            <w:gridSpan w:val="2"/>
            <w:tcBorders>
              <w:top w:val="single" w:color="auto" w:sz="2" w:space="0"/>
              <w:left w:val="single" w:color="auto" w:sz="2" w:space="0"/>
              <w:bottom w:val="single" w:color="auto" w:sz="2" w:space="0"/>
              <w:right w:val="single" w:color="auto" w:sz="2" w:space="0"/>
            </w:tcBorders>
            <w:noWrap/>
            <w:vAlign w:val="center"/>
          </w:tcPr>
          <w:p>
            <w:pPr>
              <w:adjustRightInd w:val="0"/>
              <w:snapToGrid w:val="0"/>
              <w:spacing w:line="240" w:lineRule="exact"/>
              <w:ind w:left="-105" w:leftChars="-50" w:right="-105" w:rightChars="-50"/>
              <w:jc w:val="center"/>
              <w:rPr>
                <w:rFonts w:ascii="宋体" w:hAnsi="宋体"/>
                <w:sz w:val="18"/>
                <w:szCs w:val="18"/>
              </w:rPr>
            </w:pPr>
            <w:r>
              <w:rPr>
                <w:rFonts w:ascii="宋体" w:hAnsi="宋体"/>
                <w:sz w:val="18"/>
                <w:szCs w:val="18"/>
              </w:rPr>
              <w:t>7</w:t>
            </w:r>
          </w:p>
        </w:tc>
        <w:tc>
          <w:tcPr>
            <w:tcW w:w="720" w:type="dxa"/>
            <w:tcBorders>
              <w:top w:val="single" w:color="auto" w:sz="2" w:space="0"/>
              <w:left w:val="single" w:color="auto" w:sz="2" w:space="0"/>
              <w:bottom w:val="single" w:color="auto" w:sz="2" w:space="0"/>
              <w:right w:val="single" w:color="auto" w:sz="2" w:space="0"/>
            </w:tcBorders>
            <w:noWrap/>
            <w:vAlign w:val="center"/>
          </w:tcPr>
          <w:p>
            <w:pPr>
              <w:adjustRightInd w:val="0"/>
              <w:snapToGrid w:val="0"/>
              <w:spacing w:line="240" w:lineRule="exact"/>
              <w:ind w:left="-105" w:leftChars="-50" w:right="-105" w:rightChars="-50"/>
              <w:jc w:val="center"/>
              <w:rPr>
                <w:rFonts w:ascii="宋体" w:hAnsi="宋体"/>
                <w:sz w:val="18"/>
                <w:szCs w:val="18"/>
              </w:rPr>
            </w:pPr>
            <w:r>
              <w:rPr>
                <w:rFonts w:ascii="宋体" w:hAnsi="宋体"/>
                <w:sz w:val="18"/>
                <w:szCs w:val="18"/>
              </w:rPr>
              <w:t>8</w:t>
            </w:r>
          </w:p>
        </w:tc>
        <w:tc>
          <w:tcPr>
            <w:tcW w:w="720" w:type="dxa"/>
            <w:tcBorders>
              <w:top w:val="single" w:color="auto" w:sz="2" w:space="0"/>
              <w:left w:val="single" w:color="auto" w:sz="2" w:space="0"/>
              <w:bottom w:val="single" w:color="auto" w:sz="2" w:space="0"/>
            </w:tcBorders>
            <w:noWrap/>
            <w:vAlign w:val="center"/>
          </w:tcPr>
          <w:p>
            <w:pPr>
              <w:adjustRightInd w:val="0"/>
              <w:snapToGrid w:val="0"/>
              <w:spacing w:line="240" w:lineRule="exact"/>
              <w:ind w:left="-105" w:leftChars="-50" w:right="-105" w:rightChars="-50"/>
              <w:jc w:val="center"/>
              <w:rPr>
                <w:rFonts w:ascii="宋体" w:hAnsi="宋体"/>
                <w:sz w:val="18"/>
                <w:szCs w:val="18"/>
              </w:rPr>
            </w:pPr>
            <w:r>
              <w:rPr>
                <w:rFonts w:ascii="宋体" w:hAnsi="宋体"/>
                <w:sz w:val="18"/>
                <w:szCs w:val="18"/>
              </w:rPr>
              <w:t>9</w:t>
            </w:r>
          </w:p>
        </w:tc>
      </w:tr>
      <w:tr>
        <w:tblPrEx>
          <w:tblCellMar>
            <w:top w:w="0" w:type="dxa"/>
            <w:left w:w="108" w:type="dxa"/>
            <w:bottom w:w="0" w:type="dxa"/>
            <w:right w:w="108" w:type="dxa"/>
          </w:tblCellMar>
        </w:tblPrEx>
        <w:trPr>
          <w:trHeight w:val="345" w:hRule="atLeast"/>
          <w:jc w:val="center"/>
        </w:trPr>
        <w:tc>
          <w:tcPr>
            <w:tcW w:w="2205" w:type="dxa"/>
            <w:tcBorders>
              <w:top w:val="single" w:color="auto" w:sz="2" w:space="0"/>
              <w:left w:val="nil"/>
              <w:bottom w:val="single" w:color="auto" w:sz="8" w:space="0"/>
              <w:right w:val="single" w:color="auto" w:sz="2" w:space="0"/>
            </w:tcBorders>
            <w:noWrap/>
            <w:vAlign w:val="center"/>
          </w:tcPr>
          <w:p>
            <w:pPr>
              <w:widowControl/>
              <w:ind w:left="-50" w:right="-50"/>
              <w:rPr>
                <w:rFonts w:ascii="宋体" w:hAnsi="宋体" w:cs="宋体"/>
                <w:kern w:val="0"/>
                <w:sz w:val="18"/>
                <w:szCs w:val="18"/>
              </w:rPr>
            </w:pPr>
            <w:r>
              <w:rPr>
                <w:rFonts w:hint="eastAsia" w:ascii="宋体" w:hAnsi="宋体"/>
                <w:sz w:val="18"/>
                <w:szCs w:val="18"/>
              </w:rPr>
              <w:t>填报目录与P303-1表相同</w:t>
            </w:r>
          </w:p>
        </w:tc>
        <w:tc>
          <w:tcPr>
            <w:tcW w:w="7515" w:type="dxa"/>
            <w:gridSpan w:val="13"/>
            <w:tcBorders>
              <w:top w:val="single" w:color="auto" w:sz="2" w:space="0"/>
              <w:left w:val="single" w:color="auto" w:sz="2" w:space="0"/>
              <w:bottom w:val="single" w:color="auto" w:sz="8" w:space="0"/>
            </w:tcBorders>
            <w:noWrap/>
            <w:vAlign w:val="center"/>
          </w:tcPr>
          <w:p>
            <w:pPr>
              <w:widowControl/>
              <w:ind w:left="-50" w:right="-50"/>
              <w:jc w:val="center"/>
              <w:rPr>
                <w:kern w:val="0"/>
                <w:sz w:val="18"/>
                <w:szCs w:val="18"/>
              </w:rPr>
            </w:pPr>
          </w:p>
        </w:tc>
      </w:tr>
    </w:tbl>
    <w:p>
      <w:pPr>
        <w:spacing w:before="96" w:beforeLines="40"/>
        <w:rPr>
          <w:sz w:val="18"/>
          <w:szCs w:val="18"/>
        </w:rPr>
      </w:pPr>
      <w:r>
        <w:rPr>
          <w:rFonts w:hint="eastAsia"/>
          <w:sz w:val="18"/>
          <w:szCs w:val="18"/>
        </w:rPr>
        <w:t>续表一</w:t>
      </w:r>
    </w:p>
    <w:tbl>
      <w:tblPr>
        <w:tblStyle w:val="21"/>
        <w:tblW w:w="0" w:type="auto"/>
        <w:jc w:val="center"/>
        <w:tblBorders>
          <w:top w:val="single" w:color="auto" w:sz="8"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883"/>
        <w:gridCol w:w="884"/>
        <w:gridCol w:w="883"/>
        <w:gridCol w:w="884"/>
        <w:gridCol w:w="884"/>
        <w:gridCol w:w="883"/>
        <w:gridCol w:w="999"/>
        <w:gridCol w:w="769"/>
        <w:gridCol w:w="883"/>
        <w:gridCol w:w="884"/>
        <w:gridCol w:w="884"/>
      </w:tblGrid>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66" w:hRule="atLeast"/>
          <w:jc w:val="center"/>
        </w:trPr>
        <w:tc>
          <w:tcPr>
            <w:tcW w:w="883" w:type="dxa"/>
            <w:tcBorders>
              <w:bottom w:val="single" w:color="auto" w:sz="2" w:space="0"/>
            </w:tcBorders>
            <w:noWrap/>
            <w:vAlign w:val="center"/>
          </w:tcPr>
          <w:p>
            <w:pPr>
              <w:adjustRightInd w:val="0"/>
              <w:snapToGrid w:val="0"/>
              <w:spacing w:line="240" w:lineRule="exact"/>
              <w:jc w:val="center"/>
              <w:rPr>
                <w:rFonts w:ascii="宋体" w:hAnsi="宋体"/>
                <w:sz w:val="18"/>
                <w:szCs w:val="18"/>
              </w:rPr>
            </w:pPr>
            <w:r>
              <w:rPr>
                <w:rFonts w:hint="eastAsia"/>
                <w:sz w:val="18"/>
                <w:szCs w:val="18"/>
              </w:rPr>
              <w:t>煤矸石</w:t>
            </w:r>
          </w:p>
        </w:tc>
        <w:tc>
          <w:tcPr>
            <w:tcW w:w="884"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焦 炭</w:t>
            </w:r>
          </w:p>
        </w:tc>
        <w:tc>
          <w:tcPr>
            <w:tcW w:w="883"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焦 炉</w:t>
            </w:r>
          </w:p>
          <w:p>
            <w:pPr>
              <w:adjustRightInd w:val="0"/>
              <w:snapToGrid w:val="0"/>
              <w:spacing w:line="240" w:lineRule="exact"/>
              <w:jc w:val="center"/>
              <w:rPr>
                <w:sz w:val="18"/>
                <w:szCs w:val="18"/>
              </w:rPr>
            </w:pPr>
            <w:r>
              <w:rPr>
                <w:rFonts w:hint="eastAsia"/>
                <w:sz w:val="18"/>
                <w:szCs w:val="18"/>
              </w:rPr>
              <w:t>煤 气</w:t>
            </w:r>
          </w:p>
        </w:tc>
        <w:tc>
          <w:tcPr>
            <w:tcW w:w="884"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高 炉</w:t>
            </w:r>
          </w:p>
          <w:p>
            <w:pPr>
              <w:adjustRightInd w:val="0"/>
              <w:snapToGrid w:val="0"/>
              <w:spacing w:line="240" w:lineRule="exact"/>
              <w:jc w:val="center"/>
              <w:rPr>
                <w:sz w:val="18"/>
                <w:szCs w:val="18"/>
              </w:rPr>
            </w:pPr>
            <w:r>
              <w:rPr>
                <w:rFonts w:hint="eastAsia"/>
                <w:sz w:val="18"/>
                <w:szCs w:val="18"/>
              </w:rPr>
              <w:t>煤 气</w:t>
            </w:r>
          </w:p>
        </w:tc>
        <w:tc>
          <w:tcPr>
            <w:tcW w:w="884"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转 炉</w:t>
            </w:r>
          </w:p>
          <w:p>
            <w:pPr>
              <w:adjustRightInd w:val="0"/>
              <w:snapToGrid w:val="0"/>
              <w:spacing w:line="240" w:lineRule="exact"/>
              <w:jc w:val="center"/>
              <w:rPr>
                <w:sz w:val="18"/>
                <w:szCs w:val="18"/>
              </w:rPr>
            </w:pPr>
            <w:r>
              <w:rPr>
                <w:rFonts w:hint="eastAsia"/>
                <w:sz w:val="18"/>
                <w:szCs w:val="18"/>
              </w:rPr>
              <w:t>煤 气</w:t>
            </w:r>
          </w:p>
        </w:tc>
        <w:tc>
          <w:tcPr>
            <w:tcW w:w="883"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其 他</w:t>
            </w:r>
          </w:p>
          <w:p>
            <w:pPr>
              <w:adjustRightInd w:val="0"/>
              <w:snapToGrid w:val="0"/>
              <w:spacing w:line="240" w:lineRule="exact"/>
              <w:jc w:val="center"/>
              <w:rPr>
                <w:sz w:val="18"/>
                <w:szCs w:val="18"/>
              </w:rPr>
            </w:pPr>
            <w:r>
              <w:rPr>
                <w:rFonts w:hint="eastAsia"/>
                <w:sz w:val="18"/>
                <w:szCs w:val="18"/>
              </w:rPr>
              <w:t>煤 气</w:t>
            </w:r>
          </w:p>
        </w:tc>
        <w:tc>
          <w:tcPr>
            <w:tcW w:w="999"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其    他　　　　　　　　　焦化产品</w:t>
            </w:r>
          </w:p>
        </w:tc>
        <w:tc>
          <w:tcPr>
            <w:tcW w:w="769"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油 品</w:t>
            </w:r>
          </w:p>
          <w:p>
            <w:pPr>
              <w:adjustRightInd w:val="0"/>
              <w:snapToGrid w:val="0"/>
              <w:spacing w:line="240" w:lineRule="exact"/>
              <w:jc w:val="center"/>
              <w:rPr>
                <w:sz w:val="18"/>
                <w:szCs w:val="18"/>
              </w:rPr>
            </w:pPr>
            <w:r>
              <w:rPr>
                <w:rFonts w:hint="eastAsia"/>
                <w:sz w:val="18"/>
                <w:szCs w:val="18"/>
              </w:rPr>
              <w:t>合 计</w:t>
            </w:r>
          </w:p>
        </w:tc>
        <w:tc>
          <w:tcPr>
            <w:tcW w:w="883"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原 油</w:t>
            </w:r>
          </w:p>
        </w:tc>
        <w:tc>
          <w:tcPr>
            <w:tcW w:w="884"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汽 油</w:t>
            </w:r>
          </w:p>
        </w:tc>
        <w:tc>
          <w:tcPr>
            <w:tcW w:w="884"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煤 油</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83"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10</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11</w:t>
            </w:r>
          </w:p>
        </w:tc>
        <w:tc>
          <w:tcPr>
            <w:tcW w:w="883"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12</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13</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14</w:t>
            </w:r>
          </w:p>
        </w:tc>
        <w:tc>
          <w:tcPr>
            <w:tcW w:w="883"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15</w:t>
            </w:r>
          </w:p>
        </w:tc>
        <w:tc>
          <w:tcPr>
            <w:tcW w:w="999"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16</w:t>
            </w:r>
          </w:p>
        </w:tc>
        <w:tc>
          <w:tcPr>
            <w:tcW w:w="769"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17</w:t>
            </w:r>
          </w:p>
        </w:tc>
        <w:tc>
          <w:tcPr>
            <w:tcW w:w="883"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18</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19</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20</w:t>
            </w:r>
          </w:p>
        </w:tc>
      </w:tr>
    </w:tbl>
    <w:p>
      <w:pPr>
        <w:spacing w:before="96" w:beforeLines="40"/>
        <w:rPr>
          <w:sz w:val="18"/>
          <w:szCs w:val="18"/>
        </w:rPr>
      </w:pPr>
      <w:r>
        <w:rPr>
          <w:rFonts w:hint="eastAsia"/>
          <w:sz w:val="18"/>
          <w:szCs w:val="18"/>
        </w:rPr>
        <w:t>续表二</w:t>
      </w:r>
    </w:p>
    <w:tbl>
      <w:tblPr>
        <w:tblStyle w:val="21"/>
        <w:tblW w:w="9789" w:type="dxa"/>
        <w:jc w:val="center"/>
        <w:tblBorders>
          <w:top w:val="single" w:color="auto" w:sz="8"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1015"/>
        <w:gridCol w:w="884"/>
        <w:gridCol w:w="883"/>
        <w:gridCol w:w="884"/>
        <w:gridCol w:w="884"/>
        <w:gridCol w:w="883"/>
        <w:gridCol w:w="884"/>
        <w:gridCol w:w="742"/>
        <w:gridCol w:w="945"/>
        <w:gridCol w:w="840"/>
        <w:gridCol w:w="945"/>
      </w:tblGrid>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28" w:hRule="atLeast"/>
          <w:jc w:val="center"/>
        </w:trPr>
        <w:tc>
          <w:tcPr>
            <w:tcW w:w="1015" w:type="dxa"/>
            <w:tcBorders>
              <w:bottom w:val="single" w:color="auto" w:sz="2" w:space="0"/>
            </w:tcBorders>
            <w:noWrap/>
            <w:vAlign w:val="center"/>
          </w:tcPr>
          <w:p>
            <w:pPr>
              <w:adjustRightInd w:val="0"/>
              <w:snapToGrid w:val="0"/>
              <w:spacing w:line="240" w:lineRule="exact"/>
              <w:jc w:val="center"/>
              <w:rPr>
                <w:rFonts w:ascii="宋体" w:hAnsi="宋体"/>
                <w:sz w:val="18"/>
                <w:szCs w:val="18"/>
              </w:rPr>
            </w:pPr>
            <w:r>
              <w:rPr>
                <w:rFonts w:hint="eastAsia"/>
                <w:sz w:val="18"/>
                <w:szCs w:val="18"/>
              </w:rPr>
              <w:t>柴 油</w:t>
            </w:r>
          </w:p>
        </w:tc>
        <w:tc>
          <w:tcPr>
            <w:tcW w:w="884"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燃料油</w:t>
            </w:r>
          </w:p>
        </w:tc>
        <w:tc>
          <w:tcPr>
            <w:tcW w:w="883"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石脑油</w:t>
            </w:r>
          </w:p>
        </w:tc>
        <w:tc>
          <w:tcPr>
            <w:tcW w:w="884"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润滑油</w:t>
            </w:r>
          </w:p>
        </w:tc>
        <w:tc>
          <w:tcPr>
            <w:tcW w:w="884"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石 蜡</w:t>
            </w:r>
          </w:p>
        </w:tc>
        <w:tc>
          <w:tcPr>
            <w:tcW w:w="883"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溶剂油</w:t>
            </w:r>
          </w:p>
        </w:tc>
        <w:tc>
          <w:tcPr>
            <w:tcW w:w="884"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石 油</w:t>
            </w:r>
          </w:p>
          <w:p>
            <w:pPr>
              <w:adjustRightInd w:val="0"/>
              <w:snapToGrid w:val="0"/>
              <w:spacing w:line="240" w:lineRule="exact"/>
              <w:jc w:val="center"/>
              <w:rPr>
                <w:sz w:val="18"/>
                <w:szCs w:val="18"/>
              </w:rPr>
            </w:pPr>
            <w:r>
              <w:rPr>
                <w:rFonts w:hint="eastAsia"/>
                <w:sz w:val="18"/>
                <w:szCs w:val="18"/>
              </w:rPr>
              <w:t>沥 青</w:t>
            </w:r>
          </w:p>
        </w:tc>
        <w:tc>
          <w:tcPr>
            <w:tcW w:w="742"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石油焦</w:t>
            </w:r>
          </w:p>
        </w:tc>
        <w:tc>
          <w:tcPr>
            <w:tcW w:w="945"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液  化　石油气</w:t>
            </w:r>
          </w:p>
        </w:tc>
        <w:tc>
          <w:tcPr>
            <w:tcW w:w="840"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炼 厂</w:t>
            </w:r>
          </w:p>
          <w:p>
            <w:pPr>
              <w:adjustRightInd w:val="0"/>
              <w:snapToGrid w:val="0"/>
              <w:spacing w:line="240" w:lineRule="exact"/>
              <w:jc w:val="center"/>
              <w:rPr>
                <w:sz w:val="18"/>
                <w:szCs w:val="18"/>
              </w:rPr>
            </w:pPr>
            <w:r>
              <w:rPr>
                <w:rFonts w:hint="eastAsia"/>
                <w:sz w:val="18"/>
                <w:szCs w:val="18"/>
              </w:rPr>
              <w:t>干 气</w:t>
            </w:r>
          </w:p>
        </w:tc>
        <w:tc>
          <w:tcPr>
            <w:tcW w:w="945"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其　　他　　　　　　　　　　　　　石油制品</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015"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21</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22</w:t>
            </w:r>
          </w:p>
        </w:tc>
        <w:tc>
          <w:tcPr>
            <w:tcW w:w="883"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23</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24</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25</w:t>
            </w:r>
          </w:p>
        </w:tc>
        <w:tc>
          <w:tcPr>
            <w:tcW w:w="883"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26</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27</w:t>
            </w:r>
          </w:p>
        </w:tc>
        <w:tc>
          <w:tcPr>
            <w:tcW w:w="742"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28</w:t>
            </w:r>
          </w:p>
        </w:tc>
        <w:tc>
          <w:tcPr>
            <w:tcW w:w="945"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29</w:t>
            </w:r>
          </w:p>
        </w:tc>
        <w:tc>
          <w:tcPr>
            <w:tcW w:w="840"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30</w:t>
            </w:r>
          </w:p>
        </w:tc>
        <w:tc>
          <w:tcPr>
            <w:tcW w:w="945"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31</w:t>
            </w:r>
          </w:p>
        </w:tc>
      </w:tr>
    </w:tbl>
    <w:p>
      <w:pPr>
        <w:spacing w:before="96" w:beforeLines="40"/>
        <w:rPr>
          <w:sz w:val="18"/>
          <w:szCs w:val="18"/>
        </w:rPr>
      </w:pPr>
      <w:r>
        <w:rPr>
          <w:rFonts w:hint="eastAsia"/>
          <w:sz w:val="18"/>
          <w:szCs w:val="18"/>
        </w:rPr>
        <w:t>续表三</w:t>
      </w:r>
    </w:p>
    <w:tbl>
      <w:tblPr>
        <w:tblStyle w:val="21"/>
        <w:tblW w:w="9720" w:type="dxa"/>
        <w:jc w:val="center"/>
        <w:tblBorders>
          <w:top w:val="single" w:color="auto" w:sz="8"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883"/>
        <w:gridCol w:w="884"/>
        <w:gridCol w:w="838"/>
        <w:gridCol w:w="980"/>
        <w:gridCol w:w="833"/>
        <w:gridCol w:w="883"/>
        <w:gridCol w:w="884"/>
        <w:gridCol w:w="884"/>
        <w:gridCol w:w="883"/>
        <w:gridCol w:w="884"/>
        <w:gridCol w:w="884"/>
      </w:tblGrid>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40" w:hRule="atLeast"/>
          <w:jc w:val="center"/>
        </w:trPr>
        <w:tc>
          <w:tcPr>
            <w:tcW w:w="883" w:type="dxa"/>
            <w:vMerge w:val="restart"/>
            <w:noWrap/>
            <w:vAlign w:val="center"/>
          </w:tcPr>
          <w:p>
            <w:pPr>
              <w:adjustRightInd w:val="0"/>
              <w:snapToGrid w:val="0"/>
              <w:spacing w:line="240" w:lineRule="exact"/>
              <w:jc w:val="center"/>
              <w:rPr>
                <w:rFonts w:ascii="宋体" w:hAnsi="宋体"/>
                <w:sz w:val="18"/>
                <w:szCs w:val="18"/>
              </w:rPr>
            </w:pPr>
            <w:r>
              <w:rPr>
                <w:rFonts w:hint="eastAsia"/>
                <w:sz w:val="18"/>
                <w:szCs w:val="18"/>
              </w:rPr>
              <w:t>天然气</w:t>
            </w:r>
          </w:p>
        </w:tc>
        <w:tc>
          <w:tcPr>
            <w:tcW w:w="884" w:type="dxa"/>
            <w:vMerge w:val="restart"/>
            <w:noWrap/>
            <w:vAlign w:val="center"/>
          </w:tcPr>
          <w:p>
            <w:pPr>
              <w:adjustRightInd w:val="0"/>
              <w:snapToGrid w:val="0"/>
              <w:spacing w:line="240" w:lineRule="exact"/>
              <w:jc w:val="center"/>
              <w:rPr>
                <w:sz w:val="18"/>
                <w:szCs w:val="18"/>
              </w:rPr>
            </w:pPr>
            <w:r>
              <w:rPr>
                <w:rFonts w:hint="eastAsia"/>
                <w:sz w:val="18"/>
                <w:szCs w:val="18"/>
              </w:rPr>
              <w:t>液  化     天然气</w:t>
            </w:r>
          </w:p>
        </w:tc>
        <w:tc>
          <w:tcPr>
            <w:tcW w:w="838" w:type="dxa"/>
            <w:vMerge w:val="restart"/>
            <w:noWrap/>
            <w:vAlign w:val="center"/>
          </w:tcPr>
          <w:p>
            <w:pPr>
              <w:adjustRightInd w:val="0"/>
              <w:snapToGrid w:val="0"/>
              <w:spacing w:line="240" w:lineRule="exact"/>
              <w:jc w:val="center"/>
              <w:rPr>
                <w:rFonts w:hint="default"/>
                <w:color w:val="auto"/>
                <w:sz w:val="18"/>
                <w:szCs w:val="18"/>
                <w:lang w:val="en-US"/>
              </w:rPr>
            </w:pPr>
            <w:r>
              <w:rPr>
                <w:rFonts w:hint="eastAsia"/>
                <w:color w:val="auto"/>
                <w:sz w:val="18"/>
                <w:szCs w:val="18"/>
                <w:lang w:eastAsia="zh-CN"/>
              </w:rPr>
              <w:t>氢</w:t>
            </w:r>
            <w:r>
              <w:rPr>
                <w:rFonts w:hint="eastAsia"/>
                <w:color w:val="auto"/>
                <w:sz w:val="18"/>
                <w:szCs w:val="18"/>
                <w:lang w:val="en-US" w:eastAsia="zh-CN"/>
              </w:rPr>
              <w:t xml:space="preserve">  气</w:t>
            </w:r>
          </w:p>
        </w:tc>
        <w:tc>
          <w:tcPr>
            <w:tcW w:w="980" w:type="dxa"/>
            <w:vMerge w:val="restart"/>
            <w:noWrap/>
            <w:vAlign w:val="center"/>
          </w:tcPr>
          <w:p>
            <w:pPr>
              <w:adjustRightInd w:val="0"/>
              <w:snapToGrid w:val="0"/>
              <w:spacing w:line="240" w:lineRule="exact"/>
              <w:jc w:val="center"/>
              <w:rPr>
                <w:sz w:val="18"/>
                <w:szCs w:val="18"/>
              </w:rPr>
            </w:pPr>
            <w:r>
              <w:rPr>
                <w:rFonts w:hint="eastAsia"/>
                <w:sz w:val="18"/>
                <w:szCs w:val="18"/>
              </w:rPr>
              <w:t>秸秆薪柴</w:t>
            </w:r>
          </w:p>
        </w:tc>
        <w:tc>
          <w:tcPr>
            <w:tcW w:w="833" w:type="dxa"/>
            <w:vMerge w:val="restart"/>
            <w:noWrap/>
            <w:vAlign w:val="center"/>
          </w:tcPr>
          <w:p>
            <w:pPr>
              <w:adjustRightInd w:val="0"/>
              <w:snapToGrid w:val="0"/>
              <w:spacing w:line="240" w:lineRule="exact"/>
              <w:jc w:val="center"/>
              <w:rPr>
                <w:sz w:val="18"/>
                <w:szCs w:val="18"/>
              </w:rPr>
            </w:pPr>
            <w:r>
              <w:rPr>
                <w:rFonts w:hint="eastAsia"/>
                <w:sz w:val="18"/>
                <w:szCs w:val="18"/>
              </w:rPr>
              <w:t>沼 气</w:t>
            </w:r>
          </w:p>
        </w:tc>
        <w:tc>
          <w:tcPr>
            <w:tcW w:w="883" w:type="dxa"/>
            <w:vMerge w:val="restart"/>
            <w:noWrap/>
            <w:vAlign w:val="center"/>
          </w:tcPr>
          <w:p>
            <w:pPr>
              <w:adjustRightInd w:val="0"/>
              <w:snapToGrid w:val="0"/>
              <w:spacing w:line="240" w:lineRule="exact"/>
              <w:jc w:val="center"/>
              <w:rPr>
                <w:sz w:val="18"/>
                <w:szCs w:val="18"/>
              </w:rPr>
            </w:pPr>
            <w:r>
              <w:rPr>
                <w:rFonts w:hint="eastAsia"/>
                <w:sz w:val="18"/>
                <w:szCs w:val="18"/>
              </w:rPr>
              <w:t>热 力</w:t>
            </w:r>
          </w:p>
        </w:tc>
        <w:tc>
          <w:tcPr>
            <w:tcW w:w="1768" w:type="dxa"/>
            <w:gridSpan w:val="2"/>
            <w:noWrap/>
            <w:vAlign w:val="center"/>
          </w:tcPr>
          <w:p>
            <w:pPr>
              <w:adjustRightInd w:val="0"/>
              <w:snapToGrid w:val="0"/>
              <w:spacing w:line="240" w:lineRule="exact"/>
              <w:jc w:val="center"/>
              <w:rPr>
                <w:sz w:val="18"/>
                <w:szCs w:val="18"/>
              </w:rPr>
            </w:pPr>
            <w:r>
              <w:rPr>
                <w:rFonts w:hint="eastAsia"/>
                <w:sz w:val="18"/>
                <w:szCs w:val="18"/>
              </w:rPr>
              <w:t>电力合计</w:t>
            </w:r>
          </w:p>
        </w:tc>
        <w:tc>
          <w:tcPr>
            <w:tcW w:w="883" w:type="dxa"/>
            <w:vMerge w:val="restart"/>
            <w:noWrap/>
            <w:vAlign w:val="center"/>
          </w:tcPr>
          <w:p>
            <w:pPr>
              <w:adjustRightInd w:val="0"/>
              <w:snapToGrid w:val="0"/>
              <w:spacing w:line="240" w:lineRule="exact"/>
              <w:jc w:val="center"/>
              <w:rPr>
                <w:sz w:val="18"/>
                <w:szCs w:val="18"/>
              </w:rPr>
            </w:pPr>
            <w:r>
              <w:rPr>
                <w:rFonts w:hint="eastAsia"/>
                <w:sz w:val="18"/>
                <w:szCs w:val="18"/>
              </w:rPr>
              <w:t>其 他　　　　　　　　　　能 源</w:t>
            </w:r>
          </w:p>
        </w:tc>
        <w:tc>
          <w:tcPr>
            <w:tcW w:w="1768" w:type="dxa"/>
            <w:gridSpan w:val="2"/>
            <w:noWrap/>
            <w:vAlign w:val="center"/>
          </w:tcPr>
          <w:p>
            <w:pPr>
              <w:adjustRightInd w:val="0"/>
              <w:snapToGrid w:val="0"/>
              <w:spacing w:line="240" w:lineRule="exact"/>
              <w:jc w:val="center"/>
              <w:rPr>
                <w:sz w:val="18"/>
                <w:szCs w:val="18"/>
              </w:rPr>
            </w:pPr>
            <w:r>
              <w:rPr>
                <w:rFonts w:hint="eastAsia"/>
                <w:sz w:val="18"/>
                <w:szCs w:val="18"/>
              </w:rPr>
              <w:t>合  计</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40" w:hRule="atLeast"/>
          <w:jc w:val="center"/>
        </w:trPr>
        <w:tc>
          <w:tcPr>
            <w:tcW w:w="883" w:type="dxa"/>
            <w:vMerge w:val="continue"/>
            <w:tcBorders>
              <w:bottom w:val="single" w:color="auto" w:sz="2" w:space="0"/>
            </w:tcBorders>
            <w:noWrap/>
            <w:vAlign w:val="center"/>
          </w:tcPr>
          <w:p>
            <w:pPr>
              <w:adjustRightInd w:val="0"/>
              <w:snapToGrid w:val="0"/>
              <w:spacing w:line="240" w:lineRule="exact"/>
              <w:jc w:val="center"/>
              <w:rPr>
                <w:sz w:val="18"/>
                <w:szCs w:val="18"/>
              </w:rPr>
            </w:pPr>
          </w:p>
        </w:tc>
        <w:tc>
          <w:tcPr>
            <w:tcW w:w="884" w:type="dxa"/>
            <w:vMerge w:val="continue"/>
            <w:tcBorders>
              <w:bottom w:val="single" w:color="auto" w:sz="2" w:space="0"/>
            </w:tcBorders>
            <w:noWrap/>
            <w:vAlign w:val="center"/>
          </w:tcPr>
          <w:p>
            <w:pPr>
              <w:adjustRightInd w:val="0"/>
              <w:snapToGrid w:val="0"/>
              <w:spacing w:line="240" w:lineRule="exact"/>
              <w:jc w:val="center"/>
              <w:rPr>
                <w:sz w:val="18"/>
                <w:szCs w:val="18"/>
              </w:rPr>
            </w:pPr>
          </w:p>
        </w:tc>
        <w:tc>
          <w:tcPr>
            <w:tcW w:w="838" w:type="dxa"/>
            <w:vMerge w:val="continue"/>
            <w:tcBorders>
              <w:bottom w:val="single" w:color="auto" w:sz="2" w:space="0"/>
            </w:tcBorders>
            <w:noWrap/>
            <w:vAlign w:val="center"/>
          </w:tcPr>
          <w:p>
            <w:pPr>
              <w:adjustRightInd w:val="0"/>
              <w:snapToGrid w:val="0"/>
              <w:spacing w:line="240" w:lineRule="exact"/>
              <w:jc w:val="center"/>
              <w:rPr>
                <w:sz w:val="18"/>
                <w:szCs w:val="18"/>
              </w:rPr>
            </w:pPr>
          </w:p>
        </w:tc>
        <w:tc>
          <w:tcPr>
            <w:tcW w:w="980" w:type="dxa"/>
            <w:vMerge w:val="continue"/>
            <w:tcBorders>
              <w:bottom w:val="single" w:color="auto" w:sz="2" w:space="0"/>
            </w:tcBorders>
            <w:noWrap/>
            <w:vAlign w:val="center"/>
          </w:tcPr>
          <w:p>
            <w:pPr>
              <w:adjustRightInd w:val="0"/>
              <w:snapToGrid w:val="0"/>
              <w:spacing w:line="240" w:lineRule="exact"/>
              <w:jc w:val="center"/>
              <w:rPr>
                <w:sz w:val="18"/>
                <w:szCs w:val="18"/>
              </w:rPr>
            </w:pPr>
          </w:p>
        </w:tc>
        <w:tc>
          <w:tcPr>
            <w:tcW w:w="833" w:type="dxa"/>
            <w:vMerge w:val="continue"/>
            <w:tcBorders>
              <w:bottom w:val="single" w:color="auto" w:sz="2" w:space="0"/>
            </w:tcBorders>
            <w:noWrap/>
            <w:vAlign w:val="center"/>
          </w:tcPr>
          <w:p>
            <w:pPr>
              <w:adjustRightInd w:val="0"/>
              <w:snapToGrid w:val="0"/>
              <w:spacing w:line="240" w:lineRule="exact"/>
              <w:jc w:val="center"/>
              <w:rPr>
                <w:sz w:val="18"/>
                <w:szCs w:val="18"/>
              </w:rPr>
            </w:pPr>
          </w:p>
        </w:tc>
        <w:tc>
          <w:tcPr>
            <w:tcW w:w="883" w:type="dxa"/>
            <w:vMerge w:val="continue"/>
            <w:tcBorders>
              <w:bottom w:val="single" w:color="auto" w:sz="2" w:space="0"/>
            </w:tcBorders>
            <w:noWrap/>
            <w:vAlign w:val="center"/>
          </w:tcPr>
          <w:p>
            <w:pPr>
              <w:adjustRightInd w:val="0"/>
              <w:snapToGrid w:val="0"/>
              <w:spacing w:line="240" w:lineRule="exact"/>
              <w:jc w:val="center"/>
              <w:rPr>
                <w:sz w:val="18"/>
                <w:szCs w:val="18"/>
              </w:rPr>
            </w:pPr>
          </w:p>
        </w:tc>
        <w:tc>
          <w:tcPr>
            <w:tcW w:w="884"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当量值</w:t>
            </w:r>
          </w:p>
        </w:tc>
        <w:tc>
          <w:tcPr>
            <w:tcW w:w="884" w:type="dxa"/>
            <w:tcBorders>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等价值</w:t>
            </w:r>
          </w:p>
        </w:tc>
        <w:tc>
          <w:tcPr>
            <w:tcW w:w="883" w:type="dxa"/>
            <w:vMerge w:val="continue"/>
            <w:tcBorders>
              <w:bottom w:val="single" w:color="auto" w:sz="2" w:space="0"/>
            </w:tcBorders>
            <w:noWrap/>
            <w:vAlign w:val="center"/>
          </w:tcPr>
          <w:p>
            <w:pPr>
              <w:adjustRightInd w:val="0"/>
              <w:snapToGrid w:val="0"/>
              <w:spacing w:line="240" w:lineRule="exact"/>
              <w:jc w:val="center"/>
              <w:rPr>
                <w:sz w:val="18"/>
                <w:szCs w:val="18"/>
              </w:rPr>
            </w:pPr>
          </w:p>
        </w:tc>
        <w:tc>
          <w:tcPr>
            <w:tcW w:w="884" w:type="dxa"/>
            <w:tcBorders>
              <w:bottom w:val="single" w:color="auto" w:sz="2" w:space="0"/>
              <w:right w:val="single" w:color="auto" w:sz="4" w:space="0"/>
            </w:tcBorders>
            <w:noWrap/>
            <w:vAlign w:val="center"/>
          </w:tcPr>
          <w:p>
            <w:pPr>
              <w:adjustRightInd w:val="0"/>
              <w:snapToGrid w:val="0"/>
              <w:spacing w:line="240" w:lineRule="exact"/>
              <w:jc w:val="center"/>
              <w:rPr>
                <w:sz w:val="18"/>
                <w:szCs w:val="18"/>
              </w:rPr>
            </w:pPr>
            <w:r>
              <w:rPr>
                <w:rFonts w:hint="eastAsia"/>
                <w:sz w:val="18"/>
                <w:szCs w:val="18"/>
              </w:rPr>
              <w:t>当量值</w:t>
            </w:r>
          </w:p>
        </w:tc>
        <w:tc>
          <w:tcPr>
            <w:tcW w:w="884" w:type="dxa"/>
            <w:tcBorders>
              <w:left w:val="single" w:color="auto" w:sz="4" w:space="0"/>
              <w:bottom w:val="single" w:color="auto" w:sz="2" w:space="0"/>
            </w:tcBorders>
            <w:noWrap/>
            <w:vAlign w:val="center"/>
          </w:tcPr>
          <w:p>
            <w:pPr>
              <w:adjustRightInd w:val="0"/>
              <w:snapToGrid w:val="0"/>
              <w:spacing w:line="240" w:lineRule="exact"/>
              <w:jc w:val="center"/>
              <w:rPr>
                <w:sz w:val="18"/>
                <w:szCs w:val="18"/>
              </w:rPr>
            </w:pPr>
            <w:r>
              <w:rPr>
                <w:rFonts w:hint="eastAsia"/>
                <w:sz w:val="18"/>
                <w:szCs w:val="18"/>
              </w:rPr>
              <w:t>等价值</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83" w:type="dxa"/>
            <w:tcBorders>
              <w:top w:val="single" w:color="auto" w:sz="2" w:space="0"/>
              <w:bottom w:val="single" w:color="auto" w:sz="8"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32</w:t>
            </w:r>
          </w:p>
        </w:tc>
        <w:tc>
          <w:tcPr>
            <w:tcW w:w="884" w:type="dxa"/>
            <w:tcBorders>
              <w:top w:val="single" w:color="auto" w:sz="2" w:space="0"/>
              <w:bottom w:val="single" w:color="auto" w:sz="8"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33</w:t>
            </w:r>
          </w:p>
        </w:tc>
        <w:tc>
          <w:tcPr>
            <w:tcW w:w="838" w:type="dxa"/>
            <w:tcBorders>
              <w:top w:val="single" w:color="auto" w:sz="2" w:space="0"/>
              <w:bottom w:val="single" w:color="auto" w:sz="8"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34</w:t>
            </w:r>
          </w:p>
        </w:tc>
        <w:tc>
          <w:tcPr>
            <w:tcW w:w="980" w:type="dxa"/>
            <w:tcBorders>
              <w:top w:val="single" w:color="auto" w:sz="2" w:space="0"/>
              <w:bottom w:val="single" w:color="auto" w:sz="8"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35</w:t>
            </w:r>
          </w:p>
        </w:tc>
        <w:tc>
          <w:tcPr>
            <w:tcW w:w="833" w:type="dxa"/>
            <w:tcBorders>
              <w:top w:val="single" w:color="auto" w:sz="2" w:space="0"/>
              <w:bottom w:val="single" w:color="auto" w:sz="8"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36</w:t>
            </w:r>
          </w:p>
        </w:tc>
        <w:tc>
          <w:tcPr>
            <w:tcW w:w="883" w:type="dxa"/>
            <w:tcBorders>
              <w:top w:val="single" w:color="auto" w:sz="2" w:space="0"/>
              <w:bottom w:val="single" w:color="auto" w:sz="8"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37</w:t>
            </w:r>
          </w:p>
        </w:tc>
        <w:tc>
          <w:tcPr>
            <w:tcW w:w="884" w:type="dxa"/>
            <w:tcBorders>
              <w:top w:val="single" w:color="auto" w:sz="2" w:space="0"/>
              <w:bottom w:val="single" w:color="auto" w:sz="8"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38</w:t>
            </w:r>
          </w:p>
        </w:tc>
        <w:tc>
          <w:tcPr>
            <w:tcW w:w="884" w:type="dxa"/>
            <w:tcBorders>
              <w:top w:val="single" w:color="auto" w:sz="2" w:space="0"/>
              <w:bottom w:val="single" w:color="auto" w:sz="8"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39</w:t>
            </w:r>
          </w:p>
        </w:tc>
        <w:tc>
          <w:tcPr>
            <w:tcW w:w="883" w:type="dxa"/>
            <w:tcBorders>
              <w:top w:val="single" w:color="auto" w:sz="2" w:space="0"/>
              <w:bottom w:val="single" w:color="auto" w:sz="8"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40</w:t>
            </w:r>
          </w:p>
        </w:tc>
        <w:tc>
          <w:tcPr>
            <w:tcW w:w="884" w:type="dxa"/>
            <w:tcBorders>
              <w:top w:val="single" w:color="auto" w:sz="2" w:space="0"/>
              <w:bottom w:val="single" w:color="auto" w:sz="8"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41</w:t>
            </w:r>
          </w:p>
        </w:tc>
        <w:tc>
          <w:tcPr>
            <w:tcW w:w="884" w:type="dxa"/>
            <w:tcBorders>
              <w:top w:val="single" w:color="auto" w:sz="2" w:space="0"/>
              <w:bottom w:val="single" w:color="auto" w:sz="8"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42</w:t>
            </w:r>
          </w:p>
        </w:tc>
      </w:tr>
    </w:tbl>
    <w:p>
      <w:pPr>
        <w:spacing w:before="48" w:beforeLines="20"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w:t>
      </w:r>
      <w:r>
        <w:rPr>
          <w:rFonts w:hint="eastAsia" w:asciiTheme="minorEastAsia" w:hAnsiTheme="minorEastAsia" w:eastAsiaTheme="minorEastAsia" w:cstheme="minorEastAsia"/>
          <w:kern w:val="0"/>
          <w:sz w:val="18"/>
          <w:szCs w:val="18"/>
        </w:rPr>
        <w:t>位负责人：         统计负责人：         填表人：         联系电话：         报出日期：２０    年  月  日</w:t>
      </w:r>
    </w:p>
    <w:p>
      <w:pPr>
        <w:spacing w:line="260" w:lineRule="exact"/>
        <w:ind w:right="-40"/>
        <w:rPr>
          <w:rFonts w:asciiTheme="minorEastAsia" w:hAnsiTheme="minorEastAsia" w:eastAsiaTheme="minorEastAsia" w:cstheme="minorEastAsia"/>
          <w:sz w:val="18"/>
        </w:rPr>
      </w:pPr>
    </w:p>
    <w:p>
      <w:pPr>
        <w:spacing w:line="260" w:lineRule="exact"/>
        <w:ind w:left="723" w:right="-40" w:hanging="722" w:hangingChars="400"/>
        <w:rPr>
          <w:rFonts w:asciiTheme="minorEastAsia" w:hAnsiTheme="minorEastAsia" w:eastAsiaTheme="minorEastAsia" w:cstheme="minorEastAsia"/>
          <w:sz w:val="18"/>
        </w:rPr>
      </w:pPr>
      <w:r>
        <w:rPr>
          <w:rFonts w:hint="eastAsia" w:asciiTheme="minorEastAsia" w:hAnsiTheme="minorEastAsia" w:eastAsiaTheme="minorEastAsia" w:cstheme="minorEastAsia"/>
          <w:b/>
          <w:sz w:val="18"/>
        </w:rPr>
        <w:t>说明</w:t>
      </w:r>
      <w:r>
        <w:rPr>
          <w:rFonts w:hint="eastAsia" w:asciiTheme="minorEastAsia" w:hAnsiTheme="minorEastAsia" w:eastAsiaTheme="minorEastAsia" w:cstheme="minorEastAsia"/>
          <w:sz w:val="18"/>
        </w:rPr>
        <w:t>：1.本表由P303-1表乘以折标准煤系数生成，由各区统计机构负责报送。</w:t>
      </w:r>
      <w:r>
        <w:rPr>
          <w:rFonts w:hint="eastAsia" w:asciiTheme="minorEastAsia" w:hAnsiTheme="minorEastAsia" w:eastAsiaTheme="minorEastAsia" w:cstheme="minorEastAsia"/>
          <w:sz w:val="18"/>
          <w:szCs w:val="18"/>
        </w:rPr>
        <w:t>报送时间为次年5月30日前，报送方式为电子邮件</w:t>
      </w:r>
      <w:r>
        <w:rPr>
          <w:rFonts w:hint="eastAsia" w:asciiTheme="minorEastAsia" w:hAnsiTheme="minorEastAsia" w:eastAsiaTheme="minorEastAsia" w:cstheme="minorEastAsia"/>
          <w:sz w:val="18"/>
        </w:rPr>
        <w:t>（gzstjjnyc@gz.gov.cn）</w:t>
      </w:r>
      <w:r>
        <w:rPr>
          <w:rFonts w:hint="eastAsia" w:asciiTheme="minorEastAsia" w:hAnsiTheme="minorEastAsia" w:eastAsiaTheme="minorEastAsia" w:cstheme="minorEastAsia"/>
          <w:sz w:val="18"/>
          <w:szCs w:val="18"/>
        </w:rPr>
        <w:t>。</w:t>
      </w:r>
    </w:p>
    <w:p>
      <w:pPr>
        <w:spacing w:line="260" w:lineRule="exact"/>
        <w:ind w:right="-40" w:firstLine="540"/>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2.平衡关系：</w:t>
      </w:r>
    </w:p>
    <w:p>
      <w:pPr>
        <w:spacing w:line="260" w:lineRule="exact"/>
        <w:ind w:right="-40" w:firstLine="720" w:firstLineChars="4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列平衡关系：(1)合计当量值(41)=1+10+……+17+32+……+37+38+40</w:t>
      </w:r>
    </w:p>
    <w:p>
      <w:pPr>
        <w:spacing w:line="260" w:lineRule="exact"/>
        <w:ind w:right="-40" w:firstLine="720" w:firstLineChars="4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(2)合计等价值(42)=1+10+……+17+32+……+37+39+40</w:t>
      </w:r>
    </w:p>
    <w:p>
      <w:pPr>
        <w:spacing w:line="260" w:lineRule="exact"/>
        <w:ind w:left="2042" w:leftChars="340" w:right="-40" w:hanging="1328" w:hangingChars="738"/>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行平衡关系：(1)40行第1列至第40列的消费量合计=加工转换的投入量(加工转换部分的全部负值求和后取绝对值)+损失量(23)+终端消费量(25)</w:t>
      </w:r>
    </w:p>
    <w:p>
      <w:pPr>
        <w:spacing w:line="260" w:lineRule="exact"/>
        <w:ind w:right="-40" w:firstLine="1800" w:firstLineChars="10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(2)40行第41列和第42列的消费量合计=加工转换投入产出(-11)+损失量(23)+终端消费量(25)</w:t>
      </w:r>
    </w:p>
    <w:p>
      <w:pPr>
        <w:ind w:left="539" w:right="-40"/>
        <w:jc w:val="center"/>
        <w:rPr>
          <w:rFonts w:ascii="宋体" w:hAnsi="宋体"/>
          <w:sz w:val="18"/>
        </w:rPr>
      </w:pPr>
      <w:r>
        <w:rPr>
          <w:rFonts w:ascii="宋体" w:hAnsi="宋体"/>
          <w:sz w:val="18"/>
        </w:rPr>
        <w:br w:type="page"/>
      </w:r>
    </w:p>
    <w:p>
      <w:pPr>
        <w:ind w:left="539" w:right="-40"/>
        <w:jc w:val="center"/>
        <w:rPr>
          <w:rFonts w:ascii="宋体" w:hAnsi="宋体"/>
          <w:b/>
          <w:sz w:val="32"/>
          <w:szCs w:val="32"/>
        </w:rPr>
      </w:pPr>
      <w:r>
        <w:rPr>
          <w:rFonts w:hint="eastAsia" w:ascii="宋体" w:hAnsi="宋体"/>
          <w:b/>
          <w:spacing w:val="-4"/>
          <w:sz w:val="32"/>
          <w:szCs w:val="32"/>
        </w:rPr>
        <w:t>分行业终端能源消费量(标准量)</w:t>
      </w:r>
    </w:p>
    <w:tbl>
      <w:tblPr>
        <w:tblStyle w:val="21"/>
        <w:tblW w:w="9721" w:type="dxa"/>
        <w:jc w:val="center"/>
        <w:tblLayout w:type="autofit"/>
        <w:tblCellMar>
          <w:top w:w="0" w:type="dxa"/>
          <w:left w:w="0" w:type="dxa"/>
          <w:bottom w:w="0" w:type="dxa"/>
          <w:right w:w="0" w:type="dxa"/>
        </w:tblCellMar>
      </w:tblPr>
      <w:tblGrid>
        <w:gridCol w:w="1909"/>
        <w:gridCol w:w="891"/>
        <w:gridCol w:w="700"/>
        <w:gridCol w:w="463"/>
        <w:gridCol w:w="237"/>
        <w:gridCol w:w="603"/>
        <w:gridCol w:w="237"/>
        <w:gridCol w:w="840"/>
        <w:gridCol w:w="840"/>
        <w:gridCol w:w="256"/>
        <w:gridCol w:w="584"/>
        <w:gridCol w:w="241"/>
        <w:gridCol w:w="479"/>
        <w:gridCol w:w="720"/>
        <w:gridCol w:w="721"/>
      </w:tblGrid>
      <w:tr>
        <w:tblPrEx>
          <w:tblCellMar>
            <w:top w:w="0" w:type="dxa"/>
            <w:left w:w="0" w:type="dxa"/>
            <w:bottom w:w="0" w:type="dxa"/>
            <w:right w:w="0" w:type="dxa"/>
          </w:tblCellMar>
        </w:tblPrEx>
        <w:trPr>
          <w:jc w:val="center"/>
        </w:trPr>
        <w:tc>
          <w:tcPr>
            <w:tcW w:w="3963" w:type="dxa"/>
            <w:gridSpan w:val="4"/>
          </w:tcPr>
          <w:p>
            <w:pPr>
              <w:spacing w:line="260" w:lineRule="exact"/>
              <w:rPr>
                <w:sz w:val="18"/>
                <w:szCs w:val="18"/>
              </w:rPr>
            </w:pPr>
          </w:p>
        </w:tc>
        <w:tc>
          <w:tcPr>
            <w:tcW w:w="840" w:type="dxa"/>
            <w:gridSpan w:val="2"/>
          </w:tcPr>
          <w:p>
            <w:pPr>
              <w:spacing w:line="260" w:lineRule="exact"/>
              <w:rPr>
                <w:sz w:val="18"/>
                <w:szCs w:val="18"/>
              </w:rPr>
            </w:pPr>
          </w:p>
        </w:tc>
        <w:tc>
          <w:tcPr>
            <w:tcW w:w="2173" w:type="dxa"/>
            <w:gridSpan w:val="4"/>
          </w:tcPr>
          <w:p>
            <w:pPr>
              <w:spacing w:line="260" w:lineRule="exact"/>
              <w:rPr>
                <w:sz w:val="18"/>
                <w:szCs w:val="18"/>
              </w:rPr>
            </w:pPr>
            <w:r>
              <w:rPr>
                <w:sz w:val="18"/>
                <w:szCs w:val="18"/>
              </w:rPr>
              <w:t>　　　　　　　　　　　　　</w:t>
            </w:r>
          </w:p>
        </w:tc>
        <w:tc>
          <w:tcPr>
            <w:tcW w:w="825" w:type="dxa"/>
            <w:gridSpan w:val="2"/>
            <w:tcMar>
              <w:left w:w="0" w:type="dxa"/>
              <w:right w:w="0" w:type="dxa"/>
            </w:tcMar>
          </w:tcPr>
          <w:p>
            <w:pPr>
              <w:spacing w:line="260" w:lineRule="exact"/>
              <w:rPr>
                <w:sz w:val="18"/>
                <w:szCs w:val="18"/>
              </w:rPr>
            </w:pPr>
            <w:r>
              <w:rPr>
                <w:sz w:val="18"/>
                <w:szCs w:val="18"/>
              </w:rPr>
              <w:t>表    号：</w:t>
            </w:r>
          </w:p>
        </w:tc>
        <w:tc>
          <w:tcPr>
            <w:tcW w:w="1920" w:type="dxa"/>
            <w:gridSpan w:val="3"/>
            <w:vAlign w:val="center"/>
          </w:tcPr>
          <w:p>
            <w:pPr>
              <w:spacing w:line="260" w:lineRule="exact"/>
              <w:jc w:val="distribute"/>
              <w:rPr>
                <w:sz w:val="18"/>
                <w:szCs w:val="18"/>
              </w:rPr>
            </w:pPr>
            <w:r>
              <w:rPr>
                <w:sz w:val="18"/>
                <w:szCs w:val="18"/>
              </w:rPr>
              <w:t>Ｐ３０３－</w:t>
            </w:r>
            <w:r>
              <w:rPr>
                <w:rFonts w:hint="eastAsia"/>
                <w:sz w:val="18"/>
                <w:szCs w:val="18"/>
              </w:rPr>
              <w:t>５</w:t>
            </w:r>
            <w:r>
              <w:rPr>
                <w:sz w:val="18"/>
                <w:szCs w:val="18"/>
              </w:rPr>
              <w:t>表</w:t>
            </w:r>
          </w:p>
        </w:tc>
      </w:tr>
      <w:tr>
        <w:tblPrEx>
          <w:tblCellMar>
            <w:top w:w="0" w:type="dxa"/>
            <w:left w:w="0" w:type="dxa"/>
            <w:bottom w:w="0" w:type="dxa"/>
            <w:right w:w="0" w:type="dxa"/>
          </w:tblCellMar>
        </w:tblPrEx>
        <w:trPr>
          <w:jc w:val="center"/>
        </w:trPr>
        <w:tc>
          <w:tcPr>
            <w:tcW w:w="3963" w:type="dxa"/>
            <w:gridSpan w:val="4"/>
          </w:tcPr>
          <w:p>
            <w:pPr>
              <w:spacing w:line="260" w:lineRule="exact"/>
              <w:rPr>
                <w:sz w:val="18"/>
                <w:szCs w:val="18"/>
              </w:rPr>
            </w:pPr>
          </w:p>
        </w:tc>
        <w:tc>
          <w:tcPr>
            <w:tcW w:w="840" w:type="dxa"/>
            <w:gridSpan w:val="2"/>
          </w:tcPr>
          <w:p>
            <w:pPr>
              <w:spacing w:line="260" w:lineRule="exact"/>
              <w:rPr>
                <w:sz w:val="18"/>
                <w:szCs w:val="18"/>
              </w:rPr>
            </w:pPr>
          </w:p>
        </w:tc>
        <w:tc>
          <w:tcPr>
            <w:tcW w:w="2173" w:type="dxa"/>
            <w:gridSpan w:val="4"/>
          </w:tcPr>
          <w:p>
            <w:pPr>
              <w:spacing w:line="260" w:lineRule="exact"/>
              <w:rPr>
                <w:sz w:val="18"/>
                <w:szCs w:val="18"/>
              </w:rPr>
            </w:pPr>
          </w:p>
        </w:tc>
        <w:tc>
          <w:tcPr>
            <w:tcW w:w="825" w:type="dxa"/>
            <w:gridSpan w:val="2"/>
            <w:tcMar>
              <w:left w:w="0" w:type="dxa"/>
              <w:right w:w="0" w:type="dxa"/>
            </w:tcMar>
            <w:vAlign w:val="center"/>
          </w:tcPr>
          <w:p>
            <w:pPr>
              <w:spacing w:line="260" w:lineRule="exact"/>
              <w:rPr>
                <w:sz w:val="18"/>
                <w:szCs w:val="18"/>
              </w:rPr>
            </w:pPr>
            <w:r>
              <w:rPr>
                <w:sz w:val="18"/>
                <w:szCs w:val="18"/>
              </w:rPr>
              <w:t>制定机关：</w:t>
            </w:r>
          </w:p>
        </w:tc>
        <w:tc>
          <w:tcPr>
            <w:tcW w:w="1920" w:type="dxa"/>
            <w:gridSpan w:val="3"/>
            <w:vAlign w:val="center"/>
          </w:tcPr>
          <w:p>
            <w:pPr>
              <w:spacing w:line="260" w:lineRule="exact"/>
              <w:jc w:val="distribute"/>
              <w:rPr>
                <w:sz w:val="18"/>
                <w:szCs w:val="18"/>
              </w:rPr>
            </w:pPr>
            <w:r>
              <w:rPr>
                <w:sz w:val="18"/>
                <w:szCs w:val="18"/>
              </w:rPr>
              <w:t>国 家 统 计 局</w:t>
            </w:r>
          </w:p>
        </w:tc>
      </w:tr>
      <w:tr>
        <w:tblPrEx>
          <w:tblCellMar>
            <w:top w:w="0" w:type="dxa"/>
            <w:left w:w="0" w:type="dxa"/>
            <w:bottom w:w="0" w:type="dxa"/>
            <w:right w:w="0" w:type="dxa"/>
          </w:tblCellMar>
        </w:tblPrEx>
        <w:trPr>
          <w:jc w:val="center"/>
        </w:trPr>
        <w:tc>
          <w:tcPr>
            <w:tcW w:w="3963" w:type="dxa"/>
            <w:gridSpan w:val="4"/>
          </w:tcPr>
          <w:p>
            <w:pPr>
              <w:spacing w:line="260" w:lineRule="exact"/>
              <w:jc w:val="left"/>
              <w:rPr>
                <w:sz w:val="18"/>
                <w:szCs w:val="18"/>
              </w:rPr>
            </w:pPr>
          </w:p>
        </w:tc>
        <w:tc>
          <w:tcPr>
            <w:tcW w:w="840" w:type="dxa"/>
            <w:gridSpan w:val="2"/>
          </w:tcPr>
          <w:p>
            <w:pPr>
              <w:spacing w:line="260" w:lineRule="exact"/>
              <w:rPr>
                <w:sz w:val="18"/>
                <w:szCs w:val="18"/>
              </w:rPr>
            </w:pPr>
          </w:p>
        </w:tc>
        <w:tc>
          <w:tcPr>
            <w:tcW w:w="2173" w:type="dxa"/>
            <w:gridSpan w:val="4"/>
          </w:tcPr>
          <w:p>
            <w:pPr>
              <w:spacing w:line="260" w:lineRule="exact"/>
              <w:rPr>
                <w:sz w:val="18"/>
                <w:szCs w:val="18"/>
              </w:rPr>
            </w:pPr>
          </w:p>
        </w:tc>
        <w:tc>
          <w:tcPr>
            <w:tcW w:w="825" w:type="dxa"/>
            <w:gridSpan w:val="2"/>
            <w:tcMar>
              <w:left w:w="0" w:type="dxa"/>
              <w:right w:w="0" w:type="dxa"/>
            </w:tcMar>
            <w:vAlign w:val="center"/>
          </w:tcPr>
          <w:p>
            <w:pPr>
              <w:spacing w:line="260" w:lineRule="exact"/>
              <w:rPr>
                <w:sz w:val="18"/>
                <w:szCs w:val="18"/>
              </w:rPr>
            </w:pPr>
            <w:r>
              <w:rPr>
                <w:sz w:val="18"/>
                <w:szCs w:val="18"/>
              </w:rPr>
              <w:t>文    号：</w:t>
            </w:r>
          </w:p>
        </w:tc>
        <w:tc>
          <w:tcPr>
            <w:tcW w:w="1920" w:type="dxa"/>
            <w:gridSpan w:val="3"/>
            <w:vAlign w:val="center"/>
          </w:tcPr>
          <w:p>
            <w:pPr>
              <w:spacing w:line="260" w:lineRule="exact"/>
              <w:jc w:val="distribute"/>
              <w:rPr>
                <w:color w:val="auto"/>
                <w:sz w:val="18"/>
                <w:szCs w:val="18"/>
              </w:rPr>
            </w:pPr>
            <w:r>
              <w:rPr>
                <w:rFonts w:hint="eastAsia" w:ascii="宋体" w:hAnsi="宋体"/>
                <w:color w:val="auto"/>
                <w:sz w:val="18"/>
                <w:szCs w:val="18"/>
              </w:rPr>
              <w:t>国统字〔202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color w:val="auto"/>
                <w:spacing w:val="-16"/>
                <w:sz w:val="18"/>
                <w:szCs w:val="18"/>
              </w:rPr>
              <w:t>号</w:t>
            </w:r>
          </w:p>
        </w:tc>
      </w:tr>
      <w:tr>
        <w:tblPrEx>
          <w:tblCellMar>
            <w:top w:w="0" w:type="dxa"/>
            <w:left w:w="0" w:type="dxa"/>
            <w:bottom w:w="0" w:type="dxa"/>
            <w:right w:w="0" w:type="dxa"/>
          </w:tblCellMar>
        </w:tblPrEx>
        <w:trPr>
          <w:jc w:val="center"/>
        </w:trPr>
        <w:tc>
          <w:tcPr>
            <w:tcW w:w="3963" w:type="dxa"/>
            <w:gridSpan w:val="4"/>
          </w:tcPr>
          <w:p>
            <w:pPr>
              <w:spacing w:line="260" w:lineRule="exact"/>
              <w:rPr>
                <w:sz w:val="18"/>
                <w:szCs w:val="18"/>
              </w:rPr>
            </w:pPr>
            <w:r>
              <w:rPr>
                <w:sz w:val="18"/>
                <w:szCs w:val="18"/>
              </w:rPr>
              <w:t>综合机关名称：</w:t>
            </w:r>
          </w:p>
        </w:tc>
        <w:tc>
          <w:tcPr>
            <w:tcW w:w="3013" w:type="dxa"/>
            <w:gridSpan w:val="6"/>
          </w:tcPr>
          <w:p>
            <w:pPr>
              <w:spacing w:line="260" w:lineRule="exact"/>
              <w:ind w:firstLine="360" w:firstLineChars="200"/>
              <w:rPr>
                <w:sz w:val="18"/>
                <w:szCs w:val="18"/>
              </w:rPr>
            </w:pPr>
            <w:r>
              <w:rPr>
                <w:sz w:val="18"/>
                <w:szCs w:val="18"/>
              </w:rPr>
              <w:t>２０　　年　　　　　　　　　</w:t>
            </w:r>
          </w:p>
        </w:tc>
        <w:tc>
          <w:tcPr>
            <w:tcW w:w="825" w:type="dxa"/>
            <w:gridSpan w:val="2"/>
            <w:tcMar>
              <w:left w:w="0" w:type="dxa"/>
              <w:right w:w="0" w:type="dxa"/>
            </w:tcMar>
            <w:vAlign w:val="center"/>
          </w:tcPr>
          <w:p>
            <w:pPr>
              <w:spacing w:line="260" w:lineRule="exact"/>
              <w:rPr>
                <w:sz w:val="18"/>
                <w:szCs w:val="18"/>
              </w:rPr>
            </w:pPr>
            <w:r>
              <w:rPr>
                <w:sz w:val="18"/>
                <w:szCs w:val="18"/>
              </w:rPr>
              <w:t>有效期至：</w:t>
            </w:r>
          </w:p>
        </w:tc>
        <w:tc>
          <w:tcPr>
            <w:tcW w:w="1920" w:type="dxa"/>
            <w:gridSpan w:val="3"/>
            <w:vAlign w:val="center"/>
          </w:tcPr>
          <w:p>
            <w:pPr>
              <w:spacing w:line="260" w:lineRule="exact"/>
              <w:jc w:val="distribute"/>
              <w:rPr>
                <w:color w:val="auto"/>
                <w:sz w:val="18"/>
                <w:szCs w:val="18"/>
              </w:rPr>
            </w:pPr>
            <w:r>
              <w:rPr>
                <w:color w:val="auto"/>
                <w:sz w:val="18"/>
                <w:szCs w:val="18"/>
              </w:rPr>
              <w:t>２０２</w:t>
            </w:r>
            <w:r>
              <w:rPr>
                <w:rFonts w:hint="eastAsia" w:ascii="宋体" w:hAnsi="宋体" w:cs="宋体"/>
                <w:color w:val="auto"/>
                <w:sz w:val="18"/>
                <w:szCs w:val="18"/>
                <w:lang w:val="en-US" w:eastAsia="zh-CN"/>
              </w:rPr>
              <w:t>6</w:t>
            </w:r>
            <w:r>
              <w:rPr>
                <w:color w:val="auto"/>
                <w:sz w:val="18"/>
                <w:szCs w:val="18"/>
              </w:rPr>
              <w:t>年６月</w:t>
            </w:r>
          </w:p>
        </w:tc>
      </w:tr>
      <w:tr>
        <w:tblPrEx>
          <w:tblCellMar>
            <w:top w:w="0" w:type="dxa"/>
            <w:left w:w="108" w:type="dxa"/>
            <w:bottom w:w="0" w:type="dxa"/>
            <w:right w:w="108" w:type="dxa"/>
          </w:tblCellMar>
        </w:tblPrEx>
        <w:trPr>
          <w:trHeight w:val="189" w:hRule="atLeast"/>
          <w:jc w:val="center"/>
        </w:trPr>
        <w:tc>
          <w:tcPr>
            <w:tcW w:w="1909" w:type="dxa"/>
            <w:vMerge w:val="restart"/>
            <w:tcBorders>
              <w:top w:val="single" w:color="auto" w:sz="8" w:space="0"/>
              <w:bottom w:val="single" w:color="auto" w:sz="2" w:space="0"/>
              <w:right w:val="single" w:color="auto" w:sz="2" w:space="0"/>
            </w:tcBorders>
            <w:noWrap/>
            <w:vAlign w:val="center"/>
          </w:tcPr>
          <w:p>
            <w:pPr>
              <w:widowControl/>
              <w:ind w:left="-105" w:leftChars="-50" w:right="-105" w:rightChars="-50"/>
              <w:jc w:val="center"/>
              <w:rPr>
                <w:rFonts w:ascii="宋体" w:hAnsi="宋体" w:cs="宋体"/>
                <w:kern w:val="0"/>
                <w:sz w:val="18"/>
                <w:szCs w:val="18"/>
              </w:rPr>
            </w:pPr>
            <w:r>
              <w:rPr>
                <w:rFonts w:hint="eastAsia" w:ascii="宋体" w:hAnsi="宋体" w:cs="宋体"/>
                <w:kern w:val="0"/>
                <w:sz w:val="18"/>
                <w:szCs w:val="18"/>
              </w:rPr>
              <w:t>指标名称</w:t>
            </w:r>
          </w:p>
        </w:tc>
        <w:tc>
          <w:tcPr>
            <w:tcW w:w="891" w:type="dxa"/>
            <w:vMerge w:val="restart"/>
            <w:tcBorders>
              <w:top w:val="single" w:color="auto" w:sz="8" w:space="0"/>
              <w:left w:val="single" w:color="auto" w:sz="2" w:space="0"/>
              <w:bottom w:val="single" w:color="auto" w:sz="2" w:space="0"/>
              <w:right w:val="single" w:color="auto" w:sz="2" w:space="0"/>
            </w:tcBorders>
            <w:noWrap/>
            <w:vAlign w:val="center"/>
          </w:tcPr>
          <w:p>
            <w:pPr>
              <w:widowControl/>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代码</w:t>
            </w:r>
          </w:p>
        </w:tc>
        <w:tc>
          <w:tcPr>
            <w:tcW w:w="700" w:type="dxa"/>
            <w:vMerge w:val="restart"/>
            <w:tcBorders>
              <w:top w:val="single" w:color="auto" w:sz="8" w:space="0"/>
              <w:left w:val="single" w:color="auto" w:sz="2" w:space="0"/>
              <w:bottom w:val="single" w:color="auto" w:sz="2" w:space="0"/>
              <w:right w:val="single" w:color="auto" w:sz="2" w:space="0"/>
            </w:tcBorders>
            <w:noWrap/>
            <w:vAlign w:val="center"/>
          </w:tcPr>
          <w:p>
            <w:pPr>
              <w:widowControl/>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煤合计</w:t>
            </w:r>
          </w:p>
        </w:tc>
        <w:tc>
          <w:tcPr>
            <w:tcW w:w="700" w:type="dxa"/>
            <w:gridSpan w:val="2"/>
            <w:vMerge w:val="restart"/>
            <w:tcBorders>
              <w:top w:val="single" w:color="auto" w:sz="8" w:space="0"/>
              <w:left w:val="single" w:color="auto" w:sz="2" w:space="0"/>
              <w:bottom w:val="single" w:color="auto" w:sz="2" w:space="0"/>
            </w:tcBorders>
            <w:noWrap/>
            <w:vAlign w:val="center"/>
          </w:tcPr>
          <w:p>
            <w:pPr>
              <w:widowControl/>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原 煤</w:t>
            </w:r>
          </w:p>
        </w:tc>
        <w:tc>
          <w:tcPr>
            <w:tcW w:w="3360" w:type="dxa"/>
            <w:gridSpan w:val="6"/>
            <w:tcBorders>
              <w:top w:val="single" w:color="auto" w:sz="8" w:space="0"/>
              <w:bottom w:val="single" w:color="auto" w:sz="2" w:space="0"/>
              <w:right w:val="single" w:color="auto" w:sz="2" w:space="0"/>
            </w:tcBorders>
            <w:noWrap/>
            <w:vAlign w:val="center"/>
          </w:tcPr>
          <w:p>
            <w:pPr>
              <w:widowControl/>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　</w:t>
            </w:r>
          </w:p>
        </w:tc>
        <w:tc>
          <w:tcPr>
            <w:tcW w:w="720" w:type="dxa"/>
            <w:gridSpan w:val="2"/>
            <w:vMerge w:val="restart"/>
            <w:tcBorders>
              <w:top w:val="single" w:color="auto" w:sz="8" w:space="0"/>
              <w:left w:val="single" w:color="auto" w:sz="2" w:space="0"/>
              <w:bottom w:val="single" w:color="auto" w:sz="2" w:space="0"/>
              <w:right w:val="single" w:color="auto" w:sz="2" w:space="0"/>
            </w:tcBorders>
            <w:noWrap/>
            <w:vAlign w:val="center"/>
          </w:tcPr>
          <w:p>
            <w:pPr>
              <w:widowControl/>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洗精煤</w:t>
            </w:r>
          </w:p>
        </w:tc>
        <w:tc>
          <w:tcPr>
            <w:tcW w:w="720" w:type="dxa"/>
            <w:vMerge w:val="restart"/>
            <w:tcBorders>
              <w:top w:val="single" w:color="auto" w:sz="8" w:space="0"/>
              <w:left w:val="single" w:color="auto" w:sz="2" w:space="0"/>
              <w:bottom w:val="single" w:color="auto" w:sz="2" w:space="0"/>
              <w:right w:val="single" w:color="auto" w:sz="2" w:space="0"/>
            </w:tcBorders>
            <w:noWrap/>
            <w:vAlign w:val="center"/>
          </w:tcPr>
          <w:p>
            <w:pPr>
              <w:widowControl/>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其 他　　　　洗 煤</w:t>
            </w:r>
          </w:p>
        </w:tc>
        <w:tc>
          <w:tcPr>
            <w:tcW w:w="720" w:type="dxa"/>
            <w:vMerge w:val="restart"/>
            <w:tcBorders>
              <w:top w:val="single" w:color="auto" w:sz="8" w:space="0"/>
              <w:left w:val="single" w:color="auto" w:sz="2" w:space="0"/>
              <w:bottom w:val="single" w:color="auto" w:sz="2" w:space="0"/>
            </w:tcBorders>
            <w:noWrap/>
            <w:vAlign w:val="center"/>
          </w:tcPr>
          <w:p>
            <w:pPr>
              <w:widowControl/>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煤制品</w:t>
            </w:r>
          </w:p>
        </w:tc>
      </w:tr>
      <w:tr>
        <w:tblPrEx>
          <w:tblCellMar>
            <w:top w:w="0" w:type="dxa"/>
            <w:left w:w="108" w:type="dxa"/>
            <w:bottom w:w="0" w:type="dxa"/>
            <w:right w:w="108" w:type="dxa"/>
          </w:tblCellMar>
        </w:tblPrEx>
        <w:trPr>
          <w:trHeight w:val="158" w:hRule="atLeast"/>
          <w:jc w:val="center"/>
        </w:trPr>
        <w:tc>
          <w:tcPr>
            <w:tcW w:w="1909" w:type="dxa"/>
            <w:vMerge w:val="continue"/>
            <w:tcBorders>
              <w:top w:val="single" w:color="auto" w:sz="2" w:space="0"/>
              <w:bottom w:val="single" w:color="auto" w:sz="2" w:space="0"/>
              <w:right w:val="single" w:color="auto" w:sz="2" w:space="0"/>
            </w:tcBorders>
            <w:noWrap/>
            <w:vAlign w:val="center"/>
          </w:tcPr>
          <w:p>
            <w:pPr>
              <w:widowControl/>
              <w:ind w:left="-105" w:leftChars="-50" w:right="-105" w:rightChars="-50"/>
              <w:jc w:val="left"/>
              <w:rPr>
                <w:rFonts w:ascii="宋体" w:hAnsi="宋体" w:cs="宋体"/>
                <w:kern w:val="0"/>
                <w:sz w:val="18"/>
                <w:szCs w:val="18"/>
              </w:rPr>
            </w:pPr>
          </w:p>
        </w:tc>
        <w:tc>
          <w:tcPr>
            <w:tcW w:w="891" w:type="dxa"/>
            <w:vMerge w:val="continue"/>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jc w:val="left"/>
              <w:rPr>
                <w:rFonts w:ascii="宋体" w:hAnsi="宋体" w:cs="宋体"/>
                <w:bCs/>
                <w:kern w:val="0"/>
                <w:sz w:val="18"/>
                <w:szCs w:val="18"/>
              </w:rPr>
            </w:pPr>
          </w:p>
        </w:tc>
        <w:tc>
          <w:tcPr>
            <w:tcW w:w="700" w:type="dxa"/>
            <w:vMerge w:val="continue"/>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rPr>
                <w:rFonts w:ascii="宋体" w:hAnsi="宋体" w:cs="宋体"/>
                <w:bCs/>
                <w:kern w:val="0"/>
                <w:sz w:val="18"/>
                <w:szCs w:val="18"/>
              </w:rPr>
            </w:pPr>
          </w:p>
        </w:tc>
        <w:tc>
          <w:tcPr>
            <w:tcW w:w="700" w:type="dxa"/>
            <w:gridSpan w:val="2"/>
            <w:vMerge w:val="continue"/>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jc w:val="left"/>
              <w:rPr>
                <w:rFonts w:ascii="宋体" w:hAnsi="宋体" w:cs="宋体"/>
                <w:bCs/>
                <w:kern w:val="0"/>
                <w:sz w:val="18"/>
                <w:szCs w:val="18"/>
              </w:rPr>
            </w:pPr>
          </w:p>
        </w:tc>
        <w:tc>
          <w:tcPr>
            <w:tcW w:w="840" w:type="dxa"/>
            <w:gridSpan w:val="2"/>
            <w:vMerge w:val="restart"/>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无烟煤</w:t>
            </w:r>
          </w:p>
        </w:tc>
        <w:tc>
          <w:tcPr>
            <w:tcW w:w="1680" w:type="dxa"/>
            <w:gridSpan w:val="2"/>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烟  煤</w:t>
            </w:r>
          </w:p>
        </w:tc>
        <w:tc>
          <w:tcPr>
            <w:tcW w:w="840" w:type="dxa"/>
            <w:gridSpan w:val="2"/>
            <w:vMerge w:val="restart"/>
            <w:tcBorders>
              <w:top w:val="single" w:color="auto" w:sz="2" w:space="0"/>
              <w:left w:val="single" w:color="auto" w:sz="2" w:space="0"/>
              <w:bottom w:val="single" w:color="auto" w:sz="2" w:space="0"/>
              <w:right w:val="single" w:color="auto" w:sz="2" w:space="0"/>
            </w:tcBorders>
            <w:noWrap/>
            <w:vAlign w:val="center"/>
          </w:tcPr>
          <w:p>
            <w:pPr>
              <w:widowControl/>
              <w:ind w:left="-107" w:leftChars="-51" w:right="-105" w:rightChars="-50" w:firstLine="1" w:firstLineChars="1"/>
              <w:jc w:val="center"/>
              <w:rPr>
                <w:rFonts w:ascii="宋体" w:hAnsi="宋体" w:cs="宋体"/>
                <w:bCs/>
                <w:kern w:val="0"/>
                <w:sz w:val="18"/>
                <w:szCs w:val="18"/>
              </w:rPr>
            </w:pPr>
            <w:r>
              <w:rPr>
                <w:rFonts w:hint="eastAsia" w:ascii="宋体" w:hAnsi="宋体" w:cs="宋体"/>
                <w:bCs/>
                <w:kern w:val="0"/>
                <w:sz w:val="18"/>
                <w:szCs w:val="18"/>
              </w:rPr>
              <w:t>褐 煤</w:t>
            </w:r>
          </w:p>
        </w:tc>
        <w:tc>
          <w:tcPr>
            <w:tcW w:w="720" w:type="dxa"/>
            <w:gridSpan w:val="2"/>
            <w:vMerge w:val="continue"/>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jc w:val="left"/>
              <w:rPr>
                <w:rFonts w:ascii="宋体" w:hAnsi="宋体" w:cs="宋体"/>
                <w:bCs/>
                <w:kern w:val="0"/>
                <w:sz w:val="18"/>
                <w:szCs w:val="18"/>
              </w:rPr>
            </w:pPr>
          </w:p>
        </w:tc>
        <w:tc>
          <w:tcPr>
            <w:tcW w:w="720" w:type="dxa"/>
            <w:vMerge w:val="continue"/>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jc w:val="left"/>
              <w:rPr>
                <w:rFonts w:ascii="宋体" w:hAnsi="宋体" w:cs="宋体"/>
                <w:bCs/>
                <w:kern w:val="0"/>
                <w:sz w:val="18"/>
                <w:szCs w:val="18"/>
              </w:rPr>
            </w:pPr>
          </w:p>
        </w:tc>
        <w:tc>
          <w:tcPr>
            <w:tcW w:w="720" w:type="dxa"/>
            <w:vMerge w:val="continue"/>
            <w:tcBorders>
              <w:top w:val="single" w:color="auto" w:sz="2" w:space="0"/>
              <w:left w:val="single" w:color="auto" w:sz="2" w:space="0"/>
              <w:bottom w:val="single" w:color="auto" w:sz="2" w:space="0"/>
            </w:tcBorders>
            <w:noWrap/>
            <w:vAlign w:val="center"/>
          </w:tcPr>
          <w:p>
            <w:pPr>
              <w:widowControl/>
              <w:ind w:left="-105" w:leftChars="-50" w:right="-105" w:rightChars="-50"/>
              <w:jc w:val="left"/>
              <w:rPr>
                <w:rFonts w:ascii="宋体" w:hAnsi="宋体" w:cs="宋体"/>
                <w:bCs/>
                <w:kern w:val="0"/>
                <w:sz w:val="18"/>
                <w:szCs w:val="18"/>
              </w:rPr>
            </w:pPr>
          </w:p>
        </w:tc>
      </w:tr>
      <w:tr>
        <w:tblPrEx>
          <w:tblCellMar>
            <w:top w:w="0" w:type="dxa"/>
            <w:left w:w="108" w:type="dxa"/>
            <w:bottom w:w="0" w:type="dxa"/>
            <w:right w:w="108" w:type="dxa"/>
          </w:tblCellMar>
        </w:tblPrEx>
        <w:trPr>
          <w:trHeight w:val="157" w:hRule="atLeast"/>
          <w:jc w:val="center"/>
        </w:trPr>
        <w:tc>
          <w:tcPr>
            <w:tcW w:w="1909" w:type="dxa"/>
            <w:vMerge w:val="continue"/>
            <w:tcBorders>
              <w:top w:val="single" w:color="auto" w:sz="2" w:space="0"/>
              <w:bottom w:val="single" w:color="auto" w:sz="2" w:space="0"/>
              <w:right w:val="single" w:color="auto" w:sz="2" w:space="0"/>
            </w:tcBorders>
            <w:noWrap/>
            <w:vAlign w:val="center"/>
          </w:tcPr>
          <w:p>
            <w:pPr>
              <w:widowControl/>
              <w:ind w:left="-105" w:leftChars="-50" w:right="-105" w:rightChars="-50"/>
              <w:jc w:val="left"/>
              <w:rPr>
                <w:rFonts w:ascii="宋体" w:hAnsi="宋体" w:cs="宋体"/>
                <w:kern w:val="0"/>
                <w:sz w:val="18"/>
                <w:szCs w:val="18"/>
              </w:rPr>
            </w:pPr>
          </w:p>
        </w:tc>
        <w:tc>
          <w:tcPr>
            <w:tcW w:w="891" w:type="dxa"/>
            <w:vMerge w:val="continue"/>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jc w:val="left"/>
              <w:rPr>
                <w:rFonts w:ascii="宋体" w:hAnsi="宋体" w:cs="宋体"/>
                <w:bCs/>
                <w:kern w:val="0"/>
                <w:sz w:val="18"/>
                <w:szCs w:val="18"/>
              </w:rPr>
            </w:pPr>
          </w:p>
        </w:tc>
        <w:tc>
          <w:tcPr>
            <w:tcW w:w="700" w:type="dxa"/>
            <w:vMerge w:val="continue"/>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rPr>
                <w:rFonts w:ascii="宋体" w:hAnsi="宋体" w:cs="宋体"/>
                <w:bCs/>
                <w:kern w:val="0"/>
                <w:sz w:val="18"/>
                <w:szCs w:val="18"/>
              </w:rPr>
            </w:pPr>
          </w:p>
        </w:tc>
        <w:tc>
          <w:tcPr>
            <w:tcW w:w="700" w:type="dxa"/>
            <w:gridSpan w:val="2"/>
            <w:vMerge w:val="continue"/>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jc w:val="left"/>
              <w:rPr>
                <w:rFonts w:ascii="宋体" w:hAnsi="宋体" w:cs="宋体"/>
                <w:bCs/>
                <w:kern w:val="0"/>
                <w:sz w:val="18"/>
                <w:szCs w:val="18"/>
              </w:rPr>
            </w:pPr>
          </w:p>
        </w:tc>
        <w:tc>
          <w:tcPr>
            <w:tcW w:w="840" w:type="dxa"/>
            <w:gridSpan w:val="2"/>
            <w:vMerge w:val="continue"/>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jc w:val="center"/>
              <w:rPr>
                <w:rFonts w:ascii="宋体" w:hAnsi="宋体" w:cs="宋体"/>
                <w:bCs/>
                <w:kern w:val="0"/>
                <w:sz w:val="18"/>
                <w:szCs w:val="18"/>
              </w:rPr>
            </w:pPr>
          </w:p>
        </w:tc>
        <w:tc>
          <w:tcPr>
            <w:tcW w:w="840" w:type="dxa"/>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炼焦烟煤</w:t>
            </w:r>
          </w:p>
        </w:tc>
        <w:tc>
          <w:tcPr>
            <w:tcW w:w="840" w:type="dxa"/>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jc w:val="center"/>
              <w:rPr>
                <w:rFonts w:ascii="宋体" w:hAnsi="宋体" w:cs="宋体"/>
                <w:bCs/>
                <w:kern w:val="0"/>
                <w:sz w:val="18"/>
                <w:szCs w:val="18"/>
              </w:rPr>
            </w:pPr>
            <w:r>
              <w:rPr>
                <w:rFonts w:hint="eastAsia" w:ascii="宋体" w:hAnsi="宋体" w:cs="宋体"/>
                <w:bCs/>
                <w:kern w:val="0"/>
                <w:sz w:val="18"/>
                <w:szCs w:val="18"/>
              </w:rPr>
              <w:t>一般烟煤</w:t>
            </w:r>
          </w:p>
        </w:tc>
        <w:tc>
          <w:tcPr>
            <w:tcW w:w="840" w:type="dxa"/>
            <w:gridSpan w:val="2"/>
            <w:vMerge w:val="continue"/>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jc w:val="center"/>
              <w:rPr>
                <w:rFonts w:ascii="宋体" w:hAnsi="宋体" w:cs="宋体"/>
                <w:bCs/>
                <w:kern w:val="0"/>
                <w:sz w:val="18"/>
                <w:szCs w:val="18"/>
              </w:rPr>
            </w:pPr>
          </w:p>
        </w:tc>
        <w:tc>
          <w:tcPr>
            <w:tcW w:w="720" w:type="dxa"/>
            <w:gridSpan w:val="2"/>
            <w:vMerge w:val="continue"/>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jc w:val="left"/>
              <w:rPr>
                <w:rFonts w:ascii="宋体" w:hAnsi="宋体" w:cs="宋体"/>
                <w:bCs/>
                <w:kern w:val="0"/>
                <w:sz w:val="18"/>
                <w:szCs w:val="18"/>
              </w:rPr>
            </w:pPr>
          </w:p>
        </w:tc>
        <w:tc>
          <w:tcPr>
            <w:tcW w:w="720" w:type="dxa"/>
            <w:vMerge w:val="continue"/>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jc w:val="left"/>
              <w:rPr>
                <w:rFonts w:ascii="宋体" w:hAnsi="宋体" w:cs="宋体"/>
                <w:bCs/>
                <w:kern w:val="0"/>
                <w:sz w:val="18"/>
                <w:szCs w:val="18"/>
              </w:rPr>
            </w:pPr>
          </w:p>
        </w:tc>
        <w:tc>
          <w:tcPr>
            <w:tcW w:w="720" w:type="dxa"/>
            <w:vMerge w:val="continue"/>
            <w:tcBorders>
              <w:top w:val="single" w:color="auto" w:sz="2" w:space="0"/>
              <w:left w:val="single" w:color="auto" w:sz="2" w:space="0"/>
              <w:bottom w:val="single" w:color="auto" w:sz="2" w:space="0"/>
            </w:tcBorders>
            <w:noWrap/>
            <w:vAlign w:val="center"/>
          </w:tcPr>
          <w:p>
            <w:pPr>
              <w:widowControl/>
              <w:ind w:left="-105" w:leftChars="-50" w:right="-105" w:rightChars="-50"/>
              <w:jc w:val="left"/>
              <w:rPr>
                <w:rFonts w:ascii="宋体" w:hAnsi="宋体" w:cs="宋体"/>
                <w:bCs/>
                <w:kern w:val="0"/>
                <w:sz w:val="18"/>
                <w:szCs w:val="18"/>
              </w:rPr>
            </w:pPr>
          </w:p>
        </w:tc>
      </w:tr>
      <w:tr>
        <w:tblPrEx>
          <w:tblCellMar>
            <w:top w:w="0" w:type="dxa"/>
            <w:left w:w="108" w:type="dxa"/>
            <w:bottom w:w="0" w:type="dxa"/>
            <w:right w:w="108" w:type="dxa"/>
          </w:tblCellMar>
        </w:tblPrEx>
        <w:trPr>
          <w:trHeight w:val="259" w:hRule="atLeast"/>
          <w:jc w:val="center"/>
        </w:trPr>
        <w:tc>
          <w:tcPr>
            <w:tcW w:w="1909" w:type="dxa"/>
            <w:tcBorders>
              <w:top w:val="single" w:color="auto" w:sz="2" w:space="0"/>
              <w:left w:val="nil"/>
              <w:bottom w:val="single" w:color="auto" w:sz="2" w:space="0"/>
              <w:right w:val="single" w:color="auto" w:sz="2" w:space="0"/>
            </w:tcBorders>
            <w:noWrap/>
            <w:vAlign w:val="center"/>
          </w:tcPr>
          <w:p>
            <w:pPr>
              <w:widowControl/>
              <w:ind w:left="-105" w:leftChars="-50" w:right="-105" w:rightChars="-50"/>
              <w:jc w:val="center"/>
              <w:rPr>
                <w:rFonts w:ascii="宋体" w:hAnsi="宋体" w:cs="宋体"/>
                <w:kern w:val="0"/>
                <w:sz w:val="18"/>
                <w:szCs w:val="18"/>
              </w:rPr>
            </w:pPr>
            <w:r>
              <w:rPr>
                <w:rFonts w:hint="eastAsia" w:ascii="宋体" w:hAnsi="宋体" w:cs="宋体"/>
                <w:kern w:val="0"/>
                <w:sz w:val="18"/>
                <w:szCs w:val="18"/>
              </w:rPr>
              <w:t>甲</w:t>
            </w:r>
          </w:p>
        </w:tc>
        <w:tc>
          <w:tcPr>
            <w:tcW w:w="891" w:type="dxa"/>
            <w:tcBorders>
              <w:top w:val="single" w:color="auto" w:sz="2" w:space="0"/>
              <w:left w:val="single" w:color="auto" w:sz="2" w:space="0"/>
              <w:bottom w:val="single" w:color="auto" w:sz="2" w:space="0"/>
              <w:right w:val="single" w:color="auto" w:sz="2" w:space="0"/>
            </w:tcBorders>
            <w:noWrap/>
            <w:vAlign w:val="center"/>
          </w:tcPr>
          <w:p>
            <w:pPr>
              <w:widowControl/>
              <w:ind w:left="-105" w:leftChars="-50" w:right="-105" w:rightChars="-50"/>
              <w:jc w:val="center"/>
              <w:rPr>
                <w:rFonts w:ascii="宋体" w:hAnsi="宋体" w:cs="宋体"/>
                <w:kern w:val="0"/>
                <w:sz w:val="18"/>
                <w:szCs w:val="18"/>
              </w:rPr>
            </w:pPr>
            <w:r>
              <w:rPr>
                <w:rFonts w:hint="eastAsia" w:ascii="宋体" w:hAnsi="宋体" w:cs="宋体"/>
                <w:kern w:val="0"/>
                <w:sz w:val="18"/>
                <w:szCs w:val="18"/>
              </w:rPr>
              <w:t>乙</w:t>
            </w:r>
          </w:p>
        </w:tc>
        <w:tc>
          <w:tcPr>
            <w:tcW w:w="700" w:type="dxa"/>
            <w:tcBorders>
              <w:top w:val="single" w:color="auto" w:sz="2" w:space="0"/>
              <w:left w:val="single" w:color="auto" w:sz="2" w:space="0"/>
              <w:bottom w:val="single" w:color="auto" w:sz="2" w:space="0"/>
              <w:right w:val="single" w:color="auto" w:sz="2" w:space="0"/>
            </w:tcBorders>
            <w:noWrap/>
            <w:vAlign w:val="center"/>
          </w:tcPr>
          <w:p>
            <w:pPr>
              <w:ind w:left="-105" w:leftChars="-50" w:right="-105" w:rightChars="-50"/>
              <w:jc w:val="center"/>
              <w:rPr>
                <w:rFonts w:ascii="宋体" w:hAnsi="宋体"/>
                <w:sz w:val="18"/>
                <w:szCs w:val="18"/>
              </w:rPr>
            </w:pPr>
            <w:r>
              <w:rPr>
                <w:rFonts w:ascii="宋体" w:hAnsi="宋体"/>
                <w:sz w:val="18"/>
                <w:szCs w:val="18"/>
              </w:rPr>
              <w:t>1</w:t>
            </w:r>
          </w:p>
        </w:tc>
        <w:tc>
          <w:tcPr>
            <w:tcW w:w="700" w:type="dxa"/>
            <w:gridSpan w:val="2"/>
            <w:tcBorders>
              <w:top w:val="single" w:color="auto" w:sz="2" w:space="0"/>
              <w:left w:val="single" w:color="auto" w:sz="2" w:space="0"/>
              <w:bottom w:val="single" w:color="auto" w:sz="2" w:space="0"/>
              <w:right w:val="single" w:color="auto" w:sz="2" w:space="0"/>
            </w:tcBorders>
            <w:noWrap/>
            <w:vAlign w:val="center"/>
          </w:tcPr>
          <w:p>
            <w:pPr>
              <w:ind w:left="-105" w:leftChars="-50" w:right="-105" w:rightChars="-50"/>
              <w:jc w:val="center"/>
              <w:rPr>
                <w:rFonts w:ascii="宋体" w:hAnsi="宋体"/>
                <w:sz w:val="18"/>
                <w:szCs w:val="18"/>
              </w:rPr>
            </w:pPr>
            <w:r>
              <w:rPr>
                <w:rFonts w:ascii="宋体" w:hAnsi="宋体"/>
                <w:sz w:val="18"/>
                <w:szCs w:val="18"/>
              </w:rPr>
              <w:t>2</w:t>
            </w:r>
          </w:p>
        </w:tc>
        <w:tc>
          <w:tcPr>
            <w:tcW w:w="840" w:type="dxa"/>
            <w:gridSpan w:val="2"/>
            <w:tcBorders>
              <w:top w:val="single" w:color="auto" w:sz="2" w:space="0"/>
              <w:left w:val="single" w:color="auto" w:sz="2" w:space="0"/>
              <w:bottom w:val="single" w:color="auto" w:sz="2" w:space="0"/>
              <w:right w:val="single" w:color="auto" w:sz="2" w:space="0"/>
            </w:tcBorders>
            <w:noWrap/>
            <w:vAlign w:val="center"/>
          </w:tcPr>
          <w:p>
            <w:pPr>
              <w:ind w:left="-105" w:leftChars="-50" w:right="-105" w:rightChars="-50"/>
              <w:jc w:val="center"/>
              <w:rPr>
                <w:rFonts w:ascii="宋体" w:hAnsi="宋体"/>
                <w:sz w:val="18"/>
                <w:szCs w:val="18"/>
              </w:rPr>
            </w:pPr>
            <w:r>
              <w:rPr>
                <w:rFonts w:ascii="宋体" w:hAnsi="宋体"/>
                <w:sz w:val="18"/>
                <w:szCs w:val="18"/>
              </w:rPr>
              <w:t>3</w:t>
            </w:r>
          </w:p>
        </w:tc>
        <w:tc>
          <w:tcPr>
            <w:tcW w:w="840" w:type="dxa"/>
            <w:tcBorders>
              <w:top w:val="single" w:color="auto" w:sz="2" w:space="0"/>
              <w:left w:val="single" w:color="auto" w:sz="2" w:space="0"/>
              <w:bottom w:val="single" w:color="auto" w:sz="2" w:space="0"/>
              <w:right w:val="single" w:color="auto" w:sz="2" w:space="0"/>
            </w:tcBorders>
            <w:noWrap/>
            <w:vAlign w:val="center"/>
          </w:tcPr>
          <w:p>
            <w:pPr>
              <w:ind w:left="-105" w:leftChars="-50" w:right="-105" w:rightChars="-50"/>
              <w:jc w:val="center"/>
              <w:rPr>
                <w:rFonts w:ascii="宋体" w:hAnsi="宋体"/>
                <w:sz w:val="18"/>
                <w:szCs w:val="18"/>
              </w:rPr>
            </w:pPr>
            <w:r>
              <w:rPr>
                <w:rFonts w:ascii="宋体" w:hAnsi="宋体"/>
                <w:sz w:val="18"/>
                <w:szCs w:val="18"/>
              </w:rPr>
              <w:t>4</w:t>
            </w:r>
          </w:p>
        </w:tc>
        <w:tc>
          <w:tcPr>
            <w:tcW w:w="840" w:type="dxa"/>
            <w:tcBorders>
              <w:top w:val="single" w:color="auto" w:sz="2" w:space="0"/>
              <w:left w:val="single" w:color="auto" w:sz="2" w:space="0"/>
              <w:bottom w:val="single" w:color="auto" w:sz="2" w:space="0"/>
              <w:right w:val="single" w:color="auto" w:sz="2" w:space="0"/>
            </w:tcBorders>
            <w:noWrap/>
            <w:vAlign w:val="center"/>
          </w:tcPr>
          <w:p>
            <w:pPr>
              <w:ind w:left="-105" w:leftChars="-50" w:right="-105" w:rightChars="-50"/>
              <w:jc w:val="center"/>
              <w:rPr>
                <w:rFonts w:ascii="宋体" w:hAnsi="宋体"/>
                <w:sz w:val="18"/>
                <w:szCs w:val="18"/>
              </w:rPr>
            </w:pPr>
            <w:r>
              <w:rPr>
                <w:rFonts w:ascii="宋体" w:hAnsi="宋体"/>
                <w:sz w:val="18"/>
                <w:szCs w:val="18"/>
              </w:rPr>
              <w:t>5</w:t>
            </w:r>
          </w:p>
        </w:tc>
        <w:tc>
          <w:tcPr>
            <w:tcW w:w="840" w:type="dxa"/>
            <w:gridSpan w:val="2"/>
            <w:tcBorders>
              <w:top w:val="single" w:color="auto" w:sz="2" w:space="0"/>
              <w:left w:val="single" w:color="auto" w:sz="2" w:space="0"/>
              <w:bottom w:val="single" w:color="auto" w:sz="2" w:space="0"/>
              <w:right w:val="single" w:color="auto" w:sz="2" w:space="0"/>
            </w:tcBorders>
            <w:noWrap/>
            <w:vAlign w:val="center"/>
          </w:tcPr>
          <w:p>
            <w:pPr>
              <w:ind w:left="-105" w:leftChars="-50" w:right="-105" w:rightChars="-50"/>
              <w:jc w:val="center"/>
              <w:rPr>
                <w:rFonts w:ascii="宋体" w:hAnsi="宋体"/>
                <w:sz w:val="18"/>
                <w:szCs w:val="18"/>
              </w:rPr>
            </w:pPr>
            <w:r>
              <w:rPr>
                <w:rFonts w:ascii="宋体" w:hAnsi="宋体"/>
                <w:sz w:val="18"/>
                <w:szCs w:val="18"/>
              </w:rPr>
              <w:t>6</w:t>
            </w:r>
          </w:p>
        </w:tc>
        <w:tc>
          <w:tcPr>
            <w:tcW w:w="720" w:type="dxa"/>
            <w:gridSpan w:val="2"/>
            <w:tcBorders>
              <w:top w:val="single" w:color="auto" w:sz="2" w:space="0"/>
              <w:left w:val="single" w:color="auto" w:sz="2" w:space="0"/>
              <w:bottom w:val="single" w:color="auto" w:sz="2" w:space="0"/>
              <w:right w:val="single" w:color="auto" w:sz="2" w:space="0"/>
            </w:tcBorders>
            <w:noWrap/>
            <w:vAlign w:val="center"/>
          </w:tcPr>
          <w:p>
            <w:pPr>
              <w:ind w:left="-105" w:leftChars="-50" w:right="-105" w:rightChars="-50"/>
              <w:jc w:val="center"/>
              <w:rPr>
                <w:rFonts w:ascii="宋体" w:hAnsi="宋体"/>
                <w:sz w:val="18"/>
                <w:szCs w:val="18"/>
              </w:rPr>
            </w:pPr>
            <w:r>
              <w:rPr>
                <w:rFonts w:ascii="宋体" w:hAnsi="宋体"/>
                <w:sz w:val="18"/>
                <w:szCs w:val="18"/>
              </w:rPr>
              <w:t>7</w:t>
            </w:r>
          </w:p>
        </w:tc>
        <w:tc>
          <w:tcPr>
            <w:tcW w:w="720" w:type="dxa"/>
            <w:tcBorders>
              <w:top w:val="single" w:color="auto" w:sz="2" w:space="0"/>
              <w:left w:val="single" w:color="auto" w:sz="2" w:space="0"/>
              <w:bottom w:val="single" w:color="auto" w:sz="2" w:space="0"/>
              <w:right w:val="single" w:color="auto" w:sz="2" w:space="0"/>
            </w:tcBorders>
            <w:noWrap/>
            <w:vAlign w:val="center"/>
          </w:tcPr>
          <w:p>
            <w:pPr>
              <w:ind w:left="-105" w:leftChars="-50" w:right="-105" w:rightChars="-50"/>
              <w:jc w:val="center"/>
              <w:rPr>
                <w:rFonts w:ascii="宋体" w:hAnsi="宋体"/>
                <w:sz w:val="18"/>
                <w:szCs w:val="18"/>
              </w:rPr>
            </w:pPr>
            <w:r>
              <w:rPr>
                <w:rFonts w:ascii="宋体" w:hAnsi="宋体"/>
                <w:sz w:val="18"/>
                <w:szCs w:val="18"/>
              </w:rPr>
              <w:t>8</w:t>
            </w:r>
          </w:p>
        </w:tc>
        <w:tc>
          <w:tcPr>
            <w:tcW w:w="720" w:type="dxa"/>
            <w:tcBorders>
              <w:top w:val="single" w:color="auto" w:sz="2" w:space="0"/>
              <w:left w:val="single" w:color="auto" w:sz="2" w:space="0"/>
              <w:bottom w:val="single" w:color="auto" w:sz="2" w:space="0"/>
            </w:tcBorders>
            <w:noWrap/>
            <w:vAlign w:val="center"/>
          </w:tcPr>
          <w:p>
            <w:pPr>
              <w:ind w:left="-105" w:leftChars="-50" w:right="-105" w:rightChars="-50"/>
              <w:jc w:val="center"/>
              <w:rPr>
                <w:rFonts w:ascii="宋体" w:hAnsi="宋体"/>
                <w:sz w:val="18"/>
                <w:szCs w:val="18"/>
              </w:rPr>
            </w:pPr>
            <w:r>
              <w:rPr>
                <w:rFonts w:ascii="宋体" w:hAnsi="宋体"/>
                <w:sz w:val="18"/>
                <w:szCs w:val="18"/>
              </w:rPr>
              <w:t>9</w:t>
            </w:r>
          </w:p>
        </w:tc>
      </w:tr>
      <w:tr>
        <w:tblPrEx>
          <w:tblCellMar>
            <w:top w:w="0" w:type="dxa"/>
            <w:left w:w="108" w:type="dxa"/>
            <w:bottom w:w="0" w:type="dxa"/>
            <w:right w:w="108" w:type="dxa"/>
          </w:tblCellMar>
        </w:tblPrEx>
        <w:trPr>
          <w:trHeight w:val="259" w:hRule="atLeast"/>
          <w:jc w:val="center"/>
        </w:trPr>
        <w:tc>
          <w:tcPr>
            <w:tcW w:w="1909" w:type="dxa"/>
            <w:tcBorders>
              <w:top w:val="single" w:color="auto" w:sz="2" w:space="0"/>
              <w:left w:val="nil"/>
              <w:bottom w:val="single" w:color="auto" w:sz="8" w:space="0"/>
              <w:right w:val="single" w:color="auto" w:sz="2" w:space="0"/>
            </w:tcBorders>
            <w:noWrap/>
            <w:vAlign w:val="center"/>
          </w:tcPr>
          <w:p>
            <w:pPr>
              <w:rPr>
                <w:rFonts w:ascii="宋体" w:hAnsi="宋体" w:cs="宋体"/>
                <w:kern w:val="0"/>
                <w:sz w:val="18"/>
                <w:szCs w:val="18"/>
              </w:rPr>
            </w:pPr>
            <w:r>
              <w:rPr>
                <w:rFonts w:hint="eastAsia" w:ascii="宋体" w:hAnsi="宋体"/>
                <w:sz w:val="18"/>
                <w:szCs w:val="18"/>
              </w:rPr>
              <w:t>按分行业能源消费量目录填报</w:t>
            </w:r>
          </w:p>
        </w:tc>
        <w:tc>
          <w:tcPr>
            <w:tcW w:w="7811" w:type="dxa"/>
            <w:gridSpan w:val="14"/>
            <w:tcBorders>
              <w:top w:val="single" w:color="auto" w:sz="2" w:space="0"/>
              <w:left w:val="single" w:color="auto" w:sz="2" w:space="0"/>
              <w:bottom w:val="single" w:color="auto" w:sz="8" w:space="0"/>
            </w:tcBorders>
            <w:noWrap/>
            <w:vAlign w:val="center"/>
          </w:tcPr>
          <w:p>
            <w:pPr>
              <w:ind w:left="-105" w:leftChars="-50" w:right="-105" w:rightChars="-50"/>
              <w:jc w:val="center"/>
              <w:rPr>
                <w:rFonts w:ascii="宋体" w:hAnsi="宋体"/>
                <w:sz w:val="18"/>
                <w:szCs w:val="18"/>
              </w:rPr>
            </w:pPr>
          </w:p>
        </w:tc>
      </w:tr>
    </w:tbl>
    <w:p>
      <w:pPr>
        <w:rPr>
          <w:sz w:val="18"/>
          <w:szCs w:val="18"/>
        </w:rPr>
      </w:pPr>
      <w:r>
        <w:rPr>
          <w:rFonts w:hint="eastAsia"/>
          <w:sz w:val="18"/>
          <w:szCs w:val="18"/>
        </w:rPr>
        <w:t>续表一</w:t>
      </w:r>
    </w:p>
    <w:tbl>
      <w:tblPr>
        <w:tblStyle w:val="21"/>
        <w:tblW w:w="0" w:type="auto"/>
        <w:jc w:val="center"/>
        <w:tblBorders>
          <w:top w:val="single" w:color="auto" w:sz="8"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883"/>
        <w:gridCol w:w="884"/>
        <w:gridCol w:w="883"/>
        <w:gridCol w:w="884"/>
        <w:gridCol w:w="884"/>
        <w:gridCol w:w="883"/>
        <w:gridCol w:w="999"/>
        <w:gridCol w:w="769"/>
        <w:gridCol w:w="883"/>
        <w:gridCol w:w="884"/>
        <w:gridCol w:w="884"/>
      </w:tblGrid>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3" w:hRule="atLeast"/>
          <w:jc w:val="center"/>
        </w:trPr>
        <w:tc>
          <w:tcPr>
            <w:tcW w:w="883" w:type="dxa"/>
            <w:tcBorders>
              <w:bottom w:val="single" w:color="auto" w:sz="2" w:space="0"/>
            </w:tcBorders>
            <w:noWrap/>
            <w:vAlign w:val="center"/>
          </w:tcPr>
          <w:p>
            <w:pPr>
              <w:jc w:val="center"/>
              <w:rPr>
                <w:rFonts w:ascii="宋体" w:hAnsi="宋体"/>
                <w:sz w:val="18"/>
                <w:szCs w:val="18"/>
              </w:rPr>
            </w:pPr>
            <w:r>
              <w:rPr>
                <w:rFonts w:hint="eastAsia"/>
                <w:sz w:val="18"/>
                <w:szCs w:val="18"/>
              </w:rPr>
              <w:t>煤矸石</w:t>
            </w:r>
          </w:p>
        </w:tc>
        <w:tc>
          <w:tcPr>
            <w:tcW w:w="884" w:type="dxa"/>
            <w:tcBorders>
              <w:bottom w:val="single" w:color="auto" w:sz="2" w:space="0"/>
            </w:tcBorders>
            <w:noWrap/>
            <w:vAlign w:val="center"/>
          </w:tcPr>
          <w:p>
            <w:pPr>
              <w:jc w:val="center"/>
              <w:rPr>
                <w:sz w:val="18"/>
                <w:szCs w:val="18"/>
              </w:rPr>
            </w:pPr>
            <w:r>
              <w:rPr>
                <w:rFonts w:hint="eastAsia"/>
                <w:sz w:val="18"/>
                <w:szCs w:val="18"/>
              </w:rPr>
              <w:t>焦 炭</w:t>
            </w:r>
          </w:p>
        </w:tc>
        <w:tc>
          <w:tcPr>
            <w:tcW w:w="883" w:type="dxa"/>
            <w:tcBorders>
              <w:bottom w:val="single" w:color="auto" w:sz="2" w:space="0"/>
            </w:tcBorders>
            <w:noWrap/>
            <w:vAlign w:val="center"/>
          </w:tcPr>
          <w:p>
            <w:pPr>
              <w:jc w:val="center"/>
              <w:rPr>
                <w:sz w:val="18"/>
                <w:szCs w:val="18"/>
              </w:rPr>
            </w:pPr>
            <w:r>
              <w:rPr>
                <w:rFonts w:hint="eastAsia"/>
                <w:sz w:val="18"/>
                <w:szCs w:val="18"/>
              </w:rPr>
              <w:t>焦 炉</w:t>
            </w:r>
          </w:p>
          <w:p>
            <w:pPr>
              <w:jc w:val="center"/>
              <w:rPr>
                <w:sz w:val="18"/>
                <w:szCs w:val="18"/>
              </w:rPr>
            </w:pPr>
            <w:r>
              <w:rPr>
                <w:rFonts w:hint="eastAsia"/>
                <w:sz w:val="18"/>
                <w:szCs w:val="18"/>
              </w:rPr>
              <w:t>煤 气</w:t>
            </w:r>
          </w:p>
        </w:tc>
        <w:tc>
          <w:tcPr>
            <w:tcW w:w="884" w:type="dxa"/>
            <w:tcBorders>
              <w:bottom w:val="single" w:color="auto" w:sz="2" w:space="0"/>
            </w:tcBorders>
            <w:noWrap/>
            <w:vAlign w:val="center"/>
          </w:tcPr>
          <w:p>
            <w:pPr>
              <w:jc w:val="center"/>
              <w:rPr>
                <w:sz w:val="18"/>
                <w:szCs w:val="18"/>
              </w:rPr>
            </w:pPr>
            <w:r>
              <w:rPr>
                <w:rFonts w:hint="eastAsia"/>
                <w:sz w:val="18"/>
                <w:szCs w:val="18"/>
              </w:rPr>
              <w:t>高 炉</w:t>
            </w:r>
          </w:p>
          <w:p>
            <w:pPr>
              <w:jc w:val="center"/>
              <w:rPr>
                <w:sz w:val="18"/>
                <w:szCs w:val="18"/>
              </w:rPr>
            </w:pPr>
            <w:r>
              <w:rPr>
                <w:rFonts w:hint="eastAsia"/>
                <w:sz w:val="18"/>
                <w:szCs w:val="18"/>
              </w:rPr>
              <w:t>煤 气</w:t>
            </w:r>
          </w:p>
        </w:tc>
        <w:tc>
          <w:tcPr>
            <w:tcW w:w="884" w:type="dxa"/>
            <w:tcBorders>
              <w:bottom w:val="single" w:color="auto" w:sz="2" w:space="0"/>
            </w:tcBorders>
            <w:noWrap/>
            <w:vAlign w:val="center"/>
          </w:tcPr>
          <w:p>
            <w:pPr>
              <w:jc w:val="center"/>
              <w:rPr>
                <w:sz w:val="18"/>
                <w:szCs w:val="18"/>
              </w:rPr>
            </w:pPr>
            <w:r>
              <w:rPr>
                <w:rFonts w:hint="eastAsia"/>
                <w:sz w:val="18"/>
                <w:szCs w:val="18"/>
              </w:rPr>
              <w:t>转 炉</w:t>
            </w:r>
          </w:p>
          <w:p>
            <w:pPr>
              <w:jc w:val="center"/>
              <w:rPr>
                <w:sz w:val="18"/>
                <w:szCs w:val="18"/>
              </w:rPr>
            </w:pPr>
            <w:r>
              <w:rPr>
                <w:rFonts w:hint="eastAsia"/>
                <w:sz w:val="18"/>
                <w:szCs w:val="18"/>
              </w:rPr>
              <w:t>煤 气</w:t>
            </w:r>
          </w:p>
        </w:tc>
        <w:tc>
          <w:tcPr>
            <w:tcW w:w="883" w:type="dxa"/>
            <w:tcBorders>
              <w:bottom w:val="single" w:color="auto" w:sz="2" w:space="0"/>
            </w:tcBorders>
            <w:noWrap/>
            <w:vAlign w:val="center"/>
          </w:tcPr>
          <w:p>
            <w:pPr>
              <w:jc w:val="center"/>
              <w:rPr>
                <w:sz w:val="18"/>
                <w:szCs w:val="18"/>
              </w:rPr>
            </w:pPr>
            <w:r>
              <w:rPr>
                <w:rFonts w:hint="eastAsia"/>
                <w:sz w:val="18"/>
                <w:szCs w:val="18"/>
              </w:rPr>
              <w:t>其 他</w:t>
            </w:r>
          </w:p>
          <w:p>
            <w:pPr>
              <w:jc w:val="center"/>
              <w:rPr>
                <w:sz w:val="18"/>
                <w:szCs w:val="18"/>
              </w:rPr>
            </w:pPr>
            <w:r>
              <w:rPr>
                <w:rFonts w:hint="eastAsia"/>
                <w:sz w:val="18"/>
                <w:szCs w:val="18"/>
              </w:rPr>
              <w:t>煤 气</w:t>
            </w:r>
          </w:p>
        </w:tc>
        <w:tc>
          <w:tcPr>
            <w:tcW w:w="999" w:type="dxa"/>
            <w:tcBorders>
              <w:bottom w:val="single" w:color="auto" w:sz="2" w:space="0"/>
            </w:tcBorders>
            <w:noWrap/>
            <w:vAlign w:val="center"/>
          </w:tcPr>
          <w:p>
            <w:pPr>
              <w:jc w:val="center"/>
              <w:rPr>
                <w:sz w:val="18"/>
                <w:szCs w:val="18"/>
              </w:rPr>
            </w:pPr>
            <w:r>
              <w:rPr>
                <w:rFonts w:hint="eastAsia"/>
                <w:sz w:val="18"/>
                <w:szCs w:val="18"/>
              </w:rPr>
              <w:t>其    他　　　　　　　　　焦化产品</w:t>
            </w:r>
          </w:p>
        </w:tc>
        <w:tc>
          <w:tcPr>
            <w:tcW w:w="769" w:type="dxa"/>
            <w:tcBorders>
              <w:bottom w:val="single" w:color="auto" w:sz="2" w:space="0"/>
            </w:tcBorders>
            <w:noWrap/>
            <w:vAlign w:val="center"/>
          </w:tcPr>
          <w:p>
            <w:pPr>
              <w:jc w:val="center"/>
              <w:rPr>
                <w:sz w:val="18"/>
                <w:szCs w:val="18"/>
              </w:rPr>
            </w:pPr>
            <w:r>
              <w:rPr>
                <w:rFonts w:hint="eastAsia"/>
                <w:sz w:val="18"/>
                <w:szCs w:val="18"/>
              </w:rPr>
              <w:t>油 品</w:t>
            </w:r>
          </w:p>
          <w:p>
            <w:pPr>
              <w:jc w:val="center"/>
              <w:rPr>
                <w:sz w:val="18"/>
                <w:szCs w:val="18"/>
              </w:rPr>
            </w:pPr>
            <w:r>
              <w:rPr>
                <w:rFonts w:hint="eastAsia"/>
                <w:sz w:val="18"/>
                <w:szCs w:val="18"/>
              </w:rPr>
              <w:t>合 计</w:t>
            </w:r>
          </w:p>
        </w:tc>
        <w:tc>
          <w:tcPr>
            <w:tcW w:w="883" w:type="dxa"/>
            <w:tcBorders>
              <w:bottom w:val="single" w:color="auto" w:sz="2" w:space="0"/>
            </w:tcBorders>
            <w:noWrap/>
            <w:vAlign w:val="center"/>
          </w:tcPr>
          <w:p>
            <w:pPr>
              <w:jc w:val="center"/>
              <w:rPr>
                <w:sz w:val="18"/>
                <w:szCs w:val="18"/>
              </w:rPr>
            </w:pPr>
            <w:r>
              <w:rPr>
                <w:rFonts w:hint="eastAsia"/>
                <w:sz w:val="18"/>
                <w:szCs w:val="18"/>
              </w:rPr>
              <w:t>原 油</w:t>
            </w:r>
          </w:p>
        </w:tc>
        <w:tc>
          <w:tcPr>
            <w:tcW w:w="884" w:type="dxa"/>
            <w:tcBorders>
              <w:bottom w:val="single" w:color="auto" w:sz="2" w:space="0"/>
            </w:tcBorders>
            <w:noWrap/>
            <w:vAlign w:val="center"/>
          </w:tcPr>
          <w:p>
            <w:pPr>
              <w:jc w:val="center"/>
              <w:rPr>
                <w:sz w:val="18"/>
                <w:szCs w:val="18"/>
              </w:rPr>
            </w:pPr>
            <w:r>
              <w:rPr>
                <w:rFonts w:hint="eastAsia"/>
                <w:sz w:val="18"/>
                <w:szCs w:val="18"/>
              </w:rPr>
              <w:t>汽 油</w:t>
            </w:r>
          </w:p>
        </w:tc>
        <w:tc>
          <w:tcPr>
            <w:tcW w:w="884" w:type="dxa"/>
            <w:tcBorders>
              <w:bottom w:val="single" w:color="auto" w:sz="2" w:space="0"/>
            </w:tcBorders>
            <w:noWrap/>
            <w:vAlign w:val="center"/>
          </w:tcPr>
          <w:p>
            <w:pPr>
              <w:jc w:val="center"/>
              <w:rPr>
                <w:sz w:val="18"/>
                <w:szCs w:val="18"/>
              </w:rPr>
            </w:pPr>
            <w:r>
              <w:rPr>
                <w:rFonts w:hint="eastAsia"/>
                <w:sz w:val="18"/>
                <w:szCs w:val="18"/>
              </w:rPr>
              <w:t>煤 油</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83"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10</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11</w:t>
            </w:r>
          </w:p>
        </w:tc>
        <w:tc>
          <w:tcPr>
            <w:tcW w:w="883"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12</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13</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14</w:t>
            </w:r>
          </w:p>
        </w:tc>
        <w:tc>
          <w:tcPr>
            <w:tcW w:w="883"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15</w:t>
            </w:r>
          </w:p>
        </w:tc>
        <w:tc>
          <w:tcPr>
            <w:tcW w:w="999"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16</w:t>
            </w:r>
          </w:p>
        </w:tc>
        <w:tc>
          <w:tcPr>
            <w:tcW w:w="769"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17</w:t>
            </w:r>
          </w:p>
        </w:tc>
        <w:tc>
          <w:tcPr>
            <w:tcW w:w="883"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18</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19</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20</w:t>
            </w:r>
          </w:p>
        </w:tc>
      </w:tr>
    </w:tbl>
    <w:p>
      <w:pPr>
        <w:rPr>
          <w:sz w:val="18"/>
          <w:szCs w:val="18"/>
        </w:rPr>
      </w:pPr>
      <w:r>
        <w:rPr>
          <w:rFonts w:hint="eastAsia"/>
          <w:sz w:val="18"/>
          <w:szCs w:val="18"/>
        </w:rPr>
        <w:t>续表二</w:t>
      </w:r>
    </w:p>
    <w:tbl>
      <w:tblPr>
        <w:tblStyle w:val="21"/>
        <w:tblW w:w="9828" w:type="dxa"/>
        <w:jc w:val="center"/>
        <w:tblBorders>
          <w:top w:val="single" w:color="auto" w:sz="8"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991"/>
        <w:gridCol w:w="884"/>
        <w:gridCol w:w="883"/>
        <w:gridCol w:w="884"/>
        <w:gridCol w:w="884"/>
        <w:gridCol w:w="883"/>
        <w:gridCol w:w="884"/>
        <w:gridCol w:w="884"/>
        <w:gridCol w:w="883"/>
        <w:gridCol w:w="884"/>
        <w:gridCol w:w="884"/>
      </w:tblGrid>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3" w:hRule="atLeast"/>
          <w:jc w:val="center"/>
        </w:trPr>
        <w:tc>
          <w:tcPr>
            <w:tcW w:w="991" w:type="dxa"/>
            <w:tcBorders>
              <w:bottom w:val="single" w:color="auto" w:sz="2" w:space="0"/>
            </w:tcBorders>
            <w:noWrap/>
            <w:vAlign w:val="center"/>
          </w:tcPr>
          <w:p>
            <w:pPr>
              <w:jc w:val="center"/>
              <w:rPr>
                <w:rFonts w:ascii="宋体" w:hAnsi="宋体"/>
                <w:sz w:val="18"/>
                <w:szCs w:val="18"/>
              </w:rPr>
            </w:pPr>
            <w:r>
              <w:rPr>
                <w:rFonts w:hint="eastAsia"/>
                <w:sz w:val="18"/>
                <w:szCs w:val="18"/>
              </w:rPr>
              <w:t>柴 油</w:t>
            </w:r>
          </w:p>
        </w:tc>
        <w:tc>
          <w:tcPr>
            <w:tcW w:w="884" w:type="dxa"/>
            <w:tcBorders>
              <w:bottom w:val="single" w:color="auto" w:sz="2" w:space="0"/>
            </w:tcBorders>
            <w:noWrap/>
            <w:vAlign w:val="center"/>
          </w:tcPr>
          <w:p>
            <w:pPr>
              <w:jc w:val="center"/>
              <w:rPr>
                <w:sz w:val="18"/>
                <w:szCs w:val="18"/>
              </w:rPr>
            </w:pPr>
            <w:r>
              <w:rPr>
                <w:rFonts w:hint="eastAsia"/>
                <w:sz w:val="18"/>
                <w:szCs w:val="18"/>
              </w:rPr>
              <w:t>燃料油</w:t>
            </w:r>
          </w:p>
        </w:tc>
        <w:tc>
          <w:tcPr>
            <w:tcW w:w="883" w:type="dxa"/>
            <w:tcBorders>
              <w:bottom w:val="single" w:color="auto" w:sz="2" w:space="0"/>
            </w:tcBorders>
            <w:noWrap/>
            <w:vAlign w:val="center"/>
          </w:tcPr>
          <w:p>
            <w:pPr>
              <w:jc w:val="center"/>
              <w:rPr>
                <w:sz w:val="18"/>
                <w:szCs w:val="18"/>
              </w:rPr>
            </w:pPr>
            <w:r>
              <w:rPr>
                <w:rFonts w:hint="eastAsia"/>
                <w:sz w:val="18"/>
                <w:szCs w:val="18"/>
              </w:rPr>
              <w:t>石脑油</w:t>
            </w:r>
          </w:p>
        </w:tc>
        <w:tc>
          <w:tcPr>
            <w:tcW w:w="884" w:type="dxa"/>
            <w:tcBorders>
              <w:bottom w:val="single" w:color="auto" w:sz="2" w:space="0"/>
            </w:tcBorders>
            <w:noWrap/>
            <w:vAlign w:val="center"/>
          </w:tcPr>
          <w:p>
            <w:pPr>
              <w:jc w:val="center"/>
              <w:rPr>
                <w:sz w:val="18"/>
                <w:szCs w:val="18"/>
              </w:rPr>
            </w:pPr>
            <w:r>
              <w:rPr>
                <w:rFonts w:hint="eastAsia"/>
                <w:sz w:val="18"/>
                <w:szCs w:val="18"/>
              </w:rPr>
              <w:t>润滑油</w:t>
            </w:r>
          </w:p>
        </w:tc>
        <w:tc>
          <w:tcPr>
            <w:tcW w:w="884" w:type="dxa"/>
            <w:tcBorders>
              <w:bottom w:val="single" w:color="auto" w:sz="2" w:space="0"/>
            </w:tcBorders>
            <w:noWrap/>
            <w:vAlign w:val="center"/>
          </w:tcPr>
          <w:p>
            <w:pPr>
              <w:jc w:val="center"/>
              <w:rPr>
                <w:sz w:val="18"/>
                <w:szCs w:val="18"/>
              </w:rPr>
            </w:pPr>
            <w:r>
              <w:rPr>
                <w:rFonts w:hint="eastAsia"/>
                <w:sz w:val="18"/>
                <w:szCs w:val="18"/>
              </w:rPr>
              <w:t>石 蜡</w:t>
            </w:r>
          </w:p>
        </w:tc>
        <w:tc>
          <w:tcPr>
            <w:tcW w:w="883" w:type="dxa"/>
            <w:tcBorders>
              <w:bottom w:val="single" w:color="auto" w:sz="2" w:space="0"/>
            </w:tcBorders>
            <w:noWrap/>
            <w:vAlign w:val="center"/>
          </w:tcPr>
          <w:p>
            <w:pPr>
              <w:jc w:val="center"/>
              <w:rPr>
                <w:sz w:val="18"/>
                <w:szCs w:val="18"/>
              </w:rPr>
            </w:pPr>
            <w:r>
              <w:rPr>
                <w:rFonts w:hint="eastAsia"/>
                <w:sz w:val="18"/>
                <w:szCs w:val="18"/>
              </w:rPr>
              <w:t>溶剂油</w:t>
            </w:r>
          </w:p>
        </w:tc>
        <w:tc>
          <w:tcPr>
            <w:tcW w:w="884" w:type="dxa"/>
            <w:tcBorders>
              <w:bottom w:val="single" w:color="auto" w:sz="2" w:space="0"/>
            </w:tcBorders>
            <w:noWrap/>
            <w:vAlign w:val="center"/>
          </w:tcPr>
          <w:p>
            <w:pPr>
              <w:jc w:val="center"/>
              <w:rPr>
                <w:sz w:val="18"/>
                <w:szCs w:val="18"/>
              </w:rPr>
            </w:pPr>
            <w:r>
              <w:rPr>
                <w:rFonts w:hint="eastAsia"/>
                <w:sz w:val="18"/>
                <w:szCs w:val="18"/>
              </w:rPr>
              <w:t>石 油</w:t>
            </w:r>
          </w:p>
          <w:p>
            <w:pPr>
              <w:jc w:val="center"/>
              <w:rPr>
                <w:sz w:val="18"/>
                <w:szCs w:val="18"/>
              </w:rPr>
            </w:pPr>
            <w:r>
              <w:rPr>
                <w:rFonts w:hint="eastAsia"/>
                <w:sz w:val="18"/>
                <w:szCs w:val="18"/>
              </w:rPr>
              <w:t>沥 青</w:t>
            </w:r>
          </w:p>
        </w:tc>
        <w:tc>
          <w:tcPr>
            <w:tcW w:w="884" w:type="dxa"/>
            <w:tcBorders>
              <w:bottom w:val="single" w:color="auto" w:sz="2" w:space="0"/>
            </w:tcBorders>
            <w:noWrap/>
            <w:vAlign w:val="center"/>
          </w:tcPr>
          <w:p>
            <w:pPr>
              <w:jc w:val="center"/>
              <w:rPr>
                <w:sz w:val="18"/>
                <w:szCs w:val="18"/>
              </w:rPr>
            </w:pPr>
            <w:r>
              <w:rPr>
                <w:rFonts w:hint="eastAsia"/>
                <w:sz w:val="18"/>
                <w:szCs w:val="18"/>
              </w:rPr>
              <w:t>石油焦</w:t>
            </w:r>
          </w:p>
        </w:tc>
        <w:tc>
          <w:tcPr>
            <w:tcW w:w="883" w:type="dxa"/>
            <w:tcBorders>
              <w:bottom w:val="single" w:color="auto" w:sz="2" w:space="0"/>
            </w:tcBorders>
            <w:noWrap/>
            <w:vAlign w:val="center"/>
          </w:tcPr>
          <w:p>
            <w:pPr>
              <w:jc w:val="center"/>
              <w:rPr>
                <w:sz w:val="18"/>
                <w:szCs w:val="18"/>
              </w:rPr>
            </w:pPr>
            <w:r>
              <w:rPr>
                <w:rFonts w:hint="eastAsia"/>
                <w:sz w:val="18"/>
                <w:szCs w:val="18"/>
              </w:rPr>
              <w:t>液  化　石油气</w:t>
            </w:r>
          </w:p>
        </w:tc>
        <w:tc>
          <w:tcPr>
            <w:tcW w:w="884" w:type="dxa"/>
            <w:tcBorders>
              <w:bottom w:val="single" w:color="auto" w:sz="2" w:space="0"/>
            </w:tcBorders>
            <w:noWrap/>
            <w:vAlign w:val="center"/>
          </w:tcPr>
          <w:p>
            <w:pPr>
              <w:jc w:val="center"/>
              <w:rPr>
                <w:sz w:val="18"/>
                <w:szCs w:val="18"/>
              </w:rPr>
            </w:pPr>
            <w:r>
              <w:rPr>
                <w:rFonts w:hint="eastAsia"/>
                <w:sz w:val="18"/>
                <w:szCs w:val="18"/>
              </w:rPr>
              <w:t>炼 厂</w:t>
            </w:r>
          </w:p>
          <w:p>
            <w:pPr>
              <w:jc w:val="center"/>
              <w:rPr>
                <w:sz w:val="18"/>
                <w:szCs w:val="18"/>
              </w:rPr>
            </w:pPr>
            <w:r>
              <w:rPr>
                <w:rFonts w:hint="eastAsia"/>
                <w:sz w:val="18"/>
                <w:szCs w:val="18"/>
              </w:rPr>
              <w:t>干 气</w:t>
            </w:r>
          </w:p>
        </w:tc>
        <w:tc>
          <w:tcPr>
            <w:tcW w:w="884" w:type="dxa"/>
            <w:tcBorders>
              <w:bottom w:val="single" w:color="auto" w:sz="2" w:space="0"/>
            </w:tcBorders>
            <w:noWrap/>
            <w:vAlign w:val="center"/>
          </w:tcPr>
          <w:p>
            <w:pPr>
              <w:jc w:val="center"/>
              <w:rPr>
                <w:sz w:val="18"/>
                <w:szCs w:val="18"/>
              </w:rPr>
            </w:pPr>
            <w:r>
              <w:rPr>
                <w:rFonts w:hint="eastAsia"/>
                <w:sz w:val="18"/>
                <w:szCs w:val="18"/>
              </w:rPr>
              <w:t>其　　他　　　　　　　　　　　　　石油制品</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1"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21</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22</w:t>
            </w:r>
          </w:p>
        </w:tc>
        <w:tc>
          <w:tcPr>
            <w:tcW w:w="883"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23</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24</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25</w:t>
            </w:r>
          </w:p>
        </w:tc>
        <w:tc>
          <w:tcPr>
            <w:tcW w:w="883"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26</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27</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28</w:t>
            </w:r>
          </w:p>
        </w:tc>
        <w:tc>
          <w:tcPr>
            <w:tcW w:w="883"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29</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30</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31</w:t>
            </w:r>
          </w:p>
        </w:tc>
      </w:tr>
    </w:tbl>
    <w:p>
      <w:pPr>
        <w:rPr>
          <w:sz w:val="18"/>
          <w:szCs w:val="18"/>
        </w:rPr>
      </w:pPr>
      <w:r>
        <w:rPr>
          <w:rFonts w:hint="eastAsia"/>
          <w:sz w:val="18"/>
          <w:szCs w:val="18"/>
        </w:rPr>
        <w:t>续表三</w:t>
      </w:r>
    </w:p>
    <w:tbl>
      <w:tblPr>
        <w:tblStyle w:val="21"/>
        <w:tblW w:w="9828" w:type="dxa"/>
        <w:jc w:val="center"/>
        <w:tblBorders>
          <w:top w:val="single" w:color="auto" w:sz="8"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991"/>
        <w:gridCol w:w="884"/>
        <w:gridCol w:w="889"/>
        <w:gridCol w:w="878"/>
        <w:gridCol w:w="884"/>
        <w:gridCol w:w="883"/>
        <w:gridCol w:w="884"/>
        <w:gridCol w:w="884"/>
        <w:gridCol w:w="883"/>
        <w:gridCol w:w="884"/>
        <w:gridCol w:w="884"/>
      </w:tblGrid>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40" w:hRule="atLeast"/>
          <w:jc w:val="center"/>
        </w:trPr>
        <w:tc>
          <w:tcPr>
            <w:tcW w:w="991" w:type="dxa"/>
            <w:vMerge w:val="restart"/>
            <w:noWrap/>
            <w:vAlign w:val="center"/>
          </w:tcPr>
          <w:p>
            <w:pPr>
              <w:jc w:val="center"/>
              <w:rPr>
                <w:rFonts w:ascii="宋体" w:hAnsi="宋体"/>
                <w:sz w:val="18"/>
                <w:szCs w:val="18"/>
              </w:rPr>
            </w:pPr>
            <w:r>
              <w:rPr>
                <w:rFonts w:hint="eastAsia"/>
                <w:sz w:val="18"/>
                <w:szCs w:val="18"/>
              </w:rPr>
              <w:t>天然气</w:t>
            </w:r>
          </w:p>
        </w:tc>
        <w:tc>
          <w:tcPr>
            <w:tcW w:w="884" w:type="dxa"/>
            <w:vMerge w:val="restart"/>
            <w:noWrap/>
            <w:vAlign w:val="center"/>
          </w:tcPr>
          <w:p>
            <w:pPr>
              <w:jc w:val="center"/>
              <w:rPr>
                <w:sz w:val="18"/>
                <w:szCs w:val="18"/>
              </w:rPr>
            </w:pPr>
            <w:r>
              <w:rPr>
                <w:rFonts w:hint="eastAsia"/>
                <w:sz w:val="18"/>
                <w:szCs w:val="18"/>
              </w:rPr>
              <w:t>液  化     天然气</w:t>
            </w:r>
          </w:p>
        </w:tc>
        <w:tc>
          <w:tcPr>
            <w:tcW w:w="889" w:type="dxa"/>
            <w:vMerge w:val="restart"/>
            <w:noWrap/>
            <w:vAlign w:val="center"/>
          </w:tcPr>
          <w:p>
            <w:pPr>
              <w:jc w:val="center"/>
              <w:rPr>
                <w:rFonts w:hint="default"/>
                <w:color w:val="auto"/>
                <w:sz w:val="18"/>
                <w:szCs w:val="18"/>
                <w:lang w:val="en-US"/>
              </w:rPr>
            </w:pPr>
            <w:r>
              <w:rPr>
                <w:rFonts w:hint="eastAsia"/>
                <w:color w:val="auto"/>
                <w:sz w:val="18"/>
                <w:szCs w:val="18"/>
                <w:lang w:eastAsia="zh-CN"/>
              </w:rPr>
              <w:t>氢</w:t>
            </w:r>
            <w:r>
              <w:rPr>
                <w:rFonts w:hint="eastAsia"/>
                <w:color w:val="auto"/>
                <w:sz w:val="18"/>
                <w:szCs w:val="18"/>
                <w:lang w:val="en-US" w:eastAsia="zh-CN"/>
              </w:rPr>
              <w:t xml:space="preserve">  气</w:t>
            </w:r>
          </w:p>
        </w:tc>
        <w:tc>
          <w:tcPr>
            <w:tcW w:w="878" w:type="dxa"/>
            <w:vMerge w:val="restart"/>
            <w:noWrap/>
            <w:vAlign w:val="center"/>
          </w:tcPr>
          <w:p>
            <w:pPr>
              <w:jc w:val="center"/>
              <w:rPr>
                <w:sz w:val="18"/>
                <w:szCs w:val="18"/>
              </w:rPr>
            </w:pPr>
            <w:r>
              <w:rPr>
                <w:rFonts w:hint="eastAsia"/>
                <w:sz w:val="18"/>
                <w:szCs w:val="18"/>
              </w:rPr>
              <w:t>秸秆薪柴</w:t>
            </w:r>
          </w:p>
        </w:tc>
        <w:tc>
          <w:tcPr>
            <w:tcW w:w="884" w:type="dxa"/>
            <w:vMerge w:val="restart"/>
            <w:noWrap/>
            <w:vAlign w:val="center"/>
          </w:tcPr>
          <w:p>
            <w:pPr>
              <w:jc w:val="center"/>
              <w:rPr>
                <w:sz w:val="18"/>
                <w:szCs w:val="18"/>
              </w:rPr>
            </w:pPr>
            <w:r>
              <w:rPr>
                <w:rFonts w:hint="eastAsia"/>
                <w:sz w:val="18"/>
                <w:szCs w:val="18"/>
              </w:rPr>
              <w:t>沼 气</w:t>
            </w:r>
          </w:p>
        </w:tc>
        <w:tc>
          <w:tcPr>
            <w:tcW w:w="883" w:type="dxa"/>
            <w:vMerge w:val="restart"/>
            <w:noWrap/>
            <w:vAlign w:val="center"/>
          </w:tcPr>
          <w:p>
            <w:pPr>
              <w:jc w:val="center"/>
              <w:rPr>
                <w:sz w:val="18"/>
                <w:szCs w:val="18"/>
              </w:rPr>
            </w:pPr>
            <w:r>
              <w:rPr>
                <w:rFonts w:hint="eastAsia"/>
                <w:sz w:val="18"/>
                <w:szCs w:val="18"/>
              </w:rPr>
              <w:t>热 力</w:t>
            </w:r>
          </w:p>
        </w:tc>
        <w:tc>
          <w:tcPr>
            <w:tcW w:w="1768" w:type="dxa"/>
            <w:gridSpan w:val="2"/>
            <w:noWrap/>
            <w:vAlign w:val="center"/>
          </w:tcPr>
          <w:p>
            <w:pPr>
              <w:jc w:val="center"/>
              <w:rPr>
                <w:sz w:val="18"/>
                <w:szCs w:val="18"/>
              </w:rPr>
            </w:pPr>
            <w:r>
              <w:rPr>
                <w:rFonts w:hint="eastAsia"/>
                <w:sz w:val="18"/>
                <w:szCs w:val="18"/>
              </w:rPr>
              <w:t>电力合计</w:t>
            </w:r>
          </w:p>
        </w:tc>
        <w:tc>
          <w:tcPr>
            <w:tcW w:w="883" w:type="dxa"/>
            <w:vMerge w:val="restart"/>
            <w:noWrap/>
            <w:vAlign w:val="center"/>
          </w:tcPr>
          <w:p>
            <w:pPr>
              <w:jc w:val="center"/>
              <w:rPr>
                <w:sz w:val="18"/>
                <w:szCs w:val="18"/>
              </w:rPr>
            </w:pPr>
            <w:r>
              <w:rPr>
                <w:rFonts w:hint="eastAsia"/>
                <w:sz w:val="18"/>
                <w:szCs w:val="18"/>
              </w:rPr>
              <w:t>其 他　　　　　　　　　　能 源</w:t>
            </w:r>
          </w:p>
        </w:tc>
        <w:tc>
          <w:tcPr>
            <w:tcW w:w="1768" w:type="dxa"/>
            <w:gridSpan w:val="2"/>
            <w:noWrap/>
            <w:vAlign w:val="center"/>
          </w:tcPr>
          <w:p>
            <w:pPr>
              <w:jc w:val="center"/>
              <w:rPr>
                <w:sz w:val="18"/>
                <w:szCs w:val="18"/>
              </w:rPr>
            </w:pPr>
            <w:r>
              <w:rPr>
                <w:rFonts w:hint="eastAsia"/>
                <w:sz w:val="18"/>
                <w:szCs w:val="18"/>
              </w:rPr>
              <w:t>合  计</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40" w:hRule="atLeast"/>
          <w:jc w:val="center"/>
        </w:trPr>
        <w:tc>
          <w:tcPr>
            <w:tcW w:w="991" w:type="dxa"/>
            <w:vMerge w:val="continue"/>
            <w:tcBorders>
              <w:bottom w:val="single" w:color="auto" w:sz="2" w:space="0"/>
            </w:tcBorders>
            <w:noWrap/>
            <w:vAlign w:val="center"/>
          </w:tcPr>
          <w:p>
            <w:pPr>
              <w:jc w:val="center"/>
              <w:rPr>
                <w:sz w:val="18"/>
                <w:szCs w:val="18"/>
              </w:rPr>
            </w:pPr>
          </w:p>
        </w:tc>
        <w:tc>
          <w:tcPr>
            <w:tcW w:w="884" w:type="dxa"/>
            <w:vMerge w:val="continue"/>
            <w:tcBorders>
              <w:bottom w:val="single" w:color="auto" w:sz="2" w:space="0"/>
            </w:tcBorders>
            <w:noWrap/>
            <w:vAlign w:val="center"/>
          </w:tcPr>
          <w:p>
            <w:pPr>
              <w:jc w:val="center"/>
              <w:rPr>
                <w:sz w:val="18"/>
                <w:szCs w:val="18"/>
              </w:rPr>
            </w:pPr>
          </w:p>
        </w:tc>
        <w:tc>
          <w:tcPr>
            <w:tcW w:w="889" w:type="dxa"/>
            <w:vMerge w:val="continue"/>
            <w:tcBorders>
              <w:bottom w:val="single" w:color="auto" w:sz="2" w:space="0"/>
            </w:tcBorders>
            <w:noWrap/>
            <w:vAlign w:val="center"/>
          </w:tcPr>
          <w:p>
            <w:pPr>
              <w:jc w:val="center"/>
              <w:rPr>
                <w:sz w:val="18"/>
                <w:szCs w:val="18"/>
              </w:rPr>
            </w:pPr>
          </w:p>
        </w:tc>
        <w:tc>
          <w:tcPr>
            <w:tcW w:w="878" w:type="dxa"/>
            <w:vMerge w:val="continue"/>
            <w:tcBorders>
              <w:bottom w:val="single" w:color="auto" w:sz="2" w:space="0"/>
            </w:tcBorders>
            <w:noWrap/>
            <w:vAlign w:val="center"/>
          </w:tcPr>
          <w:p>
            <w:pPr>
              <w:jc w:val="center"/>
              <w:rPr>
                <w:sz w:val="18"/>
                <w:szCs w:val="18"/>
              </w:rPr>
            </w:pPr>
          </w:p>
        </w:tc>
        <w:tc>
          <w:tcPr>
            <w:tcW w:w="884" w:type="dxa"/>
            <w:vMerge w:val="continue"/>
            <w:tcBorders>
              <w:bottom w:val="single" w:color="auto" w:sz="2" w:space="0"/>
            </w:tcBorders>
            <w:noWrap/>
            <w:vAlign w:val="center"/>
          </w:tcPr>
          <w:p>
            <w:pPr>
              <w:jc w:val="center"/>
              <w:rPr>
                <w:sz w:val="18"/>
                <w:szCs w:val="18"/>
              </w:rPr>
            </w:pPr>
          </w:p>
        </w:tc>
        <w:tc>
          <w:tcPr>
            <w:tcW w:w="883" w:type="dxa"/>
            <w:vMerge w:val="continue"/>
            <w:tcBorders>
              <w:bottom w:val="single" w:color="auto" w:sz="2" w:space="0"/>
            </w:tcBorders>
            <w:noWrap/>
            <w:vAlign w:val="center"/>
          </w:tcPr>
          <w:p>
            <w:pPr>
              <w:jc w:val="center"/>
              <w:rPr>
                <w:sz w:val="18"/>
                <w:szCs w:val="18"/>
              </w:rPr>
            </w:pPr>
          </w:p>
        </w:tc>
        <w:tc>
          <w:tcPr>
            <w:tcW w:w="884" w:type="dxa"/>
            <w:tcBorders>
              <w:bottom w:val="single" w:color="auto" w:sz="2" w:space="0"/>
            </w:tcBorders>
            <w:noWrap/>
            <w:vAlign w:val="center"/>
          </w:tcPr>
          <w:p>
            <w:pPr>
              <w:jc w:val="center"/>
              <w:rPr>
                <w:sz w:val="18"/>
                <w:szCs w:val="18"/>
              </w:rPr>
            </w:pPr>
            <w:r>
              <w:rPr>
                <w:rFonts w:hint="eastAsia"/>
                <w:sz w:val="18"/>
                <w:szCs w:val="18"/>
              </w:rPr>
              <w:t>当量值</w:t>
            </w:r>
          </w:p>
        </w:tc>
        <w:tc>
          <w:tcPr>
            <w:tcW w:w="884" w:type="dxa"/>
            <w:tcBorders>
              <w:bottom w:val="single" w:color="auto" w:sz="2" w:space="0"/>
            </w:tcBorders>
            <w:noWrap/>
            <w:vAlign w:val="center"/>
          </w:tcPr>
          <w:p>
            <w:pPr>
              <w:jc w:val="center"/>
              <w:rPr>
                <w:sz w:val="18"/>
                <w:szCs w:val="18"/>
              </w:rPr>
            </w:pPr>
            <w:r>
              <w:rPr>
                <w:rFonts w:hint="eastAsia"/>
                <w:sz w:val="18"/>
                <w:szCs w:val="18"/>
              </w:rPr>
              <w:t>等价值</w:t>
            </w:r>
          </w:p>
        </w:tc>
        <w:tc>
          <w:tcPr>
            <w:tcW w:w="883" w:type="dxa"/>
            <w:vMerge w:val="continue"/>
            <w:tcBorders>
              <w:bottom w:val="single" w:color="auto" w:sz="2" w:space="0"/>
            </w:tcBorders>
            <w:noWrap/>
            <w:vAlign w:val="center"/>
          </w:tcPr>
          <w:p>
            <w:pPr>
              <w:jc w:val="center"/>
              <w:rPr>
                <w:sz w:val="18"/>
                <w:szCs w:val="18"/>
              </w:rPr>
            </w:pPr>
          </w:p>
        </w:tc>
        <w:tc>
          <w:tcPr>
            <w:tcW w:w="884" w:type="dxa"/>
            <w:tcBorders>
              <w:bottom w:val="single" w:color="auto" w:sz="2" w:space="0"/>
              <w:right w:val="single" w:color="auto" w:sz="4" w:space="0"/>
            </w:tcBorders>
            <w:noWrap/>
            <w:vAlign w:val="center"/>
          </w:tcPr>
          <w:p>
            <w:pPr>
              <w:jc w:val="center"/>
              <w:rPr>
                <w:sz w:val="18"/>
                <w:szCs w:val="18"/>
              </w:rPr>
            </w:pPr>
            <w:r>
              <w:rPr>
                <w:rFonts w:hint="eastAsia"/>
                <w:sz w:val="18"/>
                <w:szCs w:val="18"/>
              </w:rPr>
              <w:t>当量值</w:t>
            </w:r>
          </w:p>
        </w:tc>
        <w:tc>
          <w:tcPr>
            <w:tcW w:w="884" w:type="dxa"/>
            <w:tcBorders>
              <w:left w:val="single" w:color="auto" w:sz="4" w:space="0"/>
              <w:bottom w:val="single" w:color="auto" w:sz="2" w:space="0"/>
            </w:tcBorders>
            <w:noWrap/>
            <w:vAlign w:val="center"/>
          </w:tcPr>
          <w:p>
            <w:pPr>
              <w:jc w:val="center"/>
              <w:rPr>
                <w:sz w:val="18"/>
                <w:szCs w:val="18"/>
              </w:rPr>
            </w:pPr>
            <w:r>
              <w:rPr>
                <w:rFonts w:hint="eastAsia"/>
                <w:sz w:val="18"/>
                <w:szCs w:val="18"/>
              </w:rPr>
              <w:t>等价值</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91"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32</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33</w:t>
            </w:r>
          </w:p>
        </w:tc>
        <w:tc>
          <w:tcPr>
            <w:tcW w:w="889"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34</w:t>
            </w:r>
          </w:p>
        </w:tc>
        <w:tc>
          <w:tcPr>
            <w:tcW w:w="878"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35</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36</w:t>
            </w:r>
          </w:p>
        </w:tc>
        <w:tc>
          <w:tcPr>
            <w:tcW w:w="883"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37</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38</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39</w:t>
            </w:r>
          </w:p>
        </w:tc>
        <w:tc>
          <w:tcPr>
            <w:tcW w:w="883"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40</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41</w:t>
            </w:r>
          </w:p>
        </w:tc>
        <w:tc>
          <w:tcPr>
            <w:tcW w:w="884" w:type="dxa"/>
            <w:tcBorders>
              <w:top w:val="single" w:color="auto" w:sz="2" w:space="0"/>
              <w:bottom w:val="single" w:color="auto" w:sz="8" w:space="0"/>
            </w:tcBorders>
            <w:noWrap/>
            <w:vAlign w:val="center"/>
          </w:tcPr>
          <w:p>
            <w:pPr>
              <w:jc w:val="center"/>
              <w:rPr>
                <w:rFonts w:ascii="宋体" w:hAnsi="宋体"/>
                <w:sz w:val="18"/>
                <w:szCs w:val="18"/>
              </w:rPr>
            </w:pPr>
            <w:r>
              <w:rPr>
                <w:rFonts w:hint="eastAsia" w:ascii="宋体" w:hAnsi="宋体"/>
                <w:sz w:val="18"/>
                <w:szCs w:val="18"/>
              </w:rPr>
              <w:t>42</w:t>
            </w:r>
          </w:p>
        </w:tc>
      </w:tr>
    </w:tbl>
    <w:p>
      <w:pPr>
        <w:spacing w:line="260" w:lineRule="exact"/>
        <w:ind w:right="-4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w:t>
      </w:r>
      <w:r>
        <w:rPr>
          <w:rFonts w:hint="eastAsia" w:asciiTheme="minorEastAsia" w:hAnsiTheme="minorEastAsia" w:eastAsiaTheme="minorEastAsia" w:cstheme="minorEastAsia"/>
          <w:kern w:val="0"/>
          <w:sz w:val="18"/>
          <w:szCs w:val="18"/>
        </w:rPr>
        <w:t>位负责人：         统计负责人：         填表人：         联系电话：         报出日期：２０    年  月  日</w:t>
      </w:r>
    </w:p>
    <w:p>
      <w:pPr>
        <w:spacing w:line="260" w:lineRule="exact"/>
        <w:ind w:right="-42"/>
        <w:rPr>
          <w:rFonts w:asciiTheme="minorEastAsia" w:hAnsiTheme="minorEastAsia" w:eastAsiaTheme="minorEastAsia" w:cstheme="minorEastAsia"/>
          <w:sz w:val="18"/>
        </w:rPr>
      </w:pPr>
    </w:p>
    <w:p>
      <w:pPr>
        <w:spacing w:line="260" w:lineRule="exact"/>
        <w:ind w:left="723" w:right="-42" w:hanging="722" w:hangingChars="400"/>
        <w:rPr>
          <w:rFonts w:asciiTheme="minorEastAsia" w:hAnsiTheme="minorEastAsia" w:eastAsiaTheme="minorEastAsia" w:cstheme="minorEastAsia"/>
          <w:sz w:val="18"/>
        </w:rPr>
      </w:pPr>
      <w:r>
        <w:rPr>
          <w:rFonts w:hint="eastAsia" w:asciiTheme="minorEastAsia" w:hAnsiTheme="minorEastAsia" w:eastAsiaTheme="minorEastAsia" w:cstheme="minorEastAsia"/>
          <w:b/>
          <w:sz w:val="18"/>
        </w:rPr>
        <w:t>说明</w:t>
      </w:r>
      <w:r>
        <w:rPr>
          <w:rFonts w:hint="eastAsia" w:asciiTheme="minorEastAsia" w:hAnsiTheme="minorEastAsia" w:eastAsiaTheme="minorEastAsia" w:cstheme="minorEastAsia"/>
          <w:sz w:val="18"/>
        </w:rPr>
        <w:t>：1.本表由各区统计机构负责报送。</w:t>
      </w:r>
      <w:r>
        <w:rPr>
          <w:rFonts w:hint="eastAsia" w:asciiTheme="minorEastAsia" w:hAnsiTheme="minorEastAsia" w:eastAsiaTheme="minorEastAsia" w:cstheme="minorEastAsia"/>
          <w:sz w:val="18"/>
          <w:szCs w:val="18"/>
        </w:rPr>
        <w:t>报送时间为次年5月30日前，报送方式为电子邮件</w:t>
      </w:r>
      <w:r>
        <w:rPr>
          <w:rFonts w:hint="eastAsia" w:asciiTheme="minorEastAsia" w:hAnsiTheme="minorEastAsia" w:eastAsiaTheme="minorEastAsia" w:cstheme="minorEastAsia"/>
          <w:sz w:val="18"/>
        </w:rPr>
        <w:t>（gzstjjnyc@gz.gov.cn）</w:t>
      </w:r>
      <w:r>
        <w:rPr>
          <w:rFonts w:hint="eastAsia" w:asciiTheme="minorEastAsia" w:hAnsiTheme="minorEastAsia" w:eastAsiaTheme="minorEastAsia" w:cstheme="minorEastAsia"/>
          <w:sz w:val="18"/>
          <w:szCs w:val="18"/>
        </w:rPr>
        <w:t>。</w:t>
      </w:r>
    </w:p>
    <w:p>
      <w:pPr>
        <w:spacing w:line="260" w:lineRule="exact"/>
        <w:ind w:right="-42" w:firstLine="540" w:firstLineChars="3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2.平衡关系：</w:t>
      </w:r>
    </w:p>
    <w:p>
      <w:pPr>
        <w:spacing w:line="260" w:lineRule="exact"/>
        <w:ind w:right="-40" w:firstLine="704" w:firstLineChars="4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pacing w:val="-2"/>
          <w:sz w:val="18"/>
          <w:szCs w:val="18"/>
        </w:rPr>
        <w:t>列平衡关系：(1)</w:t>
      </w:r>
      <w:r>
        <w:rPr>
          <w:rFonts w:hint="eastAsia" w:asciiTheme="minorEastAsia" w:hAnsiTheme="minorEastAsia" w:eastAsiaTheme="minorEastAsia" w:cstheme="minorEastAsia"/>
          <w:sz w:val="18"/>
          <w:szCs w:val="18"/>
        </w:rPr>
        <w:t>合计当量值(41)=1+10+……+17+32+……+37+38+40</w:t>
      </w:r>
    </w:p>
    <w:p>
      <w:pPr>
        <w:spacing w:line="260" w:lineRule="exact"/>
        <w:ind w:firstLine="1800" w:firstLineChars="10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(2)合计等价值(42)=1+10+……+17+32+……+37+39+40</w:t>
      </w:r>
    </w:p>
    <w:p>
      <w:pPr>
        <w:spacing w:line="260" w:lineRule="exact"/>
        <w:ind w:right="-42" w:firstLine="720" w:firstLineChars="4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行平衡关系：与行业分类目录平衡关系一致。</w:t>
      </w:r>
    </w:p>
    <w:p>
      <w:pPr>
        <w:pStyle w:val="20"/>
        <w:ind w:left="420" w:firstLine="420"/>
      </w:pPr>
    </w:p>
    <w:p>
      <w:pPr>
        <w:spacing w:line="240" w:lineRule="exact"/>
        <w:ind w:right="-40"/>
        <w:rPr>
          <w:rFonts w:ascii="宋体" w:hAnsi="宋体"/>
          <w:sz w:val="18"/>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13"/>
        <w:gridCol w:w="503"/>
        <w:gridCol w:w="1113"/>
        <w:gridCol w:w="1114"/>
        <w:gridCol w:w="1645"/>
        <w:gridCol w:w="770"/>
        <w:gridCol w:w="875"/>
        <w:gridCol w:w="1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400" w:hRule="atLeast"/>
          <w:jc w:val="center"/>
        </w:trPr>
        <w:tc>
          <w:tcPr>
            <w:tcW w:w="1813" w:type="dxa"/>
            <w:tcBorders>
              <w:top w:val="nil"/>
              <w:left w:val="nil"/>
              <w:bottom w:val="single" w:color="auto" w:sz="4" w:space="0"/>
              <w:right w:val="nil"/>
            </w:tcBorders>
            <w:noWrap/>
            <w:vAlign w:val="bottom"/>
          </w:tcPr>
          <w:p>
            <w:pPr>
              <w:spacing w:line="260" w:lineRule="exact"/>
              <w:ind w:right="-50"/>
              <w:rPr>
                <w:rFonts w:ascii="宋体" w:hAnsi="宋体"/>
                <w:sz w:val="18"/>
              </w:rPr>
            </w:pPr>
            <w:bookmarkStart w:id="0" w:name="_Hlk146623882"/>
            <w:bookmarkStart w:id="1" w:name="_Hlk146623883"/>
          </w:p>
          <w:p>
            <w:pPr>
              <w:spacing w:line="260" w:lineRule="exact"/>
              <w:ind w:right="-50"/>
              <w:rPr>
                <w:rFonts w:ascii="宋体" w:hAnsi="宋体"/>
                <w:sz w:val="18"/>
              </w:rPr>
            </w:pPr>
          </w:p>
          <w:p>
            <w:pPr>
              <w:spacing w:line="260" w:lineRule="exact"/>
              <w:ind w:right="-50"/>
              <w:rPr>
                <w:rFonts w:ascii="宋体" w:hAnsi="宋体"/>
                <w:sz w:val="18"/>
              </w:rPr>
            </w:pPr>
          </w:p>
          <w:p>
            <w:pPr>
              <w:spacing w:line="260" w:lineRule="exact"/>
              <w:ind w:right="-50"/>
              <w:rPr>
                <w:rFonts w:ascii="宋体" w:hAnsi="宋体"/>
                <w:sz w:val="18"/>
              </w:rPr>
            </w:pPr>
            <w:r>
              <w:rPr>
                <w:rFonts w:hint="eastAsia" w:ascii="宋体" w:hAnsi="宋体"/>
                <w:sz w:val="18"/>
              </w:rPr>
              <w:t>综合机关名称：</w:t>
            </w:r>
          </w:p>
        </w:tc>
        <w:tc>
          <w:tcPr>
            <w:tcW w:w="5145" w:type="dxa"/>
            <w:gridSpan w:val="5"/>
            <w:tcBorders>
              <w:top w:val="nil"/>
              <w:left w:val="nil"/>
              <w:bottom w:val="single" w:color="auto" w:sz="4" w:space="0"/>
              <w:right w:val="nil"/>
            </w:tcBorders>
            <w:noWrap/>
            <w:vAlign w:val="center"/>
          </w:tcPr>
          <w:p>
            <w:pPr>
              <w:snapToGrid w:val="0"/>
              <w:spacing w:line="400" w:lineRule="exact"/>
              <w:jc w:val="center"/>
              <w:rPr>
                <w:rFonts w:ascii="宋体" w:hAnsi="宋体"/>
                <w:b/>
                <w:sz w:val="32"/>
              </w:rPr>
            </w:pPr>
            <w:r>
              <w:rPr>
                <w:rFonts w:hint="eastAsia" w:ascii="宋体" w:hAnsi="宋体"/>
                <w:b/>
                <w:sz w:val="32"/>
              </w:rPr>
              <w:t>铁路企业主要能源消费与库存</w:t>
            </w:r>
          </w:p>
          <w:p>
            <w:pPr>
              <w:snapToGrid w:val="0"/>
              <w:spacing w:line="400" w:lineRule="exact"/>
              <w:jc w:val="center"/>
              <w:rPr>
                <w:rFonts w:ascii="方正小标宋_GBK" w:hAnsi="宋体" w:eastAsia="方正小标宋_GBK"/>
                <w:sz w:val="18"/>
              </w:rPr>
            </w:pPr>
          </w:p>
          <w:p>
            <w:pPr>
              <w:spacing w:line="260" w:lineRule="exact"/>
              <w:rPr>
                <w:rFonts w:ascii="宋体" w:hAnsi="宋体"/>
                <w:sz w:val="18"/>
              </w:rPr>
            </w:pPr>
          </w:p>
          <w:p>
            <w:pPr>
              <w:spacing w:line="260" w:lineRule="exact"/>
              <w:jc w:val="center"/>
              <w:rPr>
                <w:rFonts w:ascii="宋体" w:hAnsi="宋体"/>
                <w:sz w:val="18"/>
              </w:rPr>
            </w:pPr>
            <w:r>
              <w:rPr>
                <w:rFonts w:hint="eastAsia" w:ascii="宋体" w:hAnsi="宋体"/>
                <w:sz w:val="18"/>
              </w:rPr>
              <w:t>２０ 　年</w:t>
            </w:r>
          </w:p>
        </w:tc>
        <w:tc>
          <w:tcPr>
            <w:tcW w:w="2706" w:type="dxa"/>
            <w:gridSpan w:val="2"/>
            <w:tcBorders>
              <w:top w:val="nil"/>
              <w:left w:val="nil"/>
              <w:bottom w:val="single" w:color="auto" w:sz="4" w:space="0"/>
              <w:right w:val="nil"/>
            </w:tcBorders>
            <w:noWrap/>
            <w:vAlign w:val="bottom"/>
          </w:tcPr>
          <w:p>
            <w:pPr>
              <w:spacing w:line="240" w:lineRule="exact"/>
              <w:ind w:right="-40"/>
              <w:rPr>
                <w:sz w:val="18"/>
              </w:rPr>
            </w:pPr>
          </w:p>
          <w:p>
            <w:pPr>
              <w:spacing w:line="240" w:lineRule="exact"/>
              <w:ind w:right="-40"/>
              <w:rPr>
                <w:sz w:val="18"/>
              </w:rPr>
            </w:pPr>
          </w:p>
          <w:p>
            <w:pPr>
              <w:spacing w:line="240" w:lineRule="exact"/>
              <w:ind w:right="-40"/>
              <w:jc w:val="distribute"/>
              <w:rPr>
                <w:sz w:val="18"/>
              </w:rPr>
            </w:pPr>
            <w:r>
              <w:rPr>
                <w:rFonts w:hint="eastAsia"/>
                <w:sz w:val="18"/>
              </w:rPr>
              <w:t>表    号：</w:t>
            </w:r>
            <w:r>
              <w:rPr>
                <w:rFonts w:hint="eastAsia"/>
                <w:sz w:val="18"/>
                <w:lang w:val="en-US" w:eastAsia="zh-CN"/>
              </w:rPr>
              <w:t xml:space="preserve"> </w:t>
            </w:r>
            <w:r>
              <w:rPr>
                <w:rFonts w:hint="eastAsia" w:ascii="宋体" w:hAnsi="宋体" w:cs="宋体"/>
                <w:bCs/>
                <w:spacing w:val="10"/>
                <w:kern w:val="0"/>
                <w:sz w:val="18"/>
                <w:szCs w:val="18"/>
              </w:rPr>
              <w:t xml:space="preserve">T  L </w:t>
            </w:r>
            <w:r>
              <w:rPr>
                <w:rFonts w:hint="eastAsia"/>
                <w:spacing w:val="10"/>
                <w:sz w:val="18"/>
                <w:szCs w:val="18"/>
              </w:rPr>
              <w:t xml:space="preserve">３ ０ </w:t>
            </w:r>
            <w:r>
              <w:rPr>
                <w:rFonts w:hint="eastAsia" w:ascii="宋体" w:hAnsi="宋体"/>
                <w:spacing w:val="10"/>
                <w:sz w:val="18"/>
                <w:szCs w:val="18"/>
              </w:rPr>
              <w:t xml:space="preserve">１ </w:t>
            </w:r>
            <w:r>
              <w:rPr>
                <w:rFonts w:hint="eastAsia"/>
                <w:spacing w:val="10"/>
                <w:sz w:val="18"/>
                <w:szCs w:val="18"/>
              </w:rPr>
              <w:t>表</w:t>
            </w:r>
          </w:p>
          <w:p>
            <w:pPr>
              <w:spacing w:line="240" w:lineRule="exact"/>
              <w:ind w:right="-40"/>
              <w:jc w:val="distribute"/>
              <w:rPr>
                <w:sz w:val="18"/>
              </w:rPr>
            </w:pPr>
            <w:r>
              <w:rPr>
                <w:rFonts w:hint="eastAsia"/>
                <w:sz w:val="18"/>
              </w:rPr>
              <w:t>制表机关：</w:t>
            </w:r>
            <w:r>
              <w:rPr>
                <w:rFonts w:hint="eastAsia"/>
                <w:spacing w:val="30"/>
                <w:sz w:val="18"/>
                <w:szCs w:val="18"/>
              </w:rPr>
              <w:t>国 家 统 计 局</w:t>
            </w:r>
          </w:p>
          <w:p>
            <w:pPr>
              <w:spacing w:line="280" w:lineRule="exact"/>
              <w:jc w:val="distribute"/>
              <w:rPr>
                <w:rFonts w:ascii="宋体" w:hAnsi="宋体"/>
                <w:color w:val="auto"/>
                <w:sz w:val="18"/>
              </w:rPr>
            </w:pPr>
            <w:r>
              <w:rPr>
                <w:rFonts w:hint="eastAsia" w:ascii="宋体" w:hAnsi="宋体"/>
                <w:sz w:val="18"/>
              </w:rPr>
              <w:t>文</w:t>
            </w:r>
            <w:r>
              <w:rPr>
                <w:rFonts w:ascii="宋体" w:hAnsi="宋体"/>
                <w:sz w:val="18"/>
              </w:rPr>
              <w:t xml:space="preserve">    号：</w:t>
            </w:r>
            <w:r>
              <w:rPr>
                <w:rFonts w:hint="eastAsia" w:ascii="宋体" w:hAnsi="宋体"/>
                <w:color w:val="auto"/>
                <w:sz w:val="18"/>
                <w:szCs w:val="18"/>
              </w:rPr>
              <w:t>国统字〔202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color w:val="auto"/>
                <w:sz w:val="18"/>
                <w:szCs w:val="18"/>
              </w:rPr>
              <w:t>号</w:t>
            </w:r>
          </w:p>
          <w:p>
            <w:pPr>
              <w:spacing w:line="260" w:lineRule="exact"/>
              <w:jc w:val="distribute"/>
              <w:rPr>
                <w:rFonts w:ascii="宋体" w:hAnsi="宋体"/>
                <w:sz w:val="18"/>
              </w:rPr>
            </w:pPr>
            <w:r>
              <w:rPr>
                <w:rFonts w:hint="eastAsia" w:ascii="宋体" w:hAnsi="宋体"/>
                <w:color w:val="auto"/>
                <w:sz w:val="18"/>
              </w:rPr>
              <w:t>有效期至：</w:t>
            </w:r>
            <w:r>
              <w:rPr>
                <w:rFonts w:hint="eastAsia" w:ascii="宋体" w:hAnsi="宋体"/>
                <w:color w:val="auto"/>
                <w:sz w:val="18"/>
                <w:lang w:val="en-US" w:eastAsia="zh-CN"/>
              </w:rPr>
              <w:t xml:space="preserve"> </w:t>
            </w:r>
            <w:r>
              <w:rPr>
                <w:rFonts w:hint="eastAsia" w:ascii="宋体" w:hAnsi="宋体"/>
                <w:color w:val="auto"/>
                <w:spacing w:val="10"/>
                <w:sz w:val="18"/>
                <w:szCs w:val="18"/>
              </w:rPr>
              <w:t>２０２</w:t>
            </w:r>
            <w:r>
              <w:rPr>
                <w:rFonts w:hint="eastAsia" w:ascii="宋体" w:hAnsi="宋体"/>
                <w:color w:val="auto"/>
                <w:spacing w:val="10"/>
                <w:sz w:val="18"/>
                <w:szCs w:val="18"/>
                <w:lang w:val="en-US" w:eastAsia="zh-CN"/>
              </w:rPr>
              <w:t xml:space="preserve"> 6</w:t>
            </w:r>
            <w:r>
              <w:rPr>
                <w:rFonts w:ascii="宋体" w:hAnsi="宋体"/>
                <w:color w:val="auto"/>
                <w:spacing w:val="10"/>
                <w:sz w:val="18"/>
                <w:szCs w:val="18"/>
              </w:rPr>
              <w:t>年</w:t>
            </w:r>
            <w:r>
              <w:rPr>
                <w:rFonts w:hint="eastAsia" w:ascii="宋体" w:hAnsi="宋体"/>
                <w:spacing w:val="10"/>
                <w:sz w:val="18"/>
                <w:szCs w:val="18"/>
              </w:rPr>
              <w:t xml:space="preserve"> ６ </w:t>
            </w:r>
            <w:r>
              <w:rPr>
                <w:rFonts w:ascii="宋体" w:hAnsi="宋体"/>
                <w:spacing w:val="10"/>
                <w:sz w:val="18"/>
                <w:szCs w:val="18"/>
              </w:rPr>
              <w:t>月</w:t>
            </w:r>
          </w:p>
        </w:tc>
      </w:tr>
      <w:bookmarkEnd w:id="0"/>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exact"/>
          <w:jc w:val="center"/>
        </w:trPr>
        <w:tc>
          <w:tcPr>
            <w:tcW w:w="2316" w:type="dxa"/>
            <w:gridSpan w:val="2"/>
            <w:tcBorders>
              <w:top w:val="single" w:color="auto" w:sz="8" w:space="0"/>
              <w:left w:val="nil"/>
              <w:bottom w:val="single" w:color="auto" w:sz="4" w:space="0"/>
              <w:right w:val="single" w:color="auto" w:sz="4" w:space="0"/>
            </w:tcBorders>
            <w:noWrap/>
            <w:vAlign w:val="center"/>
          </w:tcPr>
          <w:p>
            <w:pPr>
              <w:spacing w:line="260" w:lineRule="exact"/>
              <w:ind w:right="-50"/>
              <w:rPr>
                <w:rFonts w:ascii="宋体" w:hAnsi="宋体"/>
                <w:sz w:val="18"/>
              </w:rPr>
            </w:pPr>
            <w:r>
              <w:rPr>
                <w:rFonts w:hint="eastAsia" w:ascii="宋体" w:hAnsi="宋体"/>
                <w:sz w:val="18"/>
              </w:rPr>
              <w:t>品种</w:t>
            </w:r>
          </w:p>
        </w:tc>
        <w:tc>
          <w:tcPr>
            <w:tcW w:w="1113" w:type="dxa"/>
            <w:tcBorders>
              <w:top w:val="single" w:color="auto" w:sz="8" w:space="0"/>
              <w:left w:val="single" w:color="auto" w:sz="4" w:space="0"/>
              <w:bottom w:val="single" w:color="auto" w:sz="4" w:space="0"/>
              <w:right w:val="single" w:color="auto" w:sz="4" w:space="0"/>
            </w:tcBorders>
            <w:noWrap/>
            <w:vAlign w:val="center"/>
          </w:tcPr>
          <w:p>
            <w:pPr>
              <w:spacing w:line="260" w:lineRule="exact"/>
              <w:rPr>
                <w:rFonts w:ascii="宋体" w:hAnsi="宋体"/>
                <w:sz w:val="18"/>
              </w:rPr>
            </w:pPr>
            <w:r>
              <w:rPr>
                <w:rFonts w:hint="eastAsia" w:ascii="宋体" w:hAnsi="宋体"/>
                <w:sz w:val="18"/>
              </w:rPr>
              <w:t>计量单位</w:t>
            </w:r>
          </w:p>
        </w:tc>
        <w:tc>
          <w:tcPr>
            <w:tcW w:w="1114" w:type="dxa"/>
            <w:tcBorders>
              <w:top w:val="single" w:color="auto" w:sz="8" w:space="0"/>
              <w:left w:val="single" w:color="auto" w:sz="4" w:space="0"/>
              <w:bottom w:val="single" w:color="auto" w:sz="4" w:space="0"/>
              <w:right w:val="single" w:color="auto" w:sz="4" w:space="0"/>
            </w:tcBorders>
            <w:noWrap/>
            <w:vAlign w:val="center"/>
          </w:tcPr>
          <w:p>
            <w:pPr>
              <w:spacing w:line="260" w:lineRule="exact"/>
              <w:ind w:right="4"/>
              <w:rPr>
                <w:rFonts w:ascii="宋体" w:hAnsi="宋体"/>
                <w:sz w:val="18"/>
              </w:rPr>
            </w:pPr>
            <w:r>
              <w:rPr>
                <w:rFonts w:hint="eastAsia" w:ascii="宋体" w:hAnsi="宋体"/>
                <w:sz w:val="18"/>
              </w:rPr>
              <w:t>代码</w:t>
            </w:r>
          </w:p>
        </w:tc>
        <w:tc>
          <w:tcPr>
            <w:tcW w:w="1645" w:type="dxa"/>
            <w:tcBorders>
              <w:top w:val="single" w:color="auto" w:sz="8" w:space="0"/>
              <w:left w:val="single" w:color="auto" w:sz="4" w:space="0"/>
              <w:bottom w:val="single" w:color="auto" w:sz="4" w:space="0"/>
              <w:right w:val="single" w:color="auto" w:sz="4" w:space="0"/>
            </w:tcBorders>
            <w:noWrap/>
            <w:vAlign w:val="center"/>
          </w:tcPr>
          <w:p>
            <w:pPr>
              <w:spacing w:line="260" w:lineRule="exact"/>
              <w:jc w:val="center"/>
              <w:rPr>
                <w:rFonts w:ascii="宋体" w:hAnsi="宋体"/>
                <w:sz w:val="18"/>
              </w:rPr>
            </w:pPr>
            <w:r>
              <w:rPr>
                <w:rFonts w:hint="eastAsia" w:ascii="宋体" w:hAnsi="宋体"/>
                <w:sz w:val="18"/>
              </w:rPr>
              <w:t>期初库存量</w:t>
            </w:r>
          </w:p>
        </w:tc>
        <w:tc>
          <w:tcPr>
            <w:tcW w:w="1645" w:type="dxa"/>
            <w:gridSpan w:val="2"/>
            <w:tcBorders>
              <w:top w:val="single" w:color="auto" w:sz="8" w:space="0"/>
              <w:left w:val="single" w:color="auto" w:sz="4" w:space="0"/>
              <w:bottom w:val="single" w:color="auto" w:sz="4" w:space="0"/>
              <w:right w:val="nil"/>
            </w:tcBorders>
            <w:noWrap/>
            <w:vAlign w:val="center"/>
          </w:tcPr>
          <w:p>
            <w:pPr>
              <w:spacing w:line="260" w:lineRule="exact"/>
              <w:jc w:val="center"/>
              <w:rPr>
                <w:rFonts w:ascii="宋体" w:hAnsi="宋体"/>
                <w:sz w:val="18"/>
              </w:rPr>
            </w:pPr>
            <w:r>
              <w:rPr>
                <w:rFonts w:hint="eastAsia" w:ascii="宋体" w:hAnsi="宋体"/>
                <w:sz w:val="18"/>
              </w:rPr>
              <w:t>本年消费量</w:t>
            </w:r>
          </w:p>
        </w:tc>
        <w:tc>
          <w:tcPr>
            <w:tcW w:w="1831" w:type="dxa"/>
            <w:tcBorders>
              <w:top w:val="single" w:color="auto" w:sz="8" w:space="0"/>
              <w:left w:val="single" w:color="auto" w:sz="4" w:space="0"/>
              <w:bottom w:val="single" w:color="auto" w:sz="4" w:space="0"/>
              <w:right w:val="nil"/>
            </w:tcBorders>
            <w:noWrap/>
            <w:vAlign w:val="center"/>
          </w:tcPr>
          <w:p>
            <w:pPr>
              <w:spacing w:line="260" w:lineRule="exact"/>
              <w:jc w:val="center"/>
              <w:rPr>
                <w:rFonts w:ascii="宋体" w:hAnsi="宋体"/>
                <w:sz w:val="18"/>
              </w:rPr>
            </w:pPr>
            <w:r>
              <w:rPr>
                <w:rFonts w:hint="eastAsia" w:ascii="宋体" w:hAnsi="宋体"/>
                <w:sz w:val="18"/>
              </w:rPr>
              <w:t>期末库存量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5" w:hRule="exact"/>
          <w:jc w:val="center"/>
        </w:trPr>
        <w:tc>
          <w:tcPr>
            <w:tcW w:w="2316" w:type="dxa"/>
            <w:gridSpan w:val="2"/>
            <w:tcBorders>
              <w:top w:val="single" w:color="auto" w:sz="4" w:space="0"/>
              <w:left w:val="nil"/>
              <w:bottom w:val="single" w:color="auto" w:sz="4" w:space="0"/>
              <w:right w:val="single" w:color="auto" w:sz="4" w:space="0"/>
            </w:tcBorders>
            <w:noWrap/>
            <w:vAlign w:val="center"/>
          </w:tcPr>
          <w:p>
            <w:pPr>
              <w:spacing w:line="260" w:lineRule="exact"/>
              <w:ind w:right="-50"/>
              <w:jc w:val="center"/>
              <w:rPr>
                <w:rFonts w:ascii="宋体" w:hAnsi="宋体"/>
                <w:sz w:val="18"/>
              </w:rPr>
            </w:pPr>
            <w:r>
              <w:rPr>
                <w:rFonts w:hint="eastAsia" w:ascii="宋体" w:hAnsi="宋体"/>
                <w:sz w:val="18"/>
              </w:rPr>
              <w:t>甲</w:t>
            </w:r>
          </w:p>
        </w:tc>
        <w:tc>
          <w:tcPr>
            <w:tcW w:w="1113"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ascii="宋体" w:hAnsi="宋体"/>
                <w:sz w:val="18"/>
              </w:rPr>
            </w:pPr>
            <w:r>
              <w:rPr>
                <w:rFonts w:hint="eastAsia" w:ascii="宋体" w:hAnsi="宋体"/>
                <w:sz w:val="18"/>
              </w:rPr>
              <w:t>乙</w:t>
            </w:r>
          </w:p>
        </w:tc>
        <w:tc>
          <w:tcPr>
            <w:tcW w:w="1114" w:type="dxa"/>
            <w:tcBorders>
              <w:top w:val="single" w:color="auto" w:sz="4" w:space="0"/>
              <w:left w:val="single" w:color="auto" w:sz="4" w:space="0"/>
              <w:bottom w:val="single" w:color="auto" w:sz="4" w:space="0"/>
              <w:right w:val="single" w:color="auto" w:sz="4" w:space="0"/>
            </w:tcBorders>
            <w:noWrap/>
            <w:vAlign w:val="center"/>
          </w:tcPr>
          <w:p>
            <w:pPr>
              <w:spacing w:line="260" w:lineRule="exact"/>
              <w:ind w:right="4"/>
              <w:jc w:val="center"/>
              <w:rPr>
                <w:rFonts w:ascii="宋体" w:hAnsi="宋体"/>
                <w:sz w:val="18"/>
              </w:rPr>
            </w:pPr>
            <w:r>
              <w:rPr>
                <w:rFonts w:hint="eastAsia" w:ascii="宋体" w:hAnsi="宋体"/>
                <w:sz w:val="18"/>
              </w:rPr>
              <w:t>丙</w:t>
            </w:r>
          </w:p>
        </w:tc>
        <w:tc>
          <w:tcPr>
            <w:tcW w:w="1645"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ascii="宋体" w:hAnsi="宋体"/>
                <w:sz w:val="18"/>
              </w:rPr>
            </w:pPr>
            <w:r>
              <w:rPr>
                <w:rFonts w:ascii="宋体" w:hAnsi="宋体"/>
                <w:sz w:val="18"/>
              </w:rPr>
              <w:t>1</w:t>
            </w:r>
          </w:p>
        </w:tc>
        <w:tc>
          <w:tcPr>
            <w:tcW w:w="1645" w:type="dxa"/>
            <w:gridSpan w:val="2"/>
            <w:tcBorders>
              <w:top w:val="single" w:color="auto" w:sz="4" w:space="0"/>
              <w:left w:val="single" w:color="auto" w:sz="4" w:space="0"/>
              <w:bottom w:val="single" w:color="auto" w:sz="4" w:space="0"/>
              <w:right w:val="nil"/>
            </w:tcBorders>
            <w:noWrap/>
            <w:vAlign w:val="center"/>
          </w:tcPr>
          <w:p>
            <w:pPr>
              <w:spacing w:line="260" w:lineRule="exact"/>
              <w:jc w:val="center"/>
              <w:rPr>
                <w:rFonts w:ascii="宋体" w:hAnsi="宋体"/>
                <w:sz w:val="18"/>
              </w:rPr>
            </w:pPr>
            <w:r>
              <w:rPr>
                <w:rFonts w:ascii="宋体" w:hAnsi="宋体"/>
                <w:sz w:val="18"/>
              </w:rPr>
              <w:t>2</w:t>
            </w:r>
          </w:p>
        </w:tc>
        <w:tc>
          <w:tcPr>
            <w:tcW w:w="1831" w:type="dxa"/>
            <w:tcBorders>
              <w:top w:val="single" w:color="auto" w:sz="4" w:space="0"/>
              <w:left w:val="single" w:color="auto" w:sz="4" w:space="0"/>
              <w:bottom w:val="single" w:color="auto" w:sz="4" w:space="0"/>
              <w:right w:val="nil"/>
            </w:tcBorders>
            <w:noWrap/>
            <w:vAlign w:val="center"/>
          </w:tcPr>
          <w:p>
            <w:pPr>
              <w:spacing w:line="260" w:lineRule="exact"/>
              <w:jc w:val="center"/>
              <w:rPr>
                <w:rFonts w:ascii="宋体" w:hAnsi="宋体"/>
                <w:sz w:val="18"/>
              </w:rPr>
            </w:pPr>
            <w:r>
              <w:rPr>
                <w:rFonts w:ascii="宋体" w:hAnsi="宋体"/>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316" w:type="dxa"/>
            <w:gridSpan w:val="2"/>
            <w:tcBorders>
              <w:top w:val="single" w:color="auto" w:sz="4" w:space="0"/>
              <w:left w:val="nil"/>
              <w:bottom w:val="single" w:color="auto" w:sz="8" w:space="0"/>
              <w:right w:val="single" w:color="auto" w:sz="4" w:space="0"/>
            </w:tcBorders>
            <w:noWrap/>
            <w:vAlign w:val="center"/>
          </w:tcPr>
          <w:p>
            <w:pPr>
              <w:spacing w:line="280" w:lineRule="exact"/>
              <w:ind w:right="-50"/>
              <w:jc w:val="center"/>
              <w:rPr>
                <w:rFonts w:ascii="宋体" w:hAnsi="宋体"/>
                <w:sz w:val="18"/>
              </w:rPr>
            </w:pPr>
            <w:r>
              <w:rPr>
                <w:rFonts w:hint="eastAsia" w:ascii="宋体" w:hAnsi="宋体"/>
                <w:sz w:val="18"/>
              </w:rPr>
              <w:t>煤      炭</w:t>
            </w:r>
          </w:p>
          <w:p>
            <w:pPr>
              <w:spacing w:line="280" w:lineRule="exact"/>
              <w:ind w:right="-50"/>
              <w:jc w:val="center"/>
              <w:rPr>
                <w:rFonts w:ascii="宋体" w:hAnsi="宋体"/>
                <w:sz w:val="18"/>
              </w:rPr>
            </w:pPr>
            <w:r>
              <w:rPr>
                <w:rFonts w:hint="eastAsia" w:ascii="宋体" w:hAnsi="宋体"/>
                <w:sz w:val="18"/>
              </w:rPr>
              <w:t>汽      油</w:t>
            </w:r>
          </w:p>
          <w:p>
            <w:pPr>
              <w:spacing w:line="280" w:lineRule="exact"/>
              <w:ind w:right="-50"/>
              <w:jc w:val="center"/>
              <w:rPr>
                <w:rFonts w:ascii="宋体" w:hAnsi="宋体"/>
                <w:sz w:val="18"/>
              </w:rPr>
            </w:pPr>
            <w:r>
              <w:rPr>
                <w:rFonts w:hint="eastAsia" w:ascii="宋体" w:hAnsi="宋体"/>
                <w:sz w:val="18"/>
              </w:rPr>
              <w:t>煤      油</w:t>
            </w:r>
          </w:p>
          <w:p>
            <w:pPr>
              <w:spacing w:line="280" w:lineRule="exact"/>
              <w:ind w:right="-50"/>
              <w:jc w:val="center"/>
              <w:rPr>
                <w:rFonts w:ascii="宋体" w:hAnsi="宋体"/>
                <w:sz w:val="18"/>
              </w:rPr>
            </w:pPr>
            <w:r>
              <w:rPr>
                <w:rFonts w:hint="eastAsia" w:ascii="宋体" w:hAnsi="宋体"/>
                <w:sz w:val="18"/>
              </w:rPr>
              <w:t>柴      油</w:t>
            </w:r>
          </w:p>
          <w:p>
            <w:pPr>
              <w:spacing w:line="280" w:lineRule="exact"/>
              <w:ind w:right="-50"/>
              <w:jc w:val="center"/>
              <w:rPr>
                <w:rFonts w:ascii="宋体" w:hAnsi="宋体"/>
                <w:sz w:val="18"/>
              </w:rPr>
            </w:pPr>
            <w:r>
              <w:rPr>
                <w:rFonts w:hint="eastAsia" w:ascii="宋体" w:hAnsi="宋体"/>
                <w:sz w:val="18"/>
              </w:rPr>
              <w:t>燃  料  油</w:t>
            </w:r>
          </w:p>
          <w:p>
            <w:pPr>
              <w:spacing w:line="280" w:lineRule="exact"/>
              <w:ind w:right="-50"/>
              <w:jc w:val="center"/>
              <w:rPr>
                <w:rFonts w:ascii="宋体" w:hAnsi="宋体"/>
                <w:sz w:val="18"/>
              </w:rPr>
            </w:pPr>
            <w:r>
              <w:rPr>
                <w:rFonts w:hint="eastAsia" w:ascii="宋体" w:hAnsi="宋体"/>
                <w:sz w:val="18"/>
              </w:rPr>
              <w:t>电      力</w:t>
            </w:r>
          </w:p>
        </w:tc>
        <w:tc>
          <w:tcPr>
            <w:tcW w:w="1113" w:type="dxa"/>
            <w:tcBorders>
              <w:top w:val="single" w:color="auto" w:sz="4" w:space="0"/>
              <w:left w:val="single" w:color="auto" w:sz="4" w:space="0"/>
              <w:bottom w:val="single" w:color="auto" w:sz="8" w:space="0"/>
              <w:right w:val="single" w:color="auto" w:sz="4" w:space="0"/>
            </w:tcBorders>
            <w:noWrap/>
            <w:vAlign w:val="center"/>
          </w:tcPr>
          <w:p>
            <w:pPr>
              <w:spacing w:line="280" w:lineRule="exact"/>
              <w:jc w:val="center"/>
              <w:rPr>
                <w:rFonts w:ascii="宋体" w:hAnsi="宋体"/>
                <w:sz w:val="18"/>
              </w:rPr>
            </w:pPr>
            <w:r>
              <w:rPr>
                <w:rFonts w:hint="eastAsia" w:ascii="宋体" w:hAnsi="宋体"/>
                <w:sz w:val="18"/>
              </w:rPr>
              <w:t>万吨</w:t>
            </w:r>
          </w:p>
          <w:p>
            <w:pPr>
              <w:spacing w:line="280" w:lineRule="exact"/>
              <w:jc w:val="center"/>
              <w:rPr>
                <w:rFonts w:ascii="宋体" w:hAnsi="宋体"/>
                <w:sz w:val="18"/>
              </w:rPr>
            </w:pPr>
            <w:r>
              <w:rPr>
                <w:rFonts w:hint="eastAsia" w:ascii="宋体" w:hAnsi="宋体"/>
                <w:sz w:val="18"/>
              </w:rPr>
              <w:t>吨</w:t>
            </w:r>
          </w:p>
          <w:p>
            <w:pPr>
              <w:spacing w:line="280" w:lineRule="exact"/>
              <w:jc w:val="center"/>
              <w:rPr>
                <w:rFonts w:ascii="宋体" w:hAnsi="宋体"/>
                <w:sz w:val="18"/>
              </w:rPr>
            </w:pPr>
            <w:r>
              <w:rPr>
                <w:rFonts w:hint="eastAsia" w:ascii="宋体" w:hAnsi="宋体"/>
                <w:sz w:val="18"/>
              </w:rPr>
              <w:t>吨</w:t>
            </w:r>
          </w:p>
          <w:p>
            <w:pPr>
              <w:spacing w:line="280" w:lineRule="exact"/>
              <w:jc w:val="center"/>
              <w:rPr>
                <w:rFonts w:ascii="宋体" w:hAnsi="宋体"/>
                <w:sz w:val="18"/>
              </w:rPr>
            </w:pPr>
            <w:r>
              <w:rPr>
                <w:rFonts w:hint="eastAsia" w:ascii="宋体" w:hAnsi="宋体"/>
                <w:sz w:val="18"/>
              </w:rPr>
              <w:t>吨</w:t>
            </w:r>
          </w:p>
          <w:p>
            <w:pPr>
              <w:spacing w:line="280" w:lineRule="exact"/>
              <w:jc w:val="center"/>
              <w:rPr>
                <w:rFonts w:ascii="宋体" w:hAnsi="宋体"/>
                <w:sz w:val="18"/>
              </w:rPr>
            </w:pPr>
            <w:r>
              <w:rPr>
                <w:rFonts w:hint="eastAsia" w:ascii="宋体" w:hAnsi="宋体"/>
                <w:sz w:val="18"/>
              </w:rPr>
              <w:t>吨</w:t>
            </w:r>
          </w:p>
          <w:p>
            <w:pPr>
              <w:spacing w:line="280" w:lineRule="exact"/>
              <w:jc w:val="center"/>
              <w:rPr>
                <w:rFonts w:ascii="宋体" w:hAnsi="宋体"/>
                <w:sz w:val="18"/>
              </w:rPr>
            </w:pPr>
            <w:r>
              <w:rPr>
                <w:rFonts w:hint="eastAsia" w:ascii="宋体" w:hAnsi="宋体"/>
                <w:sz w:val="18"/>
              </w:rPr>
              <w:t>万千瓦时</w:t>
            </w:r>
          </w:p>
        </w:tc>
        <w:tc>
          <w:tcPr>
            <w:tcW w:w="1114" w:type="dxa"/>
            <w:tcBorders>
              <w:top w:val="single" w:color="auto" w:sz="4" w:space="0"/>
              <w:left w:val="single" w:color="auto" w:sz="4" w:space="0"/>
              <w:bottom w:val="single" w:color="auto" w:sz="8" w:space="0"/>
              <w:right w:val="single" w:color="auto" w:sz="4" w:space="0"/>
            </w:tcBorders>
            <w:noWrap/>
            <w:vAlign w:val="center"/>
          </w:tcPr>
          <w:p>
            <w:pPr>
              <w:spacing w:line="280" w:lineRule="exact"/>
              <w:ind w:right="4"/>
              <w:jc w:val="center"/>
              <w:rPr>
                <w:rFonts w:ascii="宋体" w:hAnsi="宋体"/>
                <w:sz w:val="18"/>
              </w:rPr>
            </w:pPr>
            <w:r>
              <w:rPr>
                <w:rFonts w:hint="eastAsia" w:ascii="宋体" w:hAnsi="宋体"/>
                <w:sz w:val="18"/>
              </w:rPr>
              <w:t>01</w:t>
            </w:r>
          </w:p>
          <w:p>
            <w:pPr>
              <w:spacing w:line="280" w:lineRule="exact"/>
              <w:ind w:right="4"/>
              <w:jc w:val="center"/>
              <w:rPr>
                <w:rFonts w:ascii="宋体" w:hAnsi="宋体"/>
                <w:sz w:val="18"/>
              </w:rPr>
            </w:pPr>
            <w:r>
              <w:rPr>
                <w:rFonts w:hint="eastAsia" w:ascii="宋体" w:hAnsi="宋体"/>
                <w:sz w:val="18"/>
              </w:rPr>
              <w:t>02</w:t>
            </w:r>
          </w:p>
          <w:p>
            <w:pPr>
              <w:spacing w:line="280" w:lineRule="exact"/>
              <w:ind w:right="4"/>
              <w:jc w:val="center"/>
              <w:rPr>
                <w:rFonts w:ascii="宋体" w:hAnsi="宋体"/>
                <w:sz w:val="18"/>
              </w:rPr>
            </w:pPr>
            <w:r>
              <w:rPr>
                <w:rFonts w:hint="eastAsia" w:ascii="宋体" w:hAnsi="宋体"/>
                <w:sz w:val="18"/>
              </w:rPr>
              <w:t>03</w:t>
            </w:r>
          </w:p>
          <w:p>
            <w:pPr>
              <w:spacing w:line="280" w:lineRule="exact"/>
              <w:ind w:right="4"/>
              <w:jc w:val="center"/>
              <w:rPr>
                <w:rFonts w:ascii="宋体" w:hAnsi="宋体"/>
                <w:sz w:val="18"/>
              </w:rPr>
            </w:pPr>
            <w:r>
              <w:rPr>
                <w:rFonts w:hint="eastAsia" w:ascii="宋体" w:hAnsi="宋体"/>
                <w:sz w:val="18"/>
              </w:rPr>
              <w:t>04</w:t>
            </w:r>
          </w:p>
          <w:p>
            <w:pPr>
              <w:spacing w:line="280" w:lineRule="exact"/>
              <w:ind w:right="4"/>
              <w:jc w:val="center"/>
              <w:rPr>
                <w:rFonts w:ascii="宋体" w:hAnsi="宋体"/>
                <w:sz w:val="18"/>
              </w:rPr>
            </w:pPr>
            <w:r>
              <w:rPr>
                <w:rFonts w:hint="eastAsia" w:ascii="宋体" w:hAnsi="宋体"/>
                <w:sz w:val="18"/>
              </w:rPr>
              <w:t>05</w:t>
            </w:r>
          </w:p>
          <w:p>
            <w:pPr>
              <w:spacing w:line="280" w:lineRule="exact"/>
              <w:ind w:right="4"/>
              <w:jc w:val="center"/>
              <w:rPr>
                <w:rFonts w:ascii="宋体" w:hAnsi="宋体"/>
                <w:sz w:val="18"/>
              </w:rPr>
            </w:pPr>
            <w:r>
              <w:rPr>
                <w:rFonts w:hint="eastAsia" w:ascii="宋体" w:hAnsi="宋体"/>
                <w:sz w:val="18"/>
              </w:rPr>
              <w:t>06</w:t>
            </w:r>
          </w:p>
        </w:tc>
        <w:tc>
          <w:tcPr>
            <w:tcW w:w="5121" w:type="dxa"/>
            <w:gridSpan w:val="4"/>
            <w:tcBorders>
              <w:top w:val="single" w:color="auto" w:sz="4" w:space="0"/>
              <w:left w:val="single" w:color="auto" w:sz="4" w:space="0"/>
              <w:bottom w:val="single" w:color="auto" w:sz="8" w:space="0"/>
              <w:right w:val="nil"/>
            </w:tcBorders>
            <w:noWrap/>
            <w:vAlign w:val="center"/>
          </w:tcPr>
          <w:p>
            <w:pPr>
              <w:pStyle w:val="15"/>
              <w:pBdr>
                <w:bottom w:val="none" w:color="auto" w:sz="0" w:space="0"/>
              </w:pBdr>
              <w:tabs>
                <w:tab w:val="clear" w:pos="4153"/>
                <w:tab w:val="clear" w:pos="8306"/>
              </w:tabs>
              <w:snapToGrid/>
              <w:spacing w:line="280" w:lineRule="exact"/>
              <w:rPr>
                <w:rFonts w:ascii="宋体" w:hAnsi="宋体"/>
                <w:szCs w:val="24"/>
              </w:rPr>
            </w:pPr>
          </w:p>
        </w:tc>
      </w:tr>
    </w:tbl>
    <w:p>
      <w:pPr>
        <w:spacing w:line="320" w:lineRule="exact"/>
        <w:rPr>
          <w:sz w:val="18"/>
          <w:szCs w:val="18"/>
        </w:rPr>
      </w:pPr>
      <w:r>
        <w:rPr>
          <w:rFonts w:hint="eastAsia"/>
          <w:sz w:val="18"/>
          <w:szCs w:val="18"/>
        </w:rPr>
        <w:t>单</w:t>
      </w:r>
      <w:r>
        <w:rPr>
          <w:rFonts w:hint="eastAsia" w:ascii="宋体" w:hAnsi="宋体" w:cs="宋体"/>
          <w:kern w:val="0"/>
          <w:sz w:val="18"/>
          <w:szCs w:val="18"/>
        </w:rPr>
        <w:t>位负责人：         统计负责人：         填表人：         联系电话：         报出日期：２０   年  月  日</w:t>
      </w:r>
    </w:p>
    <w:p>
      <w:pPr>
        <w:adjustRightInd w:val="0"/>
        <w:snapToGrid w:val="0"/>
        <w:spacing w:line="240" w:lineRule="exact"/>
        <w:ind w:left="105" w:leftChars="50" w:right="-40"/>
        <w:rPr>
          <w:rFonts w:hint="eastAsia" w:ascii="宋体" w:hAnsi="宋体"/>
          <w:b/>
          <w:sz w:val="18"/>
          <w:szCs w:val="18"/>
        </w:rPr>
      </w:pPr>
    </w:p>
    <w:p>
      <w:pPr>
        <w:adjustRightInd w:val="0"/>
        <w:snapToGrid w:val="0"/>
        <w:spacing w:line="240" w:lineRule="exact"/>
        <w:ind w:left="105" w:leftChars="50" w:right="-40"/>
        <w:rPr>
          <w:rFonts w:ascii="宋体" w:hAnsi="宋体"/>
          <w:sz w:val="18"/>
          <w:szCs w:val="18"/>
        </w:rPr>
      </w:pPr>
      <w:r>
        <w:rPr>
          <w:rFonts w:hint="eastAsia" w:ascii="宋体" w:hAnsi="宋体"/>
          <w:b/>
          <w:sz w:val="18"/>
          <w:szCs w:val="18"/>
        </w:rPr>
        <w:t>说明</w:t>
      </w:r>
      <w:r>
        <w:rPr>
          <w:rFonts w:hint="eastAsia" w:ascii="宋体" w:hAnsi="宋体"/>
          <w:sz w:val="18"/>
          <w:szCs w:val="18"/>
        </w:rPr>
        <w:t>：</w:t>
      </w:r>
      <w:r>
        <w:rPr>
          <w:rFonts w:ascii="宋体" w:hAnsi="宋体"/>
          <w:sz w:val="18"/>
          <w:szCs w:val="18"/>
        </w:rPr>
        <w:t>1</w:t>
      </w:r>
      <w:r>
        <w:rPr>
          <w:rFonts w:hint="eastAsia" w:ascii="宋体" w:hAnsi="宋体"/>
          <w:sz w:val="18"/>
          <w:szCs w:val="18"/>
        </w:rPr>
        <w:t>.本表由铁路企业报送。</w:t>
      </w:r>
    </w:p>
    <w:p>
      <w:pPr>
        <w:adjustRightInd w:val="0"/>
        <w:snapToGrid w:val="0"/>
        <w:spacing w:line="240" w:lineRule="exact"/>
        <w:ind w:left="672" w:leftChars="320"/>
        <w:rPr>
          <w:rFonts w:ascii="宋体" w:hAnsi="宋体"/>
          <w:sz w:val="18"/>
          <w:szCs w:val="18"/>
        </w:rPr>
      </w:pPr>
      <w:r>
        <w:rPr>
          <w:rFonts w:ascii="宋体" w:hAnsi="宋体"/>
          <w:sz w:val="18"/>
          <w:szCs w:val="18"/>
        </w:rPr>
        <w:t>2</w:t>
      </w:r>
      <w:r>
        <w:rPr>
          <w:rFonts w:hint="eastAsia" w:ascii="宋体" w:hAnsi="宋体"/>
          <w:sz w:val="18"/>
          <w:szCs w:val="18"/>
        </w:rPr>
        <w:t>.统计范围是铁路运输企业</w:t>
      </w:r>
      <w:r>
        <w:rPr>
          <w:rFonts w:hint="eastAsia"/>
          <w:sz w:val="18"/>
          <w:szCs w:val="18"/>
        </w:rPr>
        <w:t>的能源消费活动</w:t>
      </w:r>
      <w:r>
        <w:rPr>
          <w:rFonts w:hint="eastAsia" w:ascii="宋体" w:hAnsi="宋体"/>
          <w:sz w:val="18"/>
          <w:szCs w:val="18"/>
        </w:rPr>
        <w:t>，不包括部门所管理的工业、建筑业等企业及行政、事业单位。</w:t>
      </w:r>
    </w:p>
    <w:p>
      <w:pPr>
        <w:adjustRightInd w:val="0"/>
        <w:snapToGrid w:val="0"/>
        <w:spacing w:line="240" w:lineRule="exact"/>
        <w:ind w:left="672" w:leftChars="320"/>
        <w:rPr>
          <w:rFonts w:ascii="宋体" w:hAnsi="宋体"/>
          <w:sz w:val="18"/>
          <w:szCs w:val="18"/>
        </w:rPr>
      </w:pPr>
      <w:r>
        <w:rPr>
          <w:rFonts w:ascii="宋体" w:hAnsi="宋体"/>
          <w:sz w:val="18"/>
          <w:szCs w:val="18"/>
        </w:rPr>
        <w:t>3</w:t>
      </w:r>
      <w:r>
        <w:rPr>
          <w:rFonts w:hint="eastAsia" w:ascii="宋体" w:hAnsi="宋体"/>
          <w:sz w:val="18"/>
          <w:szCs w:val="18"/>
        </w:rPr>
        <w:t>.报送时间为次年3月15日前，报送方式为电子邮件</w:t>
      </w:r>
      <w:r>
        <w:rPr>
          <w:rFonts w:hint="eastAsia" w:ascii="宋体" w:hAnsi="宋体"/>
          <w:bCs/>
          <w:sz w:val="18"/>
          <w:szCs w:val="18"/>
        </w:rPr>
        <w:t>（</w:t>
      </w:r>
      <w:r>
        <w:rPr>
          <w:rFonts w:ascii="宋体" w:hAnsi="宋体"/>
          <w:sz w:val="18"/>
          <w:szCs w:val="18"/>
        </w:rPr>
        <w:t>gz</w:t>
      </w:r>
      <w:r>
        <w:rPr>
          <w:rFonts w:hint="eastAsia" w:ascii="宋体" w:hAnsi="宋体"/>
          <w:sz w:val="18"/>
          <w:szCs w:val="18"/>
        </w:rPr>
        <w:t>stjjnyc@gz.gov</w:t>
      </w:r>
      <w:r>
        <w:rPr>
          <w:rFonts w:ascii="宋体" w:hAnsi="宋体"/>
          <w:sz w:val="18"/>
          <w:szCs w:val="18"/>
        </w:rPr>
        <w:t>.</w:t>
      </w:r>
      <w:r>
        <w:rPr>
          <w:rFonts w:hint="eastAsia" w:ascii="宋体" w:hAnsi="宋体"/>
          <w:sz w:val="18"/>
          <w:szCs w:val="18"/>
        </w:rPr>
        <w:t>cn</w:t>
      </w:r>
      <w:r>
        <w:rPr>
          <w:rFonts w:hint="eastAsia" w:ascii="宋体" w:hAnsi="宋体"/>
          <w:bCs/>
          <w:sz w:val="18"/>
          <w:szCs w:val="18"/>
        </w:rPr>
        <w:t>）</w:t>
      </w:r>
      <w:r>
        <w:rPr>
          <w:rFonts w:hint="eastAsia" w:ascii="宋体" w:hAnsi="宋体"/>
          <w:sz w:val="18"/>
          <w:szCs w:val="18"/>
        </w:rPr>
        <w:t>。</w:t>
      </w:r>
    </w:p>
    <w:p>
      <w:pPr>
        <w:pStyle w:val="2"/>
        <w:spacing w:line="240" w:lineRule="exact"/>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13"/>
        <w:gridCol w:w="503"/>
        <w:gridCol w:w="1113"/>
        <w:gridCol w:w="1114"/>
        <w:gridCol w:w="1645"/>
        <w:gridCol w:w="684"/>
        <w:gridCol w:w="961"/>
        <w:gridCol w:w="1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19" w:hRule="atLeast"/>
          <w:jc w:val="center"/>
        </w:trPr>
        <w:tc>
          <w:tcPr>
            <w:tcW w:w="1813" w:type="dxa"/>
            <w:tcBorders>
              <w:top w:val="nil"/>
              <w:left w:val="nil"/>
              <w:bottom w:val="single" w:color="auto" w:sz="4" w:space="0"/>
              <w:right w:val="nil"/>
            </w:tcBorders>
            <w:noWrap/>
            <w:vAlign w:val="bottom"/>
          </w:tcPr>
          <w:p>
            <w:pPr>
              <w:spacing w:line="260" w:lineRule="exact"/>
              <w:ind w:right="-50"/>
              <w:rPr>
                <w:rFonts w:ascii="宋体" w:hAnsi="宋体"/>
                <w:sz w:val="18"/>
              </w:rPr>
            </w:pPr>
            <w:r>
              <w:rPr>
                <w:rFonts w:ascii="宋体" w:hAnsi="宋体"/>
                <w:sz w:val="18"/>
              </w:rPr>
              <w:br w:type="page"/>
            </w:r>
          </w:p>
          <w:p>
            <w:pPr>
              <w:spacing w:line="260" w:lineRule="exact"/>
              <w:ind w:right="-50"/>
              <w:rPr>
                <w:rFonts w:ascii="宋体" w:hAnsi="宋体"/>
                <w:sz w:val="18"/>
              </w:rPr>
            </w:pPr>
          </w:p>
          <w:p>
            <w:pPr>
              <w:spacing w:line="260" w:lineRule="exact"/>
              <w:ind w:right="-50"/>
              <w:rPr>
                <w:rFonts w:ascii="宋体" w:hAnsi="宋体"/>
                <w:sz w:val="18"/>
              </w:rPr>
            </w:pPr>
          </w:p>
          <w:p>
            <w:pPr>
              <w:spacing w:line="260" w:lineRule="exact"/>
              <w:ind w:right="-50"/>
              <w:rPr>
                <w:rFonts w:ascii="宋体" w:hAnsi="宋体"/>
                <w:sz w:val="18"/>
              </w:rPr>
            </w:pPr>
            <w:r>
              <w:rPr>
                <w:rFonts w:hint="eastAsia" w:ascii="宋体" w:hAnsi="宋体"/>
                <w:sz w:val="18"/>
              </w:rPr>
              <w:t>综合机关名称：</w:t>
            </w:r>
          </w:p>
        </w:tc>
        <w:tc>
          <w:tcPr>
            <w:tcW w:w="5059" w:type="dxa"/>
            <w:gridSpan w:val="5"/>
            <w:tcBorders>
              <w:top w:val="nil"/>
              <w:left w:val="nil"/>
              <w:bottom w:val="single" w:color="auto" w:sz="4" w:space="0"/>
              <w:right w:val="nil"/>
            </w:tcBorders>
            <w:noWrap/>
            <w:vAlign w:val="center"/>
          </w:tcPr>
          <w:p>
            <w:pPr>
              <w:snapToGrid w:val="0"/>
              <w:jc w:val="center"/>
              <w:rPr>
                <w:rFonts w:ascii="宋体" w:hAnsi="宋体"/>
                <w:b/>
                <w:sz w:val="32"/>
              </w:rPr>
            </w:pPr>
            <w:r>
              <w:rPr>
                <w:rFonts w:hint="eastAsia" w:ascii="宋体" w:hAnsi="宋体"/>
                <w:b/>
                <w:sz w:val="32"/>
              </w:rPr>
              <w:t xml:space="preserve">   航空企业主要能源消费与库存</w:t>
            </w:r>
          </w:p>
          <w:p>
            <w:pPr>
              <w:snapToGrid w:val="0"/>
              <w:spacing w:line="400" w:lineRule="exact"/>
              <w:jc w:val="center"/>
              <w:rPr>
                <w:rFonts w:ascii="方正小标宋_GBK" w:hAnsi="宋体" w:eastAsia="方正小标宋_GBK"/>
                <w:sz w:val="18"/>
              </w:rPr>
            </w:pPr>
          </w:p>
          <w:p>
            <w:pPr>
              <w:spacing w:line="260" w:lineRule="exact"/>
              <w:rPr>
                <w:rFonts w:ascii="宋体" w:hAnsi="宋体"/>
                <w:sz w:val="18"/>
              </w:rPr>
            </w:pPr>
          </w:p>
          <w:p>
            <w:pPr>
              <w:spacing w:line="260" w:lineRule="exact"/>
              <w:jc w:val="center"/>
              <w:rPr>
                <w:rFonts w:ascii="宋体" w:hAnsi="宋体"/>
                <w:sz w:val="18"/>
              </w:rPr>
            </w:pPr>
            <w:r>
              <w:rPr>
                <w:rFonts w:hint="eastAsia" w:ascii="宋体" w:hAnsi="宋体"/>
                <w:sz w:val="18"/>
              </w:rPr>
              <w:t>２０ 　年</w:t>
            </w:r>
          </w:p>
        </w:tc>
        <w:tc>
          <w:tcPr>
            <w:tcW w:w="2730" w:type="dxa"/>
            <w:gridSpan w:val="2"/>
            <w:tcBorders>
              <w:top w:val="nil"/>
              <w:left w:val="nil"/>
              <w:bottom w:val="single" w:color="auto" w:sz="4" w:space="0"/>
              <w:right w:val="nil"/>
            </w:tcBorders>
            <w:noWrap/>
            <w:vAlign w:val="bottom"/>
          </w:tcPr>
          <w:p>
            <w:pPr>
              <w:spacing w:line="240" w:lineRule="exact"/>
              <w:ind w:right="-40"/>
              <w:rPr>
                <w:sz w:val="18"/>
              </w:rPr>
            </w:pPr>
          </w:p>
          <w:p>
            <w:pPr>
              <w:spacing w:line="240" w:lineRule="exact"/>
              <w:ind w:right="-40"/>
              <w:rPr>
                <w:sz w:val="18"/>
              </w:rPr>
            </w:pPr>
          </w:p>
          <w:p>
            <w:pPr>
              <w:spacing w:line="240" w:lineRule="exact"/>
              <w:ind w:right="-40"/>
              <w:rPr>
                <w:spacing w:val="8"/>
                <w:sz w:val="18"/>
                <w:szCs w:val="18"/>
              </w:rPr>
            </w:pPr>
            <w:r>
              <w:rPr>
                <w:rFonts w:hint="eastAsia"/>
                <w:sz w:val="18"/>
              </w:rPr>
              <w:t>表    号：</w:t>
            </w:r>
            <w:r>
              <w:rPr>
                <w:rFonts w:hint="eastAsia" w:ascii="宋体" w:hAnsi="宋体" w:cs="宋体"/>
                <w:bCs/>
                <w:spacing w:val="4"/>
                <w:kern w:val="0"/>
                <w:sz w:val="18"/>
                <w:szCs w:val="18"/>
              </w:rPr>
              <w:t xml:space="preserve">M   H  </w:t>
            </w:r>
            <w:r>
              <w:rPr>
                <w:rFonts w:hint="eastAsia"/>
                <w:spacing w:val="4"/>
                <w:sz w:val="18"/>
                <w:szCs w:val="18"/>
              </w:rPr>
              <w:t xml:space="preserve">３ ０ </w:t>
            </w:r>
            <w:r>
              <w:rPr>
                <w:rFonts w:hint="eastAsia" w:ascii="宋体" w:hAnsi="宋体"/>
                <w:spacing w:val="4"/>
                <w:sz w:val="18"/>
                <w:szCs w:val="18"/>
              </w:rPr>
              <w:t xml:space="preserve">１ </w:t>
            </w:r>
            <w:r>
              <w:rPr>
                <w:rFonts w:hint="eastAsia"/>
                <w:spacing w:val="4"/>
                <w:sz w:val="18"/>
                <w:szCs w:val="18"/>
              </w:rPr>
              <w:t>表</w:t>
            </w:r>
          </w:p>
          <w:p>
            <w:pPr>
              <w:spacing w:line="240" w:lineRule="exact"/>
              <w:ind w:right="-40"/>
              <w:rPr>
                <w:color w:val="auto"/>
                <w:sz w:val="18"/>
              </w:rPr>
            </w:pPr>
            <w:r>
              <w:rPr>
                <w:rFonts w:hint="eastAsia"/>
                <w:sz w:val="18"/>
              </w:rPr>
              <w:t>制表机关：</w:t>
            </w:r>
            <w:r>
              <w:rPr>
                <w:rFonts w:hint="eastAsia"/>
                <w:spacing w:val="14"/>
                <w:sz w:val="18"/>
                <w:szCs w:val="18"/>
              </w:rPr>
              <w:t xml:space="preserve">国  </w:t>
            </w:r>
            <w:r>
              <w:rPr>
                <w:rFonts w:hint="eastAsia"/>
                <w:color w:val="auto"/>
                <w:spacing w:val="14"/>
                <w:sz w:val="18"/>
                <w:szCs w:val="18"/>
              </w:rPr>
              <w:t>家  统 计 局</w:t>
            </w:r>
          </w:p>
          <w:p>
            <w:pPr>
              <w:spacing w:line="280" w:lineRule="exact"/>
              <w:jc w:val="left"/>
              <w:rPr>
                <w:rFonts w:ascii="宋体" w:hAnsi="宋体"/>
                <w:color w:val="auto"/>
                <w:sz w:val="18"/>
              </w:rPr>
            </w:pPr>
            <w:r>
              <w:rPr>
                <w:rFonts w:hint="eastAsia" w:ascii="宋体" w:hAnsi="宋体"/>
                <w:color w:val="auto"/>
                <w:sz w:val="18"/>
              </w:rPr>
              <w:t>文</w:t>
            </w:r>
            <w:r>
              <w:rPr>
                <w:rFonts w:ascii="宋体" w:hAnsi="宋体"/>
                <w:color w:val="auto"/>
                <w:sz w:val="18"/>
              </w:rPr>
              <w:t xml:space="preserve">    号：</w:t>
            </w:r>
            <w:r>
              <w:rPr>
                <w:rFonts w:hint="eastAsia" w:ascii="宋体" w:hAnsi="宋体"/>
                <w:color w:val="auto"/>
                <w:sz w:val="18"/>
                <w:szCs w:val="18"/>
              </w:rPr>
              <w:t>国统字〔202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color w:val="auto"/>
                <w:sz w:val="18"/>
                <w:szCs w:val="18"/>
              </w:rPr>
              <w:t>号</w:t>
            </w:r>
          </w:p>
          <w:p>
            <w:pPr>
              <w:spacing w:line="260" w:lineRule="exact"/>
              <w:rPr>
                <w:rFonts w:ascii="宋体" w:hAnsi="宋体"/>
                <w:sz w:val="18"/>
              </w:rPr>
            </w:pPr>
            <w:r>
              <w:rPr>
                <w:rFonts w:hint="eastAsia" w:ascii="宋体" w:hAnsi="宋体"/>
                <w:color w:val="auto"/>
                <w:sz w:val="18"/>
              </w:rPr>
              <w:t>有效期至：</w:t>
            </w:r>
            <w:r>
              <w:rPr>
                <w:rFonts w:hint="eastAsia" w:ascii="宋体" w:hAnsi="宋体"/>
                <w:color w:val="auto"/>
                <w:spacing w:val="10"/>
                <w:sz w:val="18"/>
                <w:szCs w:val="18"/>
              </w:rPr>
              <w:t>２０２</w:t>
            </w:r>
            <w:r>
              <w:rPr>
                <w:rFonts w:hint="eastAsia" w:ascii="宋体" w:hAnsi="宋体"/>
                <w:color w:val="auto"/>
                <w:sz w:val="18"/>
                <w:lang w:val="en-US" w:eastAsia="zh-CN"/>
              </w:rPr>
              <w:t>6</w:t>
            </w:r>
            <w:r>
              <w:rPr>
                <w:rFonts w:hint="eastAsia" w:ascii="宋体" w:hAnsi="宋体"/>
                <w:color w:val="auto"/>
                <w:sz w:val="18"/>
              </w:rPr>
              <w:t xml:space="preserve"> </w:t>
            </w:r>
            <w:r>
              <w:rPr>
                <w:rFonts w:ascii="宋体" w:hAnsi="宋体"/>
                <w:color w:val="auto"/>
                <w:spacing w:val="10"/>
                <w:sz w:val="18"/>
                <w:szCs w:val="18"/>
              </w:rPr>
              <w:t>年</w:t>
            </w:r>
            <w:r>
              <w:rPr>
                <w:rFonts w:hint="eastAsia" w:ascii="宋体" w:hAnsi="宋体"/>
                <w:spacing w:val="10"/>
                <w:sz w:val="18"/>
                <w:szCs w:val="18"/>
              </w:rPr>
              <w:t xml:space="preserve"> ６ </w:t>
            </w:r>
            <w:r>
              <w:rPr>
                <w:rFonts w:ascii="宋体" w:hAnsi="宋体"/>
                <w:spacing w:val="10"/>
                <w:sz w:val="18"/>
                <w:szCs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2316" w:type="dxa"/>
            <w:gridSpan w:val="2"/>
            <w:tcBorders>
              <w:top w:val="single" w:color="auto" w:sz="8" w:space="0"/>
              <w:left w:val="nil"/>
              <w:bottom w:val="single" w:color="auto" w:sz="4" w:space="0"/>
              <w:right w:val="single" w:color="auto" w:sz="4" w:space="0"/>
            </w:tcBorders>
            <w:noWrap/>
            <w:vAlign w:val="center"/>
          </w:tcPr>
          <w:p>
            <w:pPr>
              <w:spacing w:line="260" w:lineRule="exact"/>
              <w:ind w:right="-50"/>
              <w:rPr>
                <w:rFonts w:ascii="宋体" w:hAnsi="宋体"/>
                <w:sz w:val="18"/>
              </w:rPr>
            </w:pPr>
            <w:r>
              <w:rPr>
                <w:rFonts w:hint="eastAsia" w:ascii="宋体" w:hAnsi="宋体"/>
                <w:sz w:val="18"/>
              </w:rPr>
              <w:t>品种</w:t>
            </w:r>
          </w:p>
        </w:tc>
        <w:tc>
          <w:tcPr>
            <w:tcW w:w="1113" w:type="dxa"/>
            <w:tcBorders>
              <w:top w:val="single" w:color="auto" w:sz="8" w:space="0"/>
              <w:left w:val="single" w:color="auto" w:sz="4" w:space="0"/>
              <w:bottom w:val="single" w:color="auto" w:sz="4" w:space="0"/>
              <w:right w:val="single" w:color="auto" w:sz="4" w:space="0"/>
            </w:tcBorders>
            <w:noWrap/>
            <w:vAlign w:val="center"/>
          </w:tcPr>
          <w:p>
            <w:pPr>
              <w:spacing w:line="260" w:lineRule="exact"/>
              <w:rPr>
                <w:rFonts w:ascii="宋体" w:hAnsi="宋体"/>
                <w:sz w:val="18"/>
              </w:rPr>
            </w:pPr>
            <w:r>
              <w:rPr>
                <w:rFonts w:hint="eastAsia" w:ascii="宋体" w:hAnsi="宋体"/>
                <w:sz w:val="18"/>
              </w:rPr>
              <w:t>计量单位</w:t>
            </w:r>
          </w:p>
        </w:tc>
        <w:tc>
          <w:tcPr>
            <w:tcW w:w="1114" w:type="dxa"/>
            <w:tcBorders>
              <w:top w:val="single" w:color="auto" w:sz="8" w:space="0"/>
              <w:left w:val="single" w:color="auto" w:sz="4" w:space="0"/>
              <w:bottom w:val="single" w:color="auto" w:sz="4" w:space="0"/>
              <w:right w:val="single" w:color="auto" w:sz="4" w:space="0"/>
            </w:tcBorders>
            <w:noWrap/>
            <w:vAlign w:val="center"/>
          </w:tcPr>
          <w:p>
            <w:pPr>
              <w:spacing w:line="260" w:lineRule="exact"/>
              <w:ind w:right="4"/>
              <w:rPr>
                <w:rFonts w:ascii="宋体" w:hAnsi="宋体"/>
                <w:sz w:val="18"/>
              </w:rPr>
            </w:pPr>
            <w:r>
              <w:rPr>
                <w:rFonts w:hint="eastAsia" w:ascii="宋体" w:hAnsi="宋体"/>
                <w:sz w:val="18"/>
              </w:rPr>
              <w:t>代码</w:t>
            </w:r>
          </w:p>
        </w:tc>
        <w:tc>
          <w:tcPr>
            <w:tcW w:w="1645" w:type="dxa"/>
            <w:tcBorders>
              <w:top w:val="single" w:color="auto" w:sz="8" w:space="0"/>
              <w:left w:val="single" w:color="auto" w:sz="4" w:space="0"/>
              <w:bottom w:val="single" w:color="auto" w:sz="4" w:space="0"/>
              <w:right w:val="single" w:color="auto" w:sz="4" w:space="0"/>
            </w:tcBorders>
            <w:noWrap/>
            <w:vAlign w:val="center"/>
          </w:tcPr>
          <w:p>
            <w:pPr>
              <w:spacing w:line="260" w:lineRule="exact"/>
              <w:jc w:val="center"/>
              <w:rPr>
                <w:rFonts w:ascii="宋体" w:hAnsi="宋体"/>
                <w:sz w:val="18"/>
              </w:rPr>
            </w:pPr>
            <w:r>
              <w:rPr>
                <w:rFonts w:hint="eastAsia" w:ascii="宋体" w:hAnsi="宋体"/>
                <w:sz w:val="18"/>
              </w:rPr>
              <w:t>期初库存量</w:t>
            </w:r>
          </w:p>
        </w:tc>
        <w:tc>
          <w:tcPr>
            <w:tcW w:w="1645" w:type="dxa"/>
            <w:gridSpan w:val="2"/>
            <w:tcBorders>
              <w:top w:val="single" w:color="auto" w:sz="8" w:space="0"/>
              <w:left w:val="single" w:color="auto" w:sz="4" w:space="0"/>
              <w:bottom w:val="single" w:color="auto" w:sz="4" w:space="0"/>
              <w:right w:val="nil"/>
            </w:tcBorders>
            <w:noWrap/>
            <w:vAlign w:val="center"/>
          </w:tcPr>
          <w:p>
            <w:pPr>
              <w:spacing w:line="260" w:lineRule="exact"/>
              <w:jc w:val="center"/>
              <w:rPr>
                <w:rFonts w:ascii="宋体" w:hAnsi="宋体"/>
                <w:sz w:val="18"/>
              </w:rPr>
            </w:pPr>
            <w:r>
              <w:rPr>
                <w:rFonts w:hint="eastAsia" w:ascii="宋体" w:hAnsi="宋体"/>
                <w:sz w:val="18"/>
              </w:rPr>
              <w:t>本年消费量</w:t>
            </w:r>
          </w:p>
        </w:tc>
        <w:tc>
          <w:tcPr>
            <w:tcW w:w="1769" w:type="dxa"/>
            <w:tcBorders>
              <w:top w:val="single" w:color="auto" w:sz="8" w:space="0"/>
              <w:left w:val="single" w:color="auto" w:sz="4" w:space="0"/>
              <w:bottom w:val="single" w:color="auto" w:sz="4" w:space="0"/>
              <w:right w:val="nil"/>
            </w:tcBorders>
            <w:noWrap/>
            <w:vAlign w:val="center"/>
          </w:tcPr>
          <w:p>
            <w:pPr>
              <w:spacing w:line="260" w:lineRule="exact"/>
              <w:jc w:val="center"/>
              <w:rPr>
                <w:rFonts w:ascii="宋体" w:hAnsi="宋体"/>
                <w:sz w:val="18"/>
              </w:rPr>
            </w:pPr>
            <w:r>
              <w:rPr>
                <w:rFonts w:hint="eastAsia" w:ascii="宋体" w:hAnsi="宋体"/>
                <w:sz w:val="18"/>
              </w:rPr>
              <w:t>期末库存量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exact"/>
          <w:jc w:val="center"/>
        </w:trPr>
        <w:tc>
          <w:tcPr>
            <w:tcW w:w="2316" w:type="dxa"/>
            <w:gridSpan w:val="2"/>
            <w:tcBorders>
              <w:top w:val="single" w:color="auto" w:sz="4" w:space="0"/>
              <w:left w:val="nil"/>
              <w:bottom w:val="single" w:color="auto" w:sz="4" w:space="0"/>
              <w:right w:val="single" w:color="auto" w:sz="4" w:space="0"/>
            </w:tcBorders>
            <w:noWrap/>
            <w:vAlign w:val="center"/>
          </w:tcPr>
          <w:p>
            <w:pPr>
              <w:spacing w:line="260" w:lineRule="exact"/>
              <w:ind w:right="-50"/>
              <w:jc w:val="center"/>
              <w:rPr>
                <w:rFonts w:ascii="宋体" w:hAnsi="宋体"/>
                <w:sz w:val="18"/>
              </w:rPr>
            </w:pPr>
            <w:r>
              <w:rPr>
                <w:rFonts w:hint="eastAsia" w:ascii="宋体" w:hAnsi="宋体"/>
                <w:sz w:val="18"/>
              </w:rPr>
              <w:t>甲</w:t>
            </w:r>
          </w:p>
        </w:tc>
        <w:tc>
          <w:tcPr>
            <w:tcW w:w="1113"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ascii="宋体" w:hAnsi="宋体"/>
                <w:sz w:val="18"/>
              </w:rPr>
            </w:pPr>
            <w:r>
              <w:rPr>
                <w:rFonts w:hint="eastAsia" w:ascii="宋体" w:hAnsi="宋体"/>
                <w:sz w:val="18"/>
              </w:rPr>
              <w:t>乙</w:t>
            </w:r>
          </w:p>
        </w:tc>
        <w:tc>
          <w:tcPr>
            <w:tcW w:w="1114" w:type="dxa"/>
            <w:tcBorders>
              <w:top w:val="single" w:color="auto" w:sz="4" w:space="0"/>
              <w:left w:val="single" w:color="auto" w:sz="4" w:space="0"/>
              <w:bottom w:val="single" w:color="auto" w:sz="4" w:space="0"/>
              <w:right w:val="single" w:color="auto" w:sz="4" w:space="0"/>
            </w:tcBorders>
            <w:noWrap/>
            <w:vAlign w:val="center"/>
          </w:tcPr>
          <w:p>
            <w:pPr>
              <w:spacing w:line="260" w:lineRule="exact"/>
              <w:ind w:right="4"/>
              <w:jc w:val="center"/>
              <w:rPr>
                <w:rFonts w:ascii="宋体" w:hAnsi="宋体"/>
                <w:sz w:val="18"/>
              </w:rPr>
            </w:pPr>
            <w:r>
              <w:rPr>
                <w:rFonts w:hint="eastAsia" w:ascii="宋体" w:hAnsi="宋体"/>
                <w:sz w:val="18"/>
              </w:rPr>
              <w:t>丙</w:t>
            </w:r>
          </w:p>
        </w:tc>
        <w:tc>
          <w:tcPr>
            <w:tcW w:w="1645"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ascii="宋体" w:hAnsi="宋体"/>
                <w:sz w:val="18"/>
              </w:rPr>
            </w:pPr>
            <w:r>
              <w:rPr>
                <w:rFonts w:ascii="宋体" w:hAnsi="宋体"/>
                <w:sz w:val="18"/>
              </w:rPr>
              <w:t>1</w:t>
            </w:r>
          </w:p>
        </w:tc>
        <w:tc>
          <w:tcPr>
            <w:tcW w:w="1645" w:type="dxa"/>
            <w:gridSpan w:val="2"/>
            <w:tcBorders>
              <w:top w:val="single" w:color="auto" w:sz="4" w:space="0"/>
              <w:left w:val="single" w:color="auto" w:sz="4" w:space="0"/>
              <w:bottom w:val="single" w:color="auto" w:sz="4" w:space="0"/>
              <w:right w:val="nil"/>
            </w:tcBorders>
            <w:noWrap/>
            <w:vAlign w:val="center"/>
          </w:tcPr>
          <w:p>
            <w:pPr>
              <w:spacing w:line="260" w:lineRule="exact"/>
              <w:jc w:val="center"/>
              <w:rPr>
                <w:rFonts w:ascii="宋体" w:hAnsi="宋体"/>
                <w:sz w:val="18"/>
              </w:rPr>
            </w:pPr>
            <w:r>
              <w:rPr>
                <w:rFonts w:ascii="宋体" w:hAnsi="宋体"/>
                <w:sz w:val="18"/>
              </w:rPr>
              <w:t>2</w:t>
            </w:r>
          </w:p>
        </w:tc>
        <w:tc>
          <w:tcPr>
            <w:tcW w:w="1769" w:type="dxa"/>
            <w:tcBorders>
              <w:top w:val="single" w:color="auto" w:sz="4" w:space="0"/>
              <w:left w:val="single" w:color="auto" w:sz="4" w:space="0"/>
              <w:bottom w:val="single" w:color="auto" w:sz="4" w:space="0"/>
              <w:right w:val="nil"/>
            </w:tcBorders>
            <w:noWrap/>
            <w:vAlign w:val="center"/>
          </w:tcPr>
          <w:p>
            <w:pPr>
              <w:spacing w:line="260" w:lineRule="exact"/>
              <w:jc w:val="center"/>
              <w:rPr>
                <w:rFonts w:ascii="宋体" w:hAnsi="宋体"/>
                <w:sz w:val="18"/>
              </w:rPr>
            </w:pPr>
            <w:r>
              <w:rPr>
                <w:rFonts w:ascii="宋体" w:hAnsi="宋体"/>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316" w:type="dxa"/>
            <w:gridSpan w:val="2"/>
            <w:tcBorders>
              <w:top w:val="single" w:color="auto" w:sz="4" w:space="0"/>
              <w:left w:val="nil"/>
              <w:bottom w:val="single" w:color="auto" w:sz="8" w:space="0"/>
              <w:right w:val="single" w:color="auto" w:sz="4" w:space="0"/>
            </w:tcBorders>
            <w:noWrap/>
            <w:vAlign w:val="center"/>
          </w:tcPr>
          <w:p>
            <w:pPr>
              <w:spacing w:line="280" w:lineRule="exact"/>
              <w:ind w:right="-50"/>
              <w:jc w:val="center"/>
              <w:rPr>
                <w:rFonts w:ascii="宋体" w:hAnsi="宋体"/>
                <w:sz w:val="18"/>
              </w:rPr>
            </w:pPr>
            <w:r>
              <w:rPr>
                <w:rFonts w:hint="eastAsia" w:ascii="宋体" w:hAnsi="宋体"/>
                <w:sz w:val="18"/>
              </w:rPr>
              <w:t>煤      炭</w:t>
            </w:r>
          </w:p>
          <w:p>
            <w:pPr>
              <w:spacing w:line="280" w:lineRule="exact"/>
              <w:ind w:right="-50"/>
              <w:jc w:val="center"/>
              <w:rPr>
                <w:rFonts w:ascii="宋体" w:hAnsi="宋体"/>
                <w:sz w:val="18"/>
              </w:rPr>
            </w:pPr>
            <w:r>
              <w:rPr>
                <w:rFonts w:hint="eastAsia" w:ascii="宋体" w:hAnsi="宋体"/>
                <w:sz w:val="18"/>
              </w:rPr>
              <w:t>汽      油</w:t>
            </w:r>
          </w:p>
          <w:p>
            <w:pPr>
              <w:spacing w:line="280" w:lineRule="exact"/>
              <w:ind w:right="-50"/>
              <w:jc w:val="center"/>
              <w:rPr>
                <w:rFonts w:ascii="宋体" w:hAnsi="宋体"/>
                <w:sz w:val="18"/>
              </w:rPr>
            </w:pPr>
            <w:r>
              <w:rPr>
                <w:rFonts w:hint="eastAsia" w:ascii="宋体" w:hAnsi="宋体"/>
                <w:sz w:val="18"/>
              </w:rPr>
              <w:t>煤      油</w:t>
            </w:r>
          </w:p>
          <w:p>
            <w:pPr>
              <w:spacing w:line="280" w:lineRule="exact"/>
              <w:ind w:right="-50"/>
              <w:jc w:val="center"/>
              <w:rPr>
                <w:rFonts w:ascii="宋体" w:hAnsi="宋体"/>
                <w:sz w:val="18"/>
              </w:rPr>
            </w:pPr>
            <w:r>
              <w:rPr>
                <w:rFonts w:hint="eastAsia" w:ascii="宋体" w:hAnsi="宋体"/>
                <w:sz w:val="18"/>
              </w:rPr>
              <w:t>柴      油</w:t>
            </w:r>
          </w:p>
          <w:p>
            <w:pPr>
              <w:spacing w:line="280" w:lineRule="exact"/>
              <w:ind w:right="-50"/>
              <w:jc w:val="center"/>
              <w:rPr>
                <w:rFonts w:ascii="宋体" w:hAnsi="宋体"/>
                <w:sz w:val="18"/>
              </w:rPr>
            </w:pPr>
            <w:r>
              <w:rPr>
                <w:rFonts w:hint="eastAsia" w:ascii="宋体" w:hAnsi="宋体"/>
                <w:sz w:val="18"/>
              </w:rPr>
              <w:t>燃  料  油</w:t>
            </w:r>
          </w:p>
          <w:p>
            <w:pPr>
              <w:spacing w:line="280" w:lineRule="exact"/>
              <w:ind w:right="-50"/>
              <w:jc w:val="center"/>
              <w:rPr>
                <w:rFonts w:ascii="宋体" w:hAnsi="宋体"/>
                <w:sz w:val="18"/>
              </w:rPr>
            </w:pPr>
            <w:r>
              <w:rPr>
                <w:rFonts w:hint="eastAsia" w:ascii="宋体" w:hAnsi="宋体"/>
                <w:sz w:val="18"/>
              </w:rPr>
              <w:t>电      力</w:t>
            </w:r>
          </w:p>
        </w:tc>
        <w:tc>
          <w:tcPr>
            <w:tcW w:w="1113" w:type="dxa"/>
            <w:tcBorders>
              <w:top w:val="single" w:color="auto" w:sz="4" w:space="0"/>
              <w:left w:val="single" w:color="auto" w:sz="4" w:space="0"/>
              <w:bottom w:val="single" w:color="auto" w:sz="8" w:space="0"/>
              <w:right w:val="single" w:color="auto" w:sz="4" w:space="0"/>
            </w:tcBorders>
            <w:noWrap/>
            <w:vAlign w:val="center"/>
          </w:tcPr>
          <w:p>
            <w:pPr>
              <w:spacing w:line="280" w:lineRule="exact"/>
              <w:jc w:val="center"/>
              <w:rPr>
                <w:rFonts w:ascii="宋体" w:hAnsi="宋体"/>
                <w:sz w:val="18"/>
              </w:rPr>
            </w:pPr>
            <w:r>
              <w:rPr>
                <w:rFonts w:hint="eastAsia" w:ascii="宋体" w:hAnsi="宋体"/>
                <w:sz w:val="18"/>
              </w:rPr>
              <w:t>万吨</w:t>
            </w:r>
          </w:p>
          <w:p>
            <w:pPr>
              <w:spacing w:line="280" w:lineRule="exact"/>
              <w:jc w:val="center"/>
              <w:rPr>
                <w:rFonts w:ascii="宋体" w:hAnsi="宋体"/>
                <w:sz w:val="18"/>
              </w:rPr>
            </w:pPr>
            <w:r>
              <w:rPr>
                <w:rFonts w:hint="eastAsia" w:ascii="宋体" w:hAnsi="宋体"/>
                <w:sz w:val="18"/>
              </w:rPr>
              <w:t>吨</w:t>
            </w:r>
          </w:p>
          <w:p>
            <w:pPr>
              <w:spacing w:line="280" w:lineRule="exact"/>
              <w:jc w:val="center"/>
              <w:rPr>
                <w:rFonts w:ascii="宋体" w:hAnsi="宋体"/>
                <w:sz w:val="18"/>
              </w:rPr>
            </w:pPr>
            <w:r>
              <w:rPr>
                <w:rFonts w:hint="eastAsia" w:ascii="宋体" w:hAnsi="宋体"/>
                <w:sz w:val="18"/>
              </w:rPr>
              <w:t>吨</w:t>
            </w:r>
          </w:p>
          <w:p>
            <w:pPr>
              <w:spacing w:line="280" w:lineRule="exact"/>
              <w:jc w:val="center"/>
              <w:rPr>
                <w:rFonts w:ascii="宋体" w:hAnsi="宋体"/>
                <w:sz w:val="18"/>
              </w:rPr>
            </w:pPr>
            <w:r>
              <w:rPr>
                <w:rFonts w:hint="eastAsia" w:ascii="宋体" w:hAnsi="宋体"/>
                <w:sz w:val="18"/>
              </w:rPr>
              <w:t>吨</w:t>
            </w:r>
          </w:p>
          <w:p>
            <w:pPr>
              <w:spacing w:line="280" w:lineRule="exact"/>
              <w:jc w:val="center"/>
              <w:rPr>
                <w:rFonts w:ascii="宋体" w:hAnsi="宋体"/>
                <w:sz w:val="18"/>
              </w:rPr>
            </w:pPr>
            <w:r>
              <w:rPr>
                <w:rFonts w:hint="eastAsia" w:ascii="宋体" w:hAnsi="宋体"/>
                <w:sz w:val="18"/>
              </w:rPr>
              <w:t>吨</w:t>
            </w:r>
          </w:p>
          <w:p>
            <w:pPr>
              <w:spacing w:line="280" w:lineRule="exact"/>
              <w:jc w:val="center"/>
              <w:rPr>
                <w:rFonts w:ascii="宋体" w:hAnsi="宋体"/>
                <w:sz w:val="18"/>
              </w:rPr>
            </w:pPr>
            <w:r>
              <w:rPr>
                <w:rFonts w:hint="eastAsia" w:ascii="宋体" w:hAnsi="宋体"/>
                <w:sz w:val="18"/>
              </w:rPr>
              <w:t>万千瓦时</w:t>
            </w:r>
          </w:p>
        </w:tc>
        <w:tc>
          <w:tcPr>
            <w:tcW w:w="1114" w:type="dxa"/>
            <w:tcBorders>
              <w:top w:val="single" w:color="auto" w:sz="4" w:space="0"/>
              <w:left w:val="single" w:color="auto" w:sz="4" w:space="0"/>
              <w:bottom w:val="single" w:color="auto" w:sz="8" w:space="0"/>
              <w:right w:val="single" w:color="auto" w:sz="4" w:space="0"/>
            </w:tcBorders>
            <w:noWrap/>
            <w:vAlign w:val="center"/>
          </w:tcPr>
          <w:p>
            <w:pPr>
              <w:spacing w:line="280" w:lineRule="exact"/>
              <w:ind w:right="4"/>
              <w:jc w:val="center"/>
              <w:rPr>
                <w:rFonts w:ascii="宋体" w:hAnsi="宋体"/>
                <w:sz w:val="18"/>
              </w:rPr>
            </w:pPr>
            <w:r>
              <w:rPr>
                <w:rFonts w:hint="eastAsia" w:ascii="宋体" w:hAnsi="宋体"/>
                <w:sz w:val="18"/>
              </w:rPr>
              <w:t>01</w:t>
            </w:r>
          </w:p>
          <w:p>
            <w:pPr>
              <w:spacing w:line="280" w:lineRule="exact"/>
              <w:ind w:right="4"/>
              <w:jc w:val="center"/>
              <w:rPr>
                <w:rFonts w:ascii="宋体" w:hAnsi="宋体"/>
                <w:sz w:val="18"/>
              </w:rPr>
            </w:pPr>
            <w:r>
              <w:rPr>
                <w:rFonts w:hint="eastAsia" w:ascii="宋体" w:hAnsi="宋体"/>
                <w:sz w:val="18"/>
              </w:rPr>
              <w:t>02</w:t>
            </w:r>
          </w:p>
          <w:p>
            <w:pPr>
              <w:spacing w:line="280" w:lineRule="exact"/>
              <w:ind w:right="4"/>
              <w:jc w:val="center"/>
              <w:rPr>
                <w:rFonts w:ascii="宋体" w:hAnsi="宋体"/>
                <w:sz w:val="18"/>
              </w:rPr>
            </w:pPr>
            <w:r>
              <w:rPr>
                <w:rFonts w:hint="eastAsia" w:ascii="宋体" w:hAnsi="宋体"/>
                <w:sz w:val="18"/>
              </w:rPr>
              <w:t>03</w:t>
            </w:r>
          </w:p>
          <w:p>
            <w:pPr>
              <w:spacing w:line="280" w:lineRule="exact"/>
              <w:ind w:right="4"/>
              <w:jc w:val="center"/>
              <w:rPr>
                <w:rFonts w:ascii="宋体" w:hAnsi="宋体"/>
                <w:sz w:val="18"/>
              </w:rPr>
            </w:pPr>
            <w:r>
              <w:rPr>
                <w:rFonts w:hint="eastAsia" w:ascii="宋体" w:hAnsi="宋体"/>
                <w:sz w:val="18"/>
              </w:rPr>
              <w:t>04</w:t>
            </w:r>
          </w:p>
          <w:p>
            <w:pPr>
              <w:spacing w:line="280" w:lineRule="exact"/>
              <w:ind w:right="4"/>
              <w:jc w:val="center"/>
              <w:rPr>
                <w:rFonts w:ascii="宋体" w:hAnsi="宋体"/>
                <w:sz w:val="18"/>
              </w:rPr>
            </w:pPr>
            <w:r>
              <w:rPr>
                <w:rFonts w:hint="eastAsia" w:ascii="宋体" w:hAnsi="宋体"/>
                <w:sz w:val="18"/>
              </w:rPr>
              <w:t>05</w:t>
            </w:r>
          </w:p>
          <w:p>
            <w:pPr>
              <w:spacing w:line="280" w:lineRule="exact"/>
              <w:ind w:right="4"/>
              <w:jc w:val="center"/>
              <w:rPr>
                <w:rFonts w:ascii="宋体" w:hAnsi="宋体"/>
                <w:sz w:val="18"/>
              </w:rPr>
            </w:pPr>
            <w:r>
              <w:rPr>
                <w:rFonts w:hint="eastAsia" w:ascii="宋体" w:hAnsi="宋体"/>
                <w:sz w:val="18"/>
              </w:rPr>
              <w:t>06</w:t>
            </w:r>
          </w:p>
        </w:tc>
        <w:tc>
          <w:tcPr>
            <w:tcW w:w="5059" w:type="dxa"/>
            <w:gridSpan w:val="4"/>
            <w:tcBorders>
              <w:top w:val="single" w:color="auto" w:sz="4" w:space="0"/>
              <w:left w:val="single" w:color="auto" w:sz="4" w:space="0"/>
              <w:bottom w:val="single" w:color="auto" w:sz="8" w:space="0"/>
              <w:right w:val="nil"/>
            </w:tcBorders>
            <w:noWrap/>
            <w:vAlign w:val="center"/>
          </w:tcPr>
          <w:p>
            <w:pPr>
              <w:pStyle w:val="15"/>
              <w:pBdr>
                <w:bottom w:val="none" w:color="auto" w:sz="0" w:space="0"/>
              </w:pBdr>
              <w:tabs>
                <w:tab w:val="clear" w:pos="4153"/>
                <w:tab w:val="clear" w:pos="8306"/>
              </w:tabs>
              <w:snapToGrid/>
              <w:spacing w:line="280" w:lineRule="exact"/>
              <w:rPr>
                <w:rFonts w:ascii="宋体" w:hAnsi="宋体"/>
                <w:szCs w:val="24"/>
              </w:rPr>
            </w:pPr>
          </w:p>
        </w:tc>
      </w:tr>
    </w:tbl>
    <w:p>
      <w:pPr>
        <w:spacing w:line="320" w:lineRule="exact"/>
        <w:ind w:right="-38" w:firstLine="90" w:firstLineChars="50"/>
        <w:rPr>
          <w:sz w:val="18"/>
        </w:rPr>
      </w:pPr>
      <w:r>
        <w:rPr>
          <w:rFonts w:hint="eastAsia"/>
          <w:sz w:val="18"/>
        </w:rPr>
        <w:t>单</w:t>
      </w:r>
      <w:r>
        <w:rPr>
          <w:rFonts w:hint="eastAsia" w:ascii="宋体" w:hAnsi="宋体" w:cs="宋体"/>
          <w:kern w:val="0"/>
          <w:sz w:val="18"/>
          <w:szCs w:val="18"/>
        </w:rPr>
        <w:t>位负责人：         统计负责人：         填表人：         联系电话：         报出日期：２０   年  月  日</w:t>
      </w:r>
    </w:p>
    <w:p>
      <w:pPr>
        <w:adjustRightInd w:val="0"/>
        <w:snapToGrid w:val="0"/>
        <w:ind w:right="-40"/>
        <w:rPr>
          <w:sz w:val="18"/>
        </w:rPr>
      </w:pPr>
    </w:p>
    <w:p>
      <w:pPr>
        <w:spacing w:line="260" w:lineRule="exact"/>
        <w:rPr>
          <w:rFonts w:asciiTheme="minorEastAsia" w:hAnsiTheme="minorEastAsia" w:eastAsiaTheme="minorEastAsia" w:cstheme="minorEastAsia"/>
          <w:sz w:val="18"/>
        </w:rPr>
      </w:pPr>
      <w:r>
        <w:rPr>
          <w:rFonts w:hint="eastAsia" w:asciiTheme="minorEastAsia" w:hAnsiTheme="minorEastAsia" w:eastAsiaTheme="minorEastAsia" w:cstheme="minorEastAsia"/>
          <w:b/>
          <w:sz w:val="18"/>
        </w:rPr>
        <w:t>说明</w:t>
      </w:r>
      <w:r>
        <w:rPr>
          <w:rFonts w:hint="eastAsia" w:asciiTheme="minorEastAsia" w:hAnsiTheme="minorEastAsia" w:eastAsiaTheme="minorEastAsia" w:cstheme="minorEastAsia"/>
          <w:sz w:val="18"/>
        </w:rPr>
        <w:t>：1.本表由航空企业报送。</w:t>
      </w:r>
    </w:p>
    <w:p>
      <w:pPr>
        <w:spacing w:line="260" w:lineRule="exact"/>
        <w:ind w:left="525" w:leftChars="250"/>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2.统计范围是航空运输企业的能源消费活动，不包括部门所管理的工业、建筑业等企业及行政、事业单位。</w:t>
      </w:r>
    </w:p>
    <w:p>
      <w:pPr>
        <w:spacing w:line="260" w:lineRule="exact"/>
        <w:ind w:left="525" w:leftChars="250"/>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3.报送时间为次年3月15日前，报送方式为电子邮件（gzstjjnyc@gz.gov.cn）。</w:t>
      </w:r>
    </w:p>
    <w:p>
      <w:pPr>
        <w:adjustRightInd w:val="0"/>
        <w:snapToGrid w:val="0"/>
        <w:ind w:right="-40" w:firstLine="540"/>
        <w:rPr>
          <w:rFonts w:ascii="宋体" w:hAnsi="宋体"/>
          <w:sz w:val="18"/>
        </w:rPr>
      </w:pPr>
    </w:p>
    <w:tbl>
      <w:tblPr>
        <w:tblStyle w:val="21"/>
        <w:tblW w:w="0" w:type="auto"/>
        <w:tblInd w:w="0" w:type="dxa"/>
        <w:tblLayout w:type="fixed"/>
        <w:tblCellMar>
          <w:top w:w="0" w:type="dxa"/>
          <w:left w:w="108" w:type="dxa"/>
          <w:bottom w:w="0" w:type="dxa"/>
          <w:right w:w="108" w:type="dxa"/>
        </w:tblCellMar>
      </w:tblPr>
      <w:tblGrid>
        <w:gridCol w:w="1303"/>
        <w:gridCol w:w="388"/>
        <w:gridCol w:w="1105"/>
        <w:gridCol w:w="1104"/>
        <w:gridCol w:w="1104"/>
        <w:gridCol w:w="1104"/>
        <w:gridCol w:w="1105"/>
        <w:gridCol w:w="227"/>
        <w:gridCol w:w="1141"/>
        <w:gridCol w:w="1440"/>
      </w:tblGrid>
      <w:tr>
        <w:tblPrEx>
          <w:tblCellMar>
            <w:top w:w="0" w:type="dxa"/>
            <w:left w:w="108" w:type="dxa"/>
            <w:bottom w:w="0" w:type="dxa"/>
            <w:right w:w="108" w:type="dxa"/>
          </w:tblCellMar>
        </w:tblPrEx>
        <w:trPr>
          <w:trHeight w:val="525" w:hRule="atLeast"/>
        </w:trPr>
        <w:tc>
          <w:tcPr>
            <w:tcW w:w="10021" w:type="dxa"/>
            <w:gridSpan w:val="10"/>
            <w:vMerge w:val="restart"/>
            <w:tcBorders>
              <w:top w:val="nil"/>
              <w:left w:val="nil"/>
              <w:bottom w:val="nil"/>
              <w:right w:val="nil"/>
            </w:tcBorders>
            <w:noWrap/>
            <w:vAlign w:val="bottom"/>
          </w:tcPr>
          <w:p>
            <w:pPr>
              <w:widowControl/>
              <w:snapToGrid w:val="0"/>
              <w:jc w:val="center"/>
              <w:rPr>
                <w:rFonts w:ascii="宋体" w:hAnsi="宋体" w:cs="宋体"/>
                <w:b/>
                <w:kern w:val="0"/>
                <w:sz w:val="32"/>
                <w:szCs w:val="32"/>
              </w:rPr>
            </w:pPr>
            <w:r>
              <w:rPr>
                <w:rFonts w:hint="eastAsia" w:ascii="宋体" w:hAnsi="宋体" w:cs="宋体"/>
                <w:b/>
                <w:kern w:val="0"/>
                <w:sz w:val="32"/>
                <w:szCs w:val="32"/>
              </w:rPr>
              <w:t>公路、水上运输企业主要能源消费与库存</w:t>
            </w:r>
          </w:p>
        </w:tc>
      </w:tr>
      <w:tr>
        <w:tblPrEx>
          <w:tblCellMar>
            <w:top w:w="0" w:type="dxa"/>
            <w:left w:w="108" w:type="dxa"/>
            <w:bottom w:w="0" w:type="dxa"/>
            <w:right w:w="108" w:type="dxa"/>
          </w:tblCellMar>
        </w:tblPrEx>
        <w:trPr>
          <w:trHeight w:val="420" w:hRule="atLeast"/>
        </w:trPr>
        <w:tc>
          <w:tcPr>
            <w:tcW w:w="10021" w:type="dxa"/>
            <w:gridSpan w:val="10"/>
            <w:vMerge w:val="continue"/>
            <w:tcBorders>
              <w:top w:val="nil"/>
              <w:left w:val="nil"/>
              <w:bottom w:val="nil"/>
              <w:right w:val="nil"/>
            </w:tcBorders>
            <w:noWrap/>
            <w:vAlign w:val="center"/>
          </w:tcPr>
          <w:p>
            <w:pPr>
              <w:widowControl/>
              <w:jc w:val="left"/>
              <w:rPr>
                <w:rFonts w:ascii="宋体" w:hAnsi="宋体" w:cs="宋体"/>
                <w:kern w:val="0"/>
                <w:sz w:val="32"/>
                <w:szCs w:val="32"/>
              </w:rPr>
            </w:pPr>
          </w:p>
        </w:tc>
      </w:tr>
      <w:tr>
        <w:tblPrEx>
          <w:tblCellMar>
            <w:top w:w="0" w:type="dxa"/>
            <w:left w:w="108" w:type="dxa"/>
            <w:bottom w:w="0" w:type="dxa"/>
            <w:right w:w="108" w:type="dxa"/>
          </w:tblCellMar>
        </w:tblPrEx>
        <w:trPr>
          <w:trHeight w:val="270" w:hRule="atLeast"/>
        </w:trPr>
        <w:tc>
          <w:tcPr>
            <w:tcW w:w="1691" w:type="dxa"/>
            <w:gridSpan w:val="2"/>
            <w:vMerge w:val="restart"/>
            <w:tcBorders>
              <w:top w:val="nil"/>
              <w:left w:val="nil"/>
              <w:bottom w:val="nil"/>
              <w:right w:val="nil"/>
            </w:tcBorders>
            <w:noWrap/>
            <w:vAlign w:val="bottom"/>
          </w:tcPr>
          <w:p>
            <w:pPr>
              <w:widowControl/>
              <w:jc w:val="center"/>
              <w:rPr>
                <w:rFonts w:ascii="宋体" w:hAnsi="宋体" w:cs="宋体"/>
                <w:kern w:val="0"/>
                <w:sz w:val="18"/>
                <w:szCs w:val="18"/>
              </w:rPr>
            </w:pPr>
          </w:p>
        </w:tc>
        <w:tc>
          <w:tcPr>
            <w:tcW w:w="5522" w:type="dxa"/>
            <w:gridSpan w:val="5"/>
            <w:vMerge w:val="restart"/>
            <w:tcBorders>
              <w:top w:val="nil"/>
              <w:left w:val="nil"/>
              <w:bottom w:val="nil"/>
              <w:right w:val="nil"/>
            </w:tcBorders>
            <w:noWrap/>
            <w:vAlign w:val="bottom"/>
          </w:tcPr>
          <w:p>
            <w:pPr>
              <w:widowControl/>
              <w:jc w:val="center"/>
              <w:rPr>
                <w:rFonts w:ascii="方正小标宋_GBK" w:hAnsi="宋体" w:eastAsia="方正小标宋_GBK" w:cs="宋体"/>
                <w:kern w:val="0"/>
                <w:sz w:val="32"/>
                <w:szCs w:val="32"/>
              </w:rPr>
            </w:pPr>
          </w:p>
        </w:tc>
        <w:tc>
          <w:tcPr>
            <w:tcW w:w="2808" w:type="dxa"/>
            <w:gridSpan w:val="3"/>
            <w:tcBorders>
              <w:top w:val="nil"/>
              <w:left w:val="nil"/>
              <w:bottom w:val="nil"/>
              <w:right w:val="nil"/>
            </w:tcBorders>
            <w:noWrap/>
            <w:vAlign w:val="bottom"/>
          </w:tcPr>
          <w:p>
            <w:pPr>
              <w:widowControl/>
              <w:jc w:val="left"/>
              <w:rPr>
                <w:rFonts w:ascii="宋体" w:hAnsi="宋体"/>
                <w:kern w:val="0"/>
                <w:sz w:val="18"/>
                <w:szCs w:val="18"/>
              </w:rPr>
            </w:pPr>
            <w:r>
              <w:rPr>
                <w:rFonts w:ascii="宋体" w:hAnsi="宋体"/>
                <w:kern w:val="0"/>
                <w:sz w:val="18"/>
                <w:szCs w:val="18"/>
              </w:rPr>
              <w:t>表    号：</w:t>
            </w:r>
            <w:r>
              <w:rPr>
                <w:rFonts w:ascii="宋体" w:hAnsi="宋体"/>
                <w:bCs/>
                <w:kern w:val="0"/>
                <w:sz w:val="18"/>
                <w:szCs w:val="18"/>
              </w:rPr>
              <w:t>J  T</w:t>
            </w:r>
            <w:r>
              <w:rPr>
                <w:rFonts w:hint="eastAsia" w:ascii="宋体" w:hAnsi="宋体"/>
                <w:bCs/>
                <w:kern w:val="0"/>
                <w:sz w:val="18"/>
                <w:szCs w:val="18"/>
              </w:rPr>
              <w:t xml:space="preserve"> </w:t>
            </w:r>
            <w:r>
              <w:rPr>
                <w:rFonts w:ascii="宋体" w:hAnsi="宋体"/>
                <w:bCs/>
                <w:kern w:val="0"/>
                <w:sz w:val="18"/>
                <w:szCs w:val="18"/>
              </w:rPr>
              <w:t xml:space="preserve"> </w:t>
            </w:r>
            <w:r>
              <w:rPr>
                <w:rFonts w:ascii="宋体" w:hAnsi="宋体"/>
                <w:kern w:val="0"/>
                <w:sz w:val="18"/>
                <w:szCs w:val="18"/>
              </w:rPr>
              <w:t xml:space="preserve">３ </w:t>
            </w:r>
            <w:r>
              <w:rPr>
                <w:rFonts w:ascii="宋体" w:hAnsi="宋体"/>
                <w:sz w:val="18"/>
                <w:szCs w:val="18"/>
              </w:rPr>
              <w:t>２</w:t>
            </w:r>
            <w:r>
              <w:rPr>
                <w:rFonts w:hint="eastAsia" w:ascii="宋体" w:hAnsi="宋体"/>
                <w:sz w:val="18"/>
                <w:szCs w:val="18"/>
              </w:rPr>
              <w:t xml:space="preserve"> </w:t>
            </w:r>
            <w:r>
              <w:rPr>
                <w:rFonts w:ascii="宋体" w:hAnsi="宋体"/>
                <w:sz w:val="18"/>
              </w:rPr>
              <w:t>０</w:t>
            </w:r>
            <w:r>
              <w:rPr>
                <w:rFonts w:ascii="宋体" w:hAnsi="宋体"/>
                <w:kern w:val="0"/>
                <w:sz w:val="18"/>
                <w:szCs w:val="18"/>
              </w:rPr>
              <w:t xml:space="preserve">  表</w:t>
            </w:r>
          </w:p>
        </w:tc>
      </w:tr>
      <w:tr>
        <w:tblPrEx>
          <w:tblCellMar>
            <w:top w:w="0" w:type="dxa"/>
            <w:left w:w="108" w:type="dxa"/>
            <w:bottom w:w="0" w:type="dxa"/>
            <w:right w:w="108" w:type="dxa"/>
          </w:tblCellMar>
        </w:tblPrEx>
        <w:trPr>
          <w:trHeight w:val="300" w:hRule="atLeast"/>
        </w:trPr>
        <w:tc>
          <w:tcPr>
            <w:tcW w:w="1691" w:type="dxa"/>
            <w:gridSpan w:val="2"/>
            <w:vMerge w:val="continue"/>
            <w:tcBorders>
              <w:top w:val="nil"/>
              <w:left w:val="nil"/>
              <w:bottom w:val="nil"/>
              <w:right w:val="nil"/>
            </w:tcBorders>
            <w:noWrap/>
            <w:vAlign w:val="center"/>
          </w:tcPr>
          <w:p>
            <w:pPr>
              <w:widowControl/>
              <w:jc w:val="left"/>
              <w:rPr>
                <w:rFonts w:ascii="宋体" w:hAnsi="宋体" w:cs="宋体"/>
                <w:kern w:val="0"/>
                <w:sz w:val="18"/>
                <w:szCs w:val="18"/>
              </w:rPr>
            </w:pPr>
          </w:p>
        </w:tc>
        <w:tc>
          <w:tcPr>
            <w:tcW w:w="5522" w:type="dxa"/>
            <w:gridSpan w:val="5"/>
            <w:vMerge w:val="continue"/>
            <w:tcBorders>
              <w:top w:val="nil"/>
              <w:left w:val="nil"/>
              <w:bottom w:val="nil"/>
              <w:right w:val="nil"/>
            </w:tcBorders>
            <w:noWrap/>
            <w:vAlign w:val="center"/>
          </w:tcPr>
          <w:p>
            <w:pPr>
              <w:widowControl/>
              <w:jc w:val="left"/>
              <w:rPr>
                <w:rFonts w:ascii="方正小标宋_GBK" w:hAnsi="宋体" w:eastAsia="方正小标宋_GBK" w:cs="宋体"/>
                <w:kern w:val="0"/>
                <w:sz w:val="32"/>
                <w:szCs w:val="32"/>
              </w:rPr>
            </w:pPr>
          </w:p>
        </w:tc>
        <w:tc>
          <w:tcPr>
            <w:tcW w:w="2808" w:type="dxa"/>
            <w:gridSpan w:val="3"/>
            <w:tcBorders>
              <w:top w:val="nil"/>
              <w:left w:val="nil"/>
              <w:bottom w:val="nil"/>
              <w:right w:val="nil"/>
            </w:tcBorders>
            <w:noWrap/>
            <w:vAlign w:val="bottom"/>
          </w:tcPr>
          <w:p>
            <w:pPr>
              <w:widowControl/>
              <w:jc w:val="left"/>
              <w:rPr>
                <w:rFonts w:ascii="宋体" w:hAnsi="宋体"/>
                <w:kern w:val="0"/>
                <w:sz w:val="18"/>
                <w:szCs w:val="18"/>
              </w:rPr>
            </w:pPr>
            <w:r>
              <w:rPr>
                <w:rFonts w:ascii="宋体" w:hAnsi="宋体"/>
                <w:kern w:val="0"/>
                <w:sz w:val="18"/>
                <w:szCs w:val="18"/>
              </w:rPr>
              <w:t>制表机关：国  家  统  计  局</w:t>
            </w:r>
          </w:p>
        </w:tc>
      </w:tr>
      <w:tr>
        <w:tblPrEx>
          <w:tblCellMar>
            <w:top w:w="0" w:type="dxa"/>
            <w:left w:w="108" w:type="dxa"/>
            <w:bottom w:w="0" w:type="dxa"/>
            <w:right w:w="108" w:type="dxa"/>
          </w:tblCellMar>
        </w:tblPrEx>
        <w:trPr>
          <w:trHeight w:val="285" w:hRule="atLeast"/>
        </w:trPr>
        <w:tc>
          <w:tcPr>
            <w:tcW w:w="1691" w:type="dxa"/>
            <w:gridSpan w:val="2"/>
            <w:vMerge w:val="continue"/>
            <w:tcBorders>
              <w:top w:val="nil"/>
              <w:left w:val="nil"/>
              <w:bottom w:val="nil"/>
              <w:right w:val="nil"/>
            </w:tcBorders>
            <w:noWrap/>
            <w:vAlign w:val="center"/>
          </w:tcPr>
          <w:p>
            <w:pPr>
              <w:widowControl/>
              <w:jc w:val="left"/>
              <w:rPr>
                <w:rFonts w:ascii="宋体" w:hAnsi="宋体" w:cs="宋体"/>
                <w:kern w:val="0"/>
                <w:sz w:val="18"/>
                <w:szCs w:val="18"/>
              </w:rPr>
            </w:pPr>
          </w:p>
        </w:tc>
        <w:tc>
          <w:tcPr>
            <w:tcW w:w="5522" w:type="dxa"/>
            <w:gridSpan w:val="5"/>
            <w:vMerge w:val="continue"/>
            <w:tcBorders>
              <w:top w:val="nil"/>
              <w:left w:val="nil"/>
              <w:bottom w:val="nil"/>
              <w:right w:val="nil"/>
            </w:tcBorders>
            <w:noWrap/>
            <w:vAlign w:val="center"/>
          </w:tcPr>
          <w:p>
            <w:pPr>
              <w:widowControl/>
              <w:jc w:val="left"/>
              <w:rPr>
                <w:rFonts w:ascii="方正小标宋_GBK" w:hAnsi="宋体" w:eastAsia="方正小标宋_GBK" w:cs="宋体"/>
                <w:kern w:val="0"/>
                <w:sz w:val="32"/>
                <w:szCs w:val="32"/>
              </w:rPr>
            </w:pPr>
          </w:p>
        </w:tc>
        <w:tc>
          <w:tcPr>
            <w:tcW w:w="2808" w:type="dxa"/>
            <w:gridSpan w:val="3"/>
            <w:tcBorders>
              <w:top w:val="nil"/>
              <w:left w:val="nil"/>
              <w:bottom w:val="nil"/>
              <w:right w:val="nil"/>
            </w:tcBorders>
            <w:noWrap/>
            <w:vAlign w:val="bottom"/>
          </w:tcPr>
          <w:p>
            <w:pPr>
              <w:widowControl/>
              <w:jc w:val="left"/>
              <w:rPr>
                <w:rFonts w:ascii="宋体" w:hAnsi="宋体"/>
                <w:color w:val="auto"/>
                <w:kern w:val="0"/>
                <w:sz w:val="18"/>
                <w:szCs w:val="18"/>
              </w:rPr>
            </w:pPr>
            <w:r>
              <w:rPr>
                <w:rFonts w:hint="eastAsia" w:ascii="宋体" w:hAnsi="宋体"/>
                <w:color w:val="auto"/>
                <w:sz w:val="18"/>
              </w:rPr>
              <w:t>文</w:t>
            </w:r>
            <w:r>
              <w:rPr>
                <w:rFonts w:ascii="宋体" w:hAnsi="宋体"/>
                <w:color w:val="auto"/>
                <w:sz w:val="18"/>
              </w:rPr>
              <w:t xml:space="preserve">    号：</w:t>
            </w:r>
            <w:r>
              <w:rPr>
                <w:rFonts w:hint="eastAsia" w:ascii="宋体" w:hAnsi="宋体"/>
                <w:color w:val="auto"/>
                <w:sz w:val="18"/>
                <w:szCs w:val="18"/>
              </w:rPr>
              <w:t>国统字〔202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color w:val="auto"/>
                <w:sz w:val="18"/>
                <w:szCs w:val="18"/>
              </w:rPr>
              <w:t>号</w:t>
            </w:r>
          </w:p>
        </w:tc>
      </w:tr>
      <w:tr>
        <w:tblPrEx>
          <w:tblCellMar>
            <w:top w:w="0" w:type="dxa"/>
            <w:left w:w="108" w:type="dxa"/>
            <w:bottom w:w="0" w:type="dxa"/>
            <w:right w:w="108" w:type="dxa"/>
          </w:tblCellMar>
        </w:tblPrEx>
        <w:trPr>
          <w:trHeight w:val="285" w:hRule="atLeast"/>
        </w:trPr>
        <w:tc>
          <w:tcPr>
            <w:tcW w:w="1691" w:type="dxa"/>
            <w:gridSpan w:val="2"/>
            <w:tcBorders>
              <w:top w:val="nil"/>
              <w:left w:val="nil"/>
              <w:bottom w:val="single" w:color="auto" w:sz="8" w:space="0"/>
              <w:right w:val="nil"/>
            </w:tcBorders>
            <w:noWrap/>
            <w:vAlign w:val="bottom"/>
          </w:tcPr>
          <w:p>
            <w:pPr>
              <w:widowControl/>
              <w:ind w:left="-2" w:leftChars="-40" w:hanging="82" w:hangingChars="46"/>
              <w:rPr>
                <w:rFonts w:ascii="宋体" w:hAnsi="宋体" w:cs="宋体"/>
                <w:kern w:val="0"/>
                <w:sz w:val="18"/>
                <w:szCs w:val="18"/>
              </w:rPr>
            </w:pPr>
            <w:r>
              <w:rPr>
                <w:rFonts w:hint="eastAsia" w:ascii="宋体" w:hAnsi="宋体" w:cs="宋体"/>
                <w:kern w:val="0"/>
                <w:sz w:val="18"/>
                <w:szCs w:val="18"/>
              </w:rPr>
              <w:t>综合机关名称：</w:t>
            </w:r>
          </w:p>
        </w:tc>
        <w:tc>
          <w:tcPr>
            <w:tcW w:w="5522" w:type="dxa"/>
            <w:gridSpan w:val="5"/>
            <w:tcBorders>
              <w:top w:val="nil"/>
              <w:left w:val="nil"/>
              <w:bottom w:val="single" w:color="auto" w:sz="8" w:space="0"/>
              <w:right w:val="nil"/>
            </w:tcBorders>
            <w:noWrap/>
            <w:vAlign w:val="bottom"/>
          </w:tcPr>
          <w:p>
            <w:pPr>
              <w:widowControl/>
              <w:jc w:val="center"/>
              <w:rPr>
                <w:rFonts w:ascii="宋体" w:hAnsi="宋体" w:cs="宋体"/>
                <w:kern w:val="0"/>
                <w:sz w:val="18"/>
                <w:szCs w:val="18"/>
              </w:rPr>
            </w:pPr>
            <w:r>
              <w:rPr>
                <w:sz w:val="18"/>
                <w:szCs w:val="18"/>
              </w:rPr>
              <w:t>２０　　年</w:t>
            </w:r>
          </w:p>
        </w:tc>
        <w:tc>
          <w:tcPr>
            <w:tcW w:w="2808" w:type="dxa"/>
            <w:gridSpan w:val="3"/>
            <w:tcBorders>
              <w:top w:val="nil"/>
              <w:left w:val="nil"/>
              <w:bottom w:val="single" w:color="auto" w:sz="8" w:space="0"/>
              <w:right w:val="nil"/>
            </w:tcBorders>
            <w:noWrap/>
            <w:vAlign w:val="bottom"/>
          </w:tcPr>
          <w:p>
            <w:pPr>
              <w:widowControl/>
              <w:jc w:val="left"/>
              <w:rPr>
                <w:rFonts w:ascii="宋体" w:hAnsi="宋体"/>
                <w:color w:val="auto"/>
                <w:kern w:val="0"/>
                <w:sz w:val="18"/>
                <w:szCs w:val="18"/>
              </w:rPr>
            </w:pPr>
            <w:r>
              <w:rPr>
                <w:rFonts w:hint="eastAsia" w:ascii="宋体" w:hAnsi="宋体"/>
                <w:color w:val="auto"/>
                <w:sz w:val="18"/>
              </w:rPr>
              <w:t>有效期至：</w:t>
            </w:r>
            <w:r>
              <w:rPr>
                <w:rFonts w:hint="eastAsia" w:ascii="宋体" w:hAnsi="宋体"/>
                <w:color w:val="auto"/>
                <w:spacing w:val="10"/>
                <w:sz w:val="18"/>
                <w:szCs w:val="18"/>
              </w:rPr>
              <w:t>２０２</w:t>
            </w:r>
            <w:r>
              <w:rPr>
                <w:rFonts w:hint="eastAsia" w:ascii="宋体" w:hAnsi="宋体"/>
                <w:color w:val="auto"/>
                <w:spacing w:val="10"/>
                <w:sz w:val="18"/>
                <w:szCs w:val="18"/>
                <w:lang w:val="en-US" w:eastAsia="zh-CN"/>
              </w:rPr>
              <w:t>6</w:t>
            </w:r>
            <w:r>
              <w:rPr>
                <w:rFonts w:hint="eastAsia" w:ascii="宋体" w:hAnsi="宋体"/>
                <w:color w:val="auto"/>
                <w:spacing w:val="10"/>
                <w:sz w:val="18"/>
                <w:szCs w:val="18"/>
              </w:rPr>
              <w:t xml:space="preserve"> </w:t>
            </w:r>
            <w:r>
              <w:rPr>
                <w:rFonts w:ascii="宋体" w:hAnsi="宋体"/>
                <w:color w:val="auto"/>
                <w:spacing w:val="10"/>
                <w:sz w:val="18"/>
                <w:szCs w:val="18"/>
              </w:rPr>
              <w:t>年</w:t>
            </w:r>
            <w:r>
              <w:rPr>
                <w:rFonts w:hint="eastAsia" w:ascii="宋体" w:hAnsi="宋体"/>
                <w:color w:val="auto"/>
                <w:spacing w:val="10"/>
                <w:sz w:val="18"/>
                <w:szCs w:val="18"/>
              </w:rPr>
              <w:t xml:space="preserve"> ６ </w:t>
            </w:r>
            <w:r>
              <w:rPr>
                <w:rFonts w:ascii="宋体" w:hAnsi="宋体"/>
                <w:color w:val="auto"/>
                <w:spacing w:val="10"/>
                <w:sz w:val="18"/>
                <w:szCs w:val="18"/>
              </w:rPr>
              <w:t>月</w:t>
            </w:r>
          </w:p>
        </w:tc>
      </w:tr>
      <w:tr>
        <w:tblPrEx>
          <w:tblCellMar>
            <w:top w:w="0" w:type="dxa"/>
            <w:left w:w="108" w:type="dxa"/>
            <w:bottom w:w="0" w:type="dxa"/>
            <w:right w:w="108" w:type="dxa"/>
          </w:tblCellMar>
        </w:tblPrEx>
        <w:trPr>
          <w:trHeight w:val="143" w:hRule="atLeast"/>
        </w:trPr>
        <w:tc>
          <w:tcPr>
            <w:tcW w:w="1303" w:type="dxa"/>
            <w:vMerge w:val="restart"/>
            <w:tcBorders>
              <w:top w:val="single" w:color="auto" w:sz="8" w:space="0"/>
              <w:left w:val="nil"/>
              <w:bottom w:val="single" w:color="auto" w:sz="2" w:space="0"/>
              <w:right w:val="single" w:color="auto" w:sz="2"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品种</w:t>
            </w:r>
          </w:p>
        </w:tc>
        <w:tc>
          <w:tcPr>
            <w:tcW w:w="1493" w:type="dxa"/>
            <w:gridSpan w:val="2"/>
            <w:vMerge w:val="restart"/>
            <w:tcBorders>
              <w:top w:val="single" w:color="auto" w:sz="8" w:space="0"/>
              <w:left w:val="single" w:color="auto" w:sz="2" w:space="0"/>
              <w:bottom w:val="single" w:color="auto" w:sz="2" w:space="0"/>
              <w:right w:val="single" w:color="auto" w:sz="2"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计量</w:t>
            </w:r>
            <w:r>
              <w:rPr>
                <w:rFonts w:hint="eastAsia" w:ascii="宋体" w:hAnsi="宋体" w:cs="宋体"/>
                <w:kern w:val="0"/>
                <w:sz w:val="18"/>
                <w:szCs w:val="18"/>
              </w:rPr>
              <w:br w:type="textWrapping"/>
            </w:r>
            <w:r>
              <w:rPr>
                <w:rFonts w:hint="eastAsia" w:ascii="宋体" w:hAnsi="宋体" w:cs="宋体"/>
                <w:kern w:val="0"/>
                <w:sz w:val="18"/>
                <w:szCs w:val="18"/>
              </w:rPr>
              <w:t>单位</w:t>
            </w:r>
          </w:p>
        </w:tc>
        <w:tc>
          <w:tcPr>
            <w:tcW w:w="1104" w:type="dxa"/>
            <w:vMerge w:val="restart"/>
            <w:tcBorders>
              <w:top w:val="single" w:color="auto" w:sz="8" w:space="0"/>
              <w:left w:val="single" w:color="auto" w:sz="2" w:space="0"/>
              <w:bottom w:val="single" w:color="auto" w:sz="2" w:space="0"/>
              <w:right w:val="single" w:color="auto" w:sz="2"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代码</w:t>
            </w:r>
          </w:p>
        </w:tc>
        <w:tc>
          <w:tcPr>
            <w:tcW w:w="1104" w:type="dxa"/>
            <w:vMerge w:val="restart"/>
            <w:tcBorders>
              <w:top w:val="single" w:color="auto" w:sz="8" w:space="0"/>
              <w:left w:val="single" w:color="auto" w:sz="2" w:space="0"/>
              <w:bottom w:val="single" w:color="auto" w:sz="2" w:space="0"/>
              <w:right w:val="single" w:color="auto" w:sz="2"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期初</w:t>
            </w:r>
            <w:r>
              <w:rPr>
                <w:rFonts w:hint="eastAsia" w:ascii="宋体" w:hAnsi="宋体" w:cs="宋体"/>
                <w:kern w:val="0"/>
                <w:sz w:val="18"/>
                <w:szCs w:val="18"/>
              </w:rPr>
              <w:br w:type="textWrapping"/>
            </w:r>
            <w:r>
              <w:rPr>
                <w:rFonts w:hint="eastAsia" w:ascii="宋体" w:hAnsi="宋体" w:cs="宋体"/>
                <w:kern w:val="0"/>
                <w:sz w:val="18"/>
                <w:szCs w:val="18"/>
              </w:rPr>
              <w:t>库存量</w:t>
            </w:r>
          </w:p>
        </w:tc>
        <w:tc>
          <w:tcPr>
            <w:tcW w:w="1104" w:type="dxa"/>
            <w:vMerge w:val="restart"/>
            <w:tcBorders>
              <w:top w:val="single" w:color="auto" w:sz="8" w:space="0"/>
              <w:left w:val="single" w:color="auto" w:sz="2" w:space="0"/>
              <w:bottom w:val="single" w:color="auto" w:sz="2"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本年</w:t>
            </w:r>
            <w:r>
              <w:rPr>
                <w:rFonts w:hint="eastAsia" w:ascii="宋体" w:hAnsi="宋体" w:cs="宋体"/>
                <w:kern w:val="0"/>
                <w:sz w:val="18"/>
                <w:szCs w:val="18"/>
              </w:rPr>
              <w:br w:type="textWrapping"/>
            </w:r>
            <w:r>
              <w:rPr>
                <w:rFonts w:hint="eastAsia" w:ascii="宋体" w:hAnsi="宋体" w:cs="宋体"/>
                <w:kern w:val="0"/>
                <w:sz w:val="18"/>
                <w:szCs w:val="18"/>
              </w:rPr>
              <w:t>消费量</w:t>
            </w:r>
          </w:p>
        </w:tc>
        <w:tc>
          <w:tcPr>
            <w:tcW w:w="2473" w:type="dxa"/>
            <w:gridSpan w:val="3"/>
            <w:tcBorders>
              <w:top w:val="single" w:color="auto" w:sz="8" w:space="0"/>
              <w:bottom w:val="single" w:color="auto" w:sz="2" w:space="0"/>
              <w:right w:val="single" w:color="auto" w:sz="2" w:space="0"/>
            </w:tcBorders>
            <w:noWrap/>
            <w:vAlign w:val="bottom"/>
          </w:tcPr>
          <w:p>
            <w:pPr>
              <w:widowControl/>
              <w:jc w:val="center"/>
              <w:rPr>
                <w:kern w:val="0"/>
                <w:sz w:val="18"/>
                <w:szCs w:val="18"/>
              </w:rPr>
            </w:pPr>
          </w:p>
        </w:tc>
        <w:tc>
          <w:tcPr>
            <w:tcW w:w="1440" w:type="dxa"/>
            <w:vMerge w:val="restart"/>
            <w:tcBorders>
              <w:top w:val="single" w:color="auto" w:sz="8" w:space="0"/>
              <w:left w:val="single" w:color="auto" w:sz="2" w:space="0"/>
              <w:bottom w:val="single" w:color="auto" w:sz="2" w:space="0"/>
              <w:right w:val="nil"/>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期  末</w:t>
            </w:r>
            <w:r>
              <w:rPr>
                <w:rFonts w:hint="eastAsia" w:ascii="宋体" w:hAnsi="宋体" w:cs="宋体"/>
                <w:kern w:val="0"/>
                <w:sz w:val="18"/>
                <w:szCs w:val="18"/>
              </w:rPr>
              <w:br w:type="textWrapping"/>
            </w:r>
            <w:r>
              <w:rPr>
                <w:rFonts w:hint="eastAsia" w:ascii="宋体" w:hAnsi="宋体" w:cs="宋体"/>
                <w:kern w:val="0"/>
                <w:sz w:val="18"/>
                <w:szCs w:val="18"/>
              </w:rPr>
              <w:t>库存量</w:t>
            </w:r>
          </w:p>
        </w:tc>
      </w:tr>
      <w:tr>
        <w:tblPrEx>
          <w:tblCellMar>
            <w:top w:w="0" w:type="dxa"/>
            <w:left w:w="108" w:type="dxa"/>
            <w:bottom w:w="0" w:type="dxa"/>
            <w:right w:w="108" w:type="dxa"/>
          </w:tblCellMar>
        </w:tblPrEx>
        <w:trPr>
          <w:trHeight w:val="285" w:hRule="atLeast"/>
        </w:trPr>
        <w:tc>
          <w:tcPr>
            <w:tcW w:w="1303" w:type="dxa"/>
            <w:vMerge w:val="continue"/>
            <w:tcBorders>
              <w:top w:val="single" w:color="auto" w:sz="2" w:space="0"/>
              <w:left w:val="nil"/>
              <w:bottom w:val="single" w:color="auto" w:sz="2" w:space="0"/>
              <w:right w:val="single" w:color="auto" w:sz="2" w:space="0"/>
            </w:tcBorders>
            <w:noWrap/>
            <w:vAlign w:val="center"/>
          </w:tcPr>
          <w:p>
            <w:pPr>
              <w:widowControl/>
              <w:jc w:val="left"/>
              <w:rPr>
                <w:rFonts w:ascii="宋体" w:hAnsi="宋体" w:cs="宋体"/>
                <w:kern w:val="0"/>
                <w:sz w:val="18"/>
                <w:szCs w:val="18"/>
              </w:rPr>
            </w:pPr>
          </w:p>
        </w:tc>
        <w:tc>
          <w:tcPr>
            <w:tcW w:w="1493" w:type="dxa"/>
            <w:gridSpan w:val="2"/>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宋体" w:hAnsi="宋体" w:cs="宋体"/>
                <w:kern w:val="0"/>
                <w:sz w:val="18"/>
                <w:szCs w:val="18"/>
              </w:rPr>
            </w:pPr>
          </w:p>
        </w:tc>
        <w:tc>
          <w:tcPr>
            <w:tcW w:w="1104"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宋体" w:hAnsi="宋体" w:cs="宋体"/>
                <w:kern w:val="0"/>
                <w:sz w:val="18"/>
                <w:szCs w:val="18"/>
              </w:rPr>
            </w:pPr>
          </w:p>
        </w:tc>
        <w:tc>
          <w:tcPr>
            <w:tcW w:w="1104"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宋体" w:hAnsi="宋体" w:cs="宋体"/>
                <w:kern w:val="0"/>
                <w:sz w:val="18"/>
                <w:szCs w:val="18"/>
              </w:rPr>
            </w:pPr>
          </w:p>
        </w:tc>
        <w:tc>
          <w:tcPr>
            <w:tcW w:w="1104"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宋体" w:hAnsi="宋体" w:cs="宋体"/>
                <w:kern w:val="0"/>
                <w:sz w:val="18"/>
                <w:szCs w:val="18"/>
              </w:rPr>
            </w:pPr>
          </w:p>
        </w:tc>
        <w:tc>
          <w:tcPr>
            <w:tcW w:w="1332" w:type="dxa"/>
            <w:gridSpan w:val="2"/>
            <w:vMerge w:val="restart"/>
            <w:tcBorders>
              <w:top w:val="single" w:color="auto" w:sz="2" w:space="0"/>
              <w:left w:val="single" w:color="auto" w:sz="2" w:space="0"/>
              <w:bottom w:val="single" w:color="auto" w:sz="2" w:space="0"/>
              <w:right w:val="single" w:color="auto" w:sz="2"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公路运输</w:t>
            </w:r>
          </w:p>
        </w:tc>
        <w:tc>
          <w:tcPr>
            <w:tcW w:w="1141" w:type="dxa"/>
            <w:vMerge w:val="restart"/>
            <w:tcBorders>
              <w:top w:val="single" w:color="auto" w:sz="2" w:space="0"/>
              <w:left w:val="single" w:color="auto" w:sz="2" w:space="0"/>
              <w:bottom w:val="single" w:color="auto" w:sz="2" w:space="0"/>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水上运输</w:t>
            </w:r>
            <w:r>
              <w:rPr>
                <w:rFonts w:hint="eastAsia" w:ascii="宋体" w:hAnsi="宋体" w:cs="宋体"/>
                <w:kern w:val="0"/>
                <w:sz w:val="18"/>
                <w:szCs w:val="18"/>
              </w:rPr>
              <w:br w:type="textWrapping"/>
            </w:r>
            <w:r>
              <w:rPr>
                <w:rFonts w:hint="eastAsia" w:ascii="宋体" w:hAnsi="宋体" w:cs="宋体"/>
                <w:kern w:val="0"/>
                <w:sz w:val="18"/>
                <w:szCs w:val="18"/>
              </w:rPr>
              <w:t>和港口</w:t>
            </w:r>
          </w:p>
        </w:tc>
        <w:tc>
          <w:tcPr>
            <w:tcW w:w="1440" w:type="dxa"/>
            <w:vMerge w:val="continue"/>
            <w:tcBorders>
              <w:top w:val="single" w:color="auto" w:sz="2" w:space="0"/>
              <w:left w:val="single" w:color="auto" w:sz="2" w:space="0"/>
              <w:bottom w:val="single" w:color="auto" w:sz="2" w:space="0"/>
              <w:right w:val="nil"/>
            </w:tcBorders>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234" w:hRule="atLeast"/>
        </w:trPr>
        <w:tc>
          <w:tcPr>
            <w:tcW w:w="1303" w:type="dxa"/>
            <w:vMerge w:val="continue"/>
            <w:tcBorders>
              <w:top w:val="single" w:color="auto" w:sz="2" w:space="0"/>
              <w:left w:val="nil"/>
              <w:bottom w:val="single" w:color="auto" w:sz="2" w:space="0"/>
              <w:right w:val="single" w:color="auto" w:sz="2" w:space="0"/>
            </w:tcBorders>
            <w:noWrap/>
            <w:vAlign w:val="center"/>
          </w:tcPr>
          <w:p>
            <w:pPr>
              <w:widowControl/>
              <w:jc w:val="left"/>
              <w:rPr>
                <w:rFonts w:ascii="宋体" w:hAnsi="宋体" w:cs="宋体"/>
                <w:kern w:val="0"/>
                <w:sz w:val="18"/>
                <w:szCs w:val="18"/>
              </w:rPr>
            </w:pPr>
          </w:p>
        </w:tc>
        <w:tc>
          <w:tcPr>
            <w:tcW w:w="1493" w:type="dxa"/>
            <w:gridSpan w:val="2"/>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宋体" w:hAnsi="宋体" w:cs="宋体"/>
                <w:kern w:val="0"/>
                <w:sz w:val="18"/>
                <w:szCs w:val="18"/>
              </w:rPr>
            </w:pPr>
          </w:p>
        </w:tc>
        <w:tc>
          <w:tcPr>
            <w:tcW w:w="1104"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宋体" w:hAnsi="宋体" w:cs="宋体"/>
                <w:kern w:val="0"/>
                <w:sz w:val="18"/>
                <w:szCs w:val="18"/>
              </w:rPr>
            </w:pPr>
          </w:p>
        </w:tc>
        <w:tc>
          <w:tcPr>
            <w:tcW w:w="1104"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宋体" w:hAnsi="宋体" w:cs="宋体"/>
                <w:kern w:val="0"/>
                <w:sz w:val="18"/>
                <w:szCs w:val="18"/>
              </w:rPr>
            </w:pPr>
          </w:p>
        </w:tc>
        <w:tc>
          <w:tcPr>
            <w:tcW w:w="1104"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宋体" w:hAnsi="宋体" w:cs="宋体"/>
                <w:kern w:val="0"/>
                <w:sz w:val="18"/>
                <w:szCs w:val="18"/>
              </w:rPr>
            </w:pPr>
          </w:p>
        </w:tc>
        <w:tc>
          <w:tcPr>
            <w:tcW w:w="1332" w:type="dxa"/>
            <w:gridSpan w:val="2"/>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宋体" w:hAnsi="宋体" w:cs="宋体"/>
                <w:kern w:val="0"/>
                <w:sz w:val="18"/>
                <w:szCs w:val="18"/>
              </w:rPr>
            </w:pPr>
          </w:p>
        </w:tc>
        <w:tc>
          <w:tcPr>
            <w:tcW w:w="1141" w:type="dxa"/>
            <w:vMerge w:val="continue"/>
            <w:tcBorders>
              <w:top w:val="single" w:color="auto" w:sz="2" w:space="0"/>
              <w:left w:val="single" w:color="auto" w:sz="2" w:space="0"/>
              <w:bottom w:val="single" w:color="auto" w:sz="2" w:space="0"/>
              <w:right w:val="single" w:color="auto" w:sz="2" w:space="0"/>
            </w:tcBorders>
            <w:noWrap/>
            <w:vAlign w:val="center"/>
          </w:tcPr>
          <w:p>
            <w:pPr>
              <w:widowControl/>
              <w:jc w:val="left"/>
              <w:rPr>
                <w:rFonts w:ascii="宋体" w:hAnsi="宋体" w:cs="宋体"/>
                <w:kern w:val="0"/>
                <w:sz w:val="18"/>
                <w:szCs w:val="18"/>
              </w:rPr>
            </w:pPr>
          </w:p>
        </w:tc>
        <w:tc>
          <w:tcPr>
            <w:tcW w:w="1440" w:type="dxa"/>
            <w:vMerge w:val="continue"/>
            <w:tcBorders>
              <w:top w:val="single" w:color="auto" w:sz="2" w:space="0"/>
              <w:left w:val="single" w:color="auto" w:sz="2" w:space="0"/>
              <w:bottom w:val="single" w:color="auto" w:sz="2" w:space="0"/>
              <w:right w:val="nil"/>
            </w:tcBorders>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285" w:hRule="atLeast"/>
        </w:trPr>
        <w:tc>
          <w:tcPr>
            <w:tcW w:w="1303" w:type="dxa"/>
            <w:tcBorders>
              <w:top w:val="single" w:color="auto" w:sz="2" w:space="0"/>
              <w:left w:val="nil"/>
              <w:bottom w:val="single" w:color="auto" w:sz="2" w:space="0"/>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甲</w:t>
            </w:r>
          </w:p>
        </w:tc>
        <w:tc>
          <w:tcPr>
            <w:tcW w:w="1493" w:type="dxa"/>
            <w:gridSpan w:val="2"/>
            <w:tcBorders>
              <w:top w:val="single" w:color="auto" w:sz="2" w:space="0"/>
              <w:left w:val="single" w:color="auto" w:sz="2" w:space="0"/>
              <w:bottom w:val="single" w:color="auto" w:sz="2" w:space="0"/>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乙</w:t>
            </w:r>
          </w:p>
        </w:tc>
        <w:tc>
          <w:tcPr>
            <w:tcW w:w="1104" w:type="dxa"/>
            <w:tcBorders>
              <w:top w:val="single" w:color="auto" w:sz="2" w:space="0"/>
              <w:left w:val="single" w:color="auto" w:sz="2" w:space="0"/>
              <w:bottom w:val="single" w:color="auto" w:sz="2" w:space="0"/>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丙</w:t>
            </w:r>
          </w:p>
        </w:tc>
        <w:tc>
          <w:tcPr>
            <w:tcW w:w="1104" w:type="dxa"/>
            <w:tcBorders>
              <w:top w:val="single" w:color="auto" w:sz="2" w:space="0"/>
              <w:left w:val="single" w:color="auto" w:sz="2" w:space="0"/>
              <w:bottom w:val="single" w:color="auto" w:sz="2" w:space="0"/>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1104" w:type="dxa"/>
            <w:tcBorders>
              <w:top w:val="single" w:color="auto" w:sz="2" w:space="0"/>
              <w:left w:val="single" w:color="auto" w:sz="2" w:space="0"/>
              <w:bottom w:val="single" w:color="auto" w:sz="2" w:space="0"/>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1332" w:type="dxa"/>
            <w:gridSpan w:val="2"/>
            <w:tcBorders>
              <w:top w:val="single" w:color="auto" w:sz="2" w:space="0"/>
              <w:left w:val="single" w:color="auto" w:sz="2" w:space="0"/>
              <w:bottom w:val="single" w:color="auto" w:sz="2" w:space="0"/>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3</w:t>
            </w:r>
          </w:p>
        </w:tc>
        <w:tc>
          <w:tcPr>
            <w:tcW w:w="1141" w:type="dxa"/>
            <w:tcBorders>
              <w:top w:val="single" w:color="auto" w:sz="2" w:space="0"/>
              <w:left w:val="single" w:color="auto" w:sz="2" w:space="0"/>
              <w:bottom w:val="single" w:color="auto" w:sz="2" w:space="0"/>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4</w:t>
            </w:r>
          </w:p>
        </w:tc>
        <w:tc>
          <w:tcPr>
            <w:tcW w:w="1440" w:type="dxa"/>
            <w:tcBorders>
              <w:top w:val="single" w:color="auto" w:sz="2" w:space="0"/>
              <w:left w:val="single" w:color="auto" w:sz="2" w:space="0"/>
              <w:bottom w:val="single" w:color="auto" w:sz="2" w:space="0"/>
              <w:right w:val="nil"/>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5</w:t>
            </w:r>
          </w:p>
        </w:tc>
      </w:tr>
      <w:tr>
        <w:tblPrEx>
          <w:tblCellMar>
            <w:top w:w="0" w:type="dxa"/>
            <w:left w:w="108" w:type="dxa"/>
            <w:bottom w:w="0" w:type="dxa"/>
            <w:right w:w="108" w:type="dxa"/>
          </w:tblCellMar>
        </w:tblPrEx>
        <w:trPr>
          <w:trHeight w:val="227" w:hRule="atLeast"/>
        </w:trPr>
        <w:tc>
          <w:tcPr>
            <w:tcW w:w="1303" w:type="dxa"/>
            <w:tcBorders>
              <w:top w:val="single" w:color="auto" w:sz="2" w:space="0"/>
              <w:left w:val="nil"/>
              <w:bottom w:val="nil"/>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煤      炭</w:t>
            </w:r>
          </w:p>
        </w:tc>
        <w:tc>
          <w:tcPr>
            <w:tcW w:w="1493" w:type="dxa"/>
            <w:gridSpan w:val="2"/>
            <w:tcBorders>
              <w:top w:val="single" w:color="auto" w:sz="2" w:space="0"/>
              <w:left w:val="single" w:color="auto" w:sz="2" w:space="0"/>
              <w:bottom w:val="nil"/>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万吨</w:t>
            </w:r>
          </w:p>
        </w:tc>
        <w:tc>
          <w:tcPr>
            <w:tcW w:w="1104" w:type="dxa"/>
            <w:tcBorders>
              <w:top w:val="single" w:color="auto" w:sz="2" w:space="0"/>
              <w:left w:val="single" w:color="auto" w:sz="2" w:space="0"/>
              <w:bottom w:val="nil"/>
              <w:right w:val="single" w:color="auto" w:sz="2" w:space="0"/>
            </w:tcBorders>
            <w:noWrap/>
            <w:vAlign w:val="bottom"/>
          </w:tcPr>
          <w:p>
            <w:pPr>
              <w:widowControl/>
              <w:jc w:val="center"/>
              <w:rPr>
                <w:rFonts w:ascii="宋体" w:hAnsi="宋体" w:cs="宋体"/>
                <w:kern w:val="0"/>
                <w:sz w:val="18"/>
                <w:szCs w:val="18"/>
              </w:rPr>
            </w:pPr>
            <w:r>
              <w:rPr>
                <w:rFonts w:ascii="宋体" w:hAnsi="宋体" w:cs="宋体"/>
                <w:kern w:val="0"/>
                <w:sz w:val="18"/>
                <w:szCs w:val="18"/>
              </w:rPr>
              <w:t>0</w:t>
            </w:r>
            <w:r>
              <w:rPr>
                <w:rFonts w:hint="eastAsia" w:ascii="宋体" w:hAnsi="宋体" w:cs="宋体"/>
                <w:kern w:val="0"/>
                <w:sz w:val="18"/>
                <w:szCs w:val="18"/>
              </w:rPr>
              <w:t>1</w:t>
            </w:r>
          </w:p>
        </w:tc>
        <w:tc>
          <w:tcPr>
            <w:tcW w:w="6121" w:type="dxa"/>
            <w:gridSpan w:val="6"/>
            <w:vMerge w:val="restart"/>
            <w:tcBorders>
              <w:top w:val="single" w:color="auto" w:sz="2" w:space="0"/>
              <w:left w:val="single" w:color="auto" w:sz="2" w:space="0"/>
              <w:bottom w:val="single" w:color="auto" w:sz="4" w:space="0"/>
            </w:tcBorders>
            <w:noWrap/>
          </w:tcPr>
          <w:p>
            <w:pPr>
              <w:widowControl/>
              <w:rPr>
                <w:kern w:val="0"/>
                <w:sz w:val="18"/>
                <w:szCs w:val="18"/>
              </w:rPr>
            </w:pPr>
            <w:r>
              <w:rPr>
                <w:kern w:val="0"/>
                <w:sz w:val="18"/>
                <w:szCs w:val="18"/>
              </w:rPr>
              <w:t>　</w:t>
            </w:r>
          </w:p>
        </w:tc>
      </w:tr>
      <w:tr>
        <w:tblPrEx>
          <w:tblCellMar>
            <w:top w:w="0" w:type="dxa"/>
            <w:left w:w="108" w:type="dxa"/>
            <w:bottom w:w="0" w:type="dxa"/>
            <w:right w:w="108" w:type="dxa"/>
          </w:tblCellMar>
        </w:tblPrEx>
        <w:trPr>
          <w:trHeight w:val="227" w:hRule="atLeast"/>
        </w:trPr>
        <w:tc>
          <w:tcPr>
            <w:tcW w:w="1303" w:type="dxa"/>
            <w:tcBorders>
              <w:top w:val="nil"/>
              <w:left w:val="nil"/>
              <w:bottom w:val="nil"/>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汽      油</w:t>
            </w:r>
          </w:p>
        </w:tc>
        <w:tc>
          <w:tcPr>
            <w:tcW w:w="1493" w:type="dxa"/>
            <w:gridSpan w:val="2"/>
            <w:tcBorders>
              <w:top w:val="nil"/>
              <w:left w:val="single" w:color="auto" w:sz="2" w:space="0"/>
              <w:bottom w:val="nil"/>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吨</w:t>
            </w:r>
          </w:p>
        </w:tc>
        <w:tc>
          <w:tcPr>
            <w:tcW w:w="1104" w:type="dxa"/>
            <w:tcBorders>
              <w:top w:val="nil"/>
              <w:left w:val="single" w:color="auto" w:sz="2" w:space="0"/>
              <w:bottom w:val="nil"/>
              <w:right w:val="single" w:color="auto" w:sz="2" w:space="0"/>
            </w:tcBorders>
            <w:noWrap/>
            <w:vAlign w:val="bottom"/>
          </w:tcPr>
          <w:p>
            <w:pPr>
              <w:widowControl/>
              <w:jc w:val="center"/>
              <w:rPr>
                <w:rFonts w:ascii="宋体" w:hAnsi="宋体" w:cs="宋体"/>
                <w:kern w:val="0"/>
                <w:sz w:val="18"/>
                <w:szCs w:val="18"/>
              </w:rPr>
            </w:pPr>
            <w:r>
              <w:rPr>
                <w:rFonts w:ascii="宋体" w:hAnsi="宋体" w:cs="宋体"/>
                <w:kern w:val="0"/>
                <w:sz w:val="18"/>
                <w:szCs w:val="18"/>
              </w:rPr>
              <w:t>0</w:t>
            </w:r>
            <w:r>
              <w:rPr>
                <w:rFonts w:hint="eastAsia" w:ascii="宋体" w:hAnsi="宋体" w:cs="宋体"/>
                <w:kern w:val="0"/>
                <w:sz w:val="18"/>
                <w:szCs w:val="18"/>
              </w:rPr>
              <w:t>2</w:t>
            </w:r>
          </w:p>
        </w:tc>
        <w:tc>
          <w:tcPr>
            <w:tcW w:w="6121" w:type="dxa"/>
            <w:gridSpan w:val="6"/>
            <w:vMerge w:val="continue"/>
            <w:tcBorders>
              <w:top w:val="nil"/>
              <w:left w:val="single" w:color="auto" w:sz="2" w:space="0"/>
              <w:bottom w:val="nil"/>
              <w:right w:val="nil"/>
            </w:tcBorders>
            <w:noWrap/>
            <w:vAlign w:val="center"/>
          </w:tcPr>
          <w:p>
            <w:pPr>
              <w:widowControl/>
              <w:jc w:val="left"/>
              <w:rPr>
                <w:kern w:val="0"/>
                <w:sz w:val="18"/>
                <w:szCs w:val="18"/>
              </w:rPr>
            </w:pPr>
          </w:p>
        </w:tc>
      </w:tr>
      <w:tr>
        <w:tblPrEx>
          <w:tblCellMar>
            <w:top w:w="0" w:type="dxa"/>
            <w:left w:w="108" w:type="dxa"/>
            <w:bottom w:w="0" w:type="dxa"/>
            <w:right w:w="108" w:type="dxa"/>
          </w:tblCellMar>
        </w:tblPrEx>
        <w:trPr>
          <w:trHeight w:val="227" w:hRule="atLeast"/>
        </w:trPr>
        <w:tc>
          <w:tcPr>
            <w:tcW w:w="1303" w:type="dxa"/>
            <w:tcBorders>
              <w:top w:val="nil"/>
              <w:left w:val="nil"/>
              <w:bottom w:val="nil"/>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煤      油</w:t>
            </w:r>
          </w:p>
        </w:tc>
        <w:tc>
          <w:tcPr>
            <w:tcW w:w="1493" w:type="dxa"/>
            <w:gridSpan w:val="2"/>
            <w:tcBorders>
              <w:top w:val="nil"/>
              <w:left w:val="single" w:color="auto" w:sz="2" w:space="0"/>
              <w:bottom w:val="nil"/>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吨</w:t>
            </w:r>
          </w:p>
        </w:tc>
        <w:tc>
          <w:tcPr>
            <w:tcW w:w="1104" w:type="dxa"/>
            <w:tcBorders>
              <w:top w:val="nil"/>
              <w:left w:val="single" w:color="auto" w:sz="2" w:space="0"/>
              <w:bottom w:val="nil"/>
              <w:right w:val="single" w:color="auto" w:sz="2" w:space="0"/>
            </w:tcBorders>
            <w:noWrap/>
            <w:vAlign w:val="bottom"/>
          </w:tcPr>
          <w:p>
            <w:pPr>
              <w:widowControl/>
              <w:jc w:val="center"/>
              <w:rPr>
                <w:rFonts w:ascii="宋体" w:hAnsi="宋体" w:cs="宋体"/>
                <w:kern w:val="0"/>
                <w:sz w:val="18"/>
                <w:szCs w:val="18"/>
              </w:rPr>
            </w:pPr>
            <w:r>
              <w:rPr>
                <w:rFonts w:ascii="宋体" w:hAnsi="宋体" w:cs="宋体"/>
                <w:kern w:val="0"/>
                <w:sz w:val="18"/>
                <w:szCs w:val="18"/>
              </w:rPr>
              <w:t>0</w:t>
            </w:r>
            <w:r>
              <w:rPr>
                <w:rFonts w:hint="eastAsia" w:ascii="宋体" w:hAnsi="宋体" w:cs="宋体"/>
                <w:kern w:val="0"/>
                <w:sz w:val="18"/>
                <w:szCs w:val="18"/>
              </w:rPr>
              <w:t>3</w:t>
            </w:r>
          </w:p>
        </w:tc>
        <w:tc>
          <w:tcPr>
            <w:tcW w:w="6121" w:type="dxa"/>
            <w:gridSpan w:val="6"/>
            <w:vMerge w:val="continue"/>
            <w:tcBorders>
              <w:top w:val="nil"/>
              <w:left w:val="single" w:color="auto" w:sz="2" w:space="0"/>
              <w:bottom w:val="nil"/>
              <w:right w:val="nil"/>
            </w:tcBorders>
            <w:noWrap/>
            <w:vAlign w:val="center"/>
          </w:tcPr>
          <w:p>
            <w:pPr>
              <w:widowControl/>
              <w:jc w:val="left"/>
              <w:rPr>
                <w:kern w:val="0"/>
                <w:sz w:val="18"/>
                <w:szCs w:val="18"/>
              </w:rPr>
            </w:pPr>
          </w:p>
        </w:tc>
      </w:tr>
      <w:tr>
        <w:tblPrEx>
          <w:tblCellMar>
            <w:top w:w="0" w:type="dxa"/>
            <w:left w:w="108" w:type="dxa"/>
            <w:bottom w:w="0" w:type="dxa"/>
            <w:right w:w="108" w:type="dxa"/>
          </w:tblCellMar>
        </w:tblPrEx>
        <w:trPr>
          <w:trHeight w:val="227" w:hRule="atLeast"/>
        </w:trPr>
        <w:tc>
          <w:tcPr>
            <w:tcW w:w="1303" w:type="dxa"/>
            <w:tcBorders>
              <w:top w:val="nil"/>
              <w:left w:val="nil"/>
              <w:bottom w:val="nil"/>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柴      油</w:t>
            </w:r>
          </w:p>
        </w:tc>
        <w:tc>
          <w:tcPr>
            <w:tcW w:w="1493" w:type="dxa"/>
            <w:gridSpan w:val="2"/>
            <w:tcBorders>
              <w:top w:val="nil"/>
              <w:left w:val="single" w:color="auto" w:sz="2" w:space="0"/>
              <w:bottom w:val="nil"/>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吨</w:t>
            </w:r>
          </w:p>
        </w:tc>
        <w:tc>
          <w:tcPr>
            <w:tcW w:w="1104" w:type="dxa"/>
            <w:tcBorders>
              <w:top w:val="nil"/>
              <w:left w:val="single" w:color="auto" w:sz="2" w:space="0"/>
              <w:bottom w:val="nil"/>
              <w:right w:val="single" w:color="auto" w:sz="2" w:space="0"/>
            </w:tcBorders>
            <w:noWrap/>
            <w:vAlign w:val="bottom"/>
          </w:tcPr>
          <w:p>
            <w:pPr>
              <w:widowControl/>
              <w:jc w:val="center"/>
              <w:rPr>
                <w:rFonts w:ascii="宋体" w:hAnsi="宋体" w:cs="宋体"/>
                <w:kern w:val="0"/>
                <w:sz w:val="18"/>
                <w:szCs w:val="18"/>
              </w:rPr>
            </w:pPr>
            <w:r>
              <w:rPr>
                <w:rFonts w:ascii="宋体" w:hAnsi="宋体" w:cs="宋体"/>
                <w:kern w:val="0"/>
                <w:sz w:val="18"/>
                <w:szCs w:val="18"/>
              </w:rPr>
              <w:t>0</w:t>
            </w:r>
            <w:r>
              <w:rPr>
                <w:rFonts w:hint="eastAsia" w:ascii="宋体" w:hAnsi="宋体" w:cs="宋体"/>
                <w:kern w:val="0"/>
                <w:sz w:val="18"/>
                <w:szCs w:val="18"/>
              </w:rPr>
              <w:t>4</w:t>
            </w:r>
          </w:p>
        </w:tc>
        <w:tc>
          <w:tcPr>
            <w:tcW w:w="6121" w:type="dxa"/>
            <w:gridSpan w:val="6"/>
            <w:vMerge w:val="continue"/>
            <w:tcBorders>
              <w:top w:val="nil"/>
              <w:left w:val="single" w:color="auto" w:sz="2" w:space="0"/>
              <w:bottom w:val="nil"/>
              <w:right w:val="nil"/>
            </w:tcBorders>
            <w:noWrap/>
            <w:vAlign w:val="center"/>
          </w:tcPr>
          <w:p>
            <w:pPr>
              <w:widowControl/>
              <w:jc w:val="left"/>
              <w:rPr>
                <w:kern w:val="0"/>
                <w:sz w:val="18"/>
                <w:szCs w:val="18"/>
              </w:rPr>
            </w:pPr>
          </w:p>
        </w:tc>
      </w:tr>
      <w:tr>
        <w:tblPrEx>
          <w:tblCellMar>
            <w:top w:w="0" w:type="dxa"/>
            <w:left w:w="108" w:type="dxa"/>
            <w:bottom w:w="0" w:type="dxa"/>
            <w:right w:w="108" w:type="dxa"/>
          </w:tblCellMar>
        </w:tblPrEx>
        <w:trPr>
          <w:trHeight w:val="227" w:hRule="atLeast"/>
        </w:trPr>
        <w:tc>
          <w:tcPr>
            <w:tcW w:w="1303" w:type="dxa"/>
            <w:tcBorders>
              <w:top w:val="nil"/>
              <w:left w:val="nil"/>
              <w:bottom w:val="single" w:color="auto" w:sz="8" w:space="0"/>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燃  料  油</w:t>
            </w:r>
          </w:p>
        </w:tc>
        <w:tc>
          <w:tcPr>
            <w:tcW w:w="1493" w:type="dxa"/>
            <w:gridSpan w:val="2"/>
            <w:tcBorders>
              <w:top w:val="nil"/>
              <w:left w:val="single" w:color="auto" w:sz="2" w:space="0"/>
              <w:bottom w:val="single" w:color="auto" w:sz="8" w:space="0"/>
              <w:right w:val="single" w:color="auto" w:sz="2" w:space="0"/>
            </w:tcBorders>
            <w:noWrap/>
            <w:vAlign w:val="bottom"/>
          </w:tcPr>
          <w:p>
            <w:pPr>
              <w:widowControl/>
              <w:jc w:val="center"/>
              <w:rPr>
                <w:rFonts w:ascii="宋体" w:hAnsi="宋体" w:cs="宋体"/>
                <w:kern w:val="0"/>
                <w:sz w:val="18"/>
                <w:szCs w:val="18"/>
              </w:rPr>
            </w:pPr>
            <w:r>
              <w:rPr>
                <w:rFonts w:hint="eastAsia" w:ascii="宋体" w:hAnsi="宋体" w:cs="宋体"/>
                <w:kern w:val="0"/>
                <w:sz w:val="18"/>
                <w:szCs w:val="18"/>
              </w:rPr>
              <w:t>吨</w:t>
            </w:r>
          </w:p>
        </w:tc>
        <w:tc>
          <w:tcPr>
            <w:tcW w:w="1104" w:type="dxa"/>
            <w:tcBorders>
              <w:top w:val="nil"/>
              <w:left w:val="single" w:color="auto" w:sz="2" w:space="0"/>
              <w:bottom w:val="single" w:color="auto" w:sz="8" w:space="0"/>
              <w:right w:val="single" w:color="auto" w:sz="2" w:space="0"/>
            </w:tcBorders>
            <w:noWrap/>
            <w:vAlign w:val="bottom"/>
          </w:tcPr>
          <w:p>
            <w:pPr>
              <w:widowControl/>
              <w:jc w:val="center"/>
              <w:rPr>
                <w:rFonts w:ascii="宋体" w:hAnsi="宋体" w:cs="宋体"/>
                <w:kern w:val="0"/>
                <w:sz w:val="18"/>
                <w:szCs w:val="18"/>
              </w:rPr>
            </w:pPr>
            <w:r>
              <w:rPr>
                <w:rFonts w:ascii="宋体" w:hAnsi="宋体" w:cs="宋体"/>
                <w:kern w:val="0"/>
                <w:sz w:val="18"/>
                <w:szCs w:val="18"/>
              </w:rPr>
              <w:t>0</w:t>
            </w:r>
            <w:r>
              <w:rPr>
                <w:rFonts w:hint="eastAsia" w:ascii="宋体" w:hAnsi="宋体" w:cs="宋体"/>
                <w:kern w:val="0"/>
                <w:sz w:val="18"/>
                <w:szCs w:val="18"/>
              </w:rPr>
              <w:t>5</w:t>
            </w:r>
          </w:p>
        </w:tc>
        <w:tc>
          <w:tcPr>
            <w:tcW w:w="6121" w:type="dxa"/>
            <w:gridSpan w:val="6"/>
            <w:vMerge w:val="continue"/>
            <w:tcBorders>
              <w:top w:val="nil"/>
              <w:left w:val="single" w:color="auto" w:sz="2" w:space="0"/>
              <w:bottom w:val="single" w:color="auto" w:sz="8" w:space="0"/>
              <w:right w:val="nil"/>
            </w:tcBorders>
            <w:noWrap/>
            <w:vAlign w:val="center"/>
          </w:tcPr>
          <w:p>
            <w:pPr>
              <w:widowControl/>
              <w:jc w:val="left"/>
              <w:rPr>
                <w:kern w:val="0"/>
                <w:sz w:val="18"/>
                <w:szCs w:val="18"/>
              </w:rPr>
            </w:pPr>
          </w:p>
        </w:tc>
      </w:tr>
    </w:tbl>
    <w:p>
      <w:pPr>
        <w:spacing w:line="320" w:lineRule="exact"/>
        <w:ind w:left="-105" w:leftChars="-50"/>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单</w:t>
      </w:r>
      <w:r>
        <w:rPr>
          <w:rFonts w:hint="eastAsia" w:asciiTheme="minorEastAsia" w:hAnsiTheme="minorEastAsia" w:eastAsiaTheme="minorEastAsia" w:cstheme="minorEastAsia"/>
          <w:kern w:val="0"/>
          <w:sz w:val="18"/>
          <w:szCs w:val="18"/>
        </w:rPr>
        <w:t>位负责人：         统计负责人：         填表人：         联系电话：         报出日期：２０    年  月  日</w:t>
      </w:r>
    </w:p>
    <w:p>
      <w:pPr>
        <w:spacing w:line="200" w:lineRule="exact"/>
        <w:ind w:right="-142"/>
        <w:rPr>
          <w:rFonts w:asciiTheme="minorEastAsia" w:hAnsiTheme="minorEastAsia" w:eastAsiaTheme="minorEastAsia" w:cstheme="minorEastAsia"/>
          <w:sz w:val="18"/>
        </w:rPr>
      </w:pPr>
    </w:p>
    <w:p>
      <w:pPr>
        <w:spacing w:line="260" w:lineRule="exact"/>
        <w:ind w:left="0" w:leftChars="-46" w:right="-142" w:hanging="97" w:hangingChars="54"/>
        <w:rPr>
          <w:rFonts w:asciiTheme="minorEastAsia" w:hAnsiTheme="minorEastAsia" w:eastAsiaTheme="minorEastAsia" w:cstheme="minorEastAsia"/>
          <w:sz w:val="18"/>
        </w:rPr>
      </w:pPr>
      <w:r>
        <w:rPr>
          <w:rFonts w:hint="eastAsia" w:asciiTheme="minorEastAsia" w:hAnsiTheme="minorEastAsia" w:eastAsiaTheme="minorEastAsia" w:cstheme="minorEastAsia"/>
          <w:b/>
          <w:sz w:val="18"/>
        </w:rPr>
        <w:t>说明</w:t>
      </w:r>
      <w:r>
        <w:rPr>
          <w:rFonts w:hint="eastAsia" w:asciiTheme="minorEastAsia" w:hAnsiTheme="minorEastAsia" w:eastAsiaTheme="minorEastAsia" w:cstheme="minorEastAsia"/>
          <w:sz w:val="18"/>
        </w:rPr>
        <w:t>：1.本表由交通运输管理部门、重点公路和水上运输企业报送。</w:t>
      </w:r>
    </w:p>
    <w:p>
      <w:pPr>
        <w:spacing w:line="260" w:lineRule="exact"/>
        <w:ind w:left="642" w:leftChars="220" w:right="-142" w:hanging="180" w:hangingChars="100"/>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2.统计范围是公路运输企业、水上运输企业和港口企业的能源消费及运输活动，不包括部门所管理的工业、建筑业等企业及行政、事业单位。</w:t>
      </w:r>
    </w:p>
    <w:p>
      <w:pPr>
        <w:spacing w:line="260" w:lineRule="exact"/>
        <w:ind w:right="-142" w:firstLine="462"/>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3.报送时间为次年3月15日前，报送方式为电子邮件（gzstjjnyc@gz.gov.cn）。</w:t>
      </w:r>
    </w:p>
    <w:p>
      <w:pPr>
        <w:adjustRightInd w:val="0"/>
        <w:snapToGrid w:val="0"/>
        <w:spacing w:line="240" w:lineRule="atLeast"/>
        <w:jc w:val="center"/>
        <w:rPr>
          <w:rFonts w:ascii="宋体" w:hAnsi="宋体"/>
          <w:b/>
          <w:sz w:val="32"/>
        </w:rPr>
      </w:pPr>
      <w:r>
        <w:rPr>
          <w:rFonts w:ascii="宋体" w:hAnsi="宋体"/>
          <w:sz w:val="18"/>
        </w:rPr>
        <w:br w:type="page"/>
      </w:r>
      <w:r>
        <w:rPr>
          <w:rFonts w:hint="eastAsia" w:ascii="宋体" w:hAnsi="宋体"/>
          <w:b/>
          <w:sz w:val="32"/>
        </w:rPr>
        <w:t>主要能源进口、出口量</w:t>
      </w:r>
    </w:p>
    <w:tbl>
      <w:tblPr>
        <w:tblStyle w:val="21"/>
        <w:tblW w:w="5166" w:type="pct"/>
        <w:jc w:val="center"/>
        <w:tblLayout w:type="autofit"/>
        <w:tblCellMar>
          <w:top w:w="0" w:type="dxa"/>
          <w:left w:w="0" w:type="dxa"/>
          <w:bottom w:w="0" w:type="dxa"/>
          <w:right w:w="0" w:type="dxa"/>
        </w:tblCellMar>
      </w:tblPr>
      <w:tblGrid>
        <w:gridCol w:w="2225"/>
        <w:gridCol w:w="1309"/>
        <w:gridCol w:w="730"/>
        <w:gridCol w:w="770"/>
        <w:gridCol w:w="428"/>
        <w:gridCol w:w="1014"/>
        <w:gridCol w:w="339"/>
        <w:gridCol w:w="901"/>
        <w:gridCol w:w="2008"/>
      </w:tblGrid>
      <w:tr>
        <w:tblPrEx>
          <w:tblCellMar>
            <w:top w:w="0" w:type="dxa"/>
            <w:left w:w="0" w:type="dxa"/>
            <w:bottom w:w="0" w:type="dxa"/>
            <w:right w:w="0" w:type="dxa"/>
          </w:tblCellMar>
        </w:tblPrEx>
        <w:trPr>
          <w:trHeight w:val="198" w:hRule="atLeast"/>
          <w:jc w:val="center"/>
        </w:trPr>
        <w:tc>
          <w:tcPr>
            <w:tcW w:w="2588" w:type="pct"/>
            <w:gridSpan w:val="4"/>
            <w:noWrap/>
            <w:tcMar>
              <w:left w:w="0" w:type="dxa"/>
              <w:right w:w="0" w:type="dxa"/>
            </w:tcMar>
          </w:tcPr>
          <w:p>
            <w:pPr>
              <w:adjustRightInd w:val="0"/>
              <w:snapToGrid w:val="0"/>
              <w:spacing w:line="240" w:lineRule="exact"/>
              <w:jc w:val="center"/>
              <w:rPr>
                <w:rFonts w:asciiTheme="minorEastAsia" w:hAnsiTheme="minorEastAsia" w:eastAsiaTheme="minorEastAsia" w:cstheme="minorEastAsia"/>
                <w:sz w:val="18"/>
                <w:szCs w:val="18"/>
              </w:rPr>
            </w:pPr>
          </w:p>
        </w:tc>
        <w:tc>
          <w:tcPr>
            <w:tcW w:w="915" w:type="pct"/>
            <w:gridSpan w:val="3"/>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463" w:type="pct"/>
            <w:noWrap/>
          </w:tcPr>
          <w:p>
            <w:pPr>
              <w:adjustRightInd w:val="0"/>
              <w:snapToGrid w:val="0"/>
              <w:spacing w:line="24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表    号：</w:t>
            </w:r>
          </w:p>
        </w:tc>
        <w:tc>
          <w:tcPr>
            <w:tcW w:w="1032" w:type="pct"/>
            <w:noWrap/>
            <w:vAlign w:val="center"/>
          </w:tcPr>
          <w:p>
            <w:pPr>
              <w:adjustRightInd w:val="0"/>
              <w:snapToGrid w:val="0"/>
              <w:spacing w:line="240" w:lineRule="exact"/>
              <w:jc w:val="distribute"/>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粤Ｐ３１１表</w:t>
            </w:r>
          </w:p>
        </w:tc>
      </w:tr>
      <w:tr>
        <w:tblPrEx>
          <w:tblCellMar>
            <w:top w:w="0" w:type="dxa"/>
            <w:left w:w="0" w:type="dxa"/>
            <w:bottom w:w="0" w:type="dxa"/>
            <w:right w:w="0" w:type="dxa"/>
          </w:tblCellMar>
        </w:tblPrEx>
        <w:trPr>
          <w:trHeight w:val="198" w:hRule="atLeast"/>
          <w:jc w:val="center"/>
        </w:trPr>
        <w:tc>
          <w:tcPr>
            <w:tcW w:w="2588" w:type="pct"/>
            <w:gridSpan w:val="4"/>
            <w:noWrap/>
            <w:tcMar>
              <w:left w:w="0" w:type="dxa"/>
              <w:right w:w="0" w:type="dxa"/>
            </w:tcMar>
            <w:vAlign w:val="bottom"/>
          </w:tcPr>
          <w:p>
            <w:pPr>
              <w:adjustRightInd w:val="0"/>
              <w:snapToGrid w:val="0"/>
              <w:spacing w:line="240" w:lineRule="exact"/>
              <w:rPr>
                <w:rFonts w:asciiTheme="minorEastAsia" w:hAnsiTheme="minorEastAsia" w:eastAsiaTheme="minorEastAsia" w:cstheme="minorEastAsia"/>
                <w:sz w:val="18"/>
                <w:szCs w:val="18"/>
              </w:rPr>
            </w:pPr>
          </w:p>
        </w:tc>
        <w:tc>
          <w:tcPr>
            <w:tcW w:w="915" w:type="pct"/>
            <w:gridSpan w:val="3"/>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463" w:type="pct"/>
            <w:noWrap/>
            <w:vAlign w:val="center"/>
          </w:tcPr>
          <w:p>
            <w:pPr>
              <w:adjustRightInd w:val="0"/>
              <w:snapToGrid w:val="0"/>
              <w:spacing w:line="240" w:lineRule="exact"/>
              <w:jc w:val="distribute"/>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制定机关：</w:t>
            </w:r>
          </w:p>
        </w:tc>
        <w:tc>
          <w:tcPr>
            <w:tcW w:w="1032" w:type="pct"/>
            <w:noWrap/>
            <w:vAlign w:val="center"/>
          </w:tcPr>
          <w:p>
            <w:pPr>
              <w:adjustRightInd w:val="0"/>
              <w:snapToGrid w:val="0"/>
              <w:spacing w:line="240" w:lineRule="exact"/>
              <w:jc w:val="distribute"/>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广东省统计局</w:t>
            </w:r>
          </w:p>
        </w:tc>
      </w:tr>
      <w:tr>
        <w:tblPrEx>
          <w:tblCellMar>
            <w:top w:w="0" w:type="dxa"/>
            <w:left w:w="0" w:type="dxa"/>
            <w:bottom w:w="0" w:type="dxa"/>
            <w:right w:w="0" w:type="dxa"/>
          </w:tblCellMar>
        </w:tblPrEx>
        <w:trPr>
          <w:trHeight w:val="198" w:hRule="atLeast"/>
          <w:jc w:val="center"/>
        </w:trPr>
        <w:tc>
          <w:tcPr>
            <w:tcW w:w="2588" w:type="pct"/>
            <w:gridSpan w:val="4"/>
            <w:noWrap/>
            <w:tcMar>
              <w:left w:w="0" w:type="dxa"/>
              <w:right w:w="0" w:type="dxa"/>
            </w:tcMar>
          </w:tcPr>
          <w:p>
            <w:pPr>
              <w:adjustRightInd w:val="0"/>
              <w:snapToGrid w:val="0"/>
              <w:spacing w:line="240" w:lineRule="exact"/>
              <w:jc w:val="left"/>
              <w:rPr>
                <w:rFonts w:asciiTheme="minorEastAsia" w:hAnsiTheme="minorEastAsia" w:eastAsiaTheme="minorEastAsia" w:cstheme="minorEastAsia"/>
                <w:sz w:val="18"/>
                <w:szCs w:val="18"/>
              </w:rPr>
            </w:pPr>
          </w:p>
        </w:tc>
        <w:tc>
          <w:tcPr>
            <w:tcW w:w="915" w:type="pct"/>
            <w:gridSpan w:val="3"/>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463" w:type="pct"/>
            <w:noWrap/>
            <w:vAlign w:val="center"/>
          </w:tcPr>
          <w:p>
            <w:pPr>
              <w:adjustRightInd w:val="0"/>
              <w:snapToGrid w:val="0"/>
              <w:spacing w:line="240" w:lineRule="exact"/>
              <w:jc w:val="distribute"/>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批准机关：</w:t>
            </w:r>
          </w:p>
        </w:tc>
        <w:tc>
          <w:tcPr>
            <w:tcW w:w="1032" w:type="pct"/>
            <w:noWrap/>
            <w:vAlign w:val="center"/>
          </w:tcPr>
          <w:p>
            <w:pPr>
              <w:adjustRightInd w:val="0"/>
              <w:snapToGrid w:val="0"/>
              <w:spacing w:line="240" w:lineRule="exact"/>
              <w:jc w:val="distribute"/>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国家统计局</w:t>
            </w:r>
          </w:p>
        </w:tc>
      </w:tr>
      <w:tr>
        <w:tblPrEx>
          <w:tblCellMar>
            <w:top w:w="0" w:type="dxa"/>
            <w:left w:w="0" w:type="dxa"/>
            <w:bottom w:w="0" w:type="dxa"/>
            <w:right w:w="0" w:type="dxa"/>
          </w:tblCellMar>
        </w:tblPrEx>
        <w:trPr>
          <w:trHeight w:val="198" w:hRule="atLeast"/>
          <w:jc w:val="center"/>
        </w:trPr>
        <w:tc>
          <w:tcPr>
            <w:tcW w:w="2588" w:type="pct"/>
            <w:gridSpan w:val="4"/>
            <w:noWrap/>
            <w:tcMar>
              <w:left w:w="0" w:type="dxa"/>
              <w:right w:w="0" w:type="dxa"/>
            </w:tcMar>
          </w:tcPr>
          <w:p>
            <w:pPr>
              <w:adjustRightInd w:val="0"/>
              <w:snapToGrid w:val="0"/>
              <w:spacing w:line="240" w:lineRule="exact"/>
              <w:jc w:val="left"/>
              <w:rPr>
                <w:rFonts w:asciiTheme="minorEastAsia" w:hAnsiTheme="minorEastAsia" w:eastAsiaTheme="minorEastAsia" w:cstheme="minorEastAsia"/>
                <w:sz w:val="18"/>
                <w:szCs w:val="18"/>
              </w:rPr>
            </w:pPr>
          </w:p>
        </w:tc>
        <w:tc>
          <w:tcPr>
            <w:tcW w:w="220" w:type="pct"/>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694" w:type="pct"/>
            <w:gridSpan w:val="2"/>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463" w:type="pct"/>
            <w:noWrap/>
            <w:vAlign w:val="center"/>
          </w:tcPr>
          <w:p>
            <w:pPr>
              <w:adjustRightInd w:val="0"/>
              <w:snapToGrid w:val="0"/>
              <w:spacing w:line="240" w:lineRule="exact"/>
              <w:jc w:val="distribute"/>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批准文号：</w:t>
            </w:r>
          </w:p>
        </w:tc>
        <w:tc>
          <w:tcPr>
            <w:tcW w:w="1032" w:type="pct"/>
            <w:noWrap/>
            <w:vAlign w:val="center"/>
          </w:tcPr>
          <w:p>
            <w:pPr>
              <w:widowControl/>
              <w:jc w:val="distribute"/>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国统制</w:t>
            </w:r>
            <w:r>
              <w:rPr>
                <w:rFonts w:hint="eastAsia" w:ascii="宋体" w:hAnsi="宋体"/>
                <w:color w:val="auto"/>
                <w:sz w:val="18"/>
                <w:szCs w:val="18"/>
              </w:rPr>
              <w:t>〔</w:t>
            </w:r>
            <w:r>
              <w:rPr>
                <w:rFonts w:hint="eastAsia" w:asciiTheme="minorEastAsia" w:hAnsiTheme="minorEastAsia" w:eastAsiaTheme="minorEastAsia" w:cstheme="minorEastAsia"/>
                <w:snapToGrid w:val="0"/>
                <w:color w:val="auto"/>
                <w:kern w:val="10"/>
                <w:sz w:val="18"/>
                <w:szCs w:val="18"/>
                <w:highlight w:val="none"/>
              </w:rPr>
              <w:t>202</w:t>
            </w:r>
            <w:r>
              <w:rPr>
                <w:rFonts w:hint="eastAsia" w:asciiTheme="minorEastAsia" w:hAnsiTheme="minorEastAsia" w:eastAsiaTheme="minorEastAsia" w:cstheme="minorEastAsia"/>
                <w:snapToGrid w:val="0"/>
                <w:color w:val="auto"/>
                <w:kern w:val="10"/>
                <w:sz w:val="18"/>
                <w:szCs w:val="18"/>
                <w:highlight w:val="none"/>
                <w:lang w:val="en-US" w:eastAsia="zh-CN"/>
              </w:rPr>
              <w:t>6</w:t>
            </w:r>
            <w:r>
              <w:rPr>
                <w:rFonts w:hint="eastAsia" w:ascii="宋体" w:hAnsi="宋体"/>
                <w:color w:val="auto"/>
                <w:sz w:val="18"/>
                <w:szCs w:val="18"/>
              </w:rPr>
              <w:t>〕</w:t>
            </w:r>
            <w:r>
              <w:rPr>
                <w:rFonts w:hint="eastAsia" w:asciiTheme="minorEastAsia" w:hAnsiTheme="minorEastAsia" w:eastAsiaTheme="minorEastAsia" w:cstheme="minorEastAsia"/>
                <w:snapToGrid w:val="0"/>
                <w:color w:val="auto"/>
                <w:kern w:val="10"/>
                <w:sz w:val="18"/>
                <w:szCs w:val="18"/>
                <w:highlight w:val="none"/>
                <w:lang w:val="en-US" w:eastAsia="zh-CN"/>
              </w:rPr>
              <w:t>48</w:t>
            </w:r>
            <w:r>
              <w:rPr>
                <w:rFonts w:hint="eastAsia" w:asciiTheme="minorEastAsia" w:hAnsiTheme="minorEastAsia" w:eastAsiaTheme="minorEastAsia" w:cstheme="minorEastAsia"/>
                <w:color w:val="auto"/>
                <w:sz w:val="18"/>
                <w:szCs w:val="18"/>
                <w:highlight w:val="none"/>
              </w:rPr>
              <w:t>号</w:t>
            </w:r>
          </w:p>
        </w:tc>
      </w:tr>
      <w:tr>
        <w:tblPrEx>
          <w:tblCellMar>
            <w:top w:w="0" w:type="dxa"/>
            <w:left w:w="0" w:type="dxa"/>
            <w:bottom w:w="0" w:type="dxa"/>
            <w:right w:w="0" w:type="dxa"/>
          </w:tblCellMar>
        </w:tblPrEx>
        <w:trPr>
          <w:trHeight w:val="198" w:hRule="atLeast"/>
          <w:jc w:val="center"/>
        </w:trPr>
        <w:tc>
          <w:tcPr>
            <w:tcW w:w="3503" w:type="pct"/>
            <w:gridSpan w:val="7"/>
            <w:tcBorders>
              <w:bottom w:val="nil"/>
            </w:tcBorders>
            <w:noWrap/>
            <w:tcMar>
              <w:left w:w="0" w:type="dxa"/>
              <w:right w:w="0" w:type="dxa"/>
            </w:tcMar>
          </w:tcPr>
          <w:p>
            <w:pPr>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 xml:space="preserve">综合机关名称：                                  </w:t>
            </w:r>
            <w:r>
              <w:rPr>
                <w:sz w:val="18"/>
                <w:szCs w:val="18"/>
              </w:rPr>
              <w:t>２０　　年</w:t>
            </w:r>
          </w:p>
        </w:tc>
        <w:tc>
          <w:tcPr>
            <w:tcW w:w="463" w:type="pct"/>
            <w:tcBorders>
              <w:bottom w:val="nil"/>
            </w:tcBorders>
            <w:noWrap/>
            <w:vAlign w:val="center"/>
          </w:tcPr>
          <w:p>
            <w:pPr>
              <w:adjustRightInd w:val="0"/>
              <w:snapToGrid w:val="0"/>
              <w:spacing w:line="240" w:lineRule="exact"/>
              <w:jc w:val="distribute"/>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有效期至：</w:t>
            </w:r>
          </w:p>
        </w:tc>
        <w:tc>
          <w:tcPr>
            <w:tcW w:w="1032" w:type="pct"/>
            <w:tcBorders>
              <w:bottom w:val="nil"/>
            </w:tcBorders>
            <w:noWrap/>
            <w:vAlign w:val="center"/>
          </w:tcPr>
          <w:p>
            <w:pPr>
              <w:adjustRightInd w:val="0"/>
              <w:snapToGrid w:val="0"/>
              <w:spacing w:line="240" w:lineRule="exact"/>
              <w:jc w:val="distribute"/>
              <w:rPr>
                <w:rFonts w:asciiTheme="minorEastAsia" w:hAnsiTheme="minorEastAsia" w:eastAsiaTheme="minorEastAsia" w:cstheme="minorEastAsia"/>
                <w:color w:val="auto"/>
                <w:kern w:val="0"/>
                <w:sz w:val="18"/>
                <w:szCs w:val="18"/>
              </w:rPr>
            </w:pPr>
            <w:r>
              <w:rPr>
                <w:rFonts w:hint="eastAsia" w:asciiTheme="minorEastAsia" w:hAnsiTheme="minorEastAsia" w:eastAsiaTheme="minorEastAsia" w:cstheme="minorEastAsia"/>
                <w:color w:val="auto"/>
                <w:kern w:val="0"/>
                <w:sz w:val="18"/>
                <w:szCs w:val="18"/>
              </w:rPr>
              <w:t>２０</w:t>
            </w:r>
            <w:r>
              <w:rPr>
                <w:rFonts w:hint="eastAsia" w:asciiTheme="minorEastAsia" w:hAnsiTheme="minorEastAsia" w:eastAsiaTheme="minorEastAsia" w:cstheme="minorEastAsia"/>
                <w:color w:val="auto"/>
                <w:sz w:val="18"/>
                <w:szCs w:val="18"/>
              </w:rPr>
              <w:t>２</w:t>
            </w:r>
            <w:r>
              <w:rPr>
                <w:rFonts w:hint="eastAsia" w:asciiTheme="minorEastAsia" w:hAnsiTheme="minorEastAsia" w:eastAsiaTheme="minorEastAsia" w:cstheme="minorEastAsia"/>
                <w:color w:val="auto"/>
                <w:sz w:val="18"/>
                <w:szCs w:val="18"/>
                <w:lang w:val="en-US" w:eastAsia="zh-CN"/>
              </w:rPr>
              <w:t>6</w:t>
            </w:r>
            <w:r>
              <w:rPr>
                <w:rFonts w:hint="eastAsia" w:asciiTheme="minorEastAsia" w:hAnsiTheme="minorEastAsia" w:eastAsiaTheme="minorEastAsia" w:cstheme="minorEastAsia"/>
                <w:color w:val="auto"/>
                <w:kern w:val="0"/>
                <w:sz w:val="18"/>
                <w:szCs w:val="18"/>
              </w:rPr>
              <w:t>年６月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single" w:color="auto" w:sz="8" w:space="0"/>
              <w:bottom w:val="single" w:color="auto" w:sz="2" w:space="0"/>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 源 名 称</w:t>
            </w:r>
          </w:p>
        </w:tc>
        <w:tc>
          <w:tcPr>
            <w:tcW w:w="673" w:type="pct"/>
            <w:tcBorders>
              <w:top w:val="single" w:color="auto" w:sz="8" w:space="0"/>
              <w:left w:val="single" w:color="auto" w:sz="2" w:space="0"/>
              <w:bottom w:val="single" w:color="auto" w:sz="2" w:space="0"/>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计量单位</w:t>
            </w:r>
          </w:p>
        </w:tc>
        <w:tc>
          <w:tcPr>
            <w:tcW w:w="375" w:type="pct"/>
            <w:tcBorders>
              <w:top w:val="single" w:color="auto" w:sz="8" w:space="0"/>
              <w:left w:val="single" w:color="auto" w:sz="2" w:space="0"/>
              <w:bottom w:val="single" w:color="auto" w:sz="2" w:space="0"/>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代 码</w:t>
            </w:r>
          </w:p>
        </w:tc>
        <w:tc>
          <w:tcPr>
            <w:tcW w:w="1137" w:type="pct"/>
            <w:gridSpan w:val="3"/>
            <w:tcBorders>
              <w:top w:val="single" w:color="auto" w:sz="8" w:space="0"/>
              <w:left w:val="single" w:color="auto" w:sz="2" w:space="0"/>
              <w:bottom w:val="single" w:color="auto" w:sz="2" w:space="0"/>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进 口 量</w:t>
            </w:r>
          </w:p>
        </w:tc>
        <w:tc>
          <w:tcPr>
            <w:tcW w:w="1668" w:type="pct"/>
            <w:gridSpan w:val="3"/>
            <w:tcBorders>
              <w:top w:val="single" w:color="auto" w:sz="8" w:space="0"/>
              <w:left w:val="single" w:color="auto" w:sz="2" w:space="0"/>
              <w:bottom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出 口 量</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single" w:color="auto" w:sz="2" w:space="0"/>
              <w:bottom w:val="single" w:color="auto" w:sz="2" w:space="0"/>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甲</w:t>
            </w:r>
          </w:p>
        </w:tc>
        <w:tc>
          <w:tcPr>
            <w:tcW w:w="673" w:type="pct"/>
            <w:tcBorders>
              <w:top w:val="single" w:color="auto" w:sz="2" w:space="0"/>
              <w:left w:val="single" w:color="auto" w:sz="2" w:space="0"/>
              <w:bottom w:val="single" w:color="auto" w:sz="2" w:space="0"/>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乙</w:t>
            </w:r>
          </w:p>
        </w:tc>
        <w:tc>
          <w:tcPr>
            <w:tcW w:w="375" w:type="pct"/>
            <w:tcBorders>
              <w:top w:val="single" w:color="auto" w:sz="2" w:space="0"/>
              <w:left w:val="single" w:color="auto" w:sz="2" w:space="0"/>
              <w:bottom w:val="single" w:color="auto" w:sz="2" w:space="0"/>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丙</w:t>
            </w:r>
          </w:p>
        </w:tc>
        <w:tc>
          <w:tcPr>
            <w:tcW w:w="1137" w:type="pct"/>
            <w:gridSpan w:val="3"/>
            <w:tcBorders>
              <w:top w:val="single" w:color="auto" w:sz="2" w:space="0"/>
              <w:left w:val="single" w:color="auto" w:sz="2" w:space="0"/>
              <w:bottom w:val="single" w:color="auto" w:sz="2" w:space="0"/>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1668" w:type="pct"/>
            <w:gridSpan w:val="3"/>
            <w:tcBorders>
              <w:top w:val="single" w:color="auto" w:sz="2" w:space="0"/>
              <w:left w:val="single" w:color="auto" w:sz="2" w:space="0"/>
              <w:bottom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single" w:color="auto" w:sz="2" w:space="0"/>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原  煤</w:t>
            </w:r>
          </w:p>
        </w:tc>
        <w:tc>
          <w:tcPr>
            <w:tcW w:w="673" w:type="pct"/>
            <w:tcBorders>
              <w:top w:val="single" w:color="auto" w:sz="2" w:space="0"/>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75" w:type="pct"/>
            <w:tcBorders>
              <w:top w:val="single" w:color="auto" w:sz="2" w:space="0"/>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01</w:t>
            </w:r>
          </w:p>
        </w:tc>
        <w:tc>
          <w:tcPr>
            <w:tcW w:w="1137" w:type="pct"/>
            <w:gridSpan w:val="3"/>
            <w:tcBorders>
              <w:top w:val="single" w:color="auto" w:sz="2" w:space="0"/>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single" w:color="auto" w:sz="2" w:space="0"/>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洗精煤</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02</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其他洗煤</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03</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型  煤</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04</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焦  炭</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05</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其他焦化产品</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06</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焦炉煤气</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万立方米</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07</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高炉煤气</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万立方米</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08</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其他煤气</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万立方米</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09</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天然气</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万立方米</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原  油</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汽  油</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煤  油</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13</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柴  油</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燃料油</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1"/>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液化石油气</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炼厂干气</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nil"/>
              <w:right w:val="single" w:color="auto" w:sz="2"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其他石油制品</w:t>
            </w:r>
          </w:p>
        </w:tc>
        <w:tc>
          <w:tcPr>
            <w:tcW w:w="673"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75" w:type="pct"/>
            <w:tcBorders>
              <w:top w:val="nil"/>
              <w:left w:val="single" w:color="auto" w:sz="2" w:space="0"/>
              <w:bottom w:val="nil"/>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18</w:t>
            </w:r>
          </w:p>
        </w:tc>
        <w:tc>
          <w:tcPr>
            <w:tcW w:w="1137" w:type="pct"/>
            <w:gridSpan w:val="3"/>
            <w:tcBorders>
              <w:top w:val="nil"/>
              <w:left w:val="single" w:color="auto" w:sz="2" w:space="0"/>
              <w:bottom w:val="nil"/>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8" w:hRule="atLeast"/>
          <w:jc w:val="center"/>
        </w:trPr>
        <w:tc>
          <w:tcPr>
            <w:tcW w:w="1144" w:type="pct"/>
            <w:tcBorders>
              <w:top w:val="nil"/>
              <w:bottom w:val="single" w:color="auto" w:sz="8" w:space="0"/>
            </w:tcBorders>
            <w:noWrap/>
            <w:vAlign w:val="center"/>
          </w:tcPr>
          <w:p>
            <w:pPr>
              <w:adjustRightInd w:val="0"/>
              <w:snapToGrid w:val="0"/>
              <w:spacing w:line="240" w:lineRule="exact"/>
              <w:ind w:right="-1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电  力</w:t>
            </w:r>
          </w:p>
        </w:tc>
        <w:tc>
          <w:tcPr>
            <w:tcW w:w="673" w:type="pct"/>
            <w:tcBorders>
              <w:top w:val="nil"/>
              <w:bottom w:val="single" w:color="auto" w:sz="8" w:space="0"/>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375" w:type="pct"/>
            <w:tcBorders>
              <w:top w:val="nil"/>
              <w:left w:val="single" w:color="auto" w:sz="2" w:space="0"/>
              <w:bottom w:val="single" w:color="auto" w:sz="8" w:space="0"/>
              <w:right w:val="single" w:color="auto" w:sz="2"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19</w:t>
            </w:r>
          </w:p>
        </w:tc>
        <w:tc>
          <w:tcPr>
            <w:tcW w:w="1137" w:type="pct"/>
            <w:gridSpan w:val="3"/>
            <w:tcBorders>
              <w:top w:val="nil"/>
              <w:left w:val="single" w:color="auto" w:sz="2" w:space="0"/>
              <w:bottom w:val="single" w:color="auto" w:sz="8" w:space="0"/>
              <w:right w:val="nil"/>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c>
          <w:tcPr>
            <w:tcW w:w="1668" w:type="pct"/>
            <w:gridSpan w:val="3"/>
            <w:tcBorders>
              <w:top w:val="nil"/>
              <w:left w:val="nil"/>
              <w:bottom w:val="single" w:color="auto" w:sz="8" w:space="0"/>
            </w:tcBorders>
            <w:noWrap/>
            <w:vAlign w:val="center"/>
          </w:tcPr>
          <w:p>
            <w:pPr>
              <w:adjustRightInd w:val="0"/>
              <w:snapToGrid w:val="0"/>
              <w:spacing w:line="240" w:lineRule="exact"/>
              <w:ind w:right="-12"/>
              <w:jc w:val="center"/>
              <w:rPr>
                <w:rFonts w:asciiTheme="minorEastAsia" w:hAnsiTheme="minorEastAsia" w:eastAsiaTheme="minorEastAsia" w:cstheme="minorEastAsia"/>
                <w:sz w:val="18"/>
                <w:szCs w:val="18"/>
              </w:rPr>
            </w:pPr>
          </w:p>
        </w:tc>
      </w:tr>
    </w:tbl>
    <w:p>
      <w:pPr>
        <w:adjustRightInd w:val="0"/>
        <w:snapToGrid w:val="0"/>
        <w:spacing w:after="0" w:afterLines="0" w:line="240" w:lineRule="exact"/>
        <w:rPr>
          <w:rFonts w:ascii="宋体"/>
          <w:sz w:val="18"/>
        </w:rPr>
      </w:pPr>
      <w:r>
        <w:rPr>
          <w:rFonts w:hint="eastAsia"/>
          <w:sz w:val="18"/>
        </w:rPr>
        <w:t>单</w:t>
      </w:r>
      <w:r>
        <w:rPr>
          <w:rFonts w:hint="eastAsia" w:ascii="宋体" w:hAnsi="宋体" w:cs="宋体"/>
          <w:kern w:val="0"/>
          <w:sz w:val="18"/>
          <w:szCs w:val="18"/>
        </w:rPr>
        <w:t>位负责人：          统计负责人：          填表人：          联系电话：         报出日期：２０   年  月  日</w:t>
      </w:r>
    </w:p>
    <w:p>
      <w:pPr>
        <w:adjustRightInd w:val="0"/>
        <w:snapToGrid w:val="0"/>
        <w:spacing w:line="240" w:lineRule="exact"/>
        <w:rPr>
          <w:rFonts w:asciiTheme="minorEastAsia" w:hAnsiTheme="minorEastAsia" w:eastAsiaTheme="minorEastAsia" w:cstheme="minorEastAsia"/>
          <w:sz w:val="18"/>
        </w:rPr>
      </w:pPr>
      <w:r>
        <w:rPr>
          <w:rFonts w:hint="eastAsia" w:asciiTheme="minorEastAsia" w:hAnsiTheme="minorEastAsia" w:eastAsiaTheme="minorEastAsia" w:cstheme="minorEastAsia"/>
          <w:b/>
          <w:sz w:val="18"/>
        </w:rPr>
        <w:t>说明</w:t>
      </w:r>
      <w:r>
        <w:rPr>
          <w:rFonts w:hint="eastAsia" w:asciiTheme="minorEastAsia" w:hAnsiTheme="minorEastAsia" w:eastAsiaTheme="minorEastAsia" w:cstheme="minorEastAsia"/>
          <w:sz w:val="18"/>
        </w:rPr>
        <w:t>：</w:t>
      </w:r>
      <w:r>
        <w:rPr>
          <w:rFonts w:hint="eastAsia" w:asciiTheme="minorEastAsia" w:hAnsiTheme="minorEastAsia" w:eastAsiaTheme="minorEastAsia" w:cstheme="minorEastAsia"/>
          <w:sz w:val="18"/>
          <w:szCs w:val="18"/>
        </w:rPr>
        <w:t>1.本表由广州海关报送。</w:t>
      </w:r>
    </w:p>
    <w:p>
      <w:pPr>
        <w:adjustRightInd w:val="0"/>
        <w:snapToGrid w:val="0"/>
        <w:spacing w:line="240" w:lineRule="exact"/>
        <w:ind w:left="525" w:leftChars="2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2.统计范围是</w:t>
      </w:r>
      <w:r>
        <w:rPr>
          <w:rFonts w:hint="eastAsia" w:asciiTheme="minorEastAsia" w:hAnsiTheme="minorEastAsia" w:eastAsiaTheme="minorEastAsia" w:cstheme="minorEastAsia"/>
          <w:sz w:val="18"/>
        </w:rPr>
        <w:t>辖区内全部生产和消费能源的企事业单位的能源进、出口活动</w:t>
      </w:r>
      <w:r>
        <w:rPr>
          <w:rFonts w:hint="eastAsia" w:asciiTheme="minorEastAsia" w:hAnsiTheme="minorEastAsia" w:eastAsiaTheme="minorEastAsia" w:cstheme="minorEastAsia"/>
          <w:sz w:val="18"/>
          <w:szCs w:val="18"/>
        </w:rPr>
        <w:t>。</w:t>
      </w:r>
    </w:p>
    <w:p>
      <w:pPr>
        <w:adjustRightInd w:val="0"/>
        <w:snapToGrid w:val="0"/>
        <w:spacing w:line="240" w:lineRule="exact"/>
        <w:ind w:left="525" w:leftChars="250"/>
        <w:rPr>
          <w:rFonts w:asciiTheme="minorEastAsia" w:hAnsiTheme="minorEastAsia" w:eastAsiaTheme="minorEastAsia" w:cstheme="minorEastAsia"/>
          <w:sz w:val="18"/>
        </w:rPr>
      </w:pPr>
      <w:r>
        <w:rPr>
          <w:rFonts w:hint="eastAsia" w:asciiTheme="minorEastAsia" w:hAnsiTheme="minorEastAsia" w:eastAsiaTheme="minorEastAsia" w:cstheme="minorEastAsia"/>
          <w:sz w:val="18"/>
          <w:szCs w:val="18"/>
        </w:rPr>
        <w:t>3.报送时间为次年3月15日前</w:t>
      </w:r>
      <w:r>
        <w:rPr>
          <w:rFonts w:hint="eastAsia" w:asciiTheme="minorEastAsia" w:hAnsiTheme="minorEastAsia" w:eastAsiaTheme="minorEastAsia" w:cstheme="minorEastAsia"/>
          <w:sz w:val="18"/>
        </w:rPr>
        <w:t>，报送方式为电子邮件（gzstjjnyc@gz.gov.cn）。</w:t>
      </w:r>
    </w:p>
    <w:p>
      <w:pPr>
        <w:ind w:right="-1774" w:firstLine="248" w:firstLineChars="248"/>
        <w:rPr>
          <w:sz w:val="10"/>
          <w:szCs w:val="10"/>
        </w:rPr>
      </w:pPr>
    </w:p>
    <w:p>
      <w:pPr>
        <w:spacing w:before="72" w:beforeLines="30"/>
        <w:jc w:val="center"/>
        <w:rPr>
          <w:rFonts w:ascii="宋体" w:hAnsi="宋体"/>
          <w:b/>
          <w:sz w:val="32"/>
        </w:rPr>
      </w:pPr>
      <w:r>
        <w:rPr>
          <w:rFonts w:hint="eastAsia" w:ascii="宋体" w:hAnsi="宋体"/>
          <w:b/>
          <w:sz w:val="32"/>
        </w:rPr>
        <w:t>主要能源货运量</w:t>
      </w:r>
    </w:p>
    <w:tbl>
      <w:tblPr>
        <w:tblStyle w:val="21"/>
        <w:tblW w:w="9817" w:type="dxa"/>
        <w:jc w:val="center"/>
        <w:tblLayout w:type="fixed"/>
        <w:tblCellMar>
          <w:top w:w="0" w:type="dxa"/>
          <w:left w:w="0" w:type="dxa"/>
          <w:bottom w:w="0" w:type="dxa"/>
          <w:right w:w="0" w:type="dxa"/>
        </w:tblCellMar>
      </w:tblPr>
      <w:tblGrid>
        <w:gridCol w:w="1712"/>
        <w:gridCol w:w="1372"/>
        <w:gridCol w:w="907"/>
        <w:gridCol w:w="2520"/>
        <w:gridCol w:w="286"/>
        <w:gridCol w:w="1159"/>
        <w:gridCol w:w="1861"/>
      </w:tblGrid>
      <w:tr>
        <w:tblPrEx>
          <w:tblCellMar>
            <w:top w:w="0" w:type="dxa"/>
            <w:left w:w="0" w:type="dxa"/>
            <w:bottom w:w="0" w:type="dxa"/>
            <w:right w:w="0" w:type="dxa"/>
          </w:tblCellMar>
        </w:tblPrEx>
        <w:trPr>
          <w:trHeight w:val="198" w:hRule="atLeast"/>
          <w:jc w:val="center"/>
        </w:trPr>
        <w:tc>
          <w:tcPr>
            <w:tcW w:w="3084" w:type="dxa"/>
            <w:gridSpan w:val="2"/>
            <w:noWrap/>
            <w:tcMar>
              <w:left w:w="0" w:type="dxa"/>
              <w:right w:w="0" w:type="dxa"/>
            </w:tcMar>
          </w:tcPr>
          <w:p>
            <w:pPr>
              <w:adjustRightInd w:val="0"/>
              <w:snapToGrid w:val="0"/>
              <w:spacing w:line="240" w:lineRule="exact"/>
              <w:ind w:left="-2" w:leftChars="-1" w:firstLine="1" w:firstLineChars="1"/>
              <w:jc w:val="center"/>
              <w:rPr>
                <w:rFonts w:asciiTheme="minorEastAsia" w:hAnsiTheme="minorEastAsia" w:eastAsiaTheme="minorEastAsia" w:cstheme="minorEastAsia"/>
                <w:sz w:val="18"/>
                <w:szCs w:val="18"/>
              </w:rPr>
            </w:pPr>
          </w:p>
        </w:tc>
        <w:tc>
          <w:tcPr>
            <w:tcW w:w="907" w:type="dxa"/>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2806" w:type="dxa"/>
            <w:gridSpan w:val="2"/>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1159" w:type="dxa"/>
            <w:noWrap/>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表    号：</w:t>
            </w:r>
          </w:p>
        </w:tc>
        <w:tc>
          <w:tcPr>
            <w:tcW w:w="1861" w:type="dxa"/>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粤Ｐ３１２表</w:t>
            </w:r>
          </w:p>
        </w:tc>
      </w:tr>
      <w:tr>
        <w:tblPrEx>
          <w:tblCellMar>
            <w:top w:w="0" w:type="dxa"/>
            <w:left w:w="0" w:type="dxa"/>
            <w:bottom w:w="0" w:type="dxa"/>
            <w:right w:w="0" w:type="dxa"/>
          </w:tblCellMar>
        </w:tblPrEx>
        <w:trPr>
          <w:trHeight w:val="198" w:hRule="atLeast"/>
          <w:jc w:val="center"/>
        </w:trPr>
        <w:tc>
          <w:tcPr>
            <w:tcW w:w="3084" w:type="dxa"/>
            <w:gridSpan w:val="2"/>
            <w:noWrap/>
            <w:tcMar>
              <w:left w:w="0" w:type="dxa"/>
              <w:right w:w="0" w:type="dxa"/>
            </w:tcMar>
            <w:vAlign w:val="bottom"/>
          </w:tcPr>
          <w:p>
            <w:pPr>
              <w:adjustRightInd w:val="0"/>
              <w:snapToGrid w:val="0"/>
              <w:spacing w:line="240" w:lineRule="exact"/>
              <w:jc w:val="center"/>
              <w:rPr>
                <w:rFonts w:asciiTheme="minorEastAsia" w:hAnsiTheme="minorEastAsia" w:eastAsiaTheme="minorEastAsia" w:cstheme="minorEastAsia"/>
                <w:sz w:val="18"/>
                <w:szCs w:val="18"/>
              </w:rPr>
            </w:pPr>
          </w:p>
        </w:tc>
        <w:tc>
          <w:tcPr>
            <w:tcW w:w="907" w:type="dxa"/>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2806" w:type="dxa"/>
            <w:gridSpan w:val="2"/>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1159" w:type="dxa"/>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制定机关：</w:t>
            </w:r>
          </w:p>
        </w:tc>
        <w:tc>
          <w:tcPr>
            <w:tcW w:w="1861" w:type="dxa"/>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广东省统计局</w:t>
            </w:r>
          </w:p>
        </w:tc>
      </w:tr>
      <w:tr>
        <w:tblPrEx>
          <w:tblCellMar>
            <w:top w:w="0" w:type="dxa"/>
            <w:left w:w="0" w:type="dxa"/>
            <w:bottom w:w="0" w:type="dxa"/>
            <w:right w:w="0" w:type="dxa"/>
          </w:tblCellMar>
        </w:tblPrEx>
        <w:trPr>
          <w:trHeight w:val="198" w:hRule="atLeast"/>
          <w:jc w:val="center"/>
        </w:trPr>
        <w:tc>
          <w:tcPr>
            <w:tcW w:w="3084" w:type="dxa"/>
            <w:gridSpan w:val="2"/>
            <w:noWrap/>
            <w:tcMar>
              <w:left w:w="0" w:type="dxa"/>
              <w:right w:w="0" w:type="dxa"/>
            </w:tcMar>
          </w:tcPr>
          <w:p>
            <w:pPr>
              <w:adjustRightInd w:val="0"/>
              <w:snapToGrid w:val="0"/>
              <w:spacing w:line="240" w:lineRule="exact"/>
              <w:jc w:val="left"/>
              <w:rPr>
                <w:rFonts w:asciiTheme="minorEastAsia" w:hAnsiTheme="minorEastAsia" w:eastAsiaTheme="minorEastAsia" w:cstheme="minorEastAsia"/>
                <w:sz w:val="18"/>
                <w:szCs w:val="18"/>
              </w:rPr>
            </w:pPr>
          </w:p>
        </w:tc>
        <w:tc>
          <w:tcPr>
            <w:tcW w:w="907" w:type="dxa"/>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2806" w:type="dxa"/>
            <w:gridSpan w:val="2"/>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1159" w:type="dxa"/>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批准机关：</w:t>
            </w:r>
          </w:p>
        </w:tc>
        <w:tc>
          <w:tcPr>
            <w:tcW w:w="1861" w:type="dxa"/>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国家统计局</w:t>
            </w:r>
          </w:p>
        </w:tc>
      </w:tr>
      <w:tr>
        <w:tblPrEx>
          <w:tblCellMar>
            <w:top w:w="0" w:type="dxa"/>
            <w:left w:w="0" w:type="dxa"/>
            <w:bottom w:w="0" w:type="dxa"/>
            <w:right w:w="0" w:type="dxa"/>
          </w:tblCellMar>
        </w:tblPrEx>
        <w:trPr>
          <w:trHeight w:val="198" w:hRule="atLeast"/>
          <w:jc w:val="center"/>
        </w:trPr>
        <w:tc>
          <w:tcPr>
            <w:tcW w:w="3084" w:type="dxa"/>
            <w:gridSpan w:val="2"/>
            <w:noWrap/>
            <w:tcMar>
              <w:left w:w="0" w:type="dxa"/>
              <w:right w:w="0" w:type="dxa"/>
            </w:tcMar>
          </w:tcPr>
          <w:p>
            <w:pPr>
              <w:adjustRightInd w:val="0"/>
              <w:snapToGrid w:val="0"/>
              <w:spacing w:line="240" w:lineRule="exact"/>
              <w:jc w:val="left"/>
              <w:rPr>
                <w:rFonts w:asciiTheme="minorEastAsia" w:hAnsiTheme="minorEastAsia" w:eastAsiaTheme="minorEastAsia" w:cstheme="minorEastAsia"/>
                <w:sz w:val="18"/>
                <w:szCs w:val="18"/>
              </w:rPr>
            </w:pPr>
          </w:p>
        </w:tc>
        <w:tc>
          <w:tcPr>
            <w:tcW w:w="907" w:type="dxa"/>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2806" w:type="dxa"/>
            <w:gridSpan w:val="2"/>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1159" w:type="dxa"/>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批准文号：</w:t>
            </w:r>
          </w:p>
        </w:tc>
        <w:tc>
          <w:tcPr>
            <w:tcW w:w="1861" w:type="dxa"/>
            <w:noWrap/>
            <w:vAlign w:val="center"/>
          </w:tcPr>
          <w:p>
            <w:pPr>
              <w:widowControl/>
              <w:jc w:val="distribute"/>
              <w:rPr>
                <w:rFonts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国统制</w:t>
            </w:r>
            <w:r>
              <w:rPr>
                <w:rFonts w:hint="eastAsia" w:ascii="宋体" w:hAnsi="宋体"/>
                <w:color w:val="auto"/>
                <w:sz w:val="18"/>
                <w:szCs w:val="18"/>
              </w:rPr>
              <w:t>〔</w:t>
            </w:r>
            <w:r>
              <w:rPr>
                <w:rFonts w:hint="eastAsia" w:asciiTheme="minorEastAsia" w:hAnsiTheme="minorEastAsia" w:eastAsiaTheme="minorEastAsia" w:cstheme="minorEastAsia"/>
                <w:color w:val="auto"/>
                <w:sz w:val="18"/>
                <w:szCs w:val="18"/>
                <w:highlight w:val="none"/>
              </w:rPr>
              <w:t>2026</w:t>
            </w:r>
            <w:r>
              <w:rPr>
                <w:rFonts w:hint="eastAsia" w:ascii="宋体" w:hAnsi="宋体"/>
                <w:color w:val="auto"/>
                <w:sz w:val="18"/>
                <w:szCs w:val="18"/>
              </w:rPr>
              <w:t>〕</w:t>
            </w:r>
            <w:r>
              <w:rPr>
                <w:rFonts w:hint="eastAsia" w:asciiTheme="minorEastAsia" w:hAnsiTheme="minorEastAsia" w:eastAsiaTheme="minorEastAsia" w:cstheme="minorEastAsia"/>
                <w:color w:val="auto"/>
                <w:sz w:val="18"/>
                <w:szCs w:val="18"/>
                <w:highlight w:val="none"/>
              </w:rPr>
              <w:t>48号</w:t>
            </w:r>
          </w:p>
        </w:tc>
      </w:tr>
      <w:tr>
        <w:tblPrEx>
          <w:tblCellMar>
            <w:top w:w="0" w:type="dxa"/>
            <w:left w:w="0" w:type="dxa"/>
            <w:bottom w:w="0" w:type="dxa"/>
            <w:right w:w="0" w:type="dxa"/>
          </w:tblCellMar>
        </w:tblPrEx>
        <w:trPr>
          <w:trHeight w:val="198" w:hRule="atLeast"/>
          <w:jc w:val="center"/>
        </w:trPr>
        <w:tc>
          <w:tcPr>
            <w:tcW w:w="6797" w:type="dxa"/>
            <w:gridSpan w:val="5"/>
            <w:tcBorders>
              <w:bottom w:val="nil"/>
            </w:tcBorders>
            <w:noWrap/>
            <w:tcMar>
              <w:left w:w="0" w:type="dxa"/>
              <w:right w:w="0" w:type="dxa"/>
            </w:tcMar>
          </w:tcPr>
          <w:p>
            <w:pPr>
              <w:adjustRightInd w:val="0"/>
              <w:snapToGrid w:val="0"/>
              <w:spacing w:line="24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 xml:space="preserve">综合机关名称：                                 </w:t>
            </w:r>
            <w:r>
              <w:rPr>
                <w:sz w:val="18"/>
                <w:szCs w:val="18"/>
              </w:rPr>
              <w:t>２０　　年</w:t>
            </w:r>
          </w:p>
        </w:tc>
        <w:tc>
          <w:tcPr>
            <w:tcW w:w="1159" w:type="dxa"/>
            <w:tcBorders>
              <w:bottom w:val="nil"/>
            </w:tcBorders>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有效期至：</w:t>
            </w:r>
          </w:p>
        </w:tc>
        <w:tc>
          <w:tcPr>
            <w:tcW w:w="1861" w:type="dxa"/>
            <w:tcBorders>
              <w:bottom w:val="nil"/>
            </w:tcBorders>
            <w:noWrap/>
            <w:vAlign w:val="center"/>
          </w:tcPr>
          <w:p>
            <w:pPr>
              <w:adjustRightInd w:val="0"/>
              <w:snapToGrid w:val="0"/>
              <w:spacing w:line="240" w:lineRule="exact"/>
              <w:jc w:val="distribute"/>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２０２</w:t>
            </w:r>
            <w:r>
              <w:rPr>
                <w:rFonts w:hint="eastAsia" w:asciiTheme="minorEastAsia" w:hAnsiTheme="minorEastAsia" w:eastAsiaTheme="minorEastAsia" w:cstheme="minorEastAsia"/>
                <w:color w:val="auto"/>
                <w:sz w:val="18"/>
                <w:szCs w:val="18"/>
                <w:lang w:val="en-US" w:eastAsia="zh-CN"/>
              </w:rPr>
              <w:t>6</w:t>
            </w:r>
            <w:r>
              <w:rPr>
                <w:rFonts w:hint="eastAsia" w:asciiTheme="minorEastAsia" w:hAnsiTheme="minorEastAsia" w:eastAsiaTheme="minorEastAsia" w:cstheme="minorEastAsia"/>
                <w:color w:val="auto"/>
                <w:sz w:val="18"/>
                <w:szCs w:val="18"/>
              </w:rPr>
              <w:t>年６月</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98" w:hRule="atLeast"/>
          <w:jc w:val="center"/>
        </w:trPr>
        <w:tc>
          <w:tcPr>
            <w:tcW w:w="1712" w:type="dxa"/>
            <w:tcBorders>
              <w:top w:val="single" w:color="auto" w:sz="8" w:space="0"/>
              <w:bottom w:val="single" w:color="auto" w:sz="4" w:space="0"/>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 源 名 称</w:t>
            </w:r>
          </w:p>
        </w:tc>
        <w:tc>
          <w:tcPr>
            <w:tcW w:w="1372" w:type="dxa"/>
            <w:tcBorders>
              <w:top w:val="single" w:color="auto" w:sz="8" w:space="0"/>
              <w:left w:val="single" w:color="auto" w:sz="4" w:space="0"/>
              <w:bottom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计量单位</w:t>
            </w:r>
          </w:p>
        </w:tc>
        <w:tc>
          <w:tcPr>
            <w:tcW w:w="907" w:type="dxa"/>
            <w:tcBorders>
              <w:top w:val="single" w:color="auto" w:sz="8" w:space="0"/>
              <w:bottom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代码</w:t>
            </w:r>
          </w:p>
        </w:tc>
        <w:tc>
          <w:tcPr>
            <w:tcW w:w="2520" w:type="dxa"/>
            <w:tcBorders>
              <w:top w:val="single" w:color="auto" w:sz="8" w:space="0"/>
              <w:bottom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到  达  广  州</w:t>
            </w:r>
          </w:p>
        </w:tc>
        <w:tc>
          <w:tcPr>
            <w:tcW w:w="3306" w:type="dxa"/>
            <w:gridSpan w:val="3"/>
            <w:tcBorders>
              <w:top w:val="single" w:color="auto" w:sz="8" w:space="0"/>
              <w:bottom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广  州  发  送</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98" w:hRule="atLeast"/>
          <w:jc w:val="center"/>
        </w:trPr>
        <w:tc>
          <w:tcPr>
            <w:tcW w:w="1712" w:type="dxa"/>
            <w:tcBorders>
              <w:top w:val="single" w:color="auto" w:sz="4" w:space="0"/>
              <w:bottom w:val="single" w:color="auto" w:sz="4" w:space="0"/>
              <w:right w:val="single" w:color="auto" w:sz="4" w:space="0"/>
            </w:tcBorders>
            <w:noWrap/>
            <w:vAlign w:val="center"/>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甲</w:t>
            </w:r>
          </w:p>
        </w:tc>
        <w:tc>
          <w:tcPr>
            <w:tcW w:w="1372" w:type="dxa"/>
            <w:tcBorders>
              <w:top w:val="single" w:color="auto" w:sz="4" w:space="0"/>
              <w:left w:val="single" w:color="auto" w:sz="4" w:space="0"/>
              <w:bottom w:val="single" w:color="auto" w:sz="4" w:space="0"/>
            </w:tcBorders>
            <w:noWrap/>
            <w:vAlign w:val="center"/>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乙</w:t>
            </w:r>
          </w:p>
        </w:tc>
        <w:tc>
          <w:tcPr>
            <w:tcW w:w="907" w:type="dxa"/>
            <w:tcBorders>
              <w:top w:val="single" w:color="auto" w:sz="4" w:space="0"/>
              <w:bottom w:val="single" w:color="auto" w:sz="4" w:space="0"/>
            </w:tcBorders>
            <w:noWrap/>
            <w:vAlign w:val="center"/>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丙</w:t>
            </w:r>
          </w:p>
        </w:tc>
        <w:tc>
          <w:tcPr>
            <w:tcW w:w="2520" w:type="dxa"/>
            <w:tcBorders>
              <w:top w:val="single" w:color="auto" w:sz="4" w:space="0"/>
              <w:bottom w:val="single" w:color="auto" w:sz="4" w:space="0"/>
            </w:tcBorders>
            <w:noWrap/>
            <w:vAlign w:val="center"/>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3306" w:type="dxa"/>
            <w:gridSpan w:val="3"/>
            <w:tcBorders>
              <w:top w:val="single" w:color="auto" w:sz="4" w:space="0"/>
              <w:bottom w:val="single" w:color="auto" w:sz="4" w:space="0"/>
            </w:tcBorders>
            <w:noWrap/>
            <w:vAlign w:val="center"/>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98" w:hRule="atLeast"/>
          <w:jc w:val="center"/>
        </w:trPr>
        <w:tc>
          <w:tcPr>
            <w:tcW w:w="1712" w:type="dxa"/>
            <w:tcBorders>
              <w:top w:val="single" w:color="auto" w:sz="4" w:space="0"/>
              <w:bottom w:val="nil"/>
              <w:right w:val="single" w:color="auto" w:sz="4" w:space="0"/>
            </w:tcBorders>
            <w:noWrap/>
            <w:vAlign w:val="center"/>
          </w:tcPr>
          <w:p>
            <w:pPr>
              <w:adjustRightInd w:val="0"/>
              <w:snapToGrid w:val="0"/>
              <w:spacing w:line="240" w:lineRule="exact"/>
              <w:ind w:right="-11"/>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原  煤</w:t>
            </w:r>
          </w:p>
        </w:tc>
        <w:tc>
          <w:tcPr>
            <w:tcW w:w="1372" w:type="dxa"/>
            <w:tcBorders>
              <w:top w:val="single" w:color="auto" w:sz="4" w:space="0"/>
              <w:left w:val="single" w:color="auto" w:sz="4" w:space="0"/>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907" w:type="dxa"/>
            <w:tcBorders>
              <w:top w:val="single" w:color="auto" w:sz="4" w:space="0"/>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01</w:t>
            </w:r>
          </w:p>
        </w:tc>
        <w:tc>
          <w:tcPr>
            <w:tcW w:w="2520" w:type="dxa"/>
            <w:tcBorders>
              <w:top w:val="single" w:color="auto" w:sz="4" w:space="0"/>
              <w:bottom w:val="nil"/>
              <w:right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c>
          <w:tcPr>
            <w:tcW w:w="3306" w:type="dxa"/>
            <w:gridSpan w:val="3"/>
            <w:tcBorders>
              <w:top w:val="single" w:color="auto" w:sz="4" w:space="0"/>
              <w:left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98" w:hRule="atLeast"/>
          <w:jc w:val="center"/>
        </w:trPr>
        <w:tc>
          <w:tcPr>
            <w:tcW w:w="1712" w:type="dxa"/>
            <w:tcBorders>
              <w:top w:val="nil"/>
              <w:bottom w:val="nil"/>
              <w:right w:val="single" w:color="auto" w:sz="4" w:space="0"/>
            </w:tcBorders>
            <w:noWrap/>
            <w:vAlign w:val="center"/>
          </w:tcPr>
          <w:p>
            <w:pPr>
              <w:adjustRightInd w:val="0"/>
              <w:snapToGrid w:val="0"/>
              <w:spacing w:line="240" w:lineRule="exact"/>
              <w:ind w:right="-11"/>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洗精煤</w:t>
            </w:r>
          </w:p>
        </w:tc>
        <w:tc>
          <w:tcPr>
            <w:tcW w:w="1372" w:type="dxa"/>
            <w:tcBorders>
              <w:top w:val="nil"/>
              <w:left w:val="single" w:color="auto" w:sz="4" w:space="0"/>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907" w:type="dxa"/>
            <w:tcBorders>
              <w:top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02</w:t>
            </w:r>
          </w:p>
        </w:tc>
        <w:tc>
          <w:tcPr>
            <w:tcW w:w="2520" w:type="dxa"/>
            <w:tcBorders>
              <w:top w:val="nil"/>
              <w:bottom w:val="nil"/>
              <w:right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c>
          <w:tcPr>
            <w:tcW w:w="3306" w:type="dxa"/>
            <w:gridSpan w:val="3"/>
            <w:tcBorders>
              <w:top w:val="nil"/>
              <w:left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98" w:hRule="atLeast"/>
          <w:jc w:val="center"/>
        </w:trPr>
        <w:tc>
          <w:tcPr>
            <w:tcW w:w="1712" w:type="dxa"/>
            <w:tcBorders>
              <w:top w:val="nil"/>
              <w:bottom w:val="nil"/>
              <w:right w:val="single" w:color="auto" w:sz="4" w:space="0"/>
            </w:tcBorders>
            <w:noWrap/>
            <w:vAlign w:val="center"/>
          </w:tcPr>
          <w:p>
            <w:pPr>
              <w:adjustRightInd w:val="0"/>
              <w:snapToGrid w:val="0"/>
              <w:spacing w:line="240" w:lineRule="exact"/>
              <w:ind w:right="-11"/>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焦  炭</w:t>
            </w:r>
          </w:p>
        </w:tc>
        <w:tc>
          <w:tcPr>
            <w:tcW w:w="1372" w:type="dxa"/>
            <w:tcBorders>
              <w:top w:val="nil"/>
              <w:left w:val="single" w:color="auto" w:sz="4" w:space="0"/>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907" w:type="dxa"/>
            <w:tcBorders>
              <w:top w:val="nil"/>
              <w:bottom w:val="nil"/>
            </w:tcBorders>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03</w:t>
            </w:r>
          </w:p>
        </w:tc>
        <w:tc>
          <w:tcPr>
            <w:tcW w:w="2520" w:type="dxa"/>
            <w:tcBorders>
              <w:top w:val="nil"/>
              <w:bottom w:val="nil"/>
              <w:right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c>
          <w:tcPr>
            <w:tcW w:w="3306" w:type="dxa"/>
            <w:gridSpan w:val="3"/>
            <w:tcBorders>
              <w:top w:val="nil"/>
              <w:left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98" w:hRule="atLeast"/>
          <w:jc w:val="center"/>
        </w:trPr>
        <w:tc>
          <w:tcPr>
            <w:tcW w:w="1712" w:type="dxa"/>
            <w:tcBorders>
              <w:top w:val="nil"/>
              <w:bottom w:val="nil"/>
              <w:right w:val="single" w:color="auto" w:sz="4" w:space="0"/>
            </w:tcBorders>
            <w:noWrap/>
            <w:vAlign w:val="center"/>
          </w:tcPr>
          <w:p>
            <w:pPr>
              <w:adjustRightInd w:val="0"/>
              <w:snapToGrid w:val="0"/>
              <w:spacing w:line="240" w:lineRule="exact"/>
              <w:ind w:right="-11"/>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原  油</w:t>
            </w:r>
          </w:p>
        </w:tc>
        <w:tc>
          <w:tcPr>
            <w:tcW w:w="1372" w:type="dxa"/>
            <w:tcBorders>
              <w:top w:val="nil"/>
              <w:left w:val="single" w:color="auto" w:sz="4" w:space="0"/>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907" w:type="dxa"/>
            <w:tcBorders>
              <w:top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04</w:t>
            </w:r>
          </w:p>
        </w:tc>
        <w:tc>
          <w:tcPr>
            <w:tcW w:w="2520" w:type="dxa"/>
            <w:tcBorders>
              <w:top w:val="nil"/>
              <w:bottom w:val="nil"/>
              <w:right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c>
          <w:tcPr>
            <w:tcW w:w="3306" w:type="dxa"/>
            <w:gridSpan w:val="3"/>
            <w:tcBorders>
              <w:top w:val="nil"/>
              <w:left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98" w:hRule="atLeast"/>
          <w:jc w:val="center"/>
        </w:trPr>
        <w:tc>
          <w:tcPr>
            <w:tcW w:w="1712" w:type="dxa"/>
            <w:tcBorders>
              <w:top w:val="nil"/>
              <w:bottom w:val="nil"/>
              <w:right w:val="single" w:color="auto" w:sz="4" w:space="0"/>
            </w:tcBorders>
            <w:noWrap/>
            <w:vAlign w:val="center"/>
          </w:tcPr>
          <w:p>
            <w:pPr>
              <w:adjustRightInd w:val="0"/>
              <w:snapToGrid w:val="0"/>
              <w:spacing w:line="240" w:lineRule="exact"/>
              <w:ind w:right="-11"/>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汽  油</w:t>
            </w:r>
          </w:p>
        </w:tc>
        <w:tc>
          <w:tcPr>
            <w:tcW w:w="1372" w:type="dxa"/>
            <w:tcBorders>
              <w:top w:val="nil"/>
              <w:left w:val="single" w:color="auto" w:sz="4" w:space="0"/>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907" w:type="dxa"/>
            <w:tcBorders>
              <w:top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05</w:t>
            </w:r>
          </w:p>
        </w:tc>
        <w:tc>
          <w:tcPr>
            <w:tcW w:w="2520" w:type="dxa"/>
            <w:tcBorders>
              <w:top w:val="nil"/>
              <w:bottom w:val="nil"/>
              <w:right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c>
          <w:tcPr>
            <w:tcW w:w="3306" w:type="dxa"/>
            <w:gridSpan w:val="3"/>
            <w:tcBorders>
              <w:top w:val="nil"/>
              <w:left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98" w:hRule="atLeast"/>
          <w:jc w:val="center"/>
        </w:trPr>
        <w:tc>
          <w:tcPr>
            <w:tcW w:w="1712" w:type="dxa"/>
            <w:tcBorders>
              <w:top w:val="nil"/>
              <w:bottom w:val="nil"/>
              <w:right w:val="single" w:color="auto" w:sz="4" w:space="0"/>
            </w:tcBorders>
            <w:noWrap/>
            <w:vAlign w:val="center"/>
          </w:tcPr>
          <w:p>
            <w:pPr>
              <w:adjustRightInd w:val="0"/>
              <w:snapToGrid w:val="0"/>
              <w:spacing w:line="240" w:lineRule="exact"/>
              <w:ind w:right="-11"/>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煤  油</w:t>
            </w:r>
          </w:p>
        </w:tc>
        <w:tc>
          <w:tcPr>
            <w:tcW w:w="1372" w:type="dxa"/>
            <w:tcBorders>
              <w:top w:val="nil"/>
              <w:left w:val="single" w:color="auto" w:sz="4" w:space="0"/>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907" w:type="dxa"/>
            <w:tcBorders>
              <w:top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06</w:t>
            </w:r>
          </w:p>
        </w:tc>
        <w:tc>
          <w:tcPr>
            <w:tcW w:w="2520" w:type="dxa"/>
            <w:tcBorders>
              <w:top w:val="nil"/>
              <w:bottom w:val="nil"/>
              <w:right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c>
          <w:tcPr>
            <w:tcW w:w="3306" w:type="dxa"/>
            <w:gridSpan w:val="3"/>
            <w:tcBorders>
              <w:top w:val="nil"/>
              <w:left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98" w:hRule="atLeast"/>
          <w:jc w:val="center"/>
        </w:trPr>
        <w:tc>
          <w:tcPr>
            <w:tcW w:w="1712" w:type="dxa"/>
            <w:tcBorders>
              <w:top w:val="nil"/>
              <w:bottom w:val="nil"/>
              <w:right w:val="single" w:color="auto" w:sz="4" w:space="0"/>
            </w:tcBorders>
            <w:noWrap/>
            <w:vAlign w:val="center"/>
          </w:tcPr>
          <w:p>
            <w:pPr>
              <w:adjustRightInd w:val="0"/>
              <w:snapToGrid w:val="0"/>
              <w:spacing w:line="240" w:lineRule="exact"/>
              <w:ind w:right="-11"/>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柴  油</w:t>
            </w:r>
          </w:p>
        </w:tc>
        <w:tc>
          <w:tcPr>
            <w:tcW w:w="1372" w:type="dxa"/>
            <w:tcBorders>
              <w:top w:val="nil"/>
              <w:left w:val="single" w:color="auto" w:sz="4" w:space="0"/>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907" w:type="dxa"/>
            <w:tcBorders>
              <w:top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07</w:t>
            </w:r>
          </w:p>
        </w:tc>
        <w:tc>
          <w:tcPr>
            <w:tcW w:w="2520" w:type="dxa"/>
            <w:tcBorders>
              <w:top w:val="nil"/>
              <w:bottom w:val="nil"/>
              <w:right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c>
          <w:tcPr>
            <w:tcW w:w="3306" w:type="dxa"/>
            <w:gridSpan w:val="3"/>
            <w:tcBorders>
              <w:top w:val="nil"/>
              <w:left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98" w:hRule="atLeast"/>
          <w:jc w:val="center"/>
        </w:trPr>
        <w:tc>
          <w:tcPr>
            <w:tcW w:w="1712" w:type="dxa"/>
            <w:tcBorders>
              <w:top w:val="nil"/>
              <w:bottom w:val="nil"/>
              <w:right w:val="single" w:color="auto" w:sz="4" w:space="0"/>
            </w:tcBorders>
            <w:noWrap/>
            <w:vAlign w:val="center"/>
          </w:tcPr>
          <w:p>
            <w:pPr>
              <w:adjustRightInd w:val="0"/>
              <w:snapToGrid w:val="0"/>
              <w:spacing w:line="240" w:lineRule="exact"/>
              <w:ind w:right="-11"/>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燃料油</w:t>
            </w:r>
          </w:p>
        </w:tc>
        <w:tc>
          <w:tcPr>
            <w:tcW w:w="1372" w:type="dxa"/>
            <w:tcBorders>
              <w:top w:val="nil"/>
              <w:left w:val="single" w:color="auto" w:sz="4" w:space="0"/>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907" w:type="dxa"/>
            <w:tcBorders>
              <w:top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08</w:t>
            </w:r>
          </w:p>
        </w:tc>
        <w:tc>
          <w:tcPr>
            <w:tcW w:w="2520" w:type="dxa"/>
            <w:tcBorders>
              <w:top w:val="nil"/>
              <w:bottom w:val="nil"/>
              <w:right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c>
          <w:tcPr>
            <w:tcW w:w="3306" w:type="dxa"/>
            <w:gridSpan w:val="3"/>
            <w:tcBorders>
              <w:top w:val="nil"/>
              <w:left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98" w:hRule="atLeast"/>
          <w:jc w:val="center"/>
        </w:trPr>
        <w:tc>
          <w:tcPr>
            <w:tcW w:w="1712" w:type="dxa"/>
            <w:tcBorders>
              <w:top w:val="nil"/>
              <w:bottom w:val="nil"/>
              <w:right w:val="single" w:color="auto" w:sz="4" w:space="0"/>
            </w:tcBorders>
            <w:noWrap/>
            <w:vAlign w:val="center"/>
          </w:tcPr>
          <w:p>
            <w:pPr>
              <w:adjustRightInd w:val="0"/>
              <w:snapToGrid w:val="0"/>
              <w:spacing w:line="240" w:lineRule="exact"/>
              <w:ind w:right="-11"/>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液化石油气</w:t>
            </w:r>
          </w:p>
        </w:tc>
        <w:tc>
          <w:tcPr>
            <w:tcW w:w="1372" w:type="dxa"/>
            <w:tcBorders>
              <w:top w:val="nil"/>
              <w:left w:val="single" w:color="auto" w:sz="4" w:space="0"/>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907" w:type="dxa"/>
            <w:tcBorders>
              <w:top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09</w:t>
            </w:r>
          </w:p>
        </w:tc>
        <w:tc>
          <w:tcPr>
            <w:tcW w:w="2520" w:type="dxa"/>
            <w:tcBorders>
              <w:top w:val="nil"/>
              <w:bottom w:val="nil"/>
              <w:right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c>
          <w:tcPr>
            <w:tcW w:w="3306" w:type="dxa"/>
            <w:gridSpan w:val="3"/>
            <w:tcBorders>
              <w:top w:val="nil"/>
              <w:left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98" w:hRule="atLeast"/>
          <w:jc w:val="center"/>
        </w:trPr>
        <w:tc>
          <w:tcPr>
            <w:tcW w:w="1712" w:type="dxa"/>
            <w:tcBorders>
              <w:top w:val="nil"/>
              <w:bottom w:val="nil"/>
              <w:right w:val="single" w:color="auto" w:sz="4" w:space="0"/>
            </w:tcBorders>
            <w:noWrap/>
            <w:vAlign w:val="center"/>
          </w:tcPr>
          <w:p>
            <w:pPr>
              <w:adjustRightInd w:val="0"/>
              <w:snapToGrid w:val="0"/>
              <w:spacing w:line="240" w:lineRule="exact"/>
              <w:ind w:right="-11"/>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其他石油制品</w:t>
            </w:r>
          </w:p>
        </w:tc>
        <w:tc>
          <w:tcPr>
            <w:tcW w:w="1372" w:type="dxa"/>
            <w:tcBorders>
              <w:top w:val="nil"/>
              <w:left w:val="single" w:color="auto" w:sz="4" w:space="0"/>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907" w:type="dxa"/>
            <w:tcBorders>
              <w:top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tc>
        <w:tc>
          <w:tcPr>
            <w:tcW w:w="2520" w:type="dxa"/>
            <w:tcBorders>
              <w:top w:val="nil"/>
              <w:bottom w:val="nil"/>
              <w:right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c>
          <w:tcPr>
            <w:tcW w:w="3306" w:type="dxa"/>
            <w:gridSpan w:val="3"/>
            <w:tcBorders>
              <w:top w:val="nil"/>
              <w:left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98" w:hRule="atLeast"/>
          <w:jc w:val="center"/>
        </w:trPr>
        <w:tc>
          <w:tcPr>
            <w:tcW w:w="1712" w:type="dxa"/>
            <w:tcBorders>
              <w:top w:val="nil"/>
              <w:bottom w:val="nil"/>
              <w:right w:val="single" w:color="auto" w:sz="4" w:space="0"/>
            </w:tcBorders>
            <w:noWrap/>
            <w:vAlign w:val="center"/>
          </w:tcPr>
          <w:p>
            <w:pPr>
              <w:adjustRightInd w:val="0"/>
              <w:snapToGrid w:val="0"/>
              <w:spacing w:line="240" w:lineRule="exact"/>
              <w:ind w:right="-11"/>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其他能源</w:t>
            </w:r>
          </w:p>
        </w:tc>
        <w:tc>
          <w:tcPr>
            <w:tcW w:w="1372" w:type="dxa"/>
            <w:tcBorders>
              <w:top w:val="nil"/>
              <w:left w:val="single" w:color="auto" w:sz="4" w:space="0"/>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907" w:type="dxa"/>
            <w:tcBorders>
              <w:top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w:t>
            </w:r>
          </w:p>
        </w:tc>
        <w:tc>
          <w:tcPr>
            <w:tcW w:w="2520" w:type="dxa"/>
            <w:tcBorders>
              <w:top w:val="nil"/>
              <w:bottom w:val="nil"/>
              <w:right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c>
          <w:tcPr>
            <w:tcW w:w="3306" w:type="dxa"/>
            <w:gridSpan w:val="3"/>
            <w:tcBorders>
              <w:top w:val="nil"/>
              <w:left w:val="nil"/>
              <w:bottom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98" w:hRule="atLeast"/>
          <w:jc w:val="center"/>
        </w:trPr>
        <w:tc>
          <w:tcPr>
            <w:tcW w:w="1712" w:type="dxa"/>
            <w:tcBorders>
              <w:top w:val="nil"/>
              <w:bottom w:val="single" w:color="auto" w:sz="8" w:space="0"/>
              <w:right w:val="single" w:color="auto" w:sz="4" w:space="0"/>
            </w:tcBorders>
            <w:noWrap/>
            <w:vAlign w:val="center"/>
          </w:tcPr>
          <w:p>
            <w:pPr>
              <w:adjustRightInd w:val="0"/>
              <w:snapToGrid w:val="0"/>
              <w:spacing w:line="240" w:lineRule="exact"/>
              <w:ind w:right="-11"/>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润滑油</w:t>
            </w:r>
          </w:p>
        </w:tc>
        <w:tc>
          <w:tcPr>
            <w:tcW w:w="1372" w:type="dxa"/>
            <w:tcBorders>
              <w:top w:val="nil"/>
              <w:left w:val="single" w:color="auto" w:sz="4" w:space="0"/>
              <w:bottom w:val="single" w:color="auto" w:sz="8" w:space="0"/>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907" w:type="dxa"/>
            <w:tcBorders>
              <w:top w:val="nil"/>
              <w:bottom w:val="single" w:color="auto" w:sz="8" w:space="0"/>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w:t>
            </w:r>
          </w:p>
        </w:tc>
        <w:tc>
          <w:tcPr>
            <w:tcW w:w="2520" w:type="dxa"/>
            <w:tcBorders>
              <w:top w:val="nil"/>
              <w:bottom w:val="single" w:color="auto" w:sz="8" w:space="0"/>
              <w:right w:val="nil"/>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c>
          <w:tcPr>
            <w:tcW w:w="3306" w:type="dxa"/>
            <w:gridSpan w:val="3"/>
            <w:tcBorders>
              <w:top w:val="nil"/>
              <w:left w:val="nil"/>
              <w:bottom w:val="single" w:color="auto" w:sz="8" w:space="0"/>
            </w:tcBorders>
            <w:noWrap/>
          </w:tcPr>
          <w:p>
            <w:pPr>
              <w:adjustRightInd w:val="0"/>
              <w:snapToGrid w:val="0"/>
              <w:spacing w:line="240" w:lineRule="exact"/>
              <w:ind w:right="-11"/>
              <w:jc w:val="center"/>
              <w:rPr>
                <w:rFonts w:asciiTheme="minorEastAsia" w:hAnsiTheme="minorEastAsia" w:eastAsiaTheme="minorEastAsia" w:cstheme="minorEastAsia"/>
                <w:sz w:val="18"/>
                <w:szCs w:val="18"/>
              </w:rPr>
            </w:pPr>
          </w:p>
        </w:tc>
      </w:tr>
    </w:tbl>
    <w:p>
      <w:pPr>
        <w:spacing w:after="120" w:afterLines="50" w:line="240" w:lineRule="exact"/>
        <w:jc w:val="left"/>
        <w:rPr>
          <w:sz w:val="18"/>
        </w:rPr>
      </w:pPr>
      <w:r>
        <w:rPr>
          <w:rFonts w:hint="eastAsia"/>
          <w:sz w:val="18"/>
        </w:rPr>
        <w:t>单</w:t>
      </w:r>
      <w:r>
        <w:rPr>
          <w:rFonts w:hint="eastAsia" w:ascii="宋体" w:hAnsi="宋体" w:cs="宋体"/>
          <w:kern w:val="0"/>
          <w:sz w:val="18"/>
          <w:szCs w:val="18"/>
        </w:rPr>
        <w:t>位负责人：          统计负责人：          填表人：          联系电话：         报出日期：２０   年  月  日</w:t>
      </w:r>
    </w:p>
    <w:p>
      <w:pPr>
        <w:adjustRightInd w:val="0"/>
        <w:snapToGrid w:val="0"/>
        <w:spacing w:line="240" w:lineRule="exact"/>
        <w:rPr>
          <w:sz w:val="18"/>
        </w:rPr>
      </w:pPr>
      <w:r>
        <w:rPr>
          <w:rFonts w:hint="eastAsia"/>
          <w:b/>
          <w:sz w:val="18"/>
        </w:rPr>
        <w:t>说明</w:t>
      </w:r>
      <w:r>
        <w:rPr>
          <w:rFonts w:hint="eastAsia"/>
          <w:sz w:val="18"/>
        </w:rPr>
        <w:t>：</w:t>
      </w:r>
      <w:r>
        <w:rPr>
          <w:rFonts w:ascii="宋体" w:hAnsi="宋体"/>
          <w:sz w:val="18"/>
          <w:szCs w:val="18"/>
        </w:rPr>
        <w:t>1</w:t>
      </w:r>
      <w:r>
        <w:rPr>
          <w:rFonts w:hint="eastAsia" w:ascii="宋体" w:hAnsi="宋体"/>
          <w:sz w:val="18"/>
          <w:szCs w:val="18"/>
        </w:rPr>
        <w:t>.本表由运输能源进出（发到）广州的单位报送。</w:t>
      </w:r>
    </w:p>
    <w:p>
      <w:pPr>
        <w:adjustRightInd w:val="0"/>
        <w:snapToGrid w:val="0"/>
        <w:spacing w:line="240" w:lineRule="exact"/>
        <w:ind w:left="525" w:leftChars="250"/>
        <w:rPr>
          <w:rFonts w:ascii="宋体" w:hAnsi="宋体"/>
          <w:sz w:val="18"/>
          <w:szCs w:val="18"/>
        </w:rPr>
      </w:pPr>
      <w:r>
        <w:rPr>
          <w:rFonts w:ascii="宋体" w:hAnsi="宋体"/>
          <w:sz w:val="18"/>
          <w:szCs w:val="18"/>
        </w:rPr>
        <w:t>2</w:t>
      </w:r>
      <w:r>
        <w:rPr>
          <w:rFonts w:hint="eastAsia" w:ascii="宋体" w:hAnsi="宋体"/>
          <w:sz w:val="18"/>
          <w:szCs w:val="18"/>
        </w:rPr>
        <w:t>.统计范围是</w:t>
      </w:r>
      <w:r>
        <w:rPr>
          <w:rFonts w:hint="eastAsia" w:ascii="宋体" w:hAnsi="宋体"/>
          <w:spacing w:val="-6"/>
          <w:sz w:val="18"/>
        </w:rPr>
        <w:t>辖区内的铁路、公路、水运和管道企业能源运输活动</w:t>
      </w:r>
      <w:r>
        <w:rPr>
          <w:rFonts w:hint="eastAsia" w:ascii="宋体" w:hAnsi="宋体"/>
          <w:sz w:val="18"/>
          <w:szCs w:val="18"/>
        </w:rPr>
        <w:t>。</w:t>
      </w:r>
    </w:p>
    <w:p>
      <w:pPr>
        <w:adjustRightInd w:val="0"/>
        <w:snapToGrid w:val="0"/>
        <w:spacing w:line="240" w:lineRule="exact"/>
        <w:ind w:left="525" w:leftChars="250"/>
        <w:rPr>
          <w:rFonts w:ascii="宋体" w:hAnsi="宋体"/>
          <w:sz w:val="18"/>
          <w:szCs w:val="18"/>
        </w:rPr>
      </w:pPr>
      <w:r>
        <w:rPr>
          <w:rFonts w:ascii="宋体" w:hAnsi="宋体"/>
          <w:sz w:val="18"/>
          <w:szCs w:val="18"/>
        </w:rPr>
        <w:t>3</w:t>
      </w:r>
      <w:r>
        <w:rPr>
          <w:rFonts w:hint="eastAsia" w:ascii="宋体" w:hAnsi="宋体"/>
          <w:sz w:val="18"/>
          <w:szCs w:val="18"/>
        </w:rPr>
        <w:t>.报送时间为次年</w:t>
      </w:r>
      <w:r>
        <w:rPr>
          <w:rFonts w:ascii="宋体" w:hAnsi="宋体"/>
          <w:sz w:val="18"/>
          <w:szCs w:val="18"/>
        </w:rPr>
        <w:t>3</w:t>
      </w:r>
      <w:r>
        <w:rPr>
          <w:rFonts w:hint="eastAsia" w:ascii="宋体" w:hAnsi="宋体"/>
          <w:sz w:val="18"/>
          <w:szCs w:val="18"/>
        </w:rPr>
        <w:t>月15日前</w:t>
      </w:r>
      <w:r>
        <w:rPr>
          <w:rFonts w:hint="eastAsia"/>
          <w:sz w:val="18"/>
        </w:rPr>
        <w:t>，报送方式为电子邮件（</w:t>
      </w:r>
      <w:r>
        <w:rPr>
          <w:rFonts w:hint="eastAsia" w:asciiTheme="minorEastAsia" w:hAnsiTheme="minorEastAsia" w:eastAsiaTheme="minorEastAsia" w:cstheme="minorEastAsia"/>
          <w:sz w:val="18"/>
          <w:szCs w:val="18"/>
        </w:rPr>
        <w:t>gzstjjnyc@gz.gov.cn</w:t>
      </w:r>
      <w:r>
        <w:rPr>
          <w:rFonts w:hint="eastAsia"/>
          <w:sz w:val="18"/>
        </w:rPr>
        <w:t>）</w:t>
      </w:r>
      <w:r>
        <w:rPr>
          <w:rFonts w:hint="eastAsia" w:ascii="宋体" w:hAnsi="宋体"/>
          <w:sz w:val="18"/>
          <w:szCs w:val="18"/>
        </w:rPr>
        <w:t>。</w:t>
      </w:r>
    </w:p>
    <w:p>
      <w:pPr>
        <w:jc w:val="center"/>
        <w:rPr>
          <w:rFonts w:ascii="宋体" w:hAnsi="宋体"/>
          <w:sz w:val="18"/>
        </w:rPr>
      </w:pPr>
      <w:r>
        <w:rPr>
          <w:rFonts w:hint="eastAsia" w:ascii="宋体" w:hAnsi="宋体"/>
          <w:b/>
          <w:bCs/>
          <w:sz w:val="32"/>
        </w:rPr>
        <w:t>能源经销企业主要能源购进、销售与库存</w:t>
      </w:r>
    </w:p>
    <w:tbl>
      <w:tblPr>
        <w:tblStyle w:val="21"/>
        <w:tblW w:w="9999" w:type="dxa"/>
        <w:jc w:val="center"/>
        <w:tblLayout w:type="fixed"/>
        <w:tblCellMar>
          <w:top w:w="0" w:type="dxa"/>
          <w:left w:w="0" w:type="dxa"/>
          <w:bottom w:w="0" w:type="dxa"/>
          <w:right w:w="0" w:type="dxa"/>
        </w:tblCellMar>
      </w:tblPr>
      <w:tblGrid>
        <w:gridCol w:w="1125"/>
        <w:gridCol w:w="892"/>
        <w:gridCol w:w="600"/>
        <w:gridCol w:w="782"/>
        <w:gridCol w:w="532"/>
        <w:gridCol w:w="185"/>
        <w:gridCol w:w="521"/>
        <w:gridCol w:w="319"/>
        <w:gridCol w:w="735"/>
        <w:gridCol w:w="630"/>
        <w:gridCol w:w="646"/>
        <w:gridCol w:w="327"/>
        <w:gridCol w:w="8"/>
        <w:gridCol w:w="232"/>
        <w:gridCol w:w="668"/>
        <w:gridCol w:w="8"/>
        <w:gridCol w:w="211"/>
        <w:gridCol w:w="716"/>
        <w:gridCol w:w="862"/>
      </w:tblGrid>
      <w:tr>
        <w:tblPrEx>
          <w:tblCellMar>
            <w:top w:w="0" w:type="dxa"/>
            <w:left w:w="0" w:type="dxa"/>
            <w:bottom w:w="0" w:type="dxa"/>
            <w:right w:w="0" w:type="dxa"/>
          </w:tblCellMar>
        </w:tblPrEx>
        <w:trPr>
          <w:trHeight w:val="198" w:hRule="atLeast"/>
          <w:jc w:val="center"/>
        </w:trPr>
        <w:tc>
          <w:tcPr>
            <w:tcW w:w="3931" w:type="dxa"/>
            <w:gridSpan w:val="5"/>
            <w:noWrap/>
            <w:tcMar>
              <w:left w:w="0" w:type="dxa"/>
              <w:right w:w="0" w:type="dxa"/>
            </w:tcMar>
          </w:tcPr>
          <w:p>
            <w:pPr>
              <w:adjustRightInd w:val="0"/>
              <w:snapToGrid w:val="0"/>
              <w:spacing w:line="240" w:lineRule="exact"/>
              <w:jc w:val="center"/>
              <w:rPr>
                <w:sz w:val="32"/>
                <w:szCs w:val="32"/>
              </w:rPr>
            </w:pPr>
          </w:p>
        </w:tc>
        <w:tc>
          <w:tcPr>
            <w:tcW w:w="706" w:type="dxa"/>
            <w:gridSpan w:val="2"/>
            <w:noWrap/>
          </w:tcPr>
          <w:p>
            <w:pPr>
              <w:adjustRightInd w:val="0"/>
              <w:snapToGrid w:val="0"/>
              <w:spacing w:line="240" w:lineRule="exact"/>
              <w:jc w:val="center"/>
              <w:rPr>
                <w:sz w:val="32"/>
                <w:szCs w:val="32"/>
              </w:rPr>
            </w:pPr>
          </w:p>
        </w:tc>
        <w:tc>
          <w:tcPr>
            <w:tcW w:w="2657" w:type="dxa"/>
            <w:gridSpan w:val="5"/>
            <w:noWrap/>
          </w:tcPr>
          <w:p>
            <w:pPr>
              <w:adjustRightInd w:val="0"/>
              <w:snapToGrid w:val="0"/>
              <w:spacing w:line="240" w:lineRule="exact"/>
              <w:jc w:val="center"/>
              <w:rPr>
                <w:sz w:val="32"/>
                <w:szCs w:val="32"/>
              </w:rPr>
            </w:pPr>
          </w:p>
        </w:tc>
        <w:tc>
          <w:tcPr>
            <w:tcW w:w="908" w:type="dxa"/>
            <w:gridSpan w:val="3"/>
            <w:noWrap/>
          </w:tcPr>
          <w:p>
            <w:pPr>
              <w:adjustRightInd w:val="0"/>
              <w:snapToGrid w:val="0"/>
              <w:spacing w:line="240" w:lineRule="exact"/>
              <w:jc w:val="distribute"/>
              <w:rPr>
                <w:rFonts w:ascii="宋体" w:hAnsi="宋体"/>
                <w:sz w:val="32"/>
                <w:szCs w:val="32"/>
              </w:rPr>
            </w:pPr>
            <w:r>
              <w:rPr>
                <w:rFonts w:ascii="宋体" w:hAnsi="宋体"/>
                <w:sz w:val="18"/>
                <w:szCs w:val="18"/>
              </w:rPr>
              <w:t>表    号：</w:t>
            </w:r>
          </w:p>
        </w:tc>
        <w:tc>
          <w:tcPr>
            <w:tcW w:w="1797" w:type="dxa"/>
            <w:gridSpan w:val="4"/>
            <w:noWrap/>
            <w:vAlign w:val="center"/>
          </w:tcPr>
          <w:p>
            <w:pPr>
              <w:adjustRightInd w:val="0"/>
              <w:snapToGrid w:val="0"/>
              <w:spacing w:line="240" w:lineRule="exact"/>
              <w:jc w:val="distribute"/>
              <w:rPr>
                <w:rFonts w:ascii="宋体" w:hAnsi="宋体"/>
                <w:sz w:val="32"/>
                <w:szCs w:val="32"/>
              </w:rPr>
            </w:pPr>
            <w:r>
              <w:rPr>
                <w:rFonts w:hint="eastAsia" w:ascii="宋体" w:hAnsi="宋体"/>
                <w:sz w:val="18"/>
                <w:szCs w:val="18"/>
              </w:rPr>
              <w:t>粤</w:t>
            </w:r>
            <w:r>
              <w:rPr>
                <w:rFonts w:ascii="宋体" w:hAnsi="宋体"/>
                <w:sz w:val="18"/>
                <w:szCs w:val="18"/>
              </w:rPr>
              <w:t>Ｐ</w:t>
            </w:r>
            <w:bookmarkStart w:id="2" w:name="OLE_LINK3"/>
            <w:bookmarkStart w:id="3" w:name="OLE_LINK2"/>
            <w:r>
              <w:rPr>
                <w:rFonts w:ascii="宋体" w:hAnsi="宋体"/>
                <w:sz w:val="18"/>
                <w:szCs w:val="18"/>
              </w:rPr>
              <w:t>３</w:t>
            </w:r>
            <w:bookmarkEnd w:id="2"/>
            <w:bookmarkEnd w:id="3"/>
            <w:r>
              <w:rPr>
                <w:rFonts w:ascii="宋体" w:hAnsi="宋体"/>
                <w:sz w:val="18"/>
                <w:szCs w:val="18"/>
              </w:rPr>
              <w:t>１３表</w:t>
            </w:r>
          </w:p>
        </w:tc>
      </w:tr>
      <w:tr>
        <w:tblPrEx>
          <w:tblCellMar>
            <w:top w:w="0" w:type="dxa"/>
            <w:left w:w="0" w:type="dxa"/>
            <w:bottom w:w="0" w:type="dxa"/>
            <w:right w:w="0" w:type="dxa"/>
          </w:tblCellMar>
        </w:tblPrEx>
        <w:trPr>
          <w:trHeight w:val="198" w:hRule="atLeast"/>
          <w:jc w:val="center"/>
        </w:trPr>
        <w:tc>
          <w:tcPr>
            <w:tcW w:w="3931" w:type="dxa"/>
            <w:gridSpan w:val="5"/>
            <w:noWrap/>
            <w:tcMar>
              <w:left w:w="0" w:type="dxa"/>
              <w:right w:w="0" w:type="dxa"/>
            </w:tcMar>
            <w:vAlign w:val="bottom"/>
          </w:tcPr>
          <w:p>
            <w:pPr>
              <w:adjustRightInd w:val="0"/>
              <w:snapToGrid w:val="0"/>
              <w:spacing w:line="240" w:lineRule="exact"/>
              <w:rPr>
                <w:sz w:val="32"/>
                <w:szCs w:val="32"/>
              </w:rPr>
            </w:pPr>
          </w:p>
        </w:tc>
        <w:tc>
          <w:tcPr>
            <w:tcW w:w="706" w:type="dxa"/>
            <w:gridSpan w:val="2"/>
            <w:noWrap/>
          </w:tcPr>
          <w:p>
            <w:pPr>
              <w:adjustRightInd w:val="0"/>
              <w:snapToGrid w:val="0"/>
              <w:spacing w:line="240" w:lineRule="exact"/>
              <w:jc w:val="center"/>
              <w:rPr>
                <w:sz w:val="32"/>
                <w:szCs w:val="32"/>
              </w:rPr>
            </w:pPr>
          </w:p>
        </w:tc>
        <w:tc>
          <w:tcPr>
            <w:tcW w:w="2657" w:type="dxa"/>
            <w:gridSpan w:val="5"/>
            <w:noWrap/>
          </w:tcPr>
          <w:p>
            <w:pPr>
              <w:adjustRightInd w:val="0"/>
              <w:snapToGrid w:val="0"/>
              <w:spacing w:line="240" w:lineRule="exact"/>
              <w:jc w:val="center"/>
              <w:rPr>
                <w:sz w:val="32"/>
                <w:szCs w:val="32"/>
              </w:rPr>
            </w:pPr>
          </w:p>
        </w:tc>
        <w:tc>
          <w:tcPr>
            <w:tcW w:w="908" w:type="dxa"/>
            <w:gridSpan w:val="3"/>
            <w:noWrap/>
            <w:vAlign w:val="center"/>
          </w:tcPr>
          <w:p>
            <w:pPr>
              <w:adjustRightInd w:val="0"/>
              <w:snapToGrid w:val="0"/>
              <w:spacing w:line="240" w:lineRule="exact"/>
              <w:jc w:val="distribute"/>
              <w:rPr>
                <w:rFonts w:ascii="宋体" w:hAnsi="宋体"/>
                <w:sz w:val="32"/>
                <w:szCs w:val="32"/>
              </w:rPr>
            </w:pPr>
            <w:r>
              <w:rPr>
                <w:rFonts w:ascii="宋体" w:hAnsi="宋体"/>
                <w:sz w:val="18"/>
                <w:szCs w:val="18"/>
              </w:rPr>
              <w:t>制定机关：</w:t>
            </w:r>
          </w:p>
        </w:tc>
        <w:tc>
          <w:tcPr>
            <w:tcW w:w="1797" w:type="dxa"/>
            <w:gridSpan w:val="4"/>
            <w:noWrap/>
            <w:vAlign w:val="center"/>
          </w:tcPr>
          <w:p>
            <w:pPr>
              <w:adjustRightInd w:val="0"/>
              <w:snapToGrid w:val="0"/>
              <w:spacing w:line="240" w:lineRule="exact"/>
              <w:jc w:val="distribute"/>
              <w:rPr>
                <w:rFonts w:ascii="宋体" w:hAnsi="宋体"/>
                <w:sz w:val="18"/>
                <w:szCs w:val="18"/>
              </w:rPr>
            </w:pPr>
            <w:r>
              <w:rPr>
                <w:rFonts w:hint="eastAsia" w:ascii="宋体" w:hAnsi="宋体"/>
                <w:sz w:val="18"/>
                <w:szCs w:val="18"/>
              </w:rPr>
              <w:t>广东省统计局</w:t>
            </w:r>
          </w:p>
        </w:tc>
      </w:tr>
      <w:tr>
        <w:tblPrEx>
          <w:tblCellMar>
            <w:top w:w="0" w:type="dxa"/>
            <w:left w:w="0" w:type="dxa"/>
            <w:bottom w:w="0" w:type="dxa"/>
            <w:right w:w="0" w:type="dxa"/>
          </w:tblCellMar>
        </w:tblPrEx>
        <w:trPr>
          <w:trHeight w:val="198" w:hRule="atLeast"/>
          <w:jc w:val="center"/>
        </w:trPr>
        <w:tc>
          <w:tcPr>
            <w:tcW w:w="3931" w:type="dxa"/>
            <w:gridSpan w:val="5"/>
            <w:tcBorders>
              <w:bottom w:val="nil"/>
            </w:tcBorders>
            <w:noWrap/>
            <w:tcMar>
              <w:left w:w="0" w:type="dxa"/>
              <w:right w:w="0" w:type="dxa"/>
            </w:tcMar>
          </w:tcPr>
          <w:p>
            <w:pPr>
              <w:adjustRightInd w:val="0"/>
              <w:snapToGrid w:val="0"/>
              <w:spacing w:line="240" w:lineRule="exact"/>
              <w:jc w:val="left"/>
              <w:rPr>
                <w:sz w:val="32"/>
                <w:szCs w:val="32"/>
              </w:rPr>
            </w:pPr>
          </w:p>
        </w:tc>
        <w:tc>
          <w:tcPr>
            <w:tcW w:w="706" w:type="dxa"/>
            <w:gridSpan w:val="2"/>
            <w:tcBorders>
              <w:bottom w:val="nil"/>
            </w:tcBorders>
            <w:noWrap/>
          </w:tcPr>
          <w:p>
            <w:pPr>
              <w:adjustRightInd w:val="0"/>
              <w:snapToGrid w:val="0"/>
              <w:spacing w:line="240" w:lineRule="exact"/>
              <w:jc w:val="center"/>
              <w:rPr>
                <w:sz w:val="32"/>
                <w:szCs w:val="32"/>
              </w:rPr>
            </w:pPr>
          </w:p>
        </w:tc>
        <w:tc>
          <w:tcPr>
            <w:tcW w:w="2657" w:type="dxa"/>
            <w:gridSpan w:val="5"/>
            <w:tcBorders>
              <w:bottom w:val="nil"/>
            </w:tcBorders>
            <w:noWrap/>
          </w:tcPr>
          <w:p>
            <w:pPr>
              <w:adjustRightInd w:val="0"/>
              <w:snapToGrid w:val="0"/>
              <w:spacing w:line="240" w:lineRule="exact"/>
              <w:jc w:val="center"/>
              <w:rPr>
                <w:sz w:val="32"/>
                <w:szCs w:val="32"/>
              </w:rPr>
            </w:pPr>
          </w:p>
        </w:tc>
        <w:tc>
          <w:tcPr>
            <w:tcW w:w="908" w:type="dxa"/>
            <w:gridSpan w:val="3"/>
            <w:tcBorders>
              <w:bottom w:val="nil"/>
            </w:tcBorders>
            <w:noWrap/>
            <w:vAlign w:val="center"/>
          </w:tcPr>
          <w:p>
            <w:pPr>
              <w:adjustRightInd w:val="0"/>
              <w:snapToGrid w:val="0"/>
              <w:spacing w:line="240" w:lineRule="exact"/>
              <w:jc w:val="distribute"/>
              <w:rPr>
                <w:rFonts w:ascii="宋体" w:hAnsi="宋体"/>
                <w:sz w:val="32"/>
                <w:szCs w:val="32"/>
              </w:rPr>
            </w:pPr>
            <w:r>
              <w:rPr>
                <w:rFonts w:hint="eastAsia" w:ascii="宋体" w:hAnsi="宋体"/>
                <w:sz w:val="18"/>
                <w:szCs w:val="18"/>
              </w:rPr>
              <w:t>批准机关：</w:t>
            </w:r>
          </w:p>
        </w:tc>
        <w:tc>
          <w:tcPr>
            <w:tcW w:w="1797" w:type="dxa"/>
            <w:gridSpan w:val="4"/>
            <w:tcBorders>
              <w:bottom w:val="nil"/>
            </w:tcBorders>
            <w:noWrap/>
            <w:vAlign w:val="center"/>
          </w:tcPr>
          <w:p>
            <w:pPr>
              <w:adjustRightInd w:val="0"/>
              <w:snapToGrid w:val="0"/>
              <w:spacing w:line="240" w:lineRule="exact"/>
              <w:jc w:val="distribute"/>
              <w:rPr>
                <w:rFonts w:ascii="宋体" w:hAnsi="宋体"/>
                <w:sz w:val="32"/>
                <w:szCs w:val="32"/>
              </w:rPr>
            </w:pPr>
            <w:r>
              <w:rPr>
                <w:rFonts w:ascii="宋体" w:hAnsi="宋体"/>
                <w:sz w:val="18"/>
                <w:szCs w:val="18"/>
              </w:rPr>
              <w:t>国家统计局</w:t>
            </w:r>
          </w:p>
        </w:tc>
      </w:tr>
      <w:tr>
        <w:tblPrEx>
          <w:tblCellMar>
            <w:top w:w="0" w:type="dxa"/>
            <w:left w:w="0" w:type="dxa"/>
            <w:bottom w:w="0" w:type="dxa"/>
            <w:right w:w="0" w:type="dxa"/>
          </w:tblCellMar>
        </w:tblPrEx>
        <w:trPr>
          <w:trHeight w:val="198" w:hRule="atLeast"/>
          <w:jc w:val="center"/>
        </w:trPr>
        <w:tc>
          <w:tcPr>
            <w:tcW w:w="3931" w:type="dxa"/>
            <w:gridSpan w:val="5"/>
            <w:noWrap/>
            <w:tcMar>
              <w:left w:w="0" w:type="dxa"/>
              <w:right w:w="0" w:type="dxa"/>
            </w:tcMar>
          </w:tcPr>
          <w:p>
            <w:pPr>
              <w:adjustRightInd w:val="0"/>
              <w:snapToGrid w:val="0"/>
              <w:spacing w:line="240" w:lineRule="exact"/>
              <w:jc w:val="left"/>
              <w:rPr>
                <w:sz w:val="32"/>
                <w:szCs w:val="32"/>
              </w:rPr>
            </w:pPr>
          </w:p>
        </w:tc>
        <w:tc>
          <w:tcPr>
            <w:tcW w:w="706" w:type="dxa"/>
            <w:gridSpan w:val="2"/>
            <w:noWrap/>
          </w:tcPr>
          <w:p>
            <w:pPr>
              <w:adjustRightInd w:val="0"/>
              <w:snapToGrid w:val="0"/>
              <w:spacing w:line="240" w:lineRule="exact"/>
              <w:jc w:val="center"/>
              <w:rPr>
                <w:sz w:val="32"/>
                <w:szCs w:val="32"/>
              </w:rPr>
            </w:pPr>
          </w:p>
        </w:tc>
        <w:tc>
          <w:tcPr>
            <w:tcW w:w="2657" w:type="dxa"/>
            <w:gridSpan w:val="5"/>
            <w:noWrap/>
          </w:tcPr>
          <w:p>
            <w:pPr>
              <w:adjustRightInd w:val="0"/>
              <w:snapToGrid w:val="0"/>
              <w:spacing w:line="240" w:lineRule="exact"/>
              <w:jc w:val="center"/>
              <w:rPr>
                <w:sz w:val="32"/>
                <w:szCs w:val="32"/>
              </w:rPr>
            </w:pPr>
          </w:p>
        </w:tc>
        <w:tc>
          <w:tcPr>
            <w:tcW w:w="908" w:type="dxa"/>
            <w:gridSpan w:val="3"/>
            <w:noWrap/>
            <w:vAlign w:val="center"/>
          </w:tcPr>
          <w:p>
            <w:pPr>
              <w:adjustRightInd w:val="0"/>
              <w:snapToGrid w:val="0"/>
              <w:spacing w:line="240" w:lineRule="exact"/>
              <w:jc w:val="distribute"/>
              <w:rPr>
                <w:rFonts w:ascii="宋体" w:hAnsi="宋体"/>
                <w:sz w:val="18"/>
                <w:szCs w:val="18"/>
              </w:rPr>
            </w:pPr>
            <w:r>
              <w:rPr>
                <w:rFonts w:hint="eastAsia" w:ascii="宋体" w:hAnsi="宋体"/>
                <w:sz w:val="18"/>
                <w:szCs w:val="18"/>
              </w:rPr>
              <w:t>批准文号：</w:t>
            </w:r>
          </w:p>
        </w:tc>
        <w:tc>
          <w:tcPr>
            <w:tcW w:w="1797" w:type="dxa"/>
            <w:gridSpan w:val="4"/>
            <w:noWrap/>
            <w:vAlign w:val="center"/>
          </w:tcPr>
          <w:p>
            <w:pPr>
              <w:widowControl/>
              <w:jc w:val="distribute"/>
              <w:rPr>
                <w:rFonts w:ascii="宋体" w:hAnsi="宋体"/>
                <w:color w:val="auto"/>
                <w:spacing w:val="-10"/>
                <w:sz w:val="18"/>
                <w:szCs w:val="18"/>
                <w:highlight w:val="none"/>
              </w:rPr>
            </w:pPr>
            <w:r>
              <w:rPr>
                <w:rFonts w:hint="eastAsia" w:ascii="宋体" w:hAnsi="宋体"/>
                <w:color w:val="auto"/>
                <w:spacing w:val="-10"/>
                <w:sz w:val="18"/>
                <w:szCs w:val="18"/>
                <w:highlight w:val="none"/>
              </w:rPr>
              <w:t>国统制</w:t>
            </w:r>
            <w:r>
              <w:rPr>
                <w:rFonts w:hint="eastAsia" w:ascii="宋体" w:hAnsi="宋体"/>
                <w:color w:val="auto"/>
                <w:sz w:val="18"/>
                <w:szCs w:val="18"/>
              </w:rPr>
              <w:t>〔</w:t>
            </w:r>
            <w:r>
              <w:rPr>
                <w:rFonts w:hint="eastAsia" w:ascii="宋体" w:hAnsi="宋体"/>
                <w:color w:val="auto"/>
                <w:spacing w:val="-10"/>
                <w:sz w:val="18"/>
                <w:szCs w:val="18"/>
                <w:highlight w:val="none"/>
              </w:rPr>
              <w:t>2026</w:t>
            </w:r>
            <w:r>
              <w:rPr>
                <w:rFonts w:hint="eastAsia" w:ascii="宋体" w:hAnsi="宋体"/>
                <w:color w:val="auto"/>
                <w:sz w:val="18"/>
                <w:szCs w:val="18"/>
              </w:rPr>
              <w:t>〕</w:t>
            </w:r>
            <w:r>
              <w:rPr>
                <w:rFonts w:hint="eastAsia" w:ascii="宋体" w:hAnsi="宋体"/>
                <w:color w:val="auto"/>
                <w:spacing w:val="-10"/>
                <w:sz w:val="18"/>
                <w:szCs w:val="18"/>
                <w:highlight w:val="none"/>
              </w:rPr>
              <w:t>48号</w:t>
            </w:r>
          </w:p>
        </w:tc>
      </w:tr>
      <w:tr>
        <w:tblPrEx>
          <w:tblCellMar>
            <w:top w:w="0" w:type="dxa"/>
            <w:left w:w="0" w:type="dxa"/>
            <w:bottom w:w="0" w:type="dxa"/>
            <w:right w:w="0" w:type="dxa"/>
          </w:tblCellMar>
        </w:tblPrEx>
        <w:trPr>
          <w:trHeight w:val="198" w:hRule="atLeast"/>
          <w:jc w:val="center"/>
        </w:trPr>
        <w:tc>
          <w:tcPr>
            <w:tcW w:w="7302" w:type="dxa"/>
            <w:gridSpan w:val="13"/>
            <w:noWrap/>
            <w:tcMar>
              <w:left w:w="0" w:type="dxa"/>
              <w:right w:w="0" w:type="dxa"/>
            </w:tcMar>
          </w:tcPr>
          <w:p>
            <w:pPr>
              <w:adjustRightInd w:val="0"/>
              <w:snapToGrid w:val="0"/>
              <w:spacing w:line="240" w:lineRule="exact"/>
              <w:jc w:val="left"/>
              <w:rPr>
                <w:sz w:val="32"/>
                <w:szCs w:val="32"/>
              </w:rPr>
            </w:pPr>
            <w:r>
              <w:rPr>
                <w:rFonts w:hint="eastAsia"/>
                <w:kern w:val="0"/>
                <w:sz w:val="18"/>
                <w:szCs w:val="18"/>
              </w:rPr>
              <w:t xml:space="preserve">综合机关名称：                                           </w:t>
            </w:r>
            <w:r>
              <w:rPr>
                <w:sz w:val="18"/>
                <w:szCs w:val="18"/>
              </w:rPr>
              <w:t>２０　　年</w:t>
            </w:r>
          </w:p>
        </w:tc>
        <w:tc>
          <w:tcPr>
            <w:tcW w:w="908" w:type="dxa"/>
            <w:gridSpan w:val="3"/>
            <w:noWrap/>
            <w:vAlign w:val="center"/>
          </w:tcPr>
          <w:p>
            <w:pPr>
              <w:adjustRightInd w:val="0"/>
              <w:snapToGrid w:val="0"/>
              <w:spacing w:line="240" w:lineRule="exact"/>
              <w:jc w:val="distribute"/>
              <w:rPr>
                <w:rFonts w:ascii="宋体" w:hAnsi="宋体"/>
                <w:color w:val="auto"/>
                <w:sz w:val="18"/>
                <w:szCs w:val="18"/>
              </w:rPr>
            </w:pPr>
            <w:r>
              <w:rPr>
                <w:rFonts w:ascii="宋体" w:hAnsi="宋体"/>
                <w:color w:val="auto"/>
                <w:sz w:val="18"/>
                <w:szCs w:val="18"/>
              </w:rPr>
              <w:t>有效期至：</w:t>
            </w:r>
          </w:p>
        </w:tc>
        <w:tc>
          <w:tcPr>
            <w:tcW w:w="1789" w:type="dxa"/>
            <w:gridSpan w:val="3"/>
            <w:noWrap/>
            <w:vAlign w:val="center"/>
          </w:tcPr>
          <w:p>
            <w:pPr>
              <w:adjustRightInd w:val="0"/>
              <w:snapToGrid w:val="0"/>
              <w:spacing w:line="240" w:lineRule="exact"/>
              <w:jc w:val="distribute"/>
              <w:rPr>
                <w:rFonts w:ascii="宋体" w:hAnsi="宋体"/>
                <w:color w:val="auto"/>
                <w:sz w:val="18"/>
                <w:szCs w:val="18"/>
              </w:rPr>
            </w:pPr>
            <w:r>
              <w:rPr>
                <w:rFonts w:ascii="宋体" w:hAnsi="宋体"/>
                <w:color w:val="auto"/>
                <w:sz w:val="18"/>
                <w:szCs w:val="18"/>
              </w:rPr>
              <w:t>２０</w:t>
            </w:r>
            <w:r>
              <w:rPr>
                <w:rFonts w:hint="eastAsia" w:ascii="宋体" w:hAnsi="宋体"/>
                <w:color w:val="auto"/>
                <w:sz w:val="18"/>
                <w:szCs w:val="18"/>
              </w:rPr>
              <w:t>２</w:t>
            </w:r>
            <w:r>
              <w:rPr>
                <w:rFonts w:hint="eastAsia" w:ascii="宋体" w:hAnsi="宋体"/>
                <w:color w:val="auto"/>
                <w:sz w:val="18"/>
                <w:lang w:val="en-US" w:eastAsia="zh-CN"/>
              </w:rPr>
              <w:t>6</w:t>
            </w:r>
            <w:r>
              <w:rPr>
                <w:rFonts w:ascii="宋体" w:hAnsi="宋体"/>
                <w:color w:val="auto"/>
                <w:sz w:val="18"/>
                <w:szCs w:val="18"/>
              </w:rPr>
              <w:t>年６月</w:t>
            </w:r>
          </w:p>
        </w:tc>
      </w:tr>
      <w:tr>
        <w:tblPrEx>
          <w:tblBorders>
            <w:top w:val="single" w:color="auto" w:sz="8" w:space="0"/>
            <w:left w:val="none" w:color="auto" w:sz="0" w:space="0"/>
            <w:bottom w:val="single" w:color="auto" w:sz="8" w:space="0"/>
            <w:right w:val="none" w:color="auto" w:sz="0" w:space="0"/>
            <w:insideH w:val="dotted" w:color="auto" w:sz="4" w:space="0"/>
            <w:insideV w:val="single" w:color="auto" w:sz="8" w:space="0"/>
          </w:tblBorders>
          <w:tblCellMar>
            <w:top w:w="0" w:type="dxa"/>
            <w:left w:w="0" w:type="dxa"/>
            <w:bottom w:w="0" w:type="dxa"/>
            <w:right w:w="0" w:type="dxa"/>
          </w:tblCellMar>
        </w:tblPrEx>
        <w:trPr>
          <w:cantSplit/>
          <w:trHeight w:val="198" w:hRule="atLeast"/>
          <w:jc w:val="center"/>
        </w:trPr>
        <w:tc>
          <w:tcPr>
            <w:tcW w:w="1125" w:type="dxa"/>
            <w:vMerge w:val="restart"/>
            <w:tcBorders>
              <w:top w:val="single" w:color="auto" w:sz="8" w:space="0"/>
              <w:bottom w:val="single" w:color="auto" w:sz="8"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能 源 名 称</w:t>
            </w:r>
          </w:p>
        </w:tc>
        <w:tc>
          <w:tcPr>
            <w:tcW w:w="892" w:type="dxa"/>
            <w:vMerge w:val="restart"/>
            <w:tcBorders>
              <w:top w:val="single" w:color="auto" w:sz="8" w:space="0"/>
              <w:left w:val="single" w:color="auto" w:sz="4" w:space="0"/>
              <w:bottom w:val="single" w:color="auto" w:sz="8"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计量单位</w:t>
            </w:r>
          </w:p>
        </w:tc>
        <w:tc>
          <w:tcPr>
            <w:tcW w:w="600" w:type="dxa"/>
            <w:vMerge w:val="restart"/>
            <w:tcBorders>
              <w:top w:val="single" w:color="auto" w:sz="8" w:space="0"/>
              <w:left w:val="single" w:color="auto" w:sz="4" w:space="0"/>
              <w:bottom w:val="single" w:color="auto" w:sz="8"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代码</w:t>
            </w:r>
          </w:p>
        </w:tc>
        <w:tc>
          <w:tcPr>
            <w:tcW w:w="782" w:type="dxa"/>
            <w:vMerge w:val="restart"/>
            <w:tcBorders>
              <w:top w:val="single" w:color="auto" w:sz="8" w:space="0"/>
              <w:left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年初</w:t>
            </w:r>
          </w:p>
          <w:p>
            <w:pPr>
              <w:adjustRightInd w:val="0"/>
              <w:snapToGrid w:val="0"/>
              <w:spacing w:line="240" w:lineRule="exact"/>
              <w:jc w:val="center"/>
              <w:rPr>
                <w:rFonts w:ascii="宋体" w:hAnsi="宋体"/>
                <w:sz w:val="18"/>
                <w:szCs w:val="18"/>
              </w:rPr>
            </w:pPr>
            <w:r>
              <w:rPr>
                <w:rFonts w:hint="eastAsia" w:ascii="宋体" w:hAnsi="宋体"/>
                <w:sz w:val="18"/>
                <w:szCs w:val="18"/>
              </w:rPr>
              <w:t>库存</w:t>
            </w:r>
          </w:p>
        </w:tc>
        <w:tc>
          <w:tcPr>
            <w:tcW w:w="2292" w:type="dxa"/>
            <w:gridSpan w:val="5"/>
            <w:tcBorders>
              <w:top w:val="single" w:color="auto" w:sz="8"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购进量</w:t>
            </w:r>
          </w:p>
        </w:tc>
        <w:tc>
          <w:tcPr>
            <w:tcW w:w="1843" w:type="dxa"/>
            <w:gridSpan w:val="5"/>
            <w:tcBorders>
              <w:top w:val="single" w:color="auto" w:sz="8"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销售量</w:t>
            </w:r>
          </w:p>
        </w:tc>
        <w:tc>
          <w:tcPr>
            <w:tcW w:w="887" w:type="dxa"/>
            <w:gridSpan w:val="3"/>
            <w:vMerge w:val="restart"/>
            <w:tcBorders>
              <w:top w:val="single" w:color="auto" w:sz="8" w:space="0"/>
              <w:left w:val="single" w:color="auto" w:sz="4" w:space="0"/>
              <w:bottom w:val="single" w:color="auto" w:sz="8"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年末</w:t>
            </w:r>
          </w:p>
          <w:p>
            <w:pPr>
              <w:adjustRightInd w:val="0"/>
              <w:snapToGrid w:val="0"/>
              <w:spacing w:line="240" w:lineRule="exact"/>
              <w:jc w:val="center"/>
              <w:rPr>
                <w:rFonts w:ascii="宋体" w:hAnsi="宋体"/>
                <w:sz w:val="18"/>
                <w:szCs w:val="18"/>
              </w:rPr>
            </w:pPr>
            <w:r>
              <w:rPr>
                <w:rFonts w:hint="eastAsia" w:ascii="宋体" w:hAnsi="宋体"/>
                <w:sz w:val="18"/>
                <w:szCs w:val="18"/>
              </w:rPr>
              <w:t>库存</w:t>
            </w:r>
          </w:p>
        </w:tc>
        <w:tc>
          <w:tcPr>
            <w:tcW w:w="716" w:type="dxa"/>
            <w:vMerge w:val="restart"/>
            <w:tcBorders>
              <w:top w:val="single" w:color="auto" w:sz="8" w:space="0"/>
              <w:left w:val="single" w:color="auto" w:sz="4" w:space="0"/>
              <w:bottom w:val="single" w:color="auto" w:sz="8"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损失量</w:t>
            </w:r>
          </w:p>
        </w:tc>
        <w:tc>
          <w:tcPr>
            <w:tcW w:w="862" w:type="dxa"/>
            <w:vMerge w:val="restart"/>
            <w:tcBorders>
              <w:top w:val="single" w:color="auto" w:sz="8" w:space="0"/>
              <w:left w:val="single" w:color="auto" w:sz="4" w:space="0"/>
              <w:bottom w:val="single" w:color="auto" w:sz="8" w:space="0"/>
            </w:tcBorders>
            <w:noWrap/>
            <w:vAlign w:val="center"/>
          </w:tcPr>
          <w:p>
            <w:pPr>
              <w:adjustRightInd w:val="0"/>
              <w:snapToGrid w:val="0"/>
              <w:spacing w:line="240" w:lineRule="exact"/>
              <w:ind w:firstLine="180" w:firstLineChars="100"/>
              <w:jc w:val="center"/>
              <w:rPr>
                <w:rFonts w:ascii="宋体" w:hAnsi="宋体"/>
                <w:sz w:val="18"/>
                <w:szCs w:val="18"/>
              </w:rPr>
            </w:pPr>
            <w:r>
              <w:rPr>
                <w:rFonts w:hint="eastAsia" w:ascii="宋体" w:hAnsi="宋体"/>
                <w:sz w:val="18"/>
                <w:szCs w:val="18"/>
              </w:rPr>
              <w:t>其中：</w:t>
            </w:r>
          </w:p>
          <w:p>
            <w:pPr>
              <w:adjustRightInd w:val="0"/>
              <w:snapToGrid w:val="0"/>
              <w:spacing w:line="240" w:lineRule="exact"/>
              <w:ind w:firstLine="90" w:firstLineChars="50"/>
              <w:jc w:val="center"/>
              <w:rPr>
                <w:rFonts w:ascii="宋体" w:hAnsi="宋体"/>
                <w:sz w:val="18"/>
                <w:szCs w:val="18"/>
              </w:rPr>
            </w:pPr>
            <w:r>
              <w:rPr>
                <w:rFonts w:hint="eastAsia" w:ascii="宋体" w:hAnsi="宋体"/>
                <w:sz w:val="18"/>
                <w:szCs w:val="18"/>
              </w:rPr>
              <w:t>运输</w:t>
            </w:r>
          </w:p>
          <w:p>
            <w:pPr>
              <w:adjustRightInd w:val="0"/>
              <w:snapToGrid w:val="0"/>
              <w:spacing w:line="240" w:lineRule="exact"/>
              <w:ind w:firstLine="90" w:firstLineChars="50"/>
              <w:jc w:val="center"/>
              <w:rPr>
                <w:rFonts w:ascii="宋体" w:hAnsi="宋体"/>
                <w:sz w:val="18"/>
                <w:szCs w:val="18"/>
              </w:rPr>
            </w:pPr>
            <w:r>
              <w:rPr>
                <w:rFonts w:hint="eastAsia" w:ascii="宋体" w:hAnsi="宋体"/>
                <w:sz w:val="18"/>
                <w:szCs w:val="18"/>
              </w:rPr>
              <w:t>损失</w:t>
            </w:r>
          </w:p>
        </w:tc>
      </w:tr>
      <w:tr>
        <w:tblPrEx>
          <w:tblBorders>
            <w:top w:val="single" w:color="auto" w:sz="8" w:space="0"/>
            <w:left w:val="none" w:color="auto" w:sz="0" w:space="0"/>
            <w:bottom w:val="single" w:color="auto" w:sz="8" w:space="0"/>
            <w:right w:val="none" w:color="auto" w:sz="0" w:space="0"/>
            <w:insideH w:val="dotted" w:color="auto" w:sz="4" w:space="0"/>
            <w:insideV w:val="single" w:color="auto" w:sz="8" w:space="0"/>
          </w:tblBorders>
          <w:tblCellMar>
            <w:top w:w="0" w:type="dxa"/>
            <w:left w:w="0" w:type="dxa"/>
            <w:bottom w:w="0" w:type="dxa"/>
            <w:right w:w="0" w:type="dxa"/>
          </w:tblCellMar>
        </w:tblPrEx>
        <w:trPr>
          <w:cantSplit/>
          <w:trHeight w:val="198" w:hRule="atLeast"/>
          <w:jc w:val="center"/>
        </w:trPr>
        <w:tc>
          <w:tcPr>
            <w:tcW w:w="1125" w:type="dxa"/>
            <w:vMerge w:val="continue"/>
            <w:tcBorders>
              <w:top w:val="single" w:color="auto" w:sz="8"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p>
        </w:tc>
        <w:tc>
          <w:tcPr>
            <w:tcW w:w="892" w:type="dxa"/>
            <w:vMerge w:val="continue"/>
            <w:tcBorders>
              <w:top w:val="single" w:color="auto" w:sz="8"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p>
        </w:tc>
        <w:tc>
          <w:tcPr>
            <w:tcW w:w="600" w:type="dxa"/>
            <w:vMerge w:val="continue"/>
            <w:tcBorders>
              <w:top w:val="single" w:color="auto" w:sz="8"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p>
        </w:tc>
        <w:tc>
          <w:tcPr>
            <w:tcW w:w="782" w:type="dxa"/>
            <w:vMerge w:val="continue"/>
            <w:tcBorders>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p>
        </w:tc>
        <w:tc>
          <w:tcPr>
            <w:tcW w:w="717"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合计</w:t>
            </w:r>
          </w:p>
        </w:tc>
        <w:tc>
          <w:tcPr>
            <w:tcW w:w="840"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购自</w:t>
            </w:r>
          </w:p>
          <w:p>
            <w:pPr>
              <w:adjustRightInd w:val="0"/>
              <w:snapToGrid w:val="0"/>
              <w:spacing w:line="240" w:lineRule="exact"/>
              <w:jc w:val="center"/>
              <w:rPr>
                <w:rFonts w:ascii="宋体" w:hAnsi="宋体"/>
                <w:sz w:val="18"/>
                <w:szCs w:val="18"/>
              </w:rPr>
            </w:pPr>
            <w:r>
              <w:rPr>
                <w:rFonts w:hint="eastAsia" w:ascii="宋体" w:hAnsi="宋体"/>
                <w:sz w:val="18"/>
                <w:szCs w:val="18"/>
              </w:rPr>
              <w:t>市外</w:t>
            </w:r>
          </w:p>
        </w:tc>
        <w:tc>
          <w:tcPr>
            <w:tcW w:w="73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进口</w:t>
            </w:r>
          </w:p>
        </w:tc>
        <w:tc>
          <w:tcPr>
            <w:tcW w:w="63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合计</w:t>
            </w:r>
          </w:p>
        </w:tc>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销往</w:t>
            </w:r>
          </w:p>
          <w:p>
            <w:pPr>
              <w:adjustRightInd w:val="0"/>
              <w:snapToGrid w:val="0"/>
              <w:spacing w:line="240" w:lineRule="exact"/>
              <w:jc w:val="center"/>
              <w:rPr>
                <w:rFonts w:ascii="宋体" w:hAnsi="宋体"/>
                <w:sz w:val="18"/>
                <w:szCs w:val="18"/>
              </w:rPr>
            </w:pPr>
            <w:r>
              <w:rPr>
                <w:rFonts w:hint="eastAsia" w:ascii="宋体" w:hAnsi="宋体"/>
                <w:sz w:val="18"/>
                <w:szCs w:val="18"/>
              </w:rPr>
              <w:t>市外</w:t>
            </w:r>
          </w:p>
        </w:tc>
        <w:tc>
          <w:tcPr>
            <w:tcW w:w="567" w:type="dxa"/>
            <w:gridSpan w:val="3"/>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出口</w:t>
            </w:r>
          </w:p>
        </w:tc>
        <w:tc>
          <w:tcPr>
            <w:tcW w:w="887" w:type="dxa"/>
            <w:gridSpan w:val="3"/>
            <w:vMerge w:val="continue"/>
            <w:tcBorders>
              <w:top w:val="single" w:color="auto" w:sz="8"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p>
        </w:tc>
        <w:tc>
          <w:tcPr>
            <w:tcW w:w="716" w:type="dxa"/>
            <w:vMerge w:val="continue"/>
            <w:tcBorders>
              <w:top w:val="single" w:color="auto" w:sz="8"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p>
        </w:tc>
        <w:tc>
          <w:tcPr>
            <w:tcW w:w="862" w:type="dxa"/>
            <w:vMerge w:val="continue"/>
            <w:tcBorders>
              <w:top w:val="single" w:color="auto" w:sz="8" w:space="0"/>
              <w:left w:val="single" w:color="auto" w:sz="4" w:space="0"/>
              <w:bottom w:val="single" w:color="auto" w:sz="4" w:space="0"/>
            </w:tcBorders>
            <w:noWrap/>
            <w:vAlign w:val="center"/>
          </w:tcPr>
          <w:p>
            <w:pPr>
              <w:adjustRightInd w:val="0"/>
              <w:snapToGrid w:val="0"/>
              <w:spacing w:line="240" w:lineRule="exact"/>
              <w:jc w:val="center"/>
              <w:rPr>
                <w:rFonts w:ascii="宋体" w:hAnsi="宋体"/>
                <w:sz w:val="18"/>
                <w:szCs w:val="18"/>
              </w:rPr>
            </w:pPr>
          </w:p>
        </w:tc>
      </w:tr>
      <w:tr>
        <w:tblPrEx>
          <w:tblBorders>
            <w:top w:val="single" w:color="auto" w:sz="8" w:space="0"/>
            <w:left w:val="none" w:color="auto" w:sz="0" w:space="0"/>
            <w:bottom w:val="single" w:color="auto" w:sz="8" w:space="0"/>
            <w:right w:val="none" w:color="auto" w:sz="0" w:space="0"/>
            <w:insideH w:val="dotted" w:color="auto" w:sz="4" w:space="0"/>
            <w:insideV w:val="single" w:color="auto" w:sz="8" w:space="0"/>
          </w:tblBorders>
          <w:tblCellMar>
            <w:top w:w="0" w:type="dxa"/>
            <w:left w:w="0" w:type="dxa"/>
            <w:bottom w:w="0" w:type="dxa"/>
            <w:right w:w="0" w:type="dxa"/>
          </w:tblCellMar>
        </w:tblPrEx>
        <w:trPr>
          <w:cantSplit/>
          <w:trHeight w:val="198" w:hRule="atLeast"/>
          <w:jc w:val="center"/>
        </w:trPr>
        <w:tc>
          <w:tcPr>
            <w:tcW w:w="1125" w:type="dxa"/>
            <w:tcBorders>
              <w:top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甲</w:t>
            </w:r>
          </w:p>
        </w:tc>
        <w:tc>
          <w:tcPr>
            <w:tcW w:w="892"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乙</w:t>
            </w:r>
          </w:p>
        </w:tc>
        <w:tc>
          <w:tcPr>
            <w:tcW w:w="60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丙</w:t>
            </w:r>
          </w:p>
        </w:tc>
        <w:tc>
          <w:tcPr>
            <w:tcW w:w="782"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1</w:t>
            </w:r>
          </w:p>
        </w:tc>
        <w:tc>
          <w:tcPr>
            <w:tcW w:w="717"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2</w:t>
            </w:r>
          </w:p>
        </w:tc>
        <w:tc>
          <w:tcPr>
            <w:tcW w:w="840"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3</w:t>
            </w:r>
          </w:p>
        </w:tc>
        <w:tc>
          <w:tcPr>
            <w:tcW w:w="73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4</w:t>
            </w:r>
          </w:p>
        </w:tc>
        <w:tc>
          <w:tcPr>
            <w:tcW w:w="63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5</w:t>
            </w:r>
          </w:p>
        </w:tc>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6</w:t>
            </w:r>
          </w:p>
        </w:tc>
        <w:tc>
          <w:tcPr>
            <w:tcW w:w="567" w:type="dxa"/>
            <w:gridSpan w:val="3"/>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7</w:t>
            </w:r>
          </w:p>
        </w:tc>
        <w:tc>
          <w:tcPr>
            <w:tcW w:w="887" w:type="dxa"/>
            <w:gridSpan w:val="3"/>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8</w:t>
            </w:r>
          </w:p>
        </w:tc>
        <w:tc>
          <w:tcPr>
            <w:tcW w:w="71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9</w:t>
            </w:r>
          </w:p>
        </w:tc>
        <w:tc>
          <w:tcPr>
            <w:tcW w:w="862" w:type="dxa"/>
            <w:tcBorders>
              <w:top w:val="single" w:color="auto" w:sz="4" w:space="0"/>
              <w:left w:val="single" w:color="auto" w:sz="4" w:space="0"/>
              <w:bottom w:val="single" w:color="auto" w:sz="4" w:space="0"/>
            </w:tcBorders>
            <w:noWrap/>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10</w:t>
            </w:r>
          </w:p>
        </w:tc>
      </w:tr>
      <w:tr>
        <w:tblPrEx>
          <w:tblBorders>
            <w:top w:val="single" w:color="auto" w:sz="8" w:space="0"/>
            <w:left w:val="none" w:color="auto" w:sz="0" w:space="0"/>
            <w:bottom w:val="single" w:color="auto" w:sz="8" w:space="0"/>
            <w:right w:val="none" w:color="auto" w:sz="0" w:space="0"/>
            <w:insideH w:val="dotted" w:color="auto" w:sz="4" w:space="0"/>
            <w:insideV w:val="single" w:color="auto" w:sz="8" w:space="0"/>
          </w:tblBorders>
          <w:tblCellMar>
            <w:top w:w="0" w:type="dxa"/>
            <w:left w:w="0" w:type="dxa"/>
            <w:bottom w:w="0" w:type="dxa"/>
            <w:right w:w="0" w:type="dxa"/>
          </w:tblCellMar>
        </w:tblPrEx>
        <w:trPr>
          <w:cantSplit/>
          <w:trHeight w:val="198" w:hRule="atLeast"/>
          <w:jc w:val="center"/>
        </w:trPr>
        <w:tc>
          <w:tcPr>
            <w:tcW w:w="1125" w:type="dxa"/>
            <w:tcBorders>
              <w:top w:val="single" w:color="auto" w:sz="4" w:space="0"/>
              <w:bottom w:val="nil"/>
              <w:right w:val="single" w:color="auto" w:sz="4" w:space="0"/>
            </w:tcBorders>
            <w:noWrap/>
            <w:vAlign w:val="center"/>
          </w:tcPr>
          <w:p>
            <w:pPr>
              <w:autoSpaceDE w:val="0"/>
              <w:autoSpaceDN w:val="0"/>
              <w:adjustRightInd w:val="0"/>
              <w:snapToGrid w:val="0"/>
              <w:spacing w:line="240" w:lineRule="exact"/>
              <w:rPr>
                <w:rFonts w:ascii="宋体" w:hAnsi="宋体"/>
                <w:sz w:val="18"/>
              </w:rPr>
            </w:pPr>
            <w:r>
              <w:rPr>
                <w:rFonts w:hint="eastAsia" w:ascii="宋体" w:hAnsi="宋体"/>
                <w:sz w:val="18"/>
              </w:rPr>
              <w:t>原油</w:t>
            </w:r>
          </w:p>
        </w:tc>
        <w:tc>
          <w:tcPr>
            <w:tcW w:w="892" w:type="dxa"/>
            <w:tcBorders>
              <w:top w:val="single" w:color="auto" w:sz="4" w:space="0"/>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万 吨</w:t>
            </w:r>
          </w:p>
        </w:tc>
        <w:tc>
          <w:tcPr>
            <w:tcW w:w="600" w:type="dxa"/>
            <w:tcBorders>
              <w:top w:val="single" w:color="auto" w:sz="4" w:space="0"/>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01</w:t>
            </w:r>
          </w:p>
        </w:tc>
        <w:tc>
          <w:tcPr>
            <w:tcW w:w="7382" w:type="dxa"/>
            <w:gridSpan w:val="16"/>
            <w:vMerge w:val="restart"/>
            <w:tcBorders>
              <w:top w:val="single" w:color="auto" w:sz="4" w:space="0"/>
              <w:left w:val="single" w:color="auto" w:sz="4" w:space="0"/>
            </w:tcBorders>
            <w:noWrap/>
          </w:tcPr>
          <w:p>
            <w:pPr>
              <w:tabs>
                <w:tab w:val="left" w:pos="2181"/>
              </w:tabs>
              <w:autoSpaceDE w:val="0"/>
              <w:autoSpaceDN w:val="0"/>
              <w:adjustRightInd w:val="0"/>
              <w:snapToGrid w:val="0"/>
              <w:spacing w:line="240" w:lineRule="exact"/>
              <w:rPr>
                <w:rFonts w:ascii="宋体" w:hAnsi="宋体"/>
                <w:sz w:val="18"/>
              </w:rPr>
            </w:pPr>
          </w:p>
        </w:tc>
      </w:tr>
      <w:tr>
        <w:tblPrEx>
          <w:tblBorders>
            <w:top w:val="single" w:color="auto" w:sz="8" w:space="0"/>
            <w:left w:val="none" w:color="auto" w:sz="0" w:space="0"/>
            <w:bottom w:val="single" w:color="auto" w:sz="8" w:space="0"/>
            <w:right w:val="none" w:color="auto" w:sz="0" w:space="0"/>
            <w:insideH w:val="dotted" w:color="auto" w:sz="4" w:space="0"/>
            <w:insideV w:val="single" w:color="auto" w:sz="8" w:space="0"/>
          </w:tblBorders>
          <w:tblCellMar>
            <w:top w:w="0" w:type="dxa"/>
            <w:left w:w="0" w:type="dxa"/>
            <w:bottom w:w="0" w:type="dxa"/>
            <w:right w:w="0" w:type="dxa"/>
          </w:tblCellMar>
        </w:tblPrEx>
        <w:trPr>
          <w:cantSplit/>
          <w:trHeight w:val="198" w:hRule="atLeast"/>
          <w:jc w:val="center"/>
        </w:trPr>
        <w:tc>
          <w:tcPr>
            <w:tcW w:w="1125" w:type="dxa"/>
            <w:tcBorders>
              <w:top w:val="nil"/>
              <w:bottom w:val="nil"/>
              <w:right w:val="single" w:color="auto" w:sz="4" w:space="0"/>
            </w:tcBorders>
            <w:noWrap/>
            <w:vAlign w:val="center"/>
          </w:tcPr>
          <w:p>
            <w:pPr>
              <w:autoSpaceDE w:val="0"/>
              <w:autoSpaceDN w:val="0"/>
              <w:adjustRightInd w:val="0"/>
              <w:snapToGrid w:val="0"/>
              <w:spacing w:line="240" w:lineRule="exact"/>
              <w:rPr>
                <w:rFonts w:ascii="宋体" w:hAnsi="宋体"/>
                <w:sz w:val="18"/>
              </w:rPr>
            </w:pPr>
            <w:r>
              <w:rPr>
                <w:rFonts w:hint="eastAsia" w:ascii="宋体" w:hAnsi="宋体"/>
                <w:sz w:val="18"/>
              </w:rPr>
              <w:t>天然气</w:t>
            </w:r>
          </w:p>
        </w:tc>
        <w:tc>
          <w:tcPr>
            <w:tcW w:w="892"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万立方米</w:t>
            </w:r>
          </w:p>
        </w:tc>
        <w:tc>
          <w:tcPr>
            <w:tcW w:w="600"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02</w:t>
            </w:r>
          </w:p>
        </w:tc>
        <w:tc>
          <w:tcPr>
            <w:tcW w:w="7382" w:type="dxa"/>
            <w:gridSpan w:val="16"/>
            <w:vMerge w:val="continue"/>
            <w:tcBorders>
              <w:left w:val="single" w:color="auto" w:sz="4" w:space="0"/>
            </w:tcBorders>
            <w:noWrap/>
          </w:tcPr>
          <w:p>
            <w:pPr>
              <w:autoSpaceDE w:val="0"/>
              <w:autoSpaceDN w:val="0"/>
              <w:adjustRightInd w:val="0"/>
              <w:snapToGrid w:val="0"/>
              <w:spacing w:line="240" w:lineRule="exact"/>
              <w:rPr>
                <w:rFonts w:ascii="宋体" w:hAnsi="宋体"/>
                <w:sz w:val="18"/>
              </w:rPr>
            </w:pPr>
          </w:p>
        </w:tc>
      </w:tr>
      <w:tr>
        <w:tblPrEx>
          <w:tblBorders>
            <w:top w:val="single" w:color="auto" w:sz="8" w:space="0"/>
            <w:left w:val="none" w:color="auto" w:sz="0" w:space="0"/>
            <w:bottom w:val="single" w:color="auto" w:sz="8" w:space="0"/>
            <w:right w:val="none" w:color="auto" w:sz="0" w:space="0"/>
            <w:insideH w:val="dotted" w:color="auto" w:sz="4" w:space="0"/>
            <w:insideV w:val="single" w:color="auto" w:sz="8" w:space="0"/>
          </w:tblBorders>
          <w:tblCellMar>
            <w:top w:w="0" w:type="dxa"/>
            <w:left w:w="0" w:type="dxa"/>
            <w:bottom w:w="0" w:type="dxa"/>
            <w:right w:w="0" w:type="dxa"/>
          </w:tblCellMar>
        </w:tblPrEx>
        <w:trPr>
          <w:cantSplit/>
          <w:trHeight w:val="198" w:hRule="atLeast"/>
          <w:jc w:val="center"/>
        </w:trPr>
        <w:tc>
          <w:tcPr>
            <w:tcW w:w="1125" w:type="dxa"/>
            <w:tcBorders>
              <w:top w:val="nil"/>
              <w:bottom w:val="nil"/>
              <w:right w:val="single" w:color="auto" w:sz="4" w:space="0"/>
            </w:tcBorders>
            <w:noWrap/>
            <w:vAlign w:val="center"/>
          </w:tcPr>
          <w:p>
            <w:pPr>
              <w:autoSpaceDE w:val="0"/>
              <w:autoSpaceDN w:val="0"/>
              <w:adjustRightInd w:val="0"/>
              <w:snapToGrid w:val="0"/>
              <w:spacing w:line="240" w:lineRule="exact"/>
              <w:rPr>
                <w:rFonts w:ascii="宋体" w:hAnsi="宋体"/>
                <w:sz w:val="18"/>
              </w:rPr>
            </w:pPr>
            <w:r>
              <w:rPr>
                <w:rFonts w:hint="eastAsia" w:ascii="宋体" w:hAnsi="宋体"/>
                <w:sz w:val="18"/>
              </w:rPr>
              <w:t>液化天然气</w:t>
            </w:r>
          </w:p>
        </w:tc>
        <w:tc>
          <w:tcPr>
            <w:tcW w:w="892"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万 吨</w:t>
            </w:r>
          </w:p>
        </w:tc>
        <w:tc>
          <w:tcPr>
            <w:tcW w:w="600"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03</w:t>
            </w:r>
          </w:p>
        </w:tc>
        <w:tc>
          <w:tcPr>
            <w:tcW w:w="7382" w:type="dxa"/>
            <w:gridSpan w:val="16"/>
            <w:vMerge w:val="continue"/>
            <w:tcBorders>
              <w:left w:val="single" w:color="auto" w:sz="4" w:space="0"/>
            </w:tcBorders>
            <w:noWrap/>
          </w:tcPr>
          <w:p>
            <w:pPr>
              <w:autoSpaceDE w:val="0"/>
              <w:autoSpaceDN w:val="0"/>
              <w:adjustRightInd w:val="0"/>
              <w:snapToGrid w:val="0"/>
              <w:spacing w:line="240" w:lineRule="exact"/>
              <w:rPr>
                <w:rFonts w:ascii="宋体" w:hAnsi="宋体"/>
                <w:sz w:val="18"/>
              </w:rPr>
            </w:pPr>
          </w:p>
        </w:tc>
      </w:tr>
      <w:tr>
        <w:tblPrEx>
          <w:tblBorders>
            <w:top w:val="single" w:color="auto" w:sz="8" w:space="0"/>
            <w:left w:val="none" w:color="auto" w:sz="0" w:space="0"/>
            <w:bottom w:val="single" w:color="auto" w:sz="8" w:space="0"/>
            <w:right w:val="none" w:color="auto" w:sz="0" w:space="0"/>
            <w:insideH w:val="dotted" w:color="auto" w:sz="4" w:space="0"/>
            <w:insideV w:val="single" w:color="auto" w:sz="8" w:space="0"/>
          </w:tblBorders>
          <w:tblCellMar>
            <w:top w:w="0" w:type="dxa"/>
            <w:left w:w="0" w:type="dxa"/>
            <w:bottom w:w="0" w:type="dxa"/>
            <w:right w:w="0" w:type="dxa"/>
          </w:tblCellMar>
        </w:tblPrEx>
        <w:trPr>
          <w:cantSplit/>
          <w:trHeight w:val="198" w:hRule="atLeast"/>
          <w:jc w:val="center"/>
        </w:trPr>
        <w:tc>
          <w:tcPr>
            <w:tcW w:w="1125" w:type="dxa"/>
            <w:tcBorders>
              <w:top w:val="nil"/>
              <w:bottom w:val="nil"/>
              <w:right w:val="single" w:color="auto" w:sz="4" w:space="0"/>
            </w:tcBorders>
            <w:noWrap/>
            <w:vAlign w:val="center"/>
          </w:tcPr>
          <w:p>
            <w:pPr>
              <w:autoSpaceDE w:val="0"/>
              <w:autoSpaceDN w:val="0"/>
              <w:adjustRightInd w:val="0"/>
              <w:snapToGrid w:val="0"/>
              <w:spacing w:line="240" w:lineRule="exact"/>
              <w:rPr>
                <w:rFonts w:ascii="宋体" w:hAnsi="宋体"/>
                <w:sz w:val="18"/>
              </w:rPr>
            </w:pPr>
            <w:r>
              <w:rPr>
                <w:rFonts w:hint="eastAsia" w:ascii="宋体" w:hAnsi="宋体"/>
                <w:sz w:val="18"/>
              </w:rPr>
              <w:t>汽油</w:t>
            </w:r>
          </w:p>
        </w:tc>
        <w:tc>
          <w:tcPr>
            <w:tcW w:w="892"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万 吨</w:t>
            </w:r>
          </w:p>
        </w:tc>
        <w:tc>
          <w:tcPr>
            <w:tcW w:w="600"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04</w:t>
            </w:r>
          </w:p>
        </w:tc>
        <w:tc>
          <w:tcPr>
            <w:tcW w:w="7382" w:type="dxa"/>
            <w:gridSpan w:val="16"/>
            <w:vMerge w:val="continue"/>
            <w:tcBorders>
              <w:left w:val="single" w:color="auto" w:sz="4" w:space="0"/>
            </w:tcBorders>
            <w:noWrap/>
          </w:tcPr>
          <w:p>
            <w:pPr>
              <w:autoSpaceDE w:val="0"/>
              <w:autoSpaceDN w:val="0"/>
              <w:adjustRightInd w:val="0"/>
              <w:snapToGrid w:val="0"/>
              <w:spacing w:line="240" w:lineRule="exact"/>
              <w:rPr>
                <w:rFonts w:ascii="宋体" w:hAnsi="宋体"/>
                <w:sz w:val="18"/>
              </w:rPr>
            </w:pPr>
          </w:p>
        </w:tc>
      </w:tr>
      <w:tr>
        <w:tblPrEx>
          <w:tblBorders>
            <w:top w:val="single" w:color="auto" w:sz="8" w:space="0"/>
            <w:left w:val="none" w:color="auto" w:sz="0" w:space="0"/>
            <w:bottom w:val="single" w:color="auto" w:sz="8" w:space="0"/>
            <w:right w:val="none" w:color="auto" w:sz="0" w:space="0"/>
            <w:insideH w:val="dotted" w:color="auto" w:sz="4" w:space="0"/>
            <w:insideV w:val="single" w:color="auto" w:sz="8" w:space="0"/>
          </w:tblBorders>
          <w:tblCellMar>
            <w:top w:w="0" w:type="dxa"/>
            <w:left w:w="0" w:type="dxa"/>
            <w:bottom w:w="0" w:type="dxa"/>
            <w:right w:w="0" w:type="dxa"/>
          </w:tblCellMar>
        </w:tblPrEx>
        <w:trPr>
          <w:cantSplit/>
          <w:trHeight w:val="198" w:hRule="atLeast"/>
          <w:jc w:val="center"/>
        </w:trPr>
        <w:tc>
          <w:tcPr>
            <w:tcW w:w="1125" w:type="dxa"/>
            <w:tcBorders>
              <w:top w:val="nil"/>
              <w:bottom w:val="nil"/>
              <w:right w:val="single" w:color="auto" w:sz="4" w:space="0"/>
            </w:tcBorders>
            <w:noWrap/>
            <w:vAlign w:val="center"/>
          </w:tcPr>
          <w:p>
            <w:pPr>
              <w:autoSpaceDE w:val="0"/>
              <w:autoSpaceDN w:val="0"/>
              <w:adjustRightInd w:val="0"/>
              <w:snapToGrid w:val="0"/>
              <w:spacing w:line="240" w:lineRule="exact"/>
              <w:rPr>
                <w:rFonts w:ascii="宋体" w:hAnsi="宋体"/>
                <w:sz w:val="18"/>
              </w:rPr>
            </w:pPr>
            <w:r>
              <w:rPr>
                <w:rFonts w:hint="eastAsia" w:ascii="宋体" w:hAnsi="宋体"/>
                <w:sz w:val="18"/>
              </w:rPr>
              <w:t>煤油</w:t>
            </w:r>
          </w:p>
        </w:tc>
        <w:tc>
          <w:tcPr>
            <w:tcW w:w="892"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万 吨</w:t>
            </w:r>
          </w:p>
        </w:tc>
        <w:tc>
          <w:tcPr>
            <w:tcW w:w="600"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05</w:t>
            </w:r>
          </w:p>
        </w:tc>
        <w:tc>
          <w:tcPr>
            <w:tcW w:w="7382" w:type="dxa"/>
            <w:gridSpan w:val="16"/>
            <w:vMerge w:val="continue"/>
            <w:tcBorders>
              <w:left w:val="single" w:color="auto" w:sz="4" w:space="0"/>
            </w:tcBorders>
            <w:noWrap/>
          </w:tcPr>
          <w:p>
            <w:pPr>
              <w:autoSpaceDE w:val="0"/>
              <w:autoSpaceDN w:val="0"/>
              <w:adjustRightInd w:val="0"/>
              <w:snapToGrid w:val="0"/>
              <w:spacing w:line="240" w:lineRule="exact"/>
              <w:rPr>
                <w:rFonts w:ascii="宋体" w:hAnsi="宋体"/>
                <w:sz w:val="18"/>
              </w:rPr>
            </w:pPr>
          </w:p>
        </w:tc>
      </w:tr>
      <w:tr>
        <w:tblPrEx>
          <w:tblBorders>
            <w:top w:val="single" w:color="auto" w:sz="8" w:space="0"/>
            <w:left w:val="none" w:color="auto" w:sz="0" w:space="0"/>
            <w:bottom w:val="single" w:color="auto" w:sz="8" w:space="0"/>
            <w:right w:val="none" w:color="auto" w:sz="0" w:space="0"/>
            <w:insideH w:val="dotted" w:color="auto" w:sz="4" w:space="0"/>
            <w:insideV w:val="single" w:color="auto" w:sz="8" w:space="0"/>
          </w:tblBorders>
          <w:tblCellMar>
            <w:top w:w="0" w:type="dxa"/>
            <w:left w:w="0" w:type="dxa"/>
            <w:bottom w:w="0" w:type="dxa"/>
            <w:right w:w="0" w:type="dxa"/>
          </w:tblCellMar>
        </w:tblPrEx>
        <w:trPr>
          <w:cantSplit/>
          <w:trHeight w:val="198" w:hRule="atLeast"/>
          <w:jc w:val="center"/>
        </w:trPr>
        <w:tc>
          <w:tcPr>
            <w:tcW w:w="1125" w:type="dxa"/>
            <w:tcBorders>
              <w:top w:val="nil"/>
              <w:bottom w:val="nil"/>
              <w:right w:val="single" w:color="auto" w:sz="4" w:space="0"/>
            </w:tcBorders>
            <w:noWrap/>
            <w:vAlign w:val="center"/>
          </w:tcPr>
          <w:p>
            <w:pPr>
              <w:autoSpaceDE w:val="0"/>
              <w:autoSpaceDN w:val="0"/>
              <w:adjustRightInd w:val="0"/>
              <w:snapToGrid w:val="0"/>
              <w:spacing w:line="240" w:lineRule="exact"/>
              <w:rPr>
                <w:rFonts w:ascii="宋体" w:hAnsi="宋体"/>
                <w:sz w:val="18"/>
              </w:rPr>
            </w:pPr>
            <w:r>
              <w:rPr>
                <w:rFonts w:hint="eastAsia" w:ascii="宋体" w:hAnsi="宋体"/>
                <w:sz w:val="18"/>
              </w:rPr>
              <w:t>柴油</w:t>
            </w:r>
          </w:p>
        </w:tc>
        <w:tc>
          <w:tcPr>
            <w:tcW w:w="892"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万 吨</w:t>
            </w:r>
          </w:p>
        </w:tc>
        <w:tc>
          <w:tcPr>
            <w:tcW w:w="600"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06</w:t>
            </w:r>
          </w:p>
        </w:tc>
        <w:tc>
          <w:tcPr>
            <w:tcW w:w="7382" w:type="dxa"/>
            <w:gridSpan w:val="16"/>
            <w:vMerge w:val="continue"/>
            <w:tcBorders>
              <w:left w:val="single" w:color="auto" w:sz="4" w:space="0"/>
            </w:tcBorders>
            <w:noWrap/>
          </w:tcPr>
          <w:p>
            <w:pPr>
              <w:autoSpaceDE w:val="0"/>
              <w:autoSpaceDN w:val="0"/>
              <w:adjustRightInd w:val="0"/>
              <w:snapToGrid w:val="0"/>
              <w:spacing w:line="240" w:lineRule="exact"/>
              <w:rPr>
                <w:rFonts w:ascii="宋体" w:hAnsi="宋体"/>
                <w:sz w:val="18"/>
              </w:rPr>
            </w:pPr>
          </w:p>
        </w:tc>
      </w:tr>
      <w:tr>
        <w:tblPrEx>
          <w:tblBorders>
            <w:top w:val="single" w:color="auto" w:sz="8" w:space="0"/>
            <w:left w:val="none" w:color="auto" w:sz="0" w:space="0"/>
            <w:bottom w:val="single" w:color="auto" w:sz="8" w:space="0"/>
            <w:right w:val="none" w:color="auto" w:sz="0" w:space="0"/>
            <w:insideH w:val="dotted" w:color="auto" w:sz="4" w:space="0"/>
            <w:insideV w:val="single" w:color="auto" w:sz="8" w:space="0"/>
          </w:tblBorders>
          <w:tblCellMar>
            <w:top w:w="0" w:type="dxa"/>
            <w:left w:w="0" w:type="dxa"/>
            <w:bottom w:w="0" w:type="dxa"/>
            <w:right w:w="0" w:type="dxa"/>
          </w:tblCellMar>
        </w:tblPrEx>
        <w:trPr>
          <w:cantSplit/>
          <w:trHeight w:val="198" w:hRule="atLeast"/>
          <w:jc w:val="center"/>
        </w:trPr>
        <w:tc>
          <w:tcPr>
            <w:tcW w:w="1125" w:type="dxa"/>
            <w:tcBorders>
              <w:top w:val="nil"/>
              <w:bottom w:val="nil"/>
              <w:right w:val="single" w:color="auto" w:sz="4" w:space="0"/>
            </w:tcBorders>
            <w:noWrap/>
            <w:vAlign w:val="center"/>
          </w:tcPr>
          <w:p>
            <w:pPr>
              <w:autoSpaceDE w:val="0"/>
              <w:autoSpaceDN w:val="0"/>
              <w:adjustRightInd w:val="0"/>
              <w:snapToGrid w:val="0"/>
              <w:spacing w:line="240" w:lineRule="exact"/>
              <w:rPr>
                <w:rFonts w:ascii="宋体" w:hAnsi="宋体"/>
                <w:sz w:val="18"/>
              </w:rPr>
            </w:pPr>
            <w:r>
              <w:rPr>
                <w:rFonts w:hint="eastAsia" w:ascii="宋体" w:hAnsi="宋体"/>
                <w:sz w:val="18"/>
              </w:rPr>
              <w:t>燃料油</w:t>
            </w:r>
          </w:p>
        </w:tc>
        <w:tc>
          <w:tcPr>
            <w:tcW w:w="892"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万 吨</w:t>
            </w:r>
          </w:p>
        </w:tc>
        <w:tc>
          <w:tcPr>
            <w:tcW w:w="600"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07</w:t>
            </w:r>
          </w:p>
        </w:tc>
        <w:tc>
          <w:tcPr>
            <w:tcW w:w="7382" w:type="dxa"/>
            <w:gridSpan w:val="16"/>
            <w:vMerge w:val="continue"/>
            <w:tcBorders>
              <w:left w:val="single" w:color="auto" w:sz="4" w:space="0"/>
            </w:tcBorders>
            <w:noWrap/>
          </w:tcPr>
          <w:p>
            <w:pPr>
              <w:autoSpaceDE w:val="0"/>
              <w:autoSpaceDN w:val="0"/>
              <w:adjustRightInd w:val="0"/>
              <w:snapToGrid w:val="0"/>
              <w:spacing w:line="240" w:lineRule="exact"/>
              <w:rPr>
                <w:rFonts w:ascii="宋体" w:hAnsi="宋体"/>
                <w:sz w:val="18"/>
              </w:rPr>
            </w:pPr>
          </w:p>
        </w:tc>
      </w:tr>
      <w:tr>
        <w:tblPrEx>
          <w:tblBorders>
            <w:top w:val="single" w:color="auto" w:sz="8" w:space="0"/>
            <w:left w:val="none" w:color="auto" w:sz="0" w:space="0"/>
            <w:bottom w:val="single" w:color="auto" w:sz="8" w:space="0"/>
            <w:right w:val="none" w:color="auto" w:sz="0" w:space="0"/>
            <w:insideH w:val="dotted" w:color="auto" w:sz="4" w:space="0"/>
            <w:insideV w:val="single" w:color="auto" w:sz="8" w:space="0"/>
          </w:tblBorders>
          <w:tblCellMar>
            <w:top w:w="0" w:type="dxa"/>
            <w:left w:w="0" w:type="dxa"/>
            <w:bottom w:w="0" w:type="dxa"/>
            <w:right w:w="0" w:type="dxa"/>
          </w:tblCellMar>
        </w:tblPrEx>
        <w:trPr>
          <w:cantSplit/>
          <w:trHeight w:val="198" w:hRule="atLeast"/>
          <w:jc w:val="center"/>
        </w:trPr>
        <w:tc>
          <w:tcPr>
            <w:tcW w:w="1125" w:type="dxa"/>
            <w:tcBorders>
              <w:top w:val="nil"/>
              <w:bottom w:val="nil"/>
              <w:right w:val="single" w:color="auto" w:sz="4" w:space="0"/>
            </w:tcBorders>
            <w:noWrap/>
            <w:vAlign w:val="center"/>
          </w:tcPr>
          <w:p>
            <w:pPr>
              <w:autoSpaceDE w:val="0"/>
              <w:autoSpaceDN w:val="0"/>
              <w:adjustRightInd w:val="0"/>
              <w:snapToGrid w:val="0"/>
              <w:spacing w:line="240" w:lineRule="exact"/>
              <w:rPr>
                <w:rFonts w:ascii="宋体" w:hAnsi="宋体"/>
                <w:sz w:val="18"/>
              </w:rPr>
            </w:pPr>
            <w:r>
              <w:rPr>
                <w:rFonts w:hint="eastAsia" w:ascii="宋体" w:hAnsi="宋体"/>
                <w:sz w:val="18"/>
              </w:rPr>
              <w:t>润滑油</w:t>
            </w:r>
          </w:p>
        </w:tc>
        <w:tc>
          <w:tcPr>
            <w:tcW w:w="892"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万 吨</w:t>
            </w:r>
          </w:p>
        </w:tc>
        <w:tc>
          <w:tcPr>
            <w:tcW w:w="600"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08</w:t>
            </w:r>
          </w:p>
        </w:tc>
        <w:tc>
          <w:tcPr>
            <w:tcW w:w="7382" w:type="dxa"/>
            <w:gridSpan w:val="16"/>
            <w:vMerge w:val="continue"/>
            <w:tcBorders>
              <w:left w:val="single" w:color="auto" w:sz="4" w:space="0"/>
            </w:tcBorders>
            <w:noWrap/>
          </w:tcPr>
          <w:p>
            <w:pPr>
              <w:autoSpaceDE w:val="0"/>
              <w:autoSpaceDN w:val="0"/>
              <w:adjustRightInd w:val="0"/>
              <w:snapToGrid w:val="0"/>
              <w:spacing w:line="240" w:lineRule="exact"/>
              <w:rPr>
                <w:rFonts w:ascii="宋体" w:hAnsi="宋体"/>
                <w:sz w:val="18"/>
              </w:rPr>
            </w:pPr>
          </w:p>
        </w:tc>
      </w:tr>
      <w:tr>
        <w:tblPrEx>
          <w:tblBorders>
            <w:top w:val="single" w:color="auto" w:sz="8" w:space="0"/>
            <w:left w:val="none" w:color="auto" w:sz="0" w:space="0"/>
            <w:bottom w:val="single" w:color="auto" w:sz="8" w:space="0"/>
            <w:right w:val="none" w:color="auto" w:sz="0" w:space="0"/>
            <w:insideH w:val="dotted" w:color="auto" w:sz="4" w:space="0"/>
            <w:insideV w:val="single" w:color="auto" w:sz="8" w:space="0"/>
          </w:tblBorders>
          <w:tblCellMar>
            <w:top w:w="0" w:type="dxa"/>
            <w:left w:w="0" w:type="dxa"/>
            <w:bottom w:w="0" w:type="dxa"/>
            <w:right w:w="0" w:type="dxa"/>
          </w:tblCellMar>
        </w:tblPrEx>
        <w:trPr>
          <w:cantSplit/>
          <w:trHeight w:val="198" w:hRule="atLeast"/>
          <w:jc w:val="center"/>
        </w:trPr>
        <w:tc>
          <w:tcPr>
            <w:tcW w:w="1125" w:type="dxa"/>
            <w:tcBorders>
              <w:top w:val="nil"/>
              <w:bottom w:val="nil"/>
              <w:right w:val="single" w:color="auto" w:sz="4" w:space="0"/>
            </w:tcBorders>
            <w:noWrap/>
            <w:vAlign w:val="center"/>
          </w:tcPr>
          <w:p>
            <w:pPr>
              <w:autoSpaceDE w:val="0"/>
              <w:autoSpaceDN w:val="0"/>
              <w:adjustRightInd w:val="0"/>
              <w:snapToGrid w:val="0"/>
              <w:spacing w:line="240" w:lineRule="exact"/>
              <w:rPr>
                <w:rFonts w:ascii="宋体" w:hAnsi="宋体"/>
                <w:sz w:val="18"/>
              </w:rPr>
            </w:pPr>
            <w:r>
              <w:rPr>
                <w:rFonts w:hint="eastAsia" w:ascii="宋体" w:hAnsi="宋体"/>
                <w:sz w:val="18"/>
              </w:rPr>
              <w:t>液化石油气</w:t>
            </w:r>
          </w:p>
        </w:tc>
        <w:tc>
          <w:tcPr>
            <w:tcW w:w="892"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万 吨</w:t>
            </w:r>
          </w:p>
        </w:tc>
        <w:tc>
          <w:tcPr>
            <w:tcW w:w="600" w:type="dxa"/>
            <w:tcBorders>
              <w:top w:val="nil"/>
              <w:left w:val="single" w:color="auto" w:sz="4" w:space="0"/>
              <w:bottom w:val="nil"/>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09</w:t>
            </w:r>
          </w:p>
        </w:tc>
        <w:tc>
          <w:tcPr>
            <w:tcW w:w="7382" w:type="dxa"/>
            <w:gridSpan w:val="16"/>
            <w:vMerge w:val="continue"/>
            <w:tcBorders>
              <w:left w:val="single" w:color="auto" w:sz="4" w:space="0"/>
            </w:tcBorders>
            <w:noWrap/>
          </w:tcPr>
          <w:p>
            <w:pPr>
              <w:autoSpaceDE w:val="0"/>
              <w:autoSpaceDN w:val="0"/>
              <w:adjustRightInd w:val="0"/>
              <w:snapToGrid w:val="0"/>
              <w:spacing w:line="240" w:lineRule="exact"/>
              <w:rPr>
                <w:rFonts w:ascii="宋体" w:hAnsi="宋体"/>
                <w:sz w:val="18"/>
              </w:rPr>
            </w:pPr>
          </w:p>
        </w:tc>
      </w:tr>
      <w:tr>
        <w:tblPrEx>
          <w:tblBorders>
            <w:top w:val="single" w:color="auto" w:sz="8" w:space="0"/>
            <w:left w:val="none" w:color="auto" w:sz="0" w:space="0"/>
            <w:bottom w:val="single" w:color="auto" w:sz="8" w:space="0"/>
            <w:right w:val="none" w:color="auto" w:sz="0" w:space="0"/>
            <w:insideH w:val="dotted" w:color="auto" w:sz="4" w:space="0"/>
            <w:insideV w:val="single" w:color="auto" w:sz="8" w:space="0"/>
          </w:tblBorders>
          <w:tblCellMar>
            <w:top w:w="0" w:type="dxa"/>
            <w:left w:w="0" w:type="dxa"/>
            <w:bottom w:w="0" w:type="dxa"/>
            <w:right w:w="0" w:type="dxa"/>
          </w:tblCellMar>
        </w:tblPrEx>
        <w:trPr>
          <w:cantSplit/>
          <w:trHeight w:val="198" w:hRule="atLeast"/>
          <w:jc w:val="center"/>
        </w:trPr>
        <w:tc>
          <w:tcPr>
            <w:tcW w:w="1125" w:type="dxa"/>
            <w:tcBorders>
              <w:top w:val="nil"/>
              <w:bottom w:val="single" w:color="auto" w:sz="8" w:space="0"/>
              <w:right w:val="single" w:color="auto" w:sz="4" w:space="0"/>
            </w:tcBorders>
            <w:noWrap/>
            <w:vAlign w:val="center"/>
          </w:tcPr>
          <w:p>
            <w:pPr>
              <w:autoSpaceDE w:val="0"/>
              <w:autoSpaceDN w:val="0"/>
              <w:adjustRightInd w:val="0"/>
              <w:snapToGrid w:val="0"/>
              <w:spacing w:line="240" w:lineRule="exact"/>
              <w:rPr>
                <w:rFonts w:ascii="宋体" w:hAnsi="宋体"/>
                <w:sz w:val="18"/>
              </w:rPr>
            </w:pPr>
            <w:r>
              <w:rPr>
                <w:rFonts w:hint="eastAsia" w:ascii="宋体" w:hAnsi="宋体"/>
                <w:sz w:val="18"/>
              </w:rPr>
              <w:t>其他石油制品</w:t>
            </w:r>
          </w:p>
        </w:tc>
        <w:tc>
          <w:tcPr>
            <w:tcW w:w="892" w:type="dxa"/>
            <w:tcBorders>
              <w:top w:val="nil"/>
              <w:left w:val="single" w:color="auto" w:sz="4" w:space="0"/>
              <w:bottom w:val="single" w:color="auto" w:sz="8" w:space="0"/>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万 吨</w:t>
            </w:r>
          </w:p>
        </w:tc>
        <w:tc>
          <w:tcPr>
            <w:tcW w:w="600" w:type="dxa"/>
            <w:tcBorders>
              <w:top w:val="nil"/>
              <w:left w:val="single" w:color="auto" w:sz="4" w:space="0"/>
              <w:bottom w:val="single" w:color="auto" w:sz="8" w:space="0"/>
              <w:right w:val="single" w:color="auto" w:sz="4" w:space="0"/>
            </w:tcBorders>
            <w:noWrap/>
            <w:vAlign w:val="center"/>
          </w:tcPr>
          <w:p>
            <w:pPr>
              <w:autoSpaceDE w:val="0"/>
              <w:autoSpaceDN w:val="0"/>
              <w:adjustRightInd w:val="0"/>
              <w:snapToGrid w:val="0"/>
              <w:spacing w:line="240" w:lineRule="exact"/>
              <w:jc w:val="center"/>
              <w:rPr>
                <w:rFonts w:ascii="宋体" w:hAnsi="宋体"/>
                <w:sz w:val="18"/>
              </w:rPr>
            </w:pPr>
            <w:r>
              <w:rPr>
                <w:rFonts w:hint="eastAsia" w:ascii="宋体" w:hAnsi="宋体"/>
                <w:sz w:val="18"/>
              </w:rPr>
              <w:t>10</w:t>
            </w:r>
          </w:p>
        </w:tc>
        <w:tc>
          <w:tcPr>
            <w:tcW w:w="7382" w:type="dxa"/>
            <w:gridSpan w:val="16"/>
            <w:vMerge w:val="continue"/>
            <w:tcBorders>
              <w:left w:val="single" w:color="auto" w:sz="4" w:space="0"/>
              <w:bottom w:val="single" w:color="auto" w:sz="8" w:space="0"/>
            </w:tcBorders>
            <w:noWrap/>
          </w:tcPr>
          <w:p>
            <w:pPr>
              <w:autoSpaceDE w:val="0"/>
              <w:autoSpaceDN w:val="0"/>
              <w:adjustRightInd w:val="0"/>
              <w:snapToGrid w:val="0"/>
              <w:spacing w:line="240" w:lineRule="exact"/>
              <w:rPr>
                <w:rFonts w:ascii="宋体" w:hAnsi="宋体"/>
                <w:sz w:val="18"/>
              </w:rPr>
            </w:pPr>
          </w:p>
        </w:tc>
      </w:tr>
    </w:tbl>
    <w:p>
      <w:pPr>
        <w:autoSpaceDE w:val="0"/>
        <w:autoSpaceDN w:val="0"/>
        <w:adjustRightInd w:val="0"/>
        <w:spacing w:after="0" w:afterLines="0"/>
        <w:ind w:left="-315" w:leftChars="-1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w:t>
      </w:r>
      <w:r>
        <w:rPr>
          <w:rFonts w:hint="eastAsia" w:asciiTheme="minorEastAsia" w:hAnsiTheme="minorEastAsia" w:eastAsiaTheme="minorEastAsia" w:cstheme="minorEastAsia"/>
          <w:kern w:val="0"/>
          <w:sz w:val="18"/>
          <w:szCs w:val="18"/>
        </w:rPr>
        <w:t>位负责人：          统计负责人：          填表人：          联系电话：             报出日期：２０   年  月  日</w:t>
      </w:r>
    </w:p>
    <w:p>
      <w:pPr>
        <w:adjustRightInd w:val="0"/>
        <w:snapToGrid w:val="0"/>
        <w:spacing w:line="230" w:lineRule="exact"/>
        <w:ind w:left="0" w:leftChars="-46" w:right="-38" w:hanging="97" w:hangingChars="54"/>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说明</w:t>
      </w:r>
      <w:r>
        <w:rPr>
          <w:rFonts w:hint="eastAsia" w:asciiTheme="minorEastAsia" w:hAnsiTheme="minorEastAsia" w:eastAsiaTheme="minorEastAsia" w:cstheme="minorEastAsia"/>
          <w:sz w:val="18"/>
          <w:szCs w:val="18"/>
        </w:rPr>
        <w:t>：1.本表由能源销售单位报送。</w:t>
      </w:r>
    </w:p>
    <w:p>
      <w:pPr>
        <w:adjustRightInd w:val="0"/>
        <w:snapToGrid w:val="0"/>
        <w:spacing w:line="230" w:lineRule="exact"/>
        <w:ind w:right="-143" w:firstLine="460" w:firstLineChars="256"/>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2.统计范围是</w:t>
      </w:r>
      <w:r>
        <w:rPr>
          <w:rFonts w:hint="eastAsia" w:asciiTheme="minorEastAsia" w:hAnsiTheme="minorEastAsia" w:eastAsiaTheme="minorEastAsia" w:cstheme="minorEastAsia"/>
          <w:spacing w:val="-6"/>
          <w:sz w:val="18"/>
          <w:szCs w:val="18"/>
        </w:rPr>
        <w:t>辖区内</w:t>
      </w:r>
      <w:r>
        <w:rPr>
          <w:rFonts w:hint="eastAsia" w:asciiTheme="minorEastAsia" w:hAnsiTheme="minorEastAsia" w:eastAsiaTheme="minorEastAsia" w:cstheme="minorEastAsia"/>
          <w:sz w:val="18"/>
          <w:szCs w:val="18"/>
        </w:rPr>
        <w:t>有关石油、天然气销售企业的能源购进和销售活动。</w:t>
      </w:r>
    </w:p>
    <w:p>
      <w:pPr>
        <w:adjustRightInd w:val="0"/>
        <w:snapToGrid w:val="0"/>
        <w:spacing w:line="230" w:lineRule="exact"/>
        <w:ind w:right="-1774" w:firstLine="460" w:firstLineChars="256"/>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3.报送时间为次年3月15日前，报送方式为电子邮件（gzstjjnyc@gz.gov.cn）。</w:t>
      </w:r>
    </w:p>
    <w:p>
      <w:pPr>
        <w:ind w:right="-1774"/>
        <w:rPr>
          <w:rFonts w:ascii="宋体" w:hAnsi="宋体"/>
          <w:sz w:val="8"/>
          <w:szCs w:val="8"/>
        </w:rPr>
      </w:pPr>
    </w:p>
    <w:p>
      <w:pPr>
        <w:spacing w:before="120" w:beforeLines="50"/>
        <w:jc w:val="center"/>
        <w:rPr>
          <w:rFonts w:ascii="宋体" w:hAnsi="宋体"/>
          <w:b/>
          <w:sz w:val="32"/>
        </w:rPr>
      </w:pPr>
      <w:r>
        <w:rPr>
          <w:rFonts w:hint="eastAsia" w:ascii="宋体" w:hAnsi="宋体"/>
          <w:b/>
          <w:bCs/>
          <w:sz w:val="32"/>
        </w:rPr>
        <w:t>全社会用电量分类表</w:t>
      </w:r>
    </w:p>
    <w:tbl>
      <w:tblPr>
        <w:tblStyle w:val="21"/>
        <w:tblW w:w="5206" w:type="pct"/>
        <w:jc w:val="center"/>
        <w:tblLayout w:type="autofit"/>
        <w:tblCellMar>
          <w:top w:w="0" w:type="dxa"/>
          <w:left w:w="0" w:type="dxa"/>
          <w:bottom w:w="0" w:type="dxa"/>
          <w:right w:w="0" w:type="dxa"/>
        </w:tblCellMar>
      </w:tblPr>
      <w:tblGrid>
        <w:gridCol w:w="3210"/>
        <w:gridCol w:w="840"/>
        <w:gridCol w:w="377"/>
        <w:gridCol w:w="173"/>
        <w:gridCol w:w="1575"/>
        <w:gridCol w:w="1479"/>
        <w:gridCol w:w="2146"/>
      </w:tblGrid>
      <w:tr>
        <w:tblPrEx>
          <w:tblCellMar>
            <w:top w:w="0" w:type="dxa"/>
            <w:left w:w="0" w:type="dxa"/>
            <w:bottom w:w="0" w:type="dxa"/>
            <w:right w:w="0" w:type="dxa"/>
          </w:tblCellMar>
        </w:tblPrEx>
        <w:trPr>
          <w:trHeight w:val="198" w:hRule="atLeast"/>
          <w:jc w:val="center"/>
        </w:trPr>
        <w:tc>
          <w:tcPr>
            <w:tcW w:w="2071" w:type="pct"/>
            <w:gridSpan w:val="2"/>
            <w:noWrap/>
            <w:tcMar>
              <w:left w:w="0" w:type="dxa"/>
              <w:right w:w="0" w:type="dxa"/>
            </w:tcMar>
          </w:tcPr>
          <w:p>
            <w:pPr>
              <w:adjustRightInd w:val="0"/>
              <w:snapToGrid w:val="0"/>
              <w:spacing w:line="240" w:lineRule="exact"/>
              <w:jc w:val="center"/>
              <w:rPr>
                <w:rFonts w:asciiTheme="minorEastAsia" w:hAnsiTheme="minorEastAsia" w:eastAsiaTheme="minorEastAsia" w:cstheme="minorEastAsia"/>
                <w:sz w:val="18"/>
                <w:szCs w:val="18"/>
              </w:rPr>
            </w:pPr>
          </w:p>
        </w:tc>
        <w:tc>
          <w:tcPr>
            <w:tcW w:w="183" w:type="pct"/>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889" w:type="pct"/>
            <w:gridSpan w:val="2"/>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757" w:type="pct"/>
            <w:noWrap/>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表    号：</w:t>
            </w:r>
          </w:p>
        </w:tc>
        <w:tc>
          <w:tcPr>
            <w:tcW w:w="1097" w:type="pct"/>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粤Ｐ３１４表</w:t>
            </w:r>
          </w:p>
        </w:tc>
      </w:tr>
      <w:tr>
        <w:tblPrEx>
          <w:tblCellMar>
            <w:top w:w="0" w:type="dxa"/>
            <w:left w:w="0" w:type="dxa"/>
            <w:bottom w:w="0" w:type="dxa"/>
            <w:right w:w="0" w:type="dxa"/>
          </w:tblCellMar>
        </w:tblPrEx>
        <w:trPr>
          <w:trHeight w:val="198" w:hRule="atLeast"/>
          <w:jc w:val="center"/>
        </w:trPr>
        <w:tc>
          <w:tcPr>
            <w:tcW w:w="2071" w:type="pct"/>
            <w:gridSpan w:val="2"/>
            <w:noWrap/>
            <w:tcMar>
              <w:left w:w="0" w:type="dxa"/>
              <w:right w:w="0" w:type="dxa"/>
            </w:tcMar>
            <w:vAlign w:val="bottom"/>
          </w:tcPr>
          <w:p>
            <w:pPr>
              <w:adjustRightInd w:val="0"/>
              <w:snapToGrid w:val="0"/>
              <w:spacing w:line="240" w:lineRule="exact"/>
              <w:rPr>
                <w:rFonts w:asciiTheme="minorEastAsia" w:hAnsiTheme="minorEastAsia" w:eastAsiaTheme="minorEastAsia" w:cstheme="minorEastAsia"/>
                <w:sz w:val="18"/>
                <w:szCs w:val="18"/>
              </w:rPr>
            </w:pPr>
          </w:p>
        </w:tc>
        <w:tc>
          <w:tcPr>
            <w:tcW w:w="183" w:type="pct"/>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889" w:type="pct"/>
            <w:gridSpan w:val="2"/>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757" w:type="pct"/>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制定机关：</w:t>
            </w:r>
          </w:p>
        </w:tc>
        <w:tc>
          <w:tcPr>
            <w:tcW w:w="1097" w:type="pct"/>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广东省统计局</w:t>
            </w:r>
          </w:p>
        </w:tc>
      </w:tr>
      <w:tr>
        <w:tblPrEx>
          <w:tblCellMar>
            <w:top w:w="0" w:type="dxa"/>
            <w:left w:w="0" w:type="dxa"/>
            <w:bottom w:w="0" w:type="dxa"/>
            <w:right w:w="0" w:type="dxa"/>
          </w:tblCellMar>
        </w:tblPrEx>
        <w:trPr>
          <w:trHeight w:val="198" w:hRule="atLeast"/>
          <w:jc w:val="center"/>
        </w:trPr>
        <w:tc>
          <w:tcPr>
            <w:tcW w:w="2071" w:type="pct"/>
            <w:gridSpan w:val="2"/>
            <w:tcBorders>
              <w:bottom w:val="nil"/>
            </w:tcBorders>
            <w:noWrap/>
            <w:tcMar>
              <w:left w:w="0" w:type="dxa"/>
              <w:right w:w="0" w:type="dxa"/>
            </w:tcMar>
          </w:tcPr>
          <w:p>
            <w:pPr>
              <w:adjustRightInd w:val="0"/>
              <w:snapToGrid w:val="0"/>
              <w:spacing w:line="240" w:lineRule="exact"/>
              <w:jc w:val="left"/>
              <w:rPr>
                <w:rFonts w:asciiTheme="minorEastAsia" w:hAnsiTheme="minorEastAsia" w:eastAsiaTheme="minorEastAsia" w:cstheme="minorEastAsia"/>
                <w:sz w:val="18"/>
                <w:szCs w:val="18"/>
              </w:rPr>
            </w:pPr>
          </w:p>
        </w:tc>
        <w:tc>
          <w:tcPr>
            <w:tcW w:w="183" w:type="pct"/>
            <w:tcBorders>
              <w:bottom w:val="nil"/>
            </w:tcBorders>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889" w:type="pct"/>
            <w:gridSpan w:val="2"/>
            <w:tcBorders>
              <w:bottom w:val="nil"/>
            </w:tcBorders>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757" w:type="pct"/>
            <w:tcBorders>
              <w:bottom w:val="nil"/>
            </w:tcBorders>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批准机关：</w:t>
            </w:r>
          </w:p>
        </w:tc>
        <w:tc>
          <w:tcPr>
            <w:tcW w:w="1097" w:type="pct"/>
            <w:tcBorders>
              <w:bottom w:val="nil"/>
            </w:tcBorders>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国家统计局</w:t>
            </w:r>
          </w:p>
        </w:tc>
      </w:tr>
      <w:tr>
        <w:tblPrEx>
          <w:tblCellMar>
            <w:top w:w="0" w:type="dxa"/>
            <w:left w:w="0" w:type="dxa"/>
            <w:bottom w:w="0" w:type="dxa"/>
            <w:right w:w="0" w:type="dxa"/>
          </w:tblCellMar>
        </w:tblPrEx>
        <w:trPr>
          <w:trHeight w:val="198" w:hRule="atLeast"/>
          <w:jc w:val="center"/>
        </w:trPr>
        <w:tc>
          <w:tcPr>
            <w:tcW w:w="2071" w:type="pct"/>
            <w:gridSpan w:val="2"/>
            <w:noWrap/>
            <w:tcMar>
              <w:left w:w="0" w:type="dxa"/>
              <w:right w:w="0" w:type="dxa"/>
            </w:tcMar>
          </w:tcPr>
          <w:p>
            <w:pPr>
              <w:adjustRightInd w:val="0"/>
              <w:snapToGrid w:val="0"/>
              <w:spacing w:line="240" w:lineRule="exact"/>
              <w:jc w:val="left"/>
              <w:rPr>
                <w:rFonts w:asciiTheme="minorEastAsia" w:hAnsiTheme="minorEastAsia" w:eastAsiaTheme="minorEastAsia" w:cstheme="minorEastAsia"/>
                <w:sz w:val="18"/>
                <w:szCs w:val="18"/>
              </w:rPr>
            </w:pPr>
          </w:p>
        </w:tc>
        <w:tc>
          <w:tcPr>
            <w:tcW w:w="183" w:type="pct"/>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889" w:type="pct"/>
            <w:gridSpan w:val="2"/>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757" w:type="pct"/>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批准文号：</w:t>
            </w:r>
          </w:p>
        </w:tc>
        <w:tc>
          <w:tcPr>
            <w:tcW w:w="2146" w:type="dxa"/>
            <w:noWrap/>
            <w:vAlign w:val="center"/>
          </w:tcPr>
          <w:p>
            <w:pPr>
              <w:widowControl/>
              <w:jc w:val="distribute"/>
              <w:rPr>
                <w:rFonts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国统制</w:t>
            </w:r>
            <w:r>
              <w:rPr>
                <w:rFonts w:hint="eastAsia" w:ascii="宋体" w:hAnsi="宋体"/>
                <w:color w:val="auto"/>
                <w:sz w:val="18"/>
                <w:szCs w:val="18"/>
              </w:rPr>
              <w:t>〔</w:t>
            </w:r>
            <w:r>
              <w:rPr>
                <w:rFonts w:hint="eastAsia" w:asciiTheme="minorEastAsia" w:hAnsiTheme="minorEastAsia" w:eastAsiaTheme="minorEastAsia" w:cstheme="minorEastAsia"/>
                <w:color w:val="auto"/>
                <w:sz w:val="18"/>
                <w:szCs w:val="18"/>
                <w:highlight w:val="none"/>
              </w:rPr>
              <w:t>2026</w:t>
            </w:r>
            <w:r>
              <w:rPr>
                <w:rFonts w:hint="eastAsia" w:ascii="宋体" w:hAnsi="宋体"/>
                <w:color w:val="auto"/>
                <w:sz w:val="18"/>
                <w:szCs w:val="18"/>
              </w:rPr>
              <w:t>〕</w:t>
            </w:r>
            <w:r>
              <w:rPr>
                <w:rFonts w:hint="eastAsia" w:asciiTheme="minorEastAsia" w:hAnsiTheme="minorEastAsia" w:eastAsiaTheme="minorEastAsia" w:cstheme="minorEastAsia"/>
                <w:color w:val="auto"/>
                <w:sz w:val="18"/>
                <w:szCs w:val="18"/>
                <w:highlight w:val="none"/>
              </w:rPr>
              <w:t>48号</w:t>
            </w:r>
          </w:p>
        </w:tc>
      </w:tr>
      <w:tr>
        <w:tblPrEx>
          <w:tblCellMar>
            <w:top w:w="0" w:type="dxa"/>
            <w:left w:w="0" w:type="dxa"/>
            <w:bottom w:w="0" w:type="dxa"/>
            <w:right w:w="0" w:type="dxa"/>
          </w:tblCellMar>
        </w:tblPrEx>
        <w:trPr>
          <w:trHeight w:val="198" w:hRule="atLeast"/>
          <w:jc w:val="center"/>
        </w:trPr>
        <w:tc>
          <w:tcPr>
            <w:tcW w:w="3144" w:type="pct"/>
            <w:gridSpan w:val="5"/>
            <w:noWrap/>
            <w:tcMar>
              <w:left w:w="0" w:type="dxa"/>
              <w:right w:w="0" w:type="dxa"/>
            </w:tcMar>
          </w:tcPr>
          <w:p>
            <w:pPr>
              <w:adjustRightInd w:val="0"/>
              <w:snapToGrid w:val="0"/>
              <w:spacing w:line="24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 xml:space="preserve">综合机关名称：                                       </w:t>
            </w:r>
            <w:r>
              <w:rPr>
                <w:sz w:val="18"/>
                <w:szCs w:val="18"/>
              </w:rPr>
              <w:t>２０　　年</w:t>
            </w:r>
          </w:p>
        </w:tc>
        <w:tc>
          <w:tcPr>
            <w:tcW w:w="757" w:type="pct"/>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有效期至：</w:t>
            </w:r>
          </w:p>
        </w:tc>
        <w:tc>
          <w:tcPr>
            <w:tcW w:w="1097" w:type="pct"/>
            <w:noWrap/>
            <w:vAlign w:val="center"/>
          </w:tcPr>
          <w:p>
            <w:pPr>
              <w:adjustRightInd w:val="0"/>
              <w:snapToGrid w:val="0"/>
              <w:spacing w:line="240" w:lineRule="exact"/>
              <w:jc w:val="distribute"/>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２０２</w:t>
            </w:r>
            <w:r>
              <w:rPr>
                <w:rFonts w:hint="eastAsia" w:asciiTheme="minorEastAsia" w:hAnsiTheme="minorEastAsia" w:eastAsiaTheme="minorEastAsia" w:cstheme="minorEastAsia"/>
                <w:color w:val="auto"/>
                <w:sz w:val="18"/>
                <w:szCs w:val="18"/>
                <w:lang w:val="en-US" w:eastAsia="zh-CN"/>
              </w:rPr>
              <w:t>6</w:t>
            </w:r>
            <w:r>
              <w:rPr>
                <w:rFonts w:hint="eastAsia" w:asciiTheme="minorEastAsia" w:hAnsiTheme="minorEastAsia" w:eastAsiaTheme="minorEastAsia" w:cstheme="minorEastAsia"/>
                <w:color w:val="auto"/>
                <w:sz w:val="18"/>
                <w:szCs w:val="18"/>
              </w:rPr>
              <w:t>年６月</w:t>
            </w: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single" w:color="auto" w:sz="8" w:space="0"/>
              <w:bottom w:val="single" w:color="auto" w:sz="4" w:space="0"/>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项         目</w:t>
            </w:r>
          </w:p>
        </w:tc>
        <w:tc>
          <w:tcPr>
            <w:tcW w:w="431" w:type="pct"/>
            <w:tcBorders>
              <w:top w:val="single" w:color="auto" w:sz="8" w:space="0"/>
              <w:left w:val="single" w:color="auto" w:sz="4" w:space="0"/>
              <w:bottom w:val="single" w:color="auto" w:sz="4" w:space="0"/>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计量单位</w:t>
            </w:r>
          </w:p>
        </w:tc>
        <w:tc>
          <w:tcPr>
            <w:tcW w:w="267" w:type="pct"/>
            <w:gridSpan w:val="2"/>
            <w:tcBorders>
              <w:top w:val="single" w:color="auto" w:sz="8" w:space="0"/>
              <w:left w:val="single" w:color="auto" w:sz="4" w:space="0"/>
              <w:bottom w:val="single" w:color="auto" w:sz="4" w:space="0"/>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代  码</w:t>
            </w:r>
          </w:p>
        </w:tc>
        <w:tc>
          <w:tcPr>
            <w:tcW w:w="806" w:type="pct"/>
            <w:tcBorders>
              <w:top w:val="single" w:color="auto" w:sz="8" w:space="0"/>
              <w:left w:val="single" w:color="auto" w:sz="4" w:space="0"/>
              <w:bottom w:val="single" w:color="auto" w:sz="4" w:space="0"/>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本年</w:t>
            </w:r>
          </w:p>
        </w:tc>
        <w:tc>
          <w:tcPr>
            <w:tcW w:w="757" w:type="pct"/>
            <w:tcBorders>
              <w:top w:val="single" w:color="auto" w:sz="8" w:space="0"/>
              <w:left w:val="single" w:color="auto" w:sz="4" w:space="0"/>
              <w:bottom w:val="single" w:color="auto" w:sz="4" w:space="0"/>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上年</w:t>
            </w:r>
          </w:p>
        </w:tc>
        <w:tc>
          <w:tcPr>
            <w:tcW w:w="1097" w:type="pct"/>
            <w:tcBorders>
              <w:top w:val="single" w:color="auto" w:sz="8" w:space="0"/>
              <w:left w:val="single" w:color="auto" w:sz="4" w:space="0"/>
              <w:bottom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增长（%）</w:t>
            </w: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single" w:color="auto" w:sz="4" w:space="0"/>
              <w:bottom w:val="single" w:color="auto" w:sz="4" w:space="0"/>
              <w:right w:val="single" w:color="auto" w:sz="4" w:space="0"/>
            </w:tcBorders>
            <w:shd w:val="solid" w:color="FFFFFF" w:fill="auto"/>
            <w:noWrap/>
            <w:vAlign w:val="center"/>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甲</w:t>
            </w:r>
          </w:p>
        </w:tc>
        <w:tc>
          <w:tcPr>
            <w:tcW w:w="431" w:type="pct"/>
            <w:tcBorders>
              <w:top w:val="single" w:color="auto" w:sz="4" w:space="0"/>
              <w:left w:val="single" w:color="auto" w:sz="4" w:space="0"/>
              <w:bottom w:val="single" w:color="auto" w:sz="4" w:space="0"/>
              <w:right w:val="single" w:color="auto" w:sz="4" w:space="0"/>
            </w:tcBorders>
            <w:shd w:val="solid" w:color="FFFFFF" w:fill="auto"/>
            <w:noWrap/>
            <w:vAlign w:val="center"/>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乙</w:t>
            </w:r>
          </w:p>
        </w:tc>
        <w:tc>
          <w:tcPr>
            <w:tcW w:w="267" w:type="pct"/>
            <w:gridSpan w:val="2"/>
            <w:tcBorders>
              <w:top w:val="single" w:color="auto" w:sz="4" w:space="0"/>
              <w:left w:val="single" w:color="auto" w:sz="4" w:space="0"/>
              <w:bottom w:val="single" w:color="auto" w:sz="4" w:space="0"/>
              <w:right w:val="single" w:color="auto" w:sz="4" w:space="0"/>
            </w:tcBorders>
            <w:shd w:val="solid" w:color="FFFFFF" w:fill="auto"/>
            <w:noWrap/>
            <w:vAlign w:val="center"/>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丙</w:t>
            </w:r>
          </w:p>
        </w:tc>
        <w:tc>
          <w:tcPr>
            <w:tcW w:w="806" w:type="pct"/>
            <w:tcBorders>
              <w:top w:val="single" w:color="auto" w:sz="4" w:space="0"/>
              <w:left w:val="single" w:color="auto" w:sz="4" w:space="0"/>
              <w:bottom w:val="single" w:color="auto" w:sz="4" w:space="0"/>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757" w:type="pct"/>
            <w:tcBorders>
              <w:top w:val="single" w:color="auto" w:sz="4" w:space="0"/>
              <w:left w:val="single" w:color="auto" w:sz="4" w:space="0"/>
              <w:bottom w:val="single" w:color="auto" w:sz="4" w:space="0"/>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1097" w:type="pct"/>
            <w:tcBorders>
              <w:top w:val="single" w:color="auto" w:sz="4" w:space="0"/>
              <w:left w:val="single" w:color="auto" w:sz="4" w:space="0"/>
              <w:bottom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single" w:color="auto" w:sz="4" w:space="0"/>
              <w:bottom w:val="nil"/>
              <w:right w:val="single" w:color="auto" w:sz="4" w:space="0"/>
            </w:tcBorders>
            <w:shd w:val="solid" w:color="FFFFFF" w:fill="auto"/>
            <w:noWrap/>
          </w:tcPr>
          <w:p>
            <w:pPr>
              <w:autoSpaceDE w:val="0"/>
              <w:autoSpaceDN w:val="0"/>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发购电量合计</w:t>
            </w:r>
          </w:p>
        </w:tc>
        <w:tc>
          <w:tcPr>
            <w:tcW w:w="431" w:type="pct"/>
            <w:tcBorders>
              <w:top w:val="single" w:color="auto" w:sz="4" w:space="0"/>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single" w:color="auto" w:sz="4" w:space="0"/>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01</w:t>
            </w:r>
          </w:p>
        </w:tc>
        <w:tc>
          <w:tcPr>
            <w:tcW w:w="806" w:type="pct"/>
            <w:tcBorders>
              <w:top w:val="single" w:color="auto" w:sz="4" w:space="0"/>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single" w:color="auto" w:sz="4" w:space="0"/>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single" w:color="auto" w:sz="4" w:space="0"/>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left w:val="nil"/>
              <w:bottom w:val="nil"/>
              <w:right w:val="single" w:color="auto" w:sz="4" w:space="0"/>
            </w:tcBorders>
            <w:shd w:val="solid" w:color="FFFFFF" w:fill="auto"/>
            <w:noWrap/>
          </w:tcPr>
          <w:p>
            <w:pPr>
              <w:autoSpaceDE w:val="0"/>
              <w:autoSpaceDN w:val="0"/>
              <w:adjustRightInd w:val="0"/>
              <w:snapToGrid w:val="0"/>
              <w:spacing w:line="240" w:lineRule="exact"/>
              <w:ind w:firstLine="180" w:firstLineChars="1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发电量合计</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02</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ind w:firstLine="180" w:firstLineChars="1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外市调入量</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03</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ind w:firstLine="180" w:firstLineChars="1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调出市外量</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04</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ind w:firstLine="180" w:firstLineChars="1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进口量</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05</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ind w:firstLine="180" w:firstLineChars="1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出口量</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06</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全社会用电量</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07</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一、农、林、牧、渔、水利业合计</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08</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二、工业用电</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09</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ind w:firstLine="270" w:firstLineChars="1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1．轻工业</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ind w:firstLine="270" w:firstLineChars="1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2．重工业</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（以下按工业行业大类分组）</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三、建筑业</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51</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四、交通运输、仓储和邮政业</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52</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五、批发和零售贸易业、餐饮业</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53</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六、其它</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54</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七、生活用电</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55</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nil"/>
              <w:right w:val="single" w:color="auto" w:sz="4" w:space="0"/>
            </w:tcBorders>
            <w:shd w:val="solid" w:color="FFFFFF" w:fill="auto"/>
            <w:noWrap/>
          </w:tcPr>
          <w:p>
            <w:pPr>
              <w:autoSpaceDE w:val="0"/>
              <w:autoSpaceDN w:val="0"/>
              <w:adjustRightInd w:val="0"/>
              <w:snapToGrid w:val="0"/>
              <w:spacing w:line="24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其中：城镇</w:t>
            </w:r>
          </w:p>
        </w:tc>
        <w:tc>
          <w:tcPr>
            <w:tcW w:w="431" w:type="pct"/>
            <w:tcBorders>
              <w:top w:val="nil"/>
              <w:left w:val="single" w:color="auto" w:sz="4" w:space="0"/>
              <w:bottom w:val="nil"/>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nil"/>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56</w:t>
            </w:r>
          </w:p>
        </w:tc>
        <w:tc>
          <w:tcPr>
            <w:tcW w:w="806" w:type="pct"/>
            <w:tcBorders>
              <w:top w:val="nil"/>
              <w:left w:val="single" w:color="auto" w:sz="4" w:space="0"/>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nil"/>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r>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198" w:hRule="atLeast"/>
          <w:jc w:val="center"/>
        </w:trPr>
        <w:tc>
          <w:tcPr>
            <w:tcW w:w="1640" w:type="pct"/>
            <w:tcBorders>
              <w:top w:val="nil"/>
              <w:bottom w:val="single" w:color="auto" w:sz="8" w:space="0"/>
            </w:tcBorders>
            <w:shd w:val="solid" w:color="FFFFFF" w:fill="auto"/>
            <w:noWrap/>
          </w:tcPr>
          <w:p>
            <w:pPr>
              <w:autoSpaceDE w:val="0"/>
              <w:autoSpaceDN w:val="0"/>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乡村</w:t>
            </w:r>
          </w:p>
        </w:tc>
        <w:tc>
          <w:tcPr>
            <w:tcW w:w="431" w:type="pct"/>
            <w:tcBorders>
              <w:top w:val="nil"/>
              <w:bottom w:val="single" w:color="auto" w:sz="8" w:space="0"/>
              <w:right w:val="single" w:color="auto" w:sz="4" w:space="0"/>
            </w:tcBorders>
            <w:shd w:val="solid" w:color="FFFFFF" w:fill="auto"/>
            <w:noWrap/>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67" w:type="pct"/>
            <w:gridSpan w:val="2"/>
            <w:tcBorders>
              <w:top w:val="nil"/>
              <w:left w:val="single" w:color="auto" w:sz="4" w:space="0"/>
              <w:bottom w:val="single" w:color="auto" w:sz="8" w:space="0"/>
              <w:right w:val="single" w:color="auto" w:sz="4" w:space="0"/>
            </w:tcBorders>
            <w:shd w:val="solid" w:color="FFFFFF" w:fill="auto"/>
            <w:noWrap/>
          </w:tcPr>
          <w:p>
            <w:pPr>
              <w:autoSpaceDE w:val="0"/>
              <w:autoSpaceDN w:val="0"/>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57</w:t>
            </w:r>
          </w:p>
        </w:tc>
        <w:tc>
          <w:tcPr>
            <w:tcW w:w="806" w:type="pct"/>
            <w:tcBorders>
              <w:top w:val="nil"/>
              <w:left w:val="single" w:color="auto" w:sz="4" w:space="0"/>
              <w:bottom w:val="single" w:color="auto" w:sz="8" w:space="0"/>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757" w:type="pct"/>
            <w:tcBorders>
              <w:top w:val="nil"/>
              <w:left w:val="nil"/>
              <w:bottom w:val="single" w:color="auto" w:sz="8" w:space="0"/>
              <w:right w:val="nil"/>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c>
          <w:tcPr>
            <w:tcW w:w="1097" w:type="pct"/>
            <w:tcBorders>
              <w:top w:val="nil"/>
              <w:left w:val="nil"/>
              <w:bottom w:val="single" w:color="auto" w:sz="8" w:space="0"/>
            </w:tcBorders>
            <w:shd w:val="solid" w:color="FFFFFF" w:fill="auto"/>
            <w:noWrap/>
          </w:tcPr>
          <w:p>
            <w:pPr>
              <w:autoSpaceDE w:val="0"/>
              <w:autoSpaceDN w:val="0"/>
              <w:adjustRightInd w:val="0"/>
              <w:snapToGrid w:val="0"/>
              <w:spacing w:line="240" w:lineRule="exact"/>
              <w:jc w:val="right"/>
              <w:rPr>
                <w:rFonts w:asciiTheme="minorEastAsia" w:hAnsiTheme="minorEastAsia" w:eastAsiaTheme="minorEastAsia" w:cstheme="minorEastAsia"/>
                <w:sz w:val="18"/>
                <w:szCs w:val="18"/>
              </w:rPr>
            </w:pPr>
          </w:p>
        </w:tc>
      </w:tr>
    </w:tbl>
    <w:p>
      <w:pPr>
        <w:autoSpaceDE w:val="0"/>
        <w:autoSpaceDN w:val="0"/>
        <w:adjustRightInd w:val="0"/>
        <w:snapToGrid w:val="0"/>
        <w:spacing w:after="0" w:afterLines="0" w:line="240" w:lineRule="exact"/>
        <w:ind w:left="-210" w:leftChars="-100"/>
        <w:rPr>
          <w:rFonts w:ascii="宋体" w:hAnsi="宋体" w:cs="宋体"/>
          <w:kern w:val="0"/>
          <w:sz w:val="18"/>
          <w:szCs w:val="18"/>
        </w:rPr>
      </w:pPr>
      <w:r>
        <w:rPr>
          <w:rFonts w:hint="eastAsia" w:ascii="宋体" w:hAnsi="宋体" w:cs="宋体"/>
          <w:kern w:val="0"/>
          <w:sz w:val="18"/>
          <w:szCs w:val="18"/>
        </w:rPr>
        <w:t>单位负责人：          统计负责人：          填表人：          联系电话：        报出日期：２０   年  月  日</w:t>
      </w:r>
    </w:p>
    <w:p>
      <w:pPr>
        <w:adjustRightInd w:val="0"/>
        <w:snapToGrid w:val="0"/>
        <w:spacing w:line="240" w:lineRule="exact"/>
        <w:ind w:right="-38"/>
        <w:rPr>
          <w:sz w:val="18"/>
          <w:szCs w:val="18"/>
        </w:rPr>
      </w:pPr>
      <w:r>
        <w:rPr>
          <w:rFonts w:hint="eastAsia"/>
          <w:b/>
          <w:sz w:val="18"/>
          <w:szCs w:val="18"/>
        </w:rPr>
        <w:t>说明</w:t>
      </w:r>
      <w:r>
        <w:rPr>
          <w:rFonts w:hint="eastAsia"/>
          <w:sz w:val="18"/>
          <w:szCs w:val="18"/>
        </w:rPr>
        <w:t>：</w:t>
      </w:r>
      <w:r>
        <w:rPr>
          <w:rFonts w:ascii="宋体" w:hAnsi="宋体"/>
          <w:sz w:val="18"/>
          <w:szCs w:val="18"/>
        </w:rPr>
        <w:t>1</w:t>
      </w:r>
      <w:r>
        <w:rPr>
          <w:rFonts w:hint="eastAsia" w:ascii="宋体" w:hAnsi="宋体"/>
          <w:sz w:val="18"/>
          <w:szCs w:val="18"/>
        </w:rPr>
        <w:t>.本表由广东电网有限责任公司广州供电局报送。</w:t>
      </w:r>
    </w:p>
    <w:p>
      <w:pPr>
        <w:adjustRightInd w:val="0"/>
        <w:snapToGrid w:val="0"/>
        <w:spacing w:line="240" w:lineRule="exact"/>
        <w:ind w:right="-143" w:firstLine="540" w:firstLineChars="300"/>
        <w:rPr>
          <w:rFonts w:ascii="宋体" w:hAnsi="宋体"/>
          <w:sz w:val="18"/>
          <w:szCs w:val="18"/>
        </w:rPr>
      </w:pPr>
      <w:r>
        <w:rPr>
          <w:rFonts w:ascii="宋体" w:hAnsi="宋体"/>
          <w:sz w:val="18"/>
          <w:szCs w:val="18"/>
        </w:rPr>
        <w:t>2</w:t>
      </w:r>
      <w:r>
        <w:rPr>
          <w:rFonts w:hint="eastAsia" w:ascii="宋体" w:hAnsi="宋体"/>
          <w:sz w:val="18"/>
          <w:szCs w:val="18"/>
        </w:rPr>
        <w:t>.统计范围是辖区内所有电力生产和消费单位及个人的电力消费活动。</w:t>
      </w:r>
    </w:p>
    <w:p>
      <w:pPr>
        <w:adjustRightInd w:val="0"/>
        <w:snapToGrid w:val="0"/>
        <w:spacing w:line="240" w:lineRule="exact"/>
        <w:ind w:right="-1774" w:firstLine="540" w:firstLineChars="300"/>
        <w:rPr>
          <w:rFonts w:ascii="宋体" w:hAnsi="宋体"/>
          <w:sz w:val="18"/>
          <w:szCs w:val="18"/>
        </w:rPr>
      </w:pPr>
      <w:r>
        <w:rPr>
          <w:rFonts w:ascii="宋体" w:hAnsi="宋体"/>
          <w:sz w:val="18"/>
          <w:szCs w:val="18"/>
        </w:rPr>
        <w:t>3</w:t>
      </w:r>
      <w:r>
        <w:rPr>
          <w:rFonts w:hint="eastAsia" w:ascii="宋体" w:hAnsi="宋体"/>
          <w:sz w:val="18"/>
          <w:szCs w:val="18"/>
        </w:rPr>
        <w:t>.报送时间为次年</w:t>
      </w:r>
      <w:r>
        <w:rPr>
          <w:rFonts w:ascii="宋体" w:hAnsi="宋体"/>
          <w:sz w:val="18"/>
          <w:szCs w:val="18"/>
        </w:rPr>
        <w:t>3</w:t>
      </w:r>
      <w:r>
        <w:rPr>
          <w:rFonts w:hint="eastAsia" w:ascii="宋体" w:hAnsi="宋体"/>
          <w:sz w:val="18"/>
          <w:szCs w:val="18"/>
        </w:rPr>
        <w:t>月15日前</w:t>
      </w:r>
      <w:r>
        <w:rPr>
          <w:rFonts w:hint="eastAsia"/>
          <w:sz w:val="18"/>
          <w:szCs w:val="18"/>
        </w:rPr>
        <w:t>，报送方式为电子邮件</w:t>
      </w:r>
      <w:r>
        <w:rPr>
          <w:rFonts w:hint="eastAsia" w:ascii="宋体" w:hAnsi="宋体"/>
          <w:bCs/>
          <w:sz w:val="18"/>
          <w:szCs w:val="18"/>
        </w:rPr>
        <w:t>（</w:t>
      </w:r>
      <w:r>
        <w:rPr>
          <w:rFonts w:ascii="宋体" w:hAnsi="宋体"/>
          <w:sz w:val="18"/>
          <w:szCs w:val="18"/>
        </w:rPr>
        <w:t>gz</w:t>
      </w:r>
      <w:r>
        <w:rPr>
          <w:rFonts w:hint="eastAsia" w:ascii="宋体" w:hAnsi="宋体"/>
          <w:sz w:val="18"/>
          <w:szCs w:val="18"/>
        </w:rPr>
        <w:t>stjjnyc@gz.gov</w:t>
      </w:r>
      <w:r>
        <w:rPr>
          <w:rFonts w:ascii="宋体" w:hAnsi="宋体"/>
          <w:sz w:val="18"/>
          <w:szCs w:val="18"/>
        </w:rPr>
        <w:t>.</w:t>
      </w:r>
      <w:r>
        <w:rPr>
          <w:rFonts w:hint="eastAsia" w:ascii="宋体" w:hAnsi="宋体"/>
          <w:sz w:val="18"/>
          <w:szCs w:val="18"/>
        </w:rPr>
        <w:t>cn</w:t>
      </w:r>
      <w:r>
        <w:rPr>
          <w:rFonts w:hint="eastAsia" w:ascii="宋体" w:hAnsi="宋体"/>
          <w:bCs/>
          <w:sz w:val="18"/>
          <w:szCs w:val="18"/>
        </w:rPr>
        <w:t>）</w:t>
      </w:r>
      <w:r>
        <w:rPr>
          <w:rFonts w:hint="eastAsia" w:ascii="宋体" w:hAnsi="宋体"/>
          <w:sz w:val="18"/>
          <w:szCs w:val="18"/>
        </w:rPr>
        <w:t>。</w:t>
      </w:r>
    </w:p>
    <w:p>
      <w:pPr>
        <w:jc w:val="center"/>
        <w:rPr>
          <w:rFonts w:ascii="宋体" w:hAnsi="宋体"/>
          <w:b/>
          <w:sz w:val="32"/>
        </w:rPr>
      </w:pPr>
      <w:r>
        <w:rPr>
          <w:rFonts w:hint="eastAsia" w:ascii="宋体" w:hAnsi="宋体"/>
          <w:b/>
          <w:sz w:val="32"/>
        </w:rPr>
        <w:t>能源生产企业石油、天然气购进、销售与库存</w:t>
      </w:r>
    </w:p>
    <w:tbl>
      <w:tblPr>
        <w:tblStyle w:val="21"/>
        <w:tblW w:w="9747" w:type="dxa"/>
        <w:jc w:val="center"/>
        <w:tblLayout w:type="fixed"/>
        <w:tblCellMar>
          <w:top w:w="0" w:type="dxa"/>
          <w:left w:w="0" w:type="dxa"/>
          <w:bottom w:w="0" w:type="dxa"/>
          <w:right w:w="0" w:type="dxa"/>
        </w:tblCellMar>
      </w:tblPr>
      <w:tblGrid>
        <w:gridCol w:w="1305"/>
        <w:gridCol w:w="1091"/>
        <w:gridCol w:w="736"/>
        <w:gridCol w:w="533"/>
        <w:gridCol w:w="168"/>
        <w:gridCol w:w="18"/>
        <w:gridCol w:w="630"/>
        <w:gridCol w:w="630"/>
        <w:gridCol w:w="630"/>
        <w:gridCol w:w="630"/>
        <w:gridCol w:w="420"/>
        <w:gridCol w:w="315"/>
        <w:gridCol w:w="630"/>
        <w:gridCol w:w="630"/>
        <w:gridCol w:w="630"/>
        <w:gridCol w:w="751"/>
      </w:tblGrid>
      <w:tr>
        <w:tblPrEx>
          <w:tblCellMar>
            <w:top w:w="0" w:type="dxa"/>
            <w:left w:w="0" w:type="dxa"/>
            <w:bottom w:w="0" w:type="dxa"/>
            <w:right w:w="0" w:type="dxa"/>
          </w:tblCellMar>
        </w:tblPrEx>
        <w:trPr>
          <w:jc w:val="center"/>
        </w:trPr>
        <w:tc>
          <w:tcPr>
            <w:tcW w:w="3665" w:type="dxa"/>
            <w:gridSpan w:val="4"/>
            <w:noWrap/>
            <w:tcMar>
              <w:left w:w="0" w:type="dxa"/>
              <w:right w:w="0" w:type="dxa"/>
            </w:tcMar>
          </w:tcPr>
          <w:p>
            <w:pPr>
              <w:adjustRightInd w:val="0"/>
              <w:snapToGrid w:val="0"/>
              <w:spacing w:line="240" w:lineRule="exact"/>
              <w:jc w:val="center"/>
              <w:rPr>
                <w:rFonts w:asciiTheme="minorEastAsia" w:hAnsiTheme="minorEastAsia" w:eastAsiaTheme="minorEastAsia" w:cstheme="minorEastAsia"/>
                <w:sz w:val="18"/>
                <w:szCs w:val="18"/>
              </w:rPr>
            </w:pPr>
          </w:p>
        </w:tc>
        <w:tc>
          <w:tcPr>
            <w:tcW w:w="168" w:type="dxa"/>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2958" w:type="dxa"/>
            <w:gridSpan w:val="6"/>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945" w:type="dxa"/>
            <w:gridSpan w:val="2"/>
            <w:noWrap/>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表    号：</w:t>
            </w:r>
          </w:p>
        </w:tc>
        <w:tc>
          <w:tcPr>
            <w:tcW w:w="2011" w:type="dxa"/>
            <w:gridSpan w:val="3"/>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粤Ｐ３１５表</w:t>
            </w:r>
          </w:p>
        </w:tc>
      </w:tr>
      <w:tr>
        <w:tblPrEx>
          <w:tblCellMar>
            <w:top w:w="0" w:type="dxa"/>
            <w:left w:w="0" w:type="dxa"/>
            <w:bottom w:w="0" w:type="dxa"/>
            <w:right w:w="0" w:type="dxa"/>
          </w:tblCellMar>
        </w:tblPrEx>
        <w:trPr>
          <w:jc w:val="center"/>
        </w:trPr>
        <w:tc>
          <w:tcPr>
            <w:tcW w:w="3665" w:type="dxa"/>
            <w:gridSpan w:val="4"/>
            <w:noWrap/>
            <w:tcMar>
              <w:left w:w="0" w:type="dxa"/>
              <w:right w:w="0" w:type="dxa"/>
            </w:tcMar>
            <w:vAlign w:val="bottom"/>
          </w:tcPr>
          <w:p>
            <w:pPr>
              <w:adjustRightInd w:val="0"/>
              <w:snapToGrid w:val="0"/>
              <w:spacing w:line="240" w:lineRule="exact"/>
              <w:rPr>
                <w:rFonts w:asciiTheme="minorEastAsia" w:hAnsiTheme="minorEastAsia" w:eastAsiaTheme="minorEastAsia" w:cstheme="minorEastAsia"/>
                <w:sz w:val="18"/>
                <w:szCs w:val="18"/>
              </w:rPr>
            </w:pPr>
          </w:p>
        </w:tc>
        <w:tc>
          <w:tcPr>
            <w:tcW w:w="168" w:type="dxa"/>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2958" w:type="dxa"/>
            <w:gridSpan w:val="6"/>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945" w:type="dxa"/>
            <w:gridSpan w:val="2"/>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制定机关：</w:t>
            </w:r>
          </w:p>
        </w:tc>
        <w:tc>
          <w:tcPr>
            <w:tcW w:w="2011" w:type="dxa"/>
            <w:gridSpan w:val="3"/>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广东省统计局</w:t>
            </w:r>
          </w:p>
        </w:tc>
      </w:tr>
      <w:tr>
        <w:tblPrEx>
          <w:tblCellMar>
            <w:top w:w="0" w:type="dxa"/>
            <w:left w:w="0" w:type="dxa"/>
            <w:bottom w:w="0" w:type="dxa"/>
            <w:right w:w="0" w:type="dxa"/>
          </w:tblCellMar>
        </w:tblPrEx>
        <w:trPr>
          <w:trHeight w:val="168" w:hRule="atLeast"/>
          <w:jc w:val="center"/>
        </w:trPr>
        <w:tc>
          <w:tcPr>
            <w:tcW w:w="3665" w:type="dxa"/>
            <w:gridSpan w:val="4"/>
            <w:tcBorders>
              <w:bottom w:val="nil"/>
            </w:tcBorders>
            <w:noWrap/>
            <w:tcMar>
              <w:left w:w="0" w:type="dxa"/>
              <w:right w:w="0" w:type="dxa"/>
            </w:tcMar>
          </w:tcPr>
          <w:p>
            <w:pPr>
              <w:adjustRightInd w:val="0"/>
              <w:snapToGrid w:val="0"/>
              <w:spacing w:line="240" w:lineRule="exact"/>
              <w:jc w:val="left"/>
              <w:rPr>
                <w:rFonts w:asciiTheme="minorEastAsia" w:hAnsiTheme="minorEastAsia" w:eastAsiaTheme="minorEastAsia" w:cstheme="minorEastAsia"/>
                <w:sz w:val="18"/>
                <w:szCs w:val="18"/>
              </w:rPr>
            </w:pPr>
          </w:p>
        </w:tc>
        <w:tc>
          <w:tcPr>
            <w:tcW w:w="168" w:type="dxa"/>
            <w:tcBorders>
              <w:bottom w:val="nil"/>
            </w:tcBorders>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2958" w:type="dxa"/>
            <w:gridSpan w:val="6"/>
            <w:tcBorders>
              <w:bottom w:val="nil"/>
            </w:tcBorders>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945" w:type="dxa"/>
            <w:gridSpan w:val="2"/>
            <w:tcBorders>
              <w:bottom w:val="nil"/>
            </w:tcBorders>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批准机关：</w:t>
            </w:r>
          </w:p>
        </w:tc>
        <w:tc>
          <w:tcPr>
            <w:tcW w:w="2011" w:type="dxa"/>
            <w:gridSpan w:val="3"/>
            <w:tcBorders>
              <w:bottom w:val="nil"/>
            </w:tcBorders>
            <w:noWrap/>
            <w:vAlign w:val="center"/>
          </w:tcPr>
          <w:p>
            <w:pPr>
              <w:adjustRightInd w:val="0"/>
              <w:snapToGrid w:val="0"/>
              <w:spacing w:line="240" w:lineRule="exact"/>
              <w:jc w:val="distribute"/>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国家统计局</w:t>
            </w:r>
          </w:p>
        </w:tc>
      </w:tr>
      <w:tr>
        <w:tblPrEx>
          <w:tblCellMar>
            <w:top w:w="0" w:type="dxa"/>
            <w:left w:w="0" w:type="dxa"/>
            <w:bottom w:w="0" w:type="dxa"/>
            <w:right w:w="0" w:type="dxa"/>
          </w:tblCellMar>
        </w:tblPrEx>
        <w:trPr>
          <w:trHeight w:val="312" w:hRule="atLeast"/>
          <w:jc w:val="center"/>
        </w:trPr>
        <w:tc>
          <w:tcPr>
            <w:tcW w:w="3665" w:type="dxa"/>
            <w:gridSpan w:val="4"/>
            <w:noWrap/>
            <w:tcMar>
              <w:left w:w="0" w:type="dxa"/>
              <w:right w:w="0" w:type="dxa"/>
            </w:tcMar>
          </w:tcPr>
          <w:p>
            <w:pPr>
              <w:adjustRightInd w:val="0"/>
              <w:snapToGrid w:val="0"/>
              <w:spacing w:line="240" w:lineRule="exact"/>
              <w:jc w:val="left"/>
              <w:rPr>
                <w:rFonts w:asciiTheme="minorEastAsia" w:hAnsiTheme="minorEastAsia" w:eastAsiaTheme="minorEastAsia" w:cstheme="minorEastAsia"/>
                <w:sz w:val="18"/>
                <w:szCs w:val="18"/>
              </w:rPr>
            </w:pPr>
          </w:p>
        </w:tc>
        <w:tc>
          <w:tcPr>
            <w:tcW w:w="168" w:type="dxa"/>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2958" w:type="dxa"/>
            <w:gridSpan w:val="6"/>
            <w:noWrap/>
          </w:tcPr>
          <w:p>
            <w:pPr>
              <w:adjustRightInd w:val="0"/>
              <w:snapToGrid w:val="0"/>
              <w:spacing w:line="240" w:lineRule="exact"/>
              <w:rPr>
                <w:rFonts w:asciiTheme="minorEastAsia" w:hAnsiTheme="minorEastAsia" w:eastAsiaTheme="minorEastAsia" w:cstheme="minorEastAsia"/>
                <w:sz w:val="18"/>
                <w:szCs w:val="18"/>
              </w:rPr>
            </w:pPr>
          </w:p>
        </w:tc>
        <w:tc>
          <w:tcPr>
            <w:tcW w:w="945" w:type="dxa"/>
            <w:gridSpan w:val="2"/>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批准文号：</w:t>
            </w:r>
          </w:p>
        </w:tc>
        <w:tc>
          <w:tcPr>
            <w:tcW w:w="2011" w:type="dxa"/>
            <w:gridSpan w:val="3"/>
            <w:noWrap/>
            <w:vAlign w:val="center"/>
          </w:tcPr>
          <w:p>
            <w:pPr>
              <w:widowControl/>
              <w:jc w:val="distribute"/>
              <w:rPr>
                <w:rFonts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国统制</w:t>
            </w:r>
            <w:r>
              <w:rPr>
                <w:rFonts w:hint="eastAsia" w:ascii="宋体" w:hAnsi="宋体"/>
                <w:color w:val="auto"/>
                <w:sz w:val="18"/>
                <w:szCs w:val="18"/>
              </w:rPr>
              <w:t>〔</w:t>
            </w:r>
            <w:r>
              <w:rPr>
                <w:rFonts w:hint="eastAsia" w:asciiTheme="minorEastAsia" w:hAnsiTheme="minorEastAsia" w:eastAsiaTheme="minorEastAsia" w:cstheme="minorEastAsia"/>
                <w:color w:val="auto"/>
                <w:sz w:val="18"/>
                <w:szCs w:val="18"/>
                <w:highlight w:val="none"/>
              </w:rPr>
              <w:t>2026</w:t>
            </w:r>
            <w:r>
              <w:rPr>
                <w:rFonts w:hint="eastAsia" w:ascii="宋体" w:hAnsi="宋体"/>
                <w:color w:val="auto"/>
                <w:sz w:val="18"/>
                <w:szCs w:val="18"/>
              </w:rPr>
              <w:t>〕</w:t>
            </w:r>
            <w:r>
              <w:rPr>
                <w:rFonts w:hint="eastAsia" w:asciiTheme="minorEastAsia" w:hAnsiTheme="minorEastAsia" w:eastAsiaTheme="minorEastAsia" w:cstheme="minorEastAsia"/>
                <w:color w:val="auto"/>
                <w:sz w:val="18"/>
                <w:szCs w:val="18"/>
                <w:highlight w:val="none"/>
              </w:rPr>
              <w:t>48号</w:t>
            </w:r>
          </w:p>
        </w:tc>
      </w:tr>
      <w:tr>
        <w:tblPrEx>
          <w:tblCellMar>
            <w:top w:w="0" w:type="dxa"/>
            <w:left w:w="0" w:type="dxa"/>
            <w:bottom w:w="0" w:type="dxa"/>
            <w:right w:w="0" w:type="dxa"/>
          </w:tblCellMar>
        </w:tblPrEx>
        <w:trPr>
          <w:trHeight w:val="264" w:hRule="atLeast"/>
          <w:jc w:val="center"/>
        </w:trPr>
        <w:tc>
          <w:tcPr>
            <w:tcW w:w="3665" w:type="dxa"/>
            <w:gridSpan w:val="4"/>
            <w:noWrap/>
            <w:tcMar>
              <w:left w:w="0" w:type="dxa"/>
              <w:right w:w="0" w:type="dxa"/>
            </w:tcMar>
          </w:tcPr>
          <w:p>
            <w:pPr>
              <w:adjustRightInd w:val="0"/>
              <w:snapToGrid w:val="0"/>
              <w:spacing w:line="24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综合机关名称：</w:t>
            </w:r>
          </w:p>
        </w:tc>
        <w:tc>
          <w:tcPr>
            <w:tcW w:w="3126" w:type="dxa"/>
            <w:gridSpan w:val="7"/>
            <w:noWrap/>
          </w:tcPr>
          <w:p>
            <w:pPr>
              <w:adjustRightInd w:val="0"/>
              <w:snapToGrid w:val="0"/>
              <w:spacing w:line="240" w:lineRule="exact"/>
              <w:ind w:firstLine="630" w:firstLineChars="350"/>
              <w:rPr>
                <w:rFonts w:asciiTheme="minorEastAsia" w:hAnsiTheme="minorEastAsia" w:eastAsiaTheme="minorEastAsia" w:cstheme="minorEastAsia"/>
                <w:sz w:val="18"/>
                <w:szCs w:val="18"/>
              </w:rPr>
            </w:pPr>
            <w:r>
              <w:rPr>
                <w:sz w:val="18"/>
                <w:szCs w:val="18"/>
              </w:rPr>
              <w:t>２０　　年</w:t>
            </w:r>
          </w:p>
        </w:tc>
        <w:tc>
          <w:tcPr>
            <w:tcW w:w="945" w:type="dxa"/>
            <w:gridSpan w:val="2"/>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有效期至：</w:t>
            </w:r>
          </w:p>
        </w:tc>
        <w:tc>
          <w:tcPr>
            <w:tcW w:w="2011" w:type="dxa"/>
            <w:gridSpan w:val="3"/>
            <w:noWrap/>
            <w:vAlign w:val="center"/>
          </w:tcPr>
          <w:p>
            <w:pPr>
              <w:adjustRightInd w:val="0"/>
              <w:snapToGrid w:val="0"/>
              <w:spacing w:line="240" w:lineRule="exact"/>
              <w:jc w:val="distribute"/>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２０２</w:t>
            </w:r>
            <w:r>
              <w:rPr>
                <w:rFonts w:hint="eastAsia" w:asciiTheme="minorEastAsia" w:hAnsiTheme="minorEastAsia" w:eastAsiaTheme="minorEastAsia" w:cstheme="minorEastAsia"/>
                <w:color w:val="auto"/>
                <w:sz w:val="18"/>
                <w:szCs w:val="18"/>
                <w:lang w:val="en-US" w:eastAsia="zh-CN"/>
              </w:rPr>
              <w:t>6</w:t>
            </w:r>
            <w:r>
              <w:rPr>
                <w:rFonts w:hint="eastAsia" w:asciiTheme="minorEastAsia" w:hAnsiTheme="minorEastAsia" w:eastAsiaTheme="minorEastAsia" w:cstheme="minorEastAsia"/>
                <w:color w:val="auto"/>
                <w:sz w:val="18"/>
                <w:szCs w:val="18"/>
              </w:rPr>
              <w:t>年６月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75" w:hRule="atLeast"/>
          <w:jc w:val="center"/>
        </w:trPr>
        <w:tc>
          <w:tcPr>
            <w:tcW w:w="1305" w:type="dxa"/>
            <w:vMerge w:val="restart"/>
            <w:tcBorders>
              <w:top w:val="single" w:color="auto" w:sz="8" w:space="0"/>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 源 名 称</w:t>
            </w:r>
          </w:p>
        </w:tc>
        <w:tc>
          <w:tcPr>
            <w:tcW w:w="1091" w:type="dxa"/>
            <w:vMerge w:val="restart"/>
            <w:tcBorders>
              <w:top w:val="single" w:color="auto" w:sz="8" w:space="0"/>
              <w:left w:val="single" w:color="auto" w:sz="4" w:space="0"/>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计量单位</w:t>
            </w:r>
          </w:p>
        </w:tc>
        <w:tc>
          <w:tcPr>
            <w:tcW w:w="736" w:type="dxa"/>
            <w:vMerge w:val="restart"/>
            <w:tcBorders>
              <w:top w:val="single" w:color="auto" w:sz="8" w:space="0"/>
              <w:left w:val="single" w:color="auto" w:sz="4" w:space="0"/>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代码</w:t>
            </w:r>
          </w:p>
        </w:tc>
        <w:tc>
          <w:tcPr>
            <w:tcW w:w="719" w:type="dxa"/>
            <w:gridSpan w:val="3"/>
            <w:vMerge w:val="restart"/>
            <w:tcBorders>
              <w:top w:val="single" w:color="auto" w:sz="8" w:space="0"/>
              <w:lef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年初</w:t>
            </w:r>
          </w:p>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库存</w:t>
            </w:r>
          </w:p>
        </w:tc>
        <w:tc>
          <w:tcPr>
            <w:tcW w:w="1890" w:type="dxa"/>
            <w:gridSpan w:val="3"/>
            <w:tcBorders>
              <w:top w:val="single" w:color="auto" w:sz="8" w:space="0"/>
              <w:left w:val="single" w:color="auto" w:sz="4" w:space="0"/>
              <w:bottom w:val="nil"/>
            </w:tcBorders>
            <w:noWrap/>
            <w:vAlign w:val="bottom"/>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购进量</w:t>
            </w:r>
          </w:p>
        </w:tc>
        <w:tc>
          <w:tcPr>
            <w:tcW w:w="1995" w:type="dxa"/>
            <w:gridSpan w:val="4"/>
            <w:tcBorders>
              <w:top w:val="single" w:color="auto" w:sz="8" w:space="0"/>
              <w:bottom w:val="nil"/>
            </w:tcBorders>
            <w:noWrap/>
            <w:vAlign w:val="bottom"/>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销售量</w:t>
            </w:r>
          </w:p>
        </w:tc>
        <w:tc>
          <w:tcPr>
            <w:tcW w:w="630" w:type="dxa"/>
            <w:vMerge w:val="restart"/>
            <w:tcBorders>
              <w:top w:val="single" w:color="auto" w:sz="8" w:space="0"/>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年末</w:t>
            </w:r>
          </w:p>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库存</w:t>
            </w:r>
          </w:p>
        </w:tc>
        <w:tc>
          <w:tcPr>
            <w:tcW w:w="630" w:type="dxa"/>
            <w:vMerge w:val="restart"/>
            <w:tcBorders>
              <w:top w:val="single" w:color="auto" w:sz="8" w:space="0"/>
              <w:lef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损失量</w:t>
            </w:r>
          </w:p>
        </w:tc>
        <w:tc>
          <w:tcPr>
            <w:tcW w:w="751" w:type="dxa"/>
            <w:vMerge w:val="restart"/>
            <w:tcBorders>
              <w:top w:val="single" w:color="auto" w:sz="8" w:space="0"/>
              <w:left w:val="single" w:color="auto" w:sz="4" w:space="0"/>
            </w:tcBorders>
            <w:noWrap/>
            <w:vAlign w:val="center"/>
          </w:tcPr>
          <w:p>
            <w:pPr>
              <w:adjustRightInd w:val="0"/>
              <w:snapToGrid w:val="0"/>
              <w:spacing w:line="240" w:lineRule="exact"/>
              <w:ind w:firstLine="180" w:firstLineChars="10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其中：</w:t>
            </w:r>
          </w:p>
          <w:p>
            <w:pPr>
              <w:adjustRightInd w:val="0"/>
              <w:snapToGrid w:val="0"/>
              <w:spacing w:line="240" w:lineRule="exact"/>
              <w:ind w:firstLine="180" w:firstLineChars="10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运输</w:t>
            </w:r>
          </w:p>
          <w:p>
            <w:pPr>
              <w:adjustRightInd w:val="0"/>
              <w:snapToGrid w:val="0"/>
              <w:spacing w:line="240" w:lineRule="exact"/>
              <w:ind w:firstLine="180" w:firstLineChars="100"/>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损失</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420" w:hRule="atLeast"/>
          <w:jc w:val="center"/>
        </w:trPr>
        <w:tc>
          <w:tcPr>
            <w:tcW w:w="1305" w:type="dxa"/>
            <w:vMerge w:val="continue"/>
            <w:tcBorders>
              <w:right w:val="single" w:color="auto" w:sz="4" w:space="0"/>
            </w:tcBorders>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1091" w:type="dxa"/>
            <w:vMerge w:val="continue"/>
            <w:tcBorders>
              <w:left w:val="single" w:color="auto" w:sz="4" w:space="0"/>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p>
        </w:tc>
        <w:tc>
          <w:tcPr>
            <w:tcW w:w="736" w:type="dxa"/>
            <w:vMerge w:val="continue"/>
            <w:tcBorders>
              <w:left w:val="single" w:color="auto" w:sz="4" w:space="0"/>
              <w:right w:val="single" w:color="auto" w:sz="4" w:space="0"/>
            </w:tcBorders>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719" w:type="dxa"/>
            <w:gridSpan w:val="3"/>
            <w:vMerge w:val="continue"/>
            <w:tcBorders>
              <w:left w:val="single" w:color="auto" w:sz="4" w:space="0"/>
              <w:bottom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p>
        </w:tc>
        <w:tc>
          <w:tcPr>
            <w:tcW w:w="630" w:type="dxa"/>
            <w:tcBorders>
              <w:top w:val="single" w:color="auto" w:sz="2" w:space="0"/>
              <w:left w:val="single" w:color="auto" w:sz="4" w:space="0"/>
              <w:bottom w:val="single" w:color="auto" w:sz="2"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合计</w:t>
            </w:r>
          </w:p>
        </w:tc>
        <w:tc>
          <w:tcPr>
            <w:tcW w:w="630" w:type="dxa"/>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购自</w:t>
            </w:r>
          </w:p>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市外</w:t>
            </w:r>
          </w:p>
        </w:tc>
        <w:tc>
          <w:tcPr>
            <w:tcW w:w="630" w:type="dxa"/>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进 口</w:t>
            </w:r>
          </w:p>
        </w:tc>
        <w:tc>
          <w:tcPr>
            <w:tcW w:w="630" w:type="dxa"/>
            <w:tcBorders>
              <w:top w:val="single" w:color="auto" w:sz="2" w:space="0"/>
              <w:bottom w:val="single" w:color="auto" w:sz="2"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合计</w:t>
            </w:r>
          </w:p>
        </w:tc>
        <w:tc>
          <w:tcPr>
            <w:tcW w:w="735" w:type="dxa"/>
            <w:gridSpan w:val="2"/>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销往</w:t>
            </w:r>
          </w:p>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市外</w:t>
            </w:r>
          </w:p>
        </w:tc>
        <w:tc>
          <w:tcPr>
            <w:tcW w:w="630" w:type="dxa"/>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出 口</w:t>
            </w:r>
          </w:p>
        </w:tc>
        <w:tc>
          <w:tcPr>
            <w:tcW w:w="630" w:type="dxa"/>
            <w:vMerge w:val="continue"/>
            <w:tcBorders>
              <w:right w:val="single" w:color="auto" w:sz="4" w:space="0"/>
            </w:tcBorders>
            <w:noWrap/>
          </w:tcPr>
          <w:p>
            <w:pPr>
              <w:adjustRightInd w:val="0"/>
              <w:snapToGrid w:val="0"/>
              <w:spacing w:line="240" w:lineRule="exact"/>
              <w:rPr>
                <w:rFonts w:asciiTheme="minorEastAsia" w:hAnsiTheme="minorEastAsia" w:eastAsiaTheme="minorEastAsia" w:cstheme="minorEastAsia"/>
                <w:sz w:val="18"/>
                <w:szCs w:val="18"/>
              </w:rPr>
            </w:pPr>
          </w:p>
        </w:tc>
        <w:tc>
          <w:tcPr>
            <w:tcW w:w="630" w:type="dxa"/>
            <w:vMerge w:val="continue"/>
            <w:tcBorders>
              <w:left w:val="single" w:color="auto" w:sz="4" w:space="0"/>
            </w:tcBorders>
            <w:noWrap/>
          </w:tcPr>
          <w:p>
            <w:pPr>
              <w:adjustRightInd w:val="0"/>
              <w:snapToGrid w:val="0"/>
              <w:spacing w:line="240" w:lineRule="exact"/>
              <w:rPr>
                <w:rFonts w:asciiTheme="minorEastAsia" w:hAnsiTheme="minorEastAsia" w:eastAsiaTheme="minorEastAsia" w:cstheme="minorEastAsia"/>
                <w:sz w:val="18"/>
                <w:szCs w:val="18"/>
              </w:rPr>
            </w:pPr>
          </w:p>
        </w:tc>
        <w:tc>
          <w:tcPr>
            <w:tcW w:w="751" w:type="dxa"/>
            <w:vMerge w:val="continue"/>
            <w:tcBorders>
              <w:left w:val="single" w:color="auto" w:sz="4" w:space="0"/>
            </w:tcBorders>
            <w:noWrap/>
          </w:tcPr>
          <w:p>
            <w:pPr>
              <w:adjustRightInd w:val="0"/>
              <w:snapToGrid w:val="0"/>
              <w:spacing w:line="240" w:lineRule="exact"/>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54" w:hRule="atLeast"/>
          <w:jc w:val="center"/>
        </w:trPr>
        <w:tc>
          <w:tcPr>
            <w:tcW w:w="1305" w:type="dxa"/>
            <w:tcBorders>
              <w:bottom w:val="single" w:color="auto" w:sz="4" w:space="0"/>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甲</w:t>
            </w:r>
          </w:p>
        </w:tc>
        <w:tc>
          <w:tcPr>
            <w:tcW w:w="1091" w:type="dxa"/>
            <w:tcBorders>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乙</w:t>
            </w:r>
          </w:p>
        </w:tc>
        <w:tc>
          <w:tcPr>
            <w:tcW w:w="736" w:type="dxa"/>
            <w:tcBorders>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丙</w:t>
            </w:r>
          </w:p>
        </w:tc>
        <w:tc>
          <w:tcPr>
            <w:tcW w:w="719" w:type="dxa"/>
            <w:gridSpan w:val="3"/>
            <w:tcBorders>
              <w:top w:val="single" w:color="auto" w:sz="4" w:space="0"/>
              <w:left w:val="single" w:color="auto" w:sz="4" w:space="0"/>
              <w:bottom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630" w:type="dxa"/>
            <w:tcBorders>
              <w:top w:val="single" w:color="auto" w:sz="2" w:space="0"/>
              <w:left w:val="single" w:color="auto" w:sz="4" w:space="0"/>
              <w:bottom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630" w:type="dxa"/>
            <w:tcBorders>
              <w:top w:val="single" w:color="auto" w:sz="2" w:space="0"/>
              <w:bottom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630" w:type="dxa"/>
            <w:tcBorders>
              <w:top w:val="single" w:color="auto" w:sz="2" w:space="0"/>
              <w:bottom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w:t>
            </w:r>
          </w:p>
        </w:tc>
        <w:tc>
          <w:tcPr>
            <w:tcW w:w="630" w:type="dxa"/>
            <w:tcBorders>
              <w:top w:val="single" w:color="auto" w:sz="2" w:space="0"/>
              <w:bottom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735" w:type="dxa"/>
            <w:gridSpan w:val="2"/>
            <w:tcBorders>
              <w:bottom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w:t>
            </w:r>
          </w:p>
        </w:tc>
        <w:tc>
          <w:tcPr>
            <w:tcW w:w="630" w:type="dxa"/>
            <w:tcBorders>
              <w:bottom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w:t>
            </w:r>
          </w:p>
        </w:tc>
        <w:tc>
          <w:tcPr>
            <w:tcW w:w="630" w:type="dxa"/>
            <w:tcBorders>
              <w:bottom w:val="single" w:color="auto" w:sz="4" w:space="0"/>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w:t>
            </w:r>
          </w:p>
        </w:tc>
        <w:tc>
          <w:tcPr>
            <w:tcW w:w="630" w:type="dxa"/>
            <w:tcBorders>
              <w:left w:val="single" w:color="auto" w:sz="4" w:space="0"/>
              <w:bottom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w:t>
            </w:r>
          </w:p>
        </w:tc>
        <w:tc>
          <w:tcPr>
            <w:tcW w:w="751" w:type="dxa"/>
            <w:tcBorders>
              <w:left w:val="single" w:color="auto" w:sz="4" w:space="0"/>
              <w:bottom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113" w:hRule="atLeast"/>
          <w:jc w:val="center"/>
        </w:trPr>
        <w:tc>
          <w:tcPr>
            <w:tcW w:w="1305" w:type="dxa"/>
            <w:tcBorders>
              <w:top w:val="single" w:color="auto" w:sz="4" w:space="0"/>
              <w:bottom w:val="nil"/>
              <w:right w:val="single" w:color="auto" w:sz="4" w:space="0"/>
            </w:tcBorders>
            <w:noWrap/>
            <w:vAlign w:val="center"/>
          </w:tcPr>
          <w:p>
            <w:pPr>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原油</w:t>
            </w:r>
          </w:p>
        </w:tc>
        <w:tc>
          <w:tcPr>
            <w:tcW w:w="1091" w:type="dxa"/>
            <w:tcBorders>
              <w:top w:val="single" w:color="auto" w:sz="4" w:space="0"/>
              <w:left w:val="single" w:color="auto" w:sz="4" w:space="0"/>
              <w:bottom w:val="nil"/>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 吨</w:t>
            </w:r>
          </w:p>
        </w:tc>
        <w:tc>
          <w:tcPr>
            <w:tcW w:w="736" w:type="dxa"/>
            <w:tcBorders>
              <w:top w:val="single" w:color="auto" w:sz="4" w:space="0"/>
              <w:left w:val="single" w:color="auto" w:sz="4" w:space="0"/>
              <w:bottom w:val="nil"/>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01</w:t>
            </w:r>
          </w:p>
        </w:tc>
        <w:tc>
          <w:tcPr>
            <w:tcW w:w="6615" w:type="dxa"/>
            <w:gridSpan w:val="13"/>
            <w:vMerge w:val="restart"/>
            <w:tcBorders>
              <w:top w:val="single" w:color="auto" w:sz="4" w:space="0"/>
              <w:left w:val="single" w:color="auto" w:sz="4" w:space="0"/>
            </w:tcBorders>
            <w:noWrap/>
          </w:tcPr>
          <w:p>
            <w:pPr>
              <w:adjustRightInd w:val="0"/>
              <w:snapToGrid w:val="0"/>
              <w:spacing w:line="240" w:lineRule="exact"/>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113" w:hRule="atLeast"/>
          <w:jc w:val="center"/>
        </w:trPr>
        <w:tc>
          <w:tcPr>
            <w:tcW w:w="1305" w:type="dxa"/>
            <w:tcBorders>
              <w:top w:val="nil"/>
              <w:bottom w:val="nil"/>
              <w:right w:val="single" w:color="auto" w:sz="4" w:space="0"/>
            </w:tcBorders>
            <w:noWrap/>
            <w:vAlign w:val="center"/>
          </w:tcPr>
          <w:p>
            <w:pPr>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天然气</w:t>
            </w:r>
          </w:p>
        </w:tc>
        <w:tc>
          <w:tcPr>
            <w:tcW w:w="1091" w:type="dxa"/>
            <w:tcBorders>
              <w:top w:val="nil"/>
              <w:left w:val="single" w:color="auto" w:sz="4" w:space="0"/>
              <w:bottom w:val="nil"/>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万立方米</w:t>
            </w:r>
          </w:p>
        </w:tc>
        <w:tc>
          <w:tcPr>
            <w:tcW w:w="736" w:type="dxa"/>
            <w:tcBorders>
              <w:top w:val="nil"/>
              <w:left w:val="single" w:color="auto" w:sz="4" w:space="0"/>
              <w:bottom w:val="nil"/>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02</w:t>
            </w:r>
          </w:p>
        </w:tc>
        <w:tc>
          <w:tcPr>
            <w:tcW w:w="6615" w:type="dxa"/>
            <w:gridSpan w:val="13"/>
            <w:vMerge w:val="continue"/>
            <w:tcBorders>
              <w:left w:val="single" w:color="auto" w:sz="4" w:space="0"/>
            </w:tcBorders>
            <w:noWrap/>
          </w:tcPr>
          <w:p>
            <w:pPr>
              <w:adjustRightInd w:val="0"/>
              <w:snapToGrid w:val="0"/>
              <w:spacing w:line="240" w:lineRule="exact"/>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113" w:hRule="atLeast"/>
          <w:jc w:val="center"/>
        </w:trPr>
        <w:tc>
          <w:tcPr>
            <w:tcW w:w="1305" w:type="dxa"/>
            <w:tcBorders>
              <w:top w:val="nil"/>
              <w:bottom w:val="nil"/>
              <w:right w:val="single" w:color="auto" w:sz="4" w:space="0"/>
            </w:tcBorders>
            <w:noWrap/>
            <w:vAlign w:val="center"/>
          </w:tcPr>
          <w:p>
            <w:pPr>
              <w:adjustRightInd w:val="0"/>
              <w:snapToGrid w:val="0"/>
              <w:spacing w:line="240" w:lineRule="exact"/>
              <w:ind w:firstLine="90" w:firstLineChars="5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汽油</w:t>
            </w:r>
          </w:p>
        </w:tc>
        <w:tc>
          <w:tcPr>
            <w:tcW w:w="1091" w:type="dxa"/>
            <w:tcBorders>
              <w:top w:val="nil"/>
              <w:left w:val="single" w:color="auto" w:sz="4" w:space="0"/>
              <w:bottom w:val="nil"/>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 吨</w:t>
            </w:r>
          </w:p>
        </w:tc>
        <w:tc>
          <w:tcPr>
            <w:tcW w:w="736" w:type="dxa"/>
            <w:tcBorders>
              <w:top w:val="nil"/>
              <w:left w:val="single" w:color="auto" w:sz="4" w:space="0"/>
              <w:bottom w:val="nil"/>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03</w:t>
            </w:r>
          </w:p>
        </w:tc>
        <w:tc>
          <w:tcPr>
            <w:tcW w:w="6615" w:type="dxa"/>
            <w:gridSpan w:val="13"/>
            <w:vMerge w:val="continue"/>
            <w:tcBorders>
              <w:left w:val="single" w:color="auto" w:sz="4" w:space="0"/>
            </w:tcBorders>
            <w:noWrap/>
          </w:tcPr>
          <w:p>
            <w:pPr>
              <w:adjustRightInd w:val="0"/>
              <w:snapToGrid w:val="0"/>
              <w:spacing w:line="240" w:lineRule="exact"/>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113" w:hRule="atLeast"/>
          <w:jc w:val="center"/>
        </w:trPr>
        <w:tc>
          <w:tcPr>
            <w:tcW w:w="1305" w:type="dxa"/>
            <w:tcBorders>
              <w:top w:val="nil"/>
              <w:bottom w:val="nil"/>
              <w:right w:val="single" w:color="auto" w:sz="4" w:space="0"/>
            </w:tcBorders>
            <w:noWrap/>
            <w:vAlign w:val="center"/>
          </w:tcPr>
          <w:p>
            <w:pPr>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煤油</w:t>
            </w:r>
          </w:p>
        </w:tc>
        <w:tc>
          <w:tcPr>
            <w:tcW w:w="1091" w:type="dxa"/>
            <w:tcBorders>
              <w:top w:val="nil"/>
              <w:left w:val="single" w:color="auto" w:sz="4" w:space="0"/>
              <w:bottom w:val="nil"/>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 吨</w:t>
            </w:r>
          </w:p>
        </w:tc>
        <w:tc>
          <w:tcPr>
            <w:tcW w:w="736" w:type="dxa"/>
            <w:tcBorders>
              <w:top w:val="nil"/>
              <w:left w:val="single" w:color="auto" w:sz="4" w:space="0"/>
              <w:bottom w:val="nil"/>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04</w:t>
            </w:r>
          </w:p>
        </w:tc>
        <w:tc>
          <w:tcPr>
            <w:tcW w:w="6615" w:type="dxa"/>
            <w:gridSpan w:val="13"/>
            <w:vMerge w:val="continue"/>
            <w:tcBorders>
              <w:left w:val="single" w:color="auto" w:sz="4" w:space="0"/>
            </w:tcBorders>
            <w:noWrap/>
          </w:tcPr>
          <w:p>
            <w:pPr>
              <w:adjustRightInd w:val="0"/>
              <w:snapToGrid w:val="0"/>
              <w:spacing w:line="240" w:lineRule="exact"/>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113" w:hRule="atLeast"/>
          <w:jc w:val="center"/>
        </w:trPr>
        <w:tc>
          <w:tcPr>
            <w:tcW w:w="1305" w:type="dxa"/>
            <w:tcBorders>
              <w:top w:val="nil"/>
              <w:bottom w:val="nil"/>
              <w:right w:val="single" w:color="auto" w:sz="4" w:space="0"/>
            </w:tcBorders>
            <w:noWrap/>
            <w:vAlign w:val="center"/>
          </w:tcPr>
          <w:p>
            <w:pPr>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柴油</w:t>
            </w:r>
          </w:p>
        </w:tc>
        <w:tc>
          <w:tcPr>
            <w:tcW w:w="1091" w:type="dxa"/>
            <w:tcBorders>
              <w:top w:val="nil"/>
              <w:left w:val="single" w:color="auto" w:sz="4" w:space="0"/>
              <w:bottom w:val="nil"/>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 吨</w:t>
            </w:r>
          </w:p>
        </w:tc>
        <w:tc>
          <w:tcPr>
            <w:tcW w:w="736" w:type="dxa"/>
            <w:tcBorders>
              <w:top w:val="nil"/>
              <w:left w:val="single" w:color="auto" w:sz="4" w:space="0"/>
              <w:bottom w:val="nil"/>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05</w:t>
            </w:r>
          </w:p>
        </w:tc>
        <w:tc>
          <w:tcPr>
            <w:tcW w:w="6615" w:type="dxa"/>
            <w:gridSpan w:val="13"/>
            <w:vMerge w:val="continue"/>
            <w:tcBorders>
              <w:left w:val="single" w:color="auto" w:sz="4" w:space="0"/>
            </w:tcBorders>
            <w:noWrap/>
          </w:tcPr>
          <w:p>
            <w:pPr>
              <w:adjustRightInd w:val="0"/>
              <w:snapToGrid w:val="0"/>
              <w:spacing w:line="240" w:lineRule="exact"/>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113" w:hRule="atLeast"/>
          <w:jc w:val="center"/>
        </w:trPr>
        <w:tc>
          <w:tcPr>
            <w:tcW w:w="1305" w:type="dxa"/>
            <w:tcBorders>
              <w:top w:val="nil"/>
              <w:bottom w:val="nil"/>
              <w:right w:val="single" w:color="auto" w:sz="4" w:space="0"/>
            </w:tcBorders>
            <w:noWrap/>
            <w:vAlign w:val="center"/>
          </w:tcPr>
          <w:p>
            <w:pPr>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燃料油</w:t>
            </w:r>
          </w:p>
        </w:tc>
        <w:tc>
          <w:tcPr>
            <w:tcW w:w="1091" w:type="dxa"/>
            <w:tcBorders>
              <w:top w:val="nil"/>
              <w:left w:val="single" w:color="auto" w:sz="4" w:space="0"/>
              <w:bottom w:val="nil"/>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 吨</w:t>
            </w:r>
          </w:p>
        </w:tc>
        <w:tc>
          <w:tcPr>
            <w:tcW w:w="736" w:type="dxa"/>
            <w:tcBorders>
              <w:top w:val="nil"/>
              <w:left w:val="single" w:color="auto" w:sz="4" w:space="0"/>
              <w:bottom w:val="nil"/>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06</w:t>
            </w:r>
          </w:p>
        </w:tc>
        <w:tc>
          <w:tcPr>
            <w:tcW w:w="6615" w:type="dxa"/>
            <w:gridSpan w:val="13"/>
            <w:vMerge w:val="continue"/>
            <w:tcBorders>
              <w:left w:val="single" w:color="auto" w:sz="4" w:space="0"/>
            </w:tcBorders>
            <w:noWrap/>
          </w:tcPr>
          <w:p>
            <w:pPr>
              <w:adjustRightInd w:val="0"/>
              <w:snapToGrid w:val="0"/>
              <w:spacing w:line="240" w:lineRule="exact"/>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113" w:hRule="atLeast"/>
          <w:jc w:val="center"/>
        </w:trPr>
        <w:tc>
          <w:tcPr>
            <w:tcW w:w="1305" w:type="dxa"/>
            <w:tcBorders>
              <w:top w:val="nil"/>
              <w:bottom w:val="nil"/>
              <w:right w:val="single" w:color="auto" w:sz="4" w:space="0"/>
            </w:tcBorders>
            <w:noWrap/>
            <w:vAlign w:val="center"/>
          </w:tcPr>
          <w:p>
            <w:pPr>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液化石油气</w:t>
            </w:r>
          </w:p>
        </w:tc>
        <w:tc>
          <w:tcPr>
            <w:tcW w:w="1091" w:type="dxa"/>
            <w:tcBorders>
              <w:top w:val="nil"/>
              <w:left w:val="single" w:color="auto" w:sz="4" w:space="0"/>
              <w:bottom w:val="nil"/>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 吨</w:t>
            </w:r>
          </w:p>
        </w:tc>
        <w:tc>
          <w:tcPr>
            <w:tcW w:w="736" w:type="dxa"/>
            <w:tcBorders>
              <w:top w:val="nil"/>
              <w:left w:val="single" w:color="auto" w:sz="4" w:space="0"/>
              <w:bottom w:val="nil"/>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07</w:t>
            </w:r>
          </w:p>
        </w:tc>
        <w:tc>
          <w:tcPr>
            <w:tcW w:w="6615" w:type="dxa"/>
            <w:gridSpan w:val="13"/>
            <w:vMerge w:val="continue"/>
            <w:tcBorders>
              <w:left w:val="single" w:color="auto" w:sz="4" w:space="0"/>
            </w:tcBorders>
            <w:noWrap/>
          </w:tcPr>
          <w:p>
            <w:pPr>
              <w:adjustRightInd w:val="0"/>
              <w:snapToGrid w:val="0"/>
              <w:spacing w:line="240" w:lineRule="exact"/>
              <w:rPr>
                <w:rFonts w:asciiTheme="minorEastAsia" w:hAnsiTheme="minorEastAsia" w:eastAsiaTheme="minorEastAsia" w:cstheme="minorEastAsia"/>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113" w:hRule="atLeast"/>
          <w:jc w:val="center"/>
        </w:trPr>
        <w:tc>
          <w:tcPr>
            <w:tcW w:w="1305" w:type="dxa"/>
            <w:tcBorders>
              <w:top w:val="nil"/>
              <w:bottom w:val="single" w:color="auto" w:sz="8" w:space="0"/>
              <w:right w:val="single" w:color="auto" w:sz="4" w:space="0"/>
            </w:tcBorders>
            <w:noWrap/>
            <w:vAlign w:val="center"/>
          </w:tcPr>
          <w:p>
            <w:pPr>
              <w:adjustRightInd w:val="0"/>
              <w:snapToGrid w:val="0"/>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其他石油制品</w:t>
            </w:r>
          </w:p>
        </w:tc>
        <w:tc>
          <w:tcPr>
            <w:tcW w:w="1091" w:type="dxa"/>
            <w:tcBorders>
              <w:top w:val="nil"/>
              <w:left w:val="single" w:color="auto" w:sz="4" w:space="0"/>
              <w:bottom w:val="single" w:color="auto" w:sz="8" w:space="0"/>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 吨</w:t>
            </w:r>
          </w:p>
        </w:tc>
        <w:tc>
          <w:tcPr>
            <w:tcW w:w="736" w:type="dxa"/>
            <w:tcBorders>
              <w:top w:val="nil"/>
              <w:left w:val="single" w:color="auto" w:sz="4" w:space="0"/>
              <w:bottom w:val="single" w:color="auto" w:sz="8" w:space="0"/>
              <w:right w:val="single" w:color="auto" w:sz="4" w:space="0"/>
            </w:tcBorders>
            <w:noWrap/>
            <w:vAlign w:val="center"/>
          </w:tcPr>
          <w:p>
            <w:pPr>
              <w:adjustRightInd w:val="0"/>
              <w:snapToGrid w:val="0"/>
              <w:spacing w:line="24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08</w:t>
            </w:r>
          </w:p>
        </w:tc>
        <w:tc>
          <w:tcPr>
            <w:tcW w:w="6615" w:type="dxa"/>
            <w:gridSpan w:val="13"/>
            <w:vMerge w:val="continue"/>
            <w:tcBorders>
              <w:left w:val="single" w:color="auto" w:sz="4" w:space="0"/>
              <w:bottom w:val="single" w:color="auto" w:sz="8" w:space="0"/>
            </w:tcBorders>
            <w:noWrap/>
          </w:tcPr>
          <w:p>
            <w:pPr>
              <w:adjustRightInd w:val="0"/>
              <w:snapToGrid w:val="0"/>
              <w:spacing w:line="240" w:lineRule="exact"/>
              <w:rPr>
                <w:rFonts w:asciiTheme="minorEastAsia" w:hAnsiTheme="minorEastAsia" w:eastAsiaTheme="minorEastAsia" w:cstheme="minorEastAsia"/>
                <w:sz w:val="18"/>
                <w:szCs w:val="18"/>
              </w:rPr>
            </w:pPr>
          </w:p>
        </w:tc>
      </w:tr>
    </w:tbl>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w:t>
      </w:r>
      <w:r>
        <w:rPr>
          <w:rFonts w:hint="eastAsia" w:asciiTheme="minorEastAsia" w:hAnsiTheme="minorEastAsia" w:eastAsiaTheme="minorEastAsia" w:cstheme="minorEastAsia"/>
          <w:kern w:val="0"/>
          <w:sz w:val="18"/>
          <w:szCs w:val="18"/>
        </w:rPr>
        <w:t>位负责人：          统计负责人：          填表人：          联系电话：         报出日期：２０   年  月  日</w:t>
      </w:r>
    </w:p>
    <w:p>
      <w:pPr>
        <w:ind w:right="-143"/>
        <w:rPr>
          <w:rFonts w:asciiTheme="minorEastAsia" w:hAnsiTheme="minorEastAsia" w:eastAsiaTheme="minorEastAsia" w:cstheme="minorEastAsia"/>
          <w:b/>
          <w:sz w:val="18"/>
          <w:szCs w:val="18"/>
        </w:rPr>
      </w:pPr>
    </w:p>
    <w:p>
      <w:pPr>
        <w:ind w:left="0" w:leftChars="-46" w:right="-143" w:hanging="97" w:hangingChars="54"/>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说明</w:t>
      </w:r>
      <w:r>
        <w:rPr>
          <w:rFonts w:hint="eastAsia" w:asciiTheme="minorEastAsia" w:hAnsiTheme="minorEastAsia" w:eastAsiaTheme="minorEastAsia" w:cstheme="minorEastAsia"/>
          <w:sz w:val="18"/>
          <w:szCs w:val="18"/>
        </w:rPr>
        <w:t>：1.本表由能源生产加工企业报送。</w:t>
      </w:r>
    </w:p>
    <w:p>
      <w:pPr>
        <w:ind w:right="-143" w:firstLine="460" w:firstLineChars="256"/>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2.统计范围是</w:t>
      </w:r>
      <w:r>
        <w:rPr>
          <w:rFonts w:hint="eastAsia" w:asciiTheme="minorEastAsia" w:hAnsiTheme="minorEastAsia" w:eastAsiaTheme="minorEastAsia" w:cstheme="minorEastAsia"/>
          <w:spacing w:val="-6"/>
          <w:sz w:val="18"/>
          <w:szCs w:val="18"/>
        </w:rPr>
        <w:t>辖区内</w:t>
      </w:r>
      <w:r>
        <w:rPr>
          <w:rFonts w:hint="eastAsia" w:asciiTheme="minorEastAsia" w:hAnsiTheme="minorEastAsia" w:eastAsiaTheme="minorEastAsia" w:cstheme="minorEastAsia"/>
          <w:sz w:val="18"/>
          <w:szCs w:val="18"/>
        </w:rPr>
        <w:t>石油、天然气生产加工企业的能源购进和销售活动。</w:t>
      </w:r>
    </w:p>
    <w:p>
      <w:pPr>
        <w:ind w:right="-1774" w:firstLine="460" w:firstLineChars="256"/>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3.报送时间为次年3月15日前，报送方式为电子邮件（gzstjjnyc@gz.gov.cn）。</w:t>
      </w:r>
    </w:p>
    <w:p>
      <w:pPr>
        <w:ind w:right="-1774" w:firstLine="460" w:firstLineChars="256"/>
        <w:rPr>
          <w:sz w:val="18"/>
          <w:szCs w:val="18"/>
        </w:rPr>
      </w:pPr>
    </w:p>
    <w:p>
      <w:pPr>
        <w:rPr>
          <w:sz w:val="10"/>
          <w:szCs w:val="10"/>
        </w:rPr>
      </w:pPr>
    </w:p>
    <w:p>
      <w:pPr>
        <w:jc w:val="center"/>
        <w:rPr>
          <w:rFonts w:ascii="宋体" w:hAnsi="宋体"/>
          <w:b/>
          <w:sz w:val="32"/>
        </w:rPr>
      </w:pPr>
      <w:r>
        <w:rPr>
          <w:rFonts w:hint="eastAsia" w:ascii="宋体" w:hAnsi="宋体"/>
          <w:b/>
          <w:sz w:val="32"/>
        </w:rPr>
        <w:t>油气供应、消费与库存</w:t>
      </w:r>
    </w:p>
    <w:tbl>
      <w:tblPr>
        <w:tblStyle w:val="21"/>
        <w:tblW w:w="5052" w:type="pct"/>
        <w:jc w:val="center"/>
        <w:tblLayout w:type="fixed"/>
        <w:tblCellMar>
          <w:top w:w="0" w:type="dxa"/>
          <w:left w:w="0" w:type="dxa"/>
          <w:bottom w:w="0" w:type="dxa"/>
          <w:right w:w="0" w:type="dxa"/>
        </w:tblCellMar>
      </w:tblPr>
      <w:tblGrid>
        <w:gridCol w:w="1719"/>
        <w:gridCol w:w="867"/>
        <w:gridCol w:w="750"/>
        <w:gridCol w:w="841"/>
        <w:gridCol w:w="594"/>
        <w:gridCol w:w="86"/>
        <w:gridCol w:w="733"/>
        <w:gridCol w:w="708"/>
        <w:gridCol w:w="664"/>
        <w:gridCol w:w="295"/>
        <w:gridCol w:w="485"/>
        <w:gridCol w:w="809"/>
        <w:gridCol w:w="959"/>
      </w:tblGrid>
      <w:tr>
        <w:tblPrEx>
          <w:tblCellMar>
            <w:top w:w="0" w:type="dxa"/>
            <w:left w:w="0" w:type="dxa"/>
            <w:bottom w:w="0" w:type="dxa"/>
            <w:right w:w="0" w:type="dxa"/>
          </w:tblCellMar>
        </w:tblPrEx>
        <w:trPr>
          <w:jc w:val="center"/>
        </w:trPr>
        <w:tc>
          <w:tcPr>
            <w:tcW w:w="2196" w:type="pct"/>
            <w:gridSpan w:val="4"/>
            <w:noWrap/>
            <w:tcMar>
              <w:left w:w="0" w:type="dxa"/>
              <w:right w:w="0" w:type="dxa"/>
            </w:tcMar>
          </w:tcPr>
          <w:p>
            <w:pPr>
              <w:adjustRightInd w:val="0"/>
              <w:snapToGrid w:val="0"/>
              <w:spacing w:line="240" w:lineRule="exact"/>
              <w:jc w:val="center"/>
              <w:rPr>
                <w:rFonts w:asciiTheme="minorEastAsia" w:hAnsiTheme="minorEastAsia" w:eastAsiaTheme="minorEastAsia" w:cstheme="minorEastAsia"/>
                <w:sz w:val="18"/>
                <w:szCs w:val="18"/>
              </w:rPr>
            </w:pPr>
          </w:p>
        </w:tc>
        <w:tc>
          <w:tcPr>
            <w:tcW w:w="312" w:type="pct"/>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802" w:type="pct"/>
            <w:gridSpan w:val="3"/>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504" w:type="pct"/>
            <w:gridSpan w:val="2"/>
            <w:noWrap/>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表    号：</w:t>
            </w:r>
          </w:p>
        </w:tc>
        <w:tc>
          <w:tcPr>
            <w:tcW w:w="1184" w:type="pct"/>
            <w:gridSpan w:val="3"/>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粤Ｐ３１６表</w:t>
            </w:r>
          </w:p>
        </w:tc>
      </w:tr>
      <w:tr>
        <w:tblPrEx>
          <w:tblCellMar>
            <w:top w:w="0" w:type="dxa"/>
            <w:left w:w="0" w:type="dxa"/>
            <w:bottom w:w="0" w:type="dxa"/>
            <w:right w:w="0" w:type="dxa"/>
          </w:tblCellMar>
        </w:tblPrEx>
        <w:trPr>
          <w:jc w:val="center"/>
        </w:trPr>
        <w:tc>
          <w:tcPr>
            <w:tcW w:w="2196" w:type="pct"/>
            <w:gridSpan w:val="4"/>
            <w:noWrap/>
            <w:tcMar>
              <w:left w:w="0" w:type="dxa"/>
              <w:right w:w="0" w:type="dxa"/>
            </w:tcMar>
            <w:vAlign w:val="bottom"/>
          </w:tcPr>
          <w:p>
            <w:pPr>
              <w:adjustRightInd w:val="0"/>
              <w:snapToGrid w:val="0"/>
              <w:spacing w:line="240" w:lineRule="exact"/>
              <w:rPr>
                <w:rFonts w:asciiTheme="minorEastAsia" w:hAnsiTheme="minorEastAsia" w:eastAsiaTheme="minorEastAsia" w:cstheme="minorEastAsia"/>
                <w:sz w:val="18"/>
                <w:szCs w:val="18"/>
              </w:rPr>
            </w:pPr>
          </w:p>
        </w:tc>
        <w:tc>
          <w:tcPr>
            <w:tcW w:w="312" w:type="pct"/>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802" w:type="pct"/>
            <w:gridSpan w:val="3"/>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504" w:type="pct"/>
            <w:gridSpan w:val="2"/>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制定机关：</w:t>
            </w:r>
          </w:p>
        </w:tc>
        <w:tc>
          <w:tcPr>
            <w:tcW w:w="1184" w:type="pct"/>
            <w:gridSpan w:val="3"/>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广东省统计局</w:t>
            </w:r>
          </w:p>
        </w:tc>
      </w:tr>
      <w:tr>
        <w:tblPrEx>
          <w:tblCellMar>
            <w:top w:w="0" w:type="dxa"/>
            <w:left w:w="0" w:type="dxa"/>
            <w:bottom w:w="0" w:type="dxa"/>
            <w:right w:w="0" w:type="dxa"/>
          </w:tblCellMar>
        </w:tblPrEx>
        <w:trPr>
          <w:trHeight w:val="168" w:hRule="atLeast"/>
          <w:jc w:val="center"/>
        </w:trPr>
        <w:tc>
          <w:tcPr>
            <w:tcW w:w="2196" w:type="pct"/>
            <w:gridSpan w:val="4"/>
            <w:tcBorders>
              <w:bottom w:val="nil"/>
            </w:tcBorders>
            <w:noWrap/>
            <w:tcMar>
              <w:left w:w="0" w:type="dxa"/>
              <w:right w:w="0" w:type="dxa"/>
            </w:tcMar>
          </w:tcPr>
          <w:p>
            <w:pPr>
              <w:adjustRightInd w:val="0"/>
              <w:snapToGrid w:val="0"/>
              <w:spacing w:line="240" w:lineRule="exact"/>
              <w:jc w:val="left"/>
              <w:rPr>
                <w:rFonts w:asciiTheme="minorEastAsia" w:hAnsiTheme="minorEastAsia" w:eastAsiaTheme="minorEastAsia" w:cstheme="minorEastAsia"/>
                <w:sz w:val="18"/>
                <w:szCs w:val="18"/>
              </w:rPr>
            </w:pPr>
          </w:p>
        </w:tc>
        <w:tc>
          <w:tcPr>
            <w:tcW w:w="312" w:type="pct"/>
            <w:tcBorders>
              <w:bottom w:val="nil"/>
            </w:tcBorders>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802" w:type="pct"/>
            <w:gridSpan w:val="3"/>
            <w:tcBorders>
              <w:bottom w:val="nil"/>
            </w:tcBorders>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504" w:type="pct"/>
            <w:gridSpan w:val="2"/>
            <w:tcBorders>
              <w:bottom w:val="nil"/>
            </w:tcBorders>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批准机关：</w:t>
            </w:r>
          </w:p>
        </w:tc>
        <w:tc>
          <w:tcPr>
            <w:tcW w:w="1184" w:type="pct"/>
            <w:gridSpan w:val="3"/>
            <w:tcBorders>
              <w:bottom w:val="nil"/>
            </w:tcBorders>
            <w:noWrap/>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distribute"/>
              <w:textAlignment w:val="auto"/>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国家统计局</w:t>
            </w:r>
          </w:p>
        </w:tc>
      </w:tr>
      <w:tr>
        <w:tblPrEx>
          <w:tblCellMar>
            <w:top w:w="0" w:type="dxa"/>
            <w:left w:w="0" w:type="dxa"/>
            <w:bottom w:w="0" w:type="dxa"/>
            <w:right w:w="0" w:type="dxa"/>
          </w:tblCellMar>
        </w:tblPrEx>
        <w:trPr>
          <w:trHeight w:val="312" w:hRule="atLeast"/>
          <w:jc w:val="center"/>
        </w:trPr>
        <w:tc>
          <w:tcPr>
            <w:tcW w:w="2196" w:type="pct"/>
            <w:gridSpan w:val="4"/>
            <w:noWrap/>
            <w:tcMar>
              <w:left w:w="0" w:type="dxa"/>
              <w:right w:w="0" w:type="dxa"/>
            </w:tcMar>
          </w:tcPr>
          <w:p>
            <w:pPr>
              <w:adjustRightInd w:val="0"/>
              <w:snapToGrid w:val="0"/>
              <w:spacing w:line="240" w:lineRule="exact"/>
              <w:jc w:val="left"/>
              <w:rPr>
                <w:rFonts w:asciiTheme="minorEastAsia" w:hAnsiTheme="minorEastAsia" w:eastAsiaTheme="minorEastAsia" w:cstheme="minorEastAsia"/>
                <w:sz w:val="18"/>
                <w:szCs w:val="18"/>
              </w:rPr>
            </w:pPr>
          </w:p>
        </w:tc>
        <w:tc>
          <w:tcPr>
            <w:tcW w:w="312" w:type="pct"/>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802" w:type="pct"/>
            <w:gridSpan w:val="3"/>
            <w:noWrap/>
          </w:tcPr>
          <w:p>
            <w:pPr>
              <w:adjustRightInd w:val="0"/>
              <w:snapToGrid w:val="0"/>
              <w:spacing w:line="240" w:lineRule="exact"/>
              <w:jc w:val="center"/>
              <w:rPr>
                <w:rFonts w:asciiTheme="minorEastAsia" w:hAnsiTheme="minorEastAsia" w:eastAsiaTheme="minorEastAsia" w:cstheme="minorEastAsia"/>
                <w:sz w:val="18"/>
                <w:szCs w:val="18"/>
              </w:rPr>
            </w:pPr>
          </w:p>
        </w:tc>
        <w:tc>
          <w:tcPr>
            <w:tcW w:w="504" w:type="pct"/>
            <w:gridSpan w:val="2"/>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批准文号：</w:t>
            </w:r>
          </w:p>
        </w:tc>
        <w:tc>
          <w:tcPr>
            <w:tcW w:w="1184" w:type="pct"/>
            <w:gridSpan w:val="3"/>
            <w:noWrap/>
            <w:vAlign w:val="center"/>
          </w:tcPr>
          <w:p>
            <w:pPr>
              <w:widowControl/>
              <w:jc w:val="distribute"/>
              <w:rPr>
                <w:rFonts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国统制</w:t>
            </w:r>
            <w:r>
              <w:rPr>
                <w:rFonts w:hint="eastAsia" w:ascii="宋体" w:hAnsi="宋体"/>
                <w:color w:val="auto"/>
                <w:sz w:val="18"/>
                <w:szCs w:val="18"/>
              </w:rPr>
              <w:t>〔</w:t>
            </w:r>
            <w:r>
              <w:rPr>
                <w:rFonts w:hint="eastAsia" w:asciiTheme="minorEastAsia" w:hAnsiTheme="minorEastAsia" w:eastAsiaTheme="minorEastAsia" w:cstheme="minorEastAsia"/>
                <w:color w:val="auto"/>
                <w:sz w:val="18"/>
                <w:szCs w:val="18"/>
                <w:highlight w:val="none"/>
              </w:rPr>
              <w:t>2026</w:t>
            </w:r>
            <w:r>
              <w:rPr>
                <w:rFonts w:hint="eastAsia" w:ascii="宋体" w:hAnsi="宋体"/>
                <w:color w:val="auto"/>
                <w:sz w:val="18"/>
                <w:szCs w:val="18"/>
              </w:rPr>
              <w:t>〕</w:t>
            </w:r>
            <w:r>
              <w:rPr>
                <w:rFonts w:hint="eastAsia" w:asciiTheme="minorEastAsia" w:hAnsiTheme="minorEastAsia" w:eastAsiaTheme="minorEastAsia" w:cstheme="minorEastAsia"/>
                <w:color w:val="auto"/>
                <w:sz w:val="18"/>
                <w:szCs w:val="18"/>
                <w:highlight w:val="none"/>
              </w:rPr>
              <w:t>48号</w:t>
            </w:r>
          </w:p>
        </w:tc>
      </w:tr>
      <w:tr>
        <w:tblPrEx>
          <w:tblCellMar>
            <w:top w:w="0" w:type="dxa"/>
            <w:left w:w="0" w:type="dxa"/>
            <w:bottom w:w="0" w:type="dxa"/>
            <w:right w:w="0" w:type="dxa"/>
          </w:tblCellMar>
        </w:tblPrEx>
        <w:trPr>
          <w:trHeight w:val="180" w:hRule="atLeast"/>
          <w:jc w:val="center"/>
        </w:trPr>
        <w:tc>
          <w:tcPr>
            <w:tcW w:w="2196" w:type="pct"/>
            <w:gridSpan w:val="4"/>
            <w:noWrap/>
            <w:tcMar>
              <w:left w:w="0" w:type="dxa"/>
              <w:right w:w="0" w:type="dxa"/>
            </w:tcMar>
          </w:tcPr>
          <w:p>
            <w:pPr>
              <w:adjustRightInd w:val="0"/>
              <w:snapToGrid w:val="0"/>
              <w:spacing w:line="24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综合机关名称：</w:t>
            </w:r>
          </w:p>
        </w:tc>
        <w:tc>
          <w:tcPr>
            <w:tcW w:w="1115" w:type="pct"/>
            <w:gridSpan w:val="4"/>
            <w:noWrap/>
          </w:tcPr>
          <w:p>
            <w:pPr>
              <w:adjustRightInd w:val="0"/>
              <w:snapToGrid w:val="0"/>
              <w:spacing w:line="240" w:lineRule="exact"/>
              <w:rPr>
                <w:rFonts w:asciiTheme="minorEastAsia" w:hAnsiTheme="minorEastAsia" w:eastAsiaTheme="minorEastAsia" w:cstheme="minorEastAsia"/>
                <w:sz w:val="18"/>
                <w:szCs w:val="18"/>
              </w:rPr>
            </w:pPr>
            <w:r>
              <w:rPr>
                <w:sz w:val="18"/>
                <w:szCs w:val="18"/>
              </w:rPr>
              <w:t>２０　　年</w:t>
            </w:r>
          </w:p>
        </w:tc>
        <w:tc>
          <w:tcPr>
            <w:tcW w:w="504" w:type="pct"/>
            <w:gridSpan w:val="2"/>
            <w:noWrap/>
            <w:vAlign w:val="center"/>
          </w:tcPr>
          <w:p>
            <w:pPr>
              <w:adjustRightInd w:val="0"/>
              <w:snapToGrid w:val="0"/>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有效期至：</w:t>
            </w:r>
          </w:p>
        </w:tc>
        <w:tc>
          <w:tcPr>
            <w:tcW w:w="1184" w:type="pct"/>
            <w:gridSpan w:val="3"/>
            <w:noWrap/>
            <w:vAlign w:val="center"/>
          </w:tcPr>
          <w:p>
            <w:pPr>
              <w:adjustRightInd w:val="0"/>
              <w:snapToGrid w:val="0"/>
              <w:spacing w:line="240" w:lineRule="exact"/>
              <w:jc w:val="distribute"/>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２０２</w:t>
            </w:r>
            <w:r>
              <w:rPr>
                <w:rFonts w:hint="eastAsia" w:asciiTheme="minorEastAsia" w:hAnsiTheme="minorEastAsia" w:eastAsiaTheme="minorEastAsia" w:cstheme="minorEastAsia"/>
                <w:color w:val="auto"/>
                <w:sz w:val="18"/>
                <w:szCs w:val="18"/>
                <w:lang w:val="en-US" w:eastAsia="zh-CN"/>
              </w:rPr>
              <w:t>6</w:t>
            </w:r>
            <w:r>
              <w:rPr>
                <w:rFonts w:hint="eastAsia" w:asciiTheme="minorEastAsia" w:hAnsiTheme="minorEastAsia" w:eastAsiaTheme="minorEastAsia" w:cstheme="minorEastAsia"/>
                <w:color w:val="auto"/>
                <w:sz w:val="18"/>
                <w:szCs w:val="18"/>
              </w:rPr>
              <w:t>年６月</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644" w:hRule="atLeast"/>
          <w:jc w:val="center"/>
        </w:trPr>
        <w:tc>
          <w:tcPr>
            <w:tcW w:w="903" w:type="pct"/>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项 　      目</w:t>
            </w:r>
          </w:p>
        </w:tc>
        <w:tc>
          <w:tcPr>
            <w:tcW w:w="455" w:type="pct"/>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计量</w:t>
            </w:r>
          </w:p>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w:t>
            </w:r>
          </w:p>
        </w:tc>
        <w:tc>
          <w:tcPr>
            <w:tcW w:w="394" w:type="pct"/>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代　码</w:t>
            </w:r>
          </w:p>
        </w:tc>
        <w:tc>
          <w:tcPr>
            <w:tcW w:w="442" w:type="pct"/>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原油</w:t>
            </w:r>
          </w:p>
        </w:tc>
        <w:tc>
          <w:tcPr>
            <w:tcW w:w="357" w:type="pct"/>
            <w:gridSpan w:val="2"/>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天然气</w:t>
            </w:r>
          </w:p>
        </w:tc>
        <w:tc>
          <w:tcPr>
            <w:tcW w:w="385" w:type="pct"/>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煤油</w:t>
            </w:r>
          </w:p>
        </w:tc>
        <w:tc>
          <w:tcPr>
            <w:tcW w:w="372" w:type="pct"/>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汽油</w:t>
            </w:r>
          </w:p>
        </w:tc>
        <w:tc>
          <w:tcPr>
            <w:tcW w:w="349" w:type="pct"/>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柴油</w:t>
            </w:r>
          </w:p>
        </w:tc>
        <w:tc>
          <w:tcPr>
            <w:tcW w:w="410" w:type="pct"/>
            <w:gridSpan w:val="2"/>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燃料油</w:t>
            </w:r>
          </w:p>
        </w:tc>
        <w:tc>
          <w:tcPr>
            <w:tcW w:w="425" w:type="pct"/>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液  化</w:t>
            </w:r>
          </w:p>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石油气</w:t>
            </w:r>
          </w:p>
        </w:tc>
        <w:tc>
          <w:tcPr>
            <w:tcW w:w="504" w:type="pct"/>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其他</w:t>
            </w:r>
          </w:p>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石油制品</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17" w:hRule="atLeast"/>
          <w:jc w:val="center"/>
        </w:trPr>
        <w:tc>
          <w:tcPr>
            <w:tcW w:w="903" w:type="pct"/>
            <w:tcBorders>
              <w:bottom w:val="single" w:color="auto" w:sz="4"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甲</w:t>
            </w:r>
          </w:p>
        </w:tc>
        <w:tc>
          <w:tcPr>
            <w:tcW w:w="455" w:type="pct"/>
            <w:tcBorders>
              <w:bottom w:val="single" w:color="auto" w:sz="4"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乙</w:t>
            </w:r>
          </w:p>
        </w:tc>
        <w:tc>
          <w:tcPr>
            <w:tcW w:w="394" w:type="pct"/>
            <w:tcBorders>
              <w:bottom w:val="single" w:color="auto" w:sz="4"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丙</w:t>
            </w:r>
          </w:p>
        </w:tc>
        <w:tc>
          <w:tcPr>
            <w:tcW w:w="442" w:type="pct"/>
            <w:tcBorders>
              <w:bottom w:val="single" w:color="auto" w:sz="4"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357" w:type="pct"/>
            <w:gridSpan w:val="2"/>
            <w:tcBorders>
              <w:bottom w:val="single" w:color="auto" w:sz="4"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85" w:type="pct"/>
            <w:tcBorders>
              <w:bottom w:val="single" w:color="auto" w:sz="4"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372" w:type="pct"/>
            <w:tcBorders>
              <w:bottom w:val="single" w:color="auto" w:sz="4"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w:t>
            </w:r>
          </w:p>
        </w:tc>
        <w:tc>
          <w:tcPr>
            <w:tcW w:w="349" w:type="pct"/>
            <w:tcBorders>
              <w:bottom w:val="single" w:color="auto" w:sz="4"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410" w:type="pct"/>
            <w:gridSpan w:val="2"/>
            <w:tcBorders>
              <w:bottom w:val="single" w:color="auto" w:sz="4"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w:t>
            </w:r>
          </w:p>
        </w:tc>
        <w:tc>
          <w:tcPr>
            <w:tcW w:w="425" w:type="pct"/>
            <w:tcBorders>
              <w:bottom w:val="single" w:color="auto" w:sz="4"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w:t>
            </w:r>
          </w:p>
        </w:tc>
        <w:tc>
          <w:tcPr>
            <w:tcW w:w="504" w:type="pct"/>
            <w:tcBorders>
              <w:bottom w:val="single" w:color="auto" w:sz="4"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5" w:hRule="atLeast"/>
          <w:jc w:val="center"/>
        </w:trPr>
        <w:tc>
          <w:tcPr>
            <w:tcW w:w="903" w:type="pct"/>
            <w:tcBorders>
              <w:bottom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年初库存量</w:t>
            </w:r>
          </w:p>
        </w:tc>
        <w:tc>
          <w:tcPr>
            <w:tcW w:w="455" w:type="pct"/>
            <w:tcBorders>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94" w:type="pct"/>
            <w:tcBorders>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01</w:t>
            </w:r>
          </w:p>
        </w:tc>
        <w:tc>
          <w:tcPr>
            <w:tcW w:w="442" w:type="pct"/>
            <w:tcBorders>
              <w:bottom w:val="nil"/>
              <w:right w:val="nil"/>
            </w:tcBorders>
            <w:noWrap/>
            <w:vAlign w:val="center"/>
          </w:tcPr>
          <w:p>
            <w:pPr>
              <w:rPr>
                <w:rFonts w:asciiTheme="minorEastAsia" w:hAnsiTheme="minorEastAsia" w:eastAsiaTheme="minorEastAsia" w:cstheme="minorEastAsia"/>
                <w:sz w:val="18"/>
                <w:szCs w:val="18"/>
              </w:rPr>
            </w:pPr>
          </w:p>
        </w:tc>
        <w:tc>
          <w:tcPr>
            <w:tcW w:w="357" w:type="pct"/>
            <w:gridSpan w:val="2"/>
            <w:tcBorders>
              <w:left w:val="nil"/>
              <w:bottom w:val="nil"/>
              <w:right w:val="nil"/>
            </w:tcBorders>
            <w:noWrap/>
            <w:vAlign w:val="center"/>
          </w:tcPr>
          <w:p>
            <w:pPr>
              <w:rPr>
                <w:rFonts w:asciiTheme="minorEastAsia" w:hAnsiTheme="minorEastAsia" w:eastAsiaTheme="minorEastAsia" w:cstheme="minorEastAsia"/>
                <w:sz w:val="18"/>
                <w:szCs w:val="18"/>
              </w:rPr>
            </w:pPr>
          </w:p>
        </w:tc>
        <w:tc>
          <w:tcPr>
            <w:tcW w:w="385" w:type="pct"/>
            <w:tcBorders>
              <w:left w:val="nil"/>
              <w:bottom w:val="nil"/>
              <w:right w:val="nil"/>
            </w:tcBorders>
            <w:noWrap/>
            <w:vAlign w:val="center"/>
          </w:tcPr>
          <w:p>
            <w:pPr>
              <w:rPr>
                <w:rFonts w:asciiTheme="minorEastAsia" w:hAnsiTheme="minorEastAsia" w:eastAsiaTheme="minorEastAsia" w:cstheme="minorEastAsia"/>
                <w:sz w:val="18"/>
                <w:szCs w:val="18"/>
              </w:rPr>
            </w:pPr>
          </w:p>
        </w:tc>
        <w:tc>
          <w:tcPr>
            <w:tcW w:w="372" w:type="pct"/>
            <w:tcBorders>
              <w:left w:val="nil"/>
              <w:bottom w:val="nil"/>
              <w:right w:val="nil"/>
            </w:tcBorders>
            <w:noWrap/>
            <w:vAlign w:val="center"/>
          </w:tcPr>
          <w:p>
            <w:pPr>
              <w:rPr>
                <w:rFonts w:asciiTheme="minorEastAsia" w:hAnsiTheme="minorEastAsia" w:eastAsiaTheme="minorEastAsia" w:cstheme="minorEastAsia"/>
                <w:sz w:val="18"/>
                <w:szCs w:val="18"/>
              </w:rPr>
            </w:pPr>
          </w:p>
        </w:tc>
        <w:tc>
          <w:tcPr>
            <w:tcW w:w="349" w:type="pct"/>
            <w:tcBorders>
              <w:left w:val="nil"/>
              <w:bottom w:val="nil"/>
              <w:right w:val="nil"/>
            </w:tcBorders>
            <w:noWrap/>
            <w:vAlign w:val="center"/>
          </w:tcPr>
          <w:p>
            <w:pPr>
              <w:rPr>
                <w:rFonts w:asciiTheme="minorEastAsia" w:hAnsiTheme="minorEastAsia" w:eastAsiaTheme="minorEastAsia" w:cstheme="minorEastAsia"/>
                <w:sz w:val="18"/>
                <w:szCs w:val="18"/>
              </w:rPr>
            </w:pPr>
          </w:p>
        </w:tc>
        <w:tc>
          <w:tcPr>
            <w:tcW w:w="410" w:type="pct"/>
            <w:gridSpan w:val="2"/>
            <w:tcBorders>
              <w:left w:val="nil"/>
              <w:bottom w:val="nil"/>
              <w:right w:val="nil"/>
            </w:tcBorders>
            <w:noWrap/>
            <w:vAlign w:val="center"/>
          </w:tcPr>
          <w:p>
            <w:pPr>
              <w:rPr>
                <w:rFonts w:asciiTheme="minorEastAsia" w:hAnsiTheme="minorEastAsia" w:eastAsiaTheme="minorEastAsia" w:cstheme="minorEastAsia"/>
                <w:sz w:val="18"/>
                <w:szCs w:val="18"/>
              </w:rPr>
            </w:pPr>
          </w:p>
        </w:tc>
        <w:tc>
          <w:tcPr>
            <w:tcW w:w="425" w:type="pct"/>
            <w:tcBorders>
              <w:left w:val="nil"/>
              <w:bottom w:val="nil"/>
              <w:right w:val="nil"/>
            </w:tcBorders>
            <w:noWrap/>
            <w:vAlign w:val="center"/>
          </w:tcPr>
          <w:p>
            <w:pPr>
              <w:rPr>
                <w:rFonts w:asciiTheme="minorEastAsia" w:hAnsiTheme="minorEastAsia" w:eastAsiaTheme="minorEastAsia" w:cstheme="minorEastAsia"/>
                <w:sz w:val="18"/>
                <w:szCs w:val="18"/>
              </w:rPr>
            </w:pPr>
          </w:p>
        </w:tc>
        <w:tc>
          <w:tcPr>
            <w:tcW w:w="504" w:type="pct"/>
            <w:tcBorders>
              <w:left w:val="nil"/>
              <w:bottom w:val="nil"/>
            </w:tcBorders>
            <w:noWrap/>
            <w:vAlign w:val="center"/>
          </w:tcPr>
          <w:p>
            <w:pPr>
              <w:rPr>
                <w:rFonts w:asciiTheme="minorEastAsia" w:hAnsiTheme="minorEastAsia" w:eastAsiaTheme="minorEastAsia" w:cstheme="minorEastAsia"/>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00" w:hRule="atLeast"/>
          <w:jc w:val="center"/>
        </w:trPr>
        <w:tc>
          <w:tcPr>
            <w:tcW w:w="903" w:type="pct"/>
            <w:tcBorders>
              <w:top w:val="nil"/>
              <w:bottom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生产量</w:t>
            </w:r>
          </w:p>
        </w:tc>
        <w:tc>
          <w:tcPr>
            <w:tcW w:w="455"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94"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02</w:t>
            </w:r>
          </w:p>
        </w:tc>
        <w:tc>
          <w:tcPr>
            <w:tcW w:w="442" w:type="pct"/>
            <w:tcBorders>
              <w:top w:val="nil"/>
              <w:bottom w:val="nil"/>
              <w:right w:val="nil"/>
            </w:tcBorders>
            <w:noWrap/>
            <w:vAlign w:val="center"/>
          </w:tcPr>
          <w:p>
            <w:pPr>
              <w:rPr>
                <w:rFonts w:asciiTheme="minorEastAsia" w:hAnsiTheme="minorEastAsia" w:eastAsiaTheme="minorEastAsia" w:cstheme="minorEastAsia"/>
                <w:sz w:val="18"/>
                <w:szCs w:val="18"/>
              </w:rPr>
            </w:pPr>
          </w:p>
        </w:tc>
        <w:tc>
          <w:tcPr>
            <w:tcW w:w="357"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8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72"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49"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10"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2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504" w:type="pct"/>
            <w:tcBorders>
              <w:top w:val="nil"/>
              <w:left w:val="nil"/>
              <w:bottom w:val="nil"/>
            </w:tcBorders>
            <w:noWrap/>
            <w:vAlign w:val="center"/>
          </w:tcPr>
          <w:p>
            <w:pPr>
              <w:rPr>
                <w:rFonts w:asciiTheme="minorEastAsia" w:hAnsiTheme="minorEastAsia" w:eastAsiaTheme="minorEastAsia" w:cstheme="minorEastAsia"/>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00" w:hRule="atLeast"/>
          <w:jc w:val="center"/>
        </w:trPr>
        <w:tc>
          <w:tcPr>
            <w:tcW w:w="903" w:type="pct"/>
            <w:tcBorders>
              <w:top w:val="nil"/>
              <w:bottom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进口量</w:t>
            </w:r>
          </w:p>
        </w:tc>
        <w:tc>
          <w:tcPr>
            <w:tcW w:w="455"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94"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03</w:t>
            </w:r>
          </w:p>
        </w:tc>
        <w:tc>
          <w:tcPr>
            <w:tcW w:w="442" w:type="pct"/>
            <w:tcBorders>
              <w:top w:val="nil"/>
              <w:bottom w:val="nil"/>
              <w:right w:val="nil"/>
            </w:tcBorders>
            <w:noWrap/>
            <w:vAlign w:val="center"/>
          </w:tcPr>
          <w:p>
            <w:pPr>
              <w:rPr>
                <w:rFonts w:asciiTheme="minorEastAsia" w:hAnsiTheme="minorEastAsia" w:eastAsiaTheme="minorEastAsia" w:cstheme="minorEastAsia"/>
                <w:sz w:val="18"/>
                <w:szCs w:val="18"/>
              </w:rPr>
            </w:pPr>
          </w:p>
        </w:tc>
        <w:tc>
          <w:tcPr>
            <w:tcW w:w="357"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8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72"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49"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10"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2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504" w:type="pct"/>
            <w:tcBorders>
              <w:top w:val="nil"/>
              <w:left w:val="nil"/>
              <w:bottom w:val="nil"/>
            </w:tcBorders>
            <w:noWrap/>
            <w:vAlign w:val="center"/>
          </w:tcPr>
          <w:p>
            <w:pPr>
              <w:rPr>
                <w:rFonts w:asciiTheme="minorEastAsia" w:hAnsiTheme="minorEastAsia" w:eastAsiaTheme="minorEastAsia" w:cstheme="minorEastAsia"/>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00" w:hRule="atLeast"/>
          <w:jc w:val="center"/>
        </w:trPr>
        <w:tc>
          <w:tcPr>
            <w:tcW w:w="903" w:type="pct"/>
            <w:tcBorders>
              <w:top w:val="nil"/>
              <w:bottom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出口量</w:t>
            </w:r>
          </w:p>
        </w:tc>
        <w:tc>
          <w:tcPr>
            <w:tcW w:w="455"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94"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04</w:t>
            </w:r>
          </w:p>
        </w:tc>
        <w:tc>
          <w:tcPr>
            <w:tcW w:w="442" w:type="pct"/>
            <w:tcBorders>
              <w:top w:val="nil"/>
              <w:bottom w:val="nil"/>
              <w:right w:val="nil"/>
            </w:tcBorders>
            <w:noWrap/>
            <w:vAlign w:val="center"/>
          </w:tcPr>
          <w:p>
            <w:pPr>
              <w:rPr>
                <w:rFonts w:asciiTheme="minorEastAsia" w:hAnsiTheme="minorEastAsia" w:eastAsiaTheme="minorEastAsia" w:cstheme="minorEastAsia"/>
                <w:sz w:val="18"/>
                <w:szCs w:val="18"/>
              </w:rPr>
            </w:pPr>
          </w:p>
        </w:tc>
        <w:tc>
          <w:tcPr>
            <w:tcW w:w="357"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8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72"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49"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10"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2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504" w:type="pct"/>
            <w:tcBorders>
              <w:top w:val="nil"/>
              <w:left w:val="nil"/>
              <w:bottom w:val="nil"/>
            </w:tcBorders>
            <w:noWrap/>
            <w:vAlign w:val="center"/>
          </w:tcPr>
          <w:p>
            <w:pPr>
              <w:rPr>
                <w:rFonts w:asciiTheme="minorEastAsia" w:hAnsiTheme="minorEastAsia" w:eastAsiaTheme="minorEastAsia" w:cstheme="minorEastAsia"/>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00" w:hRule="atLeast"/>
          <w:jc w:val="center"/>
        </w:trPr>
        <w:tc>
          <w:tcPr>
            <w:tcW w:w="903" w:type="pct"/>
            <w:tcBorders>
              <w:top w:val="nil"/>
              <w:bottom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外市调入量</w:t>
            </w:r>
          </w:p>
        </w:tc>
        <w:tc>
          <w:tcPr>
            <w:tcW w:w="455"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94"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05</w:t>
            </w:r>
          </w:p>
        </w:tc>
        <w:tc>
          <w:tcPr>
            <w:tcW w:w="442" w:type="pct"/>
            <w:tcBorders>
              <w:top w:val="nil"/>
              <w:bottom w:val="nil"/>
              <w:right w:val="nil"/>
            </w:tcBorders>
            <w:noWrap/>
            <w:vAlign w:val="center"/>
          </w:tcPr>
          <w:p>
            <w:pPr>
              <w:rPr>
                <w:rFonts w:asciiTheme="minorEastAsia" w:hAnsiTheme="minorEastAsia" w:eastAsiaTheme="minorEastAsia" w:cstheme="minorEastAsia"/>
                <w:sz w:val="18"/>
                <w:szCs w:val="18"/>
              </w:rPr>
            </w:pPr>
          </w:p>
        </w:tc>
        <w:tc>
          <w:tcPr>
            <w:tcW w:w="357"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8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72"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49"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10"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2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504" w:type="pct"/>
            <w:tcBorders>
              <w:top w:val="nil"/>
              <w:left w:val="nil"/>
              <w:bottom w:val="nil"/>
            </w:tcBorders>
            <w:noWrap/>
            <w:vAlign w:val="center"/>
          </w:tcPr>
          <w:p>
            <w:pPr>
              <w:rPr>
                <w:rFonts w:asciiTheme="minorEastAsia" w:hAnsiTheme="minorEastAsia" w:eastAsiaTheme="minorEastAsia" w:cstheme="minorEastAsia"/>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00" w:hRule="atLeast"/>
          <w:jc w:val="center"/>
        </w:trPr>
        <w:tc>
          <w:tcPr>
            <w:tcW w:w="903" w:type="pct"/>
            <w:tcBorders>
              <w:top w:val="nil"/>
              <w:bottom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本市调出量</w:t>
            </w:r>
          </w:p>
        </w:tc>
        <w:tc>
          <w:tcPr>
            <w:tcW w:w="455"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94"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06</w:t>
            </w:r>
          </w:p>
        </w:tc>
        <w:tc>
          <w:tcPr>
            <w:tcW w:w="442" w:type="pct"/>
            <w:tcBorders>
              <w:top w:val="nil"/>
              <w:bottom w:val="nil"/>
              <w:right w:val="nil"/>
            </w:tcBorders>
            <w:noWrap/>
            <w:vAlign w:val="center"/>
          </w:tcPr>
          <w:p>
            <w:pPr>
              <w:rPr>
                <w:rFonts w:asciiTheme="minorEastAsia" w:hAnsiTheme="minorEastAsia" w:eastAsiaTheme="minorEastAsia" w:cstheme="minorEastAsia"/>
                <w:sz w:val="18"/>
                <w:szCs w:val="18"/>
              </w:rPr>
            </w:pPr>
          </w:p>
        </w:tc>
        <w:tc>
          <w:tcPr>
            <w:tcW w:w="357"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8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72"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49"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10"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2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504" w:type="pct"/>
            <w:tcBorders>
              <w:top w:val="nil"/>
              <w:left w:val="nil"/>
              <w:bottom w:val="nil"/>
            </w:tcBorders>
            <w:noWrap/>
            <w:vAlign w:val="center"/>
          </w:tcPr>
          <w:p>
            <w:pPr>
              <w:rPr>
                <w:rFonts w:asciiTheme="minorEastAsia" w:hAnsiTheme="minorEastAsia" w:eastAsiaTheme="minorEastAsia" w:cstheme="minorEastAsia"/>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00" w:hRule="atLeast"/>
          <w:jc w:val="center"/>
        </w:trPr>
        <w:tc>
          <w:tcPr>
            <w:tcW w:w="903" w:type="pct"/>
            <w:tcBorders>
              <w:top w:val="nil"/>
              <w:bottom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消费量</w:t>
            </w:r>
          </w:p>
        </w:tc>
        <w:tc>
          <w:tcPr>
            <w:tcW w:w="455"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94"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07</w:t>
            </w:r>
          </w:p>
        </w:tc>
        <w:tc>
          <w:tcPr>
            <w:tcW w:w="442" w:type="pct"/>
            <w:tcBorders>
              <w:top w:val="nil"/>
              <w:bottom w:val="nil"/>
              <w:right w:val="nil"/>
            </w:tcBorders>
            <w:noWrap/>
            <w:vAlign w:val="center"/>
          </w:tcPr>
          <w:p>
            <w:pPr>
              <w:rPr>
                <w:rFonts w:asciiTheme="minorEastAsia" w:hAnsiTheme="minorEastAsia" w:eastAsiaTheme="minorEastAsia" w:cstheme="minorEastAsia"/>
                <w:sz w:val="18"/>
                <w:szCs w:val="18"/>
              </w:rPr>
            </w:pPr>
          </w:p>
        </w:tc>
        <w:tc>
          <w:tcPr>
            <w:tcW w:w="357"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8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72"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49"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10"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2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504" w:type="pct"/>
            <w:tcBorders>
              <w:top w:val="nil"/>
              <w:left w:val="nil"/>
              <w:bottom w:val="nil"/>
            </w:tcBorders>
            <w:noWrap/>
            <w:vAlign w:val="center"/>
          </w:tcPr>
          <w:p>
            <w:pPr>
              <w:rPr>
                <w:rFonts w:asciiTheme="minorEastAsia" w:hAnsiTheme="minorEastAsia" w:eastAsiaTheme="minorEastAsia" w:cstheme="minorEastAsia"/>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00" w:hRule="atLeast"/>
          <w:jc w:val="center"/>
        </w:trPr>
        <w:tc>
          <w:tcPr>
            <w:tcW w:w="903" w:type="pct"/>
            <w:tcBorders>
              <w:top w:val="nil"/>
              <w:bottom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其中：工业生产用</w:t>
            </w:r>
          </w:p>
        </w:tc>
        <w:tc>
          <w:tcPr>
            <w:tcW w:w="455"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94"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08</w:t>
            </w:r>
          </w:p>
        </w:tc>
        <w:tc>
          <w:tcPr>
            <w:tcW w:w="442" w:type="pct"/>
            <w:tcBorders>
              <w:top w:val="nil"/>
              <w:bottom w:val="nil"/>
              <w:right w:val="nil"/>
            </w:tcBorders>
            <w:noWrap/>
            <w:vAlign w:val="center"/>
          </w:tcPr>
          <w:p>
            <w:pPr>
              <w:rPr>
                <w:rFonts w:asciiTheme="minorEastAsia" w:hAnsiTheme="minorEastAsia" w:eastAsiaTheme="minorEastAsia" w:cstheme="minorEastAsia"/>
                <w:sz w:val="18"/>
                <w:szCs w:val="18"/>
              </w:rPr>
            </w:pPr>
          </w:p>
        </w:tc>
        <w:tc>
          <w:tcPr>
            <w:tcW w:w="357"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8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72"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49"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10"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2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504" w:type="pct"/>
            <w:tcBorders>
              <w:top w:val="nil"/>
              <w:left w:val="nil"/>
              <w:bottom w:val="nil"/>
            </w:tcBorders>
            <w:noWrap/>
            <w:vAlign w:val="center"/>
          </w:tcPr>
          <w:p>
            <w:pPr>
              <w:rPr>
                <w:rFonts w:asciiTheme="minorEastAsia" w:hAnsiTheme="minorEastAsia" w:eastAsiaTheme="minorEastAsia" w:cstheme="minorEastAsia"/>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00" w:hRule="atLeast"/>
          <w:jc w:val="center"/>
        </w:trPr>
        <w:tc>
          <w:tcPr>
            <w:tcW w:w="903" w:type="pct"/>
            <w:tcBorders>
              <w:top w:val="nil"/>
              <w:bottom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商业用</w:t>
            </w:r>
          </w:p>
        </w:tc>
        <w:tc>
          <w:tcPr>
            <w:tcW w:w="455"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94"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09</w:t>
            </w:r>
          </w:p>
        </w:tc>
        <w:tc>
          <w:tcPr>
            <w:tcW w:w="442" w:type="pct"/>
            <w:tcBorders>
              <w:top w:val="nil"/>
              <w:bottom w:val="nil"/>
              <w:right w:val="nil"/>
            </w:tcBorders>
            <w:noWrap/>
            <w:vAlign w:val="center"/>
          </w:tcPr>
          <w:p>
            <w:pPr>
              <w:rPr>
                <w:rFonts w:asciiTheme="minorEastAsia" w:hAnsiTheme="minorEastAsia" w:eastAsiaTheme="minorEastAsia" w:cstheme="minorEastAsia"/>
                <w:sz w:val="18"/>
                <w:szCs w:val="18"/>
              </w:rPr>
            </w:pPr>
          </w:p>
        </w:tc>
        <w:tc>
          <w:tcPr>
            <w:tcW w:w="357"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8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72"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49"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10"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2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504" w:type="pct"/>
            <w:tcBorders>
              <w:top w:val="nil"/>
              <w:left w:val="nil"/>
              <w:bottom w:val="nil"/>
            </w:tcBorders>
            <w:noWrap/>
            <w:vAlign w:val="center"/>
          </w:tcPr>
          <w:p>
            <w:pPr>
              <w:rPr>
                <w:rFonts w:asciiTheme="minorEastAsia" w:hAnsiTheme="minorEastAsia" w:eastAsiaTheme="minorEastAsia" w:cstheme="minorEastAsia"/>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00" w:hRule="atLeast"/>
          <w:jc w:val="center"/>
        </w:trPr>
        <w:tc>
          <w:tcPr>
            <w:tcW w:w="903" w:type="pct"/>
            <w:tcBorders>
              <w:top w:val="nil"/>
              <w:bottom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城镇</w:t>
            </w:r>
          </w:p>
        </w:tc>
        <w:tc>
          <w:tcPr>
            <w:tcW w:w="455"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94"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tc>
        <w:tc>
          <w:tcPr>
            <w:tcW w:w="442" w:type="pct"/>
            <w:tcBorders>
              <w:top w:val="nil"/>
              <w:bottom w:val="nil"/>
              <w:right w:val="nil"/>
            </w:tcBorders>
            <w:noWrap/>
            <w:vAlign w:val="center"/>
          </w:tcPr>
          <w:p>
            <w:pPr>
              <w:rPr>
                <w:rFonts w:asciiTheme="minorEastAsia" w:hAnsiTheme="minorEastAsia" w:eastAsiaTheme="minorEastAsia" w:cstheme="minorEastAsia"/>
                <w:sz w:val="18"/>
                <w:szCs w:val="18"/>
              </w:rPr>
            </w:pPr>
          </w:p>
        </w:tc>
        <w:tc>
          <w:tcPr>
            <w:tcW w:w="357"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8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72"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49"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10"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2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504" w:type="pct"/>
            <w:tcBorders>
              <w:top w:val="nil"/>
              <w:left w:val="nil"/>
              <w:bottom w:val="nil"/>
            </w:tcBorders>
            <w:noWrap/>
            <w:vAlign w:val="center"/>
          </w:tcPr>
          <w:p>
            <w:pPr>
              <w:rPr>
                <w:rFonts w:asciiTheme="minorEastAsia" w:hAnsiTheme="minorEastAsia" w:eastAsiaTheme="minorEastAsia" w:cstheme="minorEastAsia"/>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00" w:hRule="atLeast"/>
          <w:jc w:val="center"/>
        </w:trPr>
        <w:tc>
          <w:tcPr>
            <w:tcW w:w="903" w:type="pct"/>
            <w:tcBorders>
              <w:top w:val="nil"/>
              <w:bottom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乡村</w:t>
            </w:r>
          </w:p>
        </w:tc>
        <w:tc>
          <w:tcPr>
            <w:tcW w:w="455"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94" w:type="pct"/>
            <w:tcBorders>
              <w:top w:val="nil"/>
              <w:bottom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w:t>
            </w:r>
          </w:p>
        </w:tc>
        <w:tc>
          <w:tcPr>
            <w:tcW w:w="442" w:type="pct"/>
            <w:tcBorders>
              <w:top w:val="nil"/>
              <w:bottom w:val="nil"/>
              <w:right w:val="nil"/>
            </w:tcBorders>
            <w:noWrap/>
            <w:vAlign w:val="center"/>
          </w:tcPr>
          <w:p>
            <w:pPr>
              <w:rPr>
                <w:rFonts w:asciiTheme="minorEastAsia" w:hAnsiTheme="minorEastAsia" w:eastAsiaTheme="minorEastAsia" w:cstheme="minorEastAsia"/>
                <w:sz w:val="18"/>
                <w:szCs w:val="18"/>
              </w:rPr>
            </w:pPr>
          </w:p>
        </w:tc>
        <w:tc>
          <w:tcPr>
            <w:tcW w:w="357"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8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72"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349"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10" w:type="pct"/>
            <w:gridSpan w:val="2"/>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425" w:type="pct"/>
            <w:tcBorders>
              <w:top w:val="nil"/>
              <w:left w:val="nil"/>
              <w:bottom w:val="nil"/>
              <w:right w:val="nil"/>
            </w:tcBorders>
            <w:noWrap/>
            <w:vAlign w:val="center"/>
          </w:tcPr>
          <w:p>
            <w:pPr>
              <w:rPr>
                <w:rFonts w:asciiTheme="minorEastAsia" w:hAnsiTheme="minorEastAsia" w:eastAsiaTheme="minorEastAsia" w:cstheme="minorEastAsia"/>
                <w:sz w:val="18"/>
                <w:szCs w:val="18"/>
              </w:rPr>
            </w:pPr>
          </w:p>
        </w:tc>
        <w:tc>
          <w:tcPr>
            <w:tcW w:w="504" w:type="pct"/>
            <w:tcBorders>
              <w:top w:val="nil"/>
              <w:left w:val="nil"/>
              <w:bottom w:val="nil"/>
            </w:tcBorders>
            <w:noWrap/>
            <w:vAlign w:val="center"/>
          </w:tcPr>
          <w:p>
            <w:pPr>
              <w:rPr>
                <w:rFonts w:asciiTheme="minorEastAsia" w:hAnsiTheme="minorEastAsia" w:eastAsiaTheme="minorEastAsia" w:cstheme="minorEastAsia"/>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00" w:hRule="atLeast"/>
          <w:jc w:val="center"/>
        </w:trPr>
        <w:tc>
          <w:tcPr>
            <w:tcW w:w="903" w:type="pct"/>
            <w:tcBorders>
              <w:top w:val="nil"/>
              <w:bottom w:val="single" w:color="auto" w:sz="8" w:space="0"/>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年末库存量</w:t>
            </w:r>
          </w:p>
        </w:tc>
        <w:tc>
          <w:tcPr>
            <w:tcW w:w="455" w:type="pct"/>
            <w:tcBorders>
              <w:top w:val="nil"/>
              <w:bottom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394" w:type="pct"/>
            <w:tcBorders>
              <w:top w:val="nil"/>
              <w:bottom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w:t>
            </w:r>
          </w:p>
        </w:tc>
        <w:tc>
          <w:tcPr>
            <w:tcW w:w="442" w:type="pct"/>
            <w:tcBorders>
              <w:top w:val="nil"/>
              <w:bottom w:val="single" w:color="auto" w:sz="8" w:space="0"/>
              <w:right w:val="nil"/>
            </w:tcBorders>
            <w:noWrap/>
            <w:vAlign w:val="center"/>
          </w:tcPr>
          <w:p>
            <w:pPr>
              <w:rPr>
                <w:rFonts w:asciiTheme="minorEastAsia" w:hAnsiTheme="minorEastAsia" w:eastAsiaTheme="minorEastAsia" w:cstheme="minorEastAsia"/>
                <w:sz w:val="18"/>
                <w:szCs w:val="18"/>
              </w:rPr>
            </w:pPr>
          </w:p>
        </w:tc>
        <w:tc>
          <w:tcPr>
            <w:tcW w:w="357" w:type="pct"/>
            <w:gridSpan w:val="2"/>
            <w:tcBorders>
              <w:top w:val="nil"/>
              <w:left w:val="nil"/>
              <w:bottom w:val="single" w:color="auto" w:sz="8" w:space="0"/>
              <w:right w:val="nil"/>
            </w:tcBorders>
            <w:noWrap/>
            <w:vAlign w:val="center"/>
          </w:tcPr>
          <w:p>
            <w:pPr>
              <w:rPr>
                <w:rFonts w:asciiTheme="minorEastAsia" w:hAnsiTheme="minorEastAsia" w:eastAsiaTheme="minorEastAsia" w:cstheme="minorEastAsia"/>
                <w:sz w:val="18"/>
                <w:szCs w:val="18"/>
              </w:rPr>
            </w:pPr>
          </w:p>
        </w:tc>
        <w:tc>
          <w:tcPr>
            <w:tcW w:w="385" w:type="pct"/>
            <w:tcBorders>
              <w:top w:val="nil"/>
              <w:left w:val="nil"/>
              <w:bottom w:val="single" w:color="auto" w:sz="8" w:space="0"/>
              <w:right w:val="nil"/>
            </w:tcBorders>
            <w:noWrap/>
            <w:vAlign w:val="center"/>
          </w:tcPr>
          <w:p>
            <w:pPr>
              <w:rPr>
                <w:rFonts w:asciiTheme="minorEastAsia" w:hAnsiTheme="minorEastAsia" w:eastAsiaTheme="minorEastAsia" w:cstheme="minorEastAsia"/>
                <w:sz w:val="18"/>
                <w:szCs w:val="18"/>
              </w:rPr>
            </w:pPr>
          </w:p>
        </w:tc>
        <w:tc>
          <w:tcPr>
            <w:tcW w:w="372" w:type="pct"/>
            <w:tcBorders>
              <w:top w:val="nil"/>
              <w:left w:val="nil"/>
              <w:bottom w:val="single" w:color="auto" w:sz="8" w:space="0"/>
              <w:right w:val="nil"/>
            </w:tcBorders>
            <w:noWrap/>
            <w:vAlign w:val="center"/>
          </w:tcPr>
          <w:p>
            <w:pPr>
              <w:rPr>
                <w:rFonts w:asciiTheme="minorEastAsia" w:hAnsiTheme="minorEastAsia" w:eastAsiaTheme="minorEastAsia" w:cstheme="minorEastAsia"/>
                <w:sz w:val="18"/>
                <w:szCs w:val="18"/>
              </w:rPr>
            </w:pPr>
          </w:p>
        </w:tc>
        <w:tc>
          <w:tcPr>
            <w:tcW w:w="349" w:type="pct"/>
            <w:tcBorders>
              <w:top w:val="nil"/>
              <w:left w:val="nil"/>
              <w:bottom w:val="single" w:color="auto" w:sz="8" w:space="0"/>
              <w:right w:val="nil"/>
            </w:tcBorders>
            <w:noWrap/>
            <w:vAlign w:val="center"/>
          </w:tcPr>
          <w:p>
            <w:pPr>
              <w:rPr>
                <w:rFonts w:asciiTheme="minorEastAsia" w:hAnsiTheme="minorEastAsia" w:eastAsiaTheme="minorEastAsia" w:cstheme="minorEastAsia"/>
                <w:sz w:val="18"/>
                <w:szCs w:val="18"/>
              </w:rPr>
            </w:pPr>
          </w:p>
        </w:tc>
        <w:tc>
          <w:tcPr>
            <w:tcW w:w="410" w:type="pct"/>
            <w:gridSpan w:val="2"/>
            <w:tcBorders>
              <w:top w:val="nil"/>
              <w:left w:val="nil"/>
              <w:bottom w:val="single" w:color="auto" w:sz="8" w:space="0"/>
              <w:right w:val="nil"/>
            </w:tcBorders>
            <w:noWrap/>
            <w:vAlign w:val="center"/>
          </w:tcPr>
          <w:p>
            <w:pPr>
              <w:rPr>
                <w:rFonts w:asciiTheme="minorEastAsia" w:hAnsiTheme="minorEastAsia" w:eastAsiaTheme="minorEastAsia" w:cstheme="minorEastAsia"/>
                <w:sz w:val="18"/>
                <w:szCs w:val="18"/>
              </w:rPr>
            </w:pPr>
          </w:p>
        </w:tc>
        <w:tc>
          <w:tcPr>
            <w:tcW w:w="425" w:type="pct"/>
            <w:tcBorders>
              <w:top w:val="nil"/>
              <w:left w:val="nil"/>
              <w:bottom w:val="single" w:color="auto" w:sz="8" w:space="0"/>
              <w:right w:val="nil"/>
            </w:tcBorders>
            <w:noWrap/>
            <w:vAlign w:val="center"/>
          </w:tcPr>
          <w:p>
            <w:pPr>
              <w:rPr>
                <w:rFonts w:asciiTheme="minorEastAsia" w:hAnsiTheme="minorEastAsia" w:eastAsiaTheme="minorEastAsia" w:cstheme="minorEastAsia"/>
                <w:sz w:val="18"/>
                <w:szCs w:val="18"/>
              </w:rPr>
            </w:pPr>
          </w:p>
        </w:tc>
        <w:tc>
          <w:tcPr>
            <w:tcW w:w="504" w:type="pct"/>
            <w:tcBorders>
              <w:top w:val="nil"/>
              <w:left w:val="nil"/>
              <w:bottom w:val="single" w:color="auto" w:sz="8" w:space="0"/>
            </w:tcBorders>
            <w:noWrap/>
            <w:vAlign w:val="center"/>
          </w:tcPr>
          <w:p>
            <w:pPr>
              <w:rPr>
                <w:rFonts w:asciiTheme="minorEastAsia" w:hAnsiTheme="minorEastAsia" w:eastAsiaTheme="minorEastAsia" w:cstheme="minorEastAsia"/>
                <w:sz w:val="18"/>
                <w:szCs w:val="18"/>
              </w:rPr>
            </w:pPr>
          </w:p>
        </w:tc>
      </w:tr>
    </w:tbl>
    <w:p>
      <w:pPr>
        <w:spacing w:line="280" w:lineRule="exact"/>
        <w:ind w:leftChars="-46" w:right="-12" w:hanging="97" w:hangingChars="54"/>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单</w:t>
      </w:r>
      <w:r>
        <w:rPr>
          <w:rFonts w:hint="eastAsia" w:asciiTheme="minorEastAsia" w:hAnsiTheme="minorEastAsia" w:eastAsiaTheme="minorEastAsia" w:cstheme="minorEastAsia"/>
          <w:kern w:val="0"/>
          <w:sz w:val="18"/>
          <w:szCs w:val="18"/>
        </w:rPr>
        <w:t>位负责人：          统计负责人：          填表人：          联系电话：          报出日期：２０   年  月  日</w:t>
      </w:r>
    </w:p>
    <w:p>
      <w:pPr>
        <w:ind w:right="-1774"/>
        <w:rPr>
          <w:rFonts w:asciiTheme="minorEastAsia" w:hAnsiTheme="minorEastAsia" w:eastAsiaTheme="minorEastAsia" w:cstheme="minorEastAsia"/>
          <w:sz w:val="18"/>
        </w:rPr>
      </w:pPr>
    </w:p>
    <w:p>
      <w:pPr>
        <w:keepNext w:val="0"/>
        <w:keepLines w:val="0"/>
        <w:pageBreakBefore w:val="0"/>
        <w:widowControl w:val="0"/>
        <w:kinsoku/>
        <w:wordWrap/>
        <w:overflowPunct/>
        <w:topLinePunct w:val="0"/>
        <w:autoSpaceDE/>
        <w:autoSpaceDN/>
        <w:bidi w:val="0"/>
        <w:adjustRightInd/>
        <w:snapToGrid/>
        <w:spacing w:line="216" w:lineRule="auto"/>
        <w:ind w:leftChars="-33" w:right="-38" w:hanging="68" w:hangingChars="38"/>
        <w:textAlignment w:val="auto"/>
        <w:rPr>
          <w:rFonts w:asciiTheme="minorEastAsia" w:hAnsiTheme="minorEastAsia" w:eastAsiaTheme="minorEastAsia" w:cstheme="minorEastAsia"/>
          <w:sz w:val="18"/>
        </w:rPr>
      </w:pPr>
      <w:r>
        <w:rPr>
          <w:rFonts w:hint="eastAsia" w:asciiTheme="minorEastAsia" w:hAnsiTheme="minorEastAsia" w:eastAsiaTheme="minorEastAsia" w:cstheme="minorEastAsia"/>
          <w:b/>
          <w:sz w:val="18"/>
        </w:rPr>
        <w:t>说明</w:t>
      </w:r>
      <w:r>
        <w:rPr>
          <w:rFonts w:hint="eastAsia" w:asciiTheme="minorEastAsia" w:hAnsiTheme="minorEastAsia" w:eastAsiaTheme="minorEastAsia" w:cstheme="minorEastAsia"/>
          <w:sz w:val="18"/>
        </w:rPr>
        <w:t>：</w:t>
      </w:r>
      <w:r>
        <w:rPr>
          <w:rFonts w:hint="eastAsia" w:asciiTheme="minorEastAsia" w:hAnsiTheme="minorEastAsia" w:eastAsiaTheme="minorEastAsia" w:cstheme="minorEastAsia"/>
          <w:sz w:val="18"/>
          <w:szCs w:val="18"/>
        </w:rPr>
        <w:t>1.本表由各有关单位报送。</w:t>
      </w:r>
    </w:p>
    <w:p>
      <w:pPr>
        <w:keepNext w:val="0"/>
        <w:keepLines w:val="0"/>
        <w:pageBreakBefore w:val="0"/>
        <w:widowControl w:val="0"/>
        <w:kinsoku/>
        <w:wordWrap/>
        <w:overflowPunct/>
        <w:topLinePunct w:val="0"/>
        <w:autoSpaceDE/>
        <w:autoSpaceDN/>
        <w:bidi w:val="0"/>
        <w:adjustRightInd/>
        <w:snapToGrid/>
        <w:spacing w:line="216" w:lineRule="auto"/>
        <w:ind w:right="-143" w:firstLine="489" w:firstLineChars="272"/>
        <w:textAlignment w:val="auto"/>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2.统计范围是</w:t>
      </w:r>
      <w:r>
        <w:rPr>
          <w:rFonts w:hint="eastAsia" w:asciiTheme="minorEastAsia" w:hAnsiTheme="minorEastAsia" w:eastAsiaTheme="minorEastAsia" w:cstheme="minorEastAsia"/>
          <w:spacing w:val="-6"/>
          <w:sz w:val="18"/>
        </w:rPr>
        <w:t>辖区内</w:t>
      </w:r>
      <w:r>
        <w:rPr>
          <w:rFonts w:hint="eastAsia" w:asciiTheme="minorEastAsia" w:hAnsiTheme="minorEastAsia" w:eastAsiaTheme="minorEastAsia" w:cstheme="minorEastAsia"/>
          <w:sz w:val="18"/>
        </w:rPr>
        <w:t>所有单位和个人的能源消费活动</w:t>
      </w:r>
      <w:r>
        <w:rPr>
          <w:rFonts w:hint="eastAsia" w:asciiTheme="minorEastAsia" w:hAnsiTheme="minorEastAsia" w:eastAsiaTheme="minorEastAsia" w:cstheme="minorEastAsia"/>
          <w:sz w:val="18"/>
          <w:szCs w:val="18"/>
        </w:rPr>
        <w:t>。</w:t>
      </w:r>
    </w:p>
    <w:p>
      <w:pPr>
        <w:keepNext w:val="0"/>
        <w:keepLines w:val="0"/>
        <w:pageBreakBefore w:val="0"/>
        <w:widowControl w:val="0"/>
        <w:kinsoku/>
        <w:wordWrap/>
        <w:overflowPunct/>
        <w:topLinePunct w:val="0"/>
        <w:autoSpaceDE/>
        <w:autoSpaceDN/>
        <w:bidi w:val="0"/>
        <w:adjustRightInd/>
        <w:snapToGrid/>
        <w:spacing w:line="216" w:lineRule="auto"/>
        <w:ind w:right="-1774" w:firstLine="489" w:firstLineChars="272"/>
        <w:textAlignment w:val="auto"/>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3.报送时间为次年3月15日前</w:t>
      </w:r>
      <w:r>
        <w:rPr>
          <w:rFonts w:hint="eastAsia" w:asciiTheme="minorEastAsia" w:hAnsiTheme="minorEastAsia" w:eastAsiaTheme="minorEastAsia" w:cstheme="minorEastAsia"/>
          <w:sz w:val="18"/>
        </w:rPr>
        <w:t>，报送方式为电子邮件（gzstjjnyc@gz.gov.cn）。</w:t>
      </w:r>
    </w:p>
    <w:p>
      <w:pPr>
        <w:jc w:val="center"/>
        <w:rPr>
          <w:rFonts w:ascii="宋体" w:hAnsi="宋体"/>
          <w:b/>
          <w:sz w:val="32"/>
        </w:rPr>
      </w:pPr>
      <w:r>
        <w:rPr>
          <w:rFonts w:hint="eastAsia" w:ascii="宋体" w:hAnsi="宋体"/>
          <w:b/>
          <w:sz w:val="32"/>
        </w:rPr>
        <w:br w:type="page"/>
      </w:r>
      <w:r>
        <w:rPr>
          <w:rFonts w:hint="eastAsia" w:ascii="宋体" w:hAnsi="宋体"/>
          <w:b/>
          <w:sz w:val="32"/>
        </w:rPr>
        <w:t>国际燃料舱</w:t>
      </w:r>
    </w:p>
    <w:p>
      <w:pPr>
        <w:ind w:firstLine="7200" w:firstLineChars="4000"/>
        <w:rPr>
          <w:rFonts w:ascii="宋体" w:hAnsi="宋体"/>
          <w:sz w:val="18"/>
          <w:szCs w:val="18"/>
        </w:rPr>
      </w:pPr>
    </w:p>
    <w:tbl>
      <w:tblPr>
        <w:tblStyle w:val="21"/>
        <w:tblW w:w="9907" w:type="dxa"/>
        <w:jc w:val="center"/>
        <w:tblLayout w:type="fixed"/>
        <w:tblCellMar>
          <w:top w:w="0" w:type="dxa"/>
          <w:left w:w="0" w:type="dxa"/>
          <w:bottom w:w="0" w:type="dxa"/>
          <w:right w:w="0" w:type="dxa"/>
        </w:tblCellMar>
      </w:tblPr>
      <w:tblGrid>
        <w:gridCol w:w="3723"/>
        <w:gridCol w:w="686"/>
        <w:gridCol w:w="2814"/>
        <w:gridCol w:w="850"/>
        <w:gridCol w:w="1834"/>
      </w:tblGrid>
      <w:tr>
        <w:tblPrEx>
          <w:tblCellMar>
            <w:top w:w="0" w:type="dxa"/>
            <w:left w:w="0" w:type="dxa"/>
            <w:bottom w:w="0" w:type="dxa"/>
            <w:right w:w="0" w:type="dxa"/>
          </w:tblCellMar>
        </w:tblPrEx>
        <w:trPr>
          <w:jc w:val="center"/>
        </w:trPr>
        <w:tc>
          <w:tcPr>
            <w:tcW w:w="3723" w:type="dxa"/>
            <w:noWrap/>
            <w:tcMar>
              <w:left w:w="0" w:type="dxa"/>
              <w:right w:w="0" w:type="dxa"/>
            </w:tcMar>
          </w:tcPr>
          <w:p>
            <w:pPr>
              <w:spacing w:line="240" w:lineRule="exact"/>
              <w:jc w:val="center"/>
              <w:rPr>
                <w:sz w:val="32"/>
                <w:szCs w:val="32"/>
              </w:rPr>
            </w:pPr>
          </w:p>
        </w:tc>
        <w:tc>
          <w:tcPr>
            <w:tcW w:w="686" w:type="dxa"/>
            <w:noWrap/>
          </w:tcPr>
          <w:p>
            <w:pPr>
              <w:spacing w:line="240" w:lineRule="exact"/>
              <w:jc w:val="center"/>
              <w:rPr>
                <w:sz w:val="32"/>
                <w:szCs w:val="32"/>
              </w:rPr>
            </w:pPr>
          </w:p>
        </w:tc>
        <w:tc>
          <w:tcPr>
            <w:tcW w:w="2814" w:type="dxa"/>
            <w:noWrap/>
          </w:tcPr>
          <w:p>
            <w:pPr>
              <w:spacing w:line="240" w:lineRule="exact"/>
              <w:jc w:val="center"/>
              <w:rPr>
                <w:sz w:val="32"/>
                <w:szCs w:val="32"/>
              </w:rPr>
            </w:pPr>
          </w:p>
        </w:tc>
        <w:tc>
          <w:tcPr>
            <w:tcW w:w="850" w:type="dxa"/>
            <w:noWrap/>
          </w:tcPr>
          <w:p>
            <w:pPr>
              <w:spacing w:line="240" w:lineRule="exact"/>
              <w:jc w:val="distribute"/>
              <w:rPr>
                <w:rFonts w:ascii="宋体" w:hAnsi="宋体"/>
                <w:sz w:val="18"/>
                <w:szCs w:val="18"/>
              </w:rPr>
            </w:pPr>
            <w:r>
              <w:rPr>
                <w:rFonts w:ascii="宋体" w:hAnsi="宋体"/>
                <w:sz w:val="18"/>
                <w:szCs w:val="18"/>
              </w:rPr>
              <w:t>表    号：</w:t>
            </w:r>
          </w:p>
        </w:tc>
        <w:tc>
          <w:tcPr>
            <w:tcW w:w="1834" w:type="dxa"/>
            <w:noWrap/>
            <w:vAlign w:val="center"/>
          </w:tcPr>
          <w:p>
            <w:pPr>
              <w:spacing w:line="240" w:lineRule="exact"/>
              <w:jc w:val="distribute"/>
              <w:rPr>
                <w:rFonts w:ascii="宋体" w:hAnsi="宋体"/>
                <w:sz w:val="18"/>
                <w:szCs w:val="18"/>
              </w:rPr>
            </w:pPr>
            <w:r>
              <w:rPr>
                <w:rFonts w:hint="eastAsia" w:ascii="宋体" w:hAnsi="宋体"/>
                <w:sz w:val="18"/>
                <w:szCs w:val="18"/>
              </w:rPr>
              <w:t>粤</w:t>
            </w:r>
            <w:r>
              <w:rPr>
                <w:rFonts w:ascii="宋体" w:hAnsi="宋体"/>
                <w:sz w:val="18"/>
                <w:szCs w:val="18"/>
              </w:rPr>
              <w:t>Ｐ</w:t>
            </w:r>
            <w:r>
              <w:rPr>
                <w:rFonts w:hint="eastAsia" w:ascii="宋体" w:hAnsi="宋体"/>
                <w:sz w:val="18"/>
                <w:szCs w:val="18"/>
              </w:rPr>
              <w:t>３１９</w:t>
            </w:r>
            <w:r>
              <w:rPr>
                <w:rFonts w:ascii="宋体" w:hAnsi="宋体"/>
                <w:sz w:val="18"/>
                <w:szCs w:val="18"/>
              </w:rPr>
              <w:t>表</w:t>
            </w:r>
          </w:p>
        </w:tc>
      </w:tr>
      <w:tr>
        <w:tblPrEx>
          <w:tblCellMar>
            <w:top w:w="0" w:type="dxa"/>
            <w:left w:w="0" w:type="dxa"/>
            <w:bottom w:w="0" w:type="dxa"/>
            <w:right w:w="0" w:type="dxa"/>
          </w:tblCellMar>
        </w:tblPrEx>
        <w:trPr>
          <w:jc w:val="center"/>
        </w:trPr>
        <w:tc>
          <w:tcPr>
            <w:tcW w:w="3723" w:type="dxa"/>
            <w:noWrap/>
            <w:tcMar>
              <w:left w:w="0" w:type="dxa"/>
              <w:right w:w="0" w:type="dxa"/>
            </w:tcMar>
            <w:vAlign w:val="bottom"/>
          </w:tcPr>
          <w:p>
            <w:pPr>
              <w:spacing w:line="240" w:lineRule="exact"/>
              <w:rPr>
                <w:sz w:val="32"/>
                <w:szCs w:val="32"/>
              </w:rPr>
            </w:pPr>
          </w:p>
        </w:tc>
        <w:tc>
          <w:tcPr>
            <w:tcW w:w="686" w:type="dxa"/>
            <w:noWrap/>
          </w:tcPr>
          <w:p>
            <w:pPr>
              <w:spacing w:line="240" w:lineRule="exact"/>
              <w:jc w:val="center"/>
              <w:rPr>
                <w:sz w:val="32"/>
                <w:szCs w:val="32"/>
              </w:rPr>
            </w:pPr>
          </w:p>
        </w:tc>
        <w:tc>
          <w:tcPr>
            <w:tcW w:w="2814" w:type="dxa"/>
            <w:noWrap/>
          </w:tcPr>
          <w:p>
            <w:pPr>
              <w:spacing w:line="240" w:lineRule="exact"/>
              <w:jc w:val="center"/>
              <w:rPr>
                <w:sz w:val="32"/>
                <w:szCs w:val="32"/>
              </w:rPr>
            </w:pPr>
          </w:p>
        </w:tc>
        <w:tc>
          <w:tcPr>
            <w:tcW w:w="850" w:type="dxa"/>
            <w:noWrap/>
            <w:vAlign w:val="center"/>
          </w:tcPr>
          <w:p>
            <w:pPr>
              <w:spacing w:line="240" w:lineRule="exact"/>
              <w:jc w:val="distribute"/>
              <w:rPr>
                <w:rFonts w:ascii="宋体" w:hAnsi="宋体"/>
                <w:sz w:val="18"/>
                <w:szCs w:val="18"/>
              </w:rPr>
            </w:pPr>
            <w:r>
              <w:rPr>
                <w:rFonts w:ascii="宋体" w:hAnsi="宋体"/>
                <w:sz w:val="18"/>
                <w:szCs w:val="18"/>
              </w:rPr>
              <w:t>制定机关：</w:t>
            </w:r>
          </w:p>
        </w:tc>
        <w:tc>
          <w:tcPr>
            <w:tcW w:w="1834" w:type="dxa"/>
            <w:noWrap/>
            <w:vAlign w:val="center"/>
          </w:tcPr>
          <w:p>
            <w:pPr>
              <w:spacing w:line="240" w:lineRule="exact"/>
              <w:jc w:val="distribute"/>
              <w:rPr>
                <w:rFonts w:ascii="宋体" w:hAnsi="宋体"/>
                <w:sz w:val="18"/>
                <w:szCs w:val="18"/>
              </w:rPr>
            </w:pPr>
            <w:r>
              <w:rPr>
                <w:rFonts w:hint="eastAsia" w:ascii="宋体" w:hAnsi="宋体"/>
                <w:sz w:val="18"/>
                <w:szCs w:val="18"/>
              </w:rPr>
              <w:t>广东省统计局</w:t>
            </w:r>
          </w:p>
        </w:tc>
      </w:tr>
      <w:tr>
        <w:tblPrEx>
          <w:tblCellMar>
            <w:top w:w="0" w:type="dxa"/>
            <w:left w:w="0" w:type="dxa"/>
            <w:bottom w:w="0" w:type="dxa"/>
            <w:right w:w="0" w:type="dxa"/>
          </w:tblCellMar>
        </w:tblPrEx>
        <w:trPr>
          <w:trHeight w:val="168" w:hRule="atLeast"/>
          <w:jc w:val="center"/>
        </w:trPr>
        <w:tc>
          <w:tcPr>
            <w:tcW w:w="3723" w:type="dxa"/>
            <w:tcBorders>
              <w:bottom w:val="nil"/>
            </w:tcBorders>
            <w:noWrap/>
            <w:tcMar>
              <w:left w:w="0" w:type="dxa"/>
              <w:right w:w="0" w:type="dxa"/>
            </w:tcMar>
          </w:tcPr>
          <w:p>
            <w:pPr>
              <w:spacing w:line="240" w:lineRule="exact"/>
              <w:jc w:val="left"/>
              <w:rPr>
                <w:sz w:val="32"/>
                <w:szCs w:val="32"/>
              </w:rPr>
            </w:pPr>
          </w:p>
        </w:tc>
        <w:tc>
          <w:tcPr>
            <w:tcW w:w="686" w:type="dxa"/>
            <w:tcBorders>
              <w:bottom w:val="nil"/>
            </w:tcBorders>
            <w:noWrap/>
          </w:tcPr>
          <w:p>
            <w:pPr>
              <w:spacing w:line="240" w:lineRule="exact"/>
              <w:jc w:val="center"/>
              <w:rPr>
                <w:sz w:val="32"/>
                <w:szCs w:val="32"/>
              </w:rPr>
            </w:pPr>
          </w:p>
        </w:tc>
        <w:tc>
          <w:tcPr>
            <w:tcW w:w="2814" w:type="dxa"/>
            <w:tcBorders>
              <w:bottom w:val="nil"/>
            </w:tcBorders>
            <w:noWrap/>
          </w:tcPr>
          <w:p>
            <w:pPr>
              <w:spacing w:line="240" w:lineRule="exact"/>
              <w:jc w:val="center"/>
              <w:rPr>
                <w:sz w:val="32"/>
                <w:szCs w:val="32"/>
              </w:rPr>
            </w:pPr>
          </w:p>
        </w:tc>
        <w:tc>
          <w:tcPr>
            <w:tcW w:w="850" w:type="dxa"/>
            <w:tcBorders>
              <w:bottom w:val="nil"/>
            </w:tcBorders>
            <w:noWrap/>
            <w:vAlign w:val="center"/>
          </w:tcPr>
          <w:p>
            <w:pPr>
              <w:spacing w:line="240" w:lineRule="exact"/>
              <w:jc w:val="distribute"/>
              <w:rPr>
                <w:rFonts w:ascii="宋体" w:hAnsi="宋体"/>
                <w:sz w:val="18"/>
                <w:szCs w:val="18"/>
              </w:rPr>
            </w:pPr>
            <w:r>
              <w:rPr>
                <w:rFonts w:hint="eastAsia" w:ascii="宋体" w:hAnsi="宋体"/>
                <w:sz w:val="18"/>
                <w:szCs w:val="18"/>
              </w:rPr>
              <w:t>批准机关：</w:t>
            </w:r>
          </w:p>
        </w:tc>
        <w:tc>
          <w:tcPr>
            <w:tcW w:w="1834" w:type="dxa"/>
            <w:tcBorders>
              <w:bottom w:val="nil"/>
            </w:tcBorders>
            <w:noWrap/>
            <w:vAlign w:val="center"/>
          </w:tcPr>
          <w:p>
            <w:pPr>
              <w:spacing w:line="240" w:lineRule="exact"/>
              <w:jc w:val="distribute"/>
              <w:rPr>
                <w:rFonts w:ascii="宋体" w:hAnsi="宋体"/>
                <w:sz w:val="18"/>
                <w:szCs w:val="18"/>
              </w:rPr>
            </w:pPr>
            <w:r>
              <w:rPr>
                <w:rFonts w:ascii="宋体" w:hAnsi="宋体"/>
                <w:sz w:val="18"/>
                <w:szCs w:val="18"/>
              </w:rPr>
              <w:t>国家统计局</w:t>
            </w:r>
          </w:p>
        </w:tc>
      </w:tr>
      <w:tr>
        <w:tblPrEx>
          <w:tblCellMar>
            <w:top w:w="0" w:type="dxa"/>
            <w:left w:w="0" w:type="dxa"/>
            <w:bottom w:w="0" w:type="dxa"/>
            <w:right w:w="0" w:type="dxa"/>
          </w:tblCellMar>
        </w:tblPrEx>
        <w:trPr>
          <w:trHeight w:val="312" w:hRule="atLeast"/>
          <w:jc w:val="center"/>
        </w:trPr>
        <w:tc>
          <w:tcPr>
            <w:tcW w:w="3723" w:type="dxa"/>
            <w:noWrap/>
            <w:tcMar>
              <w:left w:w="0" w:type="dxa"/>
              <w:right w:w="0" w:type="dxa"/>
            </w:tcMar>
          </w:tcPr>
          <w:p>
            <w:pPr>
              <w:spacing w:line="240" w:lineRule="exact"/>
              <w:jc w:val="left"/>
              <w:rPr>
                <w:sz w:val="32"/>
                <w:szCs w:val="32"/>
              </w:rPr>
            </w:pPr>
          </w:p>
        </w:tc>
        <w:tc>
          <w:tcPr>
            <w:tcW w:w="686" w:type="dxa"/>
            <w:noWrap/>
          </w:tcPr>
          <w:p>
            <w:pPr>
              <w:spacing w:line="240" w:lineRule="exact"/>
              <w:jc w:val="center"/>
              <w:rPr>
                <w:sz w:val="32"/>
                <w:szCs w:val="32"/>
              </w:rPr>
            </w:pPr>
          </w:p>
        </w:tc>
        <w:tc>
          <w:tcPr>
            <w:tcW w:w="2814" w:type="dxa"/>
            <w:noWrap/>
          </w:tcPr>
          <w:p>
            <w:pPr>
              <w:spacing w:line="240" w:lineRule="exact"/>
              <w:jc w:val="center"/>
              <w:rPr>
                <w:sz w:val="32"/>
                <w:szCs w:val="32"/>
              </w:rPr>
            </w:pPr>
          </w:p>
        </w:tc>
        <w:tc>
          <w:tcPr>
            <w:tcW w:w="850" w:type="dxa"/>
            <w:noWrap/>
            <w:vAlign w:val="center"/>
          </w:tcPr>
          <w:p>
            <w:pPr>
              <w:spacing w:line="240" w:lineRule="exact"/>
              <w:jc w:val="distribute"/>
              <w:rPr>
                <w:rFonts w:ascii="宋体" w:hAnsi="宋体"/>
                <w:sz w:val="18"/>
                <w:szCs w:val="18"/>
              </w:rPr>
            </w:pPr>
            <w:r>
              <w:rPr>
                <w:rFonts w:hint="eastAsia" w:ascii="宋体" w:hAnsi="宋体"/>
                <w:sz w:val="18"/>
                <w:szCs w:val="18"/>
              </w:rPr>
              <w:t>批准文号：</w:t>
            </w:r>
          </w:p>
        </w:tc>
        <w:tc>
          <w:tcPr>
            <w:tcW w:w="1834" w:type="dxa"/>
            <w:noWrap/>
            <w:vAlign w:val="center"/>
          </w:tcPr>
          <w:p>
            <w:pPr>
              <w:widowControl/>
              <w:jc w:val="distribute"/>
              <w:rPr>
                <w:rFonts w:ascii="宋体" w:hAnsi="宋体"/>
                <w:color w:val="auto"/>
                <w:sz w:val="18"/>
                <w:szCs w:val="18"/>
                <w:highlight w:val="none"/>
              </w:rPr>
            </w:pPr>
            <w:r>
              <w:rPr>
                <w:rFonts w:hint="eastAsia" w:asciiTheme="minorEastAsia" w:hAnsiTheme="minorEastAsia" w:eastAsiaTheme="minorEastAsia" w:cstheme="minorEastAsia"/>
                <w:color w:val="auto"/>
                <w:kern w:val="0"/>
                <w:sz w:val="18"/>
                <w:szCs w:val="18"/>
                <w:highlight w:val="none"/>
              </w:rPr>
              <w:t>国统制</w:t>
            </w:r>
            <w:r>
              <w:rPr>
                <w:rFonts w:hint="eastAsia" w:ascii="宋体" w:hAnsi="宋体"/>
                <w:color w:val="auto"/>
                <w:sz w:val="18"/>
                <w:szCs w:val="18"/>
              </w:rPr>
              <w:t>〔</w:t>
            </w:r>
            <w:r>
              <w:rPr>
                <w:rFonts w:hint="eastAsia" w:asciiTheme="minorEastAsia" w:hAnsiTheme="minorEastAsia" w:eastAsiaTheme="minorEastAsia" w:cstheme="minorEastAsia"/>
                <w:snapToGrid w:val="0"/>
                <w:color w:val="auto"/>
                <w:kern w:val="10"/>
                <w:sz w:val="18"/>
                <w:szCs w:val="18"/>
                <w:highlight w:val="none"/>
              </w:rPr>
              <w:t>202</w:t>
            </w:r>
            <w:r>
              <w:rPr>
                <w:rFonts w:hint="eastAsia" w:asciiTheme="minorEastAsia" w:hAnsiTheme="minorEastAsia" w:eastAsiaTheme="minorEastAsia" w:cstheme="minorEastAsia"/>
                <w:snapToGrid w:val="0"/>
                <w:color w:val="auto"/>
                <w:kern w:val="10"/>
                <w:sz w:val="18"/>
                <w:szCs w:val="18"/>
                <w:highlight w:val="none"/>
                <w:lang w:val="en-US" w:eastAsia="zh-CN"/>
              </w:rPr>
              <w:t>6</w:t>
            </w:r>
            <w:r>
              <w:rPr>
                <w:rFonts w:hint="eastAsia" w:ascii="宋体" w:hAnsi="宋体"/>
                <w:color w:val="auto"/>
                <w:sz w:val="18"/>
                <w:szCs w:val="18"/>
              </w:rPr>
              <w:t>〕</w:t>
            </w:r>
            <w:r>
              <w:rPr>
                <w:rFonts w:hint="eastAsia" w:asciiTheme="minorEastAsia" w:hAnsiTheme="minorEastAsia" w:eastAsiaTheme="minorEastAsia" w:cstheme="minorEastAsia"/>
                <w:snapToGrid w:val="0"/>
                <w:color w:val="auto"/>
                <w:kern w:val="10"/>
                <w:sz w:val="18"/>
                <w:szCs w:val="18"/>
                <w:highlight w:val="none"/>
                <w:lang w:val="en-US" w:eastAsia="zh-CN"/>
              </w:rPr>
              <w:t>48</w:t>
            </w:r>
            <w:r>
              <w:rPr>
                <w:rFonts w:hint="eastAsia" w:asciiTheme="minorEastAsia" w:hAnsiTheme="minorEastAsia" w:eastAsiaTheme="minorEastAsia" w:cstheme="minorEastAsia"/>
                <w:color w:val="auto"/>
                <w:sz w:val="18"/>
                <w:szCs w:val="18"/>
                <w:highlight w:val="none"/>
              </w:rPr>
              <w:t>号</w:t>
            </w:r>
          </w:p>
        </w:tc>
      </w:tr>
      <w:tr>
        <w:tblPrEx>
          <w:tblCellMar>
            <w:top w:w="0" w:type="dxa"/>
            <w:left w:w="0" w:type="dxa"/>
            <w:bottom w:w="0" w:type="dxa"/>
            <w:right w:w="0" w:type="dxa"/>
          </w:tblCellMar>
        </w:tblPrEx>
        <w:trPr>
          <w:trHeight w:val="180" w:hRule="atLeast"/>
          <w:jc w:val="center"/>
        </w:trPr>
        <w:tc>
          <w:tcPr>
            <w:tcW w:w="3723" w:type="dxa"/>
            <w:noWrap/>
            <w:tcMar>
              <w:left w:w="0" w:type="dxa"/>
              <w:right w:w="0" w:type="dxa"/>
            </w:tcMar>
          </w:tcPr>
          <w:p>
            <w:pPr>
              <w:spacing w:line="240" w:lineRule="exact"/>
              <w:jc w:val="left"/>
              <w:rPr>
                <w:sz w:val="32"/>
                <w:szCs w:val="32"/>
              </w:rPr>
            </w:pPr>
            <w:r>
              <w:rPr>
                <w:rFonts w:hint="eastAsia"/>
                <w:kern w:val="0"/>
                <w:sz w:val="18"/>
                <w:szCs w:val="18"/>
              </w:rPr>
              <w:t xml:space="preserve">综合机关名称： </w:t>
            </w:r>
          </w:p>
        </w:tc>
        <w:tc>
          <w:tcPr>
            <w:tcW w:w="3500" w:type="dxa"/>
            <w:gridSpan w:val="2"/>
            <w:noWrap/>
          </w:tcPr>
          <w:p>
            <w:pPr>
              <w:spacing w:line="240" w:lineRule="exact"/>
              <w:ind w:firstLine="540" w:firstLineChars="300"/>
              <w:rPr>
                <w:sz w:val="32"/>
                <w:szCs w:val="32"/>
              </w:rPr>
            </w:pPr>
            <w:r>
              <w:rPr>
                <w:sz w:val="18"/>
                <w:szCs w:val="18"/>
              </w:rPr>
              <w:t>２０　　年</w:t>
            </w:r>
          </w:p>
        </w:tc>
        <w:tc>
          <w:tcPr>
            <w:tcW w:w="850" w:type="dxa"/>
            <w:noWrap/>
            <w:vAlign w:val="center"/>
          </w:tcPr>
          <w:p>
            <w:pPr>
              <w:spacing w:line="240" w:lineRule="exact"/>
              <w:jc w:val="distribute"/>
              <w:rPr>
                <w:rFonts w:ascii="宋体" w:hAnsi="宋体"/>
                <w:sz w:val="18"/>
                <w:szCs w:val="18"/>
              </w:rPr>
            </w:pPr>
            <w:r>
              <w:rPr>
                <w:rFonts w:ascii="宋体" w:hAnsi="宋体"/>
                <w:sz w:val="18"/>
                <w:szCs w:val="18"/>
              </w:rPr>
              <w:t>有效期至：</w:t>
            </w:r>
          </w:p>
        </w:tc>
        <w:tc>
          <w:tcPr>
            <w:tcW w:w="1834" w:type="dxa"/>
            <w:noWrap/>
            <w:vAlign w:val="center"/>
          </w:tcPr>
          <w:p>
            <w:pPr>
              <w:spacing w:line="240" w:lineRule="exact"/>
              <w:jc w:val="distribute"/>
              <w:rPr>
                <w:rFonts w:ascii="宋体" w:hAnsi="宋体"/>
                <w:color w:val="auto"/>
                <w:sz w:val="18"/>
                <w:szCs w:val="18"/>
              </w:rPr>
            </w:pPr>
            <w:r>
              <w:rPr>
                <w:rFonts w:ascii="宋体" w:hAnsi="宋体"/>
                <w:color w:val="auto"/>
                <w:sz w:val="18"/>
                <w:szCs w:val="18"/>
              </w:rPr>
              <w:t>２０２</w:t>
            </w:r>
            <w:r>
              <w:rPr>
                <w:rFonts w:hint="eastAsia" w:ascii="宋体" w:hAnsi="宋体"/>
                <w:color w:val="auto"/>
                <w:sz w:val="18"/>
                <w:lang w:val="en-US" w:eastAsia="zh-CN"/>
              </w:rPr>
              <w:t>6</w:t>
            </w:r>
            <w:r>
              <w:rPr>
                <w:rFonts w:ascii="宋体" w:hAnsi="宋体"/>
                <w:color w:val="auto"/>
                <w:sz w:val="18"/>
                <w:szCs w:val="18"/>
              </w:rPr>
              <w:t>年６月</w:t>
            </w:r>
          </w:p>
        </w:tc>
      </w:tr>
    </w:tbl>
    <w:p>
      <w:pPr>
        <w:rPr>
          <w:vanish/>
        </w:rPr>
      </w:pPr>
    </w:p>
    <w:tbl>
      <w:tblPr>
        <w:tblStyle w:val="21"/>
        <w:tblpPr w:leftFromText="180" w:rightFromText="180" w:vertAnchor="text" w:tblpXSpec="center" w:tblpY="1"/>
        <w:tblOverlap w:val="never"/>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961"/>
        <w:gridCol w:w="1871"/>
        <w:gridCol w:w="1726"/>
        <w:gridCol w:w="1734"/>
        <w:gridCol w:w="182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1769" w:type="dxa"/>
            <w:tcBorders>
              <w:top w:val="single" w:color="auto" w:sz="8" w:space="0"/>
            </w:tcBorders>
            <w:noWrap/>
            <w:vAlign w:val="center"/>
          </w:tcPr>
          <w:p>
            <w:pPr>
              <w:jc w:val="center"/>
              <w:rPr>
                <w:rFonts w:ascii="宋体" w:hAnsi="宋体"/>
                <w:sz w:val="18"/>
                <w:szCs w:val="18"/>
              </w:rPr>
            </w:pPr>
            <w:r>
              <w:rPr>
                <w:rFonts w:hint="eastAsia" w:ascii="宋体" w:hAnsi="宋体"/>
                <w:sz w:val="18"/>
                <w:szCs w:val="18"/>
              </w:rPr>
              <w:t>项   目</w:t>
            </w:r>
          </w:p>
        </w:tc>
        <w:tc>
          <w:tcPr>
            <w:tcW w:w="961" w:type="dxa"/>
            <w:tcBorders>
              <w:top w:val="single" w:color="auto" w:sz="8" w:space="0"/>
            </w:tcBorders>
            <w:noWrap/>
            <w:vAlign w:val="center"/>
          </w:tcPr>
          <w:p>
            <w:pPr>
              <w:jc w:val="center"/>
              <w:rPr>
                <w:rFonts w:ascii="宋体" w:hAnsi="宋体"/>
                <w:sz w:val="18"/>
                <w:szCs w:val="18"/>
              </w:rPr>
            </w:pPr>
            <w:r>
              <w:rPr>
                <w:rFonts w:hint="eastAsia" w:ascii="宋体" w:hAnsi="宋体"/>
                <w:sz w:val="18"/>
                <w:szCs w:val="18"/>
              </w:rPr>
              <w:t>代码</w:t>
            </w:r>
          </w:p>
        </w:tc>
        <w:tc>
          <w:tcPr>
            <w:tcW w:w="1871" w:type="dxa"/>
            <w:tcBorders>
              <w:top w:val="single" w:color="auto" w:sz="8" w:space="0"/>
            </w:tcBorders>
            <w:noWrap/>
            <w:vAlign w:val="bottom"/>
          </w:tcPr>
          <w:p>
            <w:pPr>
              <w:jc w:val="center"/>
              <w:rPr>
                <w:bCs/>
                <w:sz w:val="18"/>
                <w:szCs w:val="18"/>
              </w:rPr>
            </w:pPr>
            <w:r>
              <w:rPr>
                <w:rFonts w:hint="eastAsia"/>
                <w:bCs/>
                <w:sz w:val="18"/>
                <w:szCs w:val="18"/>
              </w:rPr>
              <w:t>汽油</w:t>
            </w:r>
          </w:p>
          <w:p>
            <w:pPr>
              <w:jc w:val="center"/>
              <w:rPr>
                <w:rFonts w:ascii="宋体" w:hAnsi="宋体" w:cs="宋体"/>
                <w:b/>
                <w:bCs/>
                <w:sz w:val="18"/>
                <w:szCs w:val="18"/>
              </w:rPr>
            </w:pPr>
            <w:r>
              <w:rPr>
                <w:rFonts w:hint="eastAsia"/>
                <w:bCs/>
                <w:sz w:val="18"/>
                <w:szCs w:val="18"/>
              </w:rPr>
              <w:t>（万吨）</w:t>
            </w:r>
          </w:p>
        </w:tc>
        <w:tc>
          <w:tcPr>
            <w:tcW w:w="1726" w:type="dxa"/>
            <w:tcBorders>
              <w:top w:val="single" w:color="auto" w:sz="8" w:space="0"/>
            </w:tcBorders>
            <w:noWrap/>
            <w:vAlign w:val="bottom"/>
          </w:tcPr>
          <w:p>
            <w:pPr>
              <w:jc w:val="center"/>
              <w:rPr>
                <w:bCs/>
                <w:sz w:val="18"/>
                <w:szCs w:val="18"/>
              </w:rPr>
            </w:pPr>
            <w:r>
              <w:rPr>
                <w:rFonts w:hint="eastAsia"/>
                <w:bCs/>
                <w:sz w:val="18"/>
                <w:szCs w:val="18"/>
              </w:rPr>
              <w:t>煤油</w:t>
            </w:r>
          </w:p>
          <w:p>
            <w:pPr>
              <w:jc w:val="center"/>
              <w:rPr>
                <w:rFonts w:ascii="宋体" w:hAnsi="宋体" w:cs="宋体"/>
                <w:bCs/>
                <w:sz w:val="18"/>
                <w:szCs w:val="18"/>
              </w:rPr>
            </w:pPr>
            <w:r>
              <w:rPr>
                <w:rFonts w:hint="eastAsia"/>
                <w:bCs/>
                <w:sz w:val="18"/>
                <w:szCs w:val="18"/>
              </w:rPr>
              <w:t>（万吨）</w:t>
            </w:r>
          </w:p>
        </w:tc>
        <w:tc>
          <w:tcPr>
            <w:tcW w:w="1734" w:type="dxa"/>
            <w:tcBorders>
              <w:top w:val="single" w:color="auto" w:sz="8" w:space="0"/>
            </w:tcBorders>
            <w:noWrap/>
            <w:vAlign w:val="bottom"/>
          </w:tcPr>
          <w:p>
            <w:pPr>
              <w:jc w:val="center"/>
              <w:rPr>
                <w:bCs/>
                <w:sz w:val="18"/>
                <w:szCs w:val="18"/>
              </w:rPr>
            </w:pPr>
            <w:r>
              <w:rPr>
                <w:rFonts w:hint="eastAsia"/>
                <w:bCs/>
                <w:sz w:val="18"/>
                <w:szCs w:val="18"/>
              </w:rPr>
              <w:t>柴油</w:t>
            </w:r>
          </w:p>
          <w:p>
            <w:pPr>
              <w:jc w:val="center"/>
              <w:rPr>
                <w:rFonts w:ascii="宋体" w:hAnsi="宋体" w:cs="宋体"/>
                <w:bCs/>
                <w:sz w:val="18"/>
                <w:szCs w:val="18"/>
              </w:rPr>
            </w:pPr>
            <w:r>
              <w:rPr>
                <w:rFonts w:hint="eastAsia"/>
                <w:bCs/>
                <w:sz w:val="18"/>
                <w:szCs w:val="18"/>
              </w:rPr>
              <w:t>（万吨）</w:t>
            </w:r>
          </w:p>
        </w:tc>
        <w:tc>
          <w:tcPr>
            <w:tcW w:w="1827" w:type="dxa"/>
            <w:tcBorders>
              <w:top w:val="single" w:color="auto" w:sz="8" w:space="0"/>
            </w:tcBorders>
            <w:noWrap/>
            <w:vAlign w:val="bottom"/>
          </w:tcPr>
          <w:p>
            <w:pPr>
              <w:jc w:val="center"/>
              <w:rPr>
                <w:bCs/>
                <w:sz w:val="18"/>
                <w:szCs w:val="18"/>
              </w:rPr>
            </w:pPr>
            <w:r>
              <w:rPr>
                <w:rFonts w:hint="eastAsia"/>
                <w:bCs/>
                <w:sz w:val="18"/>
                <w:szCs w:val="18"/>
              </w:rPr>
              <w:t>燃料油</w:t>
            </w:r>
          </w:p>
          <w:p>
            <w:pPr>
              <w:jc w:val="center"/>
              <w:rPr>
                <w:rFonts w:ascii="宋体" w:hAnsi="宋体" w:cs="宋体"/>
                <w:bCs/>
                <w:sz w:val="18"/>
                <w:szCs w:val="18"/>
              </w:rPr>
            </w:pPr>
            <w:r>
              <w:rPr>
                <w:rFonts w:hint="eastAsia"/>
                <w:bCs/>
                <w:sz w:val="18"/>
                <w:szCs w:val="18"/>
              </w:rPr>
              <w:t>（万吨）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1769" w:type="dxa"/>
            <w:tcBorders>
              <w:bottom w:val="single" w:color="auto" w:sz="4" w:space="0"/>
            </w:tcBorders>
            <w:noWrap/>
            <w:vAlign w:val="center"/>
          </w:tcPr>
          <w:p>
            <w:pPr>
              <w:spacing w:line="360" w:lineRule="exact"/>
              <w:jc w:val="center"/>
              <w:rPr>
                <w:rFonts w:ascii="宋体" w:hAnsi="宋体"/>
                <w:sz w:val="18"/>
                <w:szCs w:val="18"/>
              </w:rPr>
            </w:pPr>
            <w:r>
              <w:rPr>
                <w:rFonts w:hint="eastAsia" w:ascii="宋体" w:hAnsi="宋体"/>
                <w:sz w:val="18"/>
                <w:szCs w:val="18"/>
              </w:rPr>
              <w:t>甲</w:t>
            </w:r>
          </w:p>
        </w:tc>
        <w:tc>
          <w:tcPr>
            <w:tcW w:w="961" w:type="dxa"/>
            <w:tcBorders>
              <w:bottom w:val="single" w:color="auto" w:sz="4" w:space="0"/>
            </w:tcBorders>
            <w:noWrap/>
            <w:vAlign w:val="center"/>
          </w:tcPr>
          <w:p>
            <w:pPr>
              <w:spacing w:line="360" w:lineRule="exact"/>
              <w:jc w:val="center"/>
              <w:rPr>
                <w:rFonts w:ascii="宋体" w:hAnsi="宋体"/>
                <w:sz w:val="18"/>
                <w:szCs w:val="18"/>
              </w:rPr>
            </w:pPr>
            <w:r>
              <w:rPr>
                <w:rFonts w:hint="eastAsia" w:ascii="宋体" w:hAnsi="宋体"/>
                <w:sz w:val="18"/>
                <w:szCs w:val="18"/>
              </w:rPr>
              <w:t>丙</w:t>
            </w:r>
          </w:p>
        </w:tc>
        <w:tc>
          <w:tcPr>
            <w:tcW w:w="1871" w:type="dxa"/>
            <w:tcBorders>
              <w:bottom w:val="single" w:color="auto" w:sz="4" w:space="0"/>
            </w:tcBorders>
            <w:noWrap/>
            <w:vAlign w:val="center"/>
          </w:tcPr>
          <w:p>
            <w:pPr>
              <w:spacing w:line="360" w:lineRule="exact"/>
              <w:jc w:val="center"/>
              <w:rPr>
                <w:rFonts w:ascii="宋体" w:hAnsi="宋体"/>
                <w:sz w:val="18"/>
                <w:szCs w:val="18"/>
              </w:rPr>
            </w:pPr>
            <w:r>
              <w:rPr>
                <w:rFonts w:hint="eastAsia" w:ascii="宋体" w:hAnsi="宋体"/>
                <w:sz w:val="18"/>
                <w:szCs w:val="18"/>
              </w:rPr>
              <w:t>1</w:t>
            </w:r>
          </w:p>
        </w:tc>
        <w:tc>
          <w:tcPr>
            <w:tcW w:w="1726" w:type="dxa"/>
            <w:tcBorders>
              <w:bottom w:val="single" w:color="auto" w:sz="4" w:space="0"/>
            </w:tcBorders>
            <w:noWrap/>
            <w:vAlign w:val="center"/>
          </w:tcPr>
          <w:p>
            <w:pPr>
              <w:spacing w:line="360" w:lineRule="exact"/>
              <w:jc w:val="center"/>
              <w:rPr>
                <w:rFonts w:ascii="宋体" w:hAnsi="宋体"/>
                <w:sz w:val="18"/>
                <w:szCs w:val="18"/>
              </w:rPr>
            </w:pPr>
            <w:r>
              <w:rPr>
                <w:rFonts w:hint="eastAsia" w:ascii="宋体" w:hAnsi="宋体"/>
                <w:sz w:val="18"/>
                <w:szCs w:val="18"/>
              </w:rPr>
              <w:t>2</w:t>
            </w:r>
          </w:p>
        </w:tc>
        <w:tc>
          <w:tcPr>
            <w:tcW w:w="1734" w:type="dxa"/>
            <w:tcBorders>
              <w:bottom w:val="single" w:color="auto" w:sz="4" w:space="0"/>
            </w:tcBorders>
            <w:noWrap/>
            <w:vAlign w:val="center"/>
          </w:tcPr>
          <w:p>
            <w:pPr>
              <w:spacing w:line="360" w:lineRule="exact"/>
              <w:jc w:val="center"/>
              <w:rPr>
                <w:rFonts w:ascii="宋体" w:hAnsi="宋体"/>
                <w:sz w:val="18"/>
                <w:szCs w:val="18"/>
              </w:rPr>
            </w:pPr>
            <w:r>
              <w:rPr>
                <w:rFonts w:hint="eastAsia" w:ascii="宋体" w:hAnsi="宋体"/>
                <w:sz w:val="18"/>
                <w:szCs w:val="18"/>
              </w:rPr>
              <w:t>3</w:t>
            </w:r>
          </w:p>
        </w:tc>
        <w:tc>
          <w:tcPr>
            <w:tcW w:w="1827" w:type="dxa"/>
            <w:tcBorders>
              <w:bottom w:val="single" w:color="auto" w:sz="4" w:space="0"/>
            </w:tcBorders>
            <w:noWrap/>
          </w:tcPr>
          <w:p>
            <w:pPr>
              <w:spacing w:line="360" w:lineRule="exact"/>
              <w:jc w:val="center"/>
              <w:rPr>
                <w:rFonts w:ascii="宋体" w:hAnsi="宋体"/>
                <w:sz w:val="18"/>
                <w:szCs w:val="18"/>
              </w:rPr>
            </w:pPr>
            <w:r>
              <w:rPr>
                <w:rFonts w:hint="eastAsia" w:ascii="宋体" w:hAnsi="宋体"/>
                <w:sz w:val="18"/>
                <w:szCs w:val="18"/>
              </w:rPr>
              <w:t>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1769" w:type="dxa"/>
            <w:tcBorders>
              <w:top w:val="single" w:color="auto" w:sz="4" w:space="0"/>
              <w:bottom w:val="nil"/>
            </w:tcBorders>
            <w:noWrap/>
            <w:vAlign w:val="center"/>
          </w:tcPr>
          <w:p>
            <w:pPr>
              <w:spacing w:line="360" w:lineRule="exact"/>
              <w:jc w:val="center"/>
              <w:rPr>
                <w:rFonts w:ascii="宋体" w:hAnsi="宋体"/>
                <w:sz w:val="18"/>
                <w:szCs w:val="18"/>
              </w:rPr>
            </w:pPr>
            <w:r>
              <w:rPr>
                <w:rFonts w:hint="eastAsia" w:ascii="宋体" w:hAnsi="宋体"/>
                <w:sz w:val="18"/>
                <w:szCs w:val="18"/>
              </w:rPr>
              <w:t>全市合计</w:t>
            </w:r>
          </w:p>
        </w:tc>
        <w:tc>
          <w:tcPr>
            <w:tcW w:w="961" w:type="dxa"/>
            <w:tcBorders>
              <w:top w:val="single" w:color="auto" w:sz="4" w:space="0"/>
              <w:bottom w:val="nil"/>
            </w:tcBorders>
            <w:noWrap/>
            <w:vAlign w:val="center"/>
          </w:tcPr>
          <w:p>
            <w:pPr>
              <w:spacing w:line="360" w:lineRule="exact"/>
              <w:jc w:val="center"/>
              <w:rPr>
                <w:rFonts w:ascii="宋体" w:hAnsi="宋体"/>
                <w:sz w:val="18"/>
                <w:szCs w:val="18"/>
              </w:rPr>
            </w:pPr>
            <w:r>
              <w:rPr>
                <w:rFonts w:hint="eastAsia" w:ascii="宋体" w:hAnsi="宋体"/>
                <w:sz w:val="18"/>
                <w:szCs w:val="18"/>
              </w:rPr>
              <w:t>01</w:t>
            </w:r>
          </w:p>
        </w:tc>
        <w:tc>
          <w:tcPr>
            <w:tcW w:w="1871" w:type="dxa"/>
            <w:tcBorders>
              <w:top w:val="single" w:color="auto" w:sz="4" w:space="0"/>
              <w:bottom w:val="nil"/>
              <w:right w:val="nil"/>
            </w:tcBorders>
            <w:noWrap/>
            <w:vAlign w:val="center"/>
          </w:tcPr>
          <w:p>
            <w:pPr>
              <w:spacing w:line="360" w:lineRule="exact"/>
              <w:jc w:val="right"/>
              <w:rPr>
                <w:rFonts w:ascii="宋体" w:hAnsi="宋体"/>
                <w:sz w:val="18"/>
                <w:szCs w:val="18"/>
              </w:rPr>
            </w:pPr>
          </w:p>
        </w:tc>
        <w:tc>
          <w:tcPr>
            <w:tcW w:w="1726" w:type="dxa"/>
            <w:tcBorders>
              <w:top w:val="single" w:color="auto" w:sz="4" w:space="0"/>
              <w:left w:val="nil"/>
              <w:bottom w:val="nil"/>
              <w:right w:val="nil"/>
            </w:tcBorders>
            <w:noWrap/>
            <w:vAlign w:val="center"/>
          </w:tcPr>
          <w:p>
            <w:pPr>
              <w:spacing w:line="360" w:lineRule="exact"/>
              <w:jc w:val="right"/>
              <w:rPr>
                <w:rFonts w:ascii="宋体" w:hAnsi="宋体"/>
                <w:sz w:val="18"/>
                <w:szCs w:val="18"/>
              </w:rPr>
            </w:pPr>
          </w:p>
        </w:tc>
        <w:tc>
          <w:tcPr>
            <w:tcW w:w="1734" w:type="dxa"/>
            <w:tcBorders>
              <w:top w:val="single" w:color="auto" w:sz="4" w:space="0"/>
              <w:left w:val="nil"/>
              <w:bottom w:val="nil"/>
              <w:right w:val="nil"/>
            </w:tcBorders>
            <w:noWrap/>
            <w:vAlign w:val="center"/>
          </w:tcPr>
          <w:p>
            <w:pPr>
              <w:spacing w:line="360" w:lineRule="exact"/>
              <w:jc w:val="right"/>
              <w:rPr>
                <w:rFonts w:ascii="宋体" w:hAnsi="宋体"/>
                <w:sz w:val="18"/>
                <w:szCs w:val="18"/>
              </w:rPr>
            </w:pPr>
          </w:p>
        </w:tc>
        <w:tc>
          <w:tcPr>
            <w:tcW w:w="1827" w:type="dxa"/>
            <w:tcBorders>
              <w:top w:val="single" w:color="auto" w:sz="4" w:space="0"/>
              <w:left w:val="nil"/>
              <w:bottom w:val="nil"/>
            </w:tcBorders>
            <w:noWrap/>
          </w:tcPr>
          <w:p>
            <w:pPr>
              <w:spacing w:line="360" w:lineRule="exact"/>
              <w:jc w:val="right"/>
              <w:rPr>
                <w:rFonts w:ascii="宋体" w:hAnsi="宋体"/>
                <w:sz w:val="18"/>
                <w:szCs w:val="18"/>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255" w:hRule="atLeast"/>
        </w:trPr>
        <w:tc>
          <w:tcPr>
            <w:tcW w:w="1769" w:type="dxa"/>
            <w:tcBorders>
              <w:top w:val="nil"/>
              <w:bottom w:val="nil"/>
            </w:tcBorders>
            <w:noWrap/>
            <w:vAlign w:val="bottom"/>
          </w:tcPr>
          <w:p>
            <w:pPr>
              <w:jc w:val="center"/>
              <w:rPr>
                <w:rFonts w:ascii="宋体" w:hAnsi="宋体" w:cs="宋体"/>
                <w:sz w:val="18"/>
                <w:szCs w:val="18"/>
              </w:rPr>
            </w:pPr>
            <w:r>
              <w:rPr>
                <w:rFonts w:hint="eastAsia"/>
                <w:sz w:val="18"/>
                <w:szCs w:val="18"/>
              </w:rPr>
              <w:t>国际航空</w:t>
            </w:r>
          </w:p>
        </w:tc>
        <w:tc>
          <w:tcPr>
            <w:tcW w:w="961" w:type="dxa"/>
            <w:tcBorders>
              <w:top w:val="nil"/>
              <w:bottom w:val="nil"/>
            </w:tcBorders>
            <w:noWrap/>
            <w:vAlign w:val="center"/>
          </w:tcPr>
          <w:p>
            <w:pPr>
              <w:spacing w:line="360" w:lineRule="exact"/>
              <w:jc w:val="center"/>
              <w:rPr>
                <w:rFonts w:ascii="宋体" w:hAnsi="宋体"/>
                <w:sz w:val="18"/>
                <w:szCs w:val="18"/>
              </w:rPr>
            </w:pPr>
            <w:r>
              <w:rPr>
                <w:rFonts w:hint="eastAsia" w:ascii="宋体" w:hAnsi="宋体"/>
                <w:sz w:val="18"/>
                <w:szCs w:val="18"/>
              </w:rPr>
              <w:t>02</w:t>
            </w:r>
          </w:p>
        </w:tc>
        <w:tc>
          <w:tcPr>
            <w:tcW w:w="1871" w:type="dxa"/>
            <w:tcBorders>
              <w:top w:val="nil"/>
              <w:bottom w:val="nil"/>
              <w:right w:val="nil"/>
            </w:tcBorders>
            <w:noWrap/>
            <w:vAlign w:val="center"/>
          </w:tcPr>
          <w:p>
            <w:pPr>
              <w:spacing w:line="360" w:lineRule="exact"/>
              <w:jc w:val="right"/>
              <w:rPr>
                <w:rFonts w:ascii="宋体" w:hAnsi="宋体"/>
                <w:sz w:val="18"/>
                <w:szCs w:val="18"/>
              </w:rPr>
            </w:pPr>
          </w:p>
        </w:tc>
        <w:tc>
          <w:tcPr>
            <w:tcW w:w="1726" w:type="dxa"/>
            <w:tcBorders>
              <w:top w:val="nil"/>
              <w:left w:val="nil"/>
              <w:bottom w:val="nil"/>
              <w:right w:val="nil"/>
            </w:tcBorders>
            <w:noWrap/>
            <w:vAlign w:val="center"/>
          </w:tcPr>
          <w:p>
            <w:pPr>
              <w:spacing w:line="360" w:lineRule="exact"/>
              <w:jc w:val="right"/>
              <w:rPr>
                <w:rFonts w:ascii="宋体" w:hAnsi="宋体"/>
                <w:sz w:val="18"/>
                <w:szCs w:val="18"/>
              </w:rPr>
            </w:pPr>
          </w:p>
        </w:tc>
        <w:tc>
          <w:tcPr>
            <w:tcW w:w="1734" w:type="dxa"/>
            <w:tcBorders>
              <w:top w:val="nil"/>
              <w:left w:val="nil"/>
              <w:bottom w:val="nil"/>
              <w:right w:val="nil"/>
            </w:tcBorders>
            <w:noWrap/>
            <w:vAlign w:val="center"/>
          </w:tcPr>
          <w:p>
            <w:pPr>
              <w:spacing w:line="360" w:lineRule="exact"/>
              <w:jc w:val="right"/>
              <w:rPr>
                <w:rFonts w:ascii="宋体" w:hAnsi="宋体"/>
                <w:sz w:val="18"/>
                <w:szCs w:val="18"/>
              </w:rPr>
            </w:pPr>
          </w:p>
        </w:tc>
        <w:tc>
          <w:tcPr>
            <w:tcW w:w="1827" w:type="dxa"/>
            <w:tcBorders>
              <w:top w:val="nil"/>
              <w:left w:val="nil"/>
              <w:bottom w:val="nil"/>
            </w:tcBorders>
            <w:noWrap/>
          </w:tcPr>
          <w:p>
            <w:pPr>
              <w:spacing w:line="360" w:lineRule="exact"/>
              <w:jc w:val="right"/>
              <w:rPr>
                <w:rFonts w:ascii="宋体" w:hAnsi="宋体"/>
                <w:sz w:val="18"/>
                <w:szCs w:val="18"/>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1769" w:type="dxa"/>
            <w:tcBorders>
              <w:top w:val="nil"/>
              <w:bottom w:val="single" w:color="auto" w:sz="8" w:space="0"/>
            </w:tcBorders>
            <w:noWrap/>
            <w:vAlign w:val="bottom"/>
          </w:tcPr>
          <w:p>
            <w:pPr>
              <w:jc w:val="center"/>
              <w:rPr>
                <w:rFonts w:ascii="宋体" w:hAnsi="宋体" w:cs="宋体"/>
                <w:sz w:val="18"/>
                <w:szCs w:val="18"/>
              </w:rPr>
            </w:pPr>
            <w:r>
              <w:rPr>
                <w:rFonts w:hint="eastAsia"/>
                <w:sz w:val="18"/>
                <w:szCs w:val="18"/>
              </w:rPr>
              <w:t>国际海运</w:t>
            </w:r>
          </w:p>
        </w:tc>
        <w:tc>
          <w:tcPr>
            <w:tcW w:w="961" w:type="dxa"/>
            <w:tcBorders>
              <w:top w:val="nil"/>
              <w:bottom w:val="single" w:color="auto" w:sz="8" w:space="0"/>
            </w:tcBorders>
            <w:noWrap/>
            <w:vAlign w:val="center"/>
          </w:tcPr>
          <w:p>
            <w:pPr>
              <w:spacing w:line="360" w:lineRule="exact"/>
              <w:jc w:val="center"/>
              <w:rPr>
                <w:rFonts w:ascii="宋体" w:hAnsi="宋体"/>
                <w:sz w:val="18"/>
                <w:szCs w:val="18"/>
              </w:rPr>
            </w:pPr>
            <w:r>
              <w:rPr>
                <w:rFonts w:hint="eastAsia" w:ascii="宋体" w:hAnsi="宋体"/>
                <w:sz w:val="18"/>
                <w:szCs w:val="18"/>
              </w:rPr>
              <w:t>03</w:t>
            </w:r>
          </w:p>
        </w:tc>
        <w:tc>
          <w:tcPr>
            <w:tcW w:w="1871" w:type="dxa"/>
            <w:tcBorders>
              <w:top w:val="nil"/>
              <w:bottom w:val="single" w:color="auto" w:sz="8" w:space="0"/>
              <w:right w:val="nil"/>
            </w:tcBorders>
            <w:noWrap/>
            <w:vAlign w:val="center"/>
          </w:tcPr>
          <w:p>
            <w:pPr>
              <w:spacing w:line="360" w:lineRule="exact"/>
              <w:jc w:val="right"/>
              <w:rPr>
                <w:rFonts w:ascii="宋体" w:hAnsi="宋体"/>
                <w:sz w:val="18"/>
                <w:szCs w:val="18"/>
              </w:rPr>
            </w:pPr>
          </w:p>
        </w:tc>
        <w:tc>
          <w:tcPr>
            <w:tcW w:w="1726" w:type="dxa"/>
            <w:tcBorders>
              <w:top w:val="nil"/>
              <w:left w:val="nil"/>
              <w:bottom w:val="single" w:color="auto" w:sz="8" w:space="0"/>
              <w:right w:val="nil"/>
            </w:tcBorders>
            <w:noWrap/>
            <w:vAlign w:val="center"/>
          </w:tcPr>
          <w:p>
            <w:pPr>
              <w:spacing w:line="360" w:lineRule="exact"/>
              <w:jc w:val="right"/>
              <w:rPr>
                <w:rFonts w:ascii="宋体" w:hAnsi="宋体"/>
                <w:sz w:val="18"/>
                <w:szCs w:val="18"/>
              </w:rPr>
            </w:pPr>
          </w:p>
        </w:tc>
        <w:tc>
          <w:tcPr>
            <w:tcW w:w="1734" w:type="dxa"/>
            <w:tcBorders>
              <w:top w:val="nil"/>
              <w:left w:val="nil"/>
              <w:bottom w:val="single" w:color="auto" w:sz="8" w:space="0"/>
              <w:right w:val="nil"/>
            </w:tcBorders>
            <w:noWrap/>
            <w:vAlign w:val="center"/>
          </w:tcPr>
          <w:p>
            <w:pPr>
              <w:spacing w:line="360" w:lineRule="exact"/>
              <w:jc w:val="right"/>
              <w:rPr>
                <w:rFonts w:ascii="宋体" w:hAnsi="宋体"/>
                <w:sz w:val="18"/>
                <w:szCs w:val="18"/>
              </w:rPr>
            </w:pPr>
          </w:p>
        </w:tc>
        <w:tc>
          <w:tcPr>
            <w:tcW w:w="1827" w:type="dxa"/>
            <w:tcBorders>
              <w:top w:val="nil"/>
              <w:left w:val="nil"/>
              <w:bottom w:val="single" w:color="auto" w:sz="8" w:space="0"/>
            </w:tcBorders>
            <w:noWrap/>
          </w:tcPr>
          <w:p>
            <w:pPr>
              <w:spacing w:line="360" w:lineRule="exact"/>
              <w:jc w:val="right"/>
              <w:rPr>
                <w:rFonts w:ascii="宋体" w:hAnsi="宋体"/>
                <w:sz w:val="18"/>
                <w:szCs w:val="18"/>
              </w:rPr>
            </w:pPr>
          </w:p>
        </w:tc>
      </w:tr>
    </w:tbl>
    <w:p>
      <w:pPr>
        <w:rPr>
          <w:rFonts w:ascii="宋体" w:hAnsi="宋体"/>
          <w:sz w:val="18"/>
          <w:szCs w:val="18"/>
        </w:rPr>
      </w:pPr>
      <w:r>
        <w:rPr>
          <w:rFonts w:hint="eastAsia" w:ascii="宋体" w:hAnsi="宋体"/>
          <w:sz w:val="18"/>
          <w:szCs w:val="18"/>
        </w:rPr>
        <w:t>单</w:t>
      </w:r>
      <w:r>
        <w:rPr>
          <w:rFonts w:hint="eastAsia" w:ascii="宋体" w:hAnsi="宋体" w:cs="宋体"/>
          <w:kern w:val="0"/>
          <w:sz w:val="18"/>
          <w:szCs w:val="18"/>
        </w:rPr>
        <w:t>位负责人：          统计负责人：          填表人：          联系电话：         报出日期：２０   年  月  日</w:t>
      </w:r>
    </w:p>
    <w:p>
      <w:pPr>
        <w:rPr>
          <w:rFonts w:ascii="宋体" w:hAnsi="宋体"/>
          <w:sz w:val="18"/>
          <w:szCs w:val="18"/>
        </w:rPr>
      </w:pPr>
    </w:p>
    <w:p>
      <w:pPr>
        <w:ind w:left="-1" w:leftChars="-40" w:right="-38" w:hanging="83" w:hangingChars="46"/>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说明</w:t>
      </w:r>
      <w:r>
        <w:rPr>
          <w:rFonts w:hint="eastAsia" w:asciiTheme="minorEastAsia" w:hAnsiTheme="minorEastAsia" w:eastAsiaTheme="minorEastAsia" w:cstheme="minorEastAsia"/>
          <w:sz w:val="18"/>
          <w:szCs w:val="18"/>
        </w:rPr>
        <w:t>：1.本表由经营国际燃料舱的单位报送。</w:t>
      </w:r>
    </w:p>
    <w:p>
      <w:pPr>
        <w:ind w:left="656" w:leftChars="220" w:right="-143" w:hanging="194" w:hangingChars="108"/>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统计范围是用于国际空运的飞机和国际海运的轮船的能源消费活动，包括本国运输工具在广州购买的能源而用于国际航线消费部分（不含在国外购买部分），以及外国运输工具在广州境内购买的能源而用于国际运输（不含外籍运输工具在其国内运输）消费部分。</w:t>
      </w:r>
    </w:p>
    <w:p>
      <w:pPr>
        <w:ind w:left="656" w:leftChars="220" w:hanging="194" w:hangingChars="108"/>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3.报送时间为次年3月15日前，报送方式为电子邮件</w:t>
      </w:r>
      <w:r>
        <w:rPr>
          <w:rFonts w:hint="eastAsia" w:asciiTheme="minorEastAsia" w:hAnsiTheme="minorEastAsia" w:eastAsiaTheme="minorEastAsia" w:cstheme="minorEastAsia"/>
          <w:sz w:val="18"/>
        </w:rPr>
        <w:t>（gzstjjnyc@gz.gov.cn）</w:t>
      </w:r>
      <w:r>
        <w:rPr>
          <w:rFonts w:hint="eastAsia" w:asciiTheme="minorEastAsia" w:hAnsiTheme="minorEastAsia" w:eastAsiaTheme="minorEastAsia" w:cstheme="minorEastAsia"/>
          <w:sz w:val="18"/>
          <w:szCs w:val="18"/>
        </w:rPr>
        <w:t>。</w:t>
      </w:r>
    </w:p>
    <w:p>
      <w:pPr>
        <w:ind w:left="656" w:leftChars="220" w:hanging="194" w:hangingChars="108"/>
        <w:rPr>
          <w:sz w:val="18"/>
          <w:szCs w:val="18"/>
        </w:rPr>
      </w:pPr>
    </w:p>
    <w:p/>
    <w:p/>
    <w:p/>
    <w:p/>
    <w:p>
      <w:pPr>
        <w:jc w:val="center"/>
        <w:rPr>
          <w:rFonts w:ascii="宋体" w:hAnsi="宋体"/>
          <w:b/>
          <w:sz w:val="32"/>
        </w:rPr>
      </w:pPr>
      <w:r>
        <w:rPr>
          <w:rFonts w:hint="eastAsia" w:ascii="宋体" w:hAnsi="宋体"/>
          <w:b/>
          <w:sz w:val="32"/>
        </w:rPr>
        <w:t>单位地区生产总值能耗</w:t>
      </w:r>
    </w:p>
    <w:tbl>
      <w:tblPr>
        <w:tblStyle w:val="21"/>
        <w:tblW w:w="9760" w:type="dxa"/>
        <w:jc w:val="center"/>
        <w:tblLayout w:type="fixed"/>
        <w:tblCellMar>
          <w:top w:w="0" w:type="dxa"/>
          <w:left w:w="0" w:type="dxa"/>
          <w:bottom w:w="0" w:type="dxa"/>
          <w:right w:w="0" w:type="dxa"/>
        </w:tblCellMar>
      </w:tblPr>
      <w:tblGrid>
        <w:gridCol w:w="2608"/>
        <w:gridCol w:w="1668"/>
        <w:gridCol w:w="456"/>
        <w:gridCol w:w="230"/>
        <w:gridCol w:w="2211"/>
        <w:gridCol w:w="863"/>
        <w:gridCol w:w="1724"/>
      </w:tblGrid>
      <w:tr>
        <w:tblPrEx>
          <w:tblCellMar>
            <w:top w:w="0" w:type="dxa"/>
            <w:left w:w="0" w:type="dxa"/>
            <w:bottom w:w="0" w:type="dxa"/>
            <w:right w:w="0" w:type="dxa"/>
          </w:tblCellMar>
        </w:tblPrEx>
        <w:trPr>
          <w:trHeight w:val="227" w:hRule="atLeast"/>
          <w:jc w:val="center"/>
        </w:trPr>
        <w:tc>
          <w:tcPr>
            <w:tcW w:w="4276" w:type="dxa"/>
            <w:gridSpan w:val="2"/>
            <w:noWrap/>
            <w:tcMar>
              <w:left w:w="0" w:type="dxa"/>
              <w:right w:w="0" w:type="dxa"/>
            </w:tcMar>
          </w:tcPr>
          <w:p>
            <w:pPr>
              <w:spacing w:line="240" w:lineRule="exact"/>
              <w:jc w:val="center"/>
              <w:rPr>
                <w:rFonts w:asciiTheme="minorEastAsia" w:hAnsiTheme="minorEastAsia" w:eastAsiaTheme="minorEastAsia" w:cstheme="minorEastAsia"/>
                <w:sz w:val="18"/>
                <w:szCs w:val="18"/>
              </w:rPr>
            </w:pPr>
          </w:p>
        </w:tc>
        <w:tc>
          <w:tcPr>
            <w:tcW w:w="686" w:type="dxa"/>
            <w:gridSpan w:val="2"/>
            <w:noWrap/>
          </w:tcPr>
          <w:p>
            <w:pPr>
              <w:spacing w:line="240" w:lineRule="exact"/>
              <w:jc w:val="center"/>
              <w:rPr>
                <w:rFonts w:asciiTheme="minorEastAsia" w:hAnsiTheme="minorEastAsia" w:eastAsiaTheme="minorEastAsia" w:cstheme="minorEastAsia"/>
                <w:sz w:val="18"/>
                <w:szCs w:val="18"/>
              </w:rPr>
            </w:pPr>
          </w:p>
        </w:tc>
        <w:tc>
          <w:tcPr>
            <w:tcW w:w="2211" w:type="dxa"/>
            <w:noWrap/>
          </w:tcPr>
          <w:p>
            <w:pPr>
              <w:spacing w:line="240" w:lineRule="exact"/>
              <w:jc w:val="center"/>
              <w:rPr>
                <w:rFonts w:asciiTheme="minorEastAsia" w:hAnsiTheme="minorEastAsia" w:eastAsiaTheme="minorEastAsia" w:cstheme="minorEastAsia"/>
                <w:sz w:val="18"/>
                <w:szCs w:val="18"/>
              </w:rPr>
            </w:pPr>
          </w:p>
        </w:tc>
        <w:tc>
          <w:tcPr>
            <w:tcW w:w="863" w:type="dxa"/>
            <w:noWrap/>
          </w:tcPr>
          <w:p>
            <w:pPr>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表    号：</w:t>
            </w:r>
          </w:p>
        </w:tc>
        <w:tc>
          <w:tcPr>
            <w:tcW w:w="1724" w:type="dxa"/>
            <w:noWrap/>
            <w:vAlign w:val="center"/>
          </w:tcPr>
          <w:p>
            <w:pPr>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粤Ｐ３２１表</w:t>
            </w:r>
          </w:p>
        </w:tc>
      </w:tr>
      <w:tr>
        <w:tblPrEx>
          <w:tblCellMar>
            <w:top w:w="0" w:type="dxa"/>
            <w:left w:w="0" w:type="dxa"/>
            <w:bottom w:w="0" w:type="dxa"/>
            <w:right w:w="0" w:type="dxa"/>
          </w:tblCellMar>
        </w:tblPrEx>
        <w:trPr>
          <w:trHeight w:val="227" w:hRule="atLeast"/>
          <w:jc w:val="center"/>
        </w:trPr>
        <w:tc>
          <w:tcPr>
            <w:tcW w:w="4276" w:type="dxa"/>
            <w:gridSpan w:val="2"/>
            <w:noWrap/>
            <w:tcMar>
              <w:left w:w="0" w:type="dxa"/>
              <w:right w:w="0" w:type="dxa"/>
            </w:tcMar>
            <w:vAlign w:val="bottom"/>
          </w:tcPr>
          <w:p>
            <w:pPr>
              <w:spacing w:line="240" w:lineRule="exact"/>
              <w:rPr>
                <w:rFonts w:asciiTheme="minorEastAsia" w:hAnsiTheme="minorEastAsia" w:eastAsiaTheme="minorEastAsia" w:cstheme="minorEastAsia"/>
                <w:sz w:val="18"/>
                <w:szCs w:val="18"/>
              </w:rPr>
            </w:pPr>
          </w:p>
        </w:tc>
        <w:tc>
          <w:tcPr>
            <w:tcW w:w="686" w:type="dxa"/>
            <w:gridSpan w:val="2"/>
            <w:noWrap/>
          </w:tcPr>
          <w:p>
            <w:pPr>
              <w:spacing w:line="240" w:lineRule="exact"/>
              <w:jc w:val="center"/>
              <w:rPr>
                <w:rFonts w:asciiTheme="minorEastAsia" w:hAnsiTheme="minorEastAsia" w:eastAsiaTheme="minorEastAsia" w:cstheme="minorEastAsia"/>
                <w:sz w:val="18"/>
                <w:szCs w:val="18"/>
              </w:rPr>
            </w:pPr>
          </w:p>
        </w:tc>
        <w:tc>
          <w:tcPr>
            <w:tcW w:w="2211" w:type="dxa"/>
            <w:noWrap/>
          </w:tcPr>
          <w:p>
            <w:pPr>
              <w:spacing w:line="240" w:lineRule="exact"/>
              <w:jc w:val="center"/>
              <w:rPr>
                <w:rFonts w:asciiTheme="minorEastAsia" w:hAnsiTheme="minorEastAsia" w:eastAsiaTheme="minorEastAsia" w:cstheme="minorEastAsia"/>
                <w:sz w:val="18"/>
                <w:szCs w:val="18"/>
              </w:rPr>
            </w:pPr>
          </w:p>
        </w:tc>
        <w:tc>
          <w:tcPr>
            <w:tcW w:w="863" w:type="dxa"/>
            <w:noWrap/>
            <w:vAlign w:val="center"/>
          </w:tcPr>
          <w:p>
            <w:pPr>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制定机关：</w:t>
            </w:r>
          </w:p>
        </w:tc>
        <w:tc>
          <w:tcPr>
            <w:tcW w:w="1724" w:type="dxa"/>
            <w:noWrap/>
            <w:vAlign w:val="center"/>
          </w:tcPr>
          <w:p>
            <w:pPr>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广东省统计局</w:t>
            </w:r>
          </w:p>
        </w:tc>
      </w:tr>
      <w:tr>
        <w:tblPrEx>
          <w:tblCellMar>
            <w:top w:w="0" w:type="dxa"/>
            <w:left w:w="0" w:type="dxa"/>
            <w:bottom w:w="0" w:type="dxa"/>
            <w:right w:w="0" w:type="dxa"/>
          </w:tblCellMar>
        </w:tblPrEx>
        <w:trPr>
          <w:trHeight w:val="227" w:hRule="atLeast"/>
          <w:jc w:val="center"/>
        </w:trPr>
        <w:tc>
          <w:tcPr>
            <w:tcW w:w="4276" w:type="dxa"/>
            <w:gridSpan w:val="2"/>
            <w:tcBorders>
              <w:bottom w:val="nil"/>
            </w:tcBorders>
            <w:noWrap/>
            <w:tcMar>
              <w:left w:w="0" w:type="dxa"/>
              <w:right w:w="0" w:type="dxa"/>
            </w:tcMar>
          </w:tcPr>
          <w:p>
            <w:pPr>
              <w:spacing w:line="240" w:lineRule="exact"/>
              <w:jc w:val="left"/>
              <w:rPr>
                <w:rFonts w:asciiTheme="minorEastAsia" w:hAnsiTheme="minorEastAsia" w:eastAsiaTheme="minorEastAsia" w:cstheme="minorEastAsia"/>
                <w:sz w:val="18"/>
                <w:szCs w:val="18"/>
              </w:rPr>
            </w:pPr>
          </w:p>
        </w:tc>
        <w:tc>
          <w:tcPr>
            <w:tcW w:w="686" w:type="dxa"/>
            <w:gridSpan w:val="2"/>
            <w:tcBorders>
              <w:bottom w:val="nil"/>
            </w:tcBorders>
            <w:noWrap/>
          </w:tcPr>
          <w:p>
            <w:pPr>
              <w:spacing w:line="240" w:lineRule="exact"/>
              <w:jc w:val="center"/>
              <w:rPr>
                <w:rFonts w:asciiTheme="minorEastAsia" w:hAnsiTheme="minorEastAsia" w:eastAsiaTheme="minorEastAsia" w:cstheme="minorEastAsia"/>
                <w:sz w:val="18"/>
                <w:szCs w:val="18"/>
              </w:rPr>
            </w:pPr>
          </w:p>
        </w:tc>
        <w:tc>
          <w:tcPr>
            <w:tcW w:w="2211" w:type="dxa"/>
            <w:tcBorders>
              <w:bottom w:val="nil"/>
            </w:tcBorders>
            <w:noWrap/>
          </w:tcPr>
          <w:p>
            <w:pPr>
              <w:spacing w:line="240" w:lineRule="exact"/>
              <w:jc w:val="center"/>
              <w:rPr>
                <w:rFonts w:asciiTheme="minorEastAsia" w:hAnsiTheme="minorEastAsia" w:eastAsiaTheme="minorEastAsia" w:cstheme="minorEastAsia"/>
                <w:sz w:val="18"/>
                <w:szCs w:val="18"/>
              </w:rPr>
            </w:pPr>
          </w:p>
        </w:tc>
        <w:tc>
          <w:tcPr>
            <w:tcW w:w="863" w:type="dxa"/>
            <w:tcBorders>
              <w:bottom w:val="nil"/>
            </w:tcBorders>
            <w:noWrap/>
            <w:vAlign w:val="center"/>
          </w:tcPr>
          <w:p>
            <w:pPr>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批准机关：</w:t>
            </w:r>
          </w:p>
        </w:tc>
        <w:tc>
          <w:tcPr>
            <w:tcW w:w="1724" w:type="dxa"/>
            <w:tcBorders>
              <w:bottom w:val="nil"/>
            </w:tcBorders>
            <w:noWrap/>
            <w:vAlign w:val="center"/>
          </w:tcPr>
          <w:p>
            <w:pPr>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国家统计局</w:t>
            </w:r>
          </w:p>
        </w:tc>
      </w:tr>
      <w:tr>
        <w:tblPrEx>
          <w:tblCellMar>
            <w:top w:w="0" w:type="dxa"/>
            <w:left w:w="0" w:type="dxa"/>
            <w:bottom w:w="0" w:type="dxa"/>
            <w:right w:w="0" w:type="dxa"/>
          </w:tblCellMar>
        </w:tblPrEx>
        <w:trPr>
          <w:trHeight w:val="227" w:hRule="atLeast"/>
          <w:jc w:val="center"/>
        </w:trPr>
        <w:tc>
          <w:tcPr>
            <w:tcW w:w="4276" w:type="dxa"/>
            <w:gridSpan w:val="2"/>
            <w:noWrap/>
            <w:tcMar>
              <w:left w:w="0" w:type="dxa"/>
              <w:right w:w="0" w:type="dxa"/>
            </w:tcMar>
          </w:tcPr>
          <w:p>
            <w:pPr>
              <w:spacing w:line="240" w:lineRule="exact"/>
              <w:jc w:val="left"/>
              <w:rPr>
                <w:rFonts w:asciiTheme="minorEastAsia" w:hAnsiTheme="minorEastAsia" w:eastAsiaTheme="minorEastAsia" w:cstheme="minorEastAsia"/>
                <w:sz w:val="18"/>
                <w:szCs w:val="18"/>
              </w:rPr>
            </w:pPr>
          </w:p>
        </w:tc>
        <w:tc>
          <w:tcPr>
            <w:tcW w:w="686" w:type="dxa"/>
            <w:gridSpan w:val="2"/>
            <w:noWrap/>
          </w:tcPr>
          <w:p>
            <w:pPr>
              <w:spacing w:line="240" w:lineRule="exact"/>
              <w:jc w:val="center"/>
              <w:rPr>
                <w:rFonts w:asciiTheme="minorEastAsia" w:hAnsiTheme="minorEastAsia" w:eastAsiaTheme="minorEastAsia" w:cstheme="minorEastAsia"/>
                <w:sz w:val="18"/>
                <w:szCs w:val="18"/>
              </w:rPr>
            </w:pPr>
          </w:p>
        </w:tc>
        <w:tc>
          <w:tcPr>
            <w:tcW w:w="2211" w:type="dxa"/>
            <w:noWrap/>
          </w:tcPr>
          <w:p>
            <w:pPr>
              <w:spacing w:line="240" w:lineRule="exact"/>
              <w:jc w:val="center"/>
              <w:rPr>
                <w:rFonts w:asciiTheme="minorEastAsia" w:hAnsiTheme="minorEastAsia" w:eastAsiaTheme="minorEastAsia" w:cstheme="minorEastAsia"/>
                <w:sz w:val="18"/>
                <w:szCs w:val="18"/>
              </w:rPr>
            </w:pPr>
          </w:p>
        </w:tc>
        <w:tc>
          <w:tcPr>
            <w:tcW w:w="863" w:type="dxa"/>
            <w:noWrap/>
            <w:vAlign w:val="center"/>
          </w:tcPr>
          <w:p>
            <w:pPr>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批准文号：</w:t>
            </w:r>
          </w:p>
        </w:tc>
        <w:tc>
          <w:tcPr>
            <w:tcW w:w="1724" w:type="dxa"/>
            <w:noWrap/>
            <w:vAlign w:val="center"/>
          </w:tcPr>
          <w:p>
            <w:pPr>
              <w:widowControl/>
              <w:jc w:val="distribute"/>
              <w:rPr>
                <w:rFonts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rPr>
              <w:t>国统制</w:t>
            </w:r>
            <w:r>
              <w:rPr>
                <w:rFonts w:hint="eastAsia" w:ascii="宋体" w:hAnsi="宋体"/>
                <w:color w:val="auto"/>
                <w:sz w:val="18"/>
                <w:szCs w:val="18"/>
              </w:rPr>
              <w:t>〔</w:t>
            </w:r>
            <w:r>
              <w:rPr>
                <w:rFonts w:hint="eastAsia" w:asciiTheme="minorEastAsia" w:hAnsiTheme="minorEastAsia" w:eastAsiaTheme="minorEastAsia" w:cstheme="minorEastAsia"/>
                <w:snapToGrid w:val="0"/>
                <w:color w:val="auto"/>
                <w:kern w:val="10"/>
                <w:sz w:val="18"/>
                <w:szCs w:val="18"/>
                <w:highlight w:val="none"/>
              </w:rPr>
              <w:t>202</w:t>
            </w:r>
            <w:r>
              <w:rPr>
                <w:rFonts w:hint="eastAsia" w:asciiTheme="minorEastAsia" w:hAnsiTheme="minorEastAsia" w:eastAsiaTheme="minorEastAsia" w:cstheme="minorEastAsia"/>
                <w:snapToGrid w:val="0"/>
                <w:color w:val="auto"/>
                <w:kern w:val="10"/>
                <w:sz w:val="18"/>
                <w:szCs w:val="18"/>
                <w:highlight w:val="none"/>
                <w:lang w:val="en-US" w:eastAsia="zh-CN"/>
              </w:rPr>
              <w:t>6</w:t>
            </w:r>
            <w:r>
              <w:rPr>
                <w:rFonts w:hint="eastAsia" w:ascii="宋体" w:hAnsi="宋体"/>
                <w:color w:val="auto"/>
                <w:sz w:val="18"/>
                <w:szCs w:val="18"/>
              </w:rPr>
              <w:t>〕</w:t>
            </w:r>
            <w:r>
              <w:rPr>
                <w:rFonts w:hint="eastAsia" w:asciiTheme="minorEastAsia" w:hAnsiTheme="minorEastAsia" w:eastAsiaTheme="minorEastAsia" w:cstheme="minorEastAsia"/>
                <w:snapToGrid w:val="0"/>
                <w:color w:val="auto"/>
                <w:kern w:val="10"/>
                <w:sz w:val="18"/>
                <w:szCs w:val="18"/>
                <w:highlight w:val="none"/>
                <w:lang w:val="en-US" w:eastAsia="zh-CN"/>
              </w:rPr>
              <w:t>48</w:t>
            </w:r>
            <w:r>
              <w:rPr>
                <w:rFonts w:hint="eastAsia" w:asciiTheme="minorEastAsia" w:hAnsiTheme="minorEastAsia" w:eastAsiaTheme="minorEastAsia" w:cstheme="minorEastAsia"/>
                <w:color w:val="auto"/>
                <w:sz w:val="18"/>
                <w:szCs w:val="18"/>
                <w:highlight w:val="none"/>
              </w:rPr>
              <w:t>号</w:t>
            </w:r>
          </w:p>
        </w:tc>
      </w:tr>
      <w:tr>
        <w:tblPrEx>
          <w:tblCellMar>
            <w:top w:w="0" w:type="dxa"/>
            <w:left w:w="0" w:type="dxa"/>
            <w:bottom w:w="0" w:type="dxa"/>
            <w:right w:w="0" w:type="dxa"/>
          </w:tblCellMar>
        </w:tblPrEx>
        <w:trPr>
          <w:trHeight w:val="227" w:hRule="atLeast"/>
          <w:jc w:val="center"/>
        </w:trPr>
        <w:tc>
          <w:tcPr>
            <w:tcW w:w="4276" w:type="dxa"/>
            <w:gridSpan w:val="2"/>
            <w:noWrap/>
            <w:tcMar>
              <w:left w:w="0" w:type="dxa"/>
              <w:right w:w="0" w:type="dxa"/>
            </w:tcMar>
          </w:tcPr>
          <w:p>
            <w:pPr>
              <w:spacing w:line="24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 xml:space="preserve">综合机关名称： </w:t>
            </w:r>
          </w:p>
        </w:tc>
        <w:tc>
          <w:tcPr>
            <w:tcW w:w="2897" w:type="dxa"/>
            <w:gridSpan w:val="3"/>
            <w:noWrap/>
          </w:tcPr>
          <w:p>
            <w:pPr>
              <w:spacing w:line="240" w:lineRule="exact"/>
              <w:ind w:firstLine="360" w:firstLineChars="200"/>
              <w:rPr>
                <w:rFonts w:asciiTheme="minorEastAsia" w:hAnsiTheme="minorEastAsia" w:eastAsiaTheme="minorEastAsia" w:cstheme="minorEastAsia"/>
                <w:sz w:val="18"/>
                <w:szCs w:val="18"/>
              </w:rPr>
            </w:pPr>
            <w:r>
              <w:rPr>
                <w:sz w:val="18"/>
                <w:szCs w:val="18"/>
              </w:rPr>
              <w:t>２０　　年</w:t>
            </w:r>
          </w:p>
        </w:tc>
        <w:tc>
          <w:tcPr>
            <w:tcW w:w="863" w:type="dxa"/>
            <w:noWrap/>
            <w:vAlign w:val="center"/>
          </w:tcPr>
          <w:p>
            <w:pPr>
              <w:spacing w:line="240" w:lineRule="exact"/>
              <w:jc w:val="distribute"/>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有效期至：</w:t>
            </w:r>
          </w:p>
        </w:tc>
        <w:tc>
          <w:tcPr>
            <w:tcW w:w="1724" w:type="dxa"/>
            <w:noWrap/>
            <w:vAlign w:val="center"/>
          </w:tcPr>
          <w:p>
            <w:pPr>
              <w:spacing w:line="240" w:lineRule="exact"/>
              <w:jc w:val="distribute"/>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２０２</w:t>
            </w:r>
            <w:r>
              <w:rPr>
                <w:rFonts w:hint="eastAsia" w:asciiTheme="minorEastAsia" w:hAnsiTheme="minorEastAsia" w:eastAsiaTheme="minorEastAsia" w:cstheme="minorEastAsia"/>
                <w:color w:val="auto"/>
                <w:sz w:val="18"/>
                <w:szCs w:val="18"/>
                <w:lang w:val="en-US" w:eastAsia="zh-CN"/>
              </w:rPr>
              <w:t>6</w:t>
            </w:r>
            <w:r>
              <w:rPr>
                <w:rFonts w:hint="eastAsia" w:asciiTheme="minorEastAsia" w:hAnsiTheme="minorEastAsia" w:eastAsiaTheme="minorEastAsia" w:cstheme="minorEastAsia"/>
                <w:color w:val="auto"/>
                <w:sz w:val="18"/>
                <w:szCs w:val="18"/>
              </w:rPr>
              <w:t>年６月</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2608" w:type="dxa"/>
            <w:vMerge w:val="restart"/>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地区生产总值</w:t>
            </w:r>
          </w:p>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（可比价）</w:t>
            </w:r>
          </w:p>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（亿元）</w:t>
            </w:r>
          </w:p>
        </w:tc>
        <w:tc>
          <w:tcPr>
            <w:tcW w:w="2124" w:type="dxa"/>
            <w:gridSpan w:val="2"/>
            <w:vMerge w:val="restart"/>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能源消费总量</w:t>
            </w:r>
          </w:p>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（万吨标准煤）</w:t>
            </w:r>
          </w:p>
        </w:tc>
        <w:tc>
          <w:tcPr>
            <w:tcW w:w="5028" w:type="dxa"/>
            <w:gridSpan w:val="4"/>
            <w:tcBorders>
              <w:top w:val="single" w:color="auto" w:sz="8"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单位地区生产总值能耗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557" w:hRule="atLeast"/>
          <w:jc w:val="center"/>
        </w:trPr>
        <w:tc>
          <w:tcPr>
            <w:tcW w:w="2608" w:type="dxa"/>
            <w:vMerge w:val="continue"/>
            <w:tcBorders>
              <w:bottom w:val="single" w:color="auto" w:sz="4" w:space="0"/>
            </w:tcBorders>
            <w:noWrap/>
            <w:vAlign w:val="center"/>
          </w:tcPr>
          <w:p>
            <w:pPr>
              <w:jc w:val="center"/>
              <w:rPr>
                <w:rFonts w:asciiTheme="minorEastAsia" w:hAnsiTheme="minorEastAsia" w:eastAsiaTheme="minorEastAsia" w:cstheme="minorEastAsia"/>
                <w:sz w:val="18"/>
                <w:szCs w:val="18"/>
              </w:rPr>
            </w:pPr>
          </w:p>
        </w:tc>
        <w:tc>
          <w:tcPr>
            <w:tcW w:w="2124" w:type="dxa"/>
            <w:gridSpan w:val="2"/>
            <w:vMerge w:val="continue"/>
            <w:tcBorders>
              <w:bottom w:val="single" w:color="auto" w:sz="4" w:space="0"/>
            </w:tcBorders>
            <w:noWrap/>
            <w:vAlign w:val="center"/>
          </w:tcPr>
          <w:p>
            <w:pPr>
              <w:jc w:val="center"/>
              <w:rPr>
                <w:rFonts w:asciiTheme="minorEastAsia" w:hAnsiTheme="minorEastAsia" w:eastAsiaTheme="minorEastAsia" w:cstheme="minorEastAsia"/>
                <w:sz w:val="18"/>
                <w:szCs w:val="18"/>
              </w:rPr>
            </w:pPr>
          </w:p>
        </w:tc>
        <w:tc>
          <w:tcPr>
            <w:tcW w:w="2441" w:type="dxa"/>
            <w:gridSpan w:val="2"/>
            <w:tcBorders>
              <w:bottom w:val="single" w:color="auto" w:sz="4"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指标值</w:t>
            </w:r>
          </w:p>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（吨标准煤/万元）</w:t>
            </w:r>
          </w:p>
        </w:tc>
        <w:tc>
          <w:tcPr>
            <w:tcW w:w="2587" w:type="dxa"/>
            <w:gridSpan w:val="2"/>
            <w:tcBorders>
              <w:bottom w:val="single" w:color="auto" w:sz="4"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增长速度</w:t>
            </w:r>
          </w:p>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2608" w:type="dxa"/>
            <w:vMerge w:val="restart"/>
            <w:noWrap/>
          </w:tcPr>
          <w:p>
            <w:pPr>
              <w:jc w:val="center"/>
              <w:rPr>
                <w:rFonts w:asciiTheme="minorEastAsia" w:hAnsiTheme="minorEastAsia" w:eastAsiaTheme="minorEastAsia" w:cstheme="minorEastAsia"/>
                <w:sz w:val="18"/>
                <w:szCs w:val="18"/>
              </w:rPr>
            </w:pPr>
          </w:p>
        </w:tc>
        <w:tc>
          <w:tcPr>
            <w:tcW w:w="2124" w:type="dxa"/>
            <w:gridSpan w:val="2"/>
            <w:tcBorders>
              <w:bottom w:val="nil"/>
            </w:tcBorders>
            <w:noWrap/>
          </w:tcPr>
          <w:p>
            <w:pPr>
              <w:jc w:val="center"/>
              <w:rPr>
                <w:rFonts w:asciiTheme="minorEastAsia" w:hAnsiTheme="minorEastAsia" w:eastAsiaTheme="minorEastAsia" w:cstheme="minorEastAsia"/>
                <w:sz w:val="18"/>
                <w:szCs w:val="18"/>
              </w:rPr>
            </w:pPr>
          </w:p>
        </w:tc>
        <w:tc>
          <w:tcPr>
            <w:tcW w:w="2441" w:type="dxa"/>
            <w:gridSpan w:val="2"/>
            <w:tcBorders>
              <w:bottom w:val="nil"/>
            </w:tcBorders>
            <w:noWrap/>
          </w:tcPr>
          <w:p>
            <w:pPr>
              <w:jc w:val="center"/>
              <w:rPr>
                <w:rFonts w:asciiTheme="minorEastAsia" w:hAnsiTheme="minorEastAsia" w:eastAsiaTheme="minorEastAsia" w:cstheme="minorEastAsia"/>
                <w:sz w:val="18"/>
                <w:szCs w:val="18"/>
              </w:rPr>
            </w:pPr>
          </w:p>
        </w:tc>
        <w:tc>
          <w:tcPr>
            <w:tcW w:w="2587" w:type="dxa"/>
            <w:gridSpan w:val="2"/>
            <w:tcBorders>
              <w:bottom w:val="nil"/>
            </w:tcBorders>
            <w:noWrap/>
          </w:tcPr>
          <w:p>
            <w:pPr>
              <w:jc w:val="center"/>
              <w:rPr>
                <w:rFonts w:asciiTheme="minorEastAsia" w:hAnsiTheme="minorEastAsia" w:eastAsiaTheme="minorEastAsia" w:cstheme="minorEastAsia"/>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2608" w:type="dxa"/>
            <w:vMerge w:val="continue"/>
            <w:tcBorders>
              <w:bottom w:val="single" w:color="auto" w:sz="8" w:space="0"/>
            </w:tcBorders>
            <w:noWrap/>
          </w:tcPr>
          <w:p>
            <w:pPr>
              <w:jc w:val="center"/>
              <w:rPr>
                <w:rFonts w:asciiTheme="minorEastAsia" w:hAnsiTheme="minorEastAsia" w:eastAsiaTheme="minorEastAsia" w:cstheme="minorEastAsia"/>
                <w:sz w:val="18"/>
                <w:szCs w:val="18"/>
              </w:rPr>
            </w:pPr>
          </w:p>
        </w:tc>
        <w:tc>
          <w:tcPr>
            <w:tcW w:w="2124" w:type="dxa"/>
            <w:gridSpan w:val="2"/>
            <w:tcBorders>
              <w:top w:val="nil"/>
              <w:bottom w:val="single" w:color="auto" w:sz="8" w:space="0"/>
            </w:tcBorders>
            <w:noWrap/>
          </w:tcPr>
          <w:p>
            <w:pPr>
              <w:jc w:val="center"/>
              <w:rPr>
                <w:rFonts w:asciiTheme="minorEastAsia" w:hAnsiTheme="minorEastAsia" w:eastAsiaTheme="minorEastAsia" w:cstheme="minorEastAsia"/>
                <w:sz w:val="18"/>
                <w:szCs w:val="18"/>
              </w:rPr>
            </w:pPr>
          </w:p>
        </w:tc>
        <w:tc>
          <w:tcPr>
            <w:tcW w:w="2441" w:type="dxa"/>
            <w:gridSpan w:val="2"/>
            <w:tcBorders>
              <w:top w:val="nil"/>
              <w:bottom w:val="single" w:color="auto" w:sz="8" w:space="0"/>
            </w:tcBorders>
            <w:noWrap/>
          </w:tcPr>
          <w:p>
            <w:pPr>
              <w:jc w:val="center"/>
              <w:rPr>
                <w:rFonts w:asciiTheme="minorEastAsia" w:hAnsiTheme="minorEastAsia" w:eastAsiaTheme="minorEastAsia" w:cstheme="minorEastAsia"/>
                <w:sz w:val="18"/>
                <w:szCs w:val="18"/>
              </w:rPr>
            </w:pPr>
          </w:p>
        </w:tc>
        <w:tc>
          <w:tcPr>
            <w:tcW w:w="2587" w:type="dxa"/>
            <w:gridSpan w:val="2"/>
            <w:tcBorders>
              <w:top w:val="nil"/>
              <w:bottom w:val="single" w:color="auto" w:sz="8" w:space="0"/>
            </w:tcBorders>
            <w:noWrap/>
          </w:tcPr>
          <w:p>
            <w:pPr>
              <w:jc w:val="center"/>
              <w:rPr>
                <w:rFonts w:asciiTheme="minorEastAsia" w:hAnsiTheme="minorEastAsia" w:eastAsiaTheme="minorEastAsia" w:cstheme="minorEastAsia"/>
                <w:sz w:val="18"/>
                <w:szCs w:val="18"/>
              </w:rPr>
            </w:pPr>
          </w:p>
        </w:tc>
      </w:tr>
    </w:tbl>
    <w:p>
      <w:pPr>
        <w:ind w:left="-1" w:leftChars="-20" w:hanging="41" w:hangingChars="23"/>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w:t>
      </w:r>
      <w:r>
        <w:rPr>
          <w:rFonts w:hint="eastAsia" w:asciiTheme="minorEastAsia" w:hAnsiTheme="minorEastAsia" w:eastAsiaTheme="minorEastAsia" w:cstheme="minorEastAsia"/>
          <w:kern w:val="0"/>
          <w:sz w:val="18"/>
          <w:szCs w:val="18"/>
        </w:rPr>
        <w:t>位负责人：          统计负责人：          填表人：          联系电话：          报出日期：２０   年  月  日</w:t>
      </w:r>
    </w:p>
    <w:p>
      <w:pPr>
        <w:rPr>
          <w:rFonts w:asciiTheme="minorEastAsia" w:hAnsiTheme="minorEastAsia" w:eastAsiaTheme="minorEastAsia" w:cstheme="minorEastAsia"/>
          <w:sz w:val="18"/>
          <w:szCs w:val="18"/>
        </w:rPr>
      </w:pPr>
    </w:p>
    <w:p>
      <w:pPr>
        <w:ind w:leftChars="-20" w:right="-38" w:hanging="41" w:hangingChars="23"/>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说明</w:t>
      </w:r>
      <w:r>
        <w:rPr>
          <w:rFonts w:hint="eastAsia" w:asciiTheme="minorEastAsia" w:hAnsiTheme="minorEastAsia" w:eastAsiaTheme="minorEastAsia" w:cstheme="minorEastAsia"/>
          <w:sz w:val="18"/>
          <w:szCs w:val="18"/>
        </w:rPr>
        <w:t>：1.本表由各区统计机构报送。</w:t>
      </w:r>
    </w:p>
    <w:p>
      <w:pPr>
        <w:ind w:right="-143" w:firstLine="504" w:firstLineChars="28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2.根据省统计局反馈数据确定；报送方式为电子邮件</w:t>
      </w:r>
      <w:r>
        <w:rPr>
          <w:rFonts w:hint="eastAsia" w:asciiTheme="minorEastAsia" w:hAnsiTheme="minorEastAsia" w:eastAsiaTheme="minorEastAsia" w:cstheme="minorEastAsia"/>
          <w:sz w:val="18"/>
        </w:rPr>
        <w:t>（gzstjjnyc@gz.gov.cn）</w:t>
      </w:r>
      <w:r>
        <w:rPr>
          <w:rFonts w:hint="eastAsia" w:asciiTheme="minorEastAsia" w:hAnsiTheme="minorEastAsia" w:eastAsiaTheme="minorEastAsia" w:cstheme="minorEastAsia"/>
          <w:sz w:val="18"/>
          <w:szCs w:val="18"/>
        </w:rPr>
        <w:t>。</w:t>
      </w:r>
    </w:p>
    <w:p>
      <w:pPr>
        <w:ind w:right="-143" w:firstLine="504" w:firstLineChars="28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3.单位地区生产总值能耗保留4位小数，其余数据保留2位小数。</w:t>
      </w:r>
    </w:p>
    <w:p>
      <w:pPr>
        <w:spacing w:line="280" w:lineRule="exact"/>
        <w:ind w:right="-42" w:rightChars="-20"/>
        <w:rPr>
          <w:rFonts w:ascii="黑体" w:eastAsia="黑体"/>
          <w:sz w:val="32"/>
          <w:szCs w:val="32"/>
        </w:rPr>
      </w:pPr>
      <w:r>
        <w:rPr>
          <w:rFonts w:ascii="黑体" w:eastAsia="黑体"/>
          <w:sz w:val="28"/>
        </w:rPr>
        <w:br w:type="page"/>
      </w:r>
    </w:p>
    <w:p>
      <w:pPr>
        <w:numPr>
          <w:ilvl w:val="0"/>
          <w:numId w:val="0"/>
        </w:numPr>
        <w:spacing w:line="400" w:lineRule="exact"/>
        <w:ind w:right="-42" w:rightChars="-20"/>
        <w:jc w:val="center"/>
        <w:rPr>
          <w:rFonts w:hint="eastAsia" w:ascii="黑体" w:hAnsi="黑体" w:eastAsia="黑体" w:cs="黑体"/>
          <w:sz w:val="28"/>
          <w:szCs w:val="28"/>
        </w:rPr>
      </w:pPr>
      <w:r>
        <w:rPr>
          <w:rFonts w:hint="eastAsia" w:ascii="黑体" w:hAnsi="黑体" w:eastAsia="黑体" w:cs="黑体"/>
          <w:sz w:val="28"/>
          <w:szCs w:val="28"/>
          <w:lang w:eastAsia="zh-CN"/>
        </w:rPr>
        <w:t>（三）</w:t>
      </w:r>
      <w:r>
        <w:rPr>
          <w:rFonts w:hint="eastAsia" w:ascii="黑体" w:hAnsi="黑体" w:eastAsia="黑体" w:cs="黑体"/>
          <w:sz w:val="28"/>
          <w:szCs w:val="28"/>
        </w:rPr>
        <w:t>综合定报表式</w:t>
      </w:r>
    </w:p>
    <w:p>
      <w:pPr>
        <w:numPr>
          <w:ilvl w:val="0"/>
          <w:numId w:val="0"/>
        </w:numPr>
        <w:spacing w:line="400" w:lineRule="exact"/>
        <w:ind w:right="-42" w:rightChars="-20"/>
        <w:jc w:val="center"/>
      </w:pPr>
    </w:p>
    <w:p>
      <w:pPr>
        <w:spacing w:line="400" w:lineRule="exact"/>
        <w:ind w:right="-42" w:rightChars="-20"/>
        <w:jc w:val="center"/>
        <w:rPr>
          <w:rFonts w:ascii="宋体" w:hAnsi="宋体" w:cs="宋体"/>
          <w:b/>
          <w:kern w:val="0"/>
          <w:sz w:val="32"/>
          <w:szCs w:val="32"/>
        </w:rPr>
      </w:pPr>
      <w:r>
        <w:rPr>
          <w:rFonts w:ascii="宋体" w:hAnsi="宋体" w:cs="宋体"/>
          <w:b/>
          <w:kern w:val="0"/>
          <w:sz w:val="32"/>
          <w:szCs w:val="32"/>
        </w:rPr>
        <w:t>地区能源消费与单位</w:t>
      </w:r>
      <w:r>
        <w:rPr>
          <w:rFonts w:hint="eastAsia" w:ascii="宋体" w:hAnsi="宋体" w:cs="宋体"/>
          <w:b/>
          <w:kern w:val="0"/>
          <w:sz w:val="32"/>
          <w:szCs w:val="32"/>
        </w:rPr>
        <w:t>地区生产总值</w:t>
      </w:r>
      <w:r>
        <w:rPr>
          <w:rFonts w:ascii="宋体" w:hAnsi="宋体" w:cs="宋体"/>
          <w:b/>
          <w:kern w:val="0"/>
          <w:sz w:val="32"/>
          <w:szCs w:val="32"/>
        </w:rPr>
        <w:t>能耗</w:t>
      </w:r>
    </w:p>
    <w:tbl>
      <w:tblPr>
        <w:tblStyle w:val="21"/>
        <w:tblW w:w="9437" w:type="dxa"/>
        <w:jc w:val="center"/>
        <w:tblLayout w:type="autofit"/>
        <w:tblCellMar>
          <w:top w:w="0" w:type="dxa"/>
          <w:left w:w="0" w:type="dxa"/>
          <w:bottom w:w="0" w:type="dxa"/>
          <w:right w:w="0" w:type="dxa"/>
        </w:tblCellMar>
      </w:tblPr>
      <w:tblGrid>
        <w:gridCol w:w="3365"/>
        <w:gridCol w:w="630"/>
        <w:gridCol w:w="2635"/>
        <w:gridCol w:w="846"/>
        <w:gridCol w:w="1961"/>
      </w:tblGrid>
      <w:tr>
        <w:tblPrEx>
          <w:tblCellMar>
            <w:top w:w="0" w:type="dxa"/>
            <w:left w:w="0" w:type="dxa"/>
            <w:bottom w:w="0" w:type="dxa"/>
            <w:right w:w="0" w:type="dxa"/>
          </w:tblCellMar>
        </w:tblPrEx>
        <w:trPr>
          <w:jc w:val="center"/>
        </w:trPr>
        <w:tc>
          <w:tcPr>
            <w:tcW w:w="3365" w:type="dxa"/>
            <w:noWrap/>
          </w:tcPr>
          <w:p>
            <w:pPr>
              <w:spacing w:line="260" w:lineRule="exact"/>
              <w:rPr>
                <w:sz w:val="18"/>
                <w:szCs w:val="18"/>
              </w:rPr>
            </w:pPr>
          </w:p>
        </w:tc>
        <w:tc>
          <w:tcPr>
            <w:tcW w:w="630" w:type="dxa"/>
            <w:noWrap/>
          </w:tcPr>
          <w:p>
            <w:pPr>
              <w:spacing w:line="260" w:lineRule="exact"/>
              <w:rPr>
                <w:sz w:val="18"/>
                <w:szCs w:val="18"/>
              </w:rPr>
            </w:pPr>
          </w:p>
        </w:tc>
        <w:tc>
          <w:tcPr>
            <w:tcW w:w="2635" w:type="dxa"/>
            <w:noWrap/>
          </w:tcPr>
          <w:p>
            <w:pPr>
              <w:spacing w:line="260" w:lineRule="exact"/>
              <w:rPr>
                <w:sz w:val="18"/>
                <w:szCs w:val="18"/>
              </w:rPr>
            </w:pPr>
            <w:r>
              <w:rPr>
                <w:sz w:val="18"/>
                <w:szCs w:val="18"/>
              </w:rPr>
              <w:t>　　　　　　　　　　　　　</w:t>
            </w:r>
          </w:p>
        </w:tc>
        <w:tc>
          <w:tcPr>
            <w:tcW w:w="846" w:type="dxa"/>
            <w:noWrap/>
            <w:tcMar>
              <w:left w:w="0" w:type="dxa"/>
              <w:right w:w="0" w:type="dxa"/>
            </w:tcMar>
          </w:tcPr>
          <w:p>
            <w:pPr>
              <w:spacing w:line="260" w:lineRule="exact"/>
              <w:rPr>
                <w:sz w:val="18"/>
                <w:szCs w:val="18"/>
              </w:rPr>
            </w:pPr>
            <w:r>
              <w:rPr>
                <w:sz w:val="18"/>
                <w:szCs w:val="18"/>
              </w:rPr>
              <w:t>表    号：</w:t>
            </w:r>
          </w:p>
        </w:tc>
        <w:tc>
          <w:tcPr>
            <w:tcW w:w="1961" w:type="dxa"/>
            <w:noWrap/>
            <w:vAlign w:val="center"/>
          </w:tcPr>
          <w:p>
            <w:pPr>
              <w:spacing w:line="260" w:lineRule="exact"/>
              <w:jc w:val="distribute"/>
              <w:rPr>
                <w:sz w:val="18"/>
                <w:szCs w:val="18"/>
              </w:rPr>
            </w:pPr>
            <w:r>
              <w:rPr>
                <w:sz w:val="18"/>
                <w:szCs w:val="18"/>
              </w:rPr>
              <w:t>Ｐ４０６表</w:t>
            </w:r>
          </w:p>
        </w:tc>
      </w:tr>
      <w:tr>
        <w:tblPrEx>
          <w:tblCellMar>
            <w:top w:w="0" w:type="dxa"/>
            <w:left w:w="0" w:type="dxa"/>
            <w:bottom w:w="0" w:type="dxa"/>
            <w:right w:w="0" w:type="dxa"/>
          </w:tblCellMar>
        </w:tblPrEx>
        <w:trPr>
          <w:jc w:val="center"/>
        </w:trPr>
        <w:tc>
          <w:tcPr>
            <w:tcW w:w="3365" w:type="dxa"/>
            <w:noWrap/>
          </w:tcPr>
          <w:p>
            <w:pPr>
              <w:spacing w:line="260" w:lineRule="exact"/>
              <w:rPr>
                <w:sz w:val="18"/>
                <w:szCs w:val="18"/>
              </w:rPr>
            </w:pPr>
          </w:p>
        </w:tc>
        <w:tc>
          <w:tcPr>
            <w:tcW w:w="630" w:type="dxa"/>
            <w:noWrap/>
          </w:tcPr>
          <w:p>
            <w:pPr>
              <w:spacing w:line="260" w:lineRule="exact"/>
              <w:rPr>
                <w:sz w:val="18"/>
                <w:szCs w:val="18"/>
              </w:rPr>
            </w:pPr>
          </w:p>
        </w:tc>
        <w:tc>
          <w:tcPr>
            <w:tcW w:w="2635" w:type="dxa"/>
            <w:noWrap/>
          </w:tcPr>
          <w:p>
            <w:pPr>
              <w:spacing w:line="260" w:lineRule="exact"/>
              <w:rPr>
                <w:sz w:val="18"/>
                <w:szCs w:val="18"/>
              </w:rPr>
            </w:pPr>
          </w:p>
        </w:tc>
        <w:tc>
          <w:tcPr>
            <w:tcW w:w="846" w:type="dxa"/>
            <w:noWrap/>
            <w:tcMar>
              <w:left w:w="0" w:type="dxa"/>
              <w:right w:w="0" w:type="dxa"/>
            </w:tcMar>
            <w:vAlign w:val="center"/>
          </w:tcPr>
          <w:p>
            <w:pPr>
              <w:spacing w:line="260" w:lineRule="exact"/>
              <w:rPr>
                <w:sz w:val="18"/>
                <w:szCs w:val="18"/>
              </w:rPr>
            </w:pPr>
            <w:r>
              <w:rPr>
                <w:sz w:val="18"/>
                <w:szCs w:val="18"/>
              </w:rPr>
              <w:t>制定机关：</w:t>
            </w:r>
          </w:p>
        </w:tc>
        <w:tc>
          <w:tcPr>
            <w:tcW w:w="1961" w:type="dxa"/>
            <w:noWrap/>
            <w:vAlign w:val="center"/>
          </w:tcPr>
          <w:p>
            <w:pPr>
              <w:spacing w:line="260" w:lineRule="exact"/>
              <w:jc w:val="distribute"/>
              <w:rPr>
                <w:sz w:val="18"/>
                <w:szCs w:val="18"/>
              </w:rPr>
            </w:pPr>
            <w:r>
              <w:rPr>
                <w:sz w:val="18"/>
                <w:szCs w:val="18"/>
              </w:rPr>
              <w:t>国 家 统 计 局</w:t>
            </w:r>
          </w:p>
        </w:tc>
      </w:tr>
      <w:tr>
        <w:tblPrEx>
          <w:tblCellMar>
            <w:top w:w="0" w:type="dxa"/>
            <w:left w:w="0" w:type="dxa"/>
            <w:bottom w:w="0" w:type="dxa"/>
            <w:right w:w="0" w:type="dxa"/>
          </w:tblCellMar>
        </w:tblPrEx>
        <w:trPr>
          <w:jc w:val="center"/>
        </w:trPr>
        <w:tc>
          <w:tcPr>
            <w:tcW w:w="3365" w:type="dxa"/>
            <w:noWrap/>
          </w:tcPr>
          <w:p>
            <w:pPr>
              <w:spacing w:line="260" w:lineRule="exact"/>
              <w:jc w:val="left"/>
              <w:rPr>
                <w:sz w:val="18"/>
                <w:szCs w:val="18"/>
              </w:rPr>
            </w:pPr>
          </w:p>
        </w:tc>
        <w:tc>
          <w:tcPr>
            <w:tcW w:w="630" w:type="dxa"/>
            <w:noWrap/>
          </w:tcPr>
          <w:p>
            <w:pPr>
              <w:spacing w:line="260" w:lineRule="exact"/>
              <w:rPr>
                <w:sz w:val="18"/>
                <w:szCs w:val="18"/>
              </w:rPr>
            </w:pPr>
          </w:p>
        </w:tc>
        <w:tc>
          <w:tcPr>
            <w:tcW w:w="2635" w:type="dxa"/>
            <w:noWrap/>
          </w:tcPr>
          <w:p>
            <w:pPr>
              <w:spacing w:line="260" w:lineRule="exact"/>
              <w:rPr>
                <w:sz w:val="18"/>
                <w:szCs w:val="18"/>
              </w:rPr>
            </w:pPr>
          </w:p>
        </w:tc>
        <w:tc>
          <w:tcPr>
            <w:tcW w:w="846" w:type="dxa"/>
            <w:noWrap/>
            <w:tcMar>
              <w:left w:w="0" w:type="dxa"/>
              <w:right w:w="0" w:type="dxa"/>
            </w:tcMar>
            <w:vAlign w:val="center"/>
          </w:tcPr>
          <w:p>
            <w:pPr>
              <w:spacing w:line="260" w:lineRule="exact"/>
              <w:rPr>
                <w:sz w:val="18"/>
                <w:szCs w:val="18"/>
              </w:rPr>
            </w:pPr>
            <w:r>
              <w:rPr>
                <w:sz w:val="18"/>
                <w:szCs w:val="18"/>
              </w:rPr>
              <w:t>文    号：</w:t>
            </w:r>
          </w:p>
        </w:tc>
        <w:tc>
          <w:tcPr>
            <w:tcW w:w="1961" w:type="dxa"/>
            <w:noWrap/>
            <w:vAlign w:val="center"/>
          </w:tcPr>
          <w:p>
            <w:pPr>
              <w:spacing w:line="260" w:lineRule="exact"/>
              <w:jc w:val="distribute"/>
              <w:rPr>
                <w:color w:val="auto"/>
                <w:sz w:val="18"/>
                <w:szCs w:val="18"/>
              </w:rPr>
            </w:pPr>
            <w:r>
              <w:rPr>
                <w:rFonts w:hint="eastAsia" w:ascii="宋体" w:hAnsi="宋体"/>
                <w:color w:val="auto"/>
                <w:sz w:val="18"/>
                <w:szCs w:val="18"/>
              </w:rPr>
              <w:t>国统字〔202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color w:val="auto"/>
                <w:spacing w:val="-16"/>
                <w:sz w:val="18"/>
                <w:szCs w:val="18"/>
              </w:rPr>
              <w:t>号</w:t>
            </w:r>
          </w:p>
        </w:tc>
      </w:tr>
      <w:tr>
        <w:tblPrEx>
          <w:tblCellMar>
            <w:top w:w="0" w:type="dxa"/>
            <w:left w:w="0" w:type="dxa"/>
            <w:bottom w:w="0" w:type="dxa"/>
            <w:right w:w="0" w:type="dxa"/>
          </w:tblCellMar>
        </w:tblPrEx>
        <w:trPr>
          <w:jc w:val="center"/>
        </w:trPr>
        <w:tc>
          <w:tcPr>
            <w:tcW w:w="3365" w:type="dxa"/>
            <w:noWrap/>
          </w:tcPr>
          <w:p>
            <w:pPr>
              <w:spacing w:line="260" w:lineRule="exact"/>
              <w:rPr>
                <w:sz w:val="18"/>
                <w:szCs w:val="18"/>
              </w:rPr>
            </w:pPr>
            <w:r>
              <w:rPr>
                <w:sz w:val="18"/>
              </w:rPr>
              <w:t>综合机关名称：</w:t>
            </w:r>
          </w:p>
        </w:tc>
        <w:tc>
          <w:tcPr>
            <w:tcW w:w="630" w:type="dxa"/>
            <w:noWrap/>
          </w:tcPr>
          <w:p>
            <w:pPr>
              <w:spacing w:line="260" w:lineRule="exact"/>
              <w:rPr>
                <w:sz w:val="18"/>
                <w:szCs w:val="18"/>
              </w:rPr>
            </w:pPr>
          </w:p>
        </w:tc>
        <w:tc>
          <w:tcPr>
            <w:tcW w:w="2635" w:type="dxa"/>
            <w:noWrap/>
          </w:tcPr>
          <w:p>
            <w:pPr>
              <w:spacing w:line="260" w:lineRule="exact"/>
              <w:rPr>
                <w:sz w:val="18"/>
                <w:szCs w:val="18"/>
              </w:rPr>
            </w:pPr>
            <w:r>
              <w:rPr>
                <w:sz w:val="18"/>
                <w:szCs w:val="18"/>
              </w:rPr>
              <w:t>２０　　年 １</w:t>
            </w:r>
            <w:r>
              <w:rPr>
                <w:kern w:val="0"/>
                <w:sz w:val="18"/>
                <w:szCs w:val="18"/>
              </w:rPr>
              <w:t>－</w:t>
            </w:r>
            <w:r>
              <w:rPr>
                <w:sz w:val="18"/>
                <w:szCs w:val="18"/>
              </w:rPr>
              <w:t xml:space="preserve">   季　　　　　　　　　</w:t>
            </w:r>
          </w:p>
        </w:tc>
        <w:tc>
          <w:tcPr>
            <w:tcW w:w="846" w:type="dxa"/>
            <w:noWrap/>
            <w:tcMar>
              <w:left w:w="0" w:type="dxa"/>
              <w:right w:w="0" w:type="dxa"/>
            </w:tcMar>
            <w:vAlign w:val="center"/>
          </w:tcPr>
          <w:p>
            <w:pPr>
              <w:spacing w:line="260" w:lineRule="exact"/>
              <w:rPr>
                <w:sz w:val="18"/>
                <w:szCs w:val="18"/>
              </w:rPr>
            </w:pPr>
            <w:r>
              <w:rPr>
                <w:sz w:val="18"/>
                <w:szCs w:val="18"/>
              </w:rPr>
              <w:t>有效期至：</w:t>
            </w:r>
          </w:p>
        </w:tc>
        <w:tc>
          <w:tcPr>
            <w:tcW w:w="1961" w:type="dxa"/>
            <w:noWrap/>
            <w:vAlign w:val="center"/>
          </w:tcPr>
          <w:p>
            <w:pPr>
              <w:spacing w:line="260" w:lineRule="exact"/>
              <w:jc w:val="distribute"/>
              <w:rPr>
                <w:color w:val="auto"/>
                <w:sz w:val="18"/>
                <w:szCs w:val="18"/>
              </w:rPr>
            </w:pPr>
            <w:r>
              <w:rPr>
                <w:color w:val="auto"/>
                <w:sz w:val="18"/>
                <w:szCs w:val="18"/>
              </w:rPr>
              <w:t>２０２</w:t>
            </w:r>
            <w:r>
              <w:rPr>
                <w:rFonts w:hint="eastAsia" w:ascii="宋体" w:hAnsi="宋体" w:cs="宋体"/>
                <w:color w:val="auto"/>
                <w:sz w:val="18"/>
                <w:szCs w:val="18"/>
                <w:lang w:val="en-US" w:eastAsia="zh-CN"/>
              </w:rPr>
              <w:t>7</w:t>
            </w:r>
            <w:r>
              <w:rPr>
                <w:color w:val="auto"/>
                <w:sz w:val="18"/>
                <w:szCs w:val="18"/>
              </w:rPr>
              <w:t>年１月</w:t>
            </w:r>
          </w:p>
        </w:tc>
      </w:tr>
    </w:tbl>
    <w:p>
      <w:pPr>
        <w:spacing w:line="20" w:lineRule="exact"/>
        <w:jc w:val="center"/>
        <w:rPr>
          <w:sz w:val="32"/>
        </w:rPr>
      </w:pPr>
    </w:p>
    <w:tbl>
      <w:tblPr>
        <w:tblStyle w:val="21"/>
        <w:tblpPr w:leftFromText="180" w:rightFromText="180" w:vertAnchor="text" w:tblpXSpec="center" w:tblpY="1"/>
        <w:tblOverlap w:val="never"/>
        <w:tblW w:w="9478" w:type="dxa"/>
        <w:tblInd w:w="0" w:type="dxa"/>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28" w:type="dxa"/>
          <w:bottom w:w="0" w:type="dxa"/>
          <w:right w:w="28" w:type="dxa"/>
        </w:tblCellMar>
      </w:tblPr>
      <w:tblGrid>
        <w:gridCol w:w="4109"/>
        <w:gridCol w:w="1306"/>
        <w:gridCol w:w="537"/>
        <w:gridCol w:w="702"/>
        <w:gridCol w:w="702"/>
        <w:gridCol w:w="702"/>
        <w:gridCol w:w="720"/>
        <w:gridCol w:w="700"/>
      </w:tblGrid>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0" w:hRule="exact"/>
        </w:trPr>
        <w:tc>
          <w:tcPr>
            <w:tcW w:w="4109" w:type="dxa"/>
            <w:vMerge w:val="restart"/>
            <w:tcBorders>
              <w:top w:val="single" w:color="auto" w:sz="8" w:space="0"/>
              <w:left w:val="nil"/>
              <w:bottom w:val="single" w:color="auto" w:sz="2" w:space="0"/>
              <w:right w:val="single" w:color="auto" w:sz="2" w:space="0"/>
            </w:tcBorders>
            <w:noWrap/>
            <w:vAlign w:val="center"/>
          </w:tcPr>
          <w:p>
            <w:pPr>
              <w:ind w:firstLine="1"/>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指标名称</w:t>
            </w:r>
          </w:p>
        </w:tc>
        <w:tc>
          <w:tcPr>
            <w:tcW w:w="1306" w:type="dxa"/>
            <w:vMerge w:val="restart"/>
            <w:tcBorders>
              <w:top w:val="single" w:color="auto" w:sz="8" w:space="0"/>
              <w:left w:val="single" w:color="auto" w:sz="2" w:space="0"/>
              <w:bottom w:val="single" w:color="auto" w:sz="2" w:space="0"/>
              <w:right w:val="single" w:color="auto" w:sz="2"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计量单位</w:t>
            </w:r>
          </w:p>
        </w:tc>
        <w:tc>
          <w:tcPr>
            <w:tcW w:w="537" w:type="dxa"/>
            <w:vMerge w:val="restart"/>
            <w:tcBorders>
              <w:top w:val="single" w:color="auto" w:sz="8" w:space="0"/>
              <w:left w:val="single" w:color="auto" w:sz="2" w:space="0"/>
              <w:bottom w:val="single" w:color="auto" w:sz="2" w:space="0"/>
              <w:right w:val="single" w:color="auto" w:sz="2"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代码</w:t>
            </w:r>
          </w:p>
        </w:tc>
        <w:tc>
          <w:tcPr>
            <w:tcW w:w="702" w:type="dxa"/>
            <w:vMerge w:val="restart"/>
            <w:tcBorders>
              <w:top w:val="single" w:color="auto" w:sz="8" w:space="0"/>
              <w:left w:val="single" w:color="auto" w:sz="2" w:space="0"/>
              <w:bottom w:val="single" w:color="auto" w:sz="2" w:space="0"/>
              <w:right w:val="single" w:color="auto" w:sz="2"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本  期</w:t>
            </w:r>
          </w:p>
        </w:tc>
        <w:tc>
          <w:tcPr>
            <w:tcW w:w="702" w:type="dxa"/>
            <w:vMerge w:val="restart"/>
            <w:tcBorders>
              <w:top w:val="single" w:color="auto" w:sz="8" w:space="0"/>
              <w:left w:val="single" w:color="auto" w:sz="2" w:space="0"/>
              <w:bottom w:val="single" w:color="auto" w:sz="2" w:space="0"/>
              <w:right w:val="single" w:color="auto" w:sz="2"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上年同期</w:t>
            </w:r>
          </w:p>
        </w:tc>
        <w:tc>
          <w:tcPr>
            <w:tcW w:w="702" w:type="dxa"/>
            <w:vMerge w:val="restart"/>
            <w:tcBorders>
              <w:top w:val="single" w:color="auto" w:sz="8" w:space="0"/>
              <w:left w:val="single" w:color="auto" w:sz="2" w:space="0"/>
              <w:bottom w:val="single" w:color="auto" w:sz="2" w:space="0"/>
              <w:right w:val="single" w:color="auto" w:sz="2"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比上年同期增长(%)</w:t>
            </w:r>
          </w:p>
        </w:tc>
        <w:tc>
          <w:tcPr>
            <w:tcW w:w="1420" w:type="dxa"/>
            <w:gridSpan w:val="2"/>
            <w:tcBorders>
              <w:top w:val="single" w:color="auto" w:sz="8" w:space="0"/>
              <w:left w:val="single" w:color="auto" w:sz="2" w:space="0"/>
              <w:bottom w:val="single" w:color="auto" w:sz="2" w:space="0"/>
              <w:right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能耗比重(%)</w:t>
            </w: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486" w:hRule="exact"/>
        </w:trPr>
        <w:tc>
          <w:tcPr>
            <w:tcW w:w="4109" w:type="dxa"/>
            <w:vMerge w:val="continue"/>
            <w:tcBorders>
              <w:top w:val="single" w:color="auto" w:sz="2" w:space="0"/>
              <w:left w:val="nil"/>
              <w:bottom w:val="single" w:color="auto" w:sz="2" w:space="0"/>
              <w:right w:val="single" w:color="auto" w:sz="2" w:space="0"/>
            </w:tcBorders>
            <w:noWrap/>
            <w:vAlign w:val="center"/>
          </w:tcPr>
          <w:p>
            <w:pPr>
              <w:ind w:firstLine="1"/>
              <w:jc w:val="center"/>
              <w:rPr>
                <w:rFonts w:asciiTheme="minorEastAsia" w:hAnsiTheme="minorEastAsia" w:eastAsiaTheme="minorEastAsia" w:cstheme="minorEastAsia"/>
                <w:sz w:val="18"/>
                <w:szCs w:val="18"/>
              </w:rPr>
            </w:pPr>
          </w:p>
        </w:tc>
        <w:tc>
          <w:tcPr>
            <w:tcW w:w="1306" w:type="dxa"/>
            <w:vMerge w:val="continue"/>
            <w:tcBorders>
              <w:top w:val="single" w:color="auto" w:sz="2" w:space="0"/>
              <w:left w:val="single" w:color="auto" w:sz="2" w:space="0"/>
              <w:bottom w:val="single" w:color="auto" w:sz="2" w:space="0"/>
              <w:right w:val="single" w:color="auto" w:sz="2" w:space="0"/>
            </w:tcBorders>
            <w:noWrap/>
            <w:vAlign w:val="center"/>
          </w:tcPr>
          <w:p>
            <w:pPr>
              <w:jc w:val="center"/>
              <w:rPr>
                <w:rFonts w:asciiTheme="minorEastAsia" w:hAnsiTheme="minorEastAsia" w:eastAsiaTheme="minorEastAsia" w:cstheme="minorEastAsia"/>
                <w:sz w:val="18"/>
                <w:szCs w:val="18"/>
              </w:rPr>
            </w:pPr>
          </w:p>
        </w:tc>
        <w:tc>
          <w:tcPr>
            <w:tcW w:w="537" w:type="dxa"/>
            <w:vMerge w:val="continue"/>
            <w:tcBorders>
              <w:top w:val="single" w:color="auto" w:sz="2" w:space="0"/>
              <w:left w:val="single" w:color="auto" w:sz="2" w:space="0"/>
              <w:bottom w:val="single" w:color="auto" w:sz="2" w:space="0"/>
              <w:right w:val="single" w:color="auto" w:sz="2" w:space="0"/>
            </w:tcBorders>
            <w:noWrap/>
            <w:vAlign w:val="center"/>
          </w:tcPr>
          <w:p>
            <w:pPr>
              <w:jc w:val="center"/>
              <w:rPr>
                <w:rFonts w:asciiTheme="minorEastAsia" w:hAnsiTheme="minorEastAsia" w:eastAsiaTheme="minorEastAsia" w:cstheme="minorEastAsia"/>
                <w:sz w:val="18"/>
                <w:szCs w:val="18"/>
              </w:rPr>
            </w:pPr>
          </w:p>
        </w:tc>
        <w:tc>
          <w:tcPr>
            <w:tcW w:w="702" w:type="dxa"/>
            <w:vMerge w:val="continue"/>
            <w:tcBorders>
              <w:top w:val="single" w:color="auto" w:sz="2" w:space="0"/>
              <w:left w:val="single" w:color="auto" w:sz="2" w:space="0"/>
              <w:bottom w:val="single" w:color="auto" w:sz="2" w:space="0"/>
              <w:right w:val="single" w:color="auto" w:sz="2" w:space="0"/>
            </w:tcBorders>
            <w:noWrap/>
            <w:vAlign w:val="center"/>
          </w:tcPr>
          <w:p>
            <w:pPr>
              <w:jc w:val="center"/>
              <w:rPr>
                <w:rFonts w:asciiTheme="minorEastAsia" w:hAnsiTheme="minorEastAsia" w:eastAsiaTheme="minorEastAsia" w:cstheme="minorEastAsia"/>
                <w:sz w:val="18"/>
                <w:szCs w:val="18"/>
              </w:rPr>
            </w:pPr>
          </w:p>
        </w:tc>
        <w:tc>
          <w:tcPr>
            <w:tcW w:w="702" w:type="dxa"/>
            <w:vMerge w:val="continue"/>
            <w:tcBorders>
              <w:top w:val="single" w:color="auto" w:sz="2" w:space="0"/>
              <w:left w:val="single" w:color="auto" w:sz="2" w:space="0"/>
              <w:bottom w:val="single" w:color="auto" w:sz="2" w:space="0"/>
              <w:right w:val="single" w:color="auto" w:sz="2" w:space="0"/>
            </w:tcBorders>
            <w:noWrap/>
            <w:vAlign w:val="center"/>
          </w:tcPr>
          <w:p>
            <w:pPr>
              <w:jc w:val="center"/>
              <w:rPr>
                <w:rFonts w:asciiTheme="minorEastAsia" w:hAnsiTheme="minorEastAsia" w:eastAsiaTheme="minorEastAsia" w:cstheme="minorEastAsia"/>
                <w:sz w:val="18"/>
                <w:szCs w:val="18"/>
              </w:rPr>
            </w:pPr>
          </w:p>
        </w:tc>
        <w:tc>
          <w:tcPr>
            <w:tcW w:w="702" w:type="dxa"/>
            <w:vMerge w:val="continue"/>
            <w:tcBorders>
              <w:top w:val="single" w:color="auto" w:sz="2" w:space="0"/>
              <w:left w:val="single" w:color="auto" w:sz="2" w:space="0"/>
              <w:bottom w:val="single" w:color="auto" w:sz="2" w:space="0"/>
              <w:right w:val="single" w:color="auto" w:sz="2" w:space="0"/>
            </w:tcBorders>
            <w:noWrap/>
            <w:vAlign w:val="center"/>
          </w:tcPr>
          <w:p>
            <w:pPr>
              <w:jc w:val="center"/>
              <w:rPr>
                <w:rFonts w:asciiTheme="minorEastAsia" w:hAnsiTheme="minorEastAsia" w:eastAsiaTheme="minorEastAsia" w:cstheme="minorEastAsia"/>
                <w:sz w:val="18"/>
                <w:szCs w:val="18"/>
              </w:rPr>
            </w:pPr>
          </w:p>
        </w:tc>
        <w:tc>
          <w:tcPr>
            <w:tcW w:w="720" w:type="dxa"/>
            <w:tcBorders>
              <w:top w:val="single" w:color="auto" w:sz="2" w:space="0"/>
              <w:left w:val="single" w:color="auto" w:sz="2" w:space="0"/>
              <w:bottom w:val="single" w:color="auto" w:sz="2" w:space="0"/>
              <w:right w:val="single" w:color="auto" w:sz="2" w:space="0"/>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本期</w:t>
            </w:r>
          </w:p>
        </w:tc>
        <w:tc>
          <w:tcPr>
            <w:tcW w:w="700" w:type="dxa"/>
            <w:tcBorders>
              <w:top w:val="single" w:color="auto" w:sz="2" w:space="0"/>
              <w:left w:val="single" w:color="auto" w:sz="2" w:space="0"/>
              <w:bottom w:val="single" w:color="auto" w:sz="2" w:space="0"/>
              <w:right w:val="nil"/>
            </w:tcBorders>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上 年 同 期</w:t>
            </w: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88" w:hRule="exact"/>
        </w:trPr>
        <w:tc>
          <w:tcPr>
            <w:tcW w:w="4109" w:type="dxa"/>
            <w:tcBorders>
              <w:top w:val="single" w:color="auto" w:sz="2" w:space="0"/>
              <w:left w:val="nil"/>
              <w:bottom w:val="single" w:color="auto" w:sz="2" w:space="0"/>
              <w:right w:val="single" w:color="auto" w:sz="2" w:space="0"/>
            </w:tcBorders>
            <w:noWrap/>
            <w:vAlign w:val="center"/>
          </w:tcPr>
          <w:p>
            <w:pPr>
              <w:spacing w:line="240" w:lineRule="exact"/>
              <w:ind w:firstLine="1"/>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甲</w:t>
            </w:r>
          </w:p>
        </w:tc>
        <w:tc>
          <w:tcPr>
            <w:tcW w:w="1306" w:type="dxa"/>
            <w:tcBorders>
              <w:top w:val="single" w:color="auto" w:sz="2" w:space="0"/>
              <w:left w:val="single" w:color="auto" w:sz="2" w:space="0"/>
              <w:bottom w:val="single" w:color="auto" w:sz="2" w:space="0"/>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乙</w:t>
            </w:r>
          </w:p>
        </w:tc>
        <w:tc>
          <w:tcPr>
            <w:tcW w:w="537" w:type="dxa"/>
            <w:tcBorders>
              <w:top w:val="single" w:color="auto" w:sz="2" w:space="0"/>
              <w:left w:val="single" w:color="auto" w:sz="2" w:space="0"/>
              <w:bottom w:val="single" w:color="auto" w:sz="2" w:space="0"/>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丙</w:t>
            </w:r>
          </w:p>
        </w:tc>
        <w:tc>
          <w:tcPr>
            <w:tcW w:w="702" w:type="dxa"/>
            <w:tcBorders>
              <w:top w:val="single" w:color="auto" w:sz="2" w:space="0"/>
              <w:left w:val="single" w:color="auto" w:sz="2" w:space="0"/>
              <w:bottom w:val="single" w:color="auto" w:sz="2" w:space="0"/>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702" w:type="dxa"/>
            <w:tcBorders>
              <w:top w:val="single" w:color="auto" w:sz="2" w:space="0"/>
              <w:left w:val="single" w:color="auto" w:sz="2" w:space="0"/>
              <w:bottom w:val="single" w:color="auto" w:sz="2" w:space="0"/>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702" w:type="dxa"/>
            <w:tcBorders>
              <w:top w:val="single" w:color="auto" w:sz="2" w:space="0"/>
              <w:left w:val="single" w:color="auto" w:sz="2" w:space="0"/>
              <w:bottom w:val="single" w:color="auto" w:sz="2" w:space="0"/>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720" w:type="dxa"/>
            <w:tcBorders>
              <w:top w:val="single" w:color="auto" w:sz="2" w:space="0"/>
              <w:left w:val="single" w:color="auto" w:sz="2" w:space="0"/>
              <w:bottom w:val="single" w:color="auto" w:sz="2" w:space="0"/>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w:t>
            </w:r>
          </w:p>
        </w:tc>
        <w:tc>
          <w:tcPr>
            <w:tcW w:w="700" w:type="dxa"/>
            <w:tcBorders>
              <w:top w:val="single" w:color="auto" w:sz="2" w:space="0"/>
              <w:left w:val="single" w:color="auto" w:sz="2" w:space="0"/>
              <w:bottom w:val="single" w:color="auto" w:sz="2" w:space="0"/>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PrEx>
        <w:trPr>
          <w:trHeight w:val="227" w:hRule="atLeast"/>
        </w:trPr>
        <w:tc>
          <w:tcPr>
            <w:tcW w:w="4109" w:type="dxa"/>
            <w:tcBorders>
              <w:top w:val="single" w:color="auto" w:sz="2" w:space="0"/>
              <w:left w:val="nil"/>
              <w:bottom w:val="nil"/>
              <w:right w:val="single" w:color="auto" w:sz="2" w:space="0"/>
            </w:tcBorders>
            <w:noWrap/>
            <w:vAlign w:val="center"/>
          </w:tcPr>
          <w:p>
            <w:pPr>
              <w:spacing w:line="240" w:lineRule="exact"/>
              <w:ind w:firstLine="1"/>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一、能源消费总量</w:t>
            </w:r>
          </w:p>
        </w:tc>
        <w:tc>
          <w:tcPr>
            <w:tcW w:w="1306" w:type="dxa"/>
            <w:tcBorders>
              <w:top w:val="single" w:color="auto" w:sz="2" w:space="0"/>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万吨标准煤</w:t>
            </w:r>
          </w:p>
        </w:tc>
        <w:tc>
          <w:tcPr>
            <w:tcW w:w="537" w:type="dxa"/>
            <w:tcBorders>
              <w:top w:val="single" w:color="auto" w:sz="2" w:space="0"/>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01</w:t>
            </w:r>
          </w:p>
        </w:tc>
        <w:tc>
          <w:tcPr>
            <w:tcW w:w="702" w:type="dxa"/>
            <w:tcBorders>
              <w:top w:val="single" w:color="auto" w:sz="2" w:space="0"/>
              <w:left w:val="single" w:color="auto" w:sz="2"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single" w:color="auto" w:sz="2" w:space="0"/>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single" w:color="auto" w:sz="2" w:space="0"/>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single" w:color="auto" w:sz="2" w:space="0"/>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w:t>
            </w:r>
          </w:p>
        </w:tc>
        <w:tc>
          <w:tcPr>
            <w:tcW w:w="700" w:type="dxa"/>
            <w:tcBorders>
              <w:top w:val="single" w:color="auto" w:sz="2" w:space="0"/>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w:t>
            </w: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27" w:hRule="atLeast"/>
        </w:trPr>
        <w:tc>
          <w:tcPr>
            <w:tcW w:w="4109" w:type="dxa"/>
            <w:tcBorders>
              <w:top w:val="nil"/>
              <w:left w:val="nil"/>
              <w:bottom w:val="nil"/>
              <w:right w:val="single" w:color="auto" w:sz="2" w:space="0"/>
            </w:tcBorders>
            <w:noWrap/>
            <w:vAlign w:val="center"/>
          </w:tcPr>
          <w:p>
            <w:pPr>
              <w:spacing w:line="240" w:lineRule="exact"/>
              <w:ind w:firstLine="180" w:firstLineChars="100"/>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（一）农、林、牧、渔业</w:t>
            </w:r>
          </w:p>
        </w:tc>
        <w:tc>
          <w:tcPr>
            <w:tcW w:w="1306"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万吨标准煤</w:t>
            </w:r>
          </w:p>
        </w:tc>
        <w:tc>
          <w:tcPr>
            <w:tcW w:w="537"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02</w:t>
            </w:r>
          </w:p>
        </w:tc>
        <w:tc>
          <w:tcPr>
            <w:tcW w:w="702" w:type="dxa"/>
            <w:tcBorders>
              <w:top w:val="nil"/>
              <w:left w:val="single" w:color="auto" w:sz="2"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27" w:hRule="atLeast"/>
        </w:trPr>
        <w:tc>
          <w:tcPr>
            <w:tcW w:w="4109" w:type="dxa"/>
            <w:tcBorders>
              <w:top w:val="nil"/>
              <w:left w:val="nil"/>
              <w:bottom w:val="nil"/>
              <w:right w:val="single" w:color="auto" w:sz="2" w:space="0"/>
            </w:tcBorders>
            <w:noWrap/>
            <w:vAlign w:val="center"/>
          </w:tcPr>
          <w:p>
            <w:pPr>
              <w:spacing w:line="240" w:lineRule="exact"/>
              <w:ind w:firstLine="180" w:firstLineChars="100"/>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（二）工业和建筑业</w:t>
            </w:r>
          </w:p>
        </w:tc>
        <w:tc>
          <w:tcPr>
            <w:tcW w:w="1306"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万吨标准煤</w:t>
            </w:r>
          </w:p>
        </w:tc>
        <w:tc>
          <w:tcPr>
            <w:tcW w:w="537"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03</w:t>
            </w:r>
          </w:p>
        </w:tc>
        <w:tc>
          <w:tcPr>
            <w:tcW w:w="702" w:type="dxa"/>
            <w:tcBorders>
              <w:top w:val="nil"/>
              <w:left w:val="single" w:color="auto" w:sz="2"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27" w:hRule="atLeast"/>
        </w:trPr>
        <w:tc>
          <w:tcPr>
            <w:tcW w:w="4109" w:type="dxa"/>
            <w:tcBorders>
              <w:top w:val="nil"/>
              <w:left w:val="nil"/>
              <w:bottom w:val="nil"/>
              <w:right w:val="single" w:color="auto" w:sz="2" w:space="0"/>
            </w:tcBorders>
            <w:noWrap/>
            <w:vAlign w:val="center"/>
          </w:tcPr>
          <w:p>
            <w:pPr>
              <w:spacing w:line="240" w:lineRule="exact"/>
              <w:ind w:firstLine="360" w:firstLineChars="200"/>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1.工业</w:t>
            </w:r>
          </w:p>
        </w:tc>
        <w:tc>
          <w:tcPr>
            <w:tcW w:w="1306"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万吨标准煤</w:t>
            </w:r>
          </w:p>
        </w:tc>
        <w:tc>
          <w:tcPr>
            <w:tcW w:w="537"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04</w:t>
            </w:r>
          </w:p>
        </w:tc>
        <w:tc>
          <w:tcPr>
            <w:tcW w:w="702" w:type="dxa"/>
            <w:tcBorders>
              <w:top w:val="nil"/>
              <w:left w:val="single" w:color="auto" w:sz="2"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PrEx>
        <w:trPr>
          <w:trHeight w:val="227" w:hRule="atLeast"/>
        </w:trPr>
        <w:tc>
          <w:tcPr>
            <w:tcW w:w="4109" w:type="dxa"/>
            <w:tcBorders>
              <w:top w:val="nil"/>
              <w:left w:val="nil"/>
              <w:bottom w:val="nil"/>
              <w:right w:val="single" w:color="auto" w:sz="2" w:space="0"/>
            </w:tcBorders>
            <w:noWrap/>
            <w:vAlign w:val="center"/>
          </w:tcPr>
          <w:p>
            <w:pPr>
              <w:spacing w:line="240" w:lineRule="exact"/>
              <w:ind w:firstLine="540" w:firstLineChars="300"/>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（1）规模以上工业</w:t>
            </w:r>
          </w:p>
        </w:tc>
        <w:tc>
          <w:tcPr>
            <w:tcW w:w="1306"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万吨标准煤</w:t>
            </w:r>
          </w:p>
        </w:tc>
        <w:tc>
          <w:tcPr>
            <w:tcW w:w="537"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05</w:t>
            </w:r>
          </w:p>
        </w:tc>
        <w:tc>
          <w:tcPr>
            <w:tcW w:w="702" w:type="dxa"/>
            <w:tcBorders>
              <w:top w:val="nil"/>
              <w:left w:val="single" w:color="auto" w:sz="2"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27" w:hRule="atLeast"/>
        </w:trPr>
        <w:tc>
          <w:tcPr>
            <w:tcW w:w="4109" w:type="dxa"/>
            <w:tcBorders>
              <w:top w:val="nil"/>
              <w:left w:val="nil"/>
              <w:bottom w:val="nil"/>
              <w:right w:val="single" w:color="auto" w:sz="2" w:space="0"/>
            </w:tcBorders>
            <w:noWrap/>
            <w:vAlign w:val="center"/>
          </w:tcPr>
          <w:p>
            <w:pPr>
              <w:spacing w:line="240" w:lineRule="exact"/>
              <w:ind w:firstLine="540" w:firstLineChars="300"/>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（2）规模以下工业</w:t>
            </w:r>
          </w:p>
        </w:tc>
        <w:tc>
          <w:tcPr>
            <w:tcW w:w="1306"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万吨标准煤</w:t>
            </w:r>
          </w:p>
        </w:tc>
        <w:tc>
          <w:tcPr>
            <w:tcW w:w="537"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06</w:t>
            </w:r>
          </w:p>
        </w:tc>
        <w:tc>
          <w:tcPr>
            <w:tcW w:w="702" w:type="dxa"/>
            <w:tcBorders>
              <w:top w:val="nil"/>
              <w:left w:val="single" w:color="auto" w:sz="2"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27" w:hRule="atLeast"/>
        </w:trPr>
        <w:tc>
          <w:tcPr>
            <w:tcW w:w="4109" w:type="dxa"/>
            <w:tcBorders>
              <w:top w:val="nil"/>
              <w:left w:val="nil"/>
              <w:bottom w:val="nil"/>
              <w:right w:val="single" w:color="auto" w:sz="2" w:space="0"/>
            </w:tcBorders>
            <w:noWrap/>
            <w:vAlign w:val="center"/>
          </w:tcPr>
          <w:p>
            <w:pPr>
              <w:spacing w:line="240" w:lineRule="exact"/>
              <w:ind w:firstLine="1"/>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2.建筑业</w:t>
            </w:r>
          </w:p>
        </w:tc>
        <w:tc>
          <w:tcPr>
            <w:tcW w:w="1306"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万吨标准煤</w:t>
            </w:r>
          </w:p>
        </w:tc>
        <w:tc>
          <w:tcPr>
            <w:tcW w:w="537"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07</w:t>
            </w:r>
          </w:p>
        </w:tc>
        <w:tc>
          <w:tcPr>
            <w:tcW w:w="702" w:type="dxa"/>
            <w:tcBorders>
              <w:top w:val="nil"/>
              <w:left w:val="single" w:color="auto" w:sz="2"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27" w:hRule="atLeast"/>
        </w:trPr>
        <w:tc>
          <w:tcPr>
            <w:tcW w:w="4109" w:type="dxa"/>
            <w:tcBorders>
              <w:top w:val="nil"/>
              <w:left w:val="nil"/>
              <w:bottom w:val="nil"/>
              <w:right w:val="single" w:color="auto" w:sz="2" w:space="0"/>
            </w:tcBorders>
            <w:noWrap/>
            <w:vAlign w:val="center"/>
          </w:tcPr>
          <w:p>
            <w:pPr>
              <w:spacing w:line="240" w:lineRule="exact"/>
              <w:ind w:firstLine="180" w:firstLineChars="100"/>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（三）服务业</w:t>
            </w:r>
            <w:r>
              <w:rPr>
                <w:rFonts w:hint="eastAsia" w:asciiTheme="minorEastAsia" w:hAnsiTheme="minorEastAsia" w:eastAsiaTheme="minorEastAsia" w:cstheme="minorEastAsia"/>
                <w:kern w:val="0"/>
                <w:sz w:val="18"/>
                <w:szCs w:val="18"/>
                <w:vertAlign w:val="superscript"/>
              </w:rPr>
              <w:t>*</w:t>
            </w:r>
          </w:p>
        </w:tc>
        <w:tc>
          <w:tcPr>
            <w:tcW w:w="1306"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万吨标准煤</w:t>
            </w:r>
          </w:p>
        </w:tc>
        <w:tc>
          <w:tcPr>
            <w:tcW w:w="537"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08</w:t>
            </w:r>
          </w:p>
        </w:tc>
        <w:tc>
          <w:tcPr>
            <w:tcW w:w="702" w:type="dxa"/>
            <w:tcBorders>
              <w:top w:val="nil"/>
              <w:left w:val="single" w:color="auto" w:sz="2"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PrEx>
        <w:trPr>
          <w:trHeight w:val="227" w:hRule="atLeast"/>
        </w:trPr>
        <w:tc>
          <w:tcPr>
            <w:tcW w:w="4109" w:type="dxa"/>
            <w:tcBorders>
              <w:top w:val="nil"/>
              <w:left w:val="nil"/>
              <w:bottom w:val="nil"/>
              <w:right w:val="single" w:color="auto" w:sz="2" w:space="0"/>
            </w:tcBorders>
            <w:noWrap/>
            <w:vAlign w:val="center"/>
          </w:tcPr>
          <w:p>
            <w:pPr>
              <w:spacing w:line="240" w:lineRule="exact"/>
              <w:ind w:firstLine="1"/>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1.交通运输、仓储和邮政业</w:t>
            </w:r>
          </w:p>
        </w:tc>
        <w:tc>
          <w:tcPr>
            <w:tcW w:w="1306"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万吨标准煤</w:t>
            </w:r>
          </w:p>
        </w:tc>
        <w:tc>
          <w:tcPr>
            <w:tcW w:w="537"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09</w:t>
            </w:r>
          </w:p>
        </w:tc>
        <w:tc>
          <w:tcPr>
            <w:tcW w:w="702" w:type="dxa"/>
            <w:tcBorders>
              <w:top w:val="nil"/>
              <w:left w:val="single" w:color="auto" w:sz="2"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27" w:hRule="atLeast"/>
        </w:trPr>
        <w:tc>
          <w:tcPr>
            <w:tcW w:w="4109" w:type="dxa"/>
            <w:tcBorders>
              <w:top w:val="nil"/>
              <w:left w:val="nil"/>
              <w:bottom w:val="nil"/>
              <w:right w:val="single" w:color="auto" w:sz="2" w:space="0"/>
            </w:tcBorders>
            <w:noWrap/>
            <w:vAlign w:val="center"/>
          </w:tcPr>
          <w:p>
            <w:pPr>
              <w:spacing w:line="240" w:lineRule="exact"/>
              <w:ind w:firstLine="540" w:firstLineChars="300"/>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2.服务业</w:t>
            </w:r>
            <w:r>
              <w:rPr>
                <w:rFonts w:hint="eastAsia" w:asciiTheme="minorEastAsia" w:hAnsiTheme="minorEastAsia" w:eastAsiaTheme="minorEastAsia" w:cstheme="minorEastAsia"/>
                <w:sz w:val="18"/>
                <w:szCs w:val="18"/>
                <w:vertAlign w:val="superscript"/>
              </w:rPr>
              <w:t>*</w:t>
            </w:r>
            <w:r>
              <w:rPr>
                <w:rFonts w:hint="eastAsia" w:asciiTheme="minorEastAsia" w:hAnsiTheme="minorEastAsia" w:eastAsiaTheme="minorEastAsia" w:cstheme="minorEastAsia"/>
                <w:sz w:val="18"/>
                <w:szCs w:val="18"/>
              </w:rPr>
              <w:t>（不含交通运输、仓储和邮政业）</w:t>
            </w:r>
          </w:p>
        </w:tc>
        <w:tc>
          <w:tcPr>
            <w:tcW w:w="1306"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万吨标准煤</w:t>
            </w:r>
          </w:p>
        </w:tc>
        <w:tc>
          <w:tcPr>
            <w:tcW w:w="537"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tc>
        <w:tc>
          <w:tcPr>
            <w:tcW w:w="702" w:type="dxa"/>
            <w:tcBorders>
              <w:top w:val="nil"/>
              <w:left w:val="single" w:color="auto" w:sz="2"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27" w:hRule="atLeast"/>
        </w:trPr>
        <w:tc>
          <w:tcPr>
            <w:tcW w:w="4109" w:type="dxa"/>
            <w:tcBorders>
              <w:top w:val="nil"/>
              <w:left w:val="nil"/>
              <w:bottom w:val="nil"/>
              <w:right w:val="single" w:color="auto" w:sz="2" w:space="0"/>
            </w:tcBorders>
            <w:noWrap/>
            <w:vAlign w:val="center"/>
          </w:tcPr>
          <w:p>
            <w:pPr>
              <w:spacing w:line="240" w:lineRule="exact"/>
              <w:ind w:firstLine="180" w:firstLineChars="100"/>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（四）居民生活</w:t>
            </w:r>
          </w:p>
        </w:tc>
        <w:tc>
          <w:tcPr>
            <w:tcW w:w="1306"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万吨标准煤</w:t>
            </w:r>
          </w:p>
        </w:tc>
        <w:tc>
          <w:tcPr>
            <w:tcW w:w="537"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w:t>
            </w:r>
          </w:p>
        </w:tc>
        <w:tc>
          <w:tcPr>
            <w:tcW w:w="702" w:type="dxa"/>
            <w:tcBorders>
              <w:top w:val="nil"/>
              <w:left w:val="single" w:color="auto" w:sz="2"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27" w:hRule="atLeast"/>
        </w:trPr>
        <w:tc>
          <w:tcPr>
            <w:tcW w:w="4109" w:type="dxa"/>
            <w:tcBorders>
              <w:top w:val="nil"/>
              <w:left w:val="nil"/>
              <w:bottom w:val="nil"/>
              <w:right w:val="single" w:color="auto" w:sz="2" w:space="0"/>
            </w:tcBorders>
            <w:noWrap/>
            <w:vAlign w:val="center"/>
          </w:tcPr>
          <w:p>
            <w:pPr>
              <w:spacing w:line="240" w:lineRule="exact"/>
              <w:ind w:firstLine="1"/>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1.城镇</w:t>
            </w:r>
          </w:p>
        </w:tc>
        <w:tc>
          <w:tcPr>
            <w:tcW w:w="1306"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万吨标准煤</w:t>
            </w:r>
          </w:p>
        </w:tc>
        <w:tc>
          <w:tcPr>
            <w:tcW w:w="537"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w:t>
            </w:r>
          </w:p>
        </w:tc>
        <w:tc>
          <w:tcPr>
            <w:tcW w:w="702" w:type="dxa"/>
            <w:tcBorders>
              <w:top w:val="nil"/>
              <w:left w:val="single" w:color="auto" w:sz="2"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PrEx>
        <w:trPr>
          <w:trHeight w:val="227" w:hRule="atLeast"/>
        </w:trPr>
        <w:tc>
          <w:tcPr>
            <w:tcW w:w="4109" w:type="dxa"/>
            <w:tcBorders>
              <w:top w:val="nil"/>
              <w:left w:val="nil"/>
              <w:bottom w:val="nil"/>
              <w:right w:val="single" w:color="auto" w:sz="2" w:space="0"/>
            </w:tcBorders>
            <w:noWrap/>
            <w:vAlign w:val="center"/>
          </w:tcPr>
          <w:p>
            <w:pPr>
              <w:spacing w:line="240" w:lineRule="exact"/>
              <w:ind w:firstLine="1"/>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2.乡村</w:t>
            </w:r>
          </w:p>
        </w:tc>
        <w:tc>
          <w:tcPr>
            <w:tcW w:w="1306"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万吨标准煤</w:t>
            </w:r>
          </w:p>
        </w:tc>
        <w:tc>
          <w:tcPr>
            <w:tcW w:w="537"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13</w:t>
            </w:r>
          </w:p>
        </w:tc>
        <w:tc>
          <w:tcPr>
            <w:tcW w:w="702" w:type="dxa"/>
            <w:tcBorders>
              <w:top w:val="nil"/>
              <w:left w:val="single" w:color="auto" w:sz="2"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0"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27" w:hRule="atLeast"/>
        </w:trPr>
        <w:tc>
          <w:tcPr>
            <w:tcW w:w="4109" w:type="dxa"/>
            <w:tcBorders>
              <w:top w:val="nil"/>
              <w:left w:val="nil"/>
              <w:bottom w:val="nil"/>
              <w:right w:val="single" w:color="auto" w:sz="2" w:space="0"/>
            </w:tcBorders>
            <w:noWrap/>
            <w:vAlign w:val="center"/>
          </w:tcPr>
          <w:p>
            <w:pPr>
              <w:spacing w:line="240" w:lineRule="exact"/>
              <w:ind w:firstLine="1"/>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二、地区生产总值</w:t>
            </w:r>
          </w:p>
        </w:tc>
        <w:tc>
          <w:tcPr>
            <w:tcW w:w="1306"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亿元</w:t>
            </w:r>
          </w:p>
        </w:tc>
        <w:tc>
          <w:tcPr>
            <w:tcW w:w="537"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w:t>
            </w:r>
          </w:p>
        </w:tc>
        <w:tc>
          <w:tcPr>
            <w:tcW w:w="702" w:type="dxa"/>
            <w:tcBorders>
              <w:top w:val="nil"/>
              <w:left w:val="single" w:color="auto" w:sz="2"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nil"/>
              <w:right w:val="nil"/>
            </w:tcBorders>
            <w:noWrap/>
            <w:vAlign w:val="center"/>
          </w:tcPr>
          <w:p>
            <w:pPr>
              <w:spacing w:line="23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700" w:type="dxa"/>
            <w:tcBorders>
              <w:top w:val="nil"/>
              <w:left w:val="nil"/>
              <w:bottom w:val="nil"/>
              <w:right w:val="nil"/>
            </w:tcBorders>
            <w:noWrap/>
            <w:vAlign w:val="center"/>
          </w:tcPr>
          <w:p>
            <w:pPr>
              <w:spacing w:line="23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27" w:hRule="atLeast"/>
        </w:trPr>
        <w:tc>
          <w:tcPr>
            <w:tcW w:w="4109" w:type="dxa"/>
            <w:tcBorders>
              <w:top w:val="nil"/>
              <w:left w:val="nil"/>
              <w:bottom w:val="nil"/>
              <w:right w:val="single" w:color="auto" w:sz="2" w:space="0"/>
            </w:tcBorders>
            <w:noWrap/>
            <w:vAlign w:val="center"/>
          </w:tcPr>
          <w:p>
            <w:pPr>
              <w:spacing w:line="240" w:lineRule="exact"/>
              <w:ind w:firstLine="1"/>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三、单位地区生产总值能耗</w:t>
            </w:r>
          </w:p>
        </w:tc>
        <w:tc>
          <w:tcPr>
            <w:tcW w:w="1306"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吨标准煤/万元</w:t>
            </w:r>
          </w:p>
        </w:tc>
        <w:tc>
          <w:tcPr>
            <w:tcW w:w="537" w:type="dxa"/>
            <w:tcBorders>
              <w:top w:val="nil"/>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w:t>
            </w:r>
          </w:p>
        </w:tc>
        <w:tc>
          <w:tcPr>
            <w:tcW w:w="702" w:type="dxa"/>
            <w:tcBorders>
              <w:top w:val="nil"/>
              <w:left w:val="single" w:color="auto" w:sz="2"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nil"/>
              <w:right w:val="nil"/>
            </w:tcBorders>
            <w:noWrap/>
            <w:vAlign w:val="center"/>
          </w:tcPr>
          <w:p>
            <w:pPr>
              <w:spacing w:line="23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700" w:type="dxa"/>
            <w:tcBorders>
              <w:top w:val="nil"/>
              <w:left w:val="nil"/>
              <w:bottom w:val="nil"/>
              <w:right w:val="nil"/>
            </w:tcBorders>
            <w:noWrap/>
            <w:vAlign w:val="center"/>
          </w:tcPr>
          <w:p>
            <w:pPr>
              <w:spacing w:line="23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27" w:hRule="atLeast"/>
        </w:trPr>
        <w:tc>
          <w:tcPr>
            <w:tcW w:w="4109" w:type="dxa"/>
            <w:tcBorders>
              <w:top w:val="nil"/>
              <w:left w:val="nil"/>
              <w:bottom w:val="nil"/>
              <w:right w:val="single" w:color="auto" w:sz="4" w:space="0"/>
            </w:tcBorders>
            <w:noWrap/>
            <w:vAlign w:val="center"/>
          </w:tcPr>
          <w:p>
            <w:pPr>
              <w:spacing w:line="28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四、规模以上工业单位增加值能耗</w:t>
            </w:r>
          </w:p>
        </w:tc>
        <w:tc>
          <w:tcPr>
            <w:tcW w:w="1306" w:type="dxa"/>
            <w:tcBorders>
              <w:top w:val="nil"/>
              <w:left w:val="single" w:color="auto" w:sz="4" w:space="0"/>
              <w:bottom w:val="nil"/>
              <w:right w:val="single" w:color="auto" w:sz="4"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吨标准煤/万元</w:t>
            </w:r>
          </w:p>
        </w:tc>
        <w:tc>
          <w:tcPr>
            <w:tcW w:w="537" w:type="dxa"/>
            <w:tcBorders>
              <w:top w:val="nil"/>
              <w:left w:val="single" w:color="auto" w:sz="4" w:space="0"/>
              <w:bottom w:val="nil"/>
              <w:right w:val="single" w:color="auto" w:sz="4"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w:t>
            </w:r>
          </w:p>
        </w:tc>
        <w:tc>
          <w:tcPr>
            <w:tcW w:w="702" w:type="dxa"/>
            <w:tcBorders>
              <w:top w:val="nil"/>
              <w:left w:val="single" w:color="auto" w:sz="4" w:space="0"/>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nil"/>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nil"/>
              <w:right w:val="nil"/>
            </w:tcBorders>
            <w:noWrap/>
            <w:vAlign w:val="center"/>
          </w:tcPr>
          <w:p>
            <w:pPr>
              <w:spacing w:line="23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700" w:type="dxa"/>
            <w:tcBorders>
              <w:top w:val="nil"/>
              <w:left w:val="nil"/>
              <w:bottom w:val="nil"/>
              <w:right w:val="nil"/>
            </w:tcBorders>
            <w:noWrap/>
            <w:vAlign w:val="center"/>
          </w:tcPr>
          <w:p>
            <w:pPr>
              <w:spacing w:line="23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PrEx>
        <w:trPr>
          <w:trHeight w:val="227" w:hRule="atLeast"/>
        </w:trPr>
        <w:tc>
          <w:tcPr>
            <w:tcW w:w="4109" w:type="dxa"/>
            <w:tcBorders>
              <w:top w:val="nil"/>
              <w:left w:val="nil"/>
              <w:bottom w:val="single" w:color="auto" w:sz="4" w:space="0"/>
              <w:right w:val="single" w:color="auto" w:sz="4" w:space="0"/>
            </w:tcBorders>
            <w:noWrap/>
            <w:vAlign w:val="center"/>
          </w:tcPr>
          <w:p>
            <w:pPr>
              <w:spacing w:line="28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五、单位地区生产总值电耗</w:t>
            </w:r>
          </w:p>
        </w:tc>
        <w:tc>
          <w:tcPr>
            <w:tcW w:w="1306" w:type="dxa"/>
            <w:tcBorders>
              <w:top w:val="nil"/>
              <w:left w:val="single" w:color="auto" w:sz="4" w:space="0"/>
              <w:bottom w:val="single" w:color="auto" w:sz="4" w:space="0"/>
              <w:right w:val="single" w:color="auto" w:sz="4"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千瓦时/万元</w:t>
            </w:r>
          </w:p>
        </w:tc>
        <w:tc>
          <w:tcPr>
            <w:tcW w:w="537" w:type="dxa"/>
            <w:tcBorders>
              <w:top w:val="nil"/>
              <w:left w:val="single" w:color="auto" w:sz="4" w:space="0"/>
              <w:bottom w:val="single" w:color="auto" w:sz="4" w:space="0"/>
              <w:right w:val="single" w:color="auto" w:sz="4" w:space="0"/>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w:t>
            </w:r>
          </w:p>
        </w:tc>
        <w:tc>
          <w:tcPr>
            <w:tcW w:w="702" w:type="dxa"/>
            <w:tcBorders>
              <w:top w:val="nil"/>
              <w:left w:val="single" w:color="auto" w:sz="4" w:space="0"/>
              <w:bottom w:val="single" w:color="auto" w:sz="4" w:space="0"/>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single" w:color="auto" w:sz="4" w:space="0"/>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02" w:type="dxa"/>
            <w:tcBorders>
              <w:top w:val="nil"/>
              <w:left w:val="nil"/>
              <w:bottom w:val="single" w:color="auto" w:sz="4" w:space="0"/>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p>
        </w:tc>
        <w:tc>
          <w:tcPr>
            <w:tcW w:w="720" w:type="dxa"/>
            <w:tcBorders>
              <w:top w:val="nil"/>
              <w:left w:val="nil"/>
              <w:bottom w:val="single" w:color="auto" w:sz="4" w:space="0"/>
              <w:right w:val="nil"/>
            </w:tcBorders>
            <w:noWrap/>
            <w:vAlign w:val="center"/>
          </w:tcPr>
          <w:p>
            <w:pPr>
              <w:spacing w:line="23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700" w:type="dxa"/>
            <w:tcBorders>
              <w:top w:val="nil"/>
              <w:left w:val="nil"/>
              <w:bottom w:val="single" w:color="auto" w:sz="4" w:space="0"/>
              <w:right w:val="nil"/>
            </w:tcBorders>
            <w:noWrap/>
            <w:vAlign w:val="center"/>
          </w:tcPr>
          <w:p>
            <w:pPr>
              <w:spacing w:line="23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r>
    </w:tbl>
    <w:p>
      <w:pPr>
        <w:adjustRightInd w:val="0"/>
        <w:spacing w:after="120" w:afterLines="50" w:line="312" w:lineRule="atLeast"/>
        <w:rPr>
          <w:rFonts w:ascii="宋体" w:hAnsi="宋体"/>
          <w:sz w:val="18"/>
          <w:szCs w:val="18"/>
        </w:rPr>
      </w:pPr>
      <w:r>
        <w:rPr>
          <w:rFonts w:hint="eastAsia" w:ascii="宋体" w:hAnsi="宋体"/>
          <w:sz w:val="18"/>
          <w:szCs w:val="18"/>
        </w:rPr>
        <w:t>单位负责人：</w:t>
      </w:r>
      <w:r>
        <w:rPr>
          <w:rFonts w:hint="eastAsia" w:ascii="宋体" w:hAnsi="宋体"/>
          <w:sz w:val="18"/>
          <w:szCs w:val="18"/>
          <w:shd w:val="clear" w:color="auto" w:fill="FFFFFF"/>
        </w:rPr>
        <w:t xml:space="preserve">　　  </w:t>
      </w:r>
      <w:r>
        <w:rPr>
          <w:rFonts w:ascii="宋体" w:hAnsi="宋体"/>
          <w:sz w:val="18"/>
          <w:szCs w:val="18"/>
          <w:shd w:val="clear" w:color="auto" w:fill="FFFFFF"/>
        </w:rPr>
        <w:t xml:space="preserve">  　</w:t>
      </w:r>
      <w:r>
        <w:rPr>
          <w:rFonts w:hint="eastAsia" w:ascii="宋体" w:hAnsi="宋体"/>
          <w:sz w:val="18"/>
          <w:szCs w:val="18"/>
        </w:rPr>
        <w:t>统计负责人：</w:t>
      </w:r>
      <w:r>
        <w:rPr>
          <w:rFonts w:hint="eastAsia" w:ascii="宋体" w:hAnsi="宋体"/>
          <w:sz w:val="18"/>
          <w:szCs w:val="18"/>
          <w:shd w:val="clear" w:color="auto" w:fill="FFFFFF"/>
        </w:rPr>
        <w:t>　　</w:t>
      </w:r>
      <w:r>
        <w:rPr>
          <w:rFonts w:ascii="宋体" w:hAnsi="宋体"/>
          <w:sz w:val="18"/>
          <w:szCs w:val="18"/>
          <w:shd w:val="clear" w:color="auto" w:fill="FFFFFF"/>
        </w:rPr>
        <w:t xml:space="preserve"> </w:t>
      </w:r>
      <w:r>
        <w:rPr>
          <w:rFonts w:hint="eastAsia" w:ascii="宋体" w:hAnsi="宋体"/>
          <w:sz w:val="18"/>
          <w:szCs w:val="18"/>
          <w:shd w:val="clear" w:color="auto" w:fill="FFFFFF"/>
        </w:rPr>
        <w:t xml:space="preserve"> </w:t>
      </w:r>
      <w:r>
        <w:rPr>
          <w:rFonts w:ascii="宋体" w:hAnsi="宋体"/>
          <w:sz w:val="18"/>
          <w:szCs w:val="18"/>
          <w:shd w:val="clear" w:color="auto" w:fill="FFFFFF"/>
        </w:rPr>
        <w:t>　</w:t>
      </w:r>
      <w:r>
        <w:rPr>
          <w:rFonts w:hint="eastAsia" w:ascii="宋体" w:hAnsi="宋体"/>
          <w:sz w:val="18"/>
          <w:szCs w:val="18"/>
        </w:rPr>
        <w:t>填表人：</w:t>
      </w:r>
      <w:r>
        <w:rPr>
          <w:rFonts w:hint="eastAsia" w:ascii="宋体" w:hAnsi="宋体"/>
          <w:sz w:val="18"/>
          <w:szCs w:val="18"/>
          <w:shd w:val="clear" w:color="auto" w:fill="FFFFFF"/>
        </w:rPr>
        <w:t>　　    联系电话：　　</w:t>
      </w:r>
      <w:r>
        <w:rPr>
          <w:rFonts w:ascii="宋体" w:hAnsi="宋体"/>
          <w:sz w:val="18"/>
          <w:szCs w:val="18"/>
          <w:shd w:val="clear" w:color="auto" w:fill="FFFFFF"/>
        </w:rPr>
        <w:t xml:space="preserve">  　</w:t>
      </w:r>
      <w:r>
        <w:rPr>
          <w:rFonts w:hint="eastAsia" w:ascii="宋体" w:hAnsi="宋体"/>
          <w:sz w:val="18"/>
          <w:szCs w:val="18"/>
        </w:rPr>
        <w:t>报出日期：２０</w:t>
      </w:r>
      <w:r>
        <w:rPr>
          <w:rFonts w:hint="eastAsia" w:ascii="宋体" w:hAnsi="宋体"/>
          <w:sz w:val="18"/>
          <w:szCs w:val="18"/>
          <w:shd w:val="clear" w:color="auto" w:fill="FFFFFF"/>
        </w:rPr>
        <w:t>　</w:t>
      </w:r>
      <w:r>
        <w:rPr>
          <w:rFonts w:hint="eastAsia" w:ascii="宋体" w:hAnsi="宋体"/>
          <w:sz w:val="18"/>
          <w:szCs w:val="18"/>
        </w:rPr>
        <w:t xml:space="preserve">年 </w:t>
      </w:r>
      <w:r>
        <w:rPr>
          <w:rFonts w:hint="eastAsia" w:ascii="宋体" w:hAnsi="宋体"/>
          <w:sz w:val="18"/>
          <w:szCs w:val="18"/>
          <w:shd w:val="clear" w:color="auto" w:fill="FFFFFF"/>
        </w:rPr>
        <w:t>　</w:t>
      </w:r>
      <w:r>
        <w:rPr>
          <w:rFonts w:hint="eastAsia" w:ascii="宋体" w:hAnsi="宋体"/>
          <w:sz w:val="18"/>
          <w:szCs w:val="18"/>
        </w:rPr>
        <w:t>月   日</w:t>
      </w:r>
    </w:p>
    <w:p>
      <w:pPr>
        <w:ind w:right="-42" w:rightChars="-20"/>
        <w:rPr>
          <w:rFonts w:asciiTheme="minorEastAsia" w:hAnsiTheme="minorEastAsia" w:eastAsiaTheme="minorEastAsia" w:cstheme="minorEastAsia"/>
          <w:sz w:val="18"/>
        </w:rPr>
      </w:pPr>
      <w:r>
        <w:rPr>
          <w:rFonts w:hint="eastAsia" w:asciiTheme="minorEastAsia" w:hAnsiTheme="minorEastAsia" w:eastAsiaTheme="minorEastAsia" w:cstheme="minorEastAsia"/>
          <w:b/>
          <w:sz w:val="18"/>
        </w:rPr>
        <w:t>说明</w:t>
      </w:r>
      <w:r>
        <w:rPr>
          <w:rFonts w:hint="eastAsia" w:asciiTheme="minorEastAsia" w:hAnsiTheme="minorEastAsia" w:eastAsiaTheme="minorEastAsia" w:cstheme="minorEastAsia"/>
          <w:sz w:val="18"/>
        </w:rPr>
        <w:t>：1.</w:t>
      </w:r>
      <w:r>
        <w:rPr>
          <w:rFonts w:hint="eastAsia" w:asciiTheme="minorEastAsia" w:hAnsiTheme="minorEastAsia" w:eastAsiaTheme="minorEastAsia" w:cstheme="minorEastAsia"/>
          <w:sz w:val="18"/>
          <w:szCs w:val="18"/>
        </w:rPr>
        <w:t>报送时间</w:t>
      </w:r>
      <w:r>
        <w:rPr>
          <w:rFonts w:hint="eastAsia" w:asciiTheme="minorEastAsia" w:hAnsiTheme="minorEastAsia" w:eastAsiaTheme="minorEastAsia" w:cstheme="minorEastAsia"/>
          <w:sz w:val="18"/>
        </w:rPr>
        <w:t>为季后22日前，本表由各区统计机构报送，</w:t>
      </w:r>
      <w:r>
        <w:rPr>
          <w:rFonts w:hint="eastAsia" w:asciiTheme="minorEastAsia" w:hAnsiTheme="minorEastAsia" w:eastAsiaTheme="minorEastAsia" w:cstheme="minorEastAsia"/>
          <w:sz w:val="18"/>
          <w:szCs w:val="18"/>
        </w:rPr>
        <w:t>报送方式为电子邮件</w:t>
      </w:r>
      <w:r>
        <w:rPr>
          <w:rFonts w:hint="eastAsia" w:asciiTheme="minorEastAsia" w:hAnsiTheme="minorEastAsia" w:eastAsiaTheme="minorEastAsia" w:cstheme="minorEastAsia"/>
          <w:sz w:val="18"/>
        </w:rPr>
        <w:t>（gzstjjnyc@gz.gov.cn）。</w:t>
      </w:r>
    </w:p>
    <w:p>
      <w:pPr>
        <w:ind w:left="730" w:leftChars="262" w:hanging="180" w:hangingChars="100"/>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2.</w:t>
      </w:r>
      <w:r>
        <w:rPr>
          <w:rFonts w:hint="eastAsia" w:asciiTheme="minorEastAsia" w:hAnsiTheme="minorEastAsia" w:eastAsiaTheme="minorEastAsia" w:cstheme="minorEastAsia"/>
          <w:kern w:val="0"/>
          <w:sz w:val="18"/>
          <w:szCs w:val="18"/>
        </w:rPr>
        <w:t>本表的单位地区生产总值能耗、规模以上工业单位增加值能耗、单位地区生产总值电耗保留4位小数，所有增速、比重数据保留1位小数，其余数据保留2位小数。</w:t>
      </w:r>
    </w:p>
    <w:p>
      <w:pPr>
        <w:ind w:firstLine="549" w:firstLineChars="305"/>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3.本表能源消费量核算方法遵照《季度地区能源消费总量核算方案》。</w:t>
      </w:r>
    </w:p>
    <w:p>
      <w:pPr>
        <w:spacing w:line="200" w:lineRule="exact"/>
        <w:ind w:right="-42" w:rightChars="-20"/>
        <w:rPr>
          <w:rFonts w:ascii="宋体" w:hAnsi="宋体"/>
          <w:sz w:val="56"/>
          <w:szCs w:val="56"/>
        </w:rPr>
      </w:pPr>
    </w:p>
    <w:p>
      <w:pPr>
        <w:spacing w:line="400" w:lineRule="exact"/>
        <w:ind w:right="-42" w:rightChars="-20"/>
        <w:jc w:val="center"/>
        <w:rPr>
          <w:rFonts w:ascii="宋体" w:hAnsi="宋体"/>
          <w:b/>
          <w:sz w:val="18"/>
        </w:rPr>
      </w:pPr>
      <w:r>
        <w:rPr>
          <w:rFonts w:hint="eastAsia" w:ascii="宋体" w:hAnsi="宋体" w:cs="宋体"/>
          <w:b/>
          <w:kern w:val="0"/>
          <w:sz w:val="32"/>
          <w:szCs w:val="32"/>
        </w:rPr>
        <w:t>全社会用电量情况</w:t>
      </w:r>
    </w:p>
    <w:tbl>
      <w:tblPr>
        <w:tblStyle w:val="21"/>
        <w:tblW w:w="0" w:type="auto"/>
        <w:jc w:val="center"/>
        <w:tblLayout w:type="fixed"/>
        <w:tblCellMar>
          <w:top w:w="0" w:type="dxa"/>
          <w:left w:w="108" w:type="dxa"/>
          <w:bottom w:w="0" w:type="dxa"/>
          <w:right w:w="108" w:type="dxa"/>
        </w:tblCellMar>
      </w:tblPr>
      <w:tblGrid>
        <w:gridCol w:w="3235"/>
        <w:gridCol w:w="540"/>
        <w:gridCol w:w="761"/>
        <w:gridCol w:w="762"/>
        <w:gridCol w:w="761"/>
        <w:gridCol w:w="739"/>
        <w:gridCol w:w="23"/>
        <w:gridCol w:w="922"/>
        <w:gridCol w:w="923"/>
        <w:gridCol w:w="1061"/>
        <w:gridCol w:w="24"/>
      </w:tblGrid>
      <w:tr>
        <w:tblPrEx>
          <w:tblCellMar>
            <w:top w:w="0" w:type="dxa"/>
            <w:left w:w="108" w:type="dxa"/>
            <w:bottom w:w="0" w:type="dxa"/>
            <w:right w:w="108" w:type="dxa"/>
          </w:tblCellMar>
        </w:tblPrEx>
        <w:trPr>
          <w:trHeight w:val="909" w:hRule="atLeast"/>
          <w:jc w:val="center"/>
        </w:trPr>
        <w:tc>
          <w:tcPr>
            <w:tcW w:w="6798" w:type="dxa"/>
            <w:gridSpan w:val="6"/>
            <w:tcBorders>
              <w:top w:val="nil"/>
              <w:left w:val="nil"/>
              <w:bottom w:val="single" w:color="auto" w:sz="8" w:space="0"/>
              <w:right w:val="nil"/>
            </w:tcBorders>
            <w:noWrap/>
            <w:vAlign w:val="bottom"/>
          </w:tcPr>
          <w:p>
            <w:pPr>
              <w:widowControl/>
              <w:spacing w:line="260" w:lineRule="exact"/>
              <w:rPr>
                <w:rFonts w:cs="宋体"/>
                <w:kern w:val="0"/>
                <w:sz w:val="18"/>
                <w:szCs w:val="18"/>
              </w:rPr>
            </w:pPr>
          </w:p>
          <w:p>
            <w:pPr>
              <w:spacing w:line="260" w:lineRule="exact"/>
              <w:rPr>
                <w:rFonts w:cs="宋体"/>
                <w:kern w:val="0"/>
                <w:sz w:val="18"/>
                <w:szCs w:val="18"/>
              </w:rPr>
            </w:pPr>
          </w:p>
          <w:p>
            <w:pPr>
              <w:spacing w:line="260" w:lineRule="exact"/>
              <w:ind w:left="2" w:leftChars="-42" w:hanging="90" w:hangingChars="50"/>
              <w:rPr>
                <w:rFonts w:cs="宋体"/>
                <w:kern w:val="0"/>
                <w:sz w:val="18"/>
                <w:szCs w:val="18"/>
              </w:rPr>
            </w:pPr>
            <w:r>
              <w:rPr>
                <w:rFonts w:hint="eastAsia" w:cs="宋体"/>
                <w:kern w:val="0"/>
                <w:sz w:val="18"/>
                <w:szCs w:val="18"/>
              </w:rPr>
              <w:t xml:space="preserve">综合机关名称：                                 </w:t>
            </w:r>
            <w:r>
              <w:rPr>
                <w:rFonts w:hint="eastAsia" w:ascii="宋体" w:hAnsi="宋体"/>
                <w:sz w:val="18"/>
                <w:szCs w:val="18"/>
              </w:rPr>
              <w:t>２０    年</w:t>
            </w:r>
            <w:r>
              <w:rPr>
                <w:rFonts w:hint="eastAsia" w:cs="宋体"/>
                <w:kern w:val="0"/>
                <w:sz w:val="18"/>
                <w:szCs w:val="18"/>
              </w:rPr>
              <w:t xml:space="preserve">   月</w:t>
            </w:r>
          </w:p>
        </w:tc>
        <w:tc>
          <w:tcPr>
            <w:tcW w:w="2953" w:type="dxa"/>
            <w:gridSpan w:val="5"/>
            <w:tcBorders>
              <w:top w:val="nil"/>
              <w:left w:val="nil"/>
              <w:bottom w:val="single" w:color="auto" w:sz="8" w:space="0"/>
              <w:right w:val="nil"/>
            </w:tcBorders>
            <w:noWrap/>
            <w:vAlign w:val="bottom"/>
          </w:tcPr>
          <w:p>
            <w:pPr>
              <w:spacing w:line="260" w:lineRule="exact"/>
              <w:ind w:right="-143"/>
              <w:rPr>
                <w:sz w:val="18"/>
                <w:szCs w:val="18"/>
              </w:rPr>
            </w:pPr>
            <w:r>
              <w:rPr>
                <w:rFonts w:hint="eastAsia"/>
                <w:sz w:val="18"/>
                <w:szCs w:val="18"/>
              </w:rPr>
              <w:t>表    号：Ｐ  ４  ０  ７   表</w:t>
            </w:r>
          </w:p>
          <w:p>
            <w:pPr>
              <w:spacing w:line="260" w:lineRule="exact"/>
              <w:ind w:right="-143"/>
              <w:rPr>
                <w:color w:val="auto"/>
                <w:sz w:val="18"/>
                <w:szCs w:val="18"/>
              </w:rPr>
            </w:pPr>
            <w:r>
              <w:rPr>
                <w:rFonts w:hint="eastAsia"/>
                <w:sz w:val="18"/>
                <w:szCs w:val="18"/>
              </w:rPr>
              <w:t>制定机关：</w:t>
            </w:r>
            <w:r>
              <w:rPr>
                <w:rFonts w:hint="eastAsia"/>
                <w:spacing w:val="30"/>
                <w:sz w:val="18"/>
                <w:szCs w:val="18"/>
              </w:rPr>
              <w:t xml:space="preserve">国 </w:t>
            </w:r>
            <w:r>
              <w:rPr>
                <w:rFonts w:hint="eastAsia"/>
                <w:color w:val="auto"/>
                <w:spacing w:val="30"/>
                <w:sz w:val="18"/>
                <w:szCs w:val="18"/>
              </w:rPr>
              <w:t>家 统 计 局</w:t>
            </w:r>
          </w:p>
          <w:p>
            <w:pPr>
              <w:spacing w:line="280" w:lineRule="exact"/>
              <w:jc w:val="left"/>
              <w:rPr>
                <w:rFonts w:ascii="宋体" w:hAnsi="宋体"/>
                <w:color w:val="auto"/>
                <w:sz w:val="18"/>
                <w:szCs w:val="18"/>
              </w:rPr>
            </w:pPr>
            <w:r>
              <w:rPr>
                <w:rFonts w:hint="eastAsia" w:ascii="宋体" w:hAnsi="宋体"/>
                <w:color w:val="auto"/>
                <w:sz w:val="18"/>
                <w:szCs w:val="18"/>
              </w:rPr>
              <w:t>文</w:t>
            </w:r>
            <w:r>
              <w:rPr>
                <w:rFonts w:ascii="宋体" w:hAnsi="宋体"/>
                <w:color w:val="auto"/>
                <w:sz w:val="18"/>
                <w:szCs w:val="18"/>
              </w:rPr>
              <w:t xml:space="preserve">    号：</w:t>
            </w:r>
            <w:r>
              <w:rPr>
                <w:rFonts w:hint="eastAsia" w:ascii="宋体" w:hAnsi="宋体"/>
                <w:color w:val="auto"/>
                <w:sz w:val="18"/>
                <w:szCs w:val="18"/>
              </w:rPr>
              <w:t>国统字〔202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color w:val="auto"/>
                <w:sz w:val="18"/>
                <w:szCs w:val="18"/>
              </w:rPr>
              <w:t>号</w:t>
            </w:r>
          </w:p>
          <w:p>
            <w:pPr>
              <w:spacing w:line="260" w:lineRule="exact"/>
              <w:ind w:right="-143"/>
              <w:rPr>
                <w:sz w:val="18"/>
                <w:szCs w:val="18"/>
              </w:rPr>
            </w:pPr>
            <w:r>
              <w:rPr>
                <w:rFonts w:hint="eastAsia" w:ascii="宋体" w:hAnsi="宋体"/>
                <w:color w:val="auto"/>
                <w:sz w:val="18"/>
                <w:szCs w:val="18"/>
              </w:rPr>
              <w:t>有效期至：</w:t>
            </w:r>
            <w:r>
              <w:rPr>
                <w:rFonts w:hint="eastAsia" w:ascii="宋体" w:hAnsi="宋体"/>
                <w:color w:val="auto"/>
                <w:spacing w:val="10"/>
                <w:sz w:val="18"/>
                <w:szCs w:val="18"/>
              </w:rPr>
              <w:t>２０２</w:t>
            </w:r>
            <w:r>
              <w:rPr>
                <w:rFonts w:hint="eastAsia" w:ascii="宋体" w:hAnsi="宋体"/>
                <w:color w:val="auto"/>
                <w:spacing w:val="10"/>
                <w:sz w:val="18"/>
                <w:szCs w:val="18"/>
                <w:lang w:val="en-US" w:eastAsia="zh-CN"/>
              </w:rPr>
              <w:t xml:space="preserve"> </w:t>
            </w:r>
            <w:r>
              <w:rPr>
                <w:rFonts w:hint="eastAsia" w:ascii="宋体" w:hAnsi="宋体" w:cs="宋体"/>
                <w:color w:val="auto"/>
                <w:sz w:val="18"/>
                <w:szCs w:val="18"/>
                <w:lang w:val="en-US" w:eastAsia="zh-CN"/>
              </w:rPr>
              <w:t>7</w:t>
            </w:r>
            <w:r>
              <w:rPr>
                <w:rFonts w:hint="eastAsia"/>
                <w:color w:val="auto"/>
                <w:sz w:val="18"/>
                <w:szCs w:val="18"/>
              </w:rPr>
              <w:t xml:space="preserve"> </w:t>
            </w:r>
            <w:r>
              <w:rPr>
                <w:rFonts w:ascii="宋体" w:hAnsi="宋体"/>
                <w:spacing w:val="10"/>
                <w:sz w:val="18"/>
                <w:szCs w:val="18"/>
              </w:rPr>
              <w:t>年</w:t>
            </w:r>
            <w:r>
              <w:rPr>
                <w:rFonts w:hint="eastAsia" w:ascii="宋体" w:hAnsi="宋体"/>
                <w:spacing w:val="10"/>
                <w:sz w:val="18"/>
                <w:szCs w:val="18"/>
              </w:rPr>
              <w:t xml:space="preserve"> 1  </w:t>
            </w:r>
            <w:r>
              <w:rPr>
                <w:rFonts w:ascii="宋体" w:hAnsi="宋体"/>
                <w:spacing w:val="10"/>
                <w:sz w:val="18"/>
                <w:szCs w:val="18"/>
              </w:rPr>
              <w:t>月</w:t>
            </w:r>
          </w:p>
        </w:tc>
      </w:tr>
      <w:tr>
        <w:tblPrEx>
          <w:tblCellMar>
            <w:top w:w="0" w:type="dxa"/>
            <w:left w:w="108" w:type="dxa"/>
            <w:bottom w:w="0" w:type="dxa"/>
            <w:right w:w="108" w:type="dxa"/>
          </w:tblCellMar>
        </w:tblPrEx>
        <w:trPr>
          <w:trHeight w:val="327" w:hRule="atLeast"/>
          <w:jc w:val="center"/>
        </w:trPr>
        <w:tc>
          <w:tcPr>
            <w:tcW w:w="3235" w:type="dxa"/>
            <w:vMerge w:val="restart"/>
            <w:tcBorders>
              <w:top w:val="single" w:color="auto" w:sz="8" w:space="0"/>
              <w:bottom w:val="single" w:color="auto" w:sz="2" w:space="0"/>
              <w:right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指标名称</w:t>
            </w:r>
          </w:p>
        </w:tc>
        <w:tc>
          <w:tcPr>
            <w:tcW w:w="540" w:type="dxa"/>
            <w:vMerge w:val="restart"/>
            <w:tcBorders>
              <w:top w:val="single" w:color="auto" w:sz="8" w:space="0"/>
              <w:left w:val="single" w:color="auto" w:sz="2" w:space="0"/>
              <w:bottom w:val="single" w:color="auto" w:sz="2" w:space="0"/>
              <w:right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代码</w:t>
            </w:r>
          </w:p>
        </w:tc>
        <w:tc>
          <w:tcPr>
            <w:tcW w:w="3046" w:type="dxa"/>
            <w:gridSpan w:val="5"/>
            <w:tcBorders>
              <w:top w:val="single" w:color="auto" w:sz="8" w:space="0"/>
              <w:left w:val="single" w:color="auto" w:sz="2" w:space="0"/>
              <w:bottom w:val="single" w:color="auto" w:sz="2" w:space="0"/>
              <w:right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用电量</w:t>
            </w:r>
          </w:p>
          <w:p>
            <w:pPr>
              <w:widowControl/>
              <w:spacing w:line="260" w:lineRule="exact"/>
              <w:jc w:val="center"/>
              <w:rPr>
                <w:rFonts w:ascii="宋体" w:hAnsi="宋体" w:cs="宋体"/>
                <w:kern w:val="0"/>
                <w:sz w:val="18"/>
                <w:szCs w:val="18"/>
              </w:rPr>
            </w:pPr>
            <w:r>
              <w:rPr>
                <w:rFonts w:hint="eastAsia" w:ascii="宋体" w:hAnsi="宋体" w:cs="宋体"/>
                <w:kern w:val="0"/>
                <w:sz w:val="18"/>
                <w:szCs w:val="18"/>
              </w:rPr>
              <w:t>(万千瓦时)</w:t>
            </w:r>
          </w:p>
        </w:tc>
        <w:tc>
          <w:tcPr>
            <w:tcW w:w="922" w:type="dxa"/>
            <w:vMerge w:val="restart"/>
            <w:tcBorders>
              <w:top w:val="single" w:color="auto" w:sz="8" w:space="0"/>
              <w:left w:val="single" w:color="auto" w:sz="2" w:space="0"/>
              <w:bottom w:val="single" w:color="auto" w:sz="2" w:space="0"/>
              <w:right w:val="single" w:color="auto" w:sz="2" w:space="0"/>
            </w:tcBorders>
            <w:noWrap/>
            <w:tcMar>
              <w:left w:w="57" w:type="dxa"/>
              <w:right w:w="57" w:type="dxa"/>
            </w:tcMar>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本月比</w:t>
            </w:r>
          </w:p>
          <w:p>
            <w:pPr>
              <w:widowControl/>
              <w:spacing w:line="260" w:lineRule="exact"/>
              <w:jc w:val="center"/>
              <w:rPr>
                <w:rFonts w:ascii="宋体" w:hAnsi="宋体" w:cs="宋体"/>
                <w:kern w:val="0"/>
                <w:sz w:val="18"/>
                <w:szCs w:val="18"/>
              </w:rPr>
            </w:pPr>
            <w:r>
              <w:rPr>
                <w:rFonts w:hint="eastAsia" w:ascii="宋体" w:hAnsi="宋体" w:cs="宋体"/>
                <w:kern w:val="0"/>
                <w:sz w:val="18"/>
                <w:szCs w:val="18"/>
              </w:rPr>
              <w:t>上年同期</w:t>
            </w:r>
            <w:r>
              <w:rPr>
                <w:rFonts w:hint="eastAsia" w:ascii="宋体" w:hAnsi="宋体"/>
                <w:sz w:val="18"/>
                <w:szCs w:val="18"/>
              </w:rPr>
              <w:t>(%)</w:t>
            </w:r>
          </w:p>
        </w:tc>
        <w:tc>
          <w:tcPr>
            <w:tcW w:w="923" w:type="dxa"/>
            <w:vMerge w:val="restart"/>
            <w:tcBorders>
              <w:top w:val="single" w:color="auto" w:sz="8" w:space="0"/>
              <w:left w:val="single" w:color="auto" w:sz="2" w:space="0"/>
              <w:bottom w:val="single" w:color="auto" w:sz="2" w:space="0"/>
              <w:right w:val="single" w:color="auto" w:sz="2" w:space="0"/>
            </w:tcBorders>
            <w:noWrap/>
            <w:tcMar>
              <w:left w:w="57" w:type="dxa"/>
              <w:right w:w="57" w:type="dxa"/>
            </w:tcMar>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1-本月比上年同期</w:t>
            </w:r>
            <w:r>
              <w:rPr>
                <w:rFonts w:hint="eastAsia" w:ascii="宋体" w:hAnsi="宋体"/>
                <w:sz w:val="18"/>
                <w:szCs w:val="18"/>
              </w:rPr>
              <w:t>(%)</w:t>
            </w:r>
          </w:p>
        </w:tc>
        <w:tc>
          <w:tcPr>
            <w:tcW w:w="1085" w:type="dxa"/>
            <w:gridSpan w:val="2"/>
            <w:tcBorders>
              <w:top w:val="single" w:color="auto" w:sz="8" w:space="0"/>
              <w:left w:val="single" w:color="auto" w:sz="2" w:space="0"/>
            </w:tcBorders>
            <w:noWrap/>
            <w:tcMar>
              <w:left w:w="57" w:type="dxa"/>
              <w:right w:w="57" w:type="dxa"/>
            </w:tcMar>
            <w:vAlign w:val="bottom"/>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占全社会用</w:t>
            </w:r>
          </w:p>
        </w:tc>
      </w:tr>
      <w:tr>
        <w:tblPrEx>
          <w:tblCellMar>
            <w:top w:w="0" w:type="dxa"/>
            <w:left w:w="108" w:type="dxa"/>
            <w:bottom w:w="0" w:type="dxa"/>
            <w:right w:w="108" w:type="dxa"/>
          </w:tblCellMar>
        </w:tblPrEx>
        <w:trPr>
          <w:gridAfter w:val="1"/>
          <w:wAfter w:w="24" w:type="dxa"/>
          <w:trHeight w:val="541" w:hRule="atLeast"/>
          <w:jc w:val="center"/>
        </w:trPr>
        <w:tc>
          <w:tcPr>
            <w:tcW w:w="3235" w:type="dxa"/>
            <w:vMerge w:val="continue"/>
            <w:tcBorders>
              <w:top w:val="single" w:color="auto" w:sz="2" w:space="0"/>
              <w:bottom w:val="single" w:color="auto" w:sz="2" w:space="0"/>
              <w:right w:val="single" w:color="auto" w:sz="2" w:space="0"/>
            </w:tcBorders>
            <w:noWrap/>
            <w:vAlign w:val="center"/>
          </w:tcPr>
          <w:p>
            <w:pPr>
              <w:widowControl/>
              <w:spacing w:line="260" w:lineRule="exact"/>
              <w:jc w:val="left"/>
              <w:rPr>
                <w:rFonts w:ascii="宋体" w:hAnsi="宋体" w:cs="宋体"/>
                <w:kern w:val="0"/>
                <w:sz w:val="18"/>
                <w:szCs w:val="18"/>
              </w:rPr>
            </w:pPr>
          </w:p>
        </w:tc>
        <w:tc>
          <w:tcPr>
            <w:tcW w:w="540" w:type="dxa"/>
            <w:vMerge w:val="continue"/>
            <w:tcBorders>
              <w:top w:val="single" w:color="auto" w:sz="2" w:space="0"/>
              <w:left w:val="single" w:color="auto" w:sz="2" w:space="0"/>
              <w:bottom w:val="single" w:color="auto" w:sz="2" w:space="0"/>
              <w:right w:val="single" w:color="auto" w:sz="2" w:space="0"/>
            </w:tcBorders>
            <w:noWrap/>
            <w:vAlign w:val="center"/>
          </w:tcPr>
          <w:p>
            <w:pPr>
              <w:widowControl/>
              <w:spacing w:line="260" w:lineRule="exact"/>
              <w:jc w:val="left"/>
              <w:rPr>
                <w:rFonts w:ascii="宋体" w:hAnsi="宋体" w:cs="宋体"/>
                <w:kern w:val="0"/>
                <w:sz w:val="18"/>
                <w:szCs w:val="18"/>
              </w:rPr>
            </w:pPr>
          </w:p>
        </w:tc>
        <w:tc>
          <w:tcPr>
            <w:tcW w:w="761" w:type="dxa"/>
            <w:tcBorders>
              <w:top w:val="single" w:color="auto" w:sz="2" w:space="0"/>
              <w:left w:val="single" w:color="auto" w:sz="2" w:space="0"/>
              <w:bottom w:val="single" w:color="auto" w:sz="2" w:space="0"/>
              <w:right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本月</w:t>
            </w:r>
          </w:p>
        </w:tc>
        <w:tc>
          <w:tcPr>
            <w:tcW w:w="762" w:type="dxa"/>
            <w:tcBorders>
              <w:top w:val="single" w:color="auto" w:sz="2" w:space="0"/>
              <w:left w:val="single" w:color="auto" w:sz="2" w:space="0"/>
              <w:bottom w:val="single" w:color="auto" w:sz="2" w:space="0"/>
              <w:right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上年</w:t>
            </w:r>
          </w:p>
          <w:p>
            <w:pPr>
              <w:widowControl/>
              <w:spacing w:line="260" w:lineRule="exact"/>
              <w:jc w:val="center"/>
              <w:rPr>
                <w:rFonts w:ascii="宋体" w:hAnsi="宋体" w:cs="宋体"/>
                <w:kern w:val="0"/>
                <w:sz w:val="18"/>
                <w:szCs w:val="18"/>
              </w:rPr>
            </w:pPr>
            <w:r>
              <w:rPr>
                <w:rFonts w:hint="eastAsia" w:ascii="宋体" w:hAnsi="宋体" w:cs="宋体"/>
                <w:kern w:val="0"/>
                <w:sz w:val="18"/>
                <w:szCs w:val="18"/>
              </w:rPr>
              <w:t>同期</w:t>
            </w:r>
          </w:p>
        </w:tc>
        <w:tc>
          <w:tcPr>
            <w:tcW w:w="761" w:type="dxa"/>
            <w:tcBorders>
              <w:top w:val="single" w:color="auto" w:sz="2" w:space="0"/>
              <w:left w:val="single" w:color="auto" w:sz="2" w:space="0"/>
              <w:bottom w:val="single" w:color="auto" w:sz="2" w:space="0"/>
              <w:right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1-本月</w:t>
            </w:r>
          </w:p>
        </w:tc>
        <w:tc>
          <w:tcPr>
            <w:tcW w:w="762" w:type="dxa"/>
            <w:gridSpan w:val="2"/>
            <w:tcBorders>
              <w:top w:val="single" w:color="auto" w:sz="2" w:space="0"/>
              <w:left w:val="single" w:color="auto" w:sz="2" w:space="0"/>
              <w:bottom w:val="single" w:color="auto" w:sz="2" w:space="0"/>
              <w:right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上年</w:t>
            </w:r>
          </w:p>
          <w:p>
            <w:pPr>
              <w:widowControl/>
              <w:spacing w:line="260" w:lineRule="exact"/>
              <w:jc w:val="center"/>
              <w:rPr>
                <w:rFonts w:ascii="宋体" w:hAnsi="宋体" w:cs="宋体"/>
                <w:kern w:val="0"/>
                <w:sz w:val="18"/>
                <w:szCs w:val="18"/>
              </w:rPr>
            </w:pPr>
            <w:r>
              <w:rPr>
                <w:rFonts w:hint="eastAsia" w:ascii="宋体" w:hAnsi="宋体" w:cs="宋体"/>
                <w:kern w:val="0"/>
                <w:sz w:val="18"/>
                <w:szCs w:val="18"/>
              </w:rPr>
              <w:t>同期</w:t>
            </w:r>
          </w:p>
        </w:tc>
        <w:tc>
          <w:tcPr>
            <w:tcW w:w="922" w:type="dxa"/>
            <w:vMerge w:val="continue"/>
            <w:tcBorders>
              <w:top w:val="single" w:color="auto" w:sz="2" w:space="0"/>
              <w:left w:val="single" w:color="auto" w:sz="2" w:space="0"/>
              <w:bottom w:val="single" w:color="auto" w:sz="2" w:space="0"/>
              <w:right w:val="single" w:color="auto" w:sz="2" w:space="0"/>
            </w:tcBorders>
            <w:noWrap/>
            <w:vAlign w:val="center"/>
          </w:tcPr>
          <w:p>
            <w:pPr>
              <w:widowControl/>
              <w:spacing w:line="260" w:lineRule="exact"/>
              <w:jc w:val="left"/>
              <w:rPr>
                <w:rFonts w:ascii="宋体" w:hAnsi="宋体" w:cs="宋体"/>
                <w:kern w:val="0"/>
                <w:sz w:val="18"/>
                <w:szCs w:val="18"/>
              </w:rPr>
            </w:pPr>
          </w:p>
        </w:tc>
        <w:tc>
          <w:tcPr>
            <w:tcW w:w="923" w:type="dxa"/>
            <w:vMerge w:val="continue"/>
            <w:tcBorders>
              <w:top w:val="single" w:color="auto" w:sz="2" w:space="0"/>
              <w:left w:val="single" w:color="auto" w:sz="2" w:space="0"/>
              <w:bottom w:val="single" w:color="auto" w:sz="2" w:space="0"/>
              <w:right w:val="single" w:color="auto" w:sz="2" w:space="0"/>
            </w:tcBorders>
            <w:noWrap/>
            <w:vAlign w:val="center"/>
          </w:tcPr>
          <w:p>
            <w:pPr>
              <w:widowControl/>
              <w:spacing w:line="260" w:lineRule="exact"/>
              <w:jc w:val="left"/>
              <w:rPr>
                <w:rFonts w:ascii="宋体" w:hAnsi="宋体" w:cs="宋体"/>
                <w:kern w:val="0"/>
                <w:sz w:val="18"/>
                <w:szCs w:val="18"/>
              </w:rPr>
            </w:pPr>
          </w:p>
        </w:tc>
        <w:tc>
          <w:tcPr>
            <w:tcW w:w="1061" w:type="dxa"/>
            <w:tcBorders>
              <w:left w:val="single" w:color="auto" w:sz="2" w:space="0"/>
              <w:bottom w:val="single" w:color="auto" w:sz="2" w:space="0"/>
            </w:tcBorders>
            <w:noWrap/>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电量的比重(%)</w:t>
            </w:r>
          </w:p>
        </w:tc>
      </w:tr>
      <w:tr>
        <w:tblPrEx>
          <w:tblCellMar>
            <w:top w:w="0" w:type="dxa"/>
            <w:left w:w="108" w:type="dxa"/>
            <w:bottom w:w="0" w:type="dxa"/>
            <w:right w:w="108" w:type="dxa"/>
          </w:tblCellMar>
        </w:tblPrEx>
        <w:trPr>
          <w:trHeight w:val="240" w:hRule="atLeast"/>
          <w:jc w:val="center"/>
        </w:trPr>
        <w:tc>
          <w:tcPr>
            <w:tcW w:w="3235" w:type="dxa"/>
            <w:tcBorders>
              <w:top w:val="single" w:color="auto" w:sz="2" w:space="0"/>
              <w:bottom w:val="single" w:color="auto" w:sz="2" w:space="0"/>
              <w:right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甲</w:t>
            </w:r>
          </w:p>
        </w:tc>
        <w:tc>
          <w:tcPr>
            <w:tcW w:w="540" w:type="dxa"/>
            <w:tcBorders>
              <w:top w:val="single" w:color="auto" w:sz="2" w:space="0"/>
              <w:left w:val="single" w:color="auto" w:sz="2" w:space="0"/>
              <w:bottom w:val="single" w:color="auto" w:sz="2" w:space="0"/>
              <w:right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乙</w:t>
            </w:r>
          </w:p>
        </w:tc>
        <w:tc>
          <w:tcPr>
            <w:tcW w:w="761" w:type="dxa"/>
            <w:tcBorders>
              <w:top w:val="single" w:color="auto" w:sz="2" w:space="0"/>
              <w:left w:val="single" w:color="auto" w:sz="2" w:space="0"/>
              <w:bottom w:val="single" w:color="auto" w:sz="2" w:space="0"/>
              <w:right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1</w:t>
            </w:r>
          </w:p>
        </w:tc>
        <w:tc>
          <w:tcPr>
            <w:tcW w:w="762" w:type="dxa"/>
            <w:tcBorders>
              <w:top w:val="single" w:color="auto" w:sz="2" w:space="0"/>
              <w:left w:val="single" w:color="auto" w:sz="2" w:space="0"/>
              <w:bottom w:val="single" w:color="auto" w:sz="2" w:space="0"/>
              <w:right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2</w:t>
            </w:r>
          </w:p>
        </w:tc>
        <w:tc>
          <w:tcPr>
            <w:tcW w:w="761" w:type="dxa"/>
            <w:tcBorders>
              <w:top w:val="single" w:color="auto" w:sz="2" w:space="0"/>
              <w:left w:val="single" w:color="auto" w:sz="2" w:space="0"/>
              <w:bottom w:val="single" w:color="auto" w:sz="2" w:space="0"/>
              <w:right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3</w:t>
            </w:r>
          </w:p>
        </w:tc>
        <w:tc>
          <w:tcPr>
            <w:tcW w:w="762" w:type="dxa"/>
            <w:gridSpan w:val="2"/>
            <w:tcBorders>
              <w:top w:val="single" w:color="auto" w:sz="2" w:space="0"/>
              <w:left w:val="single" w:color="auto" w:sz="2" w:space="0"/>
              <w:bottom w:val="single" w:color="auto" w:sz="2" w:space="0"/>
              <w:right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4</w:t>
            </w:r>
          </w:p>
        </w:tc>
        <w:tc>
          <w:tcPr>
            <w:tcW w:w="922" w:type="dxa"/>
            <w:tcBorders>
              <w:top w:val="single" w:color="auto" w:sz="2" w:space="0"/>
              <w:left w:val="single" w:color="auto" w:sz="2" w:space="0"/>
              <w:bottom w:val="single" w:color="auto" w:sz="2" w:space="0"/>
              <w:right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5</w:t>
            </w:r>
          </w:p>
        </w:tc>
        <w:tc>
          <w:tcPr>
            <w:tcW w:w="923" w:type="dxa"/>
            <w:tcBorders>
              <w:top w:val="single" w:color="auto" w:sz="2" w:space="0"/>
              <w:left w:val="single" w:color="auto" w:sz="2" w:space="0"/>
              <w:bottom w:val="single" w:color="auto" w:sz="2" w:space="0"/>
              <w:right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6</w:t>
            </w:r>
          </w:p>
        </w:tc>
        <w:tc>
          <w:tcPr>
            <w:tcW w:w="1085" w:type="dxa"/>
            <w:gridSpan w:val="2"/>
            <w:tcBorders>
              <w:top w:val="single" w:color="auto" w:sz="2" w:space="0"/>
              <w:left w:val="single" w:color="auto" w:sz="2" w:space="0"/>
              <w:bottom w:val="single" w:color="auto" w:sz="2" w:space="0"/>
            </w:tcBorders>
            <w:noWrap/>
            <w:vAlign w:val="center"/>
          </w:tcPr>
          <w:p>
            <w:pPr>
              <w:widowControl/>
              <w:spacing w:line="260" w:lineRule="exact"/>
              <w:jc w:val="center"/>
              <w:rPr>
                <w:rFonts w:ascii="宋体" w:hAnsi="宋体" w:cs="宋体"/>
                <w:kern w:val="0"/>
                <w:sz w:val="18"/>
                <w:szCs w:val="18"/>
              </w:rPr>
            </w:pPr>
            <w:r>
              <w:rPr>
                <w:rFonts w:hint="eastAsia" w:ascii="宋体" w:hAnsi="宋体" w:cs="宋体"/>
                <w:kern w:val="0"/>
                <w:sz w:val="18"/>
                <w:szCs w:val="18"/>
              </w:rPr>
              <w:t>7</w:t>
            </w:r>
          </w:p>
        </w:tc>
      </w:tr>
      <w:tr>
        <w:tblPrEx>
          <w:tblCellMar>
            <w:top w:w="0" w:type="dxa"/>
            <w:left w:w="108" w:type="dxa"/>
            <w:bottom w:w="0" w:type="dxa"/>
            <w:right w:w="108" w:type="dxa"/>
          </w:tblCellMar>
        </w:tblPrEx>
        <w:trPr>
          <w:trHeight w:val="382" w:hRule="atLeast"/>
          <w:jc w:val="center"/>
        </w:trPr>
        <w:tc>
          <w:tcPr>
            <w:tcW w:w="3235" w:type="dxa"/>
            <w:tcBorders>
              <w:top w:val="single" w:color="auto" w:sz="2" w:space="0"/>
              <w:bottom w:val="single" w:color="auto" w:sz="8" w:space="0"/>
              <w:right w:val="single" w:color="auto" w:sz="2" w:space="0"/>
            </w:tcBorders>
            <w:noWrap/>
            <w:vAlign w:val="center"/>
          </w:tcPr>
          <w:p>
            <w:pPr>
              <w:widowControl/>
              <w:spacing w:line="260" w:lineRule="exact"/>
              <w:rPr>
                <w:rFonts w:ascii="宋体" w:hAnsi="宋体" w:cs="宋体"/>
                <w:kern w:val="0"/>
                <w:sz w:val="18"/>
                <w:szCs w:val="18"/>
              </w:rPr>
            </w:pPr>
            <w:r>
              <w:rPr>
                <w:rFonts w:hint="eastAsia" w:ascii="宋体" w:hAnsi="宋体" w:cs="宋体"/>
                <w:kern w:val="0"/>
                <w:sz w:val="18"/>
                <w:szCs w:val="18"/>
              </w:rPr>
              <w:t>按全社会用电量情况目录填报</w:t>
            </w:r>
          </w:p>
        </w:tc>
        <w:tc>
          <w:tcPr>
            <w:tcW w:w="540" w:type="dxa"/>
            <w:tcBorders>
              <w:top w:val="single" w:color="auto" w:sz="2" w:space="0"/>
              <w:left w:val="single" w:color="auto" w:sz="2" w:space="0"/>
              <w:bottom w:val="single" w:color="auto" w:sz="8" w:space="0"/>
              <w:right w:val="single" w:color="auto" w:sz="2" w:space="0"/>
            </w:tcBorders>
            <w:noWrap/>
            <w:vAlign w:val="center"/>
          </w:tcPr>
          <w:p>
            <w:pPr>
              <w:widowControl/>
              <w:spacing w:line="260" w:lineRule="exact"/>
              <w:rPr>
                <w:rFonts w:ascii="宋体" w:hAnsi="宋体" w:cs="宋体"/>
                <w:kern w:val="0"/>
                <w:sz w:val="18"/>
                <w:szCs w:val="18"/>
              </w:rPr>
            </w:pPr>
          </w:p>
        </w:tc>
        <w:tc>
          <w:tcPr>
            <w:tcW w:w="5976" w:type="dxa"/>
            <w:gridSpan w:val="9"/>
            <w:tcBorders>
              <w:top w:val="single" w:color="auto" w:sz="2" w:space="0"/>
              <w:left w:val="single" w:color="auto" w:sz="2" w:space="0"/>
              <w:bottom w:val="single" w:color="auto" w:sz="8" w:space="0"/>
            </w:tcBorders>
            <w:noWrap/>
            <w:vAlign w:val="center"/>
          </w:tcPr>
          <w:p>
            <w:pPr>
              <w:widowControl/>
              <w:spacing w:line="260" w:lineRule="exact"/>
              <w:rPr>
                <w:rFonts w:ascii="宋体" w:hAnsi="宋体" w:cs="宋体"/>
                <w:kern w:val="0"/>
                <w:sz w:val="18"/>
                <w:szCs w:val="18"/>
              </w:rPr>
            </w:pPr>
          </w:p>
        </w:tc>
      </w:tr>
    </w:tbl>
    <w:p>
      <w:pPr>
        <w:adjustRightInd w:val="0"/>
        <w:spacing w:line="28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单位负责人：</w:t>
      </w:r>
      <w:r>
        <w:rPr>
          <w:rFonts w:hint="eastAsia" w:asciiTheme="minorEastAsia" w:hAnsiTheme="minorEastAsia" w:eastAsiaTheme="minorEastAsia" w:cstheme="minorEastAsia"/>
          <w:sz w:val="18"/>
          <w:szCs w:val="18"/>
          <w:shd w:val="clear" w:color="auto" w:fill="FFFFFF"/>
        </w:rPr>
        <w:t>　　  　</w:t>
      </w:r>
      <w:r>
        <w:rPr>
          <w:rFonts w:hint="eastAsia" w:asciiTheme="minorEastAsia" w:hAnsiTheme="minorEastAsia" w:eastAsiaTheme="minorEastAsia" w:cstheme="minorEastAsia"/>
          <w:sz w:val="18"/>
          <w:szCs w:val="18"/>
        </w:rPr>
        <w:t>统计负责人：</w:t>
      </w:r>
      <w:r>
        <w:rPr>
          <w:rFonts w:hint="eastAsia" w:asciiTheme="minorEastAsia" w:hAnsiTheme="minorEastAsia" w:eastAsiaTheme="minorEastAsia" w:cstheme="minorEastAsia"/>
          <w:sz w:val="18"/>
          <w:szCs w:val="18"/>
          <w:shd w:val="clear" w:color="auto" w:fill="FFFFFF"/>
        </w:rPr>
        <w:t>　　    　</w:t>
      </w:r>
      <w:r>
        <w:rPr>
          <w:rFonts w:hint="eastAsia" w:asciiTheme="minorEastAsia" w:hAnsiTheme="minorEastAsia" w:eastAsiaTheme="minorEastAsia" w:cstheme="minorEastAsia"/>
          <w:sz w:val="18"/>
          <w:szCs w:val="18"/>
        </w:rPr>
        <w:t>填表人：</w:t>
      </w:r>
      <w:r>
        <w:rPr>
          <w:rFonts w:hint="eastAsia" w:asciiTheme="minorEastAsia" w:hAnsiTheme="minorEastAsia" w:eastAsiaTheme="minorEastAsia" w:cstheme="minorEastAsia"/>
          <w:sz w:val="18"/>
          <w:szCs w:val="18"/>
          <w:shd w:val="clear" w:color="auto" w:fill="FFFFFF"/>
        </w:rPr>
        <w:t>　　 　联系电话：　　    　</w:t>
      </w:r>
      <w:r>
        <w:rPr>
          <w:rFonts w:hint="eastAsia" w:asciiTheme="minorEastAsia" w:hAnsiTheme="minorEastAsia" w:eastAsiaTheme="minorEastAsia" w:cstheme="minorEastAsia"/>
          <w:sz w:val="18"/>
          <w:szCs w:val="18"/>
        </w:rPr>
        <w:t>报出日期：20</w:t>
      </w:r>
      <w:r>
        <w:rPr>
          <w:rFonts w:hint="eastAsia" w:asciiTheme="minorEastAsia" w:hAnsiTheme="minorEastAsia" w:eastAsiaTheme="minorEastAsia" w:cstheme="minorEastAsia"/>
          <w:sz w:val="18"/>
          <w:szCs w:val="18"/>
          <w:shd w:val="clear" w:color="auto" w:fill="FFFFFF"/>
        </w:rPr>
        <w:t xml:space="preserve">　 </w:t>
      </w:r>
      <w:r>
        <w:rPr>
          <w:rFonts w:hint="eastAsia" w:asciiTheme="minorEastAsia" w:hAnsiTheme="minorEastAsia" w:eastAsiaTheme="minorEastAsia" w:cstheme="minorEastAsia"/>
          <w:sz w:val="18"/>
          <w:szCs w:val="18"/>
        </w:rPr>
        <w:t>年</w:t>
      </w:r>
      <w:r>
        <w:rPr>
          <w:rFonts w:hint="eastAsia" w:asciiTheme="minorEastAsia" w:hAnsiTheme="minorEastAsia" w:eastAsiaTheme="minorEastAsia" w:cstheme="minorEastAsia"/>
          <w:sz w:val="18"/>
          <w:szCs w:val="18"/>
          <w:shd w:val="clear" w:color="auto" w:fill="FFFFFF"/>
        </w:rPr>
        <w:t>　</w:t>
      </w:r>
      <w:r>
        <w:rPr>
          <w:rFonts w:hint="eastAsia" w:asciiTheme="minorEastAsia" w:hAnsiTheme="minorEastAsia" w:eastAsiaTheme="minorEastAsia" w:cstheme="minorEastAsia"/>
          <w:sz w:val="18"/>
          <w:szCs w:val="18"/>
        </w:rPr>
        <w:t>月   日</w:t>
      </w:r>
    </w:p>
    <w:p>
      <w:pPr>
        <w:adjustRightInd w:val="0"/>
        <w:spacing w:line="280" w:lineRule="exact"/>
        <w:ind w:right="-874" w:rightChars="-416"/>
        <w:rPr>
          <w:rFonts w:asciiTheme="minorEastAsia" w:hAnsiTheme="minorEastAsia" w:eastAsiaTheme="minorEastAsia" w:cstheme="minorEastAsia"/>
          <w:sz w:val="18"/>
          <w:szCs w:val="18"/>
        </w:rPr>
      </w:pPr>
    </w:p>
    <w:p>
      <w:pPr>
        <w:tabs>
          <w:tab w:val="left" w:pos="12000"/>
        </w:tabs>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b/>
          <w:kern w:val="0"/>
          <w:sz w:val="18"/>
          <w:szCs w:val="18"/>
        </w:rPr>
        <w:t>说明</w:t>
      </w:r>
      <w:r>
        <w:rPr>
          <w:rFonts w:hint="eastAsia" w:asciiTheme="minorEastAsia" w:hAnsiTheme="minorEastAsia" w:eastAsiaTheme="minorEastAsia" w:cstheme="minorEastAsia"/>
          <w:kern w:val="0"/>
          <w:sz w:val="18"/>
          <w:szCs w:val="18"/>
        </w:rPr>
        <w:t>：1.本表由广东电网有限责任公司</w:t>
      </w:r>
      <w:r>
        <w:rPr>
          <w:rFonts w:hint="eastAsia" w:asciiTheme="minorEastAsia" w:hAnsiTheme="minorEastAsia" w:eastAsiaTheme="minorEastAsia" w:cstheme="minorEastAsia"/>
          <w:sz w:val="18"/>
        </w:rPr>
        <w:t>广州供电局</w:t>
      </w:r>
      <w:r>
        <w:rPr>
          <w:rFonts w:hint="eastAsia" w:asciiTheme="minorEastAsia" w:hAnsiTheme="minorEastAsia" w:eastAsiaTheme="minorEastAsia" w:cstheme="minorEastAsia"/>
          <w:kern w:val="0"/>
          <w:sz w:val="18"/>
          <w:szCs w:val="18"/>
        </w:rPr>
        <w:t>报送</w:t>
      </w:r>
      <w:r>
        <w:rPr>
          <w:rFonts w:hint="eastAsia" w:asciiTheme="minorEastAsia" w:hAnsiTheme="minorEastAsia" w:eastAsiaTheme="minorEastAsia" w:cstheme="minorEastAsia"/>
          <w:sz w:val="18"/>
        </w:rPr>
        <w:t>相关数据。</w:t>
      </w:r>
    </w:p>
    <w:p>
      <w:pPr>
        <w:spacing w:line="260" w:lineRule="exact"/>
        <w:ind w:firstLine="549" w:firstLineChars="305"/>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2.统计范围为辖区内所有电力消费单位和居民家庭的电力消费活动。</w:t>
      </w:r>
    </w:p>
    <w:p>
      <w:pPr>
        <w:spacing w:line="260" w:lineRule="exact"/>
        <w:ind w:firstLine="549" w:firstLineChars="305"/>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rPr>
        <w:t>3.填报内容：月度按全市分行业填报；季度增加按各区分行业填报。</w:t>
      </w:r>
    </w:p>
    <w:p>
      <w:pPr>
        <w:spacing w:line="260" w:lineRule="exact"/>
        <w:ind w:firstLine="549" w:firstLineChars="305"/>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4.报送时间为月后4日前，9月月后1</w:t>
      </w:r>
      <w:r>
        <w:rPr>
          <w:rFonts w:hint="eastAsia" w:asciiTheme="minorEastAsia" w:hAnsiTheme="minorEastAsia" w:eastAsiaTheme="minorEastAsia" w:cstheme="minorEastAsia"/>
          <w:kern w:val="0"/>
          <w:sz w:val="18"/>
          <w:szCs w:val="18"/>
          <w:lang w:val="en-US" w:eastAsia="zh-CN"/>
        </w:rPr>
        <w:t>1</w:t>
      </w:r>
      <w:r>
        <w:rPr>
          <w:rFonts w:hint="eastAsia" w:asciiTheme="minorEastAsia" w:hAnsiTheme="minorEastAsia" w:eastAsiaTheme="minorEastAsia" w:cstheme="minorEastAsia"/>
          <w:kern w:val="0"/>
          <w:sz w:val="18"/>
          <w:szCs w:val="18"/>
        </w:rPr>
        <w:t>日前。报送方式为电子邮件</w:t>
      </w:r>
      <w:r>
        <w:rPr>
          <w:rFonts w:hint="eastAsia" w:asciiTheme="minorEastAsia" w:hAnsiTheme="minorEastAsia" w:eastAsiaTheme="minorEastAsia" w:cstheme="minorEastAsia"/>
          <w:sz w:val="18"/>
        </w:rPr>
        <w:t>（gzstjjnyc@gz.gov.cn）</w:t>
      </w:r>
      <w:r>
        <w:rPr>
          <w:rFonts w:hint="eastAsia" w:asciiTheme="minorEastAsia" w:hAnsiTheme="minorEastAsia" w:eastAsiaTheme="minorEastAsia" w:cstheme="minorEastAsia"/>
          <w:kern w:val="0"/>
          <w:sz w:val="18"/>
          <w:szCs w:val="18"/>
        </w:rPr>
        <w:t>。</w:t>
      </w:r>
    </w:p>
    <w:p>
      <w:pPr>
        <w:spacing w:line="400" w:lineRule="exact"/>
        <w:ind w:right="-42" w:rightChars="-20"/>
        <w:jc w:val="center"/>
        <w:rPr>
          <w:rFonts w:ascii="宋体" w:hAnsi="宋体" w:cs="宋体"/>
          <w:b/>
          <w:kern w:val="0"/>
          <w:sz w:val="32"/>
          <w:szCs w:val="32"/>
        </w:rPr>
      </w:pPr>
      <w:r>
        <w:rPr>
          <w:rFonts w:ascii="宋体" w:hAnsi="宋体" w:cs="宋体"/>
          <w:kern w:val="0"/>
          <w:sz w:val="18"/>
          <w:szCs w:val="18"/>
        </w:rPr>
        <w:br w:type="page"/>
      </w:r>
    </w:p>
    <w:tbl>
      <w:tblPr>
        <w:tblStyle w:val="21"/>
        <w:tblpPr w:leftFromText="180" w:rightFromText="180" w:vertAnchor="page" w:horzAnchor="page" w:tblpX="1186" w:tblpY="1518"/>
        <w:tblOverlap w:val="never"/>
        <w:tblW w:w="98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5"/>
        <w:gridCol w:w="604"/>
        <w:gridCol w:w="520"/>
        <w:gridCol w:w="520"/>
        <w:gridCol w:w="520"/>
        <w:gridCol w:w="520"/>
        <w:gridCol w:w="520"/>
        <w:gridCol w:w="520"/>
        <w:gridCol w:w="520"/>
        <w:gridCol w:w="520"/>
        <w:gridCol w:w="2"/>
        <w:gridCol w:w="518"/>
        <w:gridCol w:w="520"/>
        <w:gridCol w:w="520"/>
        <w:gridCol w:w="520"/>
        <w:gridCol w:w="520"/>
        <w:gridCol w:w="520"/>
        <w:gridCol w:w="520"/>
        <w:gridCol w:w="5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9845" w:type="dxa"/>
            <w:gridSpan w:val="1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cs="宋体"/>
                <w:b/>
                <w:kern w:val="0"/>
                <w:sz w:val="32"/>
                <w:szCs w:val="32"/>
                <w:lang w:val="en-US" w:eastAsia="zh-CN"/>
              </w:rPr>
              <w:t>电力行业监测情况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559" w:type="dxa"/>
            <w:gridSpan w:val="4"/>
            <w:vMerge w:val="restart"/>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综合机关名称：</w:t>
            </w:r>
          </w:p>
        </w:tc>
        <w:tc>
          <w:tcPr>
            <w:tcW w:w="4160" w:type="dxa"/>
            <w:gridSpan w:val="9"/>
            <w:vMerge w:val="restart"/>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      年     月</w:t>
            </w:r>
          </w:p>
        </w:tc>
        <w:tc>
          <w:tcPr>
            <w:tcW w:w="3126" w:type="dxa"/>
            <w:gridSpan w:val="6"/>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表</w:t>
            </w:r>
            <w:r>
              <w:rPr>
                <w:rFonts w:hint="eastAsia" w:ascii="宋体" w:hAnsi="宋体" w:eastAsia="宋体" w:cs="宋体"/>
                <w:i w:val="0"/>
                <w:color w:val="000000"/>
                <w:spacing w:val="6"/>
                <w:kern w:val="0"/>
                <w:sz w:val="18"/>
                <w:szCs w:val="18"/>
                <w:u w:val="none"/>
                <w:lang w:val="en-US" w:eastAsia="zh-CN" w:bidi="ar"/>
              </w:rPr>
              <w:t xml:space="preserve">  </w:t>
            </w:r>
            <w:r>
              <w:rPr>
                <w:rFonts w:hint="eastAsia" w:ascii="宋体" w:hAnsi="宋体" w:cs="宋体"/>
                <w:i w:val="0"/>
                <w:color w:val="000000"/>
                <w:spacing w:val="6"/>
                <w:kern w:val="0"/>
                <w:sz w:val="18"/>
                <w:szCs w:val="18"/>
                <w:u w:val="none"/>
                <w:lang w:val="en-US" w:eastAsia="zh-CN" w:bidi="ar"/>
              </w:rPr>
              <w:t xml:space="preserve"> </w:t>
            </w:r>
            <w:r>
              <w:rPr>
                <w:rFonts w:hint="eastAsia" w:ascii="宋体" w:hAnsi="宋体" w:eastAsia="宋体" w:cs="宋体"/>
                <w:i w:val="0"/>
                <w:color w:val="000000"/>
                <w:spacing w:val="6"/>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号：</w:t>
            </w:r>
            <w:r>
              <w:rPr>
                <w:rFonts w:hint="eastAsia" w:ascii="宋体" w:hAnsi="宋体" w:eastAsia="宋体" w:cs="宋体"/>
                <w:i w:val="0"/>
                <w:color w:val="000000"/>
                <w:spacing w:val="11"/>
                <w:kern w:val="0"/>
                <w:sz w:val="18"/>
                <w:szCs w:val="18"/>
                <w:u w:val="none"/>
                <w:shd w:val="clear" w:color="FFFFFF" w:fill="D9D9D9"/>
                <w:lang w:val="en-US" w:eastAsia="zh-CN" w:bidi="ar"/>
              </w:rPr>
              <w:t>D</w:t>
            </w:r>
            <w:r>
              <w:rPr>
                <w:rFonts w:hint="eastAsia" w:ascii="宋体" w:hAnsi="宋体" w:eastAsia="宋体" w:cs="宋体"/>
                <w:i w:val="0"/>
                <w:color w:val="000000"/>
                <w:spacing w:val="17"/>
                <w:kern w:val="0"/>
                <w:sz w:val="18"/>
                <w:szCs w:val="18"/>
                <w:u w:val="none"/>
                <w:shd w:val="clear" w:color="FFFFFF" w:fill="D9D9D9"/>
                <w:lang w:val="en-US" w:eastAsia="zh-CN" w:bidi="ar"/>
              </w:rPr>
              <w:t xml:space="preserve">  </w:t>
            </w:r>
            <w:r>
              <w:rPr>
                <w:rFonts w:hint="eastAsia" w:ascii="宋体" w:hAnsi="宋体" w:eastAsia="宋体" w:cs="宋体"/>
                <w:i w:val="0"/>
                <w:color w:val="000000"/>
                <w:spacing w:val="11"/>
                <w:kern w:val="0"/>
                <w:sz w:val="18"/>
                <w:szCs w:val="18"/>
                <w:u w:val="none"/>
                <w:shd w:val="clear" w:color="FFFFFF" w:fill="D9D9D9"/>
                <w:lang w:val="en-US" w:eastAsia="zh-CN" w:bidi="ar"/>
              </w:rPr>
              <w:t>L</w:t>
            </w:r>
            <w:r>
              <w:rPr>
                <w:rFonts w:hint="eastAsia" w:ascii="宋体" w:hAnsi="宋体" w:eastAsia="宋体" w:cs="宋体"/>
                <w:i w:val="0"/>
                <w:color w:val="000000"/>
                <w:spacing w:val="17"/>
                <w:kern w:val="0"/>
                <w:sz w:val="18"/>
                <w:szCs w:val="18"/>
                <w:u w:val="none"/>
                <w:shd w:val="clear" w:color="FFFFFF" w:fill="D9D9D9"/>
                <w:lang w:val="en-US" w:eastAsia="zh-CN" w:bidi="ar"/>
              </w:rPr>
              <w:t xml:space="preserve">  </w:t>
            </w:r>
            <w:r>
              <w:rPr>
                <w:rFonts w:hint="eastAsia" w:ascii="宋体" w:hAnsi="宋体" w:eastAsia="宋体" w:cs="宋体"/>
                <w:i w:val="0"/>
                <w:color w:val="000000"/>
                <w:spacing w:val="11"/>
                <w:kern w:val="0"/>
                <w:sz w:val="18"/>
                <w:szCs w:val="18"/>
                <w:u w:val="none"/>
                <w:shd w:val="clear" w:color="FFFFFF" w:fill="D9D9D9"/>
                <w:lang w:val="en-US" w:eastAsia="zh-CN" w:bidi="ar"/>
              </w:rPr>
              <w:t>4</w:t>
            </w:r>
            <w:r>
              <w:rPr>
                <w:rFonts w:hint="eastAsia" w:ascii="宋体" w:hAnsi="宋体" w:eastAsia="宋体" w:cs="宋体"/>
                <w:i w:val="0"/>
                <w:color w:val="000000"/>
                <w:spacing w:val="17"/>
                <w:kern w:val="0"/>
                <w:sz w:val="18"/>
                <w:szCs w:val="18"/>
                <w:u w:val="none"/>
                <w:shd w:val="clear" w:color="FFFFFF" w:fill="D9D9D9"/>
                <w:lang w:val="en-US" w:eastAsia="zh-CN" w:bidi="ar"/>
              </w:rPr>
              <w:t xml:space="preserve"> </w:t>
            </w:r>
            <w:r>
              <w:rPr>
                <w:rFonts w:hint="eastAsia" w:ascii="宋体" w:hAnsi="宋体" w:eastAsia="宋体" w:cs="宋体"/>
                <w:i w:val="0"/>
                <w:color w:val="000000"/>
                <w:spacing w:val="11"/>
                <w:kern w:val="0"/>
                <w:sz w:val="18"/>
                <w:szCs w:val="18"/>
                <w:u w:val="none"/>
                <w:shd w:val="clear" w:color="FFFFFF" w:fill="D9D9D9"/>
                <w:lang w:val="en-US" w:eastAsia="zh-CN" w:bidi="ar"/>
              </w:rPr>
              <w:t>０</w:t>
            </w:r>
            <w:r>
              <w:rPr>
                <w:rStyle w:val="47"/>
                <w:rFonts w:eastAsia="宋体"/>
                <w:spacing w:val="11"/>
                <w:sz w:val="18"/>
                <w:szCs w:val="18"/>
                <w:shd w:val="clear" w:color="FFFFFF" w:fill="D9D9D9"/>
                <w:lang w:val="en-US" w:eastAsia="zh-CN" w:bidi="ar"/>
              </w:rPr>
              <w:t xml:space="preserve"> </w:t>
            </w:r>
            <w:r>
              <w:rPr>
                <w:rStyle w:val="48"/>
                <w:spacing w:val="11"/>
                <w:sz w:val="18"/>
                <w:szCs w:val="18"/>
                <w:shd w:val="clear" w:color="FFFFFF" w:fill="D9D9D9"/>
                <w:lang w:val="en-US" w:eastAsia="zh-CN" w:bidi="ar"/>
              </w:rPr>
              <w:t>3</w:t>
            </w:r>
            <w:r>
              <w:rPr>
                <w:rStyle w:val="47"/>
                <w:rFonts w:eastAsia="宋体"/>
                <w:spacing w:val="11"/>
                <w:sz w:val="18"/>
                <w:szCs w:val="18"/>
                <w:shd w:val="clear" w:color="FFFFFF" w:fill="D9D9D9"/>
                <w:lang w:val="en-US" w:eastAsia="zh-CN" w:bidi="ar"/>
              </w:rPr>
              <w:t xml:space="preserve"> </w:t>
            </w:r>
            <w:r>
              <w:rPr>
                <w:rStyle w:val="48"/>
                <w:spacing w:val="11"/>
                <w:sz w:val="18"/>
                <w:szCs w:val="18"/>
                <w:shd w:val="clear" w:color="FFFFFF" w:fill="D9D9D9"/>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559" w:type="dxa"/>
            <w:gridSpan w:val="4"/>
            <w:vMerge w:val="continue"/>
            <w:tcBorders>
              <w:top w:val="nil"/>
              <w:left w:val="nil"/>
              <w:bottom w:val="nil"/>
              <w:right w:val="nil"/>
            </w:tcBorders>
            <w:shd w:val="clear" w:color="auto" w:fill="auto"/>
            <w:vAlign w:val="bottom"/>
          </w:tcPr>
          <w:p>
            <w:pPr>
              <w:jc w:val="left"/>
              <w:rPr>
                <w:rFonts w:hint="eastAsia" w:ascii="宋体" w:hAnsi="宋体" w:eastAsia="宋体" w:cs="宋体"/>
                <w:i w:val="0"/>
                <w:color w:val="000000"/>
                <w:sz w:val="18"/>
                <w:szCs w:val="18"/>
                <w:u w:val="none"/>
              </w:rPr>
            </w:pPr>
          </w:p>
        </w:tc>
        <w:tc>
          <w:tcPr>
            <w:tcW w:w="4160" w:type="dxa"/>
            <w:gridSpan w:val="9"/>
            <w:vMerge w:val="continue"/>
            <w:tcBorders>
              <w:top w:val="nil"/>
              <w:left w:val="nil"/>
              <w:bottom w:val="nil"/>
              <w:right w:val="nil"/>
            </w:tcBorders>
            <w:shd w:val="clear" w:color="auto" w:fill="auto"/>
            <w:vAlign w:val="bottom"/>
          </w:tcPr>
          <w:p>
            <w:pPr>
              <w:jc w:val="center"/>
              <w:rPr>
                <w:rFonts w:hint="eastAsia" w:ascii="宋体" w:hAnsi="宋体" w:eastAsia="宋体" w:cs="宋体"/>
                <w:i w:val="0"/>
                <w:color w:val="000000"/>
                <w:sz w:val="18"/>
                <w:szCs w:val="18"/>
                <w:u w:val="none"/>
              </w:rPr>
            </w:pPr>
          </w:p>
        </w:tc>
        <w:tc>
          <w:tcPr>
            <w:tcW w:w="3126" w:type="dxa"/>
            <w:gridSpan w:val="6"/>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制表机关：</w:t>
            </w:r>
            <w:r>
              <w:rPr>
                <w:rFonts w:hint="eastAsia" w:ascii="宋体" w:hAnsi="宋体" w:eastAsia="宋体" w:cs="宋体"/>
                <w:i w:val="0"/>
                <w:color w:val="000000"/>
                <w:spacing w:val="23"/>
                <w:kern w:val="0"/>
                <w:sz w:val="18"/>
                <w:szCs w:val="18"/>
                <w:u w:val="none"/>
                <w:lang w:val="en-US" w:eastAsia="zh-CN" w:bidi="ar"/>
              </w:rPr>
              <w:t>国</w:t>
            </w:r>
            <w:r>
              <w:rPr>
                <w:rStyle w:val="47"/>
                <w:rFonts w:eastAsia="宋体"/>
                <w:spacing w:val="23"/>
                <w:sz w:val="18"/>
                <w:szCs w:val="18"/>
                <w:lang w:val="en-US" w:eastAsia="zh-CN" w:bidi="ar"/>
              </w:rPr>
              <w:t xml:space="preserve"> </w:t>
            </w:r>
            <w:r>
              <w:rPr>
                <w:rFonts w:hint="eastAsia" w:ascii="宋体" w:hAnsi="宋体" w:eastAsia="宋体" w:cs="宋体"/>
                <w:i w:val="0"/>
                <w:color w:val="000000"/>
                <w:spacing w:val="23"/>
                <w:kern w:val="0"/>
                <w:sz w:val="18"/>
                <w:szCs w:val="18"/>
                <w:u w:val="none"/>
                <w:lang w:val="en-US" w:eastAsia="zh-CN" w:bidi="ar"/>
              </w:rPr>
              <w:t>家</w:t>
            </w:r>
            <w:r>
              <w:rPr>
                <w:rStyle w:val="47"/>
                <w:rFonts w:eastAsia="宋体"/>
                <w:spacing w:val="23"/>
                <w:sz w:val="18"/>
                <w:szCs w:val="18"/>
                <w:lang w:val="en-US" w:eastAsia="zh-CN" w:bidi="ar"/>
              </w:rPr>
              <w:t xml:space="preserve"> </w:t>
            </w:r>
            <w:r>
              <w:rPr>
                <w:rFonts w:hint="eastAsia" w:ascii="宋体" w:hAnsi="宋体" w:eastAsia="宋体" w:cs="宋体"/>
                <w:i w:val="0"/>
                <w:color w:val="000000"/>
                <w:spacing w:val="23"/>
                <w:kern w:val="0"/>
                <w:sz w:val="18"/>
                <w:szCs w:val="18"/>
                <w:u w:val="none"/>
                <w:lang w:val="en-US" w:eastAsia="zh-CN" w:bidi="ar"/>
              </w:rPr>
              <w:t>统</w:t>
            </w:r>
            <w:r>
              <w:rPr>
                <w:rStyle w:val="47"/>
                <w:rFonts w:eastAsia="宋体"/>
                <w:spacing w:val="23"/>
                <w:sz w:val="18"/>
                <w:szCs w:val="18"/>
                <w:lang w:val="en-US" w:eastAsia="zh-CN" w:bidi="ar"/>
              </w:rPr>
              <w:t xml:space="preserve"> </w:t>
            </w:r>
            <w:r>
              <w:rPr>
                <w:rFonts w:hint="eastAsia" w:ascii="宋体" w:hAnsi="宋体" w:eastAsia="宋体" w:cs="宋体"/>
                <w:i w:val="0"/>
                <w:color w:val="000000"/>
                <w:spacing w:val="23"/>
                <w:kern w:val="0"/>
                <w:sz w:val="18"/>
                <w:szCs w:val="18"/>
                <w:u w:val="none"/>
                <w:lang w:val="en-US" w:eastAsia="zh-CN" w:bidi="ar"/>
              </w:rPr>
              <w:t>计</w:t>
            </w:r>
            <w:r>
              <w:rPr>
                <w:rStyle w:val="47"/>
                <w:rFonts w:eastAsia="宋体"/>
                <w:spacing w:val="23"/>
                <w:sz w:val="18"/>
                <w:szCs w:val="18"/>
                <w:lang w:val="en-US" w:eastAsia="zh-CN" w:bidi="ar"/>
              </w:rPr>
              <w:t xml:space="preserve"> </w:t>
            </w:r>
            <w:r>
              <w:rPr>
                <w:rFonts w:hint="eastAsia" w:ascii="宋体" w:hAnsi="宋体" w:eastAsia="宋体" w:cs="宋体"/>
                <w:i w:val="0"/>
                <w:color w:val="000000"/>
                <w:spacing w:val="23"/>
                <w:kern w:val="0"/>
                <w:sz w:val="18"/>
                <w:szCs w:val="18"/>
                <w:u w:val="none"/>
                <w:lang w:val="en-US" w:eastAsia="zh-CN" w:bidi="ar"/>
              </w:rPr>
              <w:t>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559" w:type="dxa"/>
            <w:gridSpan w:val="4"/>
            <w:vMerge w:val="continue"/>
            <w:tcBorders>
              <w:top w:val="nil"/>
              <w:left w:val="nil"/>
              <w:bottom w:val="nil"/>
              <w:right w:val="nil"/>
            </w:tcBorders>
            <w:shd w:val="clear" w:color="auto" w:fill="auto"/>
            <w:vAlign w:val="bottom"/>
          </w:tcPr>
          <w:p>
            <w:pPr>
              <w:jc w:val="left"/>
              <w:rPr>
                <w:rFonts w:hint="eastAsia" w:ascii="宋体" w:hAnsi="宋体" w:eastAsia="宋体" w:cs="宋体"/>
                <w:i w:val="0"/>
                <w:color w:val="000000"/>
                <w:sz w:val="18"/>
                <w:szCs w:val="18"/>
                <w:u w:val="none"/>
              </w:rPr>
            </w:pPr>
          </w:p>
        </w:tc>
        <w:tc>
          <w:tcPr>
            <w:tcW w:w="4160" w:type="dxa"/>
            <w:gridSpan w:val="9"/>
            <w:vMerge w:val="continue"/>
            <w:tcBorders>
              <w:top w:val="nil"/>
              <w:left w:val="nil"/>
              <w:bottom w:val="nil"/>
              <w:right w:val="nil"/>
            </w:tcBorders>
            <w:shd w:val="clear" w:color="auto" w:fill="auto"/>
            <w:vAlign w:val="bottom"/>
          </w:tcPr>
          <w:p>
            <w:pPr>
              <w:jc w:val="center"/>
              <w:rPr>
                <w:rFonts w:hint="eastAsia" w:ascii="宋体" w:hAnsi="宋体" w:eastAsia="宋体" w:cs="宋体"/>
                <w:i w:val="0"/>
                <w:color w:val="000000"/>
                <w:sz w:val="18"/>
                <w:szCs w:val="18"/>
                <w:u w:val="none"/>
              </w:rPr>
            </w:pPr>
          </w:p>
        </w:tc>
        <w:tc>
          <w:tcPr>
            <w:tcW w:w="3126" w:type="dxa"/>
            <w:gridSpan w:val="6"/>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文 </w:t>
            </w:r>
            <w:r>
              <w:rPr>
                <w:rFonts w:hint="eastAsia" w:ascii="宋体" w:hAnsi="宋体" w:cs="宋体"/>
                <w:i w:val="0"/>
                <w:color w:val="auto"/>
                <w:kern w:val="0"/>
                <w:sz w:val="18"/>
                <w:szCs w:val="18"/>
                <w:u w:val="none"/>
                <w:lang w:val="en-US" w:eastAsia="zh-CN" w:bidi="ar"/>
              </w:rPr>
              <w:t xml:space="preserve"> </w:t>
            </w:r>
            <w:r>
              <w:rPr>
                <w:rFonts w:hint="eastAsia" w:ascii="宋体" w:hAnsi="宋体" w:eastAsia="宋体" w:cs="宋体"/>
                <w:i w:val="0"/>
                <w:color w:val="auto"/>
                <w:kern w:val="0"/>
                <w:sz w:val="18"/>
                <w:szCs w:val="18"/>
                <w:u w:val="none"/>
                <w:lang w:val="en-US" w:eastAsia="zh-CN" w:bidi="ar"/>
              </w:rPr>
              <w:t xml:space="preserve">  号：国</w:t>
            </w:r>
            <w:r>
              <w:rPr>
                <w:rFonts w:hint="eastAsia" w:ascii="宋体" w:hAnsi="宋体"/>
                <w:color w:val="auto"/>
                <w:sz w:val="18"/>
                <w:szCs w:val="18"/>
              </w:rPr>
              <w:t>统字〔202</w:t>
            </w:r>
            <w:r>
              <w:rPr>
                <w:rFonts w:hint="eastAsia" w:ascii="宋体" w:hAnsi="宋体"/>
                <w:color w:val="auto"/>
                <w:sz w:val="18"/>
                <w:szCs w:val="18"/>
                <w:lang w:val="en-US" w:eastAsia="zh-CN"/>
              </w:rPr>
              <w:t>5</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eastAsia="宋体" w:cs="宋体"/>
                <w:i w:val="0"/>
                <w:color w:val="auto"/>
                <w:kern w:val="0"/>
                <w:sz w:val="18"/>
                <w:szCs w:val="18"/>
                <w:u w:val="none"/>
                <w:lang w:val="en-US" w:eastAsia="zh-CN" w:bidi="ar"/>
              </w:rPr>
              <w:t>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559" w:type="dxa"/>
            <w:gridSpan w:val="4"/>
            <w:vMerge w:val="continue"/>
            <w:tcBorders>
              <w:top w:val="nil"/>
              <w:left w:val="nil"/>
              <w:bottom w:val="nil"/>
              <w:right w:val="nil"/>
            </w:tcBorders>
            <w:shd w:val="clear" w:color="auto" w:fill="auto"/>
            <w:vAlign w:val="bottom"/>
          </w:tcPr>
          <w:p>
            <w:pPr>
              <w:jc w:val="left"/>
              <w:rPr>
                <w:rFonts w:hint="eastAsia" w:ascii="宋体" w:hAnsi="宋体" w:eastAsia="宋体" w:cs="宋体"/>
                <w:i w:val="0"/>
                <w:color w:val="000000"/>
                <w:sz w:val="18"/>
                <w:szCs w:val="18"/>
                <w:u w:val="none"/>
              </w:rPr>
            </w:pPr>
          </w:p>
        </w:tc>
        <w:tc>
          <w:tcPr>
            <w:tcW w:w="4160" w:type="dxa"/>
            <w:gridSpan w:val="9"/>
            <w:vMerge w:val="continue"/>
            <w:tcBorders>
              <w:top w:val="nil"/>
              <w:left w:val="nil"/>
              <w:bottom w:val="nil"/>
              <w:right w:val="nil"/>
            </w:tcBorders>
            <w:shd w:val="clear" w:color="auto" w:fill="auto"/>
            <w:vAlign w:val="bottom"/>
          </w:tcPr>
          <w:p>
            <w:pPr>
              <w:jc w:val="center"/>
              <w:rPr>
                <w:rFonts w:hint="eastAsia" w:ascii="宋体" w:hAnsi="宋体" w:eastAsia="宋体" w:cs="宋体"/>
                <w:i w:val="0"/>
                <w:color w:val="000000"/>
                <w:sz w:val="18"/>
                <w:szCs w:val="18"/>
                <w:u w:val="none"/>
              </w:rPr>
            </w:pPr>
          </w:p>
        </w:tc>
        <w:tc>
          <w:tcPr>
            <w:tcW w:w="3126" w:type="dxa"/>
            <w:gridSpan w:val="6"/>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有效期至：</w:t>
            </w:r>
            <w:r>
              <w:rPr>
                <w:rFonts w:hint="eastAsia" w:ascii="宋体" w:hAnsi="宋体" w:eastAsia="宋体" w:cs="宋体"/>
                <w:i w:val="0"/>
                <w:color w:val="auto"/>
                <w:spacing w:val="28"/>
                <w:kern w:val="0"/>
                <w:sz w:val="18"/>
                <w:szCs w:val="18"/>
                <w:u w:val="none"/>
                <w:lang w:val="en-US" w:eastAsia="zh-CN" w:bidi="ar"/>
              </w:rPr>
              <w:t>２０２</w:t>
            </w:r>
            <w:r>
              <w:rPr>
                <w:rFonts w:hint="eastAsia" w:ascii="宋体" w:hAnsi="宋体" w:cs="宋体"/>
                <w:i w:val="0"/>
                <w:color w:val="auto"/>
                <w:spacing w:val="28"/>
                <w:kern w:val="0"/>
                <w:sz w:val="18"/>
                <w:szCs w:val="18"/>
                <w:u w:val="none"/>
                <w:lang w:val="en-US" w:eastAsia="zh-CN" w:bidi="ar"/>
              </w:rPr>
              <w:t>７</w:t>
            </w:r>
            <w:r>
              <w:rPr>
                <w:rFonts w:hint="eastAsia" w:ascii="宋体" w:hAnsi="宋体" w:eastAsia="宋体" w:cs="宋体"/>
                <w:i w:val="0"/>
                <w:color w:val="auto"/>
                <w:spacing w:val="28"/>
                <w:kern w:val="0"/>
                <w:sz w:val="18"/>
                <w:szCs w:val="18"/>
                <w:u w:val="none"/>
                <w:lang w:val="en-US" w:eastAsia="zh-CN" w:bidi="ar"/>
              </w:rPr>
              <w:t>年</w:t>
            </w:r>
            <w:r>
              <w:rPr>
                <w:rFonts w:hint="eastAsia" w:ascii="宋体" w:hAnsi="宋体" w:cs="宋体"/>
                <w:i w:val="0"/>
                <w:color w:val="auto"/>
                <w:spacing w:val="28"/>
                <w:kern w:val="0"/>
                <w:sz w:val="18"/>
                <w:szCs w:val="18"/>
                <w:u w:val="none"/>
                <w:lang w:val="en-US" w:eastAsia="zh-CN" w:bidi="ar"/>
              </w:rPr>
              <w:t>１</w:t>
            </w:r>
            <w:r>
              <w:rPr>
                <w:rFonts w:hint="eastAsia" w:ascii="宋体" w:hAnsi="宋体" w:eastAsia="宋体" w:cs="宋体"/>
                <w:i w:val="0"/>
                <w:color w:val="auto"/>
                <w:spacing w:val="28"/>
                <w:kern w:val="0"/>
                <w:sz w:val="18"/>
                <w:szCs w:val="18"/>
                <w:u w:val="none"/>
                <w:lang w:val="en-US" w:eastAsia="zh-CN" w:bidi="ar"/>
              </w:rPr>
              <w:t>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w:t>
            </w:r>
          </w:p>
        </w:tc>
        <w:tc>
          <w:tcPr>
            <w:tcW w:w="6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代码</w:t>
            </w:r>
          </w:p>
        </w:tc>
        <w:tc>
          <w:tcPr>
            <w:tcW w:w="2080"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方正书宋_GBK" w:hAnsi="方正书宋_GBK" w:eastAsia="方正书宋_GBK" w:cs="方正书宋_GBK"/>
                <w:i w:val="0"/>
                <w:color w:val="000000"/>
                <w:sz w:val="18"/>
                <w:szCs w:val="18"/>
                <w:u w:val="none"/>
              </w:rPr>
            </w:pPr>
            <w:r>
              <w:rPr>
                <w:rFonts w:hint="eastAsia" w:ascii="方正书宋_GBK" w:hAnsi="方正书宋_GBK" w:eastAsia="方正书宋_GBK" w:cs="方正书宋_GBK"/>
                <w:i w:val="0"/>
                <w:color w:val="000000"/>
                <w:kern w:val="0"/>
                <w:sz w:val="18"/>
                <w:szCs w:val="18"/>
                <w:u w:val="none"/>
                <w:lang w:val="en-US" w:eastAsia="zh-CN" w:bidi="ar"/>
              </w:rPr>
              <w:t>火力发电量（万千瓦时）</w:t>
            </w:r>
          </w:p>
        </w:tc>
        <w:tc>
          <w:tcPr>
            <w:tcW w:w="2082" w:type="dxa"/>
            <w:gridSpan w:val="5"/>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sz w:val="18"/>
                <w:szCs w:val="18"/>
                <w:u w:val="none"/>
              </w:rPr>
            </w:pPr>
            <w:r>
              <w:rPr>
                <w:rFonts w:hint="eastAsia" w:ascii="方正书宋_GBK" w:hAnsi="方正书宋_GBK" w:eastAsia="方正书宋_GBK" w:cs="方正书宋_GBK"/>
                <w:i w:val="0"/>
                <w:color w:val="000000"/>
                <w:kern w:val="0"/>
                <w:sz w:val="18"/>
                <w:szCs w:val="18"/>
                <w:u w:val="none"/>
                <w:lang w:val="en-US" w:eastAsia="zh-CN" w:bidi="ar"/>
              </w:rPr>
              <w:t>水力发电量（万千瓦时）</w:t>
            </w:r>
          </w:p>
        </w:tc>
        <w:tc>
          <w:tcPr>
            <w:tcW w:w="207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kern w:val="0"/>
                <w:sz w:val="18"/>
                <w:szCs w:val="18"/>
                <w:u w:val="none"/>
                <w:lang w:val="en-US" w:eastAsia="zh-CN" w:bidi="ar"/>
              </w:rPr>
            </w:pPr>
            <w:r>
              <w:rPr>
                <w:rFonts w:hint="eastAsia" w:ascii="方正书宋_GBK" w:hAnsi="方正书宋_GBK" w:eastAsia="方正书宋_GBK" w:cs="方正书宋_GBK"/>
                <w:i w:val="0"/>
                <w:color w:val="000000"/>
                <w:kern w:val="0"/>
                <w:sz w:val="18"/>
                <w:szCs w:val="18"/>
                <w:u w:val="none"/>
                <w:lang w:val="en-US" w:eastAsia="zh-CN" w:bidi="ar"/>
              </w:rPr>
              <w:t>太阳能发电量</w:t>
            </w:r>
          </w:p>
          <w:p>
            <w:pPr>
              <w:keepNext w:val="0"/>
              <w:keepLines w:val="0"/>
              <w:widowControl/>
              <w:suppressLineNumbers w:val="0"/>
              <w:jc w:val="center"/>
              <w:textAlignment w:val="center"/>
              <w:rPr>
                <w:rFonts w:hint="eastAsia" w:ascii="方正书宋_GBK" w:hAnsi="方正书宋_GBK" w:eastAsia="方正书宋_GBK" w:cs="方正书宋_GBK"/>
                <w:i w:val="0"/>
                <w:color w:val="000000"/>
                <w:kern w:val="0"/>
                <w:sz w:val="18"/>
                <w:szCs w:val="18"/>
                <w:u w:val="none"/>
                <w:lang w:val="en-US" w:eastAsia="zh-CN" w:bidi="ar"/>
              </w:rPr>
            </w:pPr>
            <w:r>
              <w:rPr>
                <w:rFonts w:hint="eastAsia" w:ascii="方正书宋_GBK" w:hAnsi="方正书宋_GBK" w:eastAsia="方正书宋_GBK" w:cs="方正书宋_GBK"/>
                <w:i w:val="0"/>
                <w:color w:val="000000"/>
                <w:kern w:val="0"/>
                <w:sz w:val="18"/>
                <w:szCs w:val="18"/>
                <w:u w:val="none"/>
                <w:lang w:val="en-US" w:eastAsia="zh-CN" w:bidi="ar"/>
              </w:rPr>
              <w:t>（万千瓦时）</w:t>
            </w:r>
          </w:p>
        </w:tc>
        <w:tc>
          <w:tcPr>
            <w:tcW w:w="2086" w:type="dxa"/>
            <w:gridSpan w:val="4"/>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sz w:val="18"/>
                <w:szCs w:val="18"/>
              </w:rPr>
            </w:pPr>
            <w:r>
              <w:rPr>
                <w:rFonts w:hint="eastAsia"/>
                <w:sz w:val="18"/>
                <w:szCs w:val="18"/>
                <w:lang w:eastAsia="zh-CN"/>
              </w:rPr>
              <w:t>生物质能</w:t>
            </w:r>
            <w:r>
              <w:rPr>
                <w:sz w:val="18"/>
                <w:szCs w:val="18"/>
              </w:rPr>
              <w:t>发</w:t>
            </w:r>
            <w:r>
              <w:rPr>
                <w:rFonts w:hint="eastAsia"/>
                <w:sz w:val="18"/>
                <w:szCs w:val="18"/>
              </w:rPr>
              <w:t>电量</w:t>
            </w:r>
          </w:p>
          <w:p>
            <w:pPr>
              <w:keepNext w:val="0"/>
              <w:keepLines w:val="0"/>
              <w:widowControl/>
              <w:suppressLineNumbers w:val="0"/>
              <w:jc w:val="center"/>
              <w:textAlignment w:val="center"/>
              <w:rPr>
                <w:rFonts w:hint="eastAsia" w:ascii="方正书宋_GBK" w:hAnsi="方正书宋_GBK" w:eastAsia="方正书宋_GBK" w:cs="方正书宋_GBK"/>
                <w:i w:val="0"/>
                <w:color w:val="000000"/>
                <w:sz w:val="18"/>
                <w:szCs w:val="18"/>
                <w:u w:val="none"/>
              </w:rPr>
            </w:pPr>
            <w:r>
              <w:rPr>
                <w:rFonts w:hint="eastAsia"/>
                <w:sz w:val="18"/>
                <w:szCs w:val="18"/>
              </w:rPr>
              <w:t>（亿千瓦时）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sz w:val="18"/>
                <w:szCs w:val="18"/>
                <w:u w:val="none"/>
              </w:rPr>
            </w:pPr>
            <w:r>
              <w:rPr>
                <w:rFonts w:hint="eastAsia" w:ascii="方正书宋_GBK" w:hAnsi="方正书宋_GBK" w:eastAsia="方正书宋_GBK" w:cs="方正书宋_GBK"/>
                <w:i w:val="0"/>
                <w:color w:val="000000"/>
                <w:kern w:val="0"/>
                <w:sz w:val="18"/>
                <w:szCs w:val="18"/>
                <w:u w:val="none"/>
                <w:lang w:val="en-US" w:eastAsia="zh-CN" w:bidi="ar"/>
              </w:rPr>
              <w:t>本期</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sz w:val="18"/>
                <w:szCs w:val="18"/>
                <w:u w:val="none"/>
              </w:rPr>
            </w:pPr>
            <w:r>
              <w:rPr>
                <w:rFonts w:hint="eastAsia" w:ascii="方正书宋_GBK" w:hAnsi="方正书宋_GBK" w:eastAsia="方正书宋_GBK" w:cs="方正书宋_GBK"/>
                <w:i w:val="0"/>
                <w:color w:val="000000"/>
                <w:kern w:val="0"/>
                <w:sz w:val="18"/>
                <w:szCs w:val="18"/>
                <w:u w:val="none"/>
                <w:lang w:val="en-US" w:eastAsia="zh-CN" w:bidi="ar"/>
              </w:rPr>
              <w:t>同期</w:t>
            </w:r>
          </w:p>
        </w:tc>
        <w:tc>
          <w:tcPr>
            <w:tcW w:w="104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sz w:val="18"/>
                <w:szCs w:val="18"/>
                <w:u w:val="none"/>
              </w:rPr>
            </w:pPr>
            <w:r>
              <w:rPr>
                <w:rFonts w:hint="eastAsia" w:ascii="方正书宋_GBK" w:hAnsi="方正书宋_GBK" w:eastAsia="方正书宋_GBK" w:cs="方正书宋_GBK"/>
                <w:i w:val="0"/>
                <w:color w:val="000000"/>
                <w:kern w:val="0"/>
                <w:sz w:val="18"/>
                <w:szCs w:val="18"/>
                <w:u w:val="none"/>
                <w:lang w:val="en-US" w:eastAsia="zh-CN" w:bidi="ar"/>
              </w:rPr>
              <w:t>本期</w:t>
            </w:r>
          </w:p>
        </w:tc>
        <w:tc>
          <w:tcPr>
            <w:tcW w:w="1042"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kern w:val="0"/>
                <w:sz w:val="18"/>
                <w:szCs w:val="18"/>
                <w:u w:val="none"/>
                <w:lang w:val="en-US" w:eastAsia="zh-CN" w:bidi="ar"/>
              </w:rPr>
            </w:pPr>
            <w:r>
              <w:rPr>
                <w:rFonts w:hint="eastAsia" w:ascii="方正书宋_GBK" w:hAnsi="方正书宋_GBK" w:eastAsia="方正书宋_GBK" w:cs="方正书宋_GBK"/>
                <w:i w:val="0"/>
                <w:color w:val="000000"/>
                <w:kern w:val="0"/>
                <w:sz w:val="18"/>
                <w:szCs w:val="18"/>
                <w:u w:val="none"/>
                <w:lang w:val="en-US" w:eastAsia="zh-CN" w:bidi="ar"/>
              </w:rPr>
              <w:t>同期</w:t>
            </w:r>
          </w:p>
        </w:tc>
        <w:tc>
          <w:tcPr>
            <w:tcW w:w="10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sz w:val="18"/>
                <w:szCs w:val="18"/>
                <w:u w:val="none"/>
              </w:rPr>
            </w:pPr>
            <w:r>
              <w:rPr>
                <w:rFonts w:hint="eastAsia" w:ascii="方正书宋_GBK" w:hAnsi="方正书宋_GBK" w:eastAsia="方正书宋_GBK" w:cs="方正书宋_GBK"/>
                <w:i w:val="0"/>
                <w:color w:val="000000"/>
                <w:kern w:val="0"/>
                <w:sz w:val="18"/>
                <w:szCs w:val="18"/>
                <w:u w:val="none"/>
                <w:lang w:val="en-US" w:eastAsia="zh-CN" w:bidi="ar"/>
              </w:rPr>
              <w:t>本期</w:t>
            </w:r>
          </w:p>
        </w:tc>
        <w:tc>
          <w:tcPr>
            <w:tcW w:w="104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sz w:val="18"/>
                <w:szCs w:val="18"/>
                <w:u w:val="none"/>
              </w:rPr>
            </w:pPr>
            <w:r>
              <w:rPr>
                <w:rFonts w:hint="eastAsia" w:ascii="方正书宋_GBK" w:hAnsi="方正书宋_GBK" w:eastAsia="方正书宋_GBK" w:cs="方正书宋_GBK"/>
                <w:i w:val="0"/>
                <w:color w:val="000000"/>
                <w:kern w:val="0"/>
                <w:sz w:val="18"/>
                <w:szCs w:val="18"/>
                <w:u w:val="none"/>
                <w:lang w:val="en-US" w:eastAsia="zh-CN" w:bidi="ar"/>
              </w:rPr>
              <w:t>同期</w:t>
            </w:r>
          </w:p>
        </w:tc>
        <w:tc>
          <w:tcPr>
            <w:tcW w:w="104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kern w:val="0"/>
                <w:sz w:val="18"/>
                <w:szCs w:val="18"/>
                <w:u w:val="none"/>
                <w:lang w:val="en-US" w:eastAsia="zh-CN" w:bidi="ar"/>
              </w:rPr>
            </w:pPr>
            <w:r>
              <w:rPr>
                <w:rFonts w:hint="eastAsia" w:ascii="方正书宋_GBK" w:hAnsi="方正书宋_GBK" w:eastAsia="方正书宋_GBK" w:cs="方正书宋_GBK"/>
                <w:i w:val="0"/>
                <w:color w:val="000000"/>
                <w:kern w:val="0"/>
                <w:sz w:val="18"/>
                <w:szCs w:val="18"/>
                <w:u w:val="none"/>
                <w:lang w:val="en-US" w:eastAsia="zh-CN" w:bidi="ar"/>
              </w:rPr>
              <w:t>本期</w:t>
            </w:r>
          </w:p>
        </w:tc>
        <w:tc>
          <w:tcPr>
            <w:tcW w:w="1046"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sz w:val="18"/>
                <w:szCs w:val="18"/>
                <w:u w:val="none"/>
              </w:rPr>
            </w:pPr>
            <w:r>
              <w:rPr>
                <w:rFonts w:hint="eastAsia" w:ascii="方正书宋_GBK" w:hAnsi="方正书宋_GBK" w:eastAsia="方正书宋_GBK" w:cs="方正书宋_GBK"/>
                <w:i w:val="0"/>
                <w:color w:val="000000"/>
                <w:kern w:val="0"/>
                <w:sz w:val="18"/>
                <w:szCs w:val="18"/>
                <w:u w:val="none"/>
                <w:lang w:val="en-US" w:eastAsia="zh-CN" w:bidi="ar"/>
              </w:rPr>
              <w:t>同期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2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sz w:val="16"/>
                <w:szCs w:val="16"/>
                <w:u w:val="none"/>
              </w:rPr>
            </w:pPr>
            <w:r>
              <w:rPr>
                <w:rFonts w:hint="eastAsia" w:ascii="方正书宋_GBK" w:hAnsi="方正书宋_GBK" w:eastAsia="方正书宋_GBK" w:cs="方正书宋_GBK"/>
                <w:i w:val="0"/>
                <w:color w:val="000000"/>
                <w:kern w:val="0"/>
                <w:sz w:val="16"/>
                <w:szCs w:val="16"/>
                <w:u w:val="none"/>
                <w:lang w:val="en-US" w:eastAsia="zh-CN" w:bidi="ar"/>
              </w:rPr>
              <w:t>本月</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r>
              <w:rPr>
                <w:rStyle w:val="49"/>
                <w:sz w:val="16"/>
                <w:szCs w:val="16"/>
                <w:lang w:val="en-US" w:eastAsia="zh-CN" w:bidi="ar"/>
              </w:rPr>
              <w:t>本月</w:t>
            </w:r>
          </w:p>
        </w:tc>
        <w:tc>
          <w:tcPr>
            <w:tcW w:w="52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sz w:val="16"/>
                <w:szCs w:val="16"/>
                <w:u w:val="none"/>
              </w:rPr>
            </w:pPr>
            <w:r>
              <w:rPr>
                <w:rFonts w:hint="eastAsia" w:ascii="方正书宋_GBK" w:hAnsi="方正书宋_GBK" w:eastAsia="方正书宋_GBK" w:cs="方正书宋_GBK"/>
                <w:i w:val="0"/>
                <w:color w:val="000000"/>
                <w:kern w:val="0"/>
                <w:sz w:val="16"/>
                <w:szCs w:val="16"/>
                <w:u w:val="none"/>
                <w:lang w:val="en-US" w:eastAsia="zh-CN" w:bidi="ar"/>
              </w:rPr>
              <w:t>本月</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r>
              <w:rPr>
                <w:rStyle w:val="49"/>
                <w:sz w:val="16"/>
                <w:szCs w:val="16"/>
                <w:lang w:val="en-US" w:eastAsia="zh-CN" w:bidi="ar"/>
              </w:rPr>
              <w:t>本月</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书宋_GBK" w:hAnsi="方正书宋_GBK" w:eastAsia="方正书宋_GBK" w:cs="方正书宋_GBK"/>
                <w:i w:val="0"/>
                <w:color w:val="000000"/>
                <w:kern w:val="2"/>
                <w:sz w:val="16"/>
                <w:szCs w:val="16"/>
                <w:u w:val="none"/>
                <w:lang w:val="en-US" w:eastAsia="zh-CN" w:bidi="ar-SA"/>
              </w:rPr>
            </w:pPr>
            <w:r>
              <w:rPr>
                <w:rFonts w:hint="eastAsia" w:ascii="方正书宋_GBK" w:hAnsi="方正书宋_GBK" w:eastAsia="方正书宋_GBK" w:cs="方正书宋_GBK"/>
                <w:i w:val="0"/>
                <w:color w:val="000000"/>
                <w:kern w:val="0"/>
                <w:sz w:val="16"/>
                <w:szCs w:val="16"/>
                <w:u w:val="none"/>
                <w:lang w:val="en-US" w:eastAsia="zh-CN" w:bidi="ar"/>
              </w:rPr>
              <w:t>本月</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16"/>
                <w:szCs w:val="16"/>
                <w:u w:val="none"/>
                <w:lang w:val="en-US" w:eastAsia="zh-CN" w:bidi="ar-SA"/>
              </w:rPr>
            </w:pPr>
            <w:r>
              <w:rPr>
                <w:rFonts w:hint="default" w:ascii="Times New Roman" w:hAnsi="Times New Roman" w:eastAsia="宋体" w:cs="Times New Roman"/>
                <w:i w:val="0"/>
                <w:color w:val="000000"/>
                <w:kern w:val="0"/>
                <w:sz w:val="16"/>
                <w:szCs w:val="16"/>
                <w:u w:val="none"/>
                <w:lang w:val="en-US" w:eastAsia="zh-CN" w:bidi="ar"/>
              </w:rPr>
              <w:t>1-</w:t>
            </w:r>
            <w:r>
              <w:rPr>
                <w:rStyle w:val="49"/>
                <w:sz w:val="16"/>
                <w:szCs w:val="16"/>
                <w:lang w:val="en-US" w:eastAsia="zh-CN" w:bidi="ar"/>
              </w:rPr>
              <w:t>本月</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书宋_GBK" w:hAnsi="方正书宋_GBK" w:eastAsia="方正书宋_GBK" w:cs="方正书宋_GBK"/>
                <w:i w:val="0"/>
                <w:color w:val="000000"/>
                <w:kern w:val="2"/>
                <w:sz w:val="16"/>
                <w:szCs w:val="16"/>
                <w:u w:val="none"/>
                <w:lang w:val="en-US" w:eastAsia="zh-CN" w:bidi="ar-SA"/>
              </w:rPr>
            </w:pPr>
            <w:r>
              <w:rPr>
                <w:rFonts w:hint="eastAsia" w:ascii="方正书宋_GBK" w:hAnsi="方正书宋_GBK" w:eastAsia="方正书宋_GBK" w:cs="方正书宋_GBK"/>
                <w:i w:val="0"/>
                <w:color w:val="000000"/>
                <w:kern w:val="0"/>
                <w:sz w:val="16"/>
                <w:szCs w:val="16"/>
                <w:u w:val="none"/>
                <w:lang w:val="en-US" w:eastAsia="zh-CN" w:bidi="ar"/>
              </w:rPr>
              <w:t>本月</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16"/>
                <w:szCs w:val="16"/>
                <w:u w:val="none"/>
                <w:lang w:val="en-US" w:eastAsia="zh-CN" w:bidi="ar-SA"/>
              </w:rPr>
            </w:pPr>
            <w:r>
              <w:rPr>
                <w:rFonts w:hint="default" w:ascii="Times New Roman" w:hAnsi="Times New Roman" w:eastAsia="宋体" w:cs="Times New Roman"/>
                <w:i w:val="0"/>
                <w:color w:val="000000"/>
                <w:kern w:val="0"/>
                <w:sz w:val="16"/>
                <w:szCs w:val="16"/>
                <w:u w:val="none"/>
                <w:lang w:val="en-US" w:eastAsia="zh-CN" w:bidi="ar"/>
              </w:rPr>
              <w:t>1-</w:t>
            </w:r>
            <w:r>
              <w:rPr>
                <w:rStyle w:val="49"/>
                <w:sz w:val="16"/>
                <w:szCs w:val="16"/>
                <w:lang w:val="en-US" w:eastAsia="zh-CN" w:bidi="ar"/>
              </w:rPr>
              <w:t>本月</w:t>
            </w:r>
          </w:p>
        </w:tc>
        <w:tc>
          <w:tcPr>
            <w:tcW w:w="520"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sz w:val="16"/>
                <w:szCs w:val="16"/>
                <w:u w:val="none"/>
              </w:rPr>
            </w:pPr>
            <w:r>
              <w:rPr>
                <w:rFonts w:hint="eastAsia" w:ascii="方正书宋_GBK" w:hAnsi="方正书宋_GBK" w:eastAsia="方正书宋_GBK" w:cs="方正书宋_GBK"/>
                <w:i w:val="0"/>
                <w:color w:val="000000"/>
                <w:kern w:val="0"/>
                <w:sz w:val="16"/>
                <w:szCs w:val="16"/>
                <w:u w:val="none"/>
                <w:lang w:val="en-US" w:eastAsia="zh-CN" w:bidi="ar"/>
              </w:rPr>
              <w:t>本月</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r>
              <w:rPr>
                <w:rStyle w:val="49"/>
                <w:sz w:val="16"/>
                <w:szCs w:val="16"/>
                <w:lang w:val="en-US" w:eastAsia="zh-CN" w:bidi="ar"/>
              </w:rPr>
              <w:t>本月</w:t>
            </w:r>
          </w:p>
        </w:tc>
        <w:tc>
          <w:tcPr>
            <w:tcW w:w="52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sz w:val="16"/>
                <w:szCs w:val="16"/>
                <w:u w:val="none"/>
              </w:rPr>
            </w:pPr>
            <w:r>
              <w:rPr>
                <w:rFonts w:hint="eastAsia" w:ascii="方正书宋_GBK" w:hAnsi="方正书宋_GBK" w:eastAsia="方正书宋_GBK" w:cs="方正书宋_GBK"/>
                <w:i w:val="0"/>
                <w:color w:val="000000"/>
                <w:kern w:val="0"/>
                <w:sz w:val="16"/>
                <w:szCs w:val="16"/>
                <w:u w:val="none"/>
                <w:lang w:val="en-US" w:eastAsia="zh-CN" w:bidi="ar"/>
              </w:rPr>
              <w:t>本月</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r>
              <w:rPr>
                <w:rStyle w:val="49"/>
                <w:sz w:val="16"/>
                <w:szCs w:val="16"/>
                <w:lang w:val="en-US" w:eastAsia="zh-CN" w:bidi="ar"/>
              </w:rPr>
              <w:t>本月</w:t>
            </w:r>
          </w:p>
        </w:tc>
        <w:tc>
          <w:tcPr>
            <w:tcW w:w="52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sz w:val="16"/>
                <w:szCs w:val="16"/>
                <w:u w:val="none"/>
              </w:rPr>
            </w:pPr>
            <w:r>
              <w:rPr>
                <w:rFonts w:hint="eastAsia" w:ascii="方正书宋_GBK" w:hAnsi="方正书宋_GBK" w:eastAsia="方正书宋_GBK" w:cs="方正书宋_GBK"/>
                <w:i w:val="0"/>
                <w:color w:val="000000"/>
                <w:kern w:val="0"/>
                <w:sz w:val="16"/>
                <w:szCs w:val="16"/>
                <w:u w:val="none"/>
                <w:lang w:val="en-US" w:eastAsia="zh-CN" w:bidi="ar"/>
              </w:rPr>
              <w:t>本月</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r>
              <w:rPr>
                <w:rStyle w:val="49"/>
                <w:sz w:val="16"/>
                <w:szCs w:val="16"/>
                <w:lang w:val="en-US" w:eastAsia="zh-CN" w:bidi="ar"/>
              </w:rPr>
              <w:t>本月</w:t>
            </w:r>
          </w:p>
        </w:tc>
        <w:tc>
          <w:tcPr>
            <w:tcW w:w="52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_GBK" w:hAnsi="方正书宋_GBK" w:eastAsia="方正书宋_GBK" w:cs="方正书宋_GBK"/>
                <w:i w:val="0"/>
                <w:color w:val="000000"/>
                <w:sz w:val="16"/>
                <w:szCs w:val="16"/>
                <w:u w:val="none"/>
              </w:rPr>
            </w:pPr>
            <w:r>
              <w:rPr>
                <w:rFonts w:hint="eastAsia" w:ascii="方正书宋_GBK" w:hAnsi="方正书宋_GBK" w:eastAsia="方正书宋_GBK" w:cs="方正书宋_GBK"/>
                <w:i w:val="0"/>
                <w:color w:val="000000"/>
                <w:kern w:val="0"/>
                <w:sz w:val="16"/>
                <w:szCs w:val="16"/>
                <w:u w:val="none"/>
                <w:lang w:val="en-US" w:eastAsia="zh-CN" w:bidi="ar"/>
              </w:rPr>
              <w:t>本月</w:t>
            </w:r>
          </w:p>
        </w:tc>
        <w:tc>
          <w:tcPr>
            <w:tcW w:w="52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r>
              <w:rPr>
                <w:rStyle w:val="49"/>
                <w:sz w:val="16"/>
                <w:szCs w:val="16"/>
                <w:lang w:val="en-US" w:eastAsia="zh-CN" w:bidi="ar"/>
              </w:rPr>
              <w:t>本月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tcBorders>
              <w:top w:val="single" w:color="000000" w:sz="4" w:space="0"/>
              <w:left w:val="nil"/>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甲</w:t>
            </w:r>
          </w:p>
        </w:tc>
        <w:tc>
          <w:tcPr>
            <w:tcW w:w="604" w:type="dxa"/>
            <w:tcBorders>
              <w:top w:val="single" w:color="000000" w:sz="4" w:space="0"/>
              <w:left w:val="nil"/>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乙</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6</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7</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8</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9</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13</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14</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15</w:t>
            </w:r>
          </w:p>
        </w:tc>
        <w:tc>
          <w:tcPr>
            <w:tcW w:w="52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tcBorders>
              <w:top w:val="single" w:color="auto" w:sz="4" w:space="0"/>
              <w:left w:val="nil"/>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604"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326" w:type="dxa"/>
            <w:gridSpan w:val="17"/>
            <w:vMerge w:val="restart"/>
            <w:tcBorders>
              <w:top w:val="single" w:color="000000" w:sz="4" w:space="0"/>
              <w:left w:val="single" w:color="auto" w:sz="4" w:space="0"/>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tcBorders>
              <w:top w:val="nil"/>
              <w:left w:val="nil"/>
              <w:bottom w:val="nil"/>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荔湾区</w:t>
            </w:r>
          </w:p>
        </w:tc>
        <w:tc>
          <w:tcPr>
            <w:tcW w:w="60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26" w:type="dxa"/>
            <w:gridSpan w:val="17"/>
            <w:vMerge w:val="continue"/>
            <w:tcBorders>
              <w:left w:val="single" w:color="auto" w:sz="4" w:space="0"/>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tcBorders>
              <w:top w:val="nil"/>
              <w:left w:val="nil"/>
              <w:bottom w:val="nil"/>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越秀区</w:t>
            </w:r>
          </w:p>
        </w:tc>
        <w:tc>
          <w:tcPr>
            <w:tcW w:w="60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326" w:type="dxa"/>
            <w:gridSpan w:val="17"/>
            <w:vMerge w:val="continue"/>
            <w:tcBorders>
              <w:left w:val="single" w:color="auto" w:sz="4" w:space="0"/>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tcBorders>
              <w:top w:val="nil"/>
              <w:left w:val="nil"/>
              <w:bottom w:val="nil"/>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海珠区</w:t>
            </w:r>
          </w:p>
        </w:tc>
        <w:tc>
          <w:tcPr>
            <w:tcW w:w="60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26" w:type="dxa"/>
            <w:gridSpan w:val="17"/>
            <w:vMerge w:val="continue"/>
            <w:tcBorders>
              <w:left w:val="single" w:color="auto" w:sz="4" w:space="0"/>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tcBorders>
              <w:top w:val="nil"/>
              <w:left w:val="nil"/>
              <w:bottom w:val="nil"/>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天河区</w:t>
            </w:r>
          </w:p>
        </w:tc>
        <w:tc>
          <w:tcPr>
            <w:tcW w:w="60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26" w:type="dxa"/>
            <w:gridSpan w:val="17"/>
            <w:vMerge w:val="continue"/>
            <w:tcBorders>
              <w:left w:val="single" w:color="auto" w:sz="4" w:space="0"/>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tcBorders>
              <w:top w:val="nil"/>
              <w:left w:val="nil"/>
              <w:bottom w:val="nil"/>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白云区</w:t>
            </w:r>
          </w:p>
        </w:tc>
        <w:tc>
          <w:tcPr>
            <w:tcW w:w="60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8326" w:type="dxa"/>
            <w:gridSpan w:val="17"/>
            <w:vMerge w:val="continue"/>
            <w:tcBorders>
              <w:left w:val="single" w:color="auto" w:sz="4" w:space="0"/>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tcBorders>
              <w:top w:val="nil"/>
              <w:left w:val="nil"/>
              <w:bottom w:val="nil"/>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黄埔区</w:t>
            </w:r>
          </w:p>
        </w:tc>
        <w:tc>
          <w:tcPr>
            <w:tcW w:w="60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326" w:type="dxa"/>
            <w:gridSpan w:val="17"/>
            <w:vMerge w:val="continue"/>
            <w:tcBorders>
              <w:left w:val="single" w:color="auto" w:sz="4" w:space="0"/>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tcBorders>
              <w:top w:val="nil"/>
              <w:left w:val="nil"/>
              <w:bottom w:val="nil"/>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番禺区</w:t>
            </w:r>
          </w:p>
        </w:tc>
        <w:tc>
          <w:tcPr>
            <w:tcW w:w="60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326" w:type="dxa"/>
            <w:gridSpan w:val="17"/>
            <w:vMerge w:val="continue"/>
            <w:tcBorders>
              <w:left w:val="single" w:color="auto" w:sz="4" w:space="0"/>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tcBorders>
              <w:top w:val="nil"/>
              <w:left w:val="nil"/>
              <w:bottom w:val="nil"/>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花都区</w:t>
            </w:r>
          </w:p>
        </w:tc>
        <w:tc>
          <w:tcPr>
            <w:tcW w:w="60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8326" w:type="dxa"/>
            <w:gridSpan w:val="17"/>
            <w:vMerge w:val="continue"/>
            <w:tcBorders>
              <w:left w:val="single" w:color="auto" w:sz="4" w:space="0"/>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tcBorders>
              <w:top w:val="nil"/>
              <w:left w:val="nil"/>
              <w:bottom w:val="nil"/>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南沙区</w:t>
            </w:r>
          </w:p>
        </w:tc>
        <w:tc>
          <w:tcPr>
            <w:tcW w:w="60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326" w:type="dxa"/>
            <w:gridSpan w:val="17"/>
            <w:vMerge w:val="continue"/>
            <w:tcBorders>
              <w:left w:val="single" w:color="auto" w:sz="4" w:space="0"/>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tcBorders>
              <w:top w:val="nil"/>
              <w:left w:val="nil"/>
              <w:bottom w:val="nil"/>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从化区</w:t>
            </w:r>
          </w:p>
        </w:tc>
        <w:tc>
          <w:tcPr>
            <w:tcW w:w="60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8326" w:type="dxa"/>
            <w:gridSpan w:val="17"/>
            <w:vMerge w:val="continue"/>
            <w:tcBorders>
              <w:left w:val="single" w:color="auto" w:sz="4" w:space="0"/>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1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增城区</w:t>
            </w:r>
          </w:p>
        </w:tc>
        <w:tc>
          <w:tcPr>
            <w:tcW w:w="60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8326" w:type="dxa"/>
            <w:gridSpan w:val="17"/>
            <w:vMerge w:val="continue"/>
            <w:tcBorders>
              <w:left w:val="single" w:color="auto" w:sz="4" w:space="0"/>
              <w:bottom w:val="single" w:color="000000" w:sz="4" w:space="0"/>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845" w:type="dxa"/>
            <w:gridSpan w:val="1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单位负责人：        统计负责人：         填表人：    </w:t>
            </w:r>
            <w:r>
              <w:rPr>
                <w:rFonts w:hint="eastAsia" w:ascii="宋体" w:hAnsi="宋体" w:cs="宋体"/>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 xml:space="preserve">     联系电话：              报出日期：２０   年  月  日</w:t>
            </w:r>
          </w:p>
        </w:tc>
      </w:tr>
    </w:tbl>
    <w:p>
      <w:pPr>
        <w:spacing w:before="144" w:beforeLines="50" w:line="280" w:lineRule="exact"/>
        <w:ind w:left="0" w:right="-40" w:firstLine="0" w:firstLineChars="0"/>
        <w:rPr>
          <w:rFonts w:asciiTheme="minorEastAsia" w:hAnsiTheme="minorEastAsia" w:eastAsiaTheme="minorEastAsia" w:cstheme="minorEastAsia"/>
          <w:sz w:val="18"/>
        </w:rPr>
      </w:pPr>
      <w:r>
        <w:rPr>
          <w:rFonts w:hint="eastAsia" w:asciiTheme="minorEastAsia" w:hAnsiTheme="minorEastAsia" w:eastAsiaTheme="minorEastAsia" w:cstheme="minorEastAsia"/>
          <w:sz w:val="18"/>
          <w:szCs w:val="18"/>
        </w:rPr>
        <w:t>说明：1.</w:t>
      </w:r>
      <w:r>
        <w:rPr>
          <w:rFonts w:hint="eastAsia" w:asciiTheme="minorEastAsia" w:hAnsiTheme="minorEastAsia" w:eastAsiaTheme="minorEastAsia" w:cstheme="minorEastAsia"/>
          <w:kern w:val="0"/>
          <w:sz w:val="18"/>
          <w:szCs w:val="18"/>
        </w:rPr>
        <w:t>本表由广东电网有限责任公司</w:t>
      </w:r>
      <w:r>
        <w:rPr>
          <w:rFonts w:hint="eastAsia" w:asciiTheme="minorEastAsia" w:hAnsiTheme="minorEastAsia" w:eastAsiaTheme="minorEastAsia" w:cstheme="minorEastAsia"/>
          <w:sz w:val="18"/>
        </w:rPr>
        <w:t>广州供电局</w:t>
      </w:r>
      <w:r>
        <w:rPr>
          <w:rFonts w:hint="eastAsia" w:asciiTheme="minorEastAsia" w:hAnsiTheme="minorEastAsia" w:eastAsiaTheme="minorEastAsia" w:cstheme="minorEastAsia"/>
          <w:kern w:val="0"/>
          <w:sz w:val="18"/>
          <w:szCs w:val="18"/>
        </w:rPr>
        <w:t>报送</w:t>
      </w:r>
      <w:r>
        <w:rPr>
          <w:rFonts w:hint="eastAsia" w:asciiTheme="minorEastAsia" w:hAnsiTheme="minorEastAsia" w:eastAsiaTheme="minorEastAsia" w:cstheme="minorEastAsia"/>
          <w:sz w:val="18"/>
        </w:rPr>
        <w:t>。</w:t>
      </w:r>
    </w:p>
    <w:p>
      <w:pPr>
        <w:spacing w:line="320" w:lineRule="exact"/>
        <w:ind w:left="535" w:leftChars="255"/>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2.统计范围为</w:t>
      </w:r>
      <w:r>
        <w:rPr>
          <w:rFonts w:hint="eastAsia" w:ascii="宋体" w:hAnsi="宋体" w:eastAsia="宋体" w:cs="宋体"/>
          <w:i w:val="0"/>
          <w:color w:val="000000"/>
          <w:kern w:val="0"/>
          <w:sz w:val="18"/>
          <w:szCs w:val="18"/>
          <w:u w:val="none"/>
          <w:lang w:val="en-US" w:eastAsia="zh-CN" w:bidi="ar"/>
        </w:rPr>
        <w:t>市辖区内全部火力、水力、太阳能发电项目及企业</w:t>
      </w:r>
      <w:r>
        <w:rPr>
          <w:rFonts w:hint="eastAsia" w:asciiTheme="minorEastAsia" w:hAnsiTheme="minorEastAsia" w:eastAsiaTheme="minorEastAsia" w:cstheme="minorEastAsia"/>
          <w:sz w:val="18"/>
          <w:szCs w:val="18"/>
        </w:rPr>
        <w:t>。</w:t>
      </w:r>
    </w:p>
    <w:p>
      <w:pPr>
        <w:spacing w:line="280" w:lineRule="exact"/>
        <w:ind w:firstLine="540" w:firstLineChars="3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3.报送时间为月后15日前，1月免报；通过电子邮件</w:t>
      </w:r>
      <w:r>
        <w:rPr>
          <w:rFonts w:hint="eastAsia" w:asciiTheme="minorEastAsia" w:hAnsiTheme="minorEastAsia" w:eastAsiaTheme="minorEastAsia" w:cstheme="minorEastAsia"/>
          <w:sz w:val="18"/>
        </w:rPr>
        <w:t>（gzstjjnyc@gz.gov.cn）</w:t>
      </w:r>
      <w:r>
        <w:rPr>
          <w:rFonts w:hint="eastAsia" w:asciiTheme="minorEastAsia" w:hAnsiTheme="minorEastAsia" w:eastAsiaTheme="minorEastAsia" w:cstheme="minorEastAsia"/>
          <w:sz w:val="18"/>
          <w:szCs w:val="18"/>
        </w:rPr>
        <w:t xml:space="preserve">报送全市和分区数据。  </w:t>
      </w:r>
    </w:p>
    <w:p>
      <w:pPr>
        <w:spacing w:line="260" w:lineRule="exact"/>
        <w:ind w:firstLine="540" w:firstLineChars="300"/>
        <w:rPr>
          <w:rFonts w:ascii="宋体" w:hAnsi="宋体" w:cs="宋体"/>
          <w:kern w:val="0"/>
          <w:sz w:val="18"/>
          <w:szCs w:val="18"/>
        </w:rPr>
      </w:pPr>
    </w:p>
    <w:p>
      <w:pPr>
        <w:spacing w:line="200" w:lineRule="exact"/>
        <w:ind w:right="-42" w:rightChars="-20"/>
        <w:rPr>
          <w:rFonts w:ascii="宋体" w:hAnsi="宋体"/>
          <w:sz w:val="36"/>
          <w:szCs w:val="36"/>
        </w:rPr>
      </w:pPr>
      <w:r>
        <w:rPr>
          <w:rFonts w:ascii="宋体" w:hAnsi="宋体"/>
          <w:sz w:val="56"/>
          <w:szCs w:val="56"/>
        </w:rPr>
        <w:br w:type="page"/>
      </w:r>
    </w:p>
    <w:p>
      <w:pPr>
        <w:ind w:right="-38"/>
        <w:jc w:val="center"/>
        <w:rPr>
          <w:rFonts w:ascii="黑体" w:hAnsi="黑体" w:eastAsia="黑体" w:cs="黑体"/>
          <w:b/>
          <w:bCs w:val="0"/>
          <w:sz w:val="32"/>
          <w:szCs w:val="32"/>
        </w:rPr>
      </w:pPr>
      <w:r>
        <w:rPr>
          <w:rFonts w:hint="eastAsia" w:ascii="黑体" w:hAnsi="黑体" w:eastAsia="黑体" w:cs="黑体"/>
          <w:b/>
          <w:bCs w:val="0"/>
          <w:sz w:val="32"/>
          <w:szCs w:val="32"/>
        </w:rPr>
        <w:t>四、附 录</w:t>
      </w:r>
    </w:p>
    <w:p>
      <w:pPr>
        <w:adjustRightInd w:val="0"/>
        <w:spacing w:line="340" w:lineRule="exact"/>
        <w:jc w:val="center"/>
        <w:rPr>
          <w:rFonts w:ascii="方正小标宋_GBK" w:hAnsi="宋体" w:eastAsia="方正小标宋_GBK"/>
          <w:sz w:val="18"/>
          <w:szCs w:val="18"/>
        </w:rPr>
      </w:pPr>
    </w:p>
    <w:p>
      <w:pPr>
        <w:ind w:right="-38"/>
        <w:jc w:val="center"/>
        <w:rPr>
          <w:rFonts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rPr>
        <w:t>（一）修订说明</w:t>
      </w:r>
    </w:p>
    <w:p>
      <w:pPr>
        <w:spacing w:line="480" w:lineRule="exact"/>
        <w:jc w:val="center"/>
        <w:rPr>
          <w:rFonts w:ascii="黑体" w:hAnsi="黑体" w:eastAsia="黑体"/>
          <w:b/>
          <w:sz w:val="28"/>
          <w:szCs w:val="28"/>
        </w:rPr>
      </w:pPr>
    </w:p>
    <w:p>
      <w:pPr>
        <w:keepNext w:val="0"/>
        <w:keepLines w:val="0"/>
        <w:pageBreakBefore w:val="0"/>
        <w:widowControl w:val="0"/>
        <w:kinsoku/>
        <w:wordWrap/>
        <w:overflowPunct/>
        <w:topLinePunct w:val="0"/>
        <w:autoSpaceDE/>
        <w:autoSpaceDN/>
        <w:bidi w:val="0"/>
        <w:adjustRightInd w:val="0"/>
        <w:snapToGrid w:val="0"/>
        <w:spacing w:line="420" w:lineRule="exact"/>
        <w:ind w:firstLine="481" w:firstLineChars="200"/>
        <w:textAlignment w:val="auto"/>
        <w:rPr>
          <w:rFonts w:ascii="黑体" w:hAnsi="宋体" w:eastAsia="黑体"/>
          <w:b/>
          <w:sz w:val="24"/>
        </w:rPr>
      </w:pPr>
      <w:r>
        <w:rPr>
          <w:rFonts w:hint="eastAsia" w:ascii="黑体" w:hAnsi="宋体" w:eastAsia="黑体"/>
          <w:b/>
          <w:sz w:val="24"/>
        </w:rPr>
        <w:t>1.总体说明</w:t>
      </w:r>
    </w:p>
    <w:p>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olor w:val="auto"/>
        </w:rPr>
      </w:pPr>
      <w:r>
        <w:rPr>
          <w:rFonts w:hint="eastAsia" w:ascii="宋体" w:hAnsi="宋体"/>
        </w:rPr>
        <w:t>（1）广州市能源统计报表制度</w:t>
      </w:r>
      <w:r>
        <w:rPr>
          <w:rFonts w:hint="eastAsia" w:ascii="宋体" w:hAnsi="宋体"/>
          <w:color w:val="auto"/>
        </w:rPr>
        <w:t>202</w:t>
      </w:r>
      <w:r>
        <w:rPr>
          <w:rFonts w:hint="eastAsia" w:ascii="宋体" w:hAnsi="宋体"/>
          <w:color w:val="auto"/>
          <w:lang w:val="en-US" w:eastAsia="zh-CN"/>
        </w:rPr>
        <w:t>5</w:t>
      </w:r>
      <w:r>
        <w:rPr>
          <w:rFonts w:hint="eastAsia" w:ascii="宋体" w:hAnsi="宋体"/>
          <w:color w:val="auto"/>
        </w:rPr>
        <w:t>年统计年报表的有效期至202</w:t>
      </w:r>
      <w:r>
        <w:rPr>
          <w:rFonts w:hint="eastAsia" w:ascii="宋体" w:hAnsi="宋体"/>
          <w:color w:val="auto"/>
          <w:lang w:val="en-US" w:eastAsia="zh-CN"/>
        </w:rPr>
        <w:t>6</w:t>
      </w:r>
      <w:r>
        <w:rPr>
          <w:rFonts w:hint="eastAsia" w:ascii="宋体" w:hAnsi="宋体"/>
          <w:color w:val="auto"/>
        </w:rPr>
        <w:t>年6月，202</w:t>
      </w:r>
      <w:r>
        <w:rPr>
          <w:rFonts w:hint="eastAsia" w:ascii="宋体" w:hAnsi="宋体"/>
          <w:color w:val="auto"/>
          <w:lang w:val="en-US" w:eastAsia="zh-CN"/>
        </w:rPr>
        <w:t>6</w:t>
      </w:r>
      <w:r>
        <w:rPr>
          <w:rFonts w:hint="eastAsia" w:ascii="宋体" w:hAnsi="宋体"/>
          <w:color w:val="auto"/>
        </w:rPr>
        <w:t>年定期统计报表的有效期至202</w:t>
      </w:r>
      <w:r>
        <w:rPr>
          <w:rFonts w:hint="eastAsia" w:ascii="宋体" w:hAnsi="宋体"/>
          <w:color w:val="auto"/>
          <w:lang w:val="en-US" w:eastAsia="zh-CN"/>
        </w:rPr>
        <w:t>7</w:t>
      </w:r>
      <w:r>
        <w:rPr>
          <w:rFonts w:hint="eastAsia" w:ascii="宋体" w:hAnsi="宋体"/>
          <w:color w:val="auto"/>
        </w:rPr>
        <w:t>年1月。</w:t>
      </w:r>
    </w:p>
    <w:p>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olor w:val="auto"/>
        </w:rPr>
      </w:pPr>
      <w:r>
        <w:rPr>
          <w:rFonts w:hint="eastAsia" w:ascii="宋体" w:hAnsi="宋体"/>
          <w:color w:val="auto"/>
        </w:rPr>
        <w:t>（2）基层定期报表的企业填报时间和各级统计机构验收时间根据国家法定节假日适当调整。</w:t>
      </w:r>
    </w:p>
    <w:p>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color w:val="auto"/>
        </w:rPr>
      </w:pPr>
      <w:r>
        <w:rPr>
          <w:rFonts w:hint="eastAsia" w:ascii="宋体" w:hAnsi="宋体"/>
          <w:color w:val="auto"/>
        </w:rPr>
        <w:t>（3）未提及修订内容的各项报表制度继续执行，国家统计局制定的报表所列文号改为“国统字〔202</w:t>
      </w:r>
      <w:r>
        <w:rPr>
          <w:rFonts w:hint="eastAsia" w:ascii="宋体" w:hAnsi="宋体"/>
          <w:color w:val="auto"/>
          <w:lang w:val="en-US" w:eastAsia="zh-CN"/>
        </w:rPr>
        <w:t>5</w:t>
      </w:r>
      <w:r>
        <w:rPr>
          <w:rFonts w:hint="eastAsia" w:ascii="宋体" w:hAnsi="宋体"/>
          <w:color w:val="auto"/>
        </w:rPr>
        <w:t>〕</w:t>
      </w:r>
      <w:r>
        <w:rPr>
          <w:rFonts w:hint="eastAsia" w:ascii="宋体" w:hAnsi="宋体"/>
          <w:color w:val="auto"/>
          <w:lang w:val="en-US" w:eastAsia="zh-CN"/>
        </w:rPr>
        <w:t>88</w:t>
      </w:r>
      <w:r>
        <w:rPr>
          <w:rFonts w:hint="eastAsia" w:ascii="宋体" w:hAnsi="宋体"/>
          <w:color w:val="auto"/>
        </w:rPr>
        <w:t>号”，广东省统计局制定的报表所列文号改为“</w:t>
      </w:r>
      <w:r>
        <w:rPr>
          <w:rFonts w:hint="eastAsia" w:ascii="宋体" w:hAnsi="宋体"/>
          <w:color w:val="auto"/>
          <w:highlight w:val="none"/>
        </w:rPr>
        <w:t>国统制〔</w:t>
      </w:r>
      <w:r>
        <w:rPr>
          <w:rFonts w:ascii="宋体" w:hAnsi="宋体"/>
          <w:color w:val="auto"/>
          <w:highlight w:val="none"/>
        </w:rPr>
        <w:t>202</w:t>
      </w:r>
      <w:r>
        <w:rPr>
          <w:rFonts w:hint="eastAsia" w:ascii="宋体" w:hAnsi="宋体"/>
          <w:color w:val="auto"/>
          <w:highlight w:val="none"/>
          <w:lang w:val="en-US" w:eastAsia="zh-CN"/>
        </w:rPr>
        <w:t>6</w:t>
      </w:r>
      <w:r>
        <w:rPr>
          <w:rFonts w:hint="eastAsia" w:ascii="宋体" w:hAnsi="宋体"/>
          <w:color w:val="auto"/>
          <w:highlight w:val="none"/>
        </w:rPr>
        <w:t>〕</w:t>
      </w:r>
      <w:r>
        <w:rPr>
          <w:rFonts w:hint="eastAsia" w:ascii="宋体" w:hAnsi="宋体"/>
          <w:color w:val="auto"/>
          <w:highlight w:val="none"/>
          <w:lang w:val="en-US" w:eastAsia="zh-CN"/>
        </w:rPr>
        <w:t>48</w:t>
      </w:r>
      <w:r>
        <w:rPr>
          <w:rFonts w:hint="eastAsia" w:ascii="宋体" w:hAnsi="宋体"/>
          <w:color w:val="auto"/>
          <w:highlight w:val="none"/>
        </w:rPr>
        <w:t>号</w:t>
      </w:r>
      <w:r>
        <w:rPr>
          <w:rFonts w:hint="eastAsia" w:ascii="宋体" w:hAnsi="宋体"/>
          <w:color w:val="auto"/>
        </w:rPr>
        <w:t>”。</w:t>
      </w:r>
    </w:p>
    <w:p>
      <w:pPr>
        <w:keepNext w:val="0"/>
        <w:keepLines w:val="0"/>
        <w:pageBreakBefore w:val="0"/>
        <w:widowControl w:val="0"/>
        <w:kinsoku/>
        <w:wordWrap/>
        <w:overflowPunct/>
        <w:topLinePunct w:val="0"/>
        <w:autoSpaceDE/>
        <w:autoSpaceDN/>
        <w:bidi w:val="0"/>
        <w:adjustRightInd w:val="0"/>
        <w:snapToGrid w:val="0"/>
        <w:spacing w:line="420" w:lineRule="exact"/>
        <w:ind w:firstLine="481" w:firstLineChars="200"/>
        <w:textAlignment w:val="auto"/>
        <w:rPr>
          <w:rFonts w:hint="eastAsia" w:ascii="黑体" w:hAnsi="宋体" w:eastAsia="黑体"/>
          <w:b/>
          <w:strike w:val="0"/>
          <w:dstrike w:val="0"/>
          <w:color w:val="auto"/>
          <w:sz w:val="24"/>
        </w:rPr>
      </w:pPr>
      <w:r>
        <w:rPr>
          <w:rFonts w:hint="eastAsia" w:ascii="黑体" w:hAnsi="宋体" w:eastAsia="黑体"/>
          <w:b/>
          <w:strike w:val="0"/>
          <w:dstrike w:val="0"/>
          <w:color w:val="auto"/>
          <w:sz w:val="24"/>
        </w:rPr>
        <w:t>2.报表指标</w:t>
      </w:r>
    </w:p>
    <w:p>
      <w:pPr>
        <w:keepNext w:val="0"/>
        <w:keepLines w:val="0"/>
        <w:pageBreakBefore w:val="0"/>
        <w:widowControl w:val="0"/>
        <w:kinsoku/>
        <w:wordWrap/>
        <w:overflowPunct/>
        <w:topLinePunct w:val="0"/>
        <w:autoSpaceDE/>
        <w:autoSpaceDN/>
        <w:bidi w:val="0"/>
        <w:spacing w:line="420" w:lineRule="exact"/>
        <w:ind w:firstLine="420" w:firstLineChars="200"/>
        <w:textAlignment w:val="center"/>
        <w:rPr>
          <w:rFonts w:hint="eastAsia" w:eastAsia="宋体"/>
          <w:color w:val="auto"/>
          <w:szCs w:val="21"/>
        </w:rPr>
      </w:pPr>
      <w:r>
        <w:rPr>
          <w:rFonts w:hint="eastAsia" w:eastAsia="宋体"/>
          <w:color w:val="auto"/>
          <w:szCs w:val="21"/>
        </w:rPr>
        <w:t>调整《季度地区能源消费总量核算方案》，在“主要核算方法”中增加“核算方法四（电力增速推算法）”。</w:t>
      </w:r>
    </w:p>
    <w:p>
      <w:pPr>
        <w:keepNext w:val="0"/>
        <w:keepLines w:val="0"/>
        <w:pageBreakBefore w:val="0"/>
        <w:widowControl w:val="0"/>
        <w:kinsoku/>
        <w:wordWrap/>
        <w:overflowPunct/>
        <w:topLinePunct w:val="0"/>
        <w:autoSpaceDE/>
        <w:autoSpaceDN/>
        <w:bidi w:val="0"/>
        <w:spacing w:line="420" w:lineRule="exact"/>
        <w:ind w:firstLine="420" w:firstLineChars="200"/>
        <w:textAlignment w:val="center"/>
        <w:rPr>
          <w:rFonts w:hint="eastAsia" w:eastAsia="宋体"/>
          <w:color w:val="auto"/>
          <w:szCs w:val="21"/>
          <w:lang w:eastAsia="zh-CN"/>
        </w:rPr>
      </w:pPr>
      <w:r>
        <w:rPr>
          <w:rFonts w:hint="eastAsia" w:eastAsia="宋体"/>
          <w:color w:val="auto"/>
          <w:szCs w:val="21"/>
          <w:lang w:eastAsia="zh-CN"/>
        </w:rPr>
        <w:t>核算方法四（电力增速推算法）：使用本期用电量增速、上年用电量占能源消费量比重核算。</w:t>
      </w:r>
    </w:p>
    <w:p>
      <w:pPr>
        <w:keepNext w:val="0"/>
        <w:keepLines w:val="0"/>
        <w:pageBreakBefore w:val="0"/>
        <w:widowControl w:val="0"/>
        <w:kinsoku/>
        <w:wordWrap/>
        <w:overflowPunct/>
        <w:topLinePunct w:val="0"/>
        <w:autoSpaceDE/>
        <w:autoSpaceDN/>
        <w:bidi w:val="0"/>
        <w:spacing w:line="420" w:lineRule="exact"/>
        <w:ind w:firstLine="420" w:firstLineChars="200"/>
        <w:textAlignment w:val="center"/>
        <w:rPr>
          <w:rFonts w:hint="eastAsia"/>
          <w:color w:val="auto"/>
        </w:rPr>
      </w:pPr>
      <w:r>
        <w:rPr>
          <w:rFonts w:hint="eastAsia" w:eastAsia="宋体"/>
          <w:color w:val="auto"/>
          <w:szCs w:val="21"/>
          <w:lang w:eastAsia="zh-CN"/>
        </w:rPr>
        <w:t>本期能源消费量增速=本期用电量增速×上年用电量占能源消费量比重</w:t>
      </w:r>
    </w:p>
    <w:p>
      <w:pPr>
        <w:keepNext w:val="0"/>
        <w:keepLines w:val="0"/>
        <w:pageBreakBefore w:val="0"/>
        <w:widowControl w:val="0"/>
        <w:kinsoku/>
        <w:wordWrap/>
        <w:overflowPunct/>
        <w:topLinePunct w:val="0"/>
        <w:autoSpaceDE/>
        <w:autoSpaceDN/>
        <w:bidi w:val="0"/>
        <w:adjustRightInd w:val="0"/>
        <w:snapToGrid w:val="0"/>
        <w:spacing w:line="420" w:lineRule="exact"/>
        <w:ind w:firstLine="481" w:firstLineChars="200"/>
        <w:textAlignment w:val="auto"/>
        <w:rPr>
          <w:rFonts w:ascii="黑体" w:hAnsi="宋体" w:eastAsia="黑体"/>
          <w:b/>
          <w:strike w:val="0"/>
          <w:dstrike w:val="0"/>
          <w:color w:val="auto"/>
          <w:sz w:val="24"/>
        </w:rPr>
      </w:pPr>
      <w:r>
        <w:rPr>
          <w:rFonts w:hint="eastAsia" w:ascii="黑体" w:hAnsi="宋体" w:eastAsia="黑体"/>
          <w:b/>
          <w:strike w:val="0"/>
          <w:dstrike w:val="0"/>
          <w:color w:val="auto"/>
          <w:sz w:val="24"/>
          <w:lang w:val="en-US" w:eastAsia="zh-CN"/>
        </w:rPr>
        <w:t>3.报表指标</w:t>
      </w:r>
      <w:r>
        <w:rPr>
          <w:rFonts w:hint="eastAsia" w:ascii="黑体" w:hAnsi="宋体" w:eastAsia="黑体"/>
          <w:b/>
          <w:strike w:val="0"/>
          <w:dstrike w:val="0"/>
          <w:color w:val="auto"/>
          <w:sz w:val="24"/>
        </w:rPr>
        <w:t>的变化</w:t>
      </w:r>
    </w:p>
    <w:p>
      <w:pPr>
        <w:keepNext w:val="0"/>
        <w:keepLines w:val="0"/>
        <w:pageBreakBefore w:val="0"/>
        <w:widowControl w:val="0"/>
        <w:kinsoku/>
        <w:wordWrap/>
        <w:overflowPunct/>
        <w:topLinePunct w:val="0"/>
        <w:autoSpaceDE/>
        <w:autoSpaceDN/>
        <w:bidi w:val="0"/>
        <w:spacing w:line="420" w:lineRule="exact"/>
        <w:ind w:firstLine="420" w:firstLineChars="200"/>
        <w:textAlignment w:val="center"/>
        <w:rPr>
          <w:rFonts w:hint="eastAsia" w:eastAsia="宋体"/>
          <w:color w:val="auto"/>
          <w:szCs w:val="21"/>
        </w:rPr>
      </w:pPr>
      <w:r>
        <w:rPr>
          <w:rFonts w:hint="eastAsia" w:eastAsia="宋体"/>
          <w:color w:val="auto"/>
          <w:szCs w:val="21"/>
        </w:rPr>
        <w:t>（</w:t>
      </w:r>
      <w:r>
        <w:rPr>
          <w:rFonts w:hint="eastAsia" w:eastAsia="宋体"/>
          <w:color w:val="auto"/>
          <w:szCs w:val="21"/>
          <w:lang w:val="en-US" w:eastAsia="zh-CN"/>
        </w:rPr>
        <w:t>1</w:t>
      </w:r>
      <w:r>
        <w:rPr>
          <w:rFonts w:hint="eastAsia" w:eastAsia="宋体"/>
          <w:color w:val="auto"/>
          <w:szCs w:val="21"/>
        </w:rPr>
        <w:t>）能源平衡表（实物量）（P303-1表）、分行业能源消费量（实物量）（P303-2表）、分行业终端能源消费量（实物量）（P303-3表），“氢能”调整为“氢气”，计量单位由“万吨”调整为“亿立方米”。</w:t>
      </w:r>
    </w:p>
    <w:p>
      <w:pPr>
        <w:keepNext w:val="0"/>
        <w:keepLines w:val="0"/>
        <w:pageBreakBefore w:val="0"/>
        <w:widowControl w:val="0"/>
        <w:kinsoku/>
        <w:wordWrap/>
        <w:overflowPunct/>
        <w:topLinePunct w:val="0"/>
        <w:autoSpaceDE/>
        <w:autoSpaceDN/>
        <w:bidi w:val="0"/>
        <w:spacing w:line="420" w:lineRule="exact"/>
        <w:ind w:firstLine="420" w:firstLineChars="200"/>
        <w:textAlignment w:val="center"/>
        <w:rPr>
          <w:rFonts w:hint="eastAsia" w:eastAsia="宋体"/>
          <w:color w:val="auto"/>
          <w:szCs w:val="21"/>
        </w:rPr>
      </w:pPr>
      <w:r>
        <w:rPr>
          <w:rFonts w:hint="eastAsia" w:eastAsia="宋体"/>
          <w:color w:val="auto"/>
          <w:szCs w:val="21"/>
        </w:rPr>
        <w:t>（</w:t>
      </w:r>
      <w:r>
        <w:rPr>
          <w:rFonts w:hint="eastAsia" w:eastAsia="宋体"/>
          <w:color w:val="auto"/>
          <w:szCs w:val="21"/>
          <w:lang w:val="en-US" w:eastAsia="zh-CN"/>
        </w:rPr>
        <w:t>2</w:t>
      </w:r>
      <w:r>
        <w:rPr>
          <w:rFonts w:hint="eastAsia" w:eastAsia="宋体"/>
          <w:color w:val="auto"/>
          <w:szCs w:val="21"/>
        </w:rPr>
        <w:t>）能源平衡表（标准量）（P303-4表）、分行业终端能源消费量（标准量）（P303-5表），“氢能”调整为“氢气”。</w:t>
      </w:r>
    </w:p>
    <w:p>
      <w:pPr>
        <w:keepNext w:val="0"/>
        <w:keepLines w:val="0"/>
        <w:pageBreakBefore w:val="0"/>
        <w:widowControl w:val="0"/>
        <w:kinsoku/>
        <w:wordWrap/>
        <w:overflowPunct/>
        <w:topLinePunct w:val="0"/>
        <w:autoSpaceDE/>
        <w:autoSpaceDN/>
        <w:bidi w:val="0"/>
        <w:spacing w:line="420" w:lineRule="exact"/>
        <w:ind w:firstLine="420" w:firstLineChars="200"/>
        <w:textAlignment w:val="center"/>
        <w:rPr>
          <w:rFonts w:hint="eastAsia" w:eastAsia="宋体"/>
          <w:color w:val="auto"/>
          <w:szCs w:val="21"/>
        </w:rPr>
      </w:pPr>
      <w:r>
        <w:rPr>
          <w:rFonts w:hint="eastAsia" w:eastAsia="宋体"/>
          <w:color w:val="auto"/>
          <w:szCs w:val="21"/>
        </w:rPr>
        <w:t>（</w:t>
      </w:r>
      <w:r>
        <w:rPr>
          <w:rFonts w:hint="eastAsia" w:eastAsia="宋体"/>
          <w:color w:val="auto"/>
          <w:szCs w:val="21"/>
          <w:lang w:val="en-US" w:eastAsia="zh-CN"/>
        </w:rPr>
        <w:t>3</w:t>
      </w:r>
      <w:r>
        <w:rPr>
          <w:rFonts w:hint="eastAsia" w:eastAsia="宋体"/>
          <w:color w:val="auto"/>
          <w:szCs w:val="21"/>
        </w:rPr>
        <w:t>）电力行业监测情况（DL403表），增加指标“生物质能发电量（亿千瓦时）”及分类项。</w:t>
      </w:r>
    </w:p>
    <w:p>
      <w:pPr>
        <w:keepNext w:val="0"/>
        <w:keepLines w:val="0"/>
        <w:pageBreakBefore w:val="0"/>
        <w:widowControl w:val="0"/>
        <w:kinsoku/>
        <w:wordWrap/>
        <w:overflowPunct/>
        <w:topLinePunct w:val="0"/>
        <w:autoSpaceDE/>
        <w:autoSpaceDN/>
        <w:bidi w:val="0"/>
        <w:spacing w:line="420" w:lineRule="exact"/>
        <w:ind w:firstLine="420" w:firstLineChars="200"/>
        <w:textAlignment w:val="center"/>
        <w:rPr>
          <w:rFonts w:hint="eastAsia" w:eastAsia="宋体"/>
          <w:color w:val="auto"/>
          <w:szCs w:val="21"/>
          <w:lang w:val="en-US" w:eastAsia="zh-CN"/>
        </w:rPr>
      </w:pPr>
      <w:r>
        <w:rPr>
          <w:rFonts w:hint="eastAsia" w:eastAsia="宋体"/>
          <w:color w:val="auto"/>
          <w:szCs w:val="21"/>
        </w:rPr>
        <w:t>（</w:t>
      </w:r>
      <w:r>
        <w:rPr>
          <w:rFonts w:hint="eastAsia" w:eastAsia="宋体"/>
          <w:color w:val="auto"/>
          <w:szCs w:val="21"/>
          <w:lang w:val="en-US" w:eastAsia="zh-CN"/>
        </w:rPr>
        <w:t>4</w:t>
      </w:r>
      <w:r>
        <w:rPr>
          <w:rFonts w:hint="eastAsia" w:eastAsia="宋体"/>
          <w:color w:val="auto"/>
          <w:szCs w:val="21"/>
        </w:rPr>
        <w:t>）</w:t>
      </w:r>
      <w:r>
        <w:rPr>
          <w:rFonts w:hint="eastAsia" w:eastAsia="宋体"/>
          <w:color w:val="auto"/>
          <w:szCs w:val="21"/>
          <w:lang w:eastAsia="zh-CN"/>
        </w:rPr>
        <w:t>工业企业用水情况（</w:t>
      </w:r>
      <w:r>
        <w:rPr>
          <w:rFonts w:hint="eastAsia" w:eastAsia="宋体"/>
          <w:color w:val="auto"/>
          <w:szCs w:val="21"/>
          <w:lang w:val="en-US" w:eastAsia="zh-CN"/>
        </w:rPr>
        <w:t>205-4表）中“污水处理量”指标解释调整为“</w:t>
      </w:r>
      <w:r>
        <w:rPr>
          <w:rFonts w:hint="eastAsia" w:eastAsia="宋体"/>
          <w:color w:val="auto"/>
          <w:szCs w:val="21"/>
        </w:rPr>
        <w:t>指污水处理厂（或污水处理装置）实际处理的污水量。包括物理处理量、生物处理量和化学处理量。统计污水处理量时，应包括取自企业外部和本企业产生的污（废）水</w:t>
      </w:r>
      <w:r>
        <w:rPr>
          <w:rFonts w:hint="eastAsia" w:eastAsia="宋体"/>
          <w:color w:val="auto"/>
          <w:szCs w:val="21"/>
          <w:lang w:eastAsia="zh-CN"/>
        </w:rPr>
        <w:t>”</w:t>
      </w:r>
      <w:r>
        <w:rPr>
          <w:rFonts w:hint="eastAsia" w:eastAsia="宋体"/>
          <w:color w:val="auto"/>
          <w:szCs w:val="21"/>
        </w:rPr>
        <w:t>。</w:t>
      </w:r>
    </w:p>
    <w:p>
      <w:pPr>
        <w:pStyle w:val="20"/>
        <w:rPr>
          <w:rFonts w:hint="eastAsia"/>
          <w:color w:val="auto"/>
        </w:rPr>
      </w:pP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strike/>
          <w:dstrike w:val="0"/>
          <w:color w:val="auto"/>
          <w:lang w:eastAsia="zh-CN"/>
        </w:rPr>
      </w:pPr>
    </w:p>
    <w:p>
      <w:pPr>
        <w:adjustRightInd w:val="0"/>
        <w:snapToGrid w:val="0"/>
        <w:spacing w:line="360" w:lineRule="auto"/>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br w:type="page"/>
      </w:r>
      <w:r>
        <w:rPr>
          <w:rFonts w:hint="eastAsia" w:asciiTheme="minorEastAsia" w:hAnsiTheme="minorEastAsia" w:eastAsiaTheme="minorEastAsia" w:cstheme="minorEastAsia"/>
          <w:b/>
          <w:bCs w:val="0"/>
          <w:sz w:val="32"/>
          <w:szCs w:val="32"/>
        </w:rPr>
        <w:t>（二）统计目录</w:t>
      </w:r>
    </w:p>
    <w:p>
      <w:pPr>
        <w:ind w:right="-38"/>
        <w:jc w:val="center"/>
        <w:rPr>
          <w:rFonts w:hint="default" w:ascii="Times New Roman" w:hAnsi="Times New Roman" w:eastAsia="黑体" w:cs="Times New Roman"/>
          <w:sz w:val="24"/>
        </w:rPr>
      </w:pPr>
      <w:r>
        <w:rPr>
          <w:rFonts w:hint="default" w:ascii="Times New Roman" w:hAnsi="Times New Roman" w:eastAsia="黑体" w:cs="Times New Roman"/>
          <w:sz w:val="24"/>
        </w:rPr>
        <w:t xml:space="preserve">1.能源购进、消费与库存目录 </w:t>
      </w:r>
    </w:p>
    <w:p>
      <w:pPr>
        <w:keepNext w:val="0"/>
        <w:keepLines w:val="0"/>
        <w:pageBreakBefore w:val="0"/>
        <w:widowControl w:val="0"/>
        <w:kinsoku/>
        <w:wordWrap/>
        <w:overflowPunct/>
        <w:topLinePunct w:val="0"/>
        <w:autoSpaceDE/>
        <w:autoSpaceDN/>
        <w:bidi w:val="0"/>
        <w:adjustRightInd/>
        <w:snapToGrid/>
        <w:spacing w:after="144" w:afterLines="50"/>
        <w:ind w:right="-40"/>
        <w:jc w:val="center"/>
        <w:textAlignment w:val="auto"/>
        <w:rPr>
          <w:rFonts w:hint="default" w:ascii="Times New Roman" w:hAnsi="Times New Roman" w:eastAsia="黑体" w:cs="Times New Roman"/>
          <w:sz w:val="24"/>
        </w:rPr>
      </w:pPr>
      <w:r>
        <w:rPr>
          <w:rFonts w:hint="default" w:ascii="Times New Roman" w:hAnsi="Times New Roman" w:eastAsia="黑体" w:cs="Times New Roman"/>
          <w:sz w:val="24"/>
        </w:rPr>
        <w:t>（限填报205—1表、205—2表）</w:t>
      </w:r>
    </w:p>
    <w:tbl>
      <w:tblPr>
        <w:tblStyle w:val="21"/>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717"/>
        <w:gridCol w:w="2214"/>
        <w:gridCol w:w="1310"/>
        <w:gridCol w:w="2950"/>
        <w:gridCol w:w="2430"/>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70" w:hRule="atLeast"/>
          <w:jc w:val="center"/>
        </w:trPr>
        <w:tc>
          <w:tcPr>
            <w:tcW w:w="717" w:type="dxa"/>
            <w:noWrap/>
            <w:vAlign w:val="center"/>
          </w:tcPr>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代码</w:t>
            </w:r>
          </w:p>
        </w:tc>
        <w:tc>
          <w:tcPr>
            <w:tcW w:w="2214" w:type="dxa"/>
            <w:noWrap/>
            <w:vAlign w:val="center"/>
          </w:tcPr>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能源名称</w:t>
            </w:r>
          </w:p>
        </w:tc>
        <w:tc>
          <w:tcPr>
            <w:tcW w:w="1310" w:type="dxa"/>
            <w:noWrap/>
            <w:vAlign w:val="center"/>
          </w:tcPr>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计量单位</w:t>
            </w:r>
          </w:p>
        </w:tc>
        <w:tc>
          <w:tcPr>
            <w:tcW w:w="2950" w:type="dxa"/>
            <w:noWrap/>
            <w:vAlign w:val="center"/>
          </w:tcPr>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参考折标准煤系数</w:t>
            </w:r>
          </w:p>
        </w:tc>
        <w:tc>
          <w:tcPr>
            <w:tcW w:w="2430" w:type="dxa"/>
            <w:noWrap/>
            <w:vAlign w:val="center"/>
          </w:tcPr>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参考发热量</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701" w:hRule="atLeast"/>
          <w:jc w:val="center"/>
        </w:trPr>
        <w:tc>
          <w:tcPr>
            <w:tcW w:w="717" w:type="dxa"/>
            <w:noWrap/>
          </w:tcPr>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01</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02</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03</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04</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05</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06</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07</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08</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09</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13</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15</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16</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17</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18</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19</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20</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21</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22</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23</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24</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28</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29</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30</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31</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32</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33</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34</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35</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36</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37</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38</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39</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40</w:t>
            </w:r>
          </w:p>
        </w:tc>
        <w:tc>
          <w:tcPr>
            <w:tcW w:w="2214" w:type="dxa"/>
            <w:noWrap/>
          </w:tcPr>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原煤</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无烟煤</w:t>
            </w:r>
          </w:p>
          <w:p>
            <w:pPr>
              <w:widowControl/>
              <w:spacing w:line="260" w:lineRule="exact"/>
              <w:ind w:firstLine="180" w:firstLineChars="100"/>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炼焦烟煤</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一般烟煤</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褐煤</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洗精煤（用于炼焦）</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其他洗煤</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煤制品</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焦炭</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其他焦化产品</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焦炉煤气</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高炉煤气</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转炉煤气</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其他煤气</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天然气</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液化天然气</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氢气</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原油</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汽油</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煤油</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柴油</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燃料油</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液化石油气</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炼厂干气</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石脑油</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润滑油</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石蜡</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溶剂油</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石油焦</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石油沥青</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其他石油制品</w:t>
            </w:r>
          </w:p>
          <w:p>
            <w:pPr>
              <w:widowControl/>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热力</w:t>
            </w:r>
          </w:p>
          <w:p>
            <w:pPr>
              <w:widowControl/>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电力</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煤矸石（用于燃料）</w:t>
            </w:r>
          </w:p>
          <w:p>
            <w:pPr>
              <w:spacing w:line="260" w:lineRule="exact"/>
              <w:ind w:left="1" w:hanging="1"/>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城市生活垃圾（用于燃料）</w:t>
            </w:r>
          </w:p>
          <w:p>
            <w:pPr>
              <w:spacing w:line="260" w:lineRule="exact"/>
              <w:jc w:val="left"/>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生物</w:t>
            </w:r>
            <w:r>
              <w:rPr>
                <w:rFonts w:hint="eastAsia" w:asciiTheme="minorEastAsia" w:hAnsiTheme="minorEastAsia" w:eastAsiaTheme="minorEastAsia" w:cstheme="minorEastAsia"/>
                <w:color w:val="000000"/>
                <w:sz w:val="18"/>
                <w:szCs w:val="18"/>
              </w:rPr>
              <w:t>质能(用于燃料)</w:t>
            </w:r>
          </w:p>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余热余压</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工业废料（用于燃料）</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其他燃料</w:t>
            </w:r>
          </w:p>
          <w:p>
            <w:pPr>
              <w:widowControl/>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能源合计</w:t>
            </w:r>
          </w:p>
        </w:tc>
        <w:tc>
          <w:tcPr>
            <w:tcW w:w="1310" w:type="dxa"/>
            <w:noWrap/>
          </w:tcPr>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万立方米</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万立方米</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万立方米</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万立方米</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万立方米</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万立方米</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百万千焦</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万千瓦时</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吨标准煤</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百万千焦</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吨标准煤</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吨标准煤</w:t>
            </w:r>
          </w:p>
        </w:tc>
        <w:tc>
          <w:tcPr>
            <w:tcW w:w="2950" w:type="dxa"/>
            <w:noWrap/>
          </w:tcPr>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0.9428吨标准煤/吨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0.9吨标准煤/吨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0.7143吨标准煤/吨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0.4286吨标准煤/吨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0.9吨标准煤/吨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0.4643-0.9吨标准煤/吨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0.5286吨标准煤/吨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0.9714吨标准煤/吨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1.1-1.5吨标准煤/吨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5.714-6.143吨标准煤/万立方米</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1.286吨标准煤/万立方米</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2.714吨标准煤/万立方米</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1.786吨标准煤/万立方米</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11.0-13.3吨标准煤/万立方米</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1.7572吨标准煤/吨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4.361吨标准煤/万立方米</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1.4286吨标准煤/吨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1.4714吨标准煤/吨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1.4714吨标准煤/吨</w:t>
            </w:r>
          </w:p>
          <w:p>
            <w:pPr>
              <w:widowControl/>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1.4571吨标准煤/吨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1.4286吨标准煤/吨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1.7143吨标准煤/吨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1.5714吨标准煤/吨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1.5吨标准煤/吨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1.4143吨标准煤/吨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1.3648吨标准煤/吨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1.4672吨标准煤/吨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1.0918吨标准煤/吨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1.3307吨标准煤/吨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0.0341吨标准煤/百万千焦</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1.229吨标准煤/万千瓦时</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0.2857吨标准煤/吨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0.2714吨标准煤/吨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0.0341吨标准煤/百万千焦</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0.4285吨标准煤/吨</w:t>
            </w:r>
          </w:p>
          <w:p>
            <w:pPr>
              <w:spacing w:line="26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w:t>
            </w:r>
          </w:p>
        </w:tc>
        <w:tc>
          <w:tcPr>
            <w:tcW w:w="2430" w:type="dxa"/>
            <w:noWrap/>
          </w:tcPr>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约6000千卡/千克以上</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约6000千卡/千克以上</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约4500-5500千卡/千克</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约2500-3500千卡/千克</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约6000千卡/千克以上</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 2500-6000千卡/千克</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约3000-5000千卡/千克</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约6800千卡/千克</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约7700-10500千卡/千克</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约4000-4300千卡/立方米</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约900千卡/立方米</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约1900千卡/立方米</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约1250千卡/立方米</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约7700-9300千卡/立方米</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约12300千卡/千克</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约142000千焦耳/立方米</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约10000千卡/千克</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约10300千卡/千克</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约10300千卡/千克</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约10200千卡/千克</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约10000千卡/千克</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约12000千卡/千克</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约11000千卡/千克</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约10500千卡/千克</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约9900千卡/千克</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约9550千卡/千克</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约10270千卡/千克</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约7640千卡/千克</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约9310千卡/千克</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约9800千卡/千克</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b/>
                <w:bCs/>
                <w:kern w:val="0"/>
                <w:sz w:val="18"/>
                <w:szCs w:val="18"/>
              </w:rPr>
              <w:t>—</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860千卡/千瓦时</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约2000千卡/千克</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约1900千卡/千克</w:t>
            </w:r>
          </w:p>
          <w:p>
            <w:pPr>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7000千卡/千克标准煤</w:t>
            </w:r>
          </w:p>
          <w:p>
            <w:pPr>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b/>
                <w:bCs/>
                <w:kern w:val="0"/>
                <w:sz w:val="18"/>
                <w:szCs w:val="18"/>
              </w:rPr>
              <w:t>—</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约3000千卡/千克</w:t>
            </w:r>
          </w:p>
          <w:p>
            <w:pPr>
              <w:widowControl/>
              <w:spacing w:line="26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7000千卡/千克标准煤</w:t>
            </w:r>
          </w:p>
          <w:p>
            <w:pPr>
              <w:widowControl/>
              <w:spacing w:line="26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b/>
                <w:bCs/>
                <w:kern w:val="0"/>
                <w:sz w:val="18"/>
                <w:szCs w:val="18"/>
              </w:rPr>
              <w:t>—</w:t>
            </w:r>
          </w:p>
        </w:tc>
      </w:tr>
    </w:tbl>
    <w:p>
      <w:pPr>
        <w:ind w:right="-38" w:firstLine="121" w:firstLineChars="58"/>
        <w:rPr>
          <w:rFonts w:ascii="宋体" w:hAnsi="宋体"/>
        </w:rPr>
      </w:pPr>
    </w:p>
    <w:p>
      <w:pPr>
        <w:keepNext w:val="0"/>
        <w:keepLines w:val="0"/>
        <w:pageBreakBefore w:val="0"/>
        <w:widowControl w:val="0"/>
        <w:kinsoku/>
        <w:wordWrap/>
        <w:overflowPunct/>
        <w:topLinePunct w:val="0"/>
        <w:autoSpaceDE/>
        <w:autoSpaceDN/>
        <w:bidi w:val="0"/>
        <w:snapToGrid/>
        <w:spacing w:line="320" w:lineRule="exact"/>
        <w:ind w:firstLine="361" w:firstLineChars="200"/>
        <w:rPr>
          <w:rFonts w:ascii="宋体" w:hAnsi="宋体"/>
          <w:sz w:val="18"/>
          <w:szCs w:val="18"/>
        </w:rPr>
      </w:pPr>
      <w:r>
        <w:rPr>
          <w:rFonts w:hint="eastAsia" w:ascii="宋体" w:hAnsi="宋体"/>
          <w:b/>
          <w:sz w:val="18"/>
          <w:szCs w:val="18"/>
        </w:rPr>
        <w:t>填报目录说明</w:t>
      </w:r>
      <w:r>
        <w:rPr>
          <w:rFonts w:hint="eastAsia" w:ascii="宋体" w:hAnsi="宋体"/>
          <w:sz w:val="18"/>
          <w:szCs w:val="18"/>
        </w:rPr>
        <w:t>：</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1.原煤＝无烟煤＋炼焦烟煤＋一般烟煤＋褐煤。</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2.能源合计＝∑能源品种×折标准煤系数(求和时不要重复计算其中项)。</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3.其它燃料是指代码01-38以外未列出的作为燃料使用的物质，按其发热量折算成标准煤统计。</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Cs/>
          <w:sz w:val="18"/>
          <w:szCs w:val="18"/>
        </w:rPr>
        <w:t>4.几种产品的单位换算系数</w:t>
      </w:r>
      <w:r>
        <w:rPr>
          <w:rFonts w:hint="eastAsia" w:asciiTheme="minorEastAsia" w:hAnsiTheme="minorEastAsia" w:eastAsiaTheme="minorEastAsia" w:cstheme="minorEastAsia"/>
          <w:sz w:val="18"/>
          <w:szCs w:val="18"/>
        </w:rPr>
        <w:t>：</w:t>
      </w:r>
    </w:p>
    <w:p>
      <w:pPr>
        <w:keepNext w:val="0"/>
        <w:keepLines w:val="0"/>
        <w:pageBreakBefore w:val="0"/>
        <w:widowControl w:val="0"/>
        <w:tabs>
          <w:tab w:val="left" w:pos="5430"/>
        </w:tabs>
        <w:kinsoku/>
        <w:wordWrap/>
        <w:overflowPunct/>
        <w:topLinePunct w:val="0"/>
        <w:autoSpaceDE/>
        <w:autoSpaceDN/>
        <w:bidi w:val="0"/>
        <w:adjustRightInd w:val="0"/>
        <w:snapToGrid/>
        <w:spacing w:line="320" w:lineRule="exact"/>
        <w:ind w:firstLine="360" w:firstLineChars="200"/>
        <w:textAlignment w:val="center"/>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(1)1千克液化天然气≈1.38立方米天然气；1立方米天然气≈0.7256千克液化天然气</w:t>
      </w:r>
    </w:p>
    <w:p>
      <w:pPr>
        <w:keepNext w:val="0"/>
        <w:keepLines w:val="0"/>
        <w:pageBreakBefore w:val="0"/>
        <w:widowControl w:val="0"/>
        <w:tabs>
          <w:tab w:val="left" w:pos="5430"/>
        </w:tabs>
        <w:kinsoku/>
        <w:wordWrap/>
        <w:overflowPunct/>
        <w:topLinePunct w:val="0"/>
        <w:autoSpaceDE/>
        <w:autoSpaceDN/>
        <w:bidi w:val="0"/>
        <w:adjustRightInd w:val="0"/>
        <w:snapToGrid/>
        <w:spacing w:line="320" w:lineRule="exact"/>
        <w:ind w:firstLine="360" w:firstLineChars="200"/>
        <w:textAlignment w:val="center"/>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(2)氢气，1立方米≈0.0899千克，1千克≈11.1235立方米</w:t>
      </w:r>
    </w:p>
    <w:p>
      <w:pPr>
        <w:keepNext w:val="0"/>
        <w:keepLines w:val="0"/>
        <w:pageBreakBefore w:val="0"/>
        <w:widowControl w:val="0"/>
        <w:tabs>
          <w:tab w:val="left" w:pos="5430"/>
        </w:tabs>
        <w:kinsoku/>
        <w:wordWrap/>
        <w:overflowPunct/>
        <w:topLinePunct w:val="0"/>
        <w:autoSpaceDE/>
        <w:autoSpaceDN/>
        <w:bidi w:val="0"/>
        <w:adjustRightInd w:val="0"/>
        <w:snapToGrid/>
        <w:spacing w:line="320" w:lineRule="exact"/>
        <w:ind w:firstLine="360" w:firstLineChars="200"/>
        <w:textAlignment w:val="center"/>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(3)汽油，1升≈0.73千克，1千克≈1.3699升</w:t>
      </w:r>
    </w:p>
    <w:p>
      <w:pPr>
        <w:keepNext w:val="0"/>
        <w:keepLines w:val="0"/>
        <w:pageBreakBefore w:val="0"/>
        <w:widowControl w:val="0"/>
        <w:tabs>
          <w:tab w:val="left" w:pos="5430"/>
        </w:tabs>
        <w:kinsoku/>
        <w:wordWrap/>
        <w:overflowPunct/>
        <w:topLinePunct w:val="0"/>
        <w:autoSpaceDE/>
        <w:autoSpaceDN/>
        <w:bidi w:val="0"/>
        <w:adjustRightInd w:val="0"/>
        <w:snapToGrid/>
        <w:spacing w:line="320" w:lineRule="exact"/>
        <w:ind w:firstLine="360" w:firstLineChars="200"/>
        <w:textAlignment w:val="center"/>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(4)重柴油，1升≈0.92千克，1千克≈1.0870升</w:t>
      </w:r>
    </w:p>
    <w:p>
      <w:pPr>
        <w:keepNext w:val="0"/>
        <w:keepLines w:val="0"/>
        <w:pageBreakBefore w:val="0"/>
        <w:widowControl w:val="0"/>
        <w:tabs>
          <w:tab w:val="left" w:pos="5430"/>
        </w:tabs>
        <w:kinsoku/>
        <w:wordWrap/>
        <w:overflowPunct/>
        <w:topLinePunct w:val="0"/>
        <w:autoSpaceDE/>
        <w:autoSpaceDN/>
        <w:bidi w:val="0"/>
        <w:adjustRightInd w:val="0"/>
        <w:snapToGrid/>
        <w:spacing w:line="320" w:lineRule="exact"/>
        <w:ind w:firstLine="360" w:firstLineChars="200"/>
        <w:textAlignment w:val="center"/>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(5)轻柴油，1升≈0.86千克，1千克≈1.1628升</w:t>
      </w:r>
    </w:p>
    <w:p>
      <w:pPr>
        <w:keepNext w:val="0"/>
        <w:keepLines w:val="0"/>
        <w:pageBreakBefore w:val="0"/>
        <w:widowControl w:val="0"/>
        <w:tabs>
          <w:tab w:val="left" w:pos="5430"/>
        </w:tabs>
        <w:kinsoku/>
        <w:wordWrap/>
        <w:overflowPunct/>
        <w:topLinePunct w:val="0"/>
        <w:autoSpaceDE/>
        <w:autoSpaceDN/>
        <w:bidi w:val="0"/>
        <w:adjustRightInd w:val="0"/>
        <w:snapToGrid/>
        <w:spacing w:line="320" w:lineRule="exact"/>
        <w:ind w:firstLine="360" w:firstLineChars="200"/>
        <w:textAlignment w:val="center"/>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(6)煤油，1升≈0.82千克，1千克≈1.2195升</w:t>
      </w:r>
    </w:p>
    <w:p>
      <w:pPr>
        <w:keepNext w:val="0"/>
        <w:keepLines w:val="0"/>
        <w:pageBreakBefore w:val="0"/>
        <w:widowControl w:val="0"/>
        <w:tabs>
          <w:tab w:val="left" w:pos="5430"/>
        </w:tabs>
        <w:kinsoku/>
        <w:wordWrap/>
        <w:overflowPunct/>
        <w:topLinePunct w:val="0"/>
        <w:autoSpaceDE/>
        <w:autoSpaceDN/>
        <w:bidi w:val="0"/>
        <w:adjustRightInd w:val="0"/>
        <w:snapToGrid/>
        <w:spacing w:line="320" w:lineRule="exact"/>
        <w:ind w:firstLine="360" w:firstLineChars="200"/>
        <w:textAlignment w:val="center"/>
        <w:rPr>
          <w:rFonts w:asciiTheme="minorEastAsia" w:hAnsiTheme="minorEastAsia" w:eastAsiaTheme="minorEastAsia" w:cstheme="minorEastAsia"/>
          <w:sz w:val="18"/>
        </w:rPr>
      </w:pPr>
      <w:r>
        <w:rPr>
          <w:rFonts w:hint="eastAsia" w:asciiTheme="minorEastAsia" w:hAnsiTheme="minorEastAsia" w:eastAsiaTheme="minorEastAsia" w:cstheme="minorEastAsia"/>
          <w:sz w:val="18"/>
        </w:rPr>
        <w:t>(7)燃料油，1升≈0.91千克，1千克≈1.0990升</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Cs/>
          <w:sz w:val="18"/>
          <w:szCs w:val="18"/>
        </w:rPr>
        <w:t>5.几种产品加工转换计算的规定</w:t>
      </w:r>
      <w:r>
        <w:rPr>
          <w:rFonts w:hint="eastAsia" w:asciiTheme="minorEastAsia" w:hAnsiTheme="minorEastAsia" w:eastAsiaTheme="minorEastAsia" w:cstheme="minorEastAsia"/>
          <w:sz w:val="18"/>
          <w:szCs w:val="18"/>
        </w:rPr>
        <w:t>：</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(1)天然气：企业购入天然气，添加一些其他成分后，又以天然气为产品进行销售，这种情况下不作加工转换计算，天然气消费量只计算加工过程中的损失部分(如果没有损失，则消费量为“0”)。</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成品油：企业购入某种成品油，添加一些其他成分后，又以这种成品油为产品进行销售(购入和销售的产品在统计上为同名称的产品)，这种情况下不作加工转换计算，其消费量只计算加工过程中的损失部分(如果没有损失，则消费量为“0”)。但是企业购入某种成品油，经过某种生产工艺加工成另外一种产品，比如将重油加工成汽油、煤油等</w:t>
      </w:r>
      <w:r>
        <w:rPr>
          <w:rFonts w:hint="eastAsia" w:asciiTheme="minorEastAsia" w:hAnsiTheme="minorEastAsia" w:eastAsiaTheme="minorEastAsia" w:cstheme="minorEastAsia"/>
          <w:spacing w:val="-4"/>
          <w:sz w:val="18"/>
          <w:szCs w:val="18"/>
        </w:rPr>
        <w:t>轻质油或其他石油制品，这种情况应视作加工转换，并按照能源加工转换的统计规定，填报相应产品的投入量和产出量。</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(3)蓄能发电：企业用电力进行抽水蓄能，再用蓄水发电，这种情况不应视作能源加工转换。企业电力消费只填报抽水用电和蓄水发电的差额部分以及与抽水蓄能发电没有直接关系的企业其他用电。</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6.主要指标解释：</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其他焦化产品：指在炼焦过程中，除焦炭、焦炉煤气以外产生的其他副产品，如煤焦油、粗苯等。炼焦的产品很多，目录中只列出了焦炭、焦炉煤气这两个品种，统计时为了简化，把除这两个品种以外的其他炼焦副产品归并在“其他焦化产品”一个目录下一起填报。</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高炉煤气：指炼铁过程中从高炉炉顶逸出的可燃性气体，是炼铁过程的副产品；其理论燃烧温度约为1400—1500℃，含有大量粉尘（约60—80克／立方米），所以需要除尘处理，并在可能的情况下将其和空气预热以提高燃烧温度。据统计，高炉每消耗1吨焦炭约可产出3800—4000立方米高炉煤气（约有60％的燃料转变为高炉煤气）。在冶金联合企业，它主要用于焦炉，以及与焦炉煤气混合用作发电或其他燃料。</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转炉煤气：指转炉炼钢过程中，铁水中的碳在高温下和吹入的氧生成一氧化碳和少量二氧化碳的混合气体。</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其他煤气：指焦炉煤气、高炉煤气、转炉煤气之外的可燃煤气，如：发生炉煤气、电石炉煤气等。</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热力：指可提供热源的热水、蒸汽。</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热力的计算：蒸汽和热水的热力计算，与锅炉出口蒸汽、热水的温度和压力有关，计算方法：</w:t>
      </w:r>
    </w:p>
    <w:p>
      <w:pPr>
        <w:keepNext w:val="0"/>
        <w:keepLines w:val="0"/>
        <w:pageBreakBefore w:val="0"/>
        <w:widowControl w:val="0"/>
        <w:kinsoku/>
        <w:wordWrap/>
        <w:overflowPunct/>
        <w:topLinePunct w:val="0"/>
        <w:autoSpaceDE/>
        <w:autoSpaceDN/>
        <w:bidi w:val="0"/>
        <w:snapToGrid/>
        <w:spacing w:line="320" w:lineRule="exact"/>
        <w:ind w:firstLine="344" w:firstLineChars="200"/>
        <w:rPr>
          <w:rFonts w:asciiTheme="minorEastAsia" w:hAnsiTheme="minorEastAsia" w:eastAsiaTheme="minorEastAsia" w:cstheme="minorEastAsia"/>
          <w:bCs/>
          <w:spacing w:val="-4"/>
          <w:sz w:val="18"/>
          <w:szCs w:val="18"/>
        </w:rPr>
      </w:pPr>
      <w:r>
        <w:rPr>
          <w:rFonts w:hint="eastAsia" w:asciiTheme="minorEastAsia" w:hAnsiTheme="minorEastAsia" w:eastAsiaTheme="minorEastAsia" w:cstheme="minorEastAsia"/>
          <w:bCs/>
          <w:spacing w:val="-4"/>
          <w:sz w:val="18"/>
          <w:szCs w:val="18"/>
        </w:rPr>
        <w:t>第一步：确定锅炉出口蒸汽和热水的温度和压力，根据温度和压力值，在焓熵图(表)查出对应的每千克蒸汽、热水的热焓；</w:t>
      </w:r>
    </w:p>
    <w:p>
      <w:pPr>
        <w:keepNext w:val="0"/>
        <w:keepLines w:val="0"/>
        <w:pageBreakBefore w:val="0"/>
        <w:widowControl w:val="0"/>
        <w:kinsoku/>
        <w:wordWrap/>
        <w:overflowPunct/>
        <w:topLinePunct w:val="0"/>
        <w:autoSpaceDE/>
        <w:autoSpaceDN/>
        <w:bidi w:val="0"/>
        <w:snapToGrid/>
        <w:spacing w:line="320" w:lineRule="exact"/>
        <w:ind w:firstLine="344" w:firstLineChars="200"/>
        <w:rPr>
          <w:rFonts w:asciiTheme="minorEastAsia" w:hAnsiTheme="minorEastAsia" w:eastAsiaTheme="minorEastAsia" w:cstheme="minorEastAsia"/>
          <w:bCs/>
          <w:spacing w:val="-4"/>
          <w:sz w:val="18"/>
          <w:szCs w:val="18"/>
        </w:rPr>
      </w:pPr>
      <w:r>
        <w:rPr>
          <w:rFonts w:hint="eastAsia" w:asciiTheme="minorEastAsia" w:hAnsiTheme="minorEastAsia" w:eastAsiaTheme="minorEastAsia" w:cstheme="minorEastAsia"/>
          <w:bCs/>
          <w:spacing w:val="-4"/>
          <w:sz w:val="18"/>
          <w:szCs w:val="18"/>
        </w:rPr>
        <w:t>第二步：确定锅炉给水(或回水)的温度和压力，根据温度和压力值，在焓熵图(表)查出对应的每千克给水(或回水)的热焓；</w:t>
      </w:r>
    </w:p>
    <w:p>
      <w:pPr>
        <w:keepNext w:val="0"/>
        <w:keepLines w:val="0"/>
        <w:pageBreakBefore w:val="0"/>
        <w:widowControl w:val="0"/>
        <w:kinsoku/>
        <w:wordWrap/>
        <w:overflowPunct/>
        <w:topLinePunct w:val="0"/>
        <w:autoSpaceDE/>
        <w:autoSpaceDN/>
        <w:bidi w:val="0"/>
        <w:snapToGrid/>
        <w:spacing w:line="320" w:lineRule="exact"/>
        <w:ind w:firstLine="344" w:firstLineChars="200"/>
        <w:rPr>
          <w:rFonts w:asciiTheme="minorEastAsia" w:hAnsiTheme="minorEastAsia" w:eastAsiaTheme="minorEastAsia" w:cstheme="minorEastAsia"/>
          <w:bCs/>
          <w:spacing w:val="-4"/>
          <w:sz w:val="18"/>
          <w:szCs w:val="18"/>
        </w:rPr>
      </w:pPr>
      <w:r>
        <w:rPr>
          <w:rFonts w:hint="eastAsia" w:asciiTheme="minorEastAsia" w:hAnsiTheme="minorEastAsia" w:eastAsiaTheme="minorEastAsia" w:cstheme="minorEastAsia"/>
          <w:bCs/>
          <w:spacing w:val="-4"/>
          <w:sz w:val="18"/>
          <w:szCs w:val="18"/>
        </w:rPr>
        <w:t>第三步：求第一步和第二步查出的热焓之差，再乘以蒸汽或热水的数量(按流量表读数计算)，所得值即为热力的量。</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如果企业不具备上述计算热力的条件，可参考下列方法估算：</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第一步：确定锅炉蒸汽或热水的产量。产量=锅炉的给水量-排污等损失量；</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第二步：确定蒸汽或热水的热焓。热焓的确定分以下几种情况：</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sz w:val="18"/>
          <w:szCs w:val="18"/>
        </w:rPr>
        <w:t>(1)</w:t>
      </w:r>
      <w:r>
        <w:rPr>
          <w:rFonts w:hint="eastAsia" w:asciiTheme="minorEastAsia" w:hAnsiTheme="minorEastAsia" w:eastAsiaTheme="minorEastAsia" w:cstheme="minorEastAsia"/>
          <w:bCs/>
          <w:sz w:val="18"/>
          <w:szCs w:val="18"/>
        </w:rPr>
        <w:t>热水：假定出口温度为90℃，回水温度为20℃的情况下，闭路循环系统每千克热水的热焓按20千卡计算，开路供热系统每千克热水的热焓按70千卡计算。</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sz w:val="18"/>
          <w:szCs w:val="18"/>
        </w:rPr>
        <w:t>(2)</w:t>
      </w:r>
      <w:r>
        <w:rPr>
          <w:rFonts w:hint="eastAsia" w:asciiTheme="minorEastAsia" w:hAnsiTheme="minorEastAsia" w:eastAsiaTheme="minorEastAsia" w:cstheme="minorEastAsia"/>
          <w:bCs/>
          <w:sz w:val="18"/>
          <w:szCs w:val="18"/>
        </w:rPr>
        <w:t>饱和蒸汽：</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压力1-2.5千克/平方厘米，温度127℃以下，每千克蒸汽的热焓按620千卡计算；</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压力3-7千克/平方厘米，温度135-165℃，每千克蒸汽的热焓按630千卡计算；</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压力8千克/平方厘米，温度170℃以上，每千克蒸汽的热焓按640千卡计算。</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sz w:val="18"/>
          <w:szCs w:val="18"/>
        </w:rPr>
        <w:t>(3)</w:t>
      </w:r>
      <w:r>
        <w:rPr>
          <w:rFonts w:hint="eastAsia" w:asciiTheme="minorEastAsia" w:hAnsiTheme="minorEastAsia" w:eastAsiaTheme="minorEastAsia" w:cstheme="minorEastAsia"/>
          <w:bCs/>
          <w:sz w:val="18"/>
          <w:szCs w:val="18"/>
        </w:rPr>
        <w:t>过热蒸汽：压力150千克/平方厘米</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200℃以下，每千克蒸汽的热焓按650千卡计算；</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220-260℃，每千克蒸汽的热焓按680千卡计算；</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280-320℃，每千克蒸汽的热焓按700千卡计算；</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350-500℃，每千克蒸汽的热焓按750千卡计算。</w:t>
      </w:r>
    </w:p>
    <w:p>
      <w:pPr>
        <w:keepNext w:val="0"/>
        <w:keepLines w:val="0"/>
        <w:pageBreakBefore w:val="0"/>
        <w:widowControl w:val="0"/>
        <w:kinsoku/>
        <w:wordWrap/>
        <w:overflowPunct/>
        <w:topLinePunct w:val="0"/>
        <w:autoSpaceDE/>
        <w:autoSpaceDN/>
        <w:bidi w:val="0"/>
        <w:snapToGrid/>
        <w:spacing w:line="320" w:lineRule="exact"/>
        <w:ind w:firstLine="360" w:firstLineChars="200"/>
        <w:rPr>
          <w:bCs/>
          <w:sz w:val="18"/>
          <w:szCs w:val="18"/>
        </w:rPr>
      </w:pPr>
      <w:r>
        <w:rPr>
          <w:rFonts w:hint="eastAsia"/>
          <w:bCs/>
          <w:sz w:val="18"/>
          <w:szCs w:val="18"/>
        </w:rPr>
        <w:t>最后，</w:t>
      </w:r>
      <w:r>
        <w:rPr>
          <w:bCs/>
          <w:sz w:val="18"/>
          <w:szCs w:val="18"/>
        </w:rPr>
        <w:t>根据确定的热焓，乘以产量，所得值即为热力的量</w:t>
      </w:r>
      <w:r>
        <w:rPr>
          <w:rFonts w:hint="eastAsia"/>
          <w:bCs/>
          <w:sz w:val="18"/>
          <w:szCs w:val="18"/>
        </w:rPr>
        <w:t>（1千卡=4.1816千焦）</w:t>
      </w:r>
      <w:r>
        <w:rPr>
          <w:bCs/>
          <w:sz w:val="18"/>
          <w:szCs w:val="18"/>
        </w:rPr>
        <w:t>。</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对于中小企业，若以上条件均不具备，如果锅炉的功率在0.7兆瓦左右，1吨/小时的热水或蒸汽按相当于60万千卡的热力计算。</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 xml:space="preserve">余热余压：指企业生产过程中释放出来多余的副产热能、压差能，这些副产热能、压差能在一定的经济技术条件下可以回收利用。余热余压回收利用主要来自高温气体、液体、固体的热能和化学反应产生的热能。  </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对回收利用的余热</w:t>
      </w:r>
      <w:r>
        <w:rPr>
          <w:rFonts w:hint="eastAsia" w:asciiTheme="minorEastAsia" w:hAnsiTheme="minorEastAsia" w:eastAsiaTheme="minorEastAsia" w:cstheme="minorEastAsia"/>
          <w:bCs/>
          <w:spacing w:val="-4"/>
          <w:sz w:val="18"/>
          <w:szCs w:val="18"/>
        </w:rPr>
        <w:t>余</w:t>
      </w:r>
      <w:r>
        <w:rPr>
          <w:rFonts w:hint="eastAsia" w:asciiTheme="minorEastAsia" w:hAnsiTheme="minorEastAsia" w:eastAsiaTheme="minorEastAsia" w:cstheme="minorEastAsia"/>
          <w:bCs/>
          <w:sz w:val="18"/>
          <w:szCs w:val="18"/>
        </w:rPr>
        <w:t>压，企业有计量装置并可计量其数量的，205-2表填报回收利用量，205-1表填报消费量（本企业自用的部分）</w:t>
      </w:r>
      <w:r>
        <w:rPr>
          <w:rFonts w:hint="eastAsia" w:asciiTheme="minorEastAsia" w:hAnsiTheme="minorEastAsia" w:eastAsiaTheme="minorEastAsia" w:cstheme="minorEastAsia"/>
          <w:bCs/>
          <w:spacing w:val="-4"/>
          <w:sz w:val="18"/>
          <w:szCs w:val="18"/>
        </w:rPr>
        <w:t>，</w:t>
      </w:r>
      <w:r>
        <w:rPr>
          <w:rFonts w:hint="eastAsia" w:asciiTheme="minorEastAsia" w:hAnsiTheme="minorEastAsia" w:eastAsiaTheme="minorEastAsia" w:cstheme="minorEastAsia"/>
          <w:bCs/>
          <w:sz w:val="18"/>
          <w:szCs w:val="18"/>
        </w:rPr>
        <w:t>如果用于加工转换，还要在205-2表填报加工转换的投入量和其他产品的产出量。假如A企业回收的余热余压外供给B企业，A企业填报回收利用量，B企业填报购入量和消费量，不得填报回收利用量。</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煤矸石（用于燃料）：煤矸石是采煤过程和洗煤过程中排放的固体废物，是一种在成煤过程中与煤层伴生的一种含碳量较低、比煤坚硬的黑灰色岩石，是可用做工业企业能源消费的燃料。</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城市生活垃圾（用于燃料）：城市生活垃圾是指城市中的单位和居民在日常生活及生活服务中产生的废弃物，是可用做工业企业能源消费的燃料。</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工业废料（用于燃料）：工业废料是工业生产过程中产生出来的废品（如工业废渣、工业废气等），是可用做工业企业能源消费的燃料。</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生物质能(用于燃料)：泛指由生物质组成或萃取的固体、液体或气体燃料，如沼气、薪柴、生物乙醇、生物柴油等。</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其他燃料：指除目录中列示的能源消费品种以外的用于工业企业能源消费的燃料。</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7.有关能源品种填报方法：</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原煤折标系数：</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asciiTheme="minorEastAsia" w:hAnsiTheme="minorEastAsia" w:eastAsiaTheme="minorEastAsia" w:cstheme="minorEastAsia"/>
          <w:bCs/>
          <w:sz w:val="18"/>
          <w:szCs w:val="18"/>
        </w:rPr>
        <w:t>(1)上年年综合能源消费量超过1万吨标准煤的原煤消费企业，原煤四个分项品种的折标系数按照规定须根据实测热值填报。</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asciiTheme="minorEastAsia" w:hAnsiTheme="minorEastAsia" w:eastAsiaTheme="minorEastAsia" w:cstheme="minorEastAsia"/>
          <w:bCs/>
          <w:sz w:val="18"/>
          <w:szCs w:val="18"/>
        </w:rPr>
        <w:t>(2)原煤四个分项品种的折标系数须使用累计的工业生产消费量和采用折标系数的加权平均法计算，不能使用当月值填报。</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asciiTheme="minorEastAsia" w:hAnsiTheme="minorEastAsia" w:eastAsiaTheme="minorEastAsia" w:cstheme="minorEastAsia"/>
          <w:bCs/>
          <w:sz w:val="18"/>
          <w:szCs w:val="18"/>
        </w:rPr>
        <w:t>(3)原煤合计项的折标系数为四个分项品种的加权平均法计算结果，即四个分项品种的工业生产消费量标准量合计除以其实物量合计，系统自动计算。</w:t>
      </w:r>
    </w:p>
    <w:p>
      <w:pPr>
        <w:keepNext w:val="0"/>
        <w:keepLines w:val="0"/>
        <w:pageBreakBefore w:val="0"/>
        <w:widowControl w:val="0"/>
        <w:kinsoku/>
        <w:wordWrap/>
        <w:overflowPunct/>
        <w:topLinePunct w:val="0"/>
        <w:autoSpaceDE/>
        <w:autoSpaceDN/>
        <w:bidi w:val="0"/>
        <w:snapToGrid/>
        <w:spacing w:line="320" w:lineRule="exact"/>
        <w:ind w:firstLine="360" w:firstLineChars="200"/>
        <w:rPr>
          <w:rFonts w:asciiTheme="minorEastAsia" w:hAnsiTheme="minorEastAsia" w:eastAsiaTheme="minorEastAsia" w:cstheme="minorEastAsia"/>
          <w:bCs/>
          <w:sz w:val="18"/>
          <w:szCs w:val="18"/>
        </w:rPr>
      </w:pPr>
      <w:r>
        <w:rPr>
          <w:rFonts w:asciiTheme="minorEastAsia" w:hAnsiTheme="minorEastAsia" w:eastAsiaTheme="minorEastAsia" w:cstheme="minorEastAsia"/>
          <w:bCs/>
          <w:sz w:val="18"/>
          <w:szCs w:val="18"/>
        </w:rPr>
        <w:t>(4)企业本年前期原煤热值未实测、自本期开始实测热值：若企业本年前期截至本期煤质变化不大，205-1表本期原煤分项品种的折标系数可填报本期实测热值；若煤质变化较大，205-1表本期原煤分项品种的折标系数须使用前期填报数据与本期实测热值进行加权平均计算后的热值填报。</w:t>
      </w:r>
    </w:p>
    <w:p>
      <w:pPr>
        <w:spacing w:line="280" w:lineRule="exact"/>
        <w:ind w:left="451" w:leftChars="215" w:firstLine="360" w:firstLineChars="200"/>
        <w:rPr>
          <w:rFonts w:asciiTheme="minorEastAsia" w:hAnsiTheme="minorEastAsia" w:eastAsiaTheme="minorEastAsia" w:cstheme="minorEastAsia"/>
          <w:bCs/>
          <w:sz w:val="18"/>
          <w:szCs w:val="18"/>
        </w:rPr>
      </w:pPr>
      <w:r>
        <w:rPr>
          <w:rFonts w:asciiTheme="minorEastAsia" w:hAnsiTheme="minorEastAsia" w:eastAsiaTheme="minorEastAsia" w:cstheme="minorEastAsia"/>
          <w:bCs/>
          <w:sz w:val="18"/>
          <w:szCs w:val="18"/>
        </w:rPr>
        <w:br w:type="page"/>
      </w:r>
    </w:p>
    <w:p>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default" w:ascii="Times New Roman" w:hAnsi="Times New Roman" w:eastAsia="黑体" w:cs="Times New Roman"/>
          <w:sz w:val="24"/>
        </w:rPr>
      </w:pPr>
      <w:r>
        <w:rPr>
          <w:rFonts w:hint="default" w:ascii="Times New Roman" w:hAnsi="Times New Roman" w:eastAsia="黑体" w:cs="Times New Roman"/>
          <w:sz w:val="24"/>
        </w:rPr>
        <w:t>2.主要耗能工业企业单位产品能源消费情况目录</w:t>
      </w:r>
    </w:p>
    <w:p>
      <w:pPr>
        <w:keepNext w:val="0"/>
        <w:keepLines w:val="0"/>
        <w:pageBreakBefore w:val="0"/>
        <w:widowControl w:val="0"/>
        <w:kinsoku/>
        <w:wordWrap/>
        <w:overflowPunct/>
        <w:topLinePunct w:val="0"/>
        <w:autoSpaceDE/>
        <w:autoSpaceDN/>
        <w:bidi w:val="0"/>
        <w:adjustRightInd/>
        <w:snapToGrid/>
        <w:spacing w:after="144" w:afterLines="50"/>
        <w:ind w:left="0" w:right="0" w:firstLine="0"/>
        <w:jc w:val="center"/>
        <w:textAlignment w:val="auto"/>
        <w:rPr>
          <w:rFonts w:hint="default" w:ascii="Times New Roman" w:hAnsi="Times New Roman" w:eastAsia="黑体" w:cs="Times New Roman"/>
        </w:rPr>
      </w:pPr>
      <w:r>
        <w:rPr>
          <w:rFonts w:hint="default" w:ascii="Times New Roman" w:hAnsi="Times New Roman" w:eastAsia="黑体" w:cs="Times New Roman"/>
          <w:sz w:val="24"/>
        </w:rPr>
        <w:t>（限填报205—3表）</w:t>
      </w:r>
    </w:p>
    <w:tbl>
      <w:tblPr>
        <w:tblStyle w:val="21"/>
        <w:tblW w:w="9465" w:type="dxa"/>
        <w:tblInd w:w="0" w:type="dxa"/>
        <w:tblLayout w:type="fixed"/>
        <w:tblCellMar>
          <w:top w:w="0" w:type="dxa"/>
          <w:left w:w="0" w:type="dxa"/>
          <w:bottom w:w="0" w:type="dxa"/>
          <w:right w:w="0" w:type="dxa"/>
        </w:tblCellMar>
      </w:tblPr>
      <w:tblGrid>
        <w:gridCol w:w="559"/>
        <w:gridCol w:w="2261"/>
        <w:gridCol w:w="1290"/>
        <w:gridCol w:w="525"/>
        <w:gridCol w:w="521"/>
        <w:gridCol w:w="2014"/>
        <w:gridCol w:w="1682"/>
        <w:gridCol w:w="613"/>
      </w:tblGrid>
      <w:tr>
        <w:tblPrEx>
          <w:tblCellMar>
            <w:top w:w="0" w:type="dxa"/>
            <w:left w:w="0" w:type="dxa"/>
            <w:bottom w:w="0" w:type="dxa"/>
            <w:right w:w="0" w:type="dxa"/>
          </w:tblCellMar>
        </w:tblPrEx>
        <w:trPr>
          <w:trHeight w:val="285" w:hRule="atLeast"/>
        </w:trPr>
        <w:tc>
          <w:tcPr>
            <w:tcW w:w="559" w:type="dxa"/>
            <w:vMerge w:val="restart"/>
            <w:tcBorders>
              <w:top w:val="single" w:color="auto" w:sz="8" w:space="0"/>
              <w:left w:val="nil"/>
              <w:bottom w:val="single" w:color="auto" w:sz="2" w:space="0"/>
              <w:right w:val="single" w:color="auto" w:sz="2" w:space="0"/>
            </w:tcBorders>
            <w:noWrap/>
            <w:tcMar>
              <w:top w:w="15" w:type="dxa"/>
              <w:left w:w="15" w:type="dxa"/>
              <w:bottom w:w="0" w:type="dxa"/>
              <w:right w:w="15" w:type="dxa"/>
            </w:tcMar>
            <w:vAlign w:val="center"/>
          </w:tcPr>
          <w:p>
            <w:pPr>
              <w:spacing w:line="254"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代码</w:t>
            </w:r>
          </w:p>
        </w:tc>
        <w:tc>
          <w:tcPr>
            <w:tcW w:w="2261" w:type="dxa"/>
            <w:vMerge w:val="restart"/>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4"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指标名称</w:t>
            </w:r>
          </w:p>
        </w:tc>
        <w:tc>
          <w:tcPr>
            <w:tcW w:w="2336" w:type="dxa"/>
            <w:gridSpan w:val="3"/>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4"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计量单位</w:t>
            </w:r>
          </w:p>
        </w:tc>
        <w:tc>
          <w:tcPr>
            <w:tcW w:w="3696" w:type="dxa"/>
            <w:gridSpan w:val="2"/>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4"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计算根据</w:t>
            </w:r>
          </w:p>
        </w:tc>
        <w:tc>
          <w:tcPr>
            <w:tcW w:w="613" w:type="dxa"/>
            <w:vMerge w:val="restart"/>
            <w:tcBorders>
              <w:top w:val="single" w:color="auto" w:sz="8" w:space="0"/>
              <w:left w:val="single" w:color="auto" w:sz="2" w:space="0"/>
              <w:bottom w:val="single" w:color="auto" w:sz="2" w:space="0"/>
              <w:right w:val="nil"/>
            </w:tcBorders>
            <w:noWrap/>
            <w:tcMar>
              <w:top w:w="15" w:type="dxa"/>
              <w:left w:w="15" w:type="dxa"/>
              <w:bottom w:w="0" w:type="dxa"/>
              <w:right w:w="15" w:type="dxa"/>
            </w:tcMar>
            <w:vAlign w:val="center"/>
          </w:tcPr>
          <w:p>
            <w:pPr>
              <w:spacing w:line="254"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单位换算系数</w:t>
            </w:r>
          </w:p>
        </w:tc>
      </w:tr>
      <w:tr>
        <w:tblPrEx>
          <w:tblCellMar>
            <w:top w:w="0" w:type="dxa"/>
            <w:left w:w="0" w:type="dxa"/>
            <w:bottom w:w="0" w:type="dxa"/>
            <w:right w:w="0" w:type="dxa"/>
          </w:tblCellMar>
        </w:tblPrEx>
        <w:trPr>
          <w:trHeight w:val="285" w:hRule="atLeast"/>
        </w:trPr>
        <w:tc>
          <w:tcPr>
            <w:tcW w:w="559" w:type="dxa"/>
            <w:vMerge w:val="continue"/>
            <w:tcBorders>
              <w:top w:val="single" w:color="auto" w:sz="2" w:space="0"/>
              <w:left w:val="nil"/>
              <w:bottom w:val="single" w:color="auto" w:sz="2" w:space="0"/>
              <w:right w:val="single" w:color="auto" w:sz="2" w:space="0"/>
            </w:tcBorders>
            <w:noWrap/>
            <w:vAlign w:val="center"/>
          </w:tcPr>
          <w:p>
            <w:pPr>
              <w:spacing w:line="254" w:lineRule="exact"/>
              <w:rPr>
                <w:rFonts w:asciiTheme="minorEastAsia" w:hAnsiTheme="minorEastAsia" w:eastAsiaTheme="minorEastAsia" w:cstheme="minorEastAsia"/>
                <w:sz w:val="18"/>
                <w:szCs w:val="18"/>
              </w:rPr>
            </w:pPr>
          </w:p>
        </w:tc>
        <w:tc>
          <w:tcPr>
            <w:tcW w:w="2261" w:type="dxa"/>
            <w:vMerge w:val="continue"/>
            <w:tcBorders>
              <w:top w:val="single" w:color="auto" w:sz="2" w:space="0"/>
              <w:left w:val="single" w:color="auto" w:sz="2" w:space="0"/>
              <w:bottom w:val="single" w:color="auto" w:sz="2" w:space="0"/>
              <w:right w:val="single" w:color="auto" w:sz="2" w:space="0"/>
            </w:tcBorders>
            <w:noWrap/>
            <w:vAlign w:val="center"/>
          </w:tcPr>
          <w:p>
            <w:pPr>
              <w:spacing w:line="254" w:lineRule="exact"/>
              <w:rPr>
                <w:rFonts w:asciiTheme="minorEastAsia" w:hAnsiTheme="minorEastAsia" w:eastAsiaTheme="minorEastAsia" w:cstheme="minorEastAsia"/>
                <w:sz w:val="18"/>
                <w:szCs w:val="18"/>
              </w:rPr>
            </w:pP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4"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指标</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4"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子项</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4"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母项</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4"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子项</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4"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母项</w:t>
            </w:r>
          </w:p>
        </w:tc>
        <w:tc>
          <w:tcPr>
            <w:tcW w:w="613" w:type="dxa"/>
            <w:vMerge w:val="continue"/>
            <w:tcBorders>
              <w:top w:val="single" w:color="auto" w:sz="2" w:space="0"/>
              <w:left w:val="single" w:color="auto" w:sz="2" w:space="0"/>
              <w:bottom w:val="single" w:color="auto" w:sz="2" w:space="0"/>
              <w:right w:val="nil"/>
            </w:tcBorders>
            <w:noWrap/>
            <w:vAlign w:val="center"/>
          </w:tcPr>
          <w:p>
            <w:pPr>
              <w:spacing w:line="254" w:lineRule="exact"/>
              <w:rPr>
                <w:rFonts w:asciiTheme="minorEastAsia" w:hAnsiTheme="minorEastAsia" w:eastAsiaTheme="minorEastAsia" w:cstheme="minorEastAsia"/>
                <w:sz w:val="18"/>
                <w:szCs w:val="18"/>
              </w:rPr>
            </w:pPr>
          </w:p>
        </w:tc>
      </w:tr>
      <w:tr>
        <w:tblPrEx>
          <w:tblCellMar>
            <w:top w:w="0" w:type="dxa"/>
            <w:left w:w="0" w:type="dxa"/>
            <w:bottom w:w="0" w:type="dxa"/>
            <w:right w:w="0" w:type="dxa"/>
          </w:tblCellMar>
        </w:tblPrEx>
        <w:trPr>
          <w:trHeight w:val="285"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 xml:space="preserve">煤炭(06) </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0610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吨原煤生产综合能耗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原煤生产综合能源消费量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原煤产量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0602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吨原煤生产耗电</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原煤生产用电量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原煤产量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0603</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洗煤电力单耗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洗煤生产过程用电量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入洗原煤量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00"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石油和天然气(07)</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0701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单位油气产量综合能耗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油气田生产综合能源消费量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油气当量产量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0702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单位油气产量耗电</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油气田生产用电量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油气当量产量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285"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黑色金属矿(08)</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0801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铁矿采矿工序单位能耗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铁矿采矿工序净耗能量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露天采剥(掘)总量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0802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铁矿选矿工序单位能耗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铁矿选矿工序净耗能量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处理原矿量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285"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化学纤维(28)</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2820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吨粘胶纤维综合能耗(短纤)</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企业生产综合能源消费量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粘胶短纤维产量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2801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吨粘胶纤维用电量(短纤)</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企业生产用电量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粘胶短纤维产量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2830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吨粘胶纤维综合能耗(长丝)</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企业生产综合能耗量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粘胶纤维长丝产量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1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2803</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吨粘胶纤维用电量(长丝)</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企业生产用电量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粘胶纤维长丝产量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2840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吨锦纶综合能耗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企业生产综合能耗量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锦纶纤维产量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2805</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吨锦纶用电量</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企业生产用电量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锦纶纤维产量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2850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吨涤纶综合能耗(短纤)</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企业生产综合能源消费量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涤纶纤维产量(短纤)</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2807</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吨涤纶用电量(短纤)</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企业生产用电量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涤纶纤维产量(短纤)</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569"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2860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吨涤纶综合能耗(长丝)</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企业生产综合能耗量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涤纶纤维产量(长丝)</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61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2809</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吨涤纶用电量(长丝)</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企业生产用电量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涤纶纤维产量(长丝)</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582"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2870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吨腈纶综合能耗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企业生产综合能耗量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腈纶纤维产量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569"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2811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吨腈纶用电量</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企业生产用电量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腈纶纤维产量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58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2880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吨维纶综合能耗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企业生产综合能耗量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维纶纤维产量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54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2813</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吨维纶用电量</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企业生产用电量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2"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维纶纤维产量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2"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285" w:hRule="atLeast"/>
        </w:trPr>
        <w:tc>
          <w:tcPr>
            <w:tcW w:w="559" w:type="dxa"/>
            <w:vMerge w:val="restart"/>
            <w:tcBorders>
              <w:top w:val="single" w:color="auto" w:sz="8"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代码</w:t>
            </w:r>
          </w:p>
        </w:tc>
        <w:tc>
          <w:tcPr>
            <w:tcW w:w="2261" w:type="dxa"/>
            <w:vMerge w:val="restart"/>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指标名称</w:t>
            </w:r>
          </w:p>
        </w:tc>
        <w:tc>
          <w:tcPr>
            <w:tcW w:w="2336" w:type="dxa"/>
            <w:gridSpan w:val="3"/>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计量单位</w:t>
            </w:r>
          </w:p>
        </w:tc>
        <w:tc>
          <w:tcPr>
            <w:tcW w:w="3696" w:type="dxa"/>
            <w:gridSpan w:val="2"/>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计算根据</w:t>
            </w:r>
          </w:p>
        </w:tc>
        <w:tc>
          <w:tcPr>
            <w:tcW w:w="613" w:type="dxa"/>
            <w:vMerge w:val="restart"/>
            <w:tcBorders>
              <w:top w:val="single" w:color="auto" w:sz="8"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单位换算系数</w:t>
            </w:r>
          </w:p>
        </w:tc>
      </w:tr>
      <w:tr>
        <w:tblPrEx>
          <w:tblCellMar>
            <w:top w:w="0" w:type="dxa"/>
            <w:left w:w="0" w:type="dxa"/>
            <w:bottom w:w="0" w:type="dxa"/>
            <w:right w:w="0" w:type="dxa"/>
          </w:tblCellMar>
        </w:tblPrEx>
        <w:trPr>
          <w:trHeight w:val="285" w:hRule="atLeast"/>
        </w:trPr>
        <w:tc>
          <w:tcPr>
            <w:tcW w:w="559" w:type="dxa"/>
            <w:vMerge w:val="continue"/>
            <w:tcBorders>
              <w:top w:val="single" w:color="auto" w:sz="2" w:space="0"/>
              <w:left w:val="nil"/>
              <w:bottom w:val="single" w:color="000000" w:sz="4" w:space="0"/>
              <w:right w:val="single" w:color="auto" w:sz="2" w:space="0"/>
            </w:tcBorders>
            <w:noWrap/>
            <w:vAlign w:val="center"/>
          </w:tcPr>
          <w:p>
            <w:pPr>
              <w:spacing w:line="260" w:lineRule="exact"/>
              <w:rPr>
                <w:rFonts w:asciiTheme="minorEastAsia" w:hAnsiTheme="minorEastAsia" w:eastAsiaTheme="minorEastAsia" w:cstheme="minorEastAsia"/>
                <w:sz w:val="18"/>
                <w:szCs w:val="18"/>
              </w:rPr>
            </w:pPr>
          </w:p>
        </w:tc>
        <w:tc>
          <w:tcPr>
            <w:tcW w:w="2261" w:type="dxa"/>
            <w:vMerge w:val="continue"/>
            <w:tcBorders>
              <w:top w:val="single" w:color="auto" w:sz="2" w:space="0"/>
              <w:left w:val="single" w:color="auto" w:sz="2" w:space="0"/>
              <w:bottom w:val="single" w:color="000000" w:sz="4" w:space="0"/>
              <w:right w:val="single" w:color="auto" w:sz="2" w:space="0"/>
            </w:tcBorders>
            <w:noWrap/>
            <w:vAlign w:val="center"/>
          </w:tcPr>
          <w:p>
            <w:pPr>
              <w:spacing w:line="260" w:lineRule="exact"/>
              <w:rPr>
                <w:rFonts w:asciiTheme="minorEastAsia" w:hAnsiTheme="minorEastAsia" w:eastAsiaTheme="minorEastAsia" w:cstheme="minorEastAsia"/>
                <w:sz w:val="18"/>
                <w:szCs w:val="18"/>
              </w:rPr>
            </w:pPr>
          </w:p>
        </w:tc>
        <w:tc>
          <w:tcPr>
            <w:tcW w:w="1290"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指标</w:t>
            </w:r>
          </w:p>
        </w:tc>
        <w:tc>
          <w:tcPr>
            <w:tcW w:w="525"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子项</w:t>
            </w:r>
          </w:p>
        </w:tc>
        <w:tc>
          <w:tcPr>
            <w:tcW w:w="521"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母项</w:t>
            </w:r>
          </w:p>
        </w:tc>
        <w:tc>
          <w:tcPr>
            <w:tcW w:w="2014"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子项</w:t>
            </w:r>
          </w:p>
        </w:tc>
        <w:tc>
          <w:tcPr>
            <w:tcW w:w="1682"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母项</w:t>
            </w:r>
          </w:p>
        </w:tc>
        <w:tc>
          <w:tcPr>
            <w:tcW w:w="613" w:type="dxa"/>
            <w:vMerge w:val="continue"/>
            <w:tcBorders>
              <w:top w:val="single" w:color="auto" w:sz="2" w:space="0"/>
              <w:left w:val="single" w:color="auto" w:sz="2" w:space="0"/>
              <w:bottom w:val="single" w:color="000000" w:sz="4" w:space="0"/>
              <w:right w:val="nil"/>
            </w:tcBorders>
            <w:noWrap/>
            <w:vAlign w:val="center"/>
          </w:tcPr>
          <w:p>
            <w:pPr>
              <w:spacing w:line="260" w:lineRule="exact"/>
              <w:rPr>
                <w:rFonts w:asciiTheme="minorEastAsia" w:hAnsiTheme="minorEastAsia" w:eastAsiaTheme="minorEastAsia" w:cstheme="minorEastAsia"/>
                <w:sz w:val="18"/>
                <w:szCs w:val="18"/>
              </w:rPr>
            </w:pPr>
          </w:p>
        </w:tc>
      </w:tr>
      <w:tr>
        <w:tblPrEx>
          <w:tblCellMar>
            <w:top w:w="0" w:type="dxa"/>
            <w:left w:w="0" w:type="dxa"/>
            <w:bottom w:w="0" w:type="dxa"/>
            <w:right w:w="0" w:type="dxa"/>
          </w:tblCellMar>
        </w:tblPrEx>
        <w:trPr>
          <w:trHeight w:val="170" w:hRule="atLeast"/>
        </w:trPr>
        <w:tc>
          <w:tcPr>
            <w:tcW w:w="9465" w:type="dxa"/>
            <w:gridSpan w:val="8"/>
            <w:tcBorders>
              <w:top w:val="single" w:color="000000" w:sz="4" w:space="0"/>
              <w:left w:val="nil"/>
              <w:bottom w:val="single" w:color="auto" w:sz="2" w:space="0"/>
              <w:right w:val="nil"/>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
                <w:bCs/>
                <w:sz w:val="18"/>
                <w:szCs w:val="18"/>
              </w:rPr>
              <w:t xml:space="preserve">纺织品(17) </w:t>
            </w:r>
          </w:p>
        </w:tc>
      </w:tr>
      <w:tr>
        <w:tblPrEx>
          <w:tblCellMar>
            <w:top w:w="0" w:type="dxa"/>
            <w:left w:w="0" w:type="dxa"/>
            <w:bottom w:w="0" w:type="dxa"/>
            <w:right w:w="0" w:type="dxa"/>
          </w:tblCellMar>
        </w:tblPrEx>
        <w:trPr>
          <w:trHeight w:val="170" w:hRule="atLeast"/>
        </w:trPr>
        <w:tc>
          <w:tcPr>
            <w:tcW w:w="559" w:type="dxa"/>
            <w:tcBorders>
              <w:top w:val="single" w:color="000000" w:sz="4"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1710</w:t>
            </w:r>
          </w:p>
        </w:tc>
        <w:tc>
          <w:tcPr>
            <w:tcW w:w="2261" w:type="dxa"/>
            <w:tcBorders>
              <w:top w:val="single" w:color="000000"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吨纱(线)混合数综合能耗</w:t>
            </w:r>
          </w:p>
        </w:tc>
        <w:tc>
          <w:tcPr>
            <w:tcW w:w="1290" w:type="dxa"/>
            <w:tcBorders>
              <w:top w:val="single" w:color="000000"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000000"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000000"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000000"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企业生产综合能源消费量</w:t>
            </w:r>
          </w:p>
        </w:tc>
        <w:tc>
          <w:tcPr>
            <w:tcW w:w="1682" w:type="dxa"/>
            <w:tcBorders>
              <w:top w:val="single" w:color="000000"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纱(线)混合数产量</w:t>
            </w:r>
          </w:p>
        </w:tc>
        <w:tc>
          <w:tcPr>
            <w:tcW w:w="613" w:type="dxa"/>
            <w:tcBorders>
              <w:top w:val="single" w:color="000000" w:sz="4"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17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1715</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吨纱(线)混合数生产用电量</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企业生产用电量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纱(线)混合数产量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17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1730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万米布混合数综合能耗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千克标准煤/万米</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万米</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企业生产综合能源消费量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布混合数产量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17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1740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万米布混合数生产用电量</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千瓦时/万米</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万米</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企业生产用电量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布混合数产量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170" w:hRule="atLeast"/>
        </w:trPr>
        <w:tc>
          <w:tcPr>
            <w:tcW w:w="559" w:type="dxa"/>
            <w:tcBorders>
              <w:top w:val="single" w:color="auto" w:sz="2" w:space="0"/>
              <w:left w:val="nil"/>
              <w:bottom w:val="single" w:color="auto" w:sz="4"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1750</w:t>
            </w:r>
          </w:p>
        </w:tc>
        <w:tc>
          <w:tcPr>
            <w:tcW w:w="2261"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万米印染布综合能耗</w:t>
            </w:r>
          </w:p>
        </w:tc>
        <w:tc>
          <w:tcPr>
            <w:tcW w:w="1290"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千克标准煤/万米</w:t>
            </w:r>
          </w:p>
        </w:tc>
        <w:tc>
          <w:tcPr>
            <w:tcW w:w="525"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万米</w:t>
            </w:r>
          </w:p>
        </w:tc>
        <w:tc>
          <w:tcPr>
            <w:tcW w:w="2014"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企业生产综合能耗量</w:t>
            </w:r>
          </w:p>
        </w:tc>
        <w:tc>
          <w:tcPr>
            <w:tcW w:w="1682"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印染布产量.</w:t>
            </w:r>
          </w:p>
        </w:tc>
        <w:tc>
          <w:tcPr>
            <w:tcW w:w="613" w:type="dxa"/>
            <w:tcBorders>
              <w:top w:val="single" w:color="auto" w:sz="2" w:space="0"/>
              <w:left w:val="single" w:color="auto" w:sz="2" w:space="0"/>
              <w:bottom w:val="single" w:color="auto" w:sz="4"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170" w:hRule="atLeast"/>
        </w:trPr>
        <w:tc>
          <w:tcPr>
            <w:tcW w:w="559" w:type="dxa"/>
            <w:tcBorders>
              <w:top w:val="single" w:color="auto" w:sz="4"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1770</w:t>
            </w:r>
          </w:p>
        </w:tc>
        <w:tc>
          <w:tcPr>
            <w:tcW w:w="2261"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万米丝织品综合能耗</w:t>
            </w:r>
          </w:p>
        </w:tc>
        <w:tc>
          <w:tcPr>
            <w:tcW w:w="1290"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千克标准煤/万米</w:t>
            </w:r>
          </w:p>
        </w:tc>
        <w:tc>
          <w:tcPr>
            <w:tcW w:w="525"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万米</w:t>
            </w:r>
          </w:p>
        </w:tc>
        <w:tc>
          <w:tcPr>
            <w:tcW w:w="2014"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企业生产综合能耗量</w:t>
            </w:r>
          </w:p>
        </w:tc>
        <w:tc>
          <w:tcPr>
            <w:tcW w:w="1682"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丝织品产量</w:t>
            </w:r>
          </w:p>
        </w:tc>
        <w:tc>
          <w:tcPr>
            <w:tcW w:w="613" w:type="dxa"/>
            <w:tcBorders>
              <w:top w:val="single" w:color="auto" w:sz="4"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17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1780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万米丝织品用电量</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千瓦时/万米</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万米</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企业生产用电量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丝织品产量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113"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造纸及纸制品(22)</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2202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机制纸及纸板综合能耗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企业生产综合能耗</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机制纸及纸板(外购原纸加工除外)产量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2201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机制纸及纸板耗电</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企业生产用电量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机制纸及纸板(外购原纸加工除外)产量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113"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焦炭(25)</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2501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炼焦工序单位能耗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炼焦工序净耗能量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全部焦炭合格产出量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113"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原油加工(25)</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2503</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原油加工单位综合能耗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千克标准油/吨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吨标准油</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综合能耗量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原油及外购原料油加工量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2502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原油加工单位耗电</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炼油系统电消耗量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原油及外购原料油加工量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113"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无机碱(26)</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2601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单位烧碱生产综合能耗(离子膜法30%)</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烧碱综合能源消耗量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烧碱(折100%)产量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2602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单位烧碱生产耗交流电(离子膜法30%)</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交流电消耗量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烧碱(折100%)产量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2641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单位烧碱生产综合能耗(离子膜法45%)</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烧碱综合能源消耗量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烧碱(折100%)产量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2642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单位烧碱生产耗交流电(离子膜法45%)</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交流电消耗量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烧碱(折100%)产量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2691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单位烧碱生产综合能耗(离子膜法98%)</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烧碱综合能源消耗量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烧碱(折100%)产量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2692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单位烧碱生产耗交流电(离子膜法98%)</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交流电消耗量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烧碱(折100%)产量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2607</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单位烧碱生产综合能耗(隔膜法30%)</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烧碱综合能源消耗量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烧碱(折100%)产量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2608</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单位烧碱生产耗交流电(隔膜法30%)</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交流电消耗量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烧碱(折100%)产量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2661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氨碱法单位纯碱生产综合能耗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纯碱综合能源消耗总量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纯碱(碳酸钠)产量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2662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氨碱法单位纯碱生产耗电</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纯碱生产耗电总量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纯碱(碳酸钠)产量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113" w:hRule="atLeast"/>
        </w:trPr>
        <w:tc>
          <w:tcPr>
            <w:tcW w:w="559" w:type="dxa"/>
            <w:tcBorders>
              <w:top w:val="single" w:color="auto" w:sz="2" w:space="0"/>
              <w:left w:val="nil"/>
              <w:bottom w:val="single" w:color="auto" w:sz="8"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2663</w:t>
            </w:r>
          </w:p>
        </w:tc>
        <w:tc>
          <w:tcPr>
            <w:tcW w:w="2261"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联碱法纯碱双吨产品生产综合能耗</w:t>
            </w:r>
          </w:p>
        </w:tc>
        <w:tc>
          <w:tcPr>
            <w:tcW w:w="1290"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双吨产品综合能源消耗总量</w:t>
            </w:r>
          </w:p>
        </w:tc>
        <w:tc>
          <w:tcPr>
            <w:tcW w:w="1682"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纯碱(碳酸钠)产量</w:t>
            </w:r>
          </w:p>
        </w:tc>
        <w:tc>
          <w:tcPr>
            <w:tcW w:w="613" w:type="dxa"/>
            <w:tcBorders>
              <w:top w:val="single" w:color="auto" w:sz="2" w:space="0"/>
              <w:left w:val="single" w:color="auto" w:sz="2" w:space="0"/>
              <w:bottom w:val="single" w:color="auto" w:sz="8"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285" w:hRule="atLeast"/>
        </w:trPr>
        <w:tc>
          <w:tcPr>
            <w:tcW w:w="559" w:type="dxa"/>
            <w:vMerge w:val="restart"/>
            <w:tcBorders>
              <w:top w:val="single" w:color="auto" w:sz="8" w:space="0"/>
              <w:left w:val="nil"/>
              <w:bottom w:val="single" w:color="auto" w:sz="2" w:space="0"/>
              <w:right w:val="single" w:color="auto" w:sz="2" w:space="0"/>
            </w:tcBorders>
            <w:noWrap/>
            <w:tcMar>
              <w:top w:w="15" w:type="dxa"/>
              <w:left w:w="15" w:type="dxa"/>
              <w:bottom w:w="0" w:type="dxa"/>
              <w:right w:w="15" w:type="dxa"/>
            </w:tcMar>
            <w:vAlign w:val="center"/>
          </w:tcPr>
          <w:p>
            <w:pPr>
              <w:spacing w:line="24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代码</w:t>
            </w:r>
          </w:p>
        </w:tc>
        <w:tc>
          <w:tcPr>
            <w:tcW w:w="2261" w:type="dxa"/>
            <w:vMerge w:val="restart"/>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4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指标名称</w:t>
            </w:r>
          </w:p>
        </w:tc>
        <w:tc>
          <w:tcPr>
            <w:tcW w:w="2336" w:type="dxa"/>
            <w:gridSpan w:val="3"/>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4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计量单位</w:t>
            </w:r>
          </w:p>
        </w:tc>
        <w:tc>
          <w:tcPr>
            <w:tcW w:w="3696" w:type="dxa"/>
            <w:gridSpan w:val="2"/>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4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计算根据</w:t>
            </w:r>
          </w:p>
        </w:tc>
        <w:tc>
          <w:tcPr>
            <w:tcW w:w="613" w:type="dxa"/>
            <w:vMerge w:val="restart"/>
            <w:tcBorders>
              <w:top w:val="single" w:color="auto" w:sz="8" w:space="0"/>
              <w:left w:val="single" w:color="auto" w:sz="2" w:space="0"/>
              <w:bottom w:val="single" w:color="auto" w:sz="2" w:space="0"/>
              <w:right w:val="nil"/>
            </w:tcBorders>
            <w:noWrap/>
            <w:tcMar>
              <w:top w:w="15" w:type="dxa"/>
              <w:left w:w="15" w:type="dxa"/>
              <w:bottom w:w="0" w:type="dxa"/>
              <w:right w:w="15" w:type="dxa"/>
            </w:tcMar>
            <w:vAlign w:val="center"/>
          </w:tcPr>
          <w:p>
            <w:pPr>
              <w:spacing w:line="24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单位换算系数</w:t>
            </w:r>
          </w:p>
        </w:tc>
      </w:tr>
      <w:tr>
        <w:tblPrEx>
          <w:tblCellMar>
            <w:top w:w="0" w:type="dxa"/>
            <w:left w:w="0" w:type="dxa"/>
            <w:bottom w:w="0" w:type="dxa"/>
            <w:right w:w="0" w:type="dxa"/>
          </w:tblCellMar>
        </w:tblPrEx>
        <w:trPr>
          <w:trHeight w:val="285" w:hRule="atLeast"/>
        </w:trPr>
        <w:tc>
          <w:tcPr>
            <w:tcW w:w="559" w:type="dxa"/>
            <w:vMerge w:val="continue"/>
            <w:tcBorders>
              <w:top w:val="single" w:color="auto" w:sz="2" w:space="0"/>
              <w:left w:val="nil"/>
              <w:bottom w:val="single" w:color="auto" w:sz="4" w:space="0"/>
              <w:right w:val="single" w:color="auto" w:sz="2" w:space="0"/>
            </w:tcBorders>
            <w:noWrap/>
            <w:vAlign w:val="center"/>
          </w:tcPr>
          <w:p>
            <w:pPr>
              <w:spacing w:line="246" w:lineRule="exact"/>
              <w:jc w:val="center"/>
              <w:rPr>
                <w:rFonts w:asciiTheme="minorEastAsia" w:hAnsiTheme="minorEastAsia" w:eastAsiaTheme="minorEastAsia" w:cstheme="minorEastAsia"/>
                <w:sz w:val="18"/>
                <w:szCs w:val="18"/>
              </w:rPr>
            </w:pPr>
          </w:p>
        </w:tc>
        <w:tc>
          <w:tcPr>
            <w:tcW w:w="2261" w:type="dxa"/>
            <w:vMerge w:val="continue"/>
            <w:tcBorders>
              <w:top w:val="single" w:color="auto" w:sz="2" w:space="0"/>
              <w:left w:val="single" w:color="auto" w:sz="2" w:space="0"/>
              <w:bottom w:val="single" w:color="auto" w:sz="4" w:space="0"/>
              <w:right w:val="single" w:color="auto" w:sz="2" w:space="0"/>
            </w:tcBorders>
            <w:noWrap/>
            <w:vAlign w:val="center"/>
          </w:tcPr>
          <w:p>
            <w:pPr>
              <w:spacing w:line="246" w:lineRule="exact"/>
              <w:rPr>
                <w:rFonts w:asciiTheme="minorEastAsia" w:hAnsiTheme="minorEastAsia" w:eastAsiaTheme="minorEastAsia" w:cstheme="minorEastAsia"/>
                <w:sz w:val="18"/>
                <w:szCs w:val="18"/>
              </w:rPr>
            </w:pPr>
          </w:p>
        </w:tc>
        <w:tc>
          <w:tcPr>
            <w:tcW w:w="1290"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4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指标</w:t>
            </w:r>
          </w:p>
        </w:tc>
        <w:tc>
          <w:tcPr>
            <w:tcW w:w="525"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4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子项</w:t>
            </w:r>
          </w:p>
        </w:tc>
        <w:tc>
          <w:tcPr>
            <w:tcW w:w="521"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4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母项</w:t>
            </w:r>
          </w:p>
        </w:tc>
        <w:tc>
          <w:tcPr>
            <w:tcW w:w="2014"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4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子项</w:t>
            </w:r>
          </w:p>
        </w:tc>
        <w:tc>
          <w:tcPr>
            <w:tcW w:w="1682"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4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母项</w:t>
            </w:r>
          </w:p>
        </w:tc>
        <w:tc>
          <w:tcPr>
            <w:tcW w:w="613" w:type="dxa"/>
            <w:vMerge w:val="continue"/>
            <w:tcBorders>
              <w:top w:val="single" w:color="auto" w:sz="2" w:space="0"/>
              <w:left w:val="single" w:color="auto" w:sz="2" w:space="0"/>
              <w:bottom w:val="single" w:color="auto" w:sz="4" w:space="0"/>
              <w:right w:val="nil"/>
            </w:tcBorders>
            <w:noWrap/>
            <w:vAlign w:val="center"/>
          </w:tcPr>
          <w:p>
            <w:pPr>
              <w:spacing w:line="246" w:lineRule="exact"/>
              <w:rPr>
                <w:rFonts w:asciiTheme="minorEastAsia" w:hAnsiTheme="minorEastAsia" w:eastAsiaTheme="minorEastAsia" w:cstheme="minorEastAsia"/>
                <w:sz w:val="18"/>
                <w:szCs w:val="18"/>
              </w:rPr>
            </w:pPr>
          </w:p>
        </w:tc>
      </w:tr>
      <w:tr>
        <w:tblPrEx>
          <w:tblCellMar>
            <w:top w:w="0" w:type="dxa"/>
            <w:left w:w="0" w:type="dxa"/>
            <w:bottom w:w="0" w:type="dxa"/>
            <w:right w:w="0" w:type="dxa"/>
          </w:tblCellMar>
        </w:tblPrEx>
        <w:trPr>
          <w:trHeight w:val="285" w:hRule="atLeast"/>
        </w:trPr>
        <w:tc>
          <w:tcPr>
            <w:tcW w:w="559" w:type="dxa"/>
            <w:tcBorders>
              <w:top w:val="single" w:color="auto" w:sz="4"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2664</w:t>
            </w:r>
          </w:p>
        </w:tc>
        <w:tc>
          <w:tcPr>
            <w:tcW w:w="2261"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联碱法纯碱双吨产品生产耗电</w:t>
            </w:r>
          </w:p>
        </w:tc>
        <w:tc>
          <w:tcPr>
            <w:tcW w:w="1290"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双吨产品生产耗电总量</w:t>
            </w:r>
          </w:p>
        </w:tc>
        <w:tc>
          <w:tcPr>
            <w:tcW w:w="1682"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纯碱(碳酸钠)产量</w:t>
            </w:r>
          </w:p>
        </w:tc>
        <w:tc>
          <w:tcPr>
            <w:tcW w:w="613" w:type="dxa"/>
            <w:tcBorders>
              <w:top w:val="single" w:color="auto" w:sz="4"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28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2665</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天然碱法单位纯碱生产综合能耗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纯碱综合能源消耗总量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纯碱(碳酸钠)产量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2666</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天然碱法单位纯碱生产耗电</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纯碱生产耗电总量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纯碱(碳酸钠)产量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00"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无机盐(26)</w:t>
            </w:r>
          </w:p>
        </w:tc>
      </w:tr>
      <w:tr>
        <w:tblPrEx>
          <w:tblCellMar>
            <w:top w:w="0" w:type="dxa"/>
            <w:left w:w="0" w:type="dxa"/>
            <w:bottom w:w="0" w:type="dxa"/>
            <w:right w:w="0" w:type="dxa"/>
          </w:tblCellMar>
        </w:tblPrEx>
        <w:trPr>
          <w:trHeight w:val="46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2619</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单位电石生产综合能耗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电石综合能源消耗总量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碳化钙(电石，折300升/千克)产量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46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2620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单位电石生产电力消耗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电石生产耗电总量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碳化钙(电石，折300升/千克)产量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2671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单位黄磷生产综合能耗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黄磷综合能源消耗总量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黄磷产量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2672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单位黄磷生产电力消耗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黄磷生产耗电总量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黄磷产量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00"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有机化学原料(26)</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2621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单位乙烯生产综合能耗  </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乙烯燃料动力消耗总量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乙烯产量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2622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单位乙烯生产耗电  </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乙烯生产耗电量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乙烯产量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00"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氮肥(26)</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2623</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单位合成氨生产综合能耗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合成氨综合能源消耗量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合成氨(无水氨)产量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2625</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单位合成氨耗电</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合成氨耗电总量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合成氨(无水氨)产量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6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2626</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单位合成氨耗原料煤</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合成氨原料煤耗折标煤</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合成氨(无水氨)产量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238"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2627</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单位合成氨耗标准燃料煤</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合成氨耗标准燃料煤总量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合成氨(无水氨)产量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542"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2624</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单位合成氨耗天然气</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标准立方米/吨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万标准立方米</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合成氨耗天然气</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合成氨(无水氨)产量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285"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水泥(30)</w:t>
            </w:r>
          </w:p>
        </w:tc>
      </w:tr>
      <w:tr>
        <w:tblPrEx>
          <w:tblCellMar>
            <w:top w:w="0" w:type="dxa"/>
            <w:left w:w="0" w:type="dxa"/>
            <w:bottom w:w="0" w:type="dxa"/>
            <w:right w:w="0" w:type="dxa"/>
          </w:tblCellMar>
        </w:tblPrEx>
        <w:trPr>
          <w:trHeight w:val="341" w:hRule="atLeast"/>
        </w:trPr>
        <w:tc>
          <w:tcPr>
            <w:tcW w:w="559" w:type="dxa"/>
            <w:tcBorders>
              <w:top w:val="single" w:color="auto" w:sz="2" w:space="0"/>
              <w:left w:val="nil"/>
              <w:bottom w:val="single" w:color="auto" w:sz="4"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3001</w:t>
            </w:r>
          </w:p>
        </w:tc>
        <w:tc>
          <w:tcPr>
            <w:tcW w:w="2261"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吨水泥熟料综合能耗</w:t>
            </w:r>
          </w:p>
        </w:tc>
        <w:tc>
          <w:tcPr>
            <w:tcW w:w="1290"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5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硅酸盐水泥熟料综合能源消费量</w:t>
            </w:r>
          </w:p>
        </w:tc>
        <w:tc>
          <w:tcPr>
            <w:tcW w:w="1682" w:type="dxa"/>
            <w:tcBorders>
              <w:top w:val="single" w:color="auto" w:sz="2" w:space="0"/>
              <w:left w:val="single" w:color="auto" w:sz="2" w:space="0"/>
              <w:bottom w:val="single" w:color="auto" w:sz="4"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硅酸盐水泥熟料产量</w:t>
            </w:r>
          </w:p>
        </w:tc>
        <w:tc>
          <w:tcPr>
            <w:tcW w:w="613" w:type="dxa"/>
            <w:tcBorders>
              <w:top w:val="single" w:color="auto" w:sz="2" w:space="0"/>
              <w:left w:val="single" w:color="auto" w:sz="2" w:space="0"/>
              <w:bottom w:val="single" w:color="auto" w:sz="4" w:space="0"/>
              <w:right w:val="nil"/>
            </w:tcBorders>
            <w:noWrap/>
            <w:tcMar>
              <w:top w:w="15" w:type="dxa"/>
              <w:left w:w="15" w:type="dxa"/>
              <w:bottom w:w="0" w:type="dxa"/>
              <w:right w:w="15" w:type="dxa"/>
            </w:tcMar>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87" w:hRule="atLeast"/>
        </w:trPr>
        <w:tc>
          <w:tcPr>
            <w:tcW w:w="559" w:type="dxa"/>
            <w:tcBorders>
              <w:top w:val="single" w:color="auto" w:sz="4" w:space="0"/>
              <w:left w:val="nil"/>
              <w:bottom w:val="single" w:color="auto" w:sz="2" w:space="0"/>
              <w:right w:val="single" w:color="auto" w:sz="2" w:space="0"/>
            </w:tcBorders>
            <w:noWrap/>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3004</w:t>
            </w:r>
          </w:p>
        </w:tc>
        <w:tc>
          <w:tcPr>
            <w:tcW w:w="2261" w:type="dxa"/>
            <w:tcBorders>
              <w:top w:val="single" w:color="auto" w:sz="4" w:space="0"/>
              <w:left w:val="single" w:color="auto" w:sz="2" w:space="0"/>
              <w:bottom w:val="single" w:color="auto" w:sz="2" w:space="0"/>
              <w:right w:val="single" w:color="auto" w:sz="2" w:space="0"/>
            </w:tcBorders>
            <w:noWrap/>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吨水泥熟料综合电耗</w:t>
            </w:r>
          </w:p>
        </w:tc>
        <w:tc>
          <w:tcPr>
            <w:tcW w:w="1290"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硅酸盐水泥熟料生产综合电力消费量</w:t>
            </w:r>
          </w:p>
        </w:tc>
        <w:tc>
          <w:tcPr>
            <w:tcW w:w="1682" w:type="dxa"/>
            <w:tcBorders>
              <w:top w:val="single" w:color="auto"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硅酸盐水泥熟料产量</w:t>
            </w:r>
          </w:p>
        </w:tc>
        <w:tc>
          <w:tcPr>
            <w:tcW w:w="613" w:type="dxa"/>
            <w:tcBorders>
              <w:top w:val="single" w:color="auto" w:sz="4" w:space="0"/>
              <w:left w:val="single" w:color="auto" w:sz="2" w:space="0"/>
              <w:bottom w:val="single" w:color="auto" w:sz="2" w:space="0"/>
              <w:right w:val="nil"/>
            </w:tcBorders>
            <w:noWrap/>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60" w:hRule="atLeast"/>
        </w:trPr>
        <w:tc>
          <w:tcPr>
            <w:tcW w:w="559" w:type="dxa"/>
            <w:tcBorders>
              <w:top w:val="single" w:color="auto" w:sz="2" w:space="0"/>
              <w:left w:val="nil"/>
              <w:bottom w:val="single" w:color="auto" w:sz="2" w:space="0"/>
              <w:right w:val="single" w:color="auto" w:sz="2" w:space="0"/>
            </w:tcBorders>
            <w:noWrap/>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3003</w:t>
            </w:r>
          </w:p>
        </w:tc>
        <w:tc>
          <w:tcPr>
            <w:tcW w:w="2261" w:type="dxa"/>
            <w:tcBorders>
              <w:top w:val="single" w:color="auto" w:sz="2" w:space="0"/>
              <w:left w:val="single" w:color="auto" w:sz="2" w:space="0"/>
              <w:bottom w:val="single" w:color="auto" w:sz="2" w:space="0"/>
              <w:right w:val="single" w:color="auto" w:sz="2" w:space="0"/>
            </w:tcBorders>
            <w:noWrap/>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吨水泥熟料烧成标准煤耗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硅酸盐水泥熟料标准煤消费量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硅酸盐水泥熟料产量</w:t>
            </w:r>
          </w:p>
        </w:tc>
        <w:tc>
          <w:tcPr>
            <w:tcW w:w="613" w:type="dxa"/>
            <w:tcBorders>
              <w:top w:val="single" w:color="auto" w:sz="2" w:space="0"/>
              <w:left w:val="single" w:color="auto" w:sz="2" w:space="0"/>
              <w:bottom w:val="single" w:color="auto" w:sz="2" w:space="0"/>
              <w:right w:val="nil"/>
            </w:tcBorders>
            <w:noWrap/>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415" w:hRule="atLeast"/>
        </w:trPr>
        <w:tc>
          <w:tcPr>
            <w:tcW w:w="559" w:type="dxa"/>
            <w:tcBorders>
              <w:top w:val="single" w:color="auto" w:sz="2" w:space="0"/>
              <w:left w:val="nil"/>
              <w:bottom w:val="single" w:color="auto" w:sz="2" w:space="0"/>
              <w:right w:val="single" w:color="auto" w:sz="2" w:space="0"/>
            </w:tcBorders>
            <w:noWrap/>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3005</w:t>
            </w:r>
          </w:p>
        </w:tc>
        <w:tc>
          <w:tcPr>
            <w:tcW w:w="2261" w:type="dxa"/>
            <w:tcBorders>
              <w:top w:val="single" w:color="auto" w:sz="2" w:space="0"/>
              <w:left w:val="single" w:color="auto" w:sz="2" w:space="0"/>
              <w:bottom w:val="single" w:color="auto" w:sz="2" w:space="0"/>
              <w:right w:val="single" w:color="auto" w:sz="2" w:space="0"/>
            </w:tcBorders>
            <w:noWrap/>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吨水泥综合能耗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综合能源消费量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水泥产量</w:t>
            </w:r>
          </w:p>
        </w:tc>
        <w:tc>
          <w:tcPr>
            <w:tcW w:w="613" w:type="dxa"/>
            <w:tcBorders>
              <w:top w:val="single" w:color="auto" w:sz="2" w:space="0"/>
              <w:left w:val="single" w:color="auto" w:sz="2" w:space="0"/>
              <w:bottom w:val="single" w:color="auto" w:sz="2" w:space="0"/>
              <w:right w:val="nil"/>
            </w:tcBorders>
            <w:noWrap/>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456" w:hRule="atLeast"/>
        </w:trPr>
        <w:tc>
          <w:tcPr>
            <w:tcW w:w="559" w:type="dxa"/>
            <w:tcBorders>
              <w:top w:val="single" w:color="auto" w:sz="2" w:space="0"/>
              <w:left w:val="nil"/>
              <w:bottom w:val="single" w:color="auto" w:sz="2" w:space="0"/>
              <w:right w:val="single" w:color="auto" w:sz="2" w:space="0"/>
            </w:tcBorders>
            <w:noWrap/>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3007</w:t>
            </w:r>
          </w:p>
        </w:tc>
        <w:tc>
          <w:tcPr>
            <w:tcW w:w="2261" w:type="dxa"/>
            <w:tcBorders>
              <w:top w:val="single" w:color="auto" w:sz="2" w:space="0"/>
              <w:left w:val="single" w:color="auto" w:sz="2" w:space="0"/>
              <w:bottom w:val="single" w:color="auto" w:sz="2" w:space="0"/>
              <w:right w:val="single" w:color="auto" w:sz="2" w:space="0"/>
            </w:tcBorders>
            <w:noWrap/>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吨水泥综合电耗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widowControl/>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水泥生产综合电力消费量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水泥产量</w:t>
            </w:r>
          </w:p>
        </w:tc>
        <w:tc>
          <w:tcPr>
            <w:tcW w:w="613" w:type="dxa"/>
            <w:tcBorders>
              <w:top w:val="single" w:color="auto" w:sz="2" w:space="0"/>
              <w:left w:val="single" w:color="auto" w:sz="2" w:space="0"/>
              <w:bottom w:val="single" w:color="auto" w:sz="2" w:space="0"/>
              <w:right w:val="nil"/>
            </w:tcBorders>
            <w:noWrap/>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446" w:hRule="atLeast"/>
        </w:trPr>
        <w:tc>
          <w:tcPr>
            <w:tcW w:w="559" w:type="dxa"/>
            <w:tcBorders>
              <w:top w:val="single" w:color="auto" w:sz="2" w:space="0"/>
              <w:left w:val="nil"/>
              <w:bottom w:val="single" w:color="000000" w:sz="4" w:space="0"/>
              <w:right w:val="single" w:color="auto" w:sz="2" w:space="0"/>
            </w:tcBorders>
            <w:noWrap/>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3020</w:t>
            </w:r>
          </w:p>
        </w:tc>
        <w:tc>
          <w:tcPr>
            <w:tcW w:w="2261" w:type="dxa"/>
            <w:tcBorders>
              <w:top w:val="single" w:color="auto" w:sz="2" w:space="0"/>
              <w:left w:val="single" w:color="auto" w:sz="2" w:space="0"/>
              <w:bottom w:val="single" w:color="000000" w:sz="4" w:space="0"/>
              <w:right w:val="single" w:color="auto" w:sz="2" w:space="0"/>
            </w:tcBorders>
            <w:noWrap/>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吨水泥标准煤耗</w:t>
            </w:r>
          </w:p>
        </w:tc>
        <w:tc>
          <w:tcPr>
            <w:tcW w:w="1290"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水泥生产标准煤消费量</w:t>
            </w:r>
          </w:p>
        </w:tc>
        <w:tc>
          <w:tcPr>
            <w:tcW w:w="1682"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水泥产量</w:t>
            </w:r>
          </w:p>
        </w:tc>
        <w:tc>
          <w:tcPr>
            <w:tcW w:w="613" w:type="dxa"/>
            <w:tcBorders>
              <w:top w:val="single" w:color="auto" w:sz="2" w:space="0"/>
              <w:left w:val="single" w:color="auto" w:sz="2" w:space="0"/>
              <w:bottom w:val="single" w:color="000000" w:sz="4" w:space="0"/>
              <w:right w:val="nil"/>
            </w:tcBorders>
            <w:noWrap/>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285" w:hRule="atLeast"/>
        </w:trPr>
        <w:tc>
          <w:tcPr>
            <w:tcW w:w="9465" w:type="dxa"/>
            <w:gridSpan w:val="8"/>
            <w:tcBorders>
              <w:top w:val="single" w:color="000000" w:sz="4" w:space="0"/>
              <w:left w:val="nil"/>
              <w:bottom w:val="single" w:color="auto" w:sz="2" w:space="0"/>
              <w:right w:val="nil"/>
            </w:tcBorders>
            <w:noWrap/>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
                <w:bCs/>
                <w:sz w:val="18"/>
                <w:szCs w:val="18"/>
              </w:rPr>
              <w:t xml:space="preserve">平板玻璃(30) </w:t>
            </w:r>
          </w:p>
        </w:tc>
      </w:tr>
      <w:tr>
        <w:tblPrEx>
          <w:tblCellMar>
            <w:top w:w="0" w:type="dxa"/>
            <w:left w:w="0" w:type="dxa"/>
            <w:bottom w:w="0" w:type="dxa"/>
            <w:right w:w="0" w:type="dxa"/>
          </w:tblCellMar>
        </w:tblPrEx>
        <w:trPr>
          <w:trHeight w:val="564" w:hRule="atLeast"/>
        </w:trPr>
        <w:tc>
          <w:tcPr>
            <w:tcW w:w="559" w:type="dxa"/>
            <w:tcBorders>
              <w:top w:val="single" w:color="auto" w:sz="2" w:space="0"/>
              <w:left w:val="nil"/>
              <w:bottom w:val="single" w:color="auto" w:sz="2" w:space="0"/>
              <w:right w:val="single" w:color="auto" w:sz="2" w:space="0"/>
            </w:tcBorders>
            <w:noWrap/>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3008</w:t>
            </w:r>
          </w:p>
        </w:tc>
        <w:tc>
          <w:tcPr>
            <w:tcW w:w="2261" w:type="dxa"/>
            <w:tcBorders>
              <w:top w:val="single" w:color="auto" w:sz="2" w:space="0"/>
              <w:left w:val="single" w:color="auto" w:sz="2" w:space="0"/>
              <w:bottom w:val="single" w:color="auto" w:sz="2" w:space="0"/>
              <w:right w:val="single" w:color="auto" w:sz="2" w:space="0"/>
            </w:tcBorders>
            <w:noWrap/>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每重量箱平板玻璃综合能耗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千克标准煤/重量箱</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重量箱</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pacing w:val="-6"/>
                <w:sz w:val="18"/>
                <w:szCs w:val="18"/>
              </w:rPr>
            </w:pPr>
            <w:r>
              <w:rPr>
                <w:rFonts w:hint="eastAsia" w:asciiTheme="minorEastAsia" w:hAnsiTheme="minorEastAsia" w:eastAsiaTheme="minorEastAsia" w:cstheme="minorEastAsia"/>
                <w:spacing w:val="-6"/>
                <w:sz w:val="18"/>
                <w:szCs w:val="18"/>
              </w:rPr>
              <w:t>平板玻璃综合能源消耗量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平板玻璃产量</w:t>
            </w:r>
          </w:p>
        </w:tc>
        <w:tc>
          <w:tcPr>
            <w:tcW w:w="613" w:type="dxa"/>
            <w:tcBorders>
              <w:top w:val="single" w:color="auto" w:sz="2" w:space="0"/>
              <w:left w:val="single" w:color="auto" w:sz="2" w:space="0"/>
              <w:bottom w:val="single" w:color="auto" w:sz="2" w:space="0"/>
              <w:right w:val="nil"/>
            </w:tcBorders>
            <w:noWrap/>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674" w:hRule="atLeast"/>
        </w:trPr>
        <w:tc>
          <w:tcPr>
            <w:tcW w:w="559" w:type="dxa"/>
            <w:tcBorders>
              <w:top w:val="single" w:color="auto" w:sz="2" w:space="0"/>
              <w:left w:val="nil"/>
              <w:bottom w:val="single" w:color="auto" w:sz="8" w:space="0"/>
              <w:right w:val="single" w:color="auto" w:sz="2" w:space="0"/>
            </w:tcBorders>
            <w:noWrap/>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3010</w:t>
            </w:r>
          </w:p>
        </w:tc>
        <w:tc>
          <w:tcPr>
            <w:tcW w:w="2261" w:type="dxa"/>
            <w:tcBorders>
              <w:top w:val="single" w:color="auto" w:sz="2" w:space="0"/>
              <w:left w:val="single" w:color="auto" w:sz="2" w:space="0"/>
              <w:bottom w:val="single" w:color="auto" w:sz="8" w:space="0"/>
              <w:right w:val="single" w:color="auto" w:sz="2" w:space="0"/>
            </w:tcBorders>
            <w:noWrap/>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每重量箱平板玻璃耗电</w:t>
            </w:r>
          </w:p>
        </w:tc>
        <w:tc>
          <w:tcPr>
            <w:tcW w:w="1290"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千瓦时/重量箱</w:t>
            </w:r>
          </w:p>
        </w:tc>
        <w:tc>
          <w:tcPr>
            <w:tcW w:w="525"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重量箱</w:t>
            </w:r>
          </w:p>
        </w:tc>
        <w:tc>
          <w:tcPr>
            <w:tcW w:w="2014"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平板玻璃电力消耗</w:t>
            </w:r>
          </w:p>
        </w:tc>
        <w:tc>
          <w:tcPr>
            <w:tcW w:w="1682"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平板玻璃产量</w:t>
            </w:r>
          </w:p>
        </w:tc>
        <w:tc>
          <w:tcPr>
            <w:tcW w:w="613" w:type="dxa"/>
            <w:tcBorders>
              <w:top w:val="single" w:color="auto" w:sz="2" w:space="0"/>
              <w:left w:val="single" w:color="auto" w:sz="2" w:space="0"/>
              <w:bottom w:val="single" w:color="auto" w:sz="8" w:space="0"/>
              <w:right w:val="nil"/>
            </w:tcBorders>
            <w:noWrap/>
            <w:vAlign w:val="center"/>
          </w:tcPr>
          <w:p>
            <w:pPr>
              <w:spacing w:line="25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285" w:hRule="atLeast"/>
        </w:trPr>
        <w:tc>
          <w:tcPr>
            <w:tcW w:w="559" w:type="dxa"/>
            <w:vMerge w:val="restart"/>
            <w:tcBorders>
              <w:top w:val="single" w:color="auto" w:sz="8" w:space="0"/>
              <w:left w:val="nil"/>
              <w:bottom w:val="single" w:color="auto" w:sz="2" w:space="0"/>
              <w:right w:val="single" w:color="auto" w:sz="2" w:space="0"/>
            </w:tcBorders>
            <w:noWrap/>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代码</w:t>
            </w:r>
          </w:p>
        </w:tc>
        <w:tc>
          <w:tcPr>
            <w:tcW w:w="2261" w:type="dxa"/>
            <w:vMerge w:val="restart"/>
            <w:tcBorders>
              <w:top w:val="single" w:color="auto" w:sz="8" w:space="0"/>
              <w:left w:val="single" w:color="auto" w:sz="2" w:space="0"/>
              <w:bottom w:val="single" w:color="auto" w:sz="2" w:space="0"/>
              <w:right w:val="single" w:color="auto" w:sz="2" w:space="0"/>
            </w:tcBorders>
            <w:noWrap/>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指标名称</w:t>
            </w:r>
          </w:p>
        </w:tc>
        <w:tc>
          <w:tcPr>
            <w:tcW w:w="2336" w:type="dxa"/>
            <w:gridSpan w:val="3"/>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计量单位</w:t>
            </w:r>
          </w:p>
        </w:tc>
        <w:tc>
          <w:tcPr>
            <w:tcW w:w="3696" w:type="dxa"/>
            <w:gridSpan w:val="2"/>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计算根据</w:t>
            </w:r>
          </w:p>
        </w:tc>
        <w:tc>
          <w:tcPr>
            <w:tcW w:w="613" w:type="dxa"/>
            <w:vMerge w:val="restart"/>
            <w:tcBorders>
              <w:top w:val="single" w:color="auto" w:sz="8" w:space="0"/>
              <w:left w:val="single" w:color="auto" w:sz="2" w:space="0"/>
              <w:bottom w:val="single" w:color="auto" w:sz="2" w:space="0"/>
              <w:right w:val="nil"/>
            </w:tcBorders>
            <w:noWrap/>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单位换算系数</w:t>
            </w:r>
          </w:p>
        </w:tc>
      </w:tr>
      <w:tr>
        <w:tblPrEx>
          <w:tblCellMar>
            <w:top w:w="0" w:type="dxa"/>
            <w:left w:w="0" w:type="dxa"/>
            <w:bottom w:w="0" w:type="dxa"/>
            <w:right w:w="0" w:type="dxa"/>
          </w:tblCellMar>
        </w:tblPrEx>
        <w:trPr>
          <w:trHeight w:val="285" w:hRule="atLeast"/>
        </w:trPr>
        <w:tc>
          <w:tcPr>
            <w:tcW w:w="559" w:type="dxa"/>
            <w:vMerge w:val="continue"/>
            <w:tcBorders>
              <w:top w:val="single" w:color="auto" w:sz="2" w:space="0"/>
              <w:left w:val="nil"/>
              <w:bottom w:val="single" w:color="000000" w:sz="4" w:space="0"/>
              <w:right w:val="single" w:color="auto" w:sz="2" w:space="0"/>
            </w:tcBorders>
            <w:noWrap/>
            <w:vAlign w:val="center"/>
          </w:tcPr>
          <w:p>
            <w:pPr>
              <w:spacing w:line="250" w:lineRule="exact"/>
              <w:jc w:val="center"/>
              <w:rPr>
                <w:rFonts w:asciiTheme="minorEastAsia" w:hAnsiTheme="minorEastAsia" w:eastAsiaTheme="minorEastAsia" w:cstheme="minorEastAsia"/>
                <w:sz w:val="18"/>
                <w:szCs w:val="18"/>
              </w:rPr>
            </w:pPr>
          </w:p>
        </w:tc>
        <w:tc>
          <w:tcPr>
            <w:tcW w:w="2261" w:type="dxa"/>
            <w:vMerge w:val="continue"/>
            <w:tcBorders>
              <w:top w:val="single" w:color="auto" w:sz="2" w:space="0"/>
              <w:left w:val="single" w:color="auto" w:sz="2" w:space="0"/>
              <w:bottom w:val="single" w:color="000000" w:sz="4" w:space="0"/>
              <w:right w:val="single" w:color="auto" w:sz="2" w:space="0"/>
            </w:tcBorders>
            <w:noWrap/>
            <w:vAlign w:val="center"/>
          </w:tcPr>
          <w:p>
            <w:pPr>
              <w:spacing w:line="250" w:lineRule="exact"/>
              <w:jc w:val="center"/>
              <w:rPr>
                <w:rFonts w:asciiTheme="minorEastAsia" w:hAnsiTheme="minorEastAsia" w:eastAsiaTheme="minorEastAsia" w:cstheme="minorEastAsia"/>
                <w:sz w:val="18"/>
                <w:szCs w:val="18"/>
              </w:rPr>
            </w:pPr>
          </w:p>
        </w:tc>
        <w:tc>
          <w:tcPr>
            <w:tcW w:w="1290"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指标</w:t>
            </w:r>
          </w:p>
        </w:tc>
        <w:tc>
          <w:tcPr>
            <w:tcW w:w="525"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子项</w:t>
            </w:r>
          </w:p>
        </w:tc>
        <w:tc>
          <w:tcPr>
            <w:tcW w:w="521"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母项</w:t>
            </w:r>
          </w:p>
        </w:tc>
        <w:tc>
          <w:tcPr>
            <w:tcW w:w="2014"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pacing w:val="-20"/>
                <w:sz w:val="18"/>
                <w:szCs w:val="18"/>
              </w:rPr>
            </w:pPr>
            <w:r>
              <w:rPr>
                <w:rFonts w:hint="eastAsia" w:asciiTheme="minorEastAsia" w:hAnsiTheme="minorEastAsia" w:eastAsiaTheme="minorEastAsia" w:cstheme="minorEastAsia"/>
                <w:sz w:val="18"/>
                <w:szCs w:val="18"/>
              </w:rPr>
              <w:t>子项</w:t>
            </w:r>
          </w:p>
        </w:tc>
        <w:tc>
          <w:tcPr>
            <w:tcW w:w="1682"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5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母项</w:t>
            </w:r>
          </w:p>
        </w:tc>
        <w:tc>
          <w:tcPr>
            <w:tcW w:w="613" w:type="dxa"/>
            <w:vMerge w:val="continue"/>
            <w:tcBorders>
              <w:top w:val="single" w:color="auto" w:sz="2" w:space="0"/>
              <w:left w:val="single" w:color="auto" w:sz="2" w:space="0"/>
              <w:bottom w:val="single" w:color="000000" w:sz="4" w:space="0"/>
              <w:right w:val="nil"/>
            </w:tcBorders>
            <w:noWrap/>
            <w:vAlign w:val="center"/>
          </w:tcPr>
          <w:p>
            <w:pPr>
              <w:spacing w:line="250" w:lineRule="exact"/>
              <w:jc w:val="center"/>
              <w:rPr>
                <w:rFonts w:asciiTheme="minorEastAsia" w:hAnsiTheme="minorEastAsia" w:eastAsiaTheme="minorEastAsia" w:cstheme="minorEastAsia"/>
                <w:sz w:val="18"/>
                <w:szCs w:val="18"/>
              </w:rPr>
            </w:pPr>
          </w:p>
        </w:tc>
      </w:tr>
      <w:tr>
        <w:tblPrEx>
          <w:tblCellMar>
            <w:top w:w="0" w:type="dxa"/>
            <w:left w:w="0" w:type="dxa"/>
            <w:bottom w:w="0" w:type="dxa"/>
            <w:right w:w="0" w:type="dxa"/>
          </w:tblCellMar>
        </w:tblPrEx>
        <w:trPr>
          <w:trHeight w:val="300" w:hRule="atLeast"/>
        </w:trPr>
        <w:tc>
          <w:tcPr>
            <w:tcW w:w="559" w:type="dxa"/>
            <w:tcBorders>
              <w:top w:val="single" w:color="000000" w:sz="4"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3009</w:t>
            </w:r>
          </w:p>
        </w:tc>
        <w:tc>
          <w:tcPr>
            <w:tcW w:w="2261" w:type="dxa"/>
            <w:tcBorders>
              <w:top w:val="single" w:color="000000"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每重量箱平板玻璃耗燃油</w:t>
            </w:r>
          </w:p>
        </w:tc>
        <w:tc>
          <w:tcPr>
            <w:tcW w:w="1290" w:type="dxa"/>
            <w:tcBorders>
              <w:top w:val="single" w:color="000000"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千克/重量箱</w:t>
            </w:r>
          </w:p>
        </w:tc>
        <w:tc>
          <w:tcPr>
            <w:tcW w:w="525" w:type="dxa"/>
            <w:tcBorders>
              <w:top w:val="single" w:color="000000"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521" w:type="dxa"/>
            <w:tcBorders>
              <w:top w:val="single" w:color="000000"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重量箱</w:t>
            </w:r>
          </w:p>
        </w:tc>
        <w:tc>
          <w:tcPr>
            <w:tcW w:w="2014" w:type="dxa"/>
            <w:tcBorders>
              <w:top w:val="single" w:color="000000"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平板玻璃燃油消耗</w:t>
            </w:r>
          </w:p>
        </w:tc>
        <w:tc>
          <w:tcPr>
            <w:tcW w:w="1682" w:type="dxa"/>
            <w:tcBorders>
              <w:top w:val="single" w:color="000000" w:sz="4"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平板玻璃产量</w:t>
            </w:r>
          </w:p>
        </w:tc>
        <w:tc>
          <w:tcPr>
            <w:tcW w:w="613" w:type="dxa"/>
            <w:tcBorders>
              <w:top w:val="single" w:color="000000" w:sz="4"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285"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黑色金属(31)</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3101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吨钢综合能耗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企业自耗能源量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粗钢合格产出量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3102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吨钢耗电</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钢铁生产自耗电量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粗钢合格产出量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572"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3103</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吨钢可比能耗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由大型钢铁联合企业填报</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粗钢合格产出量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3104</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炼铁工序单位能耗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炼铁工序净耗能量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生铁合格产出量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55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3120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铁矿烧结工序单位能耗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铁矿烧结工序净耗能量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铁矿烧结矿合格产出量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3106</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转炉炼钢综合工序单位能耗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转炉炼钢综合工序净耗能量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转炉钢合格产出量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1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3107</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电炉炼钢综合工序单位能耗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电炉炼钢综合工序净耗能量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电炉钢合格产出量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1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3108</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电炉炼钢综合电力消耗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widowControl/>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电炉炼钢综合电力净耗量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电炉钢合格产出量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55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3130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硅铁工序单位能耗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千克标准煤/标准吨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标准吨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硅铁工序净耗能量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硅铁(折合含硅75%)合格产品标准量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55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3140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锰硅合金工序单位能耗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千克标准煤/标准吨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标准吨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锰硅合金工序净耗能量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锰硅合金合格产品标准量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55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3150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硅铁单位电耗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千瓦时/标准吨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标准吨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硅铁冶炼总耗电量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硅铁(折合含硅75%)合格产品标准量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57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3160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锰硅合金单位电耗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千瓦时/标准吨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标准吨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锰硅合金冶炼总耗电量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锰硅合金合格产品标准量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3111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轧钢工序单位能耗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轧钢工序净耗能量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钢材产品合格产出量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3112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轧钢工序单位电力消耗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轧钢工序电力净消耗量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钢材产品合格产出量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3113</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吨钢耗新水</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企业耗用新水量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企业粗钢合格产出量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r>
      <w:tr>
        <w:tblPrEx>
          <w:tblCellMar>
            <w:top w:w="0" w:type="dxa"/>
            <w:left w:w="0" w:type="dxa"/>
            <w:bottom w:w="0" w:type="dxa"/>
            <w:right w:w="0" w:type="dxa"/>
          </w:tblCellMar>
        </w:tblPrEx>
        <w:trPr>
          <w:trHeight w:val="300"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
                <w:bCs/>
                <w:sz w:val="18"/>
                <w:szCs w:val="18"/>
              </w:rPr>
              <w:t>铜 (32)</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3201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单位粗铜综合能耗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粗铜综合能源消费量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矿产粗铜产量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3220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单位铜精炼综合能耗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粗铜到精炼铜(电解铜)消耗的能源总量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精炼铜(电解铜)产量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3202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单位铜冶炼综合能耗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铜冶炼各工序综合能源消费量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精炼铜(电解铜)产量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3203</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铜电解直流电单耗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精炼铜(电解铜)消耗的直流电量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精炼铜(电解铜)产量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00"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b/>
                <w:bCs/>
                <w:sz w:val="18"/>
                <w:szCs w:val="18"/>
              </w:rPr>
              <w:t>铝(32)</w:t>
            </w:r>
          </w:p>
        </w:tc>
      </w:tr>
      <w:tr>
        <w:tblPrEx>
          <w:tblCellMar>
            <w:top w:w="0" w:type="dxa"/>
            <w:left w:w="0" w:type="dxa"/>
            <w:bottom w:w="0" w:type="dxa"/>
            <w:right w:w="0" w:type="dxa"/>
          </w:tblCellMar>
        </w:tblPrEx>
        <w:trPr>
          <w:trHeight w:val="30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3204</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单位氧化铝综合能耗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氧化铝生产综合能源消费量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实产氧化铝产量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567"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3205</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单位电解铝综合能耗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全厂综合能源消费量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合格交库原铝(电解铝)产量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582" w:hRule="atLeast"/>
        </w:trPr>
        <w:tc>
          <w:tcPr>
            <w:tcW w:w="559" w:type="dxa"/>
            <w:tcBorders>
              <w:top w:val="single" w:color="auto" w:sz="2" w:space="0"/>
              <w:left w:val="nil"/>
              <w:bottom w:val="single" w:color="auto" w:sz="8"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3206</w:t>
            </w:r>
          </w:p>
        </w:tc>
        <w:tc>
          <w:tcPr>
            <w:tcW w:w="2261"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单位铝锭综合交流电耗</w:t>
            </w:r>
          </w:p>
        </w:tc>
        <w:tc>
          <w:tcPr>
            <w:tcW w:w="1290"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6"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6"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铝锭交流电消耗总量</w:t>
            </w:r>
          </w:p>
        </w:tc>
        <w:tc>
          <w:tcPr>
            <w:tcW w:w="1682"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56"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合格交库铝锭产量</w:t>
            </w:r>
          </w:p>
        </w:tc>
        <w:tc>
          <w:tcPr>
            <w:tcW w:w="613" w:type="dxa"/>
            <w:tcBorders>
              <w:top w:val="single" w:color="auto" w:sz="2" w:space="0"/>
              <w:left w:val="single" w:color="auto" w:sz="2" w:space="0"/>
              <w:bottom w:val="single" w:color="auto" w:sz="8" w:space="0"/>
              <w:right w:val="nil"/>
            </w:tcBorders>
            <w:noWrap/>
            <w:tcMar>
              <w:top w:w="15" w:type="dxa"/>
              <w:left w:w="15" w:type="dxa"/>
              <w:bottom w:w="0" w:type="dxa"/>
              <w:right w:w="15" w:type="dxa"/>
            </w:tcMar>
            <w:vAlign w:val="center"/>
          </w:tcPr>
          <w:p>
            <w:pPr>
              <w:spacing w:line="256"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285" w:hRule="atLeast"/>
        </w:trPr>
        <w:tc>
          <w:tcPr>
            <w:tcW w:w="559" w:type="dxa"/>
            <w:vMerge w:val="restart"/>
            <w:tcBorders>
              <w:top w:val="single" w:color="auto" w:sz="8"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代码</w:t>
            </w:r>
          </w:p>
        </w:tc>
        <w:tc>
          <w:tcPr>
            <w:tcW w:w="2261" w:type="dxa"/>
            <w:vMerge w:val="restart"/>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指标名称</w:t>
            </w:r>
          </w:p>
        </w:tc>
        <w:tc>
          <w:tcPr>
            <w:tcW w:w="2336" w:type="dxa"/>
            <w:gridSpan w:val="3"/>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计量单位</w:t>
            </w:r>
          </w:p>
        </w:tc>
        <w:tc>
          <w:tcPr>
            <w:tcW w:w="3696" w:type="dxa"/>
            <w:gridSpan w:val="2"/>
            <w:tcBorders>
              <w:top w:val="single" w:color="auto" w:sz="8"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计算根据</w:t>
            </w:r>
          </w:p>
        </w:tc>
        <w:tc>
          <w:tcPr>
            <w:tcW w:w="613" w:type="dxa"/>
            <w:vMerge w:val="restart"/>
            <w:tcBorders>
              <w:top w:val="single" w:color="auto" w:sz="8"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单位换算系数</w:t>
            </w:r>
          </w:p>
        </w:tc>
      </w:tr>
      <w:tr>
        <w:tblPrEx>
          <w:tblCellMar>
            <w:top w:w="0" w:type="dxa"/>
            <w:left w:w="0" w:type="dxa"/>
            <w:bottom w:w="0" w:type="dxa"/>
            <w:right w:w="0" w:type="dxa"/>
          </w:tblCellMar>
        </w:tblPrEx>
        <w:trPr>
          <w:trHeight w:val="285" w:hRule="atLeast"/>
        </w:trPr>
        <w:tc>
          <w:tcPr>
            <w:tcW w:w="559" w:type="dxa"/>
            <w:vMerge w:val="continue"/>
            <w:tcBorders>
              <w:top w:val="single" w:color="auto" w:sz="2" w:space="0"/>
              <w:left w:val="nil"/>
              <w:bottom w:val="single" w:color="000000" w:sz="4" w:space="0"/>
              <w:right w:val="single" w:color="auto" w:sz="2" w:space="0"/>
            </w:tcBorders>
            <w:noWrap/>
            <w:vAlign w:val="center"/>
          </w:tcPr>
          <w:p>
            <w:pPr>
              <w:spacing w:line="260" w:lineRule="exact"/>
              <w:jc w:val="center"/>
              <w:rPr>
                <w:rFonts w:asciiTheme="minorEastAsia" w:hAnsiTheme="minorEastAsia" w:eastAsiaTheme="minorEastAsia" w:cstheme="minorEastAsia"/>
                <w:sz w:val="18"/>
                <w:szCs w:val="18"/>
              </w:rPr>
            </w:pPr>
          </w:p>
        </w:tc>
        <w:tc>
          <w:tcPr>
            <w:tcW w:w="2261" w:type="dxa"/>
            <w:vMerge w:val="continue"/>
            <w:tcBorders>
              <w:top w:val="single" w:color="auto" w:sz="2" w:space="0"/>
              <w:left w:val="single" w:color="auto" w:sz="2" w:space="0"/>
              <w:bottom w:val="single" w:color="000000" w:sz="4" w:space="0"/>
              <w:right w:val="single" w:color="auto" w:sz="2" w:space="0"/>
            </w:tcBorders>
            <w:noWrap/>
            <w:vAlign w:val="center"/>
          </w:tcPr>
          <w:p>
            <w:pPr>
              <w:spacing w:line="260" w:lineRule="exact"/>
              <w:rPr>
                <w:rFonts w:asciiTheme="minorEastAsia" w:hAnsiTheme="minorEastAsia" w:eastAsiaTheme="minorEastAsia" w:cstheme="minorEastAsia"/>
                <w:sz w:val="18"/>
                <w:szCs w:val="18"/>
              </w:rPr>
            </w:pPr>
          </w:p>
        </w:tc>
        <w:tc>
          <w:tcPr>
            <w:tcW w:w="1290"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指标</w:t>
            </w:r>
          </w:p>
        </w:tc>
        <w:tc>
          <w:tcPr>
            <w:tcW w:w="525"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子项</w:t>
            </w:r>
          </w:p>
        </w:tc>
        <w:tc>
          <w:tcPr>
            <w:tcW w:w="521"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母项</w:t>
            </w:r>
          </w:p>
        </w:tc>
        <w:tc>
          <w:tcPr>
            <w:tcW w:w="2014"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子项</w:t>
            </w:r>
          </w:p>
        </w:tc>
        <w:tc>
          <w:tcPr>
            <w:tcW w:w="1682" w:type="dxa"/>
            <w:tcBorders>
              <w:top w:val="single" w:color="auto" w:sz="2" w:space="0"/>
              <w:left w:val="single" w:color="auto" w:sz="2" w:space="0"/>
              <w:bottom w:val="single" w:color="000000" w:sz="4"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母项</w:t>
            </w:r>
          </w:p>
        </w:tc>
        <w:tc>
          <w:tcPr>
            <w:tcW w:w="613" w:type="dxa"/>
            <w:vMerge w:val="continue"/>
            <w:tcBorders>
              <w:top w:val="single" w:color="auto" w:sz="2" w:space="0"/>
              <w:left w:val="single" w:color="auto" w:sz="2" w:space="0"/>
              <w:bottom w:val="single" w:color="000000" w:sz="4" w:space="0"/>
              <w:right w:val="nil"/>
            </w:tcBorders>
            <w:noWrap/>
            <w:vAlign w:val="center"/>
          </w:tcPr>
          <w:p>
            <w:pPr>
              <w:spacing w:line="260" w:lineRule="exact"/>
              <w:rPr>
                <w:rFonts w:asciiTheme="minorEastAsia" w:hAnsiTheme="minorEastAsia" w:eastAsiaTheme="minorEastAsia" w:cstheme="minorEastAsia"/>
                <w:sz w:val="18"/>
                <w:szCs w:val="18"/>
              </w:rPr>
            </w:pPr>
          </w:p>
        </w:tc>
      </w:tr>
      <w:tr>
        <w:tblPrEx>
          <w:tblCellMar>
            <w:top w:w="0" w:type="dxa"/>
            <w:left w:w="0" w:type="dxa"/>
            <w:bottom w:w="0" w:type="dxa"/>
            <w:right w:w="0" w:type="dxa"/>
          </w:tblCellMar>
        </w:tblPrEx>
        <w:trPr>
          <w:trHeight w:val="300" w:hRule="atLeast"/>
        </w:trPr>
        <w:tc>
          <w:tcPr>
            <w:tcW w:w="9465" w:type="dxa"/>
            <w:gridSpan w:val="8"/>
            <w:tcBorders>
              <w:top w:val="single" w:color="000000" w:sz="4" w:space="0"/>
              <w:left w:val="nil"/>
              <w:bottom w:val="single" w:color="auto" w:sz="2" w:space="0"/>
              <w:right w:val="nil"/>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铅锌(32)</w:t>
            </w:r>
          </w:p>
        </w:tc>
      </w:tr>
      <w:tr>
        <w:tblPrEx>
          <w:tblCellMar>
            <w:top w:w="0" w:type="dxa"/>
            <w:left w:w="0" w:type="dxa"/>
            <w:bottom w:w="0" w:type="dxa"/>
            <w:right w:w="0" w:type="dxa"/>
          </w:tblCellMar>
        </w:tblPrEx>
        <w:trPr>
          <w:trHeight w:val="31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3207</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单位粗铅综合能耗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粗铅综合能源消费量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合格交库粗铅产出量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1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3208</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单位铅冶炼综合能耗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铅产品能源消耗总量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合格交库铅产量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1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3209</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析出铅直流电单耗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直流电消耗总量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实际析出铅产量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1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3210</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蒸镏锌综合标准煤耗单耗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蒸镏锌综合标准煤消耗总量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合格蒸镏锌产量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1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3211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单位精锌（电锌）综合能耗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精锌(电锌)品能源消耗总量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合格交库精锌(电锌)产量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1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3212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析出锌（湿法）直流电单耗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直流电消耗总量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实际析出锌产量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00"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有色金属材(32)</w:t>
            </w:r>
          </w:p>
        </w:tc>
      </w:tr>
      <w:tr>
        <w:tblPrEx>
          <w:tblCellMar>
            <w:top w:w="0" w:type="dxa"/>
            <w:left w:w="0" w:type="dxa"/>
            <w:bottom w:w="0" w:type="dxa"/>
            <w:right w:w="0" w:type="dxa"/>
          </w:tblCellMar>
        </w:tblPrEx>
        <w:trPr>
          <w:trHeight w:val="31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3214</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吨铜加工材消耗能源量</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铜加工材能源消耗总量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合格交库铜材产量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1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3213</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吨铜加工材消耗电量</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铜加工材用电消耗总量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合格交库铜材产量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31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3216</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吨铝加工材消耗能源量</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千克标准煤/吨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铝加工材能源消耗总量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合格交库铝材产量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w:t>
            </w:r>
          </w:p>
        </w:tc>
      </w:tr>
      <w:tr>
        <w:tblPrEx>
          <w:tblCellMar>
            <w:top w:w="0" w:type="dxa"/>
            <w:left w:w="0" w:type="dxa"/>
            <w:bottom w:w="0" w:type="dxa"/>
            <w:right w:w="0" w:type="dxa"/>
          </w:tblCellMar>
        </w:tblPrEx>
        <w:trPr>
          <w:trHeight w:val="315"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3215</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吨铝加工材消耗电量</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千瓦时/吨</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铝加工材用电消耗总量</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合格交库铝材产量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10000</w:t>
            </w:r>
          </w:p>
        </w:tc>
      </w:tr>
      <w:tr>
        <w:tblPrEx>
          <w:tblCellMar>
            <w:top w:w="0" w:type="dxa"/>
            <w:left w:w="0" w:type="dxa"/>
            <w:bottom w:w="0" w:type="dxa"/>
            <w:right w:w="0" w:type="dxa"/>
          </w:tblCellMar>
        </w:tblPrEx>
        <w:trPr>
          <w:trHeight w:val="285" w:hRule="atLeast"/>
        </w:trPr>
        <w:tc>
          <w:tcPr>
            <w:tcW w:w="9465" w:type="dxa"/>
            <w:gridSpan w:val="8"/>
            <w:tcBorders>
              <w:top w:val="single" w:color="auto" w:sz="2" w:space="0"/>
              <w:left w:val="nil"/>
              <w:bottom w:val="single" w:color="auto" w:sz="2" w:space="0"/>
              <w:right w:val="nil"/>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 xml:space="preserve">火力发电(44) </w:t>
            </w:r>
          </w:p>
        </w:tc>
      </w:tr>
      <w:tr>
        <w:tblPrEx>
          <w:tblCellMar>
            <w:top w:w="0" w:type="dxa"/>
            <w:left w:w="0" w:type="dxa"/>
            <w:bottom w:w="0" w:type="dxa"/>
            <w:right w:w="0" w:type="dxa"/>
          </w:tblCellMar>
        </w:tblPrEx>
        <w:trPr>
          <w:trHeight w:val="48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4401</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电厂火力发电标准煤耗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克标准煤/千瓦时</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发电耗用标准煤量(不含试运行期间发生的燃料消耗)</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火力发电量(不含试运行电量)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w:t>
            </w:r>
          </w:p>
        </w:tc>
      </w:tr>
      <w:tr>
        <w:tblPrEx>
          <w:tblCellMar>
            <w:top w:w="0" w:type="dxa"/>
            <w:left w:w="0" w:type="dxa"/>
            <w:bottom w:w="0" w:type="dxa"/>
            <w:right w:w="0" w:type="dxa"/>
          </w:tblCellMar>
        </w:tblPrEx>
        <w:trPr>
          <w:trHeight w:val="480" w:hRule="atLeast"/>
        </w:trPr>
        <w:tc>
          <w:tcPr>
            <w:tcW w:w="559" w:type="dxa"/>
            <w:tcBorders>
              <w:top w:val="single" w:color="auto" w:sz="2" w:space="0"/>
              <w:left w:val="nil"/>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4402</w:t>
            </w:r>
          </w:p>
        </w:tc>
        <w:tc>
          <w:tcPr>
            <w:tcW w:w="226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电厂火力供电标准煤耗</w:t>
            </w:r>
          </w:p>
        </w:tc>
        <w:tc>
          <w:tcPr>
            <w:tcW w:w="1290"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克标准煤/千瓦时</w:t>
            </w:r>
          </w:p>
        </w:tc>
        <w:tc>
          <w:tcPr>
            <w:tcW w:w="525"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吨标准煤</w:t>
            </w:r>
          </w:p>
        </w:tc>
        <w:tc>
          <w:tcPr>
            <w:tcW w:w="521"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pStyle w:val="14"/>
              <w:tabs>
                <w:tab w:val="clear" w:pos="4153"/>
                <w:tab w:val="clear" w:pos="8306"/>
              </w:tabs>
              <w:snapToGrid/>
              <w:spacing w:line="26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万千瓦时</w:t>
            </w:r>
          </w:p>
        </w:tc>
        <w:tc>
          <w:tcPr>
            <w:tcW w:w="2014"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发电耗用标准煤量(不含试运行期间发生的燃料消耗)</w:t>
            </w:r>
          </w:p>
        </w:tc>
        <w:tc>
          <w:tcPr>
            <w:tcW w:w="1682" w:type="dxa"/>
            <w:tcBorders>
              <w:top w:val="single" w:color="auto" w:sz="2" w:space="0"/>
              <w:left w:val="single" w:color="auto" w:sz="2" w:space="0"/>
              <w:bottom w:val="single" w:color="auto" w:sz="2"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火力供电量(不含试运行电量)=发电量-厂用电量</w:t>
            </w:r>
          </w:p>
        </w:tc>
        <w:tc>
          <w:tcPr>
            <w:tcW w:w="613" w:type="dxa"/>
            <w:tcBorders>
              <w:top w:val="single" w:color="auto" w:sz="2" w:space="0"/>
              <w:left w:val="single" w:color="auto" w:sz="2" w:space="0"/>
              <w:bottom w:val="single" w:color="auto" w:sz="2"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w:t>
            </w:r>
          </w:p>
        </w:tc>
      </w:tr>
      <w:tr>
        <w:tblPrEx>
          <w:tblCellMar>
            <w:top w:w="0" w:type="dxa"/>
            <w:left w:w="0" w:type="dxa"/>
            <w:bottom w:w="0" w:type="dxa"/>
            <w:right w:w="0" w:type="dxa"/>
          </w:tblCellMar>
        </w:tblPrEx>
        <w:trPr>
          <w:trHeight w:val="609" w:hRule="atLeast"/>
        </w:trPr>
        <w:tc>
          <w:tcPr>
            <w:tcW w:w="559" w:type="dxa"/>
            <w:tcBorders>
              <w:top w:val="single" w:color="auto" w:sz="2" w:space="0"/>
              <w:left w:val="nil"/>
              <w:bottom w:val="single" w:color="auto" w:sz="8"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4403</w:t>
            </w:r>
          </w:p>
        </w:tc>
        <w:tc>
          <w:tcPr>
            <w:tcW w:w="2261"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发电厂用电率</w:t>
            </w:r>
          </w:p>
        </w:tc>
        <w:tc>
          <w:tcPr>
            <w:tcW w:w="1290"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60" w:lineRule="exact"/>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25"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521"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6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万千瓦时</w:t>
            </w:r>
          </w:p>
        </w:tc>
        <w:tc>
          <w:tcPr>
            <w:tcW w:w="2014"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发电厂厂用电量(不含试运行电量)</w:t>
            </w:r>
          </w:p>
        </w:tc>
        <w:tc>
          <w:tcPr>
            <w:tcW w:w="1682" w:type="dxa"/>
            <w:tcBorders>
              <w:top w:val="single" w:color="auto" w:sz="2" w:space="0"/>
              <w:left w:val="single" w:color="auto" w:sz="2" w:space="0"/>
              <w:bottom w:val="single" w:color="auto" w:sz="8" w:space="0"/>
              <w:right w:val="single" w:color="auto" w:sz="2" w:space="0"/>
            </w:tcBorders>
            <w:noWrap/>
            <w:tcMar>
              <w:top w:w="15" w:type="dxa"/>
              <w:left w:w="15" w:type="dxa"/>
              <w:bottom w:w="0" w:type="dxa"/>
              <w:right w:w="15" w:type="dxa"/>
            </w:tcMar>
            <w:vAlign w:val="center"/>
          </w:tcPr>
          <w:p>
            <w:pPr>
              <w:spacing w:line="26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发电量(不含试运行电量)</w:t>
            </w:r>
          </w:p>
        </w:tc>
        <w:tc>
          <w:tcPr>
            <w:tcW w:w="613" w:type="dxa"/>
            <w:tcBorders>
              <w:top w:val="single" w:color="auto" w:sz="2" w:space="0"/>
              <w:left w:val="single" w:color="auto" w:sz="2" w:space="0"/>
              <w:bottom w:val="single" w:color="auto" w:sz="8" w:space="0"/>
              <w:right w:val="nil"/>
            </w:tcBorders>
            <w:noWrap/>
            <w:tcMar>
              <w:top w:w="15" w:type="dxa"/>
              <w:left w:w="15" w:type="dxa"/>
              <w:bottom w:w="0" w:type="dxa"/>
              <w:right w:w="15" w:type="dxa"/>
            </w:tcMar>
            <w:vAlign w:val="center"/>
          </w:tcPr>
          <w:p>
            <w:pPr>
              <w:spacing w:line="26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w:t>
            </w:r>
          </w:p>
        </w:tc>
      </w:tr>
    </w:tbl>
    <w:p>
      <w:pPr>
        <w:spacing w:line="40" w:lineRule="exact"/>
        <w:jc w:val="left"/>
        <w:rPr>
          <w:rFonts w:ascii="宋体" w:hAnsi="宋体"/>
          <w:sz w:val="18"/>
          <w:szCs w:val="18"/>
        </w:rPr>
      </w:pPr>
    </w:p>
    <w:p>
      <w:pPr>
        <w:snapToGrid w:val="0"/>
        <w:spacing w:before="240" w:beforeLines="100" w:line="312" w:lineRule="auto"/>
        <w:ind w:firstLine="420" w:firstLineChars="200"/>
        <w:rPr>
          <w:rFonts w:eastAsia="黑体"/>
          <w:bCs/>
          <w:szCs w:val="21"/>
        </w:rPr>
      </w:pPr>
      <w:r>
        <w:rPr>
          <w:rFonts w:hint="eastAsia" w:ascii="黑体" w:hAnsi="黑体" w:eastAsia="黑体" w:cs="黑体"/>
        </w:rPr>
        <w:t>填报目录说明：</w:t>
      </w:r>
    </w:p>
    <w:p>
      <w:pPr>
        <w:spacing w:line="312" w:lineRule="auto"/>
        <w:ind w:firstLine="420" w:firstLineChars="200"/>
        <w:textAlignment w:val="center"/>
        <w:rPr>
          <w:rFonts w:eastAsia="黑体"/>
          <w:bCs/>
          <w:szCs w:val="21"/>
        </w:rPr>
      </w:pPr>
      <w:r>
        <w:rPr>
          <w:rFonts w:eastAsia="黑体"/>
          <w:bCs/>
          <w:szCs w:val="21"/>
        </w:rPr>
        <w:t>煤炭</w:t>
      </w:r>
      <w:r>
        <w:rPr>
          <w:rFonts w:hint="eastAsia" w:ascii="黑体" w:hAnsi="黑体" w:eastAsia="黑体" w:cs="黑体"/>
          <w:bCs/>
          <w:szCs w:val="21"/>
        </w:rPr>
        <w:t>（06）</w:t>
      </w:r>
    </w:p>
    <w:p>
      <w:pPr>
        <w:spacing w:line="312" w:lineRule="auto"/>
        <w:ind w:firstLine="420" w:firstLineChars="200"/>
        <w:textAlignment w:val="center"/>
        <w:rPr>
          <w:szCs w:val="21"/>
        </w:rPr>
      </w:pPr>
      <w:r>
        <w:rPr>
          <w:rFonts w:eastAsia="黑体"/>
          <w:bCs/>
          <w:szCs w:val="21"/>
        </w:rPr>
        <w:t xml:space="preserve">吨原煤生产综合能耗 </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计算公式：吨原煤生产综合能耗（千克标准煤/吨）＝1000×原煤生产综合能源消费量（吨标准煤）</w:t>
      </w:r>
    </w:p>
    <w:p>
      <w:pPr>
        <w:spacing w:line="312" w:lineRule="auto"/>
        <w:ind w:firstLine="376"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Cs/>
          <w:spacing w:val="-11"/>
          <w:szCs w:val="21"/>
        </w:rPr>
        <w:t>　　　　　　　　　　　　　　　　　　　　　　　　　</w:t>
      </w:r>
      <w:r>
        <w:rPr>
          <w:rFonts w:hint="eastAsia" w:asciiTheme="minorEastAsia" w:hAnsiTheme="minorEastAsia" w:eastAsiaTheme="minorEastAsia" w:cstheme="minorEastAsia"/>
          <w:szCs w:val="21"/>
        </w:rPr>
        <w:t>/原煤产量（吨）</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分子项：原煤生产综合能源消费量。指企业原煤生产所消费的各种能源。</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主要包括：矿井（或露天）原煤生产过程中的回采、掘进（剥离）、运输（不包括为矿区服务的大铁路运输）、提升、通风、排水、压风、坑木加工、瓦斯抽放、消火灌浆、井口选矸、矿井采暖、水砂充填、矿灯充电、矿机修、工业照明、工业供水等用能，以及与上述有关的电力线路和变压器的电损。</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不包括：非原煤生产、非生产部门、基本建设工程等用能和生活用能。</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非原煤生产用能量，指煤矿企业附属的其他工业产品生产用能量。如选煤厂、机修厂、运输队、建材厂、火药厂、化工厂、支架厂、钢铁厂、综合利用厂等用能和由各种专用基金支付的工程（如大修理、更新改造工程等）用能，以及与上述有关的电力线路和变压器的电损。</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非生产部门用能，指煤矿企业的非生产部门用能量，如学校、托儿所、幼儿园、机关职工食堂、住宅区浴室、消防队等用能，以及与上述有关的电力线路和变压器的电损。</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基本建设工程用能，指企业内基本建设工程用能量，以及与上述有关的电力线路和变压器的电损。</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分母项：原煤产量。指矿井产量、露天矿产量和其他产量。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（1）矿井产量，指回采产量、掘进产量和矿井其他产量。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①回采产量，指生产矿井中全部回采工作面所采出的煤炭产量。但下列情况应区别处理：</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矿井未正式移交之前，对准备出煤的回采工作面进行实际采煤，其采煤量应计为基建工程煤；</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列入科研计划的新采煤方法试验面和使用新机试采面的出煤，应计为矿井其他产量；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已完成掘进，在回采过程中掘凿的巷道（一般称“采后掘进”）出煤，应计为回采产量；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对已报废的矿井进行复采，由原煤生产费负担的，计入矿井其他产量。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②掘进产量，指在生产矿井中由生产费用负担的生产掘进巷道的出煤。不包括由更改资金进行的掘进工作出煤和井巷维修工作出煤。对采掘产量混在一起分不清的，以下式计算：</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掘进产量（吨）＝煤巷及半煤巷的煤断面（平方米）×进尺（米）×煤的容重（吨/立方米）</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③矿井其他产量，指生产矿井回采和掘进产量以外的其他产量，主要包括井巷维修出煤，已报废矿井复采后所出的煤，质量不合格经处理后合格的回收煤，科研试采出煤，出井无牌煤，水砂充填或水采矿井扫沉淀的煤泥，盘点发生的盈（亏）吨煤，以及由生产费用开支不计能力的矿井产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（2）露天矿产量，指露天煤矿采煤阶段的煤炭产量、剥离阶段的煤炭产量和露天矿其他产量。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露天矿其他产量，指露天采煤阶段和剥离阶段以外的其他产量。主要包括由生产费用开支的不计能力的露天产量，由排土场回收的拣煤量，露天坑内的残煤回收量。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（3）其他产量，指不由原煤生产费用开支的出煤，主要包括基建工程煤、更改工程煤、不计能力的小井和小露天矿出煤。</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①基建工程煤，指基本建设矿井、露天矿在没有移交生产以前的工程出煤和试生产期间的煤炭产量。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②更改工程煤，指在生产矿井中用更改资金进行掘进工作所产出的煤。</w:t>
      </w:r>
    </w:p>
    <w:p>
      <w:pPr>
        <w:spacing w:line="312" w:lineRule="auto"/>
        <w:ind w:firstLine="420" w:firstLineChars="200"/>
        <w:textAlignment w:val="center"/>
        <w:rPr>
          <w:szCs w:val="21"/>
        </w:rPr>
      </w:pPr>
      <w:r>
        <w:rPr>
          <w:rFonts w:hint="eastAsia" w:asciiTheme="minorEastAsia" w:hAnsiTheme="minorEastAsia" w:eastAsiaTheme="minorEastAsia" w:cstheme="minorEastAsia"/>
          <w:szCs w:val="21"/>
        </w:rPr>
        <w:t>③不计能力的小井、小露天矿产量，指年生产能力三万吨以下的小井、小露天矿产量。</w:t>
      </w:r>
    </w:p>
    <w:p>
      <w:pPr>
        <w:spacing w:line="312" w:lineRule="auto"/>
        <w:ind w:firstLine="420" w:firstLineChars="200"/>
        <w:textAlignment w:val="center"/>
        <w:rPr>
          <w:szCs w:val="21"/>
        </w:rPr>
      </w:pPr>
      <w:r>
        <w:rPr>
          <w:rFonts w:eastAsia="黑体"/>
          <w:bCs/>
          <w:szCs w:val="21"/>
        </w:rPr>
        <w:t xml:space="preserve">吨原煤生产耗电量  </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计算公式：吨原煤生产耗电量（千瓦时/吨）＝10000×原煤生产用电量（万千瓦时）/原煤产量（吨）</w:t>
      </w:r>
    </w:p>
    <w:p>
      <w:pPr>
        <w:spacing w:line="312" w:lineRule="auto"/>
        <w:ind w:firstLine="420" w:firstLineChars="200"/>
        <w:textAlignment w:val="center"/>
        <w:rPr>
          <w:szCs w:val="21"/>
        </w:rPr>
      </w:pPr>
      <w:r>
        <w:rPr>
          <w:rFonts w:hint="eastAsia" w:asciiTheme="minorEastAsia" w:hAnsiTheme="minorEastAsia" w:eastAsiaTheme="minorEastAsia" w:cstheme="minorEastAsia"/>
          <w:szCs w:val="21"/>
        </w:rPr>
        <w:t>分子项：原煤生产用电量。见上述原煤生产综合能源消费量的说明。</w:t>
      </w:r>
    </w:p>
    <w:p>
      <w:pPr>
        <w:spacing w:line="312" w:lineRule="auto"/>
        <w:ind w:firstLine="420" w:firstLineChars="200"/>
        <w:textAlignment w:val="center"/>
        <w:rPr>
          <w:szCs w:val="21"/>
        </w:rPr>
      </w:pPr>
      <w:r>
        <w:rPr>
          <w:szCs w:val="21"/>
        </w:rPr>
        <w:t>分母项：原煤产量。同原煤生产综合能源消费量的说明。</w:t>
      </w:r>
    </w:p>
    <w:p>
      <w:pPr>
        <w:spacing w:line="312" w:lineRule="auto"/>
        <w:ind w:firstLine="420" w:firstLineChars="200"/>
        <w:textAlignment w:val="center"/>
        <w:rPr>
          <w:szCs w:val="21"/>
        </w:rPr>
      </w:pPr>
      <w:r>
        <w:rPr>
          <w:rFonts w:hint="eastAsia" w:eastAsia="黑体"/>
          <w:bCs/>
          <w:szCs w:val="21"/>
        </w:rPr>
        <w:t>洗</w:t>
      </w:r>
      <w:r>
        <w:rPr>
          <w:rFonts w:eastAsia="黑体"/>
          <w:bCs/>
          <w:szCs w:val="21"/>
        </w:rPr>
        <w:t xml:space="preserve">煤电力单耗 </w:t>
      </w:r>
    </w:p>
    <w:p>
      <w:pPr>
        <w:spacing w:line="312" w:lineRule="auto"/>
        <w:ind w:firstLine="412" w:firstLineChars="200"/>
        <w:textAlignment w:val="center"/>
        <w:rPr>
          <w:spacing w:val="-2"/>
          <w:szCs w:val="21"/>
        </w:rPr>
      </w:pPr>
      <w:r>
        <w:rPr>
          <w:spacing w:val="-2"/>
          <w:szCs w:val="21"/>
        </w:rPr>
        <w:t>计算公式：洗煤电力单耗（千瓦时/吨）＝</w:t>
      </w:r>
      <w:r>
        <w:rPr>
          <w:rFonts w:hint="eastAsia" w:asciiTheme="minorEastAsia" w:hAnsiTheme="minorEastAsia" w:eastAsiaTheme="minorEastAsia" w:cstheme="minorEastAsia"/>
          <w:szCs w:val="21"/>
        </w:rPr>
        <w:t>10000×</w:t>
      </w:r>
      <w:r>
        <w:rPr>
          <w:spacing w:val="-2"/>
          <w:szCs w:val="21"/>
        </w:rPr>
        <w:t>洗煤生产过程耗电量（万千瓦时）/入洗原煤量（吨）</w:t>
      </w:r>
    </w:p>
    <w:p>
      <w:pPr>
        <w:spacing w:line="312" w:lineRule="auto"/>
        <w:ind w:firstLine="420" w:firstLineChars="200"/>
        <w:textAlignment w:val="center"/>
        <w:rPr>
          <w:szCs w:val="21"/>
        </w:rPr>
      </w:pPr>
      <w:r>
        <w:rPr>
          <w:szCs w:val="21"/>
        </w:rPr>
        <w:t>分子项：洗煤生产过程耗电量。按电力部门结算的电量计算，不包括洗煤厂向外转供的电量，以及与洗煤生产无直接关系的各种用电量（如居民生活用电、基建工程用电、文化福利设施用电等）。</w:t>
      </w:r>
    </w:p>
    <w:p>
      <w:pPr>
        <w:spacing w:line="312" w:lineRule="auto"/>
        <w:ind w:firstLine="424" w:firstLineChars="202"/>
        <w:textAlignment w:val="center"/>
        <w:rPr>
          <w:rFonts w:eastAsia="黑体"/>
          <w:bCs/>
          <w:szCs w:val="21"/>
        </w:rPr>
      </w:pPr>
      <w:r>
        <w:rPr>
          <w:szCs w:val="21"/>
        </w:rPr>
        <w:t>分母项：入洗原煤量。指从入厂毛煤中拣出的不计原煤产量的大块矸石（一般指</w:t>
      </w:r>
      <w:r>
        <w:rPr>
          <w:rFonts w:hint="eastAsia" w:asciiTheme="minorEastAsia" w:hAnsiTheme="minorEastAsia" w:eastAsiaTheme="minorEastAsia" w:cstheme="minorEastAsia"/>
          <w:szCs w:val="21"/>
        </w:rPr>
        <w:t>50</w:t>
      </w:r>
      <w:r>
        <w:rPr>
          <w:szCs w:val="21"/>
        </w:rPr>
        <w:t>毫米以上）后进入洗选煤过程，进行加工处理的原煤量。</w:t>
      </w:r>
    </w:p>
    <w:p>
      <w:pPr>
        <w:spacing w:line="312" w:lineRule="auto"/>
        <w:ind w:firstLine="420" w:firstLineChars="200"/>
        <w:textAlignment w:val="center"/>
        <w:rPr>
          <w:rFonts w:eastAsia="黑体"/>
          <w:bCs/>
          <w:szCs w:val="21"/>
        </w:rPr>
      </w:pPr>
      <w:r>
        <w:rPr>
          <w:rFonts w:eastAsia="黑体"/>
          <w:bCs/>
          <w:szCs w:val="21"/>
        </w:rPr>
        <w:t>石油和天然气（07）</w:t>
      </w:r>
    </w:p>
    <w:p>
      <w:pPr>
        <w:widowControl/>
        <w:spacing w:line="312" w:lineRule="auto"/>
        <w:ind w:firstLine="420" w:firstLineChars="200"/>
        <w:jc w:val="left"/>
        <w:textAlignment w:val="center"/>
        <w:rPr>
          <w:szCs w:val="21"/>
        </w:rPr>
      </w:pPr>
      <w:r>
        <w:rPr>
          <w:rFonts w:eastAsia="黑体"/>
          <w:bCs/>
          <w:szCs w:val="21"/>
        </w:rPr>
        <w:t>单位油气产量综合能耗</w:t>
      </w:r>
    </w:p>
    <w:p>
      <w:pPr>
        <w:spacing w:line="312" w:lineRule="auto"/>
        <w:ind w:left="5250" w:leftChars="200" w:hanging="4830" w:hangingChars="2300"/>
        <w:textAlignment w:val="center"/>
        <w:rPr>
          <w:szCs w:val="21"/>
        </w:rPr>
      </w:pPr>
      <w:r>
        <w:rPr>
          <w:szCs w:val="21"/>
        </w:rPr>
        <w:t>计算公式：单位油气产量综合能耗（千克标准煤/吨）＝</w:t>
      </w:r>
      <w:r>
        <w:rPr>
          <w:rFonts w:hint="eastAsia" w:asciiTheme="minorEastAsia" w:hAnsiTheme="minorEastAsia" w:eastAsiaTheme="minorEastAsia" w:cstheme="minorEastAsia"/>
          <w:szCs w:val="21"/>
        </w:rPr>
        <w:t>1000×</w:t>
      </w:r>
      <w:r>
        <w:rPr>
          <w:szCs w:val="21"/>
        </w:rPr>
        <w:t>油气田生产综合能源消费量（吨标准煤）/油气当量产量（吨）</w:t>
      </w:r>
    </w:p>
    <w:p>
      <w:pPr>
        <w:spacing w:line="312" w:lineRule="auto"/>
        <w:ind w:firstLine="420" w:firstLineChars="200"/>
        <w:textAlignment w:val="center"/>
        <w:rPr>
          <w:szCs w:val="21"/>
        </w:rPr>
      </w:pPr>
      <w:r>
        <w:rPr>
          <w:szCs w:val="21"/>
        </w:rPr>
        <w:t>分子项：油气田生产综合能源消费量。指油气田采油（气）生产所消耗的各种能源，包括采油（气）生产和为采油（气）生产服务的辅助生产设施用能以及管理部门用能。</w:t>
      </w:r>
    </w:p>
    <w:p>
      <w:pPr>
        <w:spacing w:line="312" w:lineRule="auto"/>
        <w:ind w:firstLine="420" w:firstLineChars="200"/>
        <w:textAlignment w:val="center"/>
        <w:rPr>
          <w:szCs w:val="21"/>
        </w:rPr>
      </w:pPr>
      <w:r>
        <w:rPr>
          <w:szCs w:val="21"/>
        </w:rPr>
        <w:t>分母项：油气当量产量。指换算成统一计量单位的原油产量和天然气产量，换算关系：</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1255立方米天然气＝1吨原油</w:t>
      </w:r>
    </w:p>
    <w:p>
      <w:pPr>
        <w:spacing w:line="312" w:lineRule="auto"/>
        <w:ind w:firstLine="420" w:firstLineChars="200"/>
        <w:textAlignment w:val="center"/>
        <w:rPr>
          <w:rFonts w:eastAsia="黑体"/>
          <w:szCs w:val="21"/>
        </w:rPr>
      </w:pPr>
      <w:r>
        <w:rPr>
          <w:rFonts w:eastAsia="黑体"/>
          <w:szCs w:val="21"/>
        </w:rPr>
        <w:t xml:space="preserve">单位油气产量耗电  </w:t>
      </w:r>
    </w:p>
    <w:p>
      <w:pPr>
        <w:spacing w:line="312" w:lineRule="auto"/>
        <w:ind w:firstLine="420" w:firstLineChars="200"/>
        <w:textAlignment w:val="center"/>
        <w:rPr>
          <w:szCs w:val="21"/>
        </w:rPr>
      </w:pPr>
      <w:r>
        <w:rPr>
          <w:szCs w:val="21"/>
        </w:rPr>
        <w:t>计算公式：单位油气产量耗电（千瓦时/吨）</w:t>
      </w:r>
      <w:r>
        <w:rPr>
          <w:rFonts w:hint="eastAsia" w:asciiTheme="minorEastAsia" w:hAnsiTheme="minorEastAsia" w:eastAsiaTheme="minorEastAsia" w:cstheme="minorEastAsia"/>
          <w:szCs w:val="21"/>
        </w:rPr>
        <w:t>＝10000×</w:t>
      </w:r>
      <w:r>
        <w:rPr>
          <w:szCs w:val="21"/>
        </w:rPr>
        <w:t>油气田生产用电量（万千瓦时）/油气当量产</w:t>
      </w:r>
    </w:p>
    <w:p>
      <w:pPr>
        <w:spacing w:line="312" w:lineRule="auto"/>
        <w:ind w:firstLine="376" w:firstLineChars="200"/>
        <w:textAlignment w:val="center"/>
        <w:rPr>
          <w:szCs w:val="21"/>
        </w:rPr>
      </w:pPr>
      <w:r>
        <w:rPr>
          <w:rFonts w:hint="eastAsia" w:asciiTheme="minorEastAsia" w:hAnsiTheme="minorEastAsia" w:eastAsiaTheme="minorEastAsia" w:cstheme="minorEastAsia"/>
          <w:bCs/>
          <w:spacing w:val="-11"/>
          <w:szCs w:val="21"/>
        </w:rPr>
        <w:t>　　　　　　　　　　　　　　　　　　　　　　　</w:t>
      </w:r>
      <w:r>
        <w:rPr>
          <w:szCs w:val="21"/>
        </w:rPr>
        <w:t>量（吨）</w:t>
      </w:r>
    </w:p>
    <w:p>
      <w:pPr>
        <w:spacing w:line="312" w:lineRule="auto"/>
        <w:ind w:firstLine="420" w:firstLineChars="200"/>
        <w:textAlignment w:val="center"/>
        <w:rPr>
          <w:szCs w:val="21"/>
        </w:rPr>
      </w:pPr>
      <w:r>
        <w:rPr>
          <w:szCs w:val="21"/>
        </w:rPr>
        <w:t>分子项：油气田生产用电量。指油气田采油（气）生产所消耗的电力，包括采油（气）生产和为采油（气）生产服务的辅助生产设施用电以及管理部门用电。</w:t>
      </w:r>
    </w:p>
    <w:p>
      <w:pPr>
        <w:spacing w:line="312" w:lineRule="auto"/>
        <w:ind w:firstLine="420" w:firstLineChars="200"/>
        <w:textAlignment w:val="center"/>
        <w:rPr>
          <w:rFonts w:eastAsia="黑体"/>
          <w:bCs/>
        </w:rPr>
      </w:pPr>
      <w:r>
        <w:rPr>
          <w:szCs w:val="21"/>
        </w:rPr>
        <w:t>分母项：油气当量产量。解释同上。</w:t>
      </w:r>
    </w:p>
    <w:p>
      <w:pPr>
        <w:pStyle w:val="10"/>
        <w:spacing w:line="312" w:lineRule="auto"/>
        <w:ind w:firstLine="420" w:firstLineChars="200"/>
        <w:textAlignment w:val="center"/>
        <w:rPr>
          <w:rFonts w:ascii="黑体" w:hAnsi="黑体" w:eastAsia="黑体" w:cs="黑体"/>
          <w:bCs/>
        </w:rPr>
      </w:pPr>
      <w:r>
        <w:rPr>
          <w:rFonts w:hint="eastAsia" w:ascii="黑体" w:hAnsi="黑体" w:eastAsia="黑体" w:cs="黑体"/>
          <w:bCs/>
        </w:rPr>
        <w:t>黑色金属矿（08）</w:t>
      </w:r>
    </w:p>
    <w:p>
      <w:pPr>
        <w:spacing w:line="312" w:lineRule="auto"/>
        <w:ind w:firstLine="420" w:firstLineChars="200"/>
        <w:textAlignment w:val="center"/>
        <w:rPr>
          <w:szCs w:val="21"/>
        </w:rPr>
      </w:pPr>
      <w:r>
        <w:rPr>
          <w:rFonts w:eastAsia="黑体"/>
          <w:bCs/>
          <w:szCs w:val="21"/>
        </w:rPr>
        <w:t xml:space="preserve">铁矿采矿工序单位能耗 </w:t>
      </w:r>
    </w:p>
    <w:p>
      <w:pPr>
        <w:spacing w:line="312" w:lineRule="auto"/>
        <w:ind w:firstLine="420" w:firstLineChars="200"/>
        <w:textAlignment w:val="center"/>
        <w:rPr>
          <w:szCs w:val="21"/>
        </w:rPr>
      </w:pPr>
      <w:r>
        <w:rPr>
          <w:szCs w:val="21"/>
        </w:rPr>
        <w:t>计算公式：铁矿采矿工序单位能耗（千克标</w:t>
      </w:r>
      <w:r>
        <w:rPr>
          <w:rFonts w:hint="eastAsia" w:asciiTheme="minorEastAsia" w:hAnsiTheme="minorEastAsia" w:eastAsiaTheme="minorEastAsia" w:cstheme="minorEastAsia"/>
          <w:szCs w:val="21"/>
        </w:rPr>
        <w:t>准煤/吨）＝1000×铁矿</w:t>
      </w:r>
      <w:r>
        <w:rPr>
          <w:szCs w:val="21"/>
        </w:rPr>
        <w:t>采矿工序净耗能量（吨标准煤）</w:t>
      </w:r>
    </w:p>
    <w:p>
      <w:pPr>
        <w:spacing w:line="312" w:lineRule="auto"/>
        <w:ind w:firstLine="352" w:firstLineChars="200"/>
        <w:textAlignment w:val="center"/>
        <w:rPr>
          <w:szCs w:val="21"/>
        </w:rPr>
      </w:pPr>
      <w:r>
        <w:rPr>
          <w:rFonts w:hint="eastAsia" w:asciiTheme="minorEastAsia" w:hAnsiTheme="minorEastAsia" w:eastAsiaTheme="minorEastAsia" w:cstheme="minorEastAsia"/>
          <w:bCs/>
          <w:spacing w:val="-17"/>
          <w:szCs w:val="21"/>
        </w:rPr>
        <w:t>　　　　　　　　　　　　　　　　　　　　　　　　　　　　　　</w:t>
      </w:r>
      <w:r>
        <w:rPr>
          <w:szCs w:val="21"/>
        </w:rPr>
        <w:t xml:space="preserve">/铁矿采剥（掘）总量或采出原矿量（吨） </w:t>
      </w:r>
    </w:p>
    <w:p>
      <w:pPr>
        <w:spacing w:line="312" w:lineRule="auto"/>
        <w:ind w:firstLine="420" w:firstLineChars="200"/>
        <w:textAlignment w:val="center"/>
        <w:rPr>
          <w:szCs w:val="21"/>
        </w:rPr>
      </w:pPr>
      <w:r>
        <w:rPr>
          <w:szCs w:val="21"/>
        </w:rPr>
        <w:t>分子项：铁矿采矿工序净耗能量。指报告期内铁矿采矿工序消耗的各种能源，扣除工序内向外提供的能源量。</w:t>
      </w:r>
    </w:p>
    <w:p>
      <w:pPr>
        <w:spacing w:line="312" w:lineRule="auto"/>
        <w:ind w:firstLine="396" w:firstLineChars="200"/>
        <w:textAlignment w:val="center"/>
        <w:rPr>
          <w:spacing w:val="-6"/>
          <w:sz w:val="21"/>
          <w:szCs w:val="21"/>
        </w:rPr>
      </w:pPr>
      <w:r>
        <w:rPr>
          <w:spacing w:val="-6"/>
          <w:sz w:val="21"/>
          <w:szCs w:val="21"/>
        </w:rPr>
        <w:t>分母项：铁矿采剥（掘）总量或采出原矿量。指露天采矿用采剥（掘）总量和地下采矿用采出原矿量。</w:t>
      </w:r>
    </w:p>
    <w:p>
      <w:pPr>
        <w:spacing w:line="312" w:lineRule="auto"/>
        <w:ind w:firstLine="420" w:firstLineChars="200"/>
        <w:textAlignment w:val="center"/>
        <w:rPr>
          <w:rFonts w:eastAsia="黑体"/>
          <w:szCs w:val="21"/>
        </w:rPr>
      </w:pPr>
      <w:r>
        <w:rPr>
          <w:rFonts w:eastAsia="黑体"/>
          <w:bCs/>
          <w:szCs w:val="21"/>
        </w:rPr>
        <w:t xml:space="preserve">铁矿选矿工序单位能耗  </w:t>
      </w:r>
    </w:p>
    <w:p>
      <w:pPr>
        <w:spacing w:line="312" w:lineRule="auto"/>
        <w:ind w:firstLine="420" w:firstLineChars="200"/>
        <w:textAlignment w:val="center"/>
        <w:rPr>
          <w:szCs w:val="21"/>
        </w:rPr>
      </w:pPr>
      <w:r>
        <w:rPr>
          <w:szCs w:val="21"/>
        </w:rPr>
        <w:t>计算公式：铁矿选矿工序单位能耗（千克标准煤/</w:t>
      </w:r>
      <w:r>
        <w:rPr>
          <w:rFonts w:hint="eastAsia" w:asciiTheme="minorEastAsia" w:hAnsiTheme="minorEastAsia" w:eastAsiaTheme="minorEastAsia" w:cstheme="minorEastAsia"/>
          <w:szCs w:val="21"/>
        </w:rPr>
        <w:t>吨）＝1000×铁矿</w:t>
      </w:r>
      <w:r>
        <w:rPr>
          <w:szCs w:val="21"/>
        </w:rPr>
        <w:t>选矿工序净耗能量（吨标准煤）</w:t>
      </w:r>
    </w:p>
    <w:p>
      <w:pPr>
        <w:spacing w:line="312" w:lineRule="auto"/>
        <w:ind w:firstLine="352" w:firstLineChars="200"/>
        <w:textAlignment w:val="center"/>
        <w:rPr>
          <w:szCs w:val="21"/>
        </w:rPr>
      </w:pPr>
      <w:r>
        <w:rPr>
          <w:rFonts w:hint="eastAsia" w:asciiTheme="minorEastAsia" w:hAnsiTheme="minorEastAsia" w:eastAsiaTheme="minorEastAsia" w:cstheme="minorEastAsia"/>
          <w:bCs/>
          <w:spacing w:val="-17"/>
          <w:szCs w:val="21"/>
        </w:rPr>
        <w:t>　　　　　　　　　　　　　　　　　　　　　　　　　　　　　</w:t>
      </w:r>
      <w:r>
        <w:rPr>
          <w:szCs w:val="21"/>
        </w:rPr>
        <w:t xml:space="preserve"> /铁矿处理原矿量（吨） </w:t>
      </w:r>
    </w:p>
    <w:p>
      <w:pPr>
        <w:spacing w:line="312" w:lineRule="auto"/>
        <w:ind w:firstLine="420" w:firstLineChars="200"/>
        <w:textAlignment w:val="center"/>
        <w:rPr>
          <w:szCs w:val="21"/>
        </w:rPr>
      </w:pPr>
      <w:r>
        <w:rPr>
          <w:szCs w:val="21"/>
        </w:rPr>
        <w:t>分子项：铁矿选矿工序净耗能量。指报告期内铁矿选矿工序消耗的各种能源，扣除工序内向外提供的能源量。</w:t>
      </w:r>
    </w:p>
    <w:p>
      <w:pPr>
        <w:spacing w:line="312" w:lineRule="auto"/>
        <w:ind w:firstLine="424" w:firstLineChars="202"/>
        <w:textAlignment w:val="center"/>
        <w:rPr>
          <w:rFonts w:eastAsia="黑体"/>
          <w:bCs/>
          <w:szCs w:val="21"/>
        </w:rPr>
      </w:pPr>
      <w:r>
        <w:rPr>
          <w:szCs w:val="21"/>
        </w:rPr>
        <w:t>分母项：铁矿处理原矿量。指报告期内选矿工序所处理的原矿量。</w:t>
      </w:r>
    </w:p>
    <w:p>
      <w:pPr>
        <w:spacing w:line="312" w:lineRule="auto"/>
        <w:ind w:firstLine="420" w:firstLineChars="200"/>
        <w:textAlignment w:val="center"/>
        <w:rPr>
          <w:rFonts w:eastAsia="黑体"/>
          <w:bCs/>
          <w:szCs w:val="21"/>
        </w:rPr>
      </w:pPr>
      <w:r>
        <w:rPr>
          <w:rFonts w:eastAsia="黑体"/>
          <w:bCs/>
          <w:szCs w:val="21"/>
        </w:rPr>
        <w:t>纺织品</w:t>
      </w:r>
      <w:r>
        <w:rPr>
          <w:rFonts w:hint="eastAsia" w:ascii="黑体" w:hAnsi="黑体" w:eastAsia="黑体" w:cs="黑体"/>
          <w:bCs/>
          <w:szCs w:val="21"/>
        </w:rPr>
        <w:t>（17）化学纤维（28</w:t>
      </w:r>
      <w:r>
        <w:rPr>
          <w:rFonts w:eastAsia="黑体"/>
          <w:bCs/>
          <w:szCs w:val="21"/>
        </w:rPr>
        <w:t>）</w:t>
      </w:r>
    </w:p>
    <w:p>
      <w:pPr>
        <w:spacing w:line="312" w:lineRule="auto"/>
        <w:ind w:firstLine="420" w:firstLineChars="200"/>
        <w:textAlignment w:val="center"/>
        <w:rPr>
          <w:szCs w:val="21"/>
        </w:rPr>
      </w:pPr>
      <w:r>
        <w:rPr>
          <w:rFonts w:eastAsia="黑体"/>
          <w:bCs/>
          <w:szCs w:val="21"/>
        </w:rPr>
        <w:t xml:space="preserve">吨粘胶纤维综合能耗（短纤） </w:t>
      </w:r>
    </w:p>
    <w:p>
      <w:pPr>
        <w:spacing w:line="312" w:lineRule="auto"/>
        <w:ind w:firstLine="420" w:firstLineChars="200"/>
        <w:textAlignment w:val="center"/>
        <w:rPr>
          <w:szCs w:val="21"/>
        </w:rPr>
      </w:pPr>
      <w:r>
        <w:rPr>
          <w:szCs w:val="21"/>
        </w:rPr>
        <w:t>计算公式：吨粘胶纤维综合能耗</w:t>
      </w:r>
      <w:r>
        <w:rPr>
          <w:bCs/>
          <w:szCs w:val="21"/>
        </w:rPr>
        <w:t>（短纤）</w:t>
      </w:r>
      <w:r>
        <w:rPr>
          <w:szCs w:val="21"/>
        </w:rPr>
        <w:t>（千克标准煤</w:t>
      </w:r>
      <w:r>
        <w:rPr>
          <w:rFonts w:hint="eastAsia" w:asciiTheme="minorEastAsia" w:hAnsiTheme="minorEastAsia" w:eastAsiaTheme="minorEastAsia" w:cstheme="minorEastAsia"/>
          <w:szCs w:val="21"/>
        </w:rPr>
        <w:t>/吨）＝1000×企业</w:t>
      </w:r>
      <w:r>
        <w:rPr>
          <w:szCs w:val="21"/>
        </w:rPr>
        <w:t>生产综合能源消费量（吨</w:t>
      </w:r>
    </w:p>
    <w:p>
      <w:pPr>
        <w:spacing w:line="312" w:lineRule="auto"/>
        <w:ind w:firstLine="420" w:firstLineChars="200"/>
        <w:textAlignment w:val="center"/>
        <w:rPr>
          <w:szCs w:val="21"/>
        </w:rPr>
      </w:pPr>
      <w:r>
        <w:rPr>
          <w:rFonts w:hint="eastAsia" w:asciiTheme="minorEastAsia" w:hAnsiTheme="minorEastAsia" w:eastAsiaTheme="minorEastAsia" w:cstheme="minorEastAsia"/>
          <w:bCs/>
          <w:szCs w:val="21"/>
        </w:rPr>
        <w:t>　　　　　　　　　　　　　　　　　　　　　　　　</w:t>
      </w:r>
      <w:r>
        <w:rPr>
          <w:rFonts w:hint="eastAsia"/>
          <w:szCs w:val="21"/>
        </w:rPr>
        <w:t>　　　</w:t>
      </w:r>
      <w:r>
        <w:rPr>
          <w:szCs w:val="21"/>
        </w:rPr>
        <w:t>标准煤）/粘胶短纤维产量（吨）</w:t>
      </w:r>
    </w:p>
    <w:p>
      <w:pPr>
        <w:spacing w:line="312" w:lineRule="auto"/>
        <w:ind w:firstLine="420" w:firstLineChars="200"/>
        <w:textAlignment w:val="center"/>
        <w:rPr>
          <w:rFonts w:eastAsia="黑体"/>
          <w:szCs w:val="21"/>
        </w:rPr>
      </w:pPr>
      <w:r>
        <w:rPr>
          <w:rFonts w:eastAsia="黑体"/>
          <w:bCs/>
          <w:szCs w:val="21"/>
        </w:rPr>
        <w:t xml:space="preserve">吨粘胶纤维用电量（短纤） </w:t>
      </w:r>
    </w:p>
    <w:p>
      <w:pPr>
        <w:tabs>
          <w:tab w:val="left" w:pos="12980"/>
        </w:tabs>
        <w:spacing w:line="312" w:lineRule="auto"/>
        <w:ind w:firstLine="420" w:firstLineChars="200"/>
        <w:jc w:val="left"/>
        <w:textAlignment w:val="center"/>
        <w:rPr>
          <w:szCs w:val="21"/>
        </w:rPr>
      </w:pPr>
      <w:r>
        <w:rPr>
          <w:szCs w:val="21"/>
        </w:rPr>
        <w:t>计算公式：吨粘胶纤维用电量</w:t>
      </w:r>
      <w:r>
        <w:rPr>
          <w:bCs/>
          <w:szCs w:val="21"/>
        </w:rPr>
        <w:t>（短纤）</w:t>
      </w:r>
      <w:r>
        <w:rPr>
          <w:szCs w:val="21"/>
        </w:rPr>
        <w:t>（千瓦时</w:t>
      </w:r>
      <w:r>
        <w:rPr>
          <w:rFonts w:hint="eastAsia" w:asciiTheme="minorEastAsia" w:hAnsiTheme="minorEastAsia" w:eastAsiaTheme="minorEastAsia" w:cstheme="minorEastAsia"/>
          <w:szCs w:val="21"/>
        </w:rPr>
        <w:t>/吨）＝10000×企业生</w:t>
      </w:r>
      <w:r>
        <w:rPr>
          <w:szCs w:val="21"/>
        </w:rPr>
        <w:t>产用电量（万千瓦时）/粘胶</w:t>
      </w:r>
    </w:p>
    <w:p>
      <w:pPr>
        <w:tabs>
          <w:tab w:val="left" w:pos="12980"/>
        </w:tabs>
        <w:spacing w:line="312" w:lineRule="auto"/>
        <w:ind w:firstLine="420" w:firstLineChars="200"/>
        <w:jc w:val="left"/>
        <w:textAlignment w:val="center"/>
        <w:rPr>
          <w:bCs/>
          <w:szCs w:val="21"/>
        </w:rPr>
      </w:pPr>
      <w:r>
        <w:rPr>
          <w:rFonts w:hint="eastAsia" w:asciiTheme="minorEastAsia" w:hAnsiTheme="minorEastAsia" w:eastAsiaTheme="minorEastAsia" w:cstheme="minorEastAsia"/>
          <w:bCs/>
          <w:szCs w:val="21"/>
        </w:rPr>
        <w:t>　　　　　　　　　　　　　　　　　　　　　　　　</w:t>
      </w:r>
      <w:r>
        <w:rPr>
          <w:szCs w:val="21"/>
        </w:rPr>
        <w:t>短纤维产量（吨）</w:t>
      </w:r>
    </w:p>
    <w:p>
      <w:pPr>
        <w:tabs>
          <w:tab w:val="left" w:pos="12980"/>
        </w:tabs>
        <w:spacing w:line="312" w:lineRule="auto"/>
        <w:ind w:firstLine="420" w:firstLineChars="200"/>
        <w:jc w:val="left"/>
        <w:textAlignment w:val="center"/>
        <w:rPr>
          <w:szCs w:val="21"/>
        </w:rPr>
      </w:pPr>
      <w:r>
        <w:rPr>
          <w:bCs/>
          <w:szCs w:val="21"/>
        </w:rPr>
        <w:t>分子项：</w:t>
      </w:r>
      <w:r>
        <w:rPr>
          <w:szCs w:val="21"/>
        </w:rPr>
        <w:t>企业生产综合能源消费量是指企业生产消费的各种能源，主要包括煤、油、电、燃气和外购热力。生产消费包括与生产有关的直接或间接的消费量，即直接用于产品生产过程的消费量和辅助生产设施的消费量。</w:t>
      </w:r>
    </w:p>
    <w:p>
      <w:pPr>
        <w:tabs>
          <w:tab w:val="left" w:pos="12980"/>
        </w:tabs>
        <w:spacing w:line="312" w:lineRule="auto"/>
        <w:ind w:firstLine="420" w:firstLineChars="200"/>
        <w:jc w:val="left"/>
        <w:textAlignment w:val="center"/>
        <w:rPr>
          <w:szCs w:val="21"/>
        </w:rPr>
      </w:pPr>
      <w:r>
        <w:rPr>
          <w:szCs w:val="21"/>
        </w:rPr>
        <w:t>企业生产综合能源消费量＝各种能源用于生产消费折标准煤之和－二次能源产出量折标准煤之和</w:t>
      </w:r>
      <w:r>
        <w:rPr>
          <w:rFonts w:hint="eastAsia" w:asciiTheme="minorEastAsia" w:hAnsiTheme="minorEastAsia" w:eastAsiaTheme="minorEastAsia" w:cstheme="minorEastAsia"/>
          <w:bCs/>
          <w:szCs w:val="21"/>
        </w:rPr>
        <w:t>　　　　　　　　　　　　　　　　　　　　　　　　</w:t>
      </w:r>
      <w:r>
        <w:rPr>
          <w:rFonts w:hint="eastAsia"/>
          <w:szCs w:val="21"/>
        </w:rPr>
        <w:t>　　</w:t>
      </w:r>
      <w:r>
        <w:rPr>
          <w:rFonts w:hint="eastAsia" w:asciiTheme="minorEastAsia" w:hAnsiTheme="minorEastAsia" w:eastAsiaTheme="minorEastAsia" w:cstheme="minorEastAsia"/>
          <w:bCs/>
          <w:szCs w:val="21"/>
        </w:rPr>
        <w:t>　　　　　　　　　　　　　　　　　　　　　　　　</w:t>
      </w:r>
      <w:r>
        <w:rPr>
          <w:rFonts w:hint="eastAsia"/>
          <w:szCs w:val="21"/>
        </w:rPr>
        <w:t>　　</w:t>
      </w:r>
    </w:p>
    <w:p>
      <w:pPr>
        <w:tabs>
          <w:tab w:val="left" w:pos="12980"/>
        </w:tabs>
        <w:spacing w:line="312" w:lineRule="auto"/>
        <w:ind w:firstLine="420" w:firstLineChars="200"/>
        <w:jc w:val="left"/>
        <w:textAlignment w:val="center"/>
        <w:rPr>
          <w:szCs w:val="21"/>
        </w:rPr>
      </w:pPr>
      <w:r>
        <w:rPr>
          <w:rFonts w:hint="eastAsia" w:asciiTheme="minorEastAsia" w:hAnsiTheme="minorEastAsia" w:eastAsiaTheme="minorEastAsia" w:cstheme="minorEastAsia"/>
          <w:bCs/>
          <w:szCs w:val="21"/>
        </w:rPr>
        <w:t>　　　　　　　　　　　　</w:t>
      </w:r>
      <w:r>
        <w:rPr>
          <w:szCs w:val="21"/>
        </w:rPr>
        <w:t>－回收利用的余热余能折标准煤。</w:t>
      </w:r>
    </w:p>
    <w:p>
      <w:pPr>
        <w:spacing w:line="312" w:lineRule="auto"/>
        <w:ind w:firstLine="420" w:firstLineChars="200"/>
        <w:jc w:val="left"/>
        <w:textAlignment w:val="center"/>
        <w:rPr>
          <w:szCs w:val="21"/>
        </w:rPr>
      </w:pPr>
      <w:r>
        <w:rPr>
          <w:szCs w:val="21"/>
        </w:rPr>
        <w:t>企业生产用电量是指工业企业在统计报告期内为进行工业生产活动所使用的电量，包括生产系统、辅助生产系统、附属生产系统的用电量。</w:t>
      </w:r>
    </w:p>
    <w:p>
      <w:pPr>
        <w:widowControl/>
        <w:spacing w:line="312" w:lineRule="auto"/>
        <w:ind w:firstLine="420" w:firstLineChars="200"/>
        <w:jc w:val="left"/>
        <w:textAlignment w:val="center"/>
        <w:rPr>
          <w:szCs w:val="21"/>
        </w:rPr>
      </w:pPr>
      <w:r>
        <w:rPr>
          <w:szCs w:val="21"/>
        </w:rPr>
        <w:t>企业生产综合能耗和用电量包括生产合格品、废次品的全部消耗。</w:t>
      </w:r>
    </w:p>
    <w:p>
      <w:pPr>
        <w:tabs>
          <w:tab w:val="left" w:pos="12980"/>
        </w:tabs>
        <w:spacing w:line="312" w:lineRule="auto"/>
        <w:ind w:firstLine="420" w:firstLineChars="200"/>
        <w:jc w:val="left"/>
        <w:textAlignment w:val="center"/>
        <w:rPr>
          <w:szCs w:val="21"/>
        </w:rPr>
      </w:pPr>
      <w:r>
        <w:rPr>
          <w:bCs/>
          <w:szCs w:val="21"/>
        </w:rPr>
        <w:t>分母项：</w:t>
      </w:r>
      <w:r>
        <w:rPr>
          <w:szCs w:val="21"/>
        </w:rPr>
        <w:t>粘胶短纤维产量指合格的产品产量。计算</w:t>
      </w:r>
      <w:r>
        <w:rPr>
          <w:rFonts w:hint="eastAsia"/>
          <w:szCs w:val="21"/>
        </w:rPr>
        <w:t>“</w:t>
      </w:r>
      <w:r>
        <w:rPr>
          <w:szCs w:val="21"/>
        </w:rPr>
        <w:t>产品单耗</w:t>
      </w:r>
      <w:r>
        <w:rPr>
          <w:rFonts w:hint="eastAsia"/>
          <w:szCs w:val="21"/>
        </w:rPr>
        <w:t>”</w:t>
      </w:r>
      <w:r>
        <w:rPr>
          <w:szCs w:val="21"/>
        </w:rPr>
        <w:t>的产品，只限于正式投产的产品。试制阶段的新产品、科研产品以及正式投产以前试验生产的产品，不计算单耗指标。</w:t>
      </w:r>
    </w:p>
    <w:p>
      <w:pPr>
        <w:spacing w:line="312" w:lineRule="auto"/>
        <w:ind w:firstLine="420" w:firstLineChars="200"/>
        <w:textAlignment w:val="center"/>
        <w:rPr>
          <w:szCs w:val="21"/>
        </w:rPr>
      </w:pPr>
      <w:r>
        <w:rPr>
          <w:szCs w:val="21"/>
        </w:rPr>
        <w:t>综合能耗类似的指标有：吨粘胶纤维综合能耗（长丝）、吨锦纶综合能耗、吨涤纶综合能耗（短纤）、吨涤纶综合能耗（长丝）、吨腈纶综合能耗、吨维纶综合能耗、吨纱（线）混合数综合能耗、万米布混合数综合能耗、万米印染布综合能耗、万米丝织品综合能耗。</w:t>
      </w:r>
    </w:p>
    <w:p>
      <w:pPr>
        <w:spacing w:line="312" w:lineRule="auto"/>
        <w:ind w:firstLine="420" w:firstLineChars="200"/>
        <w:textAlignment w:val="center"/>
        <w:rPr>
          <w:vanish/>
          <w:szCs w:val="21"/>
        </w:rPr>
      </w:pPr>
      <w:r>
        <w:rPr>
          <w:szCs w:val="21"/>
        </w:rPr>
        <w:t>电耗类似的指标有：吨粘胶纤维用电量（长丝）、吨锦纶用电量、吨涤纶用电量（短纤）、吨涤纶用电量（长丝）、吨腈纶用电量、吨维纶用电量、吨纱（线）混合数生产用电量、万米布混合数生产用电量、万米丝织品用电量。</w:t>
      </w:r>
    </w:p>
    <w:p>
      <w:pPr>
        <w:widowControl/>
        <w:spacing w:line="312" w:lineRule="auto"/>
        <w:ind w:firstLine="420" w:firstLineChars="200"/>
        <w:jc w:val="left"/>
        <w:textAlignment w:val="center"/>
        <w:rPr>
          <w:rFonts w:eastAsia="黑体"/>
          <w:bCs/>
          <w:szCs w:val="21"/>
        </w:rPr>
      </w:pPr>
      <w:r>
        <w:rPr>
          <w:szCs w:val="21"/>
        </w:rPr>
        <w:t>其中</w:t>
      </w:r>
      <w:r>
        <w:rPr>
          <w:rFonts w:hint="eastAsia"/>
          <w:szCs w:val="21"/>
        </w:rPr>
        <w:t>“</w:t>
      </w:r>
      <w:r>
        <w:rPr>
          <w:szCs w:val="21"/>
        </w:rPr>
        <w:t>纱</w:t>
      </w:r>
      <w:r>
        <w:rPr>
          <w:rFonts w:hint="eastAsia"/>
          <w:szCs w:val="21"/>
        </w:rPr>
        <w:t>”</w:t>
      </w:r>
      <w:r>
        <w:rPr>
          <w:szCs w:val="21"/>
        </w:rPr>
        <w:t>指的是用天然纤维（棉为主）和化学纤维经棉纺生产设备和工艺生产的纱。</w:t>
      </w:r>
      <w:r>
        <w:rPr>
          <w:rFonts w:hint="eastAsia"/>
          <w:szCs w:val="21"/>
        </w:rPr>
        <w:t>“</w:t>
      </w:r>
      <w:r>
        <w:rPr>
          <w:szCs w:val="21"/>
        </w:rPr>
        <w:t>线</w:t>
      </w:r>
      <w:r>
        <w:rPr>
          <w:rFonts w:hint="eastAsia"/>
          <w:szCs w:val="21"/>
        </w:rPr>
        <w:t>”</w:t>
      </w:r>
      <w:r>
        <w:rPr>
          <w:szCs w:val="21"/>
        </w:rPr>
        <w:t>指使用捻线机对纱（棉型）加捻合股后的产品。包括棉纺厂、独立捻线厂、单织厂、针织厂等生产的线。</w:t>
      </w:r>
      <w:r>
        <w:rPr>
          <w:rFonts w:hint="eastAsia"/>
          <w:szCs w:val="21"/>
        </w:rPr>
        <w:t>“</w:t>
      </w:r>
      <w:r>
        <w:rPr>
          <w:szCs w:val="21"/>
        </w:rPr>
        <w:t>布</w:t>
      </w:r>
      <w:r>
        <w:rPr>
          <w:rFonts w:hint="eastAsia"/>
          <w:szCs w:val="21"/>
        </w:rPr>
        <w:t>”</w:t>
      </w:r>
      <w:r>
        <w:rPr>
          <w:szCs w:val="21"/>
        </w:rPr>
        <w:t>指用棉型纱、线（棉为主）在织机上织造的各种坯布、色织布。</w:t>
      </w:r>
      <w:r>
        <w:rPr>
          <w:rFonts w:hint="eastAsia"/>
          <w:szCs w:val="21"/>
        </w:rPr>
        <w:t>“</w:t>
      </w:r>
      <w:r>
        <w:rPr>
          <w:szCs w:val="21"/>
        </w:rPr>
        <w:t>印染布</w:t>
      </w:r>
      <w:r>
        <w:rPr>
          <w:rFonts w:hint="eastAsia"/>
          <w:szCs w:val="21"/>
        </w:rPr>
        <w:t>”</w:t>
      </w:r>
      <w:r>
        <w:rPr>
          <w:szCs w:val="21"/>
        </w:rPr>
        <w:t>指棉纺织厂生产的棉布、混纺布、纯化纤布经棉印染设备加工整理的漂白布、染色布、印花布的统称。</w:t>
      </w:r>
      <w:r>
        <w:rPr>
          <w:rFonts w:hint="eastAsia"/>
          <w:szCs w:val="21"/>
        </w:rPr>
        <w:t>“</w:t>
      </w:r>
      <w:r>
        <w:rPr>
          <w:szCs w:val="21"/>
        </w:rPr>
        <w:t>丝织品</w:t>
      </w:r>
      <w:r>
        <w:rPr>
          <w:rFonts w:hint="eastAsia"/>
          <w:szCs w:val="21"/>
        </w:rPr>
        <w:t>”</w:t>
      </w:r>
      <w:r>
        <w:rPr>
          <w:szCs w:val="21"/>
        </w:rPr>
        <w:t>指丝织厂以蚕丝或化纤长丝为原料经丝织机织成的丝织物，分为：桑蚕丝及其交织品、柞蚕丝及其交织品、绢紬丝及其交织品、人造丝及其交织品、合纤丝及其交织品。</w:t>
      </w:r>
    </w:p>
    <w:p>
      <w:pPr>
        <w:spacing w:line="312" w:lineRule="auto"/>
        <w:ind w:firstLine="420" w:firstLineChars="200"/>
        <w:textAlignment w:val="center"/>
        <w:rPr>
          <w:rFonts w:eastAsia="黑体"/>
          <w:bCs/>
          <w:szCs w:val="21"/>
        </w:rPr>
      </w:pPr>
      <w:r>
        <w:rPr>
          <w:rFonts w:eastAsia="黑体"/>
          <w:bCs/>
          <w:szCs w:val="21"/>
        </w:rPr>
        <w:t>造纸及纸制品（</w:t>
      </w:r>
      <w:r>
        <w:rPr>
          <w:rFonts w:hint="eastAsia" w:ascii="黑体" w:hAnsi="黑体" w:eastAsia="黑体" w:cs="黑体"/>
          <w:bCs/>
          <w:szCs w:val="21"/>
        </w:rPr>
        <w:t>22</w:t>
      </w:r>
      <w:r>
        <w:rPr>
          <w:rFonts w:eastAsia="黑体"/>
          <w:bCs/>
          <w:szCs w:val="21"/>
        </w:rPr>
        <w:t>）</w:t>
      </w:r>
    </w:p>
    <w:p>
      <w:pPr>
        <w:spacing w:line="312" w:lineRule="auto"/>
        <w:ind w:firstLine="420" w:firstLineChars="200"/>
        <w:textAlignment w:val="center"/>
        <w:rPr>
          <w:rFonts w:eastAsia="黑体"/>
          <w:bCs/>
          <w:szCs w:val="21"/>
        </w:rPr>
      </w:pPr>
      <w:r>
        <w:rPr>
          <w:rFonts w:eastAsia="黑体"/>
          <w:bCs/>
          <w:szCs w:val="21"/>
        </w:rPr>
        <w:t>机制纸及纸板综合能耗</w:t>
      </w:r>
    </w:p>
    <w:p>
      <w:pPr>
        <w:spacing w:line="312" w:lineRule="auto"/>
        <w:ind w:firstLine="396" w:firstLineChars="200"/>
        <w:textAlignment w:val="center"/>
        <w:rPr>
          <w:bCs/>
          <w:spacing w:val="-6"/>
          <w:szCs w:val="21"/>
        </w:rPr>
      </w:pPr>
      <w:r>
        <w:rPr>
          <w:bCs/>
          <w:spacing w:val="-6"/>
          <w:szCs w:val="21"/>
        </w:rPr>
        <w:t>计算公式：机制纸及纸板综合能耗（千克标准煤</w:t>
      </w:r>
      <w:r>
        <w:rPr>
          <w:rFonts w:hint="eastAsia" w:asciiTheme="minorEastAsia" w:hAnsiTheme="minorEastAsia" w:eastAsiaTheme="minorEastAsia" w:cstheme="minorEastAsia"/>
          <w:spacing w:val="-6"/>
          <w:szCs w:val="21"/>
        </w:rPr>
        <w:t>/吨）＝1000×企业生</w:t>
      </w:r>
      <w:r>
        <w:rPr>
          <w:bCs/>
          <w:spacing w:val="-6"/>
          <w:szCs w:val="21"/>
        </w:rPr>
        <w:t>产综合能源消费量（吨标准煤）/</w:t>
      </w:r>
    </w:p>
    <w:p>
      <w:pPr>
        <w:spacing w:line="312" w:lineRule="auto"/>
        <w:ind w:firstLine="420" w:firstLineChars="200"/>
        <w:textAlignment w:val="center"/>
        <w:rPr>
          <w:bCs/>
          <w:szCs w:val="21"/>
        </w:rPr>
      </w:pPr>
      <w:r>
        <w:rPr>
          <w:rFonts w:hint="eastAsia" w:asciiTheme="minorEastAsia" w:hAnsiTheme="minorEastAsia" w:eastAsiaTheme="minorEastAsia" w:cstheme="minorEastAsia"/>
          <w:bCs/>
          <w:szCs w:val="21"/>
        </w:rPr>
        <w:t>　　　　　　　　　　　　　　　　　　　　　　　</w:t>
      </w:r>
      <w:r>
        <w:rPr>
          <w:bCs/>
          <w:spacing w:val="-8"/>
          <w:szCs w:val="21"/>
        </w:rPr>
        <w:t>机制纸及纸板（外购原纸加工除外）产量（吨）</w:t>
      </w:r>
    </w:p>
    <w:p>
      <w:pPr>
        <w:spacing w:line="312" w:lineRule="auto"/>
        <w:ind w:firstLine="420" w:firstLineChars="200"/>
        <w:textAlignment w:val="center"/>
        <w:rPr>
          <w:bCs/>
          <w:szCs w:val="21"/>
        </w:rPr>
      </w:pPr>
      <w:r>
        <w:rPr>
          <w:bCs/>
          <w:szCs w:val="21"/>
        </w:rPr>
        <w:t>分子项：企业生产综合能耗。包括直接生产系统、辅助生产系统和附属生产系统的能源消耗。直接生产系统包括备料、制浆、造纸系统等。辅助生产系统包括动力、供电、机修、供水、仪表及厂内原料厂等。附属生产系统包括生产指挥系统（厂部）和厂区内为生产服务的部门和单位如车间浴室、开水站、蒸饭站、保健站、哺乳室等。</w:t>
      </w:r>
    </w:p>
    <w:p>
      <w:pPr>
        <w:spacing w:line="312" w:lineRule="auto"/>
        <w:ind w:firstLine="420" w:firstLineChars="200"/>
        <w:textAlignment w:val="center"/>
        <w:rPr>
          <w:bCs/>
          <w:szCs w:val="21"/>
        </w:rPr>
      </w:pPr>
      <w:r>
        <w:rPr>
          <w:bCs/>
          <w:szCs w:val="21"/>
        </w:rPr>
        <w:t>企业生产综合能源消费量＝各种用于生产消费的能源（标准煤）之和－二次能源产出量（标准煤）</w:t>
      </w:r>
    </w:p>
    <w:p>
      <w:pPr>
        <w:spacing w:line="312" w:lineRule="auto"/>
        <w:ind w:firstLine="2940" w:firstLineChars="1400"/>
        <w:textAlignment w:val="center"/>
        <w:rPr>
          <w:bCs/>
          <w:szCs w:val="21"/>
        </w:rPr>
      </w:pPr>
      <w:r>
        <w:rPr>
          <w:bCs/>
          <w:szCs w:val="21"/>
        </w:rPr>
        <w:t>之和－回收利用的余能（标准煤）之和</w:t>
      </w:r>
    </w:p>
    <w:p>
      <w:pPr>
        <w:spacing w:line="312" w:lineRule="auto"/>
        <w:ind w:firstLine="420" w:firstLineChars="200"/>
        <w:textAlignment w:val="center"/>
        <w:rPr>
          <w:bCs/>
          <w:szCs w:val="21"/>
        </w:rPr>
      </w:pPr>
      <w:r>
        <w:rPr>
          <w:bCs/>
          <w:szCs w:val="21"/>
        </w:rPr>
        <w:t>分母项：机制纸及纸板（外购原纸加工除外）产量。指合格品产量，包括未涂布印刷书写用纸、涂布类印刷用纸、卫生用纸原纸、包装用纸及纸板、感应纸及纸板（含光敏、热敏、压敏及其他感应纸及纸板的原纸和原纸板）、纤维类过滤纸及纸板</w:t>
      </w:r>
      <w:r>
        <w:rPr>
          <w:rFonts w:hint="eastAsia"/>
          <w:bCs/>
          <w:szCs w:val="21"/>
        </w:rPr>
        <w:t>，</w:t>
      </w:r>
      <w:r>
        <w:rPr>
          <w:bCs/>
          <w:szCs w:val="21"/>
        </w:rPr>
        <w:t>以及其他机制纸及纸板。不包括加工纸（指对原纸或纸板等成品纸进行再次加工处理而成的纸），手工制纸及纸板，纸制品（指用纸或纸板为原料进一步加工而成的纸制品）。</w:t>
      </w:r>
    </w:p>
    <w:p>
      <w:pPr>
        <w:spacing w:line="312" w:lineRule="auto"/>
        <w:ind w:firstLine="420" w:firstLineChars="200"/>
        <w:textAlignment w:val="center"/>
        <w:rPr>
          <w:rFonts w:eastAsia="黑体"/>
          <w:bCs/>
          <w:szCs w:val="21"/>
        </w:rPr>
      </w:pPr>
      <w:r>
        <w:rPr>
          <w:rFonts w:eastAsia="黑体"/>
          <w:bCs/>
          <w:szCs w:val="21"/>
        </w:rPr>
        <w:t>机制纸及纸板耗电</w:t>
      </w:r>
    </w:p>
    <w:p>
      <w:pPr>
        <w:pStyle w:val="10"/>
        <w:spacing w:line="312" w:lineRule="auto"/>
        <w:ind w:left="4305" w:hanging="4305" w:hangingChars="2050"/>
        <w:textAlignment w:val="center"/>
        <w:rPr>
          <w:rFonts w:ascii="Times New Roman" w:hAnsi="Times New Roman" w:cs="Times New Roman"/>
          <w:bCs/>
        </w:rPr>
      </w:pPr>
      <w:r>
        <w:rPr>
          <w:rFonts w:hint="eastAsia" w:ascii="Times New Roman" w:hAnsi="Times New Roman" w:cs="Times New Roman"/>
          <w:bCs/>
        </w:rPr>
        <w:t>　　</w:t>
      </w:r>
      <w:r>
        <w:rPr>
          <w:rFonts w:ascii="Times New Roman" w:hAnsi="Times New Roman" w:cs="Times New Roman"/>
          <w:bCs/>
        </w:rPr>
        <w:t>计算公式：机制纸及纸板耗电（千瓦时</w:t>
      </w:r>
      <w:r>
        <w:rPr>
          <w:rFonts w:hint="eastAsia" w:asciiTheme="minorEastAsia" w:hAnsiTheme="minorEastAsia" w:eastAsiaTheme="minorEastAsia" w:cstheme="minorEastAsia"/>
          <w:bCs/>
        </w:rPr>
        <w:t>/吨）＝10000×企业</w:t>
      </w:r>
      <w:r>
        <w:rPr>
          <w:rFonts w:ascii="Times New Roman" w:hAnsi="Times New Roman" w:cs="Times New Roman"/>
          <w:bCs/>
        </w:rPr>
        <w:t>生产用电量（万千瓦时）/机制纸及纸板</w:t>
      </w:r>
    </w:p>
    <w:p>
      <w:pPr>
        <w:pStyle w:val="10"/>
        <w:spacing w:line="312" w:lineRule="auto"/>
        <w:ind w:left="4305" w:hanging="4305" w:hangingChars="2050"/>
        <w:textAlignment w:val="center"/>
        <w:rPr>
          <w:rFonts w:ascii="Times New Roman" w:hAnsi="Times New Roman" w:cs="Times New Roman"/>
          <w:bCs/>
        </w:rPr>
      </w:pPr>
      <w:r>
        <w:rPr>
          <w:rFonts w:hint="eastAsia" w:asciiTheme="minorEastAsia" w:hAnsiTheme="minorEastAsia" w:eastAsiaTheme="minorEastAsia" w:cstheme="minorEastAsia"/>
          <w:bCs/>
        </w:rPr>
        <w:t>　　　　　　　　　　　　　　　　　　　　　　</w:t>
      </w:r>
      <w:r>
        <w:rPr>
          <w:rFonts w:ascii="Times New Roman" w:hAnsi="Times New Roman" w:cs="Times New Roman"/>
          <w:bCs/>
        </w:rPr>
        <w:t>（外购原纸加工除外）产量（吨）</w:t>
      </w:r>
    </w:p>
    <w:p>
      <w:pPr>
        <w:pStyle w:val="10"/>
        <w:spacing w:line="312" w:lineRule="auto"/>
        <w:ind w:firstLine="420" w:firstLineChars="200"/>
        <w:textAlignment w:val="center"/>
        <w:rPr>
          <w:rFonts w:ascii="Times New Roman" w:hAnsi="Times New Roman" w:cs="Times New Roman"/>
          <w:bCs/>
        </w:rPr>
      </w:pPr>
      <w:r>
        <w:rPr>
          <w:rFonts w:ascii="Times New Roman" w:hAnsi="Times New Roman" w:cs="Times New Roman"/>
          <w:bCs/>
        </w:rPr>
        <w:t>分子项：企业生产用电量。计算和解释同上。</w:t>
      </w:r>
    </w:p>
    <w:p>
      <w:pPr>
        <w:pStyle w:val="10"/>
        <w:spacing w:line="312" w:lineRule="auto"/>
        <w:ind w:firstLine="424" w:firstLineChars="202"/>
        <w:textAlignment w:val="center"/>
        <w:rPr>
          <w:rFonts w:ascii="Times New Roman" w:hAnsi="Times New Roman" w:eastAsia="黑体" w:cs="Times New Roman"/>
          <w:bCs/>
        </w:rPr>
      </w:pPr>
      <w:r>
        <w:rPr>
          <w:rFonts w:ascii="Times New Roman" w:hAnsi="Times New Roman" w:cs="Times New Roman"/>
          <w:bCs/>
        </w:rPr>
        <w:t>分母项：机制纸及纸板产量（外购原纸加工除外）。计算和解释同上。</w:t>
      </w:r>
    </w:p>
    <w:p>
      <w:pPr>
        <w:pStyle w:val="10"/>
        <w:spacing w:line="312" w:lineRule="auto"/>
        <w:ind w:firstLine="420" w:firstLineChars="200"/>
        <w:textAlignment w:val="center"/>
        <w:rPr>
          <w:rFonts w:ascii="Times New Roman" w:hAnsi="Times New Roman" w:eastAsia="黑体" w:cs="Times New Roman"/>
          <w:bCs/>
        </w:rPr>
      </w:pPr>
      <w:r>
        <w:rPr>
          <w:rFonts w:ascii="Times New Roman" w:hAnsi="Times New Roman" w:eastAsia="黑体" w:cs="Times New Roman"/>
          <w:bCs/>
        </w:rPr>
        <w:t>焦炭（</w:t>
      </w:r>
      <w:r>
        <w:rPr>
          <w:rFonts w:hint="eastAsia" w:ascii="黑体" w:hAnsi="黑体" w:eastAsia="黑体" w:cs="黑体"/>
          <w:bCs/>
        </w:rPr>
        <w:t>25</w:t>
      </w:r>
      <w:r>
        <w:rPr>
          <w:rFonts w:ascii="Times New Roman" w:hAnsi="Times New Roman" w:eastAsia="黑体" w:cs="Times New Roman"/>
          <w:bCs/>
        </w:rPr>
        <w:t>）</w:t>
      </w:r>
    </w:p>
    <w:p>
      <w:pPr>
        <w:spacing w:line="312" w:lineRule="auto"/>
        <w:ind w:firstLine="420" w:firstLineChars="200"/>
        <w:textAlignment w:val="center"/>
        <w:rPr>
          <w:szCs w:val="21"/>
        </w:rPr>
      </w:pPr>
      <w:r>
        <w:rPr>
          <w:rFonts w:eastAsia="黑体"/>
          <w:bCs/>
          <w:szCs w:val="21"/>
        </w:rPr>
        <w:t xml:space="preserve">炼焦工序单位能耗 </w:t>
      </w:r>
    </w:p>
    <w:p>
      <w:pPr>
        <w:pStyle w:val="10"/>
        <w:spacing w:line="312" w:lineRule="auto"/>
        <w:ind w:left="4725" w:hanging="4725" w:hangingChars="2250"/>
        <w:textAlignment w:val="center"/>
        <w:rPr>
          <w:rFonts w:ascii="Times New Roman" w:hAnsi="Times New Roman" w:cs="Times New Roman"/>
          <w:bCs/>
        </w:rPr>
      </w:pPr>
      <w:r>
        <w:rPr>
          <w:rFonts w:hint="eastAsia" w:ascii="Times New Roman" w:hAnsi="Times New Roman" w:cs="Times New Roman"/>
          <w:bCs/>
        </w:rPr>
        <w:t>　　</w:t>
      </w:r>
      <w:r>
        <w:rPr>
          <w:rFonts w:ascii="Times New Roman" w:hAnsi="Times New Roman" w:cs="Times New Roman"/>
          <w:bCs/>
        </w:rPr>
        <w:t>计算公式：炼焦工序单位能耗（千克标准煤</w:t>
      </w:r>
      <w:r>
        <w:rPr>
          <w:rFonts w:hint="eastAsia" w:asciiTheme="minorEastAsia" w:hAnsiTheme="minorEastAsia" w:eastAsiaTheme="minorEastAsia" w:cstheme="minorEastAsia"/>
          <w:bCs/>
        </w:rPr>
        <w:t>/吨）＝1000×炼焦</w:t>
      </w:r>
      <w:r>
        <w:rPr>
          <w:rFonts w:ascii="Times New Roman" w:hAnsi="Times New Roman" w:cs="Times New Roman"/>
          <w:bCs/>
        </w:rPr>
        <w:t>工序净耗能量（吨标准煤）/全部焦</w:t>
      </w:r>
    </w:p>
    <w:p>
      <w:pPr>
        <w:pStyle w:val="10"/>
        <w:spacing w:line="312" w:lineRule="auto"/>
        <w:ind w:left="4455" w:hanging="4455" w:hangingChars="2250"/>
        <w:textAlignment w:val="center"/>
        <w:rPr>
          <w:rFonts w:ascii="Times New Roman" w:hAnsi="Times New Roman" w:cs="Times New Roman"/>
          <w:bCs/>
        </w:rPr>
      </w:pPr>
      <w:r>
        <w:rPr>
          <w:rFonts w:hint="eastAsia" w:asciiTheme="minorEastAsia" w:hAnsiTheme="minorEastAsia" w:eastAsiaTheme="minorEastAsia" w:cstheme="minorEastAsia"/>
          <w:bCs/>
          <w:spacing w:val="-6"/>
        </w:rPr>
        <w:t>　　　　　　　　　　　　　　　　　　　　　　　　　　</w:t>
      </w:r>
      <w:r>
        <w:rPr>
          <w:rFonts w:ascii="Times New Roman" w:hAnsi="Times New Roman" w:cs="Times New Roman"/>
          <w:bCs/>
        </w:rPr>
        <w:t>炭产量（干基）（吨）</w:t>
      </w:r>
    </w:p>
    <w:p>
      <w:pPr>
        <w:pStyle w:val="10"/>
        <w:spacing w:line="312" w:lineRule="auto"/>
        <w:ind w:firstLine="420" w:firstLineChars="200"/>
        <w:textAlignment w:val="center"/>
        <w:rPr>
          <w:rFonts w:ascii="Times New Roman" w:hAnsi="Times New Roman" w:cs="Times New Roman"/>
          <w:bCs/>
          <w:spacing w:val="4"/>
        </w:rPr>
      </w:pPr>
      <w:r>
        <w:rPr>
          <w:rFonts w:ascii="Times New Roman" w:hAnsi="Times New Roman" w:cs="Times New Roman"/>
          <w:bCs/>
        </w:rPr>
        <w:t>分子项：</w:t>
      </w:r>
      <w:r>
        <w:rPr>
          <w:rFonts w:ascii="Times New Roman" w:hAnsi="Times New Roman" w:cs="Times New Roman"/>
          <w:bCs/>
          <w:spacing w:val="4"/>
        </w:rPr>
        <w:t>炼焦工序净耗能量。指炼焦工艺生产系统的备煤车间（不包括洗煤）、厂内部原料煤的损耗、炼焦车间、回收车间（冷凝鼓风、氨回收、粗苯、脱硫脱氰、黄血盐）、辅助生产系统的机修、化验、计量、环保等，以及直接为生产服务的附属生产系统的食堂、浴池、保健站、休息室、生产管理和调度指挥系统等所消耗的各种能源合计，扣除焦化产品、回收利用余热余能产出的电力和外供热力。</w:t>
      </w:r>
    </w:p>
    <w:p>
      <w:pPr>
        <w:pStyle w:val="10"/>
        <w:spacing w:line="312" w:lineRule="auto"/>
        <w:ind w:firstLine="420" w:firstLineChars="200"/>
        <w:textAlignment w:val="center"/>
        <w:rPr>
          <w:rFonts w:ascii="Times New Roman" w:hAnsi="Times New Roman" w:cs="Times New Roman"/>
          <w:bCs/>
        </w:rPr>
      </w:pPr>
      <w:r>
        <w:rPr>
          <w:rFonts w:ascii="Times New Roman" w:hAnsi="Times New Roman" w:cs="Times New Roman"/>
          <w:bCs/>
        </w:rPr>
        <w:t>炼焦工序净耗能量（标准煤）＝原料煤（标准煤）＋燃料动力（标准煤）－焦化产品（标准煤）－</w:t>
      </w:r>
    </w:p>
    <w:p>
      <w:pPr>
        <w:pStyle w:val="10"/>
        <w:spacing w:line="312" w:lineRule="auto"/>
        <w:ind w:firstLine="3360" w:firstLineChars="1600"/>
        <w:textAlignment w:val="center"/>
        <w:rPr>
          <w:rFonts w:ascii="Times New Roman" w:hAnsi="Times New Roman" w:cs="Times New Roman"/>
          <w:bCs/>
        </w:rPr>
      </w:pPr>
      <w:r>
        <w:rPr>
          <w:rFonts w:ascii="Times New Roman" w:hAnsi="Times New Roman" w:cs="Times New Roman"/>
          <w:bCs/>
        </w:rPr>
        <w:t>利用炼焦余能余热的发电量（标准煤）－外供热力（标准煤）</w:t>
      </w:r>
    </w:p>
    <w:p>
      <w:pPr>
        <w:pStyle w:val="10"/>
        <w:spacing w:line="312" w:lineRule="auto"/>
        <w:ind w:firstLine="420" w:firstLineChars="200"/>
        <w:textAlignment w:val="center"/>
        <w:rPr>
          <w:rFonts w:ascii="Times New Roman" w:hAnsi="Times New Roman" w:cs="Times New Roman"/>
          <w:bCs/>
        </w:rPr>
      </w:pPr>
      <w:r>
        <w:rPr>
          <w:rFonts w:ascii="Times New Roman" w:hAnsi="Times New Roman" w:cs="Times New Roman"/>
          <w:bCs/>
        </w:rPr>
        <w:t>原料煤指装入焦炉的干洗精煤量；燃料动力指各类燃料（如加热用的煤、高炉煤气、发生炉煤气、焦炉煤气等）、电、外购蒸汽等；焦化产品指焦炭、回收的焦炉煤气、煤焦油、粗苯、其他焦化产品等。</w:t>
      </w:r>
    </w:p>
    <w:p>
      <w:pPr>
        <w:pStyle w:val="10"/>
        <w:spacing w:line="312" w:lineRule="auto"/>
        <w:ind w:firstLine="420" w:firstLineChars="200"/>
        <w:textAlignment w:val="center"/>
        <w:rPr>
          <w:rFonts w:eastAsia="黑体"/>
          <w:bCs/>
        </w:rPr>
      </w:pPr>
      <w:r>
        <w:rPr>
          <w:rFonts w:ascii="Times New Roman" w:hAnsi="Times New Roman" w:cs="Times New Roman"/>
          <w:bCs/>
        </w:rPr>
        <w:t>分母项：全部焦炭产量（干基）。</w:t>
      </w:r>
    </w:p>
    <w:p>
      <w:pPr>
        <w:spacing w:line="312" w:lineRule="auto"/>
        <w:ind w:firstLine="420" w:firstLineChars="200"/>
        <w:textAlignment w:val="center"/>
        <w:rPr>
          <w:rFonts w:eastAsia="黑体"/>
          <w:bCs/>
          <w:szCs w:val="21"/>
        </w:rPr>
      </w:pPr>
      <w:r>
        <w:rPr>
          <w:rFonts w:eastAsia="黑体"/>
          <w:bCs/>
          <w:szCs w:val="21"/>
        </w:rPr>
        <w:t>原油加工（</w:t>
      </w:r>
      <w:r>
        <w:rPr>
          <w:rFonts w:hint="eastAsia" w:ascii="黑体" w:hAnsi="黑体" w:eastAsia="黑体" w:cs="黑体"/>
          <w:bCs/>
          <w:szCs w:val="21"/>
        </w:rPr>
        <w:t>25</w:t>
      </w:r>
      <w:r>
        <w:rPr>
          <w:rFonts w:eastAsia="黑体"/>
          <w:bCs/>
          <w:szCs w:val="21"/>
        </w:rPr>
        <w:t>）</w:t>
      </w:r>
    </w:p>
    <w:p>
      <w:pPr>
        <w:spacing w:line="312" w:lineRule="auto"/>
        <w:ind w:firstLine="420" w:firstLineChars="200"/>
        <w:textAlignment w:val="center"/>
        <w:rPr>
          <w:bCs/>
          <w:szCs w:val="21"/>
        </w:rPr>
      </w:pPr>
      <w:r>
        <w:rPr>
          <w:rFonts w:eastAsia="黑体"/>
          <w:bCs/>
          <w:szCs w:val="21"/>
        </w:rPr>
        <w:t xml:space="preserve">原油加工单位综合能耗 </w:t>
      </w:r>
    </w:p>
    <w:p>
      <w:pPr>
        <w:tabs>
          <w:tab w:val="left" w:pos="476"/>
        </w:tabs>
        <w:spacing w:line="312" w:lineRule="auto"/>
        <w:ind w:left="5277" w:hanging="5277" w:hangingChars="2513"/>
        <w:textAlignment w:val="center"/>
        <w:rPr>
          <w:bCs/>
          <w:szCs w:val="21"/>
        </w:rPr>
      </w:pPr>
      <w:r>
        <w:rPr>
          <w:rFonts w:hint="eastAsia"/>
          <w:bCs/>
          <w:szCs w:val="21"/>
        </w:rPr>
        <w:t>　　</w:t>
      </w:r>
      <w:r>
        <w:rPr>
          <w:bCs/>
          <w:szCs w:val="21"/>
        </w:rPr>
        <w:t>计算公式：原油加工单位综合能耗（千克标准油/吨</w:t>
      </w:r>
      <w:r>
        <w:rPr>
          <w:rFonts w:hint="eastAsia" w:asciiTheme="minorEastAsia" w:hAnsiTheme="minorEastAsia" w:eastAsiaTheme="minorEastAsia" w:cstheme="minorEastAsia"/>
          <w:bCs/>
          <w:szCs w:val="21"/>
        </w:rPr>
        <w:t>）＝1000×炼油综</w:t>
      </w:r>
      <w:r>
        <w:rPr>
          <w:bCs/>
          <w:szCs w:val="21"/>
        </w:rPr>
        <w:t>合能耗量（吨标准油）/原油</w:t>
      </w:r>
    </w:p>
    <w:p>
      <w:pPr>
        <w:tabs>
          <w:tab w:val="left" w:pos="476"/>
        </w:tabs>
        <w:spacing w:line="312" w:lineRule="auto"/>
        <w:ind w:left="4776" w:hanging="4775" w:hangingChars="2412"/>
        <w:textAlignment w:val="center"/>
        <w:rPr>
          <w:bCs/>
          <w:szCs w:val="21"/>
        </w:rPr>
      </w:pPr>
      <w:r>
        <w:rPr>
          <w:rFonts w:hint="eastAsia" w:asciiTheme="minorEastAsia" w:hAnsiTheme="minorEastAsia" w:eastAsiaTheme="minorEastAsia" w:cstheme="minorEastAsia"/>
          <w:bCs/>
          <w:spacing w:val="-6"/>
          <w:szCs w:val="21"/>
        </w:rPr>
        <w:t>　　　　　　　　　　　　　　　　　　　　　　　　　　　　</w:t>
      </w:r>
      <w:r>
        <w:rPr>
          <w:bCs/>
          <w:szCs w:val="21"/>
        </w:rPr>
        <w:t>及外购原料油加工量（吨）</w:t>
      </w:r>
    </w:p>
    <w:p>
      <w:pPr>
        <w:spacing w:line="312" w:lineRule="auto"/>
        <w:ind w:firstLine="420" w:firstLineChars="200"/>
        <w:textAlignment w:val="center"/>
        <w:rPr>
          <w:bCs/>
          <w:szCs w:val="21"/>
        </w:rPr>
      </w:pPr>
      <w:r>
        <w:rPr>
          <w:bCs/>
          <w:szCs w:val="21"/>
        </w:rPr>
        <w:t>分子项：炼油综合能耗量。主要指炼油加工能耗，包括炼油生产装置以及为之服务的辅助系统的全部耗能，不含聚丙烯的生产装置和库房的耗能。炼油生产装置包含：蒸馏、催化、焦化、制氢、加氢、精制、脱蜡、白土、气分、烷基化、脱硫、回收、降粘、汽提等工艺单元；炼油辅助系统包含炼油厂界区内的储运、污水处理、化验、研究、消防、生产管理</w:t>
      </w:r>
      <w:r>
        <w:rPr>
          <w:rFonts w:hint="eastAsia" w:asciiTheme="minorEastAsia" w:hAnsiTheme="minorEastAsia" w:eastAsiaTheme="minorEastAsia" w:cstheme="minorEastAsia"/>
          <w:bCs/>
          <w:szCs w:val="21"/>
        </w:rPr>
        <w:t>等。1吨标准煤等于0.7吨</w:t>
      </w:r>
      <w:r>
        <w:rPr>
          <w:rFonts w:hint="eastAsia"/>
          <w:bCs/>
          <w:szCs w:val="21"/>
        </w:rPr>
        <w:t>标准油。</w:t>
      </w:r>
    </w:p>
    <w:p>
      <w:pPr>
        <w:spacing w:line="312" w:lineRule="auto"/>
        <w:ind w:firstLine="420" w:firstLineChars="200"/>
        <w:textAlignment w:val="center"/>
        <w:rPr>
          <w:bCs/>
          <w:szCs w:val="21"/>
        </w:rPr>
      </w:pPr>
      <w:r>
        <w:rPr>
          <w:bCs/>
          <w:szCs w:val="21"/>
        </w:rPr>
        <w:t>不包括用于厂内、外生活福利设施（如食堂、浴室、采暖和宿舍等）的能耗。</w:t>
      </w:r>
    </w:p>
    <w:p>
      <w:pPr>
        <w:spacing w:line="312" w:lineRule="auto"/>
        <w:ind w:firstLine="420" w:firstLineChars="200"/>
        <w:textAlignment w:val="center"/>
        <w:rPr>
          <w:bCs/>
          <w:szCs w:val="21"/>
        </w:rPr>
      </w:pPr>
      <w:r>
        <w:rPr>
          <w:bCs/>
          <w:szCs w:val="21"/>
        </w:rPr>
        <w:t>不包括作为原料用途的能源（注：在填报《能源购进、消费与库存》</w:t>
      </w:r>
      <w:r>
        <w:rPr>
          <w:rFonts w:hint="eastAsia"/>
          <w:bCs/>
          <w:szCs w:val="21"/>
        </w:rPr>
        <w:t>和《能源加工转换与</w:t>
      </w:r>
      <w:r>
        <w:rPr>
          <w:bCs/>
          <w:szCs w:val="21"/>
        </w:rPr>
        <w:t>回收利用</w:t>
      </w:r>
      <w:r>
        <w:rPr>
          <w:rFonts w:hint="eastAsia"/>
          <w:bCs/>
          <w:szCs w:val="21"/>
        </w:rPr>
        <w:t>》</w:t>
      </w:r>
      <w:r>
        <w:rPr>
          <w:bCs/>
          <w:szCs w:val="21"/>
        </w:rPr>
        <w:t>时，则要计算能源消费量）。</w:t>
      </w:r>
    </w:p>
    <w:p>
      <w:pPr>
        <w:spacing w:line="312" w:lineRule="auto"/>
        <w:ind w:firstLine="420" w:firstLineChars="200"/>
        <w:textAlignment w:val="center"/>
        <w:rPr>
          <w:bCs/>
          <w:szCs w:val="21"/>
        </w:rPr>
      </w:pPr>
      <w:r>
        <w:rPr>
          <w:bCs/>
          <w:szCs w:val="21"/>
        </w:rPr>
        <w:t>炼油综合能耗统计的燃料动力品种主要有：原煤、原油、汽油、煤油、柴油、燃料用油、燃料气、电、蒸汽、水、石油焦等。</w:t>
      </w:r>
    </w:p>
    <w:p>
      <w:pPr>
        <w:spacing w:line="312" w:lineRule="auto"/>
        <w:ind w:firstLine="420" w:firstLineChars="200"/>
        <w:textAlignment w:val="center"/>
        <w:rPr>
          <w:bCs/>
          <w:szCs w:val="21"/>
        </w:rPr>
      </w:pPr>
      <w:r>
        <w:rPr>
          <w:bCs/>
          <w:szCs w:val="21"/>
        </w:rPr>
        <w:t>燃料用油主要有燃料油（仅指炼厂生产的）、碳五馏分（拨头油）、碳九馏分、乙烯焦油（裂解焦油）、渣油（重油）、碳六馏分、苯乙烯焦油、聚烯烃焦油等。</w:t>
      </w:r>
    </w:p>
    <w:p>
      <w:pPr>
        <w:spacing w:line="312" w:lineRule="auto"/>
        <w:ind w:firstLine="420" w:firstLineChars="200"/>
        <w:textAlignment w:val="center"/>
        <w:rPr>
          <w:bCs/>
          <w:szCs w:val="21"/>
        </w:rPr>
      </w:pPr>
      <w:r>
        <w:rPr>
          <w:bCs/>
          <w:szCs w:val="21"/>
        </w:rPr>
        <w:t>燃料气主要有天然气、液化天然气、液化石油气（轻馏分、</w:t>
      </w:r>
      <w:r>
        <w:rPr>
          <w:rFonts w:hint="eastAsia" w:asciiTheme="minorEastAsia" w:hAnsiTheme="minorEastAsia" w:eastAsiaTheme="minorEastAsia" w:cstheme="minorEastAsia"/>
          <w:bCs/>
          <w:szCs w:val="21"/>
        </w:rPr>
        <w:t>丁烯-2）、炼</w:t>
      </w:r>
      <w:r>
        <w:rPr>
          <w:bCs/>
          <w:szCs w:val="21"/>
        </w:rPr>
        <w:t>厂干气、甲烷氢、回收火炬气、瓦斯气等。</w:t>
      </w:r>
    </w:p>
    <w:p>
      <w:pPr>
        <w:spacing w:line="312" w:lineRule="auto"/>
        <w:ind w:firstLine="420" w:firstLineChars="200"/>
        <w:textAlignment w:val="center"/>
        <w:rPr>
          <w:bCs/>
          <w:szCs w:val="21"/>
        </w:rPr>
      </w:pPr>
      <w:r>
        <w:rPr>
          <w:bCs/>
          <w:szCs w:val="21"/>
        </w:rPr>
        <w:t>分母项：原油加工量及外购原料油加工量。原油加工量，指原油通过蒸馏设备加工处理的数量。裂化、焦化等设备处理原油时，这部分原油量也应计算在原油</w:t>
      </w:r>
      <w:r>
        <w:rPr>
          <w:rFonts w:hint="eastAsia" w:asciiTheme="minorEastAsia" w:hAnsiTheme="minorEastAsia" w:eastAsiaTheme="minorEastAsia" w:cstheme="minorEastAsia"/>
          <w:bCs/>
          <w:szCs w:val="21"/>
        </w:rPr>
        <w:t>加工</w:t>
      </w:r>
      <w:r>
        <w:rPr>
          <w:bCs/>
          <w:szCs w:val="21"/>
        </w:rPr>
        <w:t>量内。外购原料油加工量，指企业外购的，进入装置加工生产石油产品的原料油量。外购原料包括外购的裂化料、重整料、润滑油料、溶剂油等原料油，以及外供化工、化纤原料油返回炼油厂进一步加工的部</w:t>
      </w:r>
      <w:r>
        <w:rPr>
          <w:rFonts w:hint="eastAsia" w:asciiTheme="minorEastAsia" w:hAnsiTheme="minorEastAsia" w:eastAsiaTheme="minorEastAsia" w:cstheme="minorEastAsia"/>
          <w:bCs/>
          <w:szCs w:val="21"/>
        </w:rPr>
        <w:t>分。用于生产汽油的MTBE、生产MTBE用的甲醇的外购量和外购氢气，也作为外购原料计算。但不包括用于生产添加剂、催化剂</w:t>
      </w:r>
      <w:r>
        <w:rPr>
          <w:bCs/>
          <w:szCs w:val="21"/>
        </w:rPr>
        <w:t>的外购原料。</w:t>
      </w:r>
    </w:p>
    <w:p>
      <w:pPr>
        <w:spacing w:line="312" w:lineRule="auto"/>
        <w:ind w:firstLine="420" w:firstLineChars="200"/>
        <w:textAlignment w:val="center"/>
        <w:rPr>
          <w:bCs/>
          <w:szCs w:val="21"/>
        </w:rPr>
      </w:pPr>
      <w:r>
        <w:rPr>
          <w:bCs/>
          <w:szCs w:val="21"/>
        </w:rPr>
        <w:t>原油及外购原料油加工量</w:t>
      </w:r>
      <w:r>
        <w:rPr>
          <w:szCs w:val="21"/>
        </w:rPr>
        <w:t>＝</w:t>
      </w:r>
      <w:r>
        <w:rPr>
          <w:bCs/>
          <w:szCs w:val="21"/>
        </w:rPr>
        <w:t>原油加工量+外购原料油加工量。</w:t>
      </w:r>
    </w:p>
    <w:p>
      <w:pPr>
        <w:spacing w:line="312" w:lineRule="auto"/>
        <w:ind w:firstLine="420" w:firstLineChars="200"/>
        <w:textAlignment w:val="center"/>
        <w:rPr>
          <w:rFonts w:eastAsia="黑体"/>
          <w:bCs/>
          <w:szCs w:val="21"/>
        </w:rPr>
      </w:pPr>
      <w:r>
        <w:rPr>
          <w:rFonts w:eastAsia="黑体"/>
          <w:bCs/>
          <w:szCs w:val="21"/>
        </w:rPr>
        <w:t xml:space="preserve">原油加工单位耗电  </w:t>
      </w:r>
    </w:p>
    <w:p>
      <w:pPr>
        <w:adjustRightInd w:val="0"/>
        <w:spacing w:line="312" w:lineRule="auto"/>
        <w:ind w:left="4305" w:hanging="4305" w:hangingChars="2050"/>
        <w:textAlignment w:val="center"/>
        <w:rPr>
          <w:bCs/>
          <w:szCs w:val="21"/>
        </w:rPr>
      </w:pPr>
      <w:r>
        <w:rPr>
          <w:rFonts w:hint="eastAsia"/>
          <w:bCs/>
          <w:szCs w:val="21"/>
        </w:rPr>
        <w:t>　　</w:t>
      </w:r>
      <w:r>
        <w:rPr>
          <w:bCs/>
          <w:szCs w:val="21"/>
        </w:rPr>
        <w:t>计算公式：原油加工单位耗电（千瓦时/吨</w:t>
      </w:r>
      <w:r>
        <w:rPr>
          <w:rFonts w:hint="eastAsia" w:asciiTheme="minorEastAsia" w:hAnsiTheme="minorEastAsia" w:eastAsiaTheme="minorEastAsia" w:cstheme="minorEastAsia"/>
          <w:bCs/>
          <w:szCs w:val="21"/>
        </w:rPr>
        <w:t>）＝10000×炼油</w:t>
      </w:r>
      <w:r>
        <w:rPr>
          <w:bCs/>
          <w:szCs w:val="21"/>
        </w:rPr>
        <w:t>系统电消耗量（万千瓦时）/原油及外购</w:t>
      </w:r>
    </w:p>
    <w:p>
      <w:pPr>
        <w:adjustRightInd w:val="0"/>
        <w:spacing w:line="312" w:lineRule="auto"/>
        <w:ind w:left="4059" w:hanging="4059" w:hangingChars="2050"/>
        <w:textAlignment w:val="center"/>
        <w:rPr>
          <w:bCs/>
          <w:szCs w:val="21"/>
        </w:rPr>
      </w:pPr>
      <w:r>
        <w:rPr>
          <w:rFonts w:hint="eastAsia" w:asciiTheme="minorEastAsia" w:hAnsiTheme="minorEastAsia" w:eastAsiaTheme="minorEastAsia" w:cstheme="minorEastAsia"/>
          <w:bCs/>
          <w:spacing w:val="-6"/>
          <w:szCs w:val="21"/>
        </w:rPr>
        <w:t>　　　　　　　　　　　　　　　　　　　　</w:t>
      </w:r>
      <w:r>
        <w:rPr>
          <w:rFonts w:hint="eastAsia" w:asciiTheme="minorEastAsia" w:hAnsiTheme="minorEastAsia" w:eastAsiaTheme="minorEastAsia" w:cstheme="minorEastAsia"/>
          <w:bCs/>
          <w:spacing w:val="-23"/>
          <w:szCs w:val="21"/>
        </w:rPr>
        <w:t>　　　　</w:t>
      </w:r>
      <w:r>
        <w:rPr>
          <w:bCs/>
          <w:szCs w:val="21"/>
        </w:rPr>
        <w:t>原料油加工量（吨）</w:t>
      </w:r>
    </w:p>
    <w:p>
      <w:pPr>
        <w:spacing w:line="312" w:lineRule="auto"/>
        <w:ind w:firstLine="420" w:firstLineChars="200"/>
        <w:textAlignment w:val="center"/>
        <w:rPr>
          <w:bCs/>
          <w:szCs w:val="21"/>
        </w:rPr>
      </w:pPr>
      <w:r>
        <w:rPr>
          <w:bCs/>
          <w:szCs w:val="21"/>
        </w:rPr>
        <w:t>分子项：炼油系统电消耗量，指各套炼油装置（包括添加剂、催化剂装置）和工艺炉以及为这些装置服务的辅助系统，如储运、装卸油、供排水、供汽（包括自备电站供汽）、压缩空气、机修、仪修、电修、化验室、维修、厂区内采暖设施等消耗的电量。</w:t>
      </w:r>
    </w:p>
    <w:p>
      <w:pPr>
        <w:spacing w:line="312" w:lineRule="auto"/>
        <w:ind w:firstLine="420" w:firstLineChars="200"/>
        <w:textAlignment w:val="center"/>
        <w:rPr>
          <w:rFonts w:eastAsia="黑体"/>
          <w:bCs/>
          <w:szCs w:val="21"/>
        </w:rPr>
      </w:pPr>
      <w:r>
        <w:rPr>
          <w:bCs/>
          <w:szCs w:val="21"/>
        </w:rPr>
        <w:t>分母项：原油及外购原料油加工量。解释和说明同上。</w:t>
      </w:r>
    </w:p>
    <w:p>
      <w:pPr>
        <w:spacing w:line="312" w:lineRule="auto"/>
        <w:ind w:firstLine="420" w:firstLineChars="200"/>
        <w:textAlignment w:val="center"/>
        <w:rPr>
          <w:rFonts w:eastAsia="黑体"/>
          <w:bCs/>
          <w:szCs w:val="21"/>
        </w:rPr>
      </w:pPr>
      <w:r>
        <w:rPr>
          <w:rFonts w:eastAsia="黑体"/>
          <w:bCs/>
          <w:szCs w:val="21"/>
        </w:rPr>
        <w:t>无机碱（</w:t>
      </w:r>
      <w:r>
        <w:rPr>
          <w:rFonts w:hint="eastAsia" w:ascii="黑体" w:hAnsi="黑体" w:eastAsia="黑体" w:cs="黑体"/>
          <w:bCs/>
          <w:szCs w:val="21"/>
        </w:rPr>
        <w:t>26</w:t>
      </w:r>
      <w:r>
        <w:rPr>
          <w:rFonts w:eastAsia="黑体"/>
          <w:bCs/>
          <w:szCs w:val="21"/>
        </w:rPr>
        <w:t>）</w:t>
      </w:r>
    </w:p>
    <w:p>
      <w:pPr>
        <w:spacing w:line="312" w:lineRule="auto"/>
        <w:textAlignment w:val="center"/>
        <w:rPr>
          <w:bCs/>
          <w:szCs w:val="21"/>
        </w:rPr>
      </w:pPr>
      <w:r>
        <w:rPr>
          <w:rFonts w:eastAsia="黑体"/>
          <w:bCs/>
          <w:szCs w:val="21"/>
        </w:rPr>
        <w:t xml:space="preserve">    单位烧碱生产综合能耗</w:t>
      </w:r>
    </w:p>
    <w:p>
      <w:pPr>
        <w:spacing w:line="312" w:lineRule="auto"/>
        <w:ind w:left="1470" w:leftChars="200" w:hanging="1050" w:hangingChars="500"/>
        <w:textAlignment w:val="center"/>
        <w:rPr>
          <w:rFonts w:eastAsia="宋体"/>
          <w:bCs/>
          <w:szCs w:val="21"/>
        </w:rPr>
      </w:pPr>
      <w:r>
        <w:rPr>
          <w:rFonts w:eastAsia="宋体"/>
          <w:bCs/>
          <w:szCs w:val="21"/>
        </w:rPr>
        <w:t>计算公式：单位烧碱生产综合能耗（千克标准煤/吨</w:t>
      </w:r>
      <w:r>
        <w:rPr>
          <w:rFonts w:hint="eastAsia" w:eastAsia="宋体"/>
          <w:bCs/>
          <w:szCs w:val="21"/>
        </w:rPr>
        <w:t>）＝1000×液</w:t>
      </w:r>
      <w:r>
        <w:rPr>
          <w:rFonts w:eastAsia="宋体"/>
          <w:bCs/>
          <w:szCs w:val="21"/>
        </w:rPr>
        <w:t>体烧碱综合能源消耗量（吨标准</w:t>
      </w:r>
      <w:r>
        <w:rPr>
          <w:rFonts w:hint="eastAsia" w:eastAsia="宋体"/>
          <w:bCs/>
          <w:szCs w:val="21"/>
          <w:lang w:eastAsia="zh-CN"/>
        </w:rPr>
        <w:t>煤</w:t>
      </w:r>
      <w:r>
        <w:rPr>
          <w:rFonts w:eastAsia="宋体"/>
          <w:bCs/>
          <w:szCs w:val="21"/>
        </w:rPr>
        <w:t>）/液体烧</w:t>
      </w:r>
      <w:r>
        <w:rPr>
          <w:rFonts w:hint="eastAsia" w:eastAsia="宋体"/>
          <w:bCs/>
          <w:szCs w:val="21"/>
        </w:rPr>
        <w:t>碱（折100%）产量（吨）</w:t>
      </w:r>
    </w:p>
    <w:p>
      <w:pPr>
        <w:spacing w:line="312" w:lineRule="auto"/>
        <w:ind w:firstLine="420" w:firstLineChars="200"/>
        <w:textAlignment w:val="center"/>
        <w:rPr>
          <w:bCs/>
          <w:szCs w:val="21"/>
        </w:rPr>
      </w:pPr>
      <w:r>
        <w:rPr>
          <w:bCs/>
          <w:szCs w:val="21"/>
        </w:rPr>
        <w:t>分子项：烧碱综合能源消耗量。指用于烧碱生产的各种能源折标准煤后的总和。包括烧碱生产工艺系统、为烧碱生产服务的辅助系统和附属生产系统等的耗能量。</w:t>
      </w:r>
    </w:p>
    <w:p>
      <w:pPr>
        <w:spacing w:line="312" w:lineRule="auto"/>
        <w:ind w:firstLine="420" w:firstLineChars="200"/>
        <w:textAlignment w:val="center"/>
        <w:rPr>
          <w:bCs/>
          <w:szCs w:val="21"/>
        </w:rPr>
      </w:pPr>
      <w:r>
        <w:rPr>
          <w:bCs/>
          <w:szCs w:val="21"/>
        </w:rPr>
        <w:t>烧碱生产系统耗能量的统计范围：从原料投入开始，包括盐水制备、整流、电解、蒸发、蒸煮至成品烧碱包装入库为止的所有工艺用的电解用交流电、动力用电、蒸汽、油、煤等实际消耗量。</w:t>
      </w:r>
    </w:p>
    <w:p>
      <w:pPr>
        <w:spacing w:line="312" w:lineRule="auto"/>
        <w:ind w:firstLine="420" w:firstLineChars="200"/>
        <w:textAlignment w:val="center"/>
        <w:rPr>
          <w:bCs/>
          <w:szCs w:val="21"/>
        </w:rPr>
      </w:pPr>
      <w:r>
        <w:rPr>
          <w:bCs/>
          <w:szCs w:val="21"/>
        </w:rPr>
        <w:t>烧碱生产的辅助和附属系统耗能量的统计范围包括：电槽修理、阳极组装、石棉绒回收、炭极加工以及车间检修、车间分析、车间办公室、休息室、更衣室等各种耗能量。</w:t>
      </w:r>
    </w:p>
    <w:p>
      <w:pPr>
        <w:spacing w:line="312" w:lineRule="auto"/>
        <w:ind w:firstLine="420" w:firstLineChars="200"/>
        <w:textAlignment w:val="center"/>
        <w:rPr>
          <w:bCs/>
          <w:spacing w:val="-2"/>
          <w:szCs w:val="21"/>
        </w:rPr>
      </w:pPr>
      <w:r>
        <w:rPr>
          <w:bCs/>
          <w:szCs w:val="21"/>
        </w:rPr>
        <w:t>分母项：</w:t>
      </w:r>
      <w:r>
        <w:rPr>
          <w:bCs/>
          <w:spacing w:val="-2"/>
          <w:szCs w:val="21"/>
        </w:rPr>
        <w:t>烧碱</w:t>
      </w:r>
      <w:r>
        <w:rPr>
          <w:rFonts w:hint="eastAsia" w:asciiTheme="minorEastAsia" w:hAnsiTheme="minorEastAsia" w:eastAsiaTheme="minorEastAsia" w:cstheme="minorEastAsia"/>
          <w:bCs/>
          <w:szCs w:val="21"/>
        </w:rPr>
        <w:t>（折100%）产量。烧碱产量按折100%纯量计算。烧碱（折100%） 包括由盐水电解法或由纯碱（或天然碱）苛化法生产的液体氢氧化钠、氢气干燥和本企业其他产品自用的合格烧碱。不同方法生产的各种烧碱，经检验符合国家标准（GB209-93），方可统计</w:t>
      </w:r>
      <w:r>
        <w:rPr>
          <w:bCs/>
          <w:spacing w:val="-2"/>
          <w:szCs w:val="21"/>
        </w:rPr>
        <w:t>产量。产量中不包括在使用烧碱过程中回收的烧碱和生产烧碱过程中自用的电解碱液、浓缩碱液、回收盐液中的含碱量。企业填报烧碱产量，应将不同的生产方法（水银法、隔膜法、离子膜法、苛化法）生产</w:t>
      </w:r>
      <w:r>
        <w:rPr>
          <w:rFonts w:hint="eastAsia" w:asciiTheme="minorEastAsia" w:hAnsiTheme="minorEastAsia" w:eastAsiaTheme="minorEastAsia" w:cstheme="minorEastAsia"/>
          <w:bCs/>
          <w:szCs w:val="21"/>
        </w:rPr>
        <w:t>的液碱折成100%纯量</w:t>
      </w:r>
      <w:r>
        <w:rPr>
          <w:bCs/>
          <w:spacing w:val="-2"/>
          <w:szCs w:val="21"/>
        </w:rPr>
        <w:t>后计算产量。</w:t>
      </w:r>
    </w:p>
    <w:p>
      <w:pPr>
        <w:spacing w:line="312" w:lineRule="auto"/>
        <w:ind w:firstLine="420" w:firstLineChars="200"/>
        <w:textAlignment w:val="center"/>
        <w:rPr>
          <w:rFonts w:eastAsia="黑体"/>
          <w:bCs/>
          <w:szCs w:val="21"/>
        </w:rPr>
      </w:pPr>
      <w:r>
        <w:rPr>
          <w:rFonts w:eastAsia="黑体"/>
          <w:bCs/>
          <w:szCs w:val="21"/>
        </w:rPr>
        <w:t xml:space="preserve">单位烧碱生产耗交流电  </w:t>
      </w:r>
    </w:p>
    <w:p>
      <w:pPr>
        <w:spacing w:line="312" w:lineRule="auto"/>
        <w:ind w:left="4725" w:hanging="4725" w:hangingChars="2250"/>
        <w:textAlignment w:val="center"/>
        <w:rPr>
          <w:bCs/>
          <w:szCs w:val="21"/>
        </w:rPr>
      </w:pPr>
      <w:r>
        <w:rPr>
          <w:rFonts w:hint="eastAsia"/>
          <w:bCs/>
          <w:szCs w:val="21"/>
        </w:rPr>
        <w:t>　　</w:t>
      </w:r>
      <w:r>
        <w:rPr>
          <w:bCs/>
          <w:szCs w:val="21"/>
        </w:rPr>
        <w:t>计算公式：单位烧碱生产耗交流电（千瓦时/吨</w:t>
      </w:r>
      <w:r>
        <w:rPr>
          <w:rFonts w:hint="eastAsia" w:asciiTheme="minorEastAsia" w:hAnsiTheme="minorEastAsia" w:eastAsiaTheme="minorEastAsia" w:cstheme="minorEastAsia"/>
          <w:bCs/>
          <w:szCs w:val="21"/>
        </w:rPr>
        <w:t>）＝10000×交流</w:t>
      </w:r>
      <w:r>
        <w:rPr>
          <w:bCs/>
          <w:szCs w:val="21"/>
        </w:rPr>
        <w:t>电消耗量（万千瓦时）/液体烧碱</w:t>
      </w:r>
    </w:p>
    <w:p>
      <w:pPr>
        <w:spacing w:line="312" w:lineRule="auto"/>
        <w:ind w:left="4725" w:hanging="4725" w:hangingChars="2250"/>
        <w:textAlignment w:val="center"/>
        <w:rPr>
          <w:bCs/>
          <w:szCs w:val="21"/>
        </w:rPr>
      </w:pPr>
      <w:r>
        <w:rPr>
          <w:rFonts w:hint="eastAsia"/>
          <w:bCs/>
          <w:szCs w:val="21"/>
        </w:rPr>
        <w:t>　　　　　　　　　　　　　　　　　　　　　　　　</w:t>
      </w:r>
      <w:r>
        <w:rPr>
          <w:bCs/>
          <w:szCs w:val="21"/>
        </w:rPr>
        <w:t>（折</w:t>
      </w:r>
      <w:r>
        <w:rPr>
          <w:rFonts w:hint="eastAsia" w:asciiTheme="minorEastAsia" w:hAnsiTheme="minorEastAsia" w:eastAsiaTheme="minorEastAsia" w:cstheme="minorEastAsia"/>
          <w:bCs/>
          <w:szCs w:val="21"/>
        </w:rPr>
        <w:t>100%）产量</w:t>
      </w:r>
      <w:r>
        <w:rPr>
          <w:bCs/>
          <w:szCs w:val="21"/>
        </w:rPr>
        <w:t>（吨）</w:t>
      </w:r>
    </w:p>
    <w:p>
      <w:pPr>
        <w:spacing w:line="312" w:lineRule="auto"/>
        <w:ind w:firstLine="420" w:firstLineChars="200"/>
        <w:textAlignment w:val="center"/>
        <w:rPr>
          <w:bCs/>
          <w:szCs w:val="21"/>
        </w:rPr>
      </w:pPr>
      <w:r>
        <w:rPr>
          <w:bCs/>
          <w:szCs w:val="21"/>
        </w:rPr>
        <w:t xml:space="preserve">分子项：交流电消耗量。以电业局安装的直流耗交流电度表计量数值为准。没有安装电表的企业，以电业局安装的总交流电度表指示的交流电量，扣除动力系统安装的交流电度表的交流电量后，计算直流电所消耗的交流电量。 </w:t>
      </w:r>
    </w:p>
    <w:p>
      <w:pPr>
        <w:spacing w:line="312" w:lineRule="auto"/>
        <w:ind w:firstLine="420" w:firstLineChars="200"/>
        <w:textAlignment w:val="center"/>
        <w:rPr>
          <w:bCs/>
          <w:szCs w:val="21"/>
        </w:rPr>
      </w:pPr>
      <w:r>
        <w:rPr>
          <w:bCs/>
          <w:szCs w:val="21"/>
        </w:rPr>
        <w:t>分母项：烧碱（折100</w:t>
      </w:r>
      <w:r>
        <w:rPr>
          <w:rFonts w:hint="eastAsia"/>
          <w:bCs/>
          <w:szCs w:val="21"/>
        </w:rPr>
        <w:t>%</w:t>
      </w:r>
      <w:r>
        <w:rPr>
          <w:bCs/>
          <w:szCs w:val="21"/>
        </w:rPr>
        <w:t>）产量。烧碱产量</w:t>
      </w:r>
      <w:r>
        <w:rPr>
          <w:rFonts w:hint="eastAsia" w:asciiTheme="minorEastAsia" w:hAnsiTheme="minorEastAsia" w:eastAsiaTheme="minorEastAsia" w:cstheme="minorEastAsia"/>
          <w:bCs/>
          <w:szCs w:val="21"/>
        </w:rPr>
        <w:t>按折100%纯量</w:t>
      </w:r>
      <w:r>
        <w:rPr>
          <w:bCs/>
          <w:szCs w:val="21"/>
        </w:rPr>
        <w:t>计算。说明同上。</w:t>
      </w:r>
    </w:p>
    <w:p>
      <w:pPr>
        <w:spacing w:line="312" w:lineRule="auto"/>
        <w:ind w:firstLine="420" w:firstLineChars="200"/>
        <w:textAlignment w:val="center"/>
        <w:rPr>
          <w:rFonts w:eastAsia="黑体"/>
          <w:bCs/>
          <w:szCs w:val="21"/>
        </w:rPr>
      </w:pPr>
      <w:r>
        <w:rPr>
          <w:rFonts w:eastAsia="黑体"/>
          <w:bCs/>
          <w:szCs w:val="21"/>
        </w:rPr>
        <w:t xml:space="preserve">单位纯碱生产综合能耗  </w:t>
      </w:r>
    </w:p>
    <w:p>
      <w:pPr>
        <w:spacing w:line="312" w:lineRule="auto"/>
        <w:ind w:left="5145" w:hanging="5145" w:hangingChars="2450"/>
        <w:textAlignment w:val="center"/>
        <w:rPr>
          <w:bCs/>
          <w:szCs w:val="21"/>
        </w:rPr>
      </w:pPr>
      <w:r>
        <w:rPr>
          <w:rFonts w:hint="eastAsia"/>
          <w:bCs/>
          <w:szCs w:val="21"/>
        </w:rPr>
        <w:t>　　</w:t>
      </w:r>
      <w:r>
        <w:rPr>
          <w:bCs/>
          <w:szCs w:val="21"/>
        </w:rPr>
        <w:t>计算公式：单位纯碱生产综合能耗（千克标准煤</w:t>
      </w:r>
      <w:r>
        <w:rPr>
          <w:rFonts w:hint="eastAsia" w:asciiTheme="minorEastAsia" w:hAnsiTheme="minorEastAsia" w:eastAsiaTheme="minorEastAsia" w:cstheme="minorEastAsia"/>
          <w:bCs/>
          <w:szCs w:val="21"/>
        </w:rPr>
        <w:t>/吨）＝1000×纯碱综</w:t>
      </w:r>
      <w:r>
        <w:rPr>
          <w:bCs/>
          <w:szCs w:val="21"/>
        </w:rPr>
        <w:t>合能源消耗总量（吨标准煤）</w:t>
      </w:r>
    </w:p>
    <w:p>
      <w:pPr>
        <w:spacing w:line="312" w:lineRule="auto"/>
        <w:ind w:left="5145" w:hanging="5145" w:hangingChars="2450"/>
        <w:textAlignment w:val="center"/>
        <w:rPr>
          <w:bCs/>
          <w:szCs w:val="21"/>
        </w:rPr>
      </w:pPr>
      <w:r>
        <w:rPr>
          <w:rFonts w:hint="eastAsia"/>
          <w:bCs/>
          <w:szCs w:val="21"/>
        </w:rPr>
        <w:t>　　　　　　　　　　　</w:t>
      </w:r>
      <w:r>
        <w:rPr>
          <w:rFonts w:hint="eastAsia"/>
          <w:bCs/>
          <w:spacing w:val="-6"/>
          <w:szCs w:val="21"/>
        </w:rPr>
        <w:t>　　　　　　　　</w:t>
      </w:r>
      <w:r>
        <w:rPr>
          <w:rFonts w:hint="eastAsia"/>
          <w:bCs/>
          <w:szCs w:val="21"/>
        </w:rPr>
        <w:t>　　　　　　　　</w:t>
      </w:r>
      <w:r>
        <w:rPr>
          <w:bCs/>
          <w:szCs w:val="21"/>
        </w:rPr>
        <w:t>/纯碱（碳酸钠）产量（吨）</w:t>
      </w:r>
    </w:p>
    <w:p>
      <w:pPr>
        <w:spacing w:line="312" w:lineRule="auto"/>
        <w:ind w:firstLine="420" w:firstLineChars="200"/>
        <w:textAlignment w:val="center"/>
        <w:rPr>
          <w:bCs/>
          <w:szCs w:val="21"/>
        </w:rPr>
      </w:pPr>
      <w:r>
        <w:rPr>
          <w:bCs/>
          <w:szCs w:val="21"/>
        </w:rPr>
        <w:t>分子项：纯碱综合能源消耗总量。指在报告期内，从能源投入开始，至成品入库为止的生产全过程以及中、小修，事故处理所耗用的能源。其中应扣除系统向外输出的物料及能源量。纯碱综合能源消耗分为氨碱法用能和联碱法用能两种。</w:t>
      </w:r>
    </w:p>
    <w:p>
      <w:pPr>
        <w:spacing w:line="312" w:lineRule="auto"/>
        <w:ind w:firstLine="420" w:firstLineChars="200"/>
        <w:textAlignment w:val="center"/>
        <w:rPr>
          <w:bCs/>
          <w:szCs w:val="21"/>
        </w:rPr>
      </w:pPr>
      <w:r>
        <w:rPr>
          <w:bCs/>
          <w:szCs w:val="21"/>
        </w:rPr>
        <w:t>氨碱法用能：包括化盐及盐水精制、氨盐水制、碳化和重碱过滤、重碱煅烧、氨回收、石灰石煅烧等生产系统工序用能和辅助生产系统用能。不包括锅炉耗能。</w:t>
      </w:r>
    </w:p>
    <w:p>
      <w:pPr>
        <w:spacing w:line="312" w:lineRule="auto"/>
        <w:ind w:firstLine="420" w:firstLineChars="200"/>
        <w:textAlignment w:val="center"/>
        <w:rPr>
          <w:bCs/>
          <w:szCs w:val="21"/>
        </w:rPr>
      </w:pPr>
      <w:r>
        <w:rPr>
          <w:bCs/>
          <w:szCs w:val="21"/>
        </w:rPr>
        <w:t>联碱法用能：包括洗盐、氨母液制备、碳化和重碱过滤、重碱煅烧、氯化铵结晶等生产系统工序用能和辅助生产系统用能。不包括合成氨耗能。</w:t>
      </w:r>
    </w:p>
    <w:p>
      <w:pPr>
        <w:spacing w:line="312" w:lineRule="auto"/>
        <w:ind w:firstLine="420" w:firstLineChars="200"/>
        <w:textAlignment w:val="center"/>
        <w:rPr>
          <w:bCs/>
          <w:szCs w:val="21"/>
        </w:rPr>
      </w:pPr>
      <w:r>
        <w:rPr>
          <w:bCs/>
          <w:szCs w:val="21"/>
        </w:rPr>
        <w:t>仅生产单一纯碱产品的企业，产品能源消耗量就是企业的能源消耗总量。</w:t>
      </w:r>
    </w:p>
    <w:p>
      <w:pPr>
        <w:spacing w:line="312" w:lineRule="auto"/>
        <w:ind w:firstLine="420" w:firstLineChars="200"/>
        <w:textAlignment w:val="center"/>
        <w:rPr>
          <w:bCs/>
          <w:szCs w:val="21"/>
        </w:rPr>
      </w:pPr>
      <w:r>
        <w:rPr>
          <w:bCs/>
          <w:szCs w:val="21"/>
        </w:rPr>
        <w:t>生产多个产品，辅助生产系统和附属生产系统用能，要按照产品的能耗比例合理分摊到各个产品中，通过计量表送入生产系统的以计量表计量的数量计算。现场检修、自备运输工具、附属生产系统用能的分摊，需要企业制定合理的分摊系数，一般根据产品能耗的大小、产量的多少、产品生产车间人员的多少，综合考虑确定分摊系数。</w:t>
      </w:r>
    </w:p>
    <w:p>
      <w:pPr>
        <w:spacing w:line="312" w:lineRule="auto"/>
        <w:ind w:firstLine="420" w:firstLineChars="200"/>
        <w:textAlignment w:val="center"/>
        <w:rPr>
          <w:bCs/>
          <w:szCs w:val="21"/>
        </w:rPr>
      </w:pPr>
      <w:r>
        <w:rPr>
          <w:bCs/>
          <w:szCs w:val="21"/>
        </w:rPr>
        <w:t>分母项：纯碱（碳酸钠）产量。指氨碱法和联碱法生产的无水碳酸钠，及以天然碱为原料加工的精制碱。纯碱均按国家</w:t>
      </w:r>
      <w:r>
        <w:rPr>
          <w:rFonts w:hint="eastAsia" w:asciiTheme="minorEastAsia" w:hAnsiTheme="minorEastAsia" w:eastAsiaTheme="minorEastAsia" w:cstheme="minorEastAsia"/>
          <w:bCs/>
          <w:szCs w:val="21"/>
        </w:rPr>
        <w:t>标准（GB210-92）检验，</w:t>
      </w:r>
      <w:r>
        <w:rPr>
          <w:bCs/>
          <w:szCs w:val="21"/>
        </w:rPr>
        <w:t>合格者统计产量。未经煅烧的重碱和清扫设备、场地收集的不合格纯碱，均不统计纯碱产量。纯碱产量按合格品的实物量计算。</w:t>
      </w:r>
    </w:p>
    <w:p>
      <w:pPr>
        <w:spacing w:line="312" w:lineRule="auto"/>
        <w:ind w:firstLine="420" w:firstLineChars="200"/>
        <w:textAlignment w:val="center"/>
        <w:rPr>
          <w:bCs/>
          <w:szCs w:val="21"/>
        </w:rPr>
      </w:pPr>
      <w:r>
        <w:rPr>
          <w:bCs/>
          <w:szCs w:val="21"/>
        </w:rPr>
        <w:t>纯碱生产能耗计算有关问题的补充规定：</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（1）企业自用碱计入碱产量；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（2）自备电站能耗不计入纯碱能耗统计范围；</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（3）分别计算轻质纯碱和重质纯碱的能耗。重质纯碱的能耗应包括轻质纯碱的能耗和由轻质纯碱生产重质纯碱增加的能耗；</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计算联碱双吨能耗时，要注明氯化铵是干铵还是湿铵。既生产干铵又生产湿铵的联碱企业，要分别计算生产干铵的双吨能耗和生产湿铵的双吨能耗。生产干铵的双吨能耗，应包括生产湿铵的能耗和由湿铵生产干铵增加的能耗；</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（5）纯碱系统没有单独设立取水系统和循环水系统的企业，纯碱与其他产品按实际用水量合理分摊用水能耗；</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（6）采用浓气制碱的联碱企业，合成氨脱碳工序的能耗计入合成氨的能耗，不计入联碱能耗。往联碱输送二氧化碳的低压机的能耗计入联碱能耗；</w:t>
      </w:r>
    </w:p>
    <w:p>
      <w:pPr>
        <w:spacing w:line="312" w:lineRule="auto"/>
        <w:ind w:firstLine="420" w:firstLineChars="200"/>
        <w:textAlignment w:val="center"/>
        <w:rPr>
          <w:bCs/>
          <w:szCs w:val="21"/>
        </w:rPr>
      </w:pPr>
      <w:r>
        <w:rPr>
          <w:rFonts w:hint="eastAsia" w:asciiTheme="minorEastAsia" w:hAnsiTheme="minorEastAsia" w:eastAsiaTheme="minorEastAsia" w:cstheme="minorEastAsia"/>
          <w:bCs/>
          <w:szCs w:val="21"/>
        </w:rPr>
        <w:t>（7）采用变换气制碱的联碱企业，压缩机的能耗计入合成氨的能耗，不计入联碱能耗。设在联碱碳化塔前或塔后的升</w:t>
      </w:r>
      <w:r>
        <w:rPr>
          <w:bCs/>
          <w:szCs w:val="21"/>
        </w:rPr>
        <w:t>压机的能耗计入联碱能耗。</w:t>
      </w:r>
    </w:p>
    <w:p>
      <w:pPr>
        <w:spacing w:line="312" w:lineRule="auto"/>
        <w:ind w:firstLine="420" w:firstLineChars="200"/>
        <w:textAlignment w:val="center"/>
        <w:rPr>
          <w:rFonts w:eastAsia="黑体"/>
          <w:bCs/>
          <w:szCs w:val="21"/>
        </w:rPr>
      </w:pPr>
      <w:r>
        <w:rPr>
          <w:rFonts w:eastAsia="黑体"/>
          <w:bCs/>
          <w:szCs w:val="21"/>
        </w:rPr>
        <w:t xml:space="preserve">单位纯碱生产耗电  </w:t>
      </w:r>
    </w:p>
    <w:p>
      <w:pPr>
        <w:spacing w:line="312" w:lineRule="auto"/>
        <w:ind w:left="4294" w:hanging="4294" w:hangingChars="2045"/>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计算公式：单位纯碱生产耗电（千瓦时/吨）＝10000×纯碱生产耗电总量（万千瓦时）/纯碱（碳</w:t>
      </w:r>
    </w:p>
    <w:p>
      <w:pPr>
        <w:spacing w:line="312" w:lineRule="auto"/>
        <w:ind w:left="3845" w:hanging="3844" w:hangingChars="2045"/>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pacing w:val="-11"/>
          <w:szCs w:val="21"/>
        </w:rPr>
        <w:t>　　　　　　　　　　　　　　　　　　　　　　　　　</w:t>
      </w:r>
      <w:r>
        <w:rPr>
          <w:rFonts w:hint="eastAsia" w:asciiTheme="minorEastAsia" w:hAnsiTheme="minorEastAsia" w:eastAsiaTheme="minorEastAsia" w:cstheme="minorEastAsia"/>
          <w:bCs/>
          <w:szCs w:val="21"/>
        </w:rPr>
        <w:t>酸钠）产量（吨）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分子项：纯碱生产耗电总量。包括纯碱生产系统以及为纯碱生产服务的辅助系统和附属生产系统耗电量。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分母项：纯碱（碳酸钠）产量。说明同上。</w:t>
      </w:r>
    </w:p>
    <w:p>
      <w:pPr>
        <w:spacing w:line="312" w:lineRule="auto"/>
        <w:ind w:firstLine="420" w:firstLineChars="200"/>
        <w:textAlignment w:val="center"/>
        <w:rPr>
          <w:rFonts w:eastAsia="黑体"/>
          <w:bCs/>
          <w:szCs w:val="21"/>
        </w:rPr>
      </w:pPr>
      <w:r>
        <w:rPr>
          <w:rFonts w:eastAsia="黑体"/>
          <w:bCs/>
          <w:szCs w:val="21"/>
        </w:rPr>
        <w:t>无机盐（</w:t>
      </w:r>
      <w:r>
        <w:rPr>
          <w:rFonts w:hint="eastAsia" w:ascii="黑体" w:hAnsi="黑体" w:eastAsia="黑体" w:cs="黑体"/>
          <w:bCs/>
          <w:szCs w:val="21"/>
        </w:rPr>
        <w:t>26</w:t>
      </w:r>
      <w:r>
        <w:rPr>
          <w:rFonts w:eastAsia="黑体"/>
          <w:bCs/>
          <w:szCs w:val="21"/>
        </w:rPr>
        <w:t>）</w:t>
      </w:r>
    </w:p>
    <w:p>
      <w:pPr>
        <w:spacing w:line="312" w:lineRule="auto"/>
        <w:ind w:firstLine="420" w:firstLineChars="200"/>
        <w:textAlignment w:val="center"/>
        <w:rPr>
          <w:szCs w:val="21"/>
        </w:rPr>
      </w:pPr>
      <w:r>
        <w:rPr>
          <w:rFonts w:eastAsia="黑体"/>
          <w:szCs w:val="21"/>
        </w:rPr>
        <w:t>单位电石生产综合能耗</w:t>
      </w:r>
    </w:p>
    <w:p>
      <w:pPr>
        <w:spacing w:line="312" w:lineRule="auto"/>
        <w:ind w:left="5145" w:hanging="5145" w:hangingChars="245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计算公式：单位电石生产综合能耗（千克标准煤/吨）＝1000×电石综合能源消耗总量（吨标准煤）</w:t>
      </w:r>
    </w:p>
    <w:p>
      <w:pPr>
        <w:spacing w:line="312" w:lineRule="auto"/>
        <w:ind w:left="4851" w:hanging="4851" w:hangingChars="245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pacing w:val="-6"/>
          <w:szCs w:val="21"/>
        </w:rPr>
        <w:t>　　　　　　　　　　　　　　　　　　　　　　　　　　　　</w:t>
      </w:r>
      <w:r>
        <w:rPr>
          <w:rFonts w:hint="eastAsia" w:asciiTheme="minorEastAsia" w:hAnsiTheme="minorEastAsia" w:eastAsiaTheme="minorEastAsia" w:cstheme="minorEastAsia"/>
          <w:bCs/>
          <w:szCs w:val="21"/>
        </w:rPr>
        <w:t>/碳化钙（电石，折300升/千克）产量（吨）</w:t>
      </w:r>
    </w:p>
    <w:p>
      <w:pPr>
        <w:spacing w:line="312" w:lineRule="auto"/>
        <w:ind w:firstLine="420" w:firstLineChars="200"/>
        <w:textAlignment w:val="center"/>
        <w:rPr>
          <w:szCs w:val="21"/>
        </w:rPr>
      </w:pPr>
      <w:r>
        <w:rPr>
          <w:szCs w:val="21"/>
        </w:rPr>
        <w:t>分子项：电石综合能源消耗总量。指从焦炭等原材料和能源，经计量进入电石生产开始，到电石成品计量入库的电石产品的整个生产过程的用能量。生产过程是由生产系统工艺装置、辅助生产系统和附属生产系统设施三部分组成。</w:t>
      </w:r>
    </w:p>
    <w:p>
      <w:pPr>
        <w:spacing w:line="312" w:lineRule="auto"/>
        <w:ind w:firstLine="420" w:firstLineChars="200"/>
        <w:textAlignment w:val="center"/>
        <w:rPr>
          <w:szCs w:val="21"/>
        </w:rPr>
      </w:pPr>
      <w:r>
        <w:rPr>
          <w:szCs w:val="21"/>
        </w:rPr>
        <w:t>综合能耗应扣除向外输出的能源。向电石生产界区外输出的密闭炉气和回收的余热，按向外输出能源计算。调出的焦（煤）粉，自产自用的石灰，按向外输出的能源计算，其热值按实测低位热值计算。</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电石产品综合能耗包括：</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（1）电力消耗包括电炉、动力、除尘和照明用电。</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（2）碳素原料包括焦炭、石油焦、无烟煤、电极糊和其他碳素还原剂等。以进入生产后第一道工序为计量点。</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（3）干燥焦炭耗燃料，计算起点同上。如果使用电石生产的余热干燥焦炭时，其余热不计算燃料消耗。</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（4）辅助生产系统消耗的能源，指各辅助工序（包括电石生产界区内自石灰进厂到电石成品入库止）所消耗的能源。（前项中计算过的不得重复统计）</w:t>
      </w:r>
    </w:p>
    <w:p>
      <w:pPr>
        <w:spacing w:line="312" w:lineRule="auto"/>
        <w:ind w:firstLine="420" w:firstLineChars="200"/>
        <w:textAlignment w:val="center"/>
        <w:rPr>
          <w:szCs w:val="21"/>
        </w:rPr>
      </w:pPr>
      <w:r>
        <w:rPr>
          <w:rFonts w:hint="eastAsia" w:asciiTheme="minorEastAsia" w:hAnsiTheme="minorEastAsia" w:eastAsiaTheme="minorEastAsia" w:cstheme="minorEastAsia"/>
          <w:bCs/>
          <w:szCs w:val="21"/>
        </w:rPr>
        <w:t>（5）附属生产系统消耗的能源，包括电石生产界区内维修工段、化验室、控制室、库房及车间办公室等消耗的能源</w:t>
      </w:r>
      <w:r>
        <w:rPr>
          <w:szCs w:val="21"/>
        </w:rPr>
        <w:t>。</w:t>
      </w:r>
    </w:p>
    <w:p>
      <w:pPr>
        <w:spacing w:line="312" w:lineRule="auto"/>
        <w:ind w:firstLine="420" w:firstLineChars="200"/>
        <w:textAlignment w:val="center"/>
        <w:rPr>
          <w:szCs w:val="21"/>
        </w:rPr>
      </w:pPr>
      <w:r>
        <w:rPr>
          <w:szCs w:val="21"/>
        </w:rPr>
        <w:t>由于各种能源的热值不同，计算综合能耗时要将各种能源折成标准能源单位（标准煤）。企业外购的各种能源，其热值采用该地区或该企业在报告期内实测的低位热值。没有实测条件的，可采用能源统计报表制度中的参考折标系数。</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企业外购电力采用当量热值折标系数，即1.229吨标准煤/万千瓦时。</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母项：碳化钙（电石，折300升/千克）产量。电石是用碳素材料和生石灰在高温电炉中化合而制得的碳化钙。凡符合国家标准（GB10665-89）规定技术条件1（电石粒度）和2（电石质量）要求的电石，均可统计产量。电石产量包括商品量和自用量。商品量应在包装检验合格入库以后计算产量，自用量按输送到使用车间头道工序的数量计算产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电石产量按折合标准发气量（300升/千克）计算。电石发气量，指每一千克电石在20℃、760毫米汞柱压力下与水作用，所发生的干乙炔气体体积（以升计量）。</w:t>
      </w:r>
    </w:p>
    <w:p>
      <w:pPr>
        <w:spacing w:line="312" w:lineRule="auto"/>
        <w:ind w:left="4620" w:leftChars="200" w:hanging="4200" w:hangingChars="20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碳化钙（电石，折300升/千克）产量（吨）＝∑各批合格电石实物产量（吨）×[各批电石实际发气量（升/千克）/300（升/千克）]</w:t>
      </w:r>
    </w:p>
    <w:p>
      <w:pPr>
        <w:spacing w:line="312" w:lineRule="auto"/>
        <w:ind w:firstLine="420" w:firstLineChars="200"/>
        <w:textAlignment w:val="center"/>
        <w:rPr>
          <w:rFonts w:eastAsia="黑体"/>
          <w:szCs w:val="21"/>
        </w:rPr>
      </w:pPr>
      <w:r>
        <w:rPr>
          <w:rFonts w:eastAsia="黑体"/>
          <w:szCs w:val="21"/>
        </w:rPr>
        <w:t xml:space="preserve">单位电石生产耗电 </w:t>
      </w:r>
    </w:p>
    <w:p>
      <w:pPr>
        <w:spacing w:line="312" w:lineRule="auto"/>
        <w:ind w:left="4183" w:hanging="4183" w:hangingChars="1992"/>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计算公式：单位电石生产耗电（千瓦时/吨）＝10000×电石生产耗电总量（万千瓦时）/碳化钙（电</w:t>
      </w:r>
    </w:p>
    <w:p>
      <w:pPr>
        <w:spacing w:line="312" w:lineRule="auto"/>
        <w:ind w:left="4183" w:hanging="4183" w:hangingChars="1992"/>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石，折300升/千克）产量（吨）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分子项：电石生产耗电量。包括电石生产系统以及为电石生产服务的辅助系统和附属生产系统耗电量，包括电炉工艺用电和动力电。</w:t>
      </w:r>
    </w:p>
    <w:p>
      <w:pPr>
        <w:spacing w:line="312" w:lineRule="auto"/>
        <w:ind w:firstLine="420" w:firstLineChars="200"/>
        <w:textAlignment w:val="center"/>
        <w:rPr>
          <w:szCs w:val="21"/>
        </w:rPr>
      </w:pPr>
      <w:r>
        <w:rPr>
          <w:rFonts w:hint="eastAsia" w:asciiTheme="minorEastAsia" w:hAnsiTheme="minorEastAsia" w:eastAsiaTheme="minorEastAsia" w:cstheme="minorEastAsia"/>
          <w:bCs/>
          <w:szCs w:val="21"/>
        </w:rPr>
        <w:t>分母项：碳化钙（电石，折300升/千克）产量。说明同上</w:t>
      </w:r>
      <w:r>
        <w:rPr>
          <w:szCs w:val="21"/>
        </w:rPr>
        <w:t>。</w:t>
      </w:r>
    </w:p>
    <w:p>
      <w:pPr>
        <w:spacing w:line="312" w:lineRule="auto"/>
        <w:ind w:firstLine="420" w:firstLineChars="200"/>
        <w:textAlignment w:val="center"/>
        <w:rPr>
          <w:rFonts w:eastAsia="黑体"/>
          <w:szCs w:val="21"/>
        </w:rPr>
      </w:pPr>
      <w:r>
        <w:rPr>
          <w:rFonts w:eastAsia="黑体"/>
          <w:szCs w:val="21"/>
        </w:rPr>
        <w:t xml:space="preserve">单位黄磷生产综合能耗  </w:t>
      </w:r>
    </w:p>
    <w:p>
      <w:pPr>
        <w:spacing w:line="312" w:lineRule="auto"/>
        <w:ind w:left="5145" w:hanging="5145" w:hangingChars="2450"/>
        <w:textAlignment w:val="center"/>
        <w:rPr>
          <w:szCs w:val="21"/>
        </w:rPr>
      </w:pPr>
      <w:r>
        <w:rPr>
          <w:rFonts w:hint="eastAsia"/>
          <w:szCs w:val="21"/>
          <w:lang w:eastAsia="zh-CN"/>
        </w:rPr>
        <w:t>　　</w:t>
      </w:r>
      <w:r>
        <w:rPr>
          <w:szCs w:val="21"/>
        </w:rPr>
        <w:t>计算公式：单位黄磷生产综合能耗（千克标准煤/吨）＝</w:t>
      </w:r>
      <w:r>
        <w:rPr>
          <w:rFonts w:hint="eastAsia" w:asciiTheme="minorEastAsia" w:hAnsiTheme="minorEastAsia" w:eastAsiaTheme="minorEastAsia" w:cstheme="minorEastAsia"/>
          <w:bCs/>
          <w:szCs w:val="21"/>
        </w:rPr>
        <w:t>1000×</w:t>
      </w:r>
      <w:r>
        <w:rPr>
          <w:szCs w:val="21"/>
        </w:rPr>
        <w:t>黄磷综合能源消耗总量（吨标准煤）</w:t>
      </w:r>
    </w:p>
    <w:p>
      <w:pPr>
        <w:spacing w:line="312" w:lineRule="auto"/>
        <w:ind w:left="5568" w:hanging="5568" w:hangingChars="2400"/>
        <w:textAlignment w:val="center"/>
        <w:rPr>
          <w:szCs w:val="21"/>
        </w:rPr>
      </w:pPr>
      <w:r>
        <w:rPr>
          <w:rFonts w:hint="eastAsia"/>
          <w:spacing w:val="11"/>
          <w:szCs w:val="21"/>
        </w:rPr>
        <w:t>　　　　　　　　　　　　　　　　　　　　　</w:t>
      </w:r>
      <w:r>
        <w:rPr>
          <w:rFonts w:hint="eastAsia"/>
          <w:spacing w:val="11"/>
          <w:szCs w:val="21"/>
          <w:lang w:eastAsia="zh-CN"/>
        </w:rPr>
        <w:t>　　</w:t>
      </w:r>
      <w:r>
        <w:rPr>
          <w:rFonts w:hint="eastAsia"/>
          <w:spacing w:val="11"/>
          <w:szCs w:val="21"/>
        </w:rPr>
        <w:t>　</w:t>
      </w:r>
      <w:r>
        <w:rPr>
          <w:rFonts w:hint="eastAsia" w:asciiTheme="minorEastAsia" w:hAnsiTheme="minorEastAsia" w:eastAsiaTheme="minorEastAsia" w:cstheme="minorEastAsia"/>
          <w:bCs/>
          <w:szCs w:val="21"/>
        </w:rPr>
        <w:t>/</w:t>
      </w:r>
      <w:r>
        <w:rPr>
          <w:szCs w:val="21"/>
        </w:rPr>
        <w:t>黄磷产量（吨）</w:t>
      </w:r>
    </w:p>
    <w:p>
      <w:pPr>
        <w:spacing w:line="312" w:lineRule="auto"/>
        <w:ind w:firstLine="420" w:firstLineChars="200"/>
        <w:textAlignment w:val="center"/>
        <w:rPr>
          <w:szCs w:val="21"/>
        </w:rPr>
      </w:pPr>
      <w:r>
        <w:rPr>
          <w:szCs w:val="21"/>
        </w:rPr>
        <w:t>分子项：黄磷综合能源消耗总量。指黄磷生产界区（从磷矿、焦炭、硅石、电力、蒸汽等原材料和能源经计量进入工序开始，到成品黄磷计量入库和黄磷</w:t>
      </w:r>
      <w:r>
        <w:rPr>
          <w:rFonts w:hint="eastAsia"/>
          <w:szCs w:val="21"/>
        </w:rPr>
        <w:t>“</w:t>
      </w:r>
      <w:r>
        <w:rPr>
          <w:szCs w:val="21"/>
        </w:rPr>
        <w:t>三废</w:t>
      </w:r>
      <w:r>
        <w:rPr>
          <w:rFonts w:hint="eastAsia"/>
          <w:szCs w:val="21"/>
        </w:rPr>
        <w:t>”</w:t>
      </w:r>
      <w:r>
        <w:rPr>
          <w:szCs w:val="21"/>
        </w:rPr>
        <w:t>经处理送出为止的整个生产过程）消耗的能源。包括黄磷生产系统、辅助生产系统和附属生产系统的各种能源消耗量和损失量，以及用作原料、材料的能源。不包括基建、技改项目建设及以生活为目的的能耗；不包括向外输出的能源。</w:t>
      </w:r>
    </w:p>
    <w:p>
      <w:pPr>
        <w:spacing w:line="312" w:lineRule="auto"/>
        <w:ind w:firstLine="420" w:firstLineChars="200"/>
        <w:textAlignment w:val="center"/>
        <w:rPr>
          <w:szCs w:val="21"/>
        </w:rPr>
      </w:pPr>
      <w:r>
        <w:rPr>
          <w:szCs w:val="21"/>
        </w:rPr>
        <w:t>黄磷生产消耗的能源主要有煤炭、石油、天然气、电力、焦炭、煤气、电石、碳素制品、蒸汽；消耗的耗能工质有水、氧气、氮气、压缩空气等。耗能工质不包括自产的耗能工质，但包括其所消耗的能源。企业黄磷生产界区外的辅助生产系统、附属生产系统能源消耗量和损失量应按能耗比例法分摊。碳素砖、润滑油的消耗不计入产品综合能耗。</w:t>
      </w:r>
    </w:p>
    <w:p>
      <w:pPr>
        <w:spacing w:line="312" w:lineRule="auto"/>
        <w:ind w:firstLine="420" w:firstLineChars="200"/>
        <w:textAlignment w:val="center"/>
        <w:rPr>
          <w:rFonts w:asciiTheme="minorEastAsia" w:hAnsiTheme="minorEastAsia" w:eastAsiaTheme="minorEastAsia" w:cstheme="minorEastAsia"/>
          <w:bCs/>
          <w:szCs w:val="21"/>
        </w:rPr>
      </w:pPr>
      <w:r>
        <w:rPr>
          <w:szCs w:val="21"/>
        </w:rPr>
        <w:t>焦炭（或无烟煤）消耗，包括</w:t>
      </w:r>
      <w:r>
        <w:rPr>
          <w:rFonts w:hint="eastAsia" w:asciiTheme="minorEastAsia" w:hAnsiTheme="minorEastAsia" w:eastAsiaTheme="minorEastAsia" w:cstheme="minorEastAsia"/>
          <w:bCs/>
          <w:szCs w:val="21"/>
        </w:rPr>
        <w:t>实际入炉量和损失量，不包括调出的焦（煤）粉。供辅助、附属生产系统的焦（煤）粉按比例分摊法计入总能耗。</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黄磷生产界区内回收本界区内产生的余热、余能及化学反应热，不计入能源消耗量。供界区外装置回收利用的，应按其实际回收的能量从本界区能耗中扣除。</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母项：黄磷产量。包括黄磷产品产量和泥磷回收折元素磷两部分。即粗磷精制、过滤所得的，以及泥磷通过真空过滤或蒸磷等方法得到的符合国家标准GB7816-1998的黄磷产品；泥磷回收折磷，指泥磷通过烧制磷酸或制其他化学品回收的元素磷量。</w:t>
      </w:r>
    </w:p>
    <w:p>
      <w:pPr>
        <w:spacing w:line="312" w:lineRule="auto"/>
        <w:ind w:firstLine="420" w:firstLineChars="200"/>
        <w:textAlignment w:val="center"/>
        <w:rPr>
          <w:rFonts w:eastAsia="黑体"/>
          <w:szCs w:val="21"/>
        </w:rPr>
      </w:pPr>
      <w:r>
        <w:rPr>
          <w:rFonts w:eastAsia="黑体"/>
          <w:szCs w:val="21"/>
        </w:rPr>
        <w:t xml:space="preserve">单位黄磷生产耗电 </w:t>
      </w:r>
    </w:p>
    <w:p>
      <w:pPr>
        <w:spacing w:line="312" w:lineRule="auto"/>
        <w:ind w:left="1030" w:hanging="1030" w:hangingChars="500"/>
        <w:textAlignment w:val="center"/>
        <w:rPr>
          <w:spacing w:val="-2"/>
          <w:szCs w:val="21"/>
        </w:rPr>
      </w:pPr>
      <w:r>
        <w:rPr>
          <w:rFonts w:hint="eastAsia"/>
          <w:spacing w:val="-2"/>
          <w:szCs w:val="21"/>
        </w:rPr>
        <w:t>　　</w:t>
      </w:r>
      <w:r>
        <w:rPr>
          <w:spacing w:val="-2"/>
          <w:szCs w:val="21"/>
        </w:rPr>
        <w:t>计算公式：单位黄磷生产耗电（</w:t>
      </w:r>
      <w:r>
        <w:rPr>
          <w:rFonts w:hint="eastAsia" w:asciiTheme="minorEastAsia" w:hAnsiTheme="minorEastAsia" w:eastAsiaTheme="minorEastAsia" w:cstheme="minorEastAsia"/>
          <w:bCs/>
          <w:szCs w:val="21"/>
        </w:rPr>
        <w:t>千瓦时/吨）＝10000×黄磷生产耗电总量（万千瓦时）/黄</w:t>
      </w:r>
      <w:r>
        <w:rPr>
          <w:spacing w:val="-2"/>
          <w:szCs w:val="21"/>
        </w:rPr>
        <w:t>磷产量（吨）</w:t>
      </w:r>
    </w:p>
    <w:p>
      <w:pPr>
        <w:spacing w:line="312" w:lineRule="auto"/>
        <w:ind w:firstLine="420" w:firstLineChars="200"/>
        <w:textAlignment w:val="center"/>
        <w:rPr>
          <w:szCs w:val="21"/>
        </w:rPr>
      </w:pPr>
      <w:r>
        <w:rPr>
          <w:szCs w:val="21"/>
        </w:rPr>
        <w:t>分子项：黄磷产品耗电。包括电炉电耗和动力电耗两部分。</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（1）电炉电耗包括电炉加热的直接用电、电炉短网电耗、电炉变压器损耗、电炉变压器高压线路损耗以及供电线路损耗所分摊给电炉变压器的电耗；不包括电炉及其附属设备和建筑物所消耗的动力和照明用电。</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（2）动力电耗包括生产系统、辅助生产系统和附属生产系统所分摊的动力和照明用电。</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①生产系统所消耗的动力和照明用电，包括生产系统所有装置、设施所消耗的动力、照明用电及其供电损耗，以及所分摊的动力变压器和供电线路损耗。</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②辅助生产系统和附属生产系统所分摊的动力和照明用电量，指这两个系统按比例分摊给黄磷产品的动力和照明电耗以及它们的损耗。</w:t>
      </w:r>
    </w:p>
    <w:p>
      <w:pPr>
        <w:spacing w:line="312" w:lineRule="auto"/>
        <w:ind w:firstLine="420" w:firstLineChars="200"/>
        <w:textAlignment w:val="center"/>
        <w:rPr>
          <w:rFonts w:eastAsia="黑体"/>
          <w:bCs/>
        </w:rPr>
      </w:pPr>
      <w:r>
        <w:rPr>
          <w:rFonts w:hint="eastAsia" w:asciiTheme="minorEastAsia" w:hAnsiTheme="minorEastAsia" w:eastAsiaTheme="minorEastAsia" w:cstheme="minorEastAsia"/>
          <w:bCs/>
          <w:szCs w:val="21"/>
        </w:rPr>
        <w:t>分母项：黄磷产量。说明同上。</w:t>
      </w:r>
    </w:p>
    <w:p>
      <w:pPr>
        <w:pStyle w:val="10"/>
        <w:spacing w:line="312" w:lineRule="auto"/>
        <w:ind w:firstLine="420" w:firstLineChars="200"/>
        <w:textAlignment w:val="center"/>
        <w:rPr>
          <w:rFonts w:ascii="Times New Roman" w:hAnsi="Times New Roman" w:eastAsia="黑体" w:cs="Times New Roman"/>
          <w:bCs/>
        </w:rPr>
      </w:pPr>
      <w:r>
        <w:rPr>
          <w:rFonts w:ascii="Times New Roman" w:hAnsi="Times New Roman" w:eastAsia="黑体" w:cs="Times New Roman"/>
          <w:bCs/>
        </w:rPr>
        <w:t>有机化学原料（</w:t>
      </w:r>
      <w:r>
        <w:rPr>
          <w:rFonts w:hint="eastAsia" w:ascii="黑体" w:hAnsi="黑体" w:eastAsia="黑体" w:cs="黑体"/>
          <w:bCs/>
        </w:rPr>
        <w:t>26</w:t>
      </w:r>
      <w:r>
        <w:rPr>
          <w:rFonts w:ascii="Times New Roman" w:hAnsi="Times New Roman" w:eastAsia="黑体" w:cs="Times New Roman"/>
          <w:bCs/>
        </w:rPr>
        <w:t>）</w:t>
      </w:r>
    </w:p>
    <w:p>
      <w:pPr>
        <w:spacing w:line="312" w:lineRule="auto"/>
        <w:ind w:firstLine="420" w:firstLineChars="200"/>
        <w:textAlignment w:val="center"/>
        <w:rPr>
          <w:szCs w:val="21"/>
        </w:rPr>
      </w:pPr>
      <w:r>
        <w:rPr>
          <w:rFonts w:eastAsia="黑体"/>
          <w:szCs w:val="21"/>
        </w:rPr>
        <w:t>单位乙烯生产综合能耗</w:t>
      </w:r>
    </w:p>
    <w:p>
      <w:pPr>
        <w:spacing w:line="312" w:lineRule="auto"/>
        <w:ind w:left="5266" w:leftChars="0" w:hanging="5266" w:hangingChars="2508"/>
        <w:textAlignment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计算公式：单位乙烯生产综合能耗（千克标准煤/吨）＝1000×乙烯燃动综合能源消耗量（吨标准</w:t>
      </w:r>
    </w:p>
    <w:p>
      <w:pPr>
        <w:spacing w:line="312" w:lineRule="auto"/>
        <w:ind w:left="5266" w:leftChars="0" w:hanging="5266" w:hangingChars="2508"/>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eastAsia="zh-CN"/>
        </w:rPr>
        <w:t>　　　　　　　　　　　　　　　　　　　　　　　</w:t>
      </w:r>
      <w:r>
        <w:rPr>
          <w:rFonts w:hint="eastAsia" w:asciiTheme="minorEastAsia" w:hAnsiTheme="minorEastAsia" w:eastAsiaTheme="minorEastAsia" w:cstheme="minorEastAsia"/>
          <w:bCs/>
          <w:spacing w:val="-11"/>
          <w:sz w:val="21"/>
          <w:szCs w:val="21"/>
          <w:lang w:eastAsia="zh-CN"/>
        </w:rPr>
        <w:t>　　　　</w:t>
      </w:r>
      <w:r>
        <w:rPr>
          <w:rFonts w:hint="eastAsia" w:asciiTheme="minorEastAsia" w:hAnsiTheme="minorEastAsia" w:eastAsiaTheme="minorEastAsia" w:cstheme="minorEastAsia"/>
          <w:bCs/>
          <w:szCs w:val="21"/>
        </w:rPr>
        <w:t>煤）/乙烯产量（吨）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子项：乙烯燃动综合能源消耗量。包括燃料油、燃料气、蒸汽、电力等的消耗，不包括作为生产乙烯的原料消耗（注：在填报《能源购进、消费与库存》和《能源加工转换与回收利用》时，要计算能源消费量）。计算能耗的乙烯装置界区仅指乙烯工艺装置本身，包括原料脱硫、脱砷、裂解炉区、急冷区、压缩区、分离区、废碱处理、火炬气回收压缩机（回收气返回裂解炉燃料系统）工艺单元。</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乙烯生产装置界区不包括：开工锅炉、锅炉给水、循环水、空压站等辅助生产设施。这些辅助设施用能不计入乙烯燃动综合能源消耗量。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母项：乙烯生产量。指乙烯生产量，不包括丙烯等联产品。乙烯是指用油（轻油、柴油、重油、石脑油、原油）、气（乙烷、丙烷炼厂气）经裂解、分离过程制成的乙烯；不包括用酒精脱水制成的乙烯，亦不包括直接利用未经分离的裂解气体或其他气体中的乙烯馏分。各种未用尽的乙烯，返回乙烯生产装置时，不得再计算乙烯产量。</w:t>
      </w:r>
    </w:p>
    <w:p>
      <w:pPr>
        <w:spacing w:line="312" w:lineRule="auto"/>
        <w:ind w:firstLine="420" w:firstLineChars="200"/>
        <w:textAlignment w:val="center"/>
        <w:rPr>
          <w:rFonts w:eastAsia="黑体"/>
          <w:szCs w:val="21"/>
        </w:rPr>
      </w:pPr>
      <w:r>
        <w:rPr>
          <w:rFonts w:eastAsia="黑体"/>
          <w:szCs w:val="21"/>
        </w:rPr>
        <w:t xml:space="preserve">单位乙烯生产耗电  </w:t>
      </w:r>
    </w:p>
    <w:p>
      <w:pPr>
        <w:spacing w:line="312" w:lineRule="auto"/>
        <w:ind w:left="1092" w:hanging="1092" w:hangingChars="52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计算公式：单位乙烯生产耗电（千瓦时/吨）＝10000×乙烯生产耗电总量（万千瓦时）/乙烯生产</w:t>
      </w:r>
    </w:p>
    <w:p>
      <w:pPr>
        <w:spacing w:line="312" w:lineRule="auto"/>
        <w:ind w:left="1092" w:hanging="1092" w:hangingChars="52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w:t>
      </w:r>
      <w:r>
        <w:rPr>
          <w:rFonts w:hint="eastAsia" w:asciiTheme="minorEastAsia" w:hAnsiTheme="minorEastAsia" w:eastAsiaTheme="minorEastAsia" w:cstheme="minorEastAsia"/>
          <w:bCs/>
          <w:spacing w:val="-11"/>
          <w:szCs w:val="21"/>
        </w:rPr>
        <w:t>　　</w:t>
      </w:r>
      <w:r>
        <w:rPr>
          <w:rFonts w:hint="eastAsia" w:asciiTheme="minorEastAsia" w:hAnsiTheme="minorEastAsia" w:eastAsiaTheme="minorEastAsia" w:cstheme="minorEastAsia"/>
          <w:bCs/>
          <w:spacing w:val="-11"/>
          <w:szCs w:val="21"/>
          <w:lang w:eastAsia="zh-CN"/>
        </w:rPr>
        <w:t>　</w:t>
      </w:r>
      <w:r>
        <w:rPr>
          <w:rFonts w:hint="eastAsia" w:asciiTheme="minorEastAsia" w:hAnsiTheme="minorEastAsia" w:eastAsiaTheme="minorEastAsia" w:cstheme="minorEastAsia"/>
          <w:bCs/>
          <w:szCs w:val="21"/>
        </w:rPr>
        <w:t>量（吨）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分子项：乙烯生产耗电量。指乙烯装置界区内的耗电量。  </w:t>
      </w:r>
    </w:p>
    <w:p>
      <w:pPr>
        <w:spacing w:line="312" w:lineRule="auto"/>
        <w:ind w:firstLine="420" w:firstLineChars="200"/>
        <w:textAlignment w:val="center"/>
        <w:rPr>
          <w:rFonts w:eastAsia="黑体"/>
          <w:bCs/>
          <w:szCs w:val="21"/>
        </w:rPr>
      </w:pPr>
      <w:r>
        <w:rPr>
          <w:rFonts w:hint="eastAsia" w:asciiTheme="minorEastAsia" w:hAnsiTheme="minorEastAsia" w:eastAsiaTheme="minorEastAsia" w:cstheme="minorEastAsia"/>
          <w:bCs/>
          <w:szCs w:val="21"/>
        </w:rPr>
        <w:t>分母项：乙烯生产量。说明同上。</w:t>
      </w:r>
    </w:p>
    <w:p>
      <w:pPr>
        <w:spacing w:line="312" w:lineRule="auto"/>
        <w:ind w:firstLine="420" w:firstLineChars="200"/>
        <w:textAlignment w:val="center"/>
        <w:rPr>
          <w:rFonts w:eastAsia="黑体"/>
          <w:bCs/>
          <w:szCs w:val="21"/>
        </w:rPr>
      </w:pPr>
      <w:r>
        <w:rPr>
          <w:rFonts w:eastAsia="黑体"/>
          <w:bCs/>
          <w:szCs w:val="21"/>
        </w:rPr>
        <w:t>氮肥（</w:t>
      </w:r>
      <w:r>
        <w:rPr>
          <w:rFonts w:hint="eastAsia" w:ascii="黑体" w:hAnsi="黑体" w:eastAsia="黑体" w:cs="黑体"/>
          <w:bCs/>
          <w:szCs w:val="21"/>
        </w:rPr>
        <w:t>26</w:t>
      </w:r>
      <w:r>
        <w:rPr>
          <w:rFonts w:eastAsia="黑体"/>
          <w:bCs/>
          <w:szCs w:val="21"/>
        </w:rPr>
        <w:t>）</w:t>
      </w:r>
    </w:p>
    <w:p>
      <w:pPr>
        <w:spacing w:line="312" w:lineRule="auto"/>
        <w:ind w:firstLine="420" w:firstLineChars="200"/>
        <w:textAlignment w:val="center"/>
        <w:rPr>
          <w:szCs w:val="21"/>
        </w:rPr>
      </w:pPr>
      <w:r>
        <w:rPr>
          <w:rFonts w:eastAsia="黑体"/>
          <w:szCs w:val="21"/>
        </w:rPr>
        <w:t>单位合成氨生产综合能耗</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计算公式：单位合成氨生产综合能耗（千克标准煤/吨）＝1000×合成氨生产综合能耗（吨标准煤）</w:t>
      </w:r>
    </w:p>
    <w:p>
      <w:pPr>
        <w:spacing w:line="312" w:lineRule="auto"/>
        <w:ind w:firstLine="396"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pacing w:val="-6"/>
          <w:szCs w:val="21"/>
        </w:rPr>
        <w:t>　　　　　　　　　　　　　　　　　　　　　　　　　　</w:t>
      </w:r>
      <w:r>
        <w:rPr>
          <w:rFonts w:hint="eastAsia" w:asciiTheme="minorEastAsia" w:hAnsiTheme="minorEastAsia" w:eastAsiaTheme="minorEastAsia" w:cstheme="minorEastAsia"/>
          <w:bCs/>
          <w:spacing w:val="-6"/>
          <w:szCs w:val="21"/>
          <w:lang w:eastAsia="zh-CN"/>
        </w:rPr>
        <w:t>　</w:t>
      </w:r>
      <w:r>
        <w:rPr>
          <w:rFonts w:hint="eastAsia" w:asciiTheme="minorEastAsia" w:hAnsiTheme="minorEastAsia" w:eastAsiaTheme="minorEastAsia" w:cstheme="minorEastAsia"/>
          <w:bCs/>
          <w:szCs w:val="21"/>
        </w:rPr>
        <w:t>/合成氨（无水氨）产量（吨）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分子项：合成氨生产综合能耗。指合成氨生产实际的能源消耗或称为生产所必需的能源消耗。包括原料加工到液氨进氨库整个生产系统的消耗以及辅助和附属生产系统的消耗。</w:t>
      </w:r>
    </w:p>
    <w:p>
      <w:pPr>
        <w:spacing w:line="312" w:lineRule="auto"/>
        <w:ind w:left="2100" w:hanging="2100" w:hangingChars="10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合成氨生产综合能耗＝合成氨消耗的各种能源（标准煤）之和－合成氨输出的各种能源（标准煤）之和。</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合成氨输出能源：指合成氨系统向界外输出的，供其他产品或装置使用的能源。对于合成氨系统中的废气、废液、废渣等未回收使用的、无计量的、没有实测热值以及不作为能源再次利用的（如直接用于修路、盖房等），均不得计入输出能源。输出的耗能工质不能计入合成氨输出能源。合成氨输出能源有以下形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（1）作为能源（原料、燃料）供其他产品或装置使用的合成氨吹出气、弛放气、解析气（包括作为民用燃料气）。按实测燃料气组成成分计算热值。</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作为能源供其他产品或装置使用的合成氨系统输出的物料（造气排出的炉渣、干灰、湿灰和锅炉排出的炉渣等，制成蜂窝煤，煤球，烧制砖瓦，作热电厂燃料等）。按实测低位发热值折标系数计入输出能源。</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（3）自备电厂利用合成氨系统余热（含自产的炉渣、废气、热水）、余压，发电、产汽（不掺烧其他外购燃料），向企业以外供应的蒸汽和电力。</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外供蒸汽折标准量（标准煤）方法同外购蒸汽。</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全余热自发电量（标准煤）＝ 供电量（千瓦时）×0.1229（千克标准煤/千瓦时）。</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（4）供其他产品或装置预热物料（或生产用水）的合成氨生产中的余热。按回收热能量统计。回收热能量计算公式为：Q＝D×C×（T出－T入）；</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式中字母符号：</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D—被预热的物料量（千克）；</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C—被预热物料的比热（千卡/千克·度）； </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T出、T入—被预热物料出、入合成氨系统的温度（℃）；</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（5）供其他产品或用户使用（包括用于生活目的）的合成氨系统外送冷凝液（热水）。作为输出能源按其利用热量从综合能耗中扣除（向外输送冷凝液或热水所耗用的电力也应扣除）。</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计算公式：Q＝W ×（T出－T环）；式中字母符号：  </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W—合成氨系统外送冷凝液（或热水）量；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T出—外送冷凝液（热水）温度（℃）；</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T环—报告期平均环境温度（℃）。</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母项：合成氨（无水氨）产量。以液态氨为最终计量状态，按实物量计算，不折100%的纯品。合成氨产量包括：厂内各用氨单位的使用量、销售的商品液氨量、合成氨生产过程中的自用量（净化与脱硫用）以及氨罐弛放气、合成放空气、中间槽解析气等气体回收的氨水含氨量（按回收产品含氨100%折算）。</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合成氨产量不包括：冰机自用氨量（损失）、净化和氨水脱硫回收的氨水含氨量、碳化清洗塔及回收塔析出的氨水含氨量。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合成氨产量采用仪表计量或以最终含氮产品计量。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（1）仪表计量：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为保证液氨流量表准确计量，液氨必须经过中间槽减压解析液氨中溶解的气体，并要进行温度压力补偿。当企业既有氨产量总氨表，又有各用户的使用量分表时，总表必须与分表平衡，不得超过液氨流量表允许误差值。</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合成氨产量（吨）＝氨表的表记值＋自用氨量＋商品液氨量＋吹出、解析、弛放气回收氨量＋（氨</w:t>
      </w:r>
    </w:p>
    <w:p>
      <w:pPr>
        <w:spacing w:line="312" w:lineRule="auto"/>
        <w:ind w:firstLine="2310" w:firstLineChars="11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罐期末库存－氨罐期初库存）。</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吹出、解析、弛放气回收氨量，指合成吹出气、中间槽解析气、氨罐弛放气回收到系统内加以利用或销售的氨量。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（2）以最终含氮产品计量：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以最终含氮产品计算合成氨产量时，按含氮产品的实际含量折算氨产量。</w:t>
      </w:r>
    </w:p>
    <w:p>
      <w:pPr>
        <w:spacing w:line="312" w:lineRule="auto"/>
        <w:ind w:left="2310" w:hanging="2310" w:hangingChars="11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合成氨产量（吨）＝（合格固体化肥折氮100%+不合格固体化肥折氮100%）×1.26654（吨）＋（合格氨水折氨100%+不合格氨水折氨100%）×1.04167（吨）＋自用氨量（吨）＋商品液氨量（吨）＋[氨罐期末库存（吨）－氨罐期初库存（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式中： </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1.26654＝1÷（0.82245×96%）</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1.04167＝1÷96%</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0.82245为氨理论含氮量；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96%为固体化肥和氨水的氨利用率。</w:t>
      </w:r>
    </w:p>
    <w:p>
      <w:pPr>
        <w:spacing w:line="312" w:lineRule="auto"/>
        <w:ind w:firstLine="210" w:firstLineChars="1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  商品液氨量以装瓶或装车量为准。</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自用氨量：当合成氨生产过程用氨的各用户均有氨计量表时，自用氨量以表记值为准；当各用户无表计量时，其规定及计算公式如下：</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（1）铜洗法自用氨量为总氨量的0.4%；铜洗自用氨量（吨）＝ 合成氨产量×0.4%</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（2）铜洗后氨洗的自用氨量为总氨量的0.5%；氨洗自用氨量（吨）＝ 合成氨产量×0.5%</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（3）脱硫工艺自用氨为总氨量的1%；脱硫自用氨量（吨）＝ 合成氨产量×1%</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上述三项自用氨有哪项就计算哪项，没有的均不得计算自用氨，同时也不得将其他形式的耗氨量计在自用氨中。</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氨水折氨量包括：直接用合成吹出气、中间槽解析气、氨罐弛放气回收生产的合格和不合格农业氨水和工业氨水。氨水折氨量不包括： 净化（铜洗）、脱硫回收的氨水、碳化清洗塔及回收塔出来的氨水，也不包括净化（铜洗）和脱硫的自用氨水，及排放掉的合格或不合格的氨水。</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用多种原料生产合成氨时，氨产量的确定：同时用天然气、煤等多种原料生产合成氨的企业，在填报合成氨总产量时，应按原料分列合成氨产量。确定各种不同原料生产的合成氨产量，应在总氨量中按各种原料产气量及其有效气体成分来划定，计算公式：</w:t>
      </w:r>
    </w:p>
    <w:p>
      <w:pPr>
        <w:spacing w:line="312" w:lineRule="auto"/>
        <w:ind w:left="2730" w:hanging="2730" w:hangingChars="13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某种原料生产的合成氨产量＝合成氨总产量×[（某种原料产气量×有效气体成分%）/∑各种原料产气</w:t>
      </w:r>
    </w:p>
    <w:p>
      <w:pPr>
        <w:spacing w:line="312" w:lineRule="auto"/>
        <w:ind w:left="2730" w:leftChars="1300" w:firstLine="0" w:firstLineChars="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量×有效气体成分%]</w:t>
      </w:r>
    </w:p>
    <w:p>
      <w:pPr>
        <w:spacing w:line="312" w:lineRule="auto"/>
        <w:ind w:firstLine="420" w:firstLineChars="200"/>
        <w:textAlignment w:val="center"/>
        <w:rPr>
          <w:rFonts w:eastAsia="黑体"/>
          <w:szCs w:val="21"/>
        </w:rPr>
      </w:pPr>
      <w:r>
        <w:rPr>
          <w:rFonts w:eastAsia="黑体"/>
          <w:szCs w:val="21"/>
        </w:rPr>
        <w:t xml:space="preserve">单位合成氨耗电 </w:t>
      </w:r>
    </w:p>
    <w:p>
      <w:pPr>
        <w:spacing w:line="312" w:lineRule="auto"/>
        <w:ind w:left="4418" w:leftChars="0" w:hanging="4418" w:hangingChars="2104"/>
        <w:textAlignment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计算公式：单位合成氨耗电（千瓦时/吨）＝10000×合成氨耗电总量（万千瓦时）/合成氨（无水</w:t>
      </w:r>
    </w:p>
    <w:p>
      <w:pPr>
        <w:spacing w:line="312" w:lineRule="auto"/>
        <w:ind w:left="4418" w:leftChars="0" w:hanging="4418" w:hangingChars="2104"/>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eastAsia="zh-CN"/>
        </w:rPr>
        <w:t>　　　　　　　　　　　　　　　　　　　</w:t>
      </w:r>
      <w:r>
        <w:rPr>
          <w:rFonts w:hint="eastAsia" w:asciiTheme="minorEastAsia" w:hAnsiTheme="minorEastAsia" w:eastAsiaTheme="minorEastAsia" w:cstheme="minorEastAsia"/>
          <w:bCs/>
          <w:spacing w:val="-11"/>
          <w:sz w:val="21"/>
          <w:szCs w:val="21"/>
          <w:lang w:eastAsia="zh-CN"/>
        </w:rPr>
        <w:t>　　　</w:t>
      </w:r>
      <w:r>
        <w:rPr>
          <w:rFonts w:hint="eastAsia" w:asciiTheme="minorEastAsia" w:hAnsiTheme="minorEastAsia" w:eastAsiaTheme="minorEastAsia" w:cstheme="minorEastAsia"/>
          <w:bCs/>
          <w:szCs w:val="21"/>
        </w:rPr>
        <w:t>氨）产量（吨）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分子项：合成氨耗电总量。指合成氨生产系统和辅助、附属生产系统消耗的电量及界区内损失的电量。以电表计量为准，计量单位为万千瓦时。</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合成氨耗电总量应包括：</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（1）合成氨生产系统耗电。指从原料开始至液氨进氨库止所消耗的全部电量，包括：原料场、库运料（煤、焦、油、气）、预处理 [原料煤破碎（制煤粉、制水煤浆）、型煤（制煤球、煤棒）等]、造气、净化、压缩、氨合成、冰机[包括氨合成冷冻分离用电和制液氨用电（如为尿素等耗氨产品和商品液氨增开的冰机用电）]、氨库以及辅助锅炉各工序用电；上述各工序的车间照明、安全通风、采暖、空调、排风降温、车间办公室、分析化验和烘烤电机等用电；计划中修、小修和事故停修的作业用电（如起重、电焊）以及因检修（含大修）引起的开停车过程点火、烘炉、升温、热备用、置换等消耗的电量。大修作业用电按全年产量平均分摊。</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合成氨辅助、附属生产系统消耗电量。包括：合成氨消耗的各种载能工质（如一次水、循环水、化学软水、除氧水、氧气、氮气、压缩空气等）的制备、提取、运输所消耗的实际电量；合成氨生产过程中三废处理的耗电量（硫磺回收、油回收、污水处理等）；自备锅炉耗电（如引风机、鼓风机、送水，冷却循环水泵等用电）；机、电、仪维修和金加工等工序耗电以及车间照明、通风、降温、车间办公室耗电（按其实际承担合成氨生产系统的维修和加工的工时合理分摊用电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合成氨耗电总量不包括：</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（1）联产产品耗电（联醇的粗甲醇耗电等）。</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（2）扩建和技改工程作业用电。</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（3）合成氨以外的产品消耗的耗能工质和蒸汽，应合理分摊其用电量。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对于集中（数月或全年）扣除的（或计入）的用电量（如大修等），不能在当月集中扣除（或计入），应该按月均摊，并在当月累计数中调整，并以文字说明。</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合成氨联产企业耗电分摊规定：</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（1）合成氨联产甲醇企业，按单位合成氨耗电与单位粗甲醇（100%）耗电比按1:0.8分摊公共电耗量。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合成氨耗电总量＝氨醇耗电总量×[合成氨产量/（0.8×粗甲醇（折100%）产量+合成氨产量）]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合成氨热电联产企业，合成氨的用电量不扣减全余热发电量（热电系统全部用合成氨余热、余压发电时，其发电量称为全余热发电量），其发电量计入合成氨输出能源，并用文字说明。热电系统全部或部分利用外购燃料煤发电时，热电系统独立核算，合成氨的用电量也不扣减自发电量，用于热电联产的合成氨余热、余压的热量，计入合成氨输出能源。</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（3）合成氨联产碳铵企业的碳铵工段（属合成氨的脱碳过程）耗电应全部计入合成氨耗电。</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（4）合成氨联产纯碱企业采用浓气制碱工艺时，与合成氨系统相对独立的，不存在电耗的分摊；变换气制碱工艺的重碱工段电耗应全部计入碱生产的电耗。</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分母项：合成氨（无水氨）产量。说明同上。</w:t>
      </w:r>
    </w:p>
    <w:p>
      <w:pPr>
        <w:spacing w:line="312" w:lineRule="auto"/>
        <w:ind w:firstLine="420" w:firstLineChars="200"/>
        <w:textAlignment w:val="center"/>
        <w:rPr>
          <w:rFonts w:eastAsia="黑体"/>
          <w:szCs w:val="21"/>
        </w:rPr>
      </w:pPr>
      <w:r>
        <w:rPr>
          <w:rFonts w:eastAsia="黑体"/>
          <w:szCs w:val="21"/>
        </w:rPr>
        <w:t xml:space="preserve">单位合成氨耗天然气 </w:t>
      </w:r>
    </w:p>
    <w:p>
      <w:pPr>
        <w:spacing w:line="312" w:lineRule="auto"/>
        <w:ind w:left="5145" w:hanging="5145" w:hangingChars="245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计算公式：单位合成氨消耗天然气（标准立方米/吨）＝10000×合成氨消耗天然气总量（万标准立</w:t>
      </w:r>
    </w:p>
    <w:p>
      <w:pPr>
        <w:spacing w:line="312" w:lineRule="auto"/>
        <w:ind w:left="5145" w:hanging="5145" w:hangingChars="245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w:t>
      </w:r>
      <w:r>
        <w:rPr>
          <w:rFonts w:hint="eastAsia" w:asciiTheme="minorEastAsia" w:hAnsiTheme="minorEastAsia" w:eastAsiaTheme="minorEastAsia" w:cstheme="minorEastAsia"/>
          <w:bCs/>
          <w:spacing w:val="-11"/>
          <w:szCs w:val="21"/>
        </w:rPr>
        <w:t>　　　　　</w:t>
      </w:r>
      <w:r>
        <w:rPr>
          <w:rFonts w:hint="eastAsia" w:asciiTheme="minorEastAsia" w:hAnsiTheme="minorEastAsia" w:eastAsiaTheme="minorEastAsia" w:cstheme="minorEastAsia"/>
          <w:bCs/>
          <w:szCs w:val="21"/>
        </w:rPr>
        <w:t>方米）/合成氨（无水氨）产量（吨）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分子项：合成氨耗天然气总量。包括制气用的天然气、加热转化炉管和辅助锅炉用天然气、合成氨正常生产及开工时蒸汽锅炉使用的天然气。</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使用油田气、焦炉气、炼厂气、煤田气等制氨，计算方法同上。</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分母项：合成氨（无水氨）产量。说明同上。</w:t>
      </w:r>
    </w:p>
    <w:p>
      <w:pPr>
        <w:spacing w:line="312" w:lineRule="auto"/>
        <w:ind w:firstLine="420" w:firstLineChars="200"/>
        <w:textAlignment w:val="center"/>
        <w:rPr>
          <w:rFonts w:eastAsia="黑体"/>
          <w:szCs w:val="21"/>
        </w:rPr>
      </w:pPr>
      <w:r>
        <w:rPr>
          <w:rFonts w:eastAsia="黑体"/>
          <w:szCs w:val="21"/>
        </w:rPr>
        <w:t>单位合成氨耗原料煤</w:t>
      </w:r>
    </w:p>
    <w:p>
      <w:pPr>
        <w:spacing w:line="312" w:lineRule="auto"/>
        <w:ind w:left="5250" w:hanging="5250" w:hangingChars="25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计算公式：单位合成氨耗原料煤（千克标准煤/吨）＝1000×合成氨原料煤耗（吨标准煤）/合成氨（无水氨）产量（吨）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分子项：合成氨原料煤耗。指投入造气炉的实物煤或焦炭（标准煤），不包括入炉前筛出的粉煤（焦）、煤矸石。</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返炭（二炭）、返焦不再计入消耗，也不从消耗中扣除。回收合成氨生产过程中排放的气体（如造气吹风气、合成放空气、氨贮罐弛放气等）作燃料使用时，不能将其热量折成煤（焦）从消耗中扣除。</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有关消耗分摊的规定：</w:t>
      </w:r>
    </w:p>
    <w:p>
      <w:pPr>
        <w:pStyle w:val="10"/>
        <w:spacing w:line="312" w:lineRule="auto"/>
        <w:ind w:firstLine="396" w:firstLineChars="200"/>
        <w:textAlignment w:val="center"/>
        <w:rPr>
          <w:rFonts w:ascii="黑体" w:hAnsi="黑体" w:eastAsia="黑体" w:cs="黑体"/>
          <w:bCs/>
          <w:spacing w:val="-6"/>
        </w:rPr>
      </w:pPr>
      <w:r>
        <w:rPr>
          <w:rFonts w:hint="eastAsia" w:ascii="黑体" w:hAnsi="黑体" w:eastAsia="黑体" w:cs="黑体"/>
          <w:bCs/>
          <w:spacing w:val="-6"/>
        </w:rPr>
        <w:t>（1）合成氨联产甲醇的企业，氨与粗醇（100%）单位产品消耗原料的比，按1:1.06分摊共用的原料。</w:t>
      </w:r>
    </w:p>
    <w:p>
      <w:pPr>
        <w:spacing w:line="312" w:lineRule="auto"/>
        <w:ind w:left="3360" w:hanging="3360" w:hangingChars="16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合成氨耗入炉实物原料煤总量＝入炉实物原料煤总量×[合成氨产量/（1.06×粗甲醇（折100%）产量+合成氨产量）]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（2）自合成氨系统输出的原料气用于其他产品的原料时，按用量折煤（焦）实物量，从系统耗原料煤（焦）实物消耗总量中扣除。</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使用焦炭（土焦）、褐煤和煤球、煤棒等型煤的计算方法同上，煤球、煤棒等型煤要扣除所含的黏结剂（如石灰、水泥等）重量。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合成氨原料煤耗（标准煤）＝∑各批入炉原料煤实物量×折标准煤系数</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折标准煤系数＝煤的热值（低位热值）（千卡/千克）/7000（千卡/千克）</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各批次煤的低位热值一律以入炉煤取样、用氧弹仪分析的数据为准。标准燃料煤的低位发热值为7000（千卡/千克 或29271千焦/千克）。</w:t>
      </w:r>
    </w:p>
    <w:p>
      <w:pPr>
        <w:spacing w:line="312" w:lineRule="auto"/>
        <w:ind w:firstLine="420" w:firstLineChars="200"/>
        <w:textAlignment w:val="center"/>
        <w:rPr>
          <w:szCs w:val="21"/>
        </w:rPr>
      </w:pPr>
      <w:r>
        <w:rPr>
          <w:rFonts w:hint="eastAsia" w:asciiTheme="minorEastAsia" w:hAnsiTheme="minorEastAsia" w:eastAsiaTheme="minorEastAsia" w:cstheme="minorEastAsia"/>
          <w:bCs/>
          <w:szCs w:val="21"/>
        </w:rPr>
        <w:t>分母项：合成氨（无水氨）产量。说明同上。</w:t>
      </w:r>
    </w:p>
    <w:p>
      <w:pPr>
        <w:spacing w:line="312" w:lineRule="auto"/>
        <w:ind w:firstLine="420" w:firstLineChars="200"/>
        <w:textAlignment w:val="center"/>
        <w:rPr>
          <w:rFonts w:eastAsia="黑体"/>
          <w:szCs w:val="21"/>
        </w:rPr>
      </w:pPr>
      <w:r>
        <w:rPr>
          <w:rFonts w:eastAsia="黑体"/>
          <w:szCs w:val="21"/>
        </w:rPr>
        <w:t xml:space="preserve">单位合成氨耗标准燃料煤  </w:t>
      </w:r>
    </w:p>
    <w:p>
      <w:pPr>
        <w:spacing w:line="312" w:lineRule="auto"/>
        <w:ind w:left="5678" w:leftChars="0" w:hanging="5678" w:hangingChars="2704"/>
        <w:textAlignment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计算公式：单位合成氨耗标准燃料煤（千克标准煤/吨）＝1000×合成氨耗标准燃料煤总量（吨标</w:t>
      </w:r>
    </w:p>
    <w:p>
      <w:pPr>
        <w:spacing w:line="312" w:lineRule="auto"/>
        <w:ind w:left="5678" w:leftChars="0" w:hanging="5678" w:hangingChars="2704"/>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eastAsia="zh-CN"/>
        </w:rPr>
        <w:t>　　　　　　　　　　　　　　　　　　　　　　　</w:t>
      </w:r>
      <w:r>
        <w:rPr>
          <w:rFonts w:hint="eastAsia" w:asciiTheme="minorEastAsia" w:hAnsiTheme="minorEastAsia" w:eastAsiaTheme="minorEastAsia" w:cstheme="minorEastAsia"/>
          <w:bCs/>
          <w:spacing w:val="-6"/>
          <w:sz w:val="21"/>
          <w:szCs w:val="21"/>
          <w:lang w:eastAsia="zh-CN"/>
        </w:rPr>
        <w:t>　　　　　</w:t>
      </w:r>
      <w:r>
        <w:rPr>
          <w:rFonts w:hint="eastAsia" w:asciiTheme="minorEastAsia" w:hAnsiTheme="minorEastAsia" w:eastAsiaTheme="minorEastAsia" w:cstheme="minorEastAsia"/>
          <w:bCs/>
          <w:szCs w:val="21"/>
        </w:rPr>
        <w:t>准煤）/合成氨（无水氨）产量（吨）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分子项：合成氨耗标准燃料煤。指各批次燃料煤折标准煤之和。</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合成氨耗标准燃料煤总量，主要指用来发生蒸汽，以满足合成氨生产系统和辅助、附属生产系统用蒸汽消耗的燃料煤。外购蒸汽量应按进厂焓值和锅炉效率折标准燃料煤。</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生产系统耗汽量，包括从造气、净化、压缩、氨合成、冰机到氨库止各工序生产和开停过程用汽（含大、中、小修开车），以及上述各工序设备、管道保温用汽和车间、分析化验、车间办公室采暖用汽等。</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辅助、附属生产系统耗汽量，包括煤球制造、除氧水制备、原料和燃料场库及预处理、煤球车间、自备锅炉房及机、电、仪修车间和上述车间办公室的全部采暖用汽，以及计划大、中、小修和事故检修的置换、吹洗用汽以及安全生产、三废处理、环保过程用汽。</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蒸汽只供合成氨使用时，燃料煤消耗量或蒸汽量全部计入合成氨消耗；蒸汽为多产品使用，应合理分摊燃料煤消耗量。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锅炉掺烧的返炭、炉渣、煤矸石、块煤中筛分的沫煤不计入燃料消耗量，从锅炉烧余物中捡回的返炭不从消耗中扣除。</w:t>
      </w:r>
    </w:p>
    <w:p>
      <w:pPr>
        <w:spacing w:line="312" w:lineRule="auto"/>
        <w:ind w:firstLine="396" w:firstLineChars="200"/>
        <w:textAlignment w:val="center"/>
        <w:rPr>
          <w:rFonts w:asciiTheme="minorEastAsia" w:hAnsiTheme="minorEastAsia" w:eastAsiaTheme="minorEastAsia" w:cstheme="minorEastAsia"/>
          <w:bCs/>
          <w:spacing w:val="-6"/>
          <w:sz w:val="21"/>
          <w:szCs w:val="21"/>
        </w:rPr>
      </w:pPr>
      <w:r>
        <w:rPr>
          <w:rFonts w:hint="eastAsia" w:asciiTheme="minorEastAsia" w:hAnsiTheme="minorEastAsia" w:eastAsiaTheme="minorEastAsia" w:cstheme="minorEastAsia"/>
          <w:bCs/>
          <w:spacing w:val="-6"/>
          <w:sz w:val="21"/>
          <w:szCs w:val="21"/>
        </w:rPr>
        <w:t>合成氨生产过程副产的蒸汽，为本系统自用的不计消耗，放空或输出的蒸汽也不从燃料煤消耗中扣除。</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分母项：合成氨（无水氨）产量。说明同上。</w:t>
      </w:r>
    </w:p>
    <w:p>
      <w:pPr>
        <w:spacing w:line="312" w:lineRule="auto"/>
        <w:ind w:firstLine="420" w:firstLineChars="200"/>
        <w:textAlignment w:val="center"/>
        <w:rPr>
          <w:rFonts w:eastAsia="黑体"/>
          <w:bCs/>
          <w:szCs w:val="21"/>
        </w:rPr>
      </w:pPr>
      <w:r>
        <w:rPr>
          <w:rFonts w:eastAsia="黑体"/>
          <w:bCs/>
          <w:szCs w:val="21"/>
        </w:rPr>
        <w:t>水泥（</w:t>
      </w:r>
      <w:r>
        <w:rPr>
          <w:rFonts w:hint="eastAsia" w:ascii="黑体" w:hAnsi="黑体" w:eastAsia="黑体" w:cs="黑体"/>
          <w:bCs/>
          <w:szCs w:val="21"/>
        </w:rPr>
        <w:t>30</w:t>
      </w:r>
      <w:r>
        <w:rPr>
          <w:rFonts w:eastAsia="黑体"/>
          <w:bCs/>
          <w:szCs w:val="21"/>
        </w:rPr>
        <w:t>）</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水泥生产工艺分为新型干法（预分解窑）立窑、湿法窑、中空窑、预热器窑、粉磨站、其他。</w:t>
      </w:r>
    </w:p>
    <w:p>
      <w:pPr>
        <w:spacing w:line="312" w:lineRule="auto"/>
        <w:ind w:firstLine="420" w:firstLineChars="200"/>
        <w:textAlignment w:val="center"/>
        <w:rPr>
          <w:szCs w:val="21"/>
        </w:rPr>
      </w:pPr>
      <w:r>
        <w:rPr>
          <w:rFonts w:eastAsia="黑体"/>
          <w:szCs w:val="21"/>
        </w:rPr>
        <w:t>吨水泥熟料综合能耗</w:t>
      </w:r>
    </w:p>
    <w:p>
      <w:pPr>
        <w:spacing w:line="312" w:lineRule="auto"/>
        <w:ind w:left="5258" w:leftChars="0" w:hanging="5258" w:hangingChars="2504"/>
        <w:textAlignment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计算公式：吨水泥熟料综合能耗（千克标准煤/吨）＝1000×生产水泥熟料综合能源消费量（吨标</w:t>
      </w:r>
    </w:p>
    <w:p>
      <w:pPr>
        <w:spacing w:line="312" w:lineRule="auto"/>
        <w:ind w:left="5258" w:leftChars="0" w:hanging="5258" w:hangingChars="2504"/>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eastAsia="zh-CN"/>
        </w:rPr>
        <w:t>　　　　　　　　　　　　　　　</w:t>
      </w:r>
      <w:r>
        <w:rPr>
          <w:rFonts w:hint="eastAsia" w:asciiTheme="minorEastAsia" w:hAnsiTheme="minorEastAsia" w:eastAsiaTheme="minorEastAsia" w:cstheme="minorEastAsia"/>
          <w:bCs/>
          <w:spacing w:val="-6"/>
          <w:sz w:val="21"/>
          <w:szCs w:val="21"/>
          <w:lang w:eastAsia="zh-CN"/>
        </w:rPr>
        <w:t>　　</w:t>
      </w:r>
      <w:r>
        <w:rPr>
          <w:rFonts w:hint="eastAsia" w:asciiTheme="minorEastAsia" w:hAnsiTheme="minorEastAsia" w:eastAsiaTheme="minorEastAsia" w:cstheme="minorEastAsia"/>
          <w:bCs/>
          <w:szCs w:val="21"/>
          <w:lang w:eastAsia="zh-CN"/>
        </w:rPr>
        <w:t>　　　　</w:t>
      </w:r>
      <w:r>
        <w:rPr>
          <w:rFonts w:hint="eastAsia" w:asciiTheme="minorEastAsia" w:hAnsiTheme="minorEastAsia" w:eastAsiaTheme="minorEastAsia" w:cstheme="minorEastAsia"/>
          <w:bCs/>
          <w:spacing w:val="-6"/>
          <w:sz w:val="21"/>
          <w:szCs w:val="21"/>
          <w:lang w:eastAsia="zh-CN"/>
        </w:rPr>
        <w:t>　　　　　</w:t>
      </w:r>
      <w:r>
        <w:rPr>
          <w:rFonts w:hint="eastAsia" w:asciiTheme="minorEastAsia" w:hAnsiTheme="minorEastAsia" w:eastAsiaTheme="minorEastAsia" w:cstheme="minorEastAsia"/>
          <w:bCs/>
          <w:szCs w:val="21"/>
        </w:rPr>
        <w:t>准煤）/硅酸盐水泥熟料产量（吨）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子项：生产水泥熟料综合能源消费量。包括电力、煤炭、油品、天然气、煤气、液化气、蒸汽的消费。企业自备锅炉，自备发电机组生产的蒸汽、电力，由本企业消耗的，只计算第一次能源消耗，不重复计算蒸汽及电的消耗；利用余热发电亦不重复计算。</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母项：硅酸盐水泥熟料产量。为报告期合格品产量，计量单位为吨。凡是由本企业生产的水泥熟料，无论是作为商品熟料出售，还是作为水泥生产过程中的半成品，都应统计水泥熟料产量。外购的熟料不得统计产量。</w:t>
      </w:r>
    </w:p>
    <w:p>
      <w:pPr>
        <w:spacing w:line="312" w:lineRule="auto"/>
        <w:ind w:firstLine="420" w:firstLineChars="200"/>
        <w:textAlignment w:val="center"/>
        <w:rPr>
          <w:rFonts w:eastAsia="黑体"/>
          <w:szCs w:val="21"/>
        </w:rPr>
      </w:pPr>
      <w:r>
        <w:rPr>
          <w:rFonts w:eastAsia="黑体"/>
          <w:szCs w:val="21"/>
        </w:rPr>
        <w:t>吨水泥熟料烧成标准煤耗</w:t>
      </w:r>
    </w:p>
    <w:p>
      <w:pPr>
        <w:spacing w:line="312" w:lineRule="auto"/>
        <w:ind w:left="5775" w:hanging="5775" w:hangingChars="275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计算公式：吨水泥熟料烧成标准煤耗（千克标准煤/吨）＝1000×标准煤消费量（吨）/硅酸盐水泥熟料产量（吨）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子项：标准煤消费量。指将实物煤消费量折算成标准煤的数量，包括入窑煤粉，以及烧成煤在制备过程中的损耗（如果收尘下的煤泥、煤粉转作其他生产用途，可以在烧成煤耗内扣除）。使用黑料浆的企业，包括掺入料浆的煤粉和采用窑外分解的回转窑进入分解炉的燃料，以及窑点火用油和烧气燃料。烧油气的企业，应将油气消耗折算成标准煤计入烧成煤耗。</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采用不同方法（干法、半干法、湿法回转窑和立窑）生产熟料的企业应分别计算熟料烧成煤耗。</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采用余热发电的回转窑企业，除按上式计算“每吨熟料烧成标准煤消耗量”外，为正确反映这类企业烧成用煤的实际情况，还要计算扣除带补燃料的余热发电煤耗后的每吨水泥熟料烧成标准煤耗。</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计算公式：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扣除带补燃料的余热发电煤耗后每吨水泥熟料烧成耗标准煤耗（千克）</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＝1000×扣除带补燃料的余热发电煤耗后的标准煤消耗量（吨）/硅酸盐水泥熟料产量（吨）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说明：公式中的“扣除带补燃料的余热发电煤耗后的标准煤消耗量（吨）”，按下式计算：</w:t>
      </w:r>
    </w:p>
    <w:p>
      <w:pPr>
        <w:spacing w:line="312" w:lineRule="auto"/>
        <w:ind w:left="630" w:hanging="630" w:hangingChars="3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扣除带补燃料的余热发电煤耗后的标准煤消耗量（吨）</w:t>
      </w:r>
    </w:p>
    <w:p>
      <w:pPr>
        <w:spacing w:line="312" w:lineRule="auto"/>
        <w:ind w:left="630" w:hanging="630" w:hangingChars="3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＝烧成标准煤总消耗量（吨）－｛〔电站发电量（千瓦时）－电站自用电量（千瓦时）〕×0.1229</w:t>
      </w:r>
    </w:p>
    <w:p>
      <w:pPr>
        <w:spacing w:line="312" w:lineRule="auto"/>
        <w:ind w:left="525" w:hanging="525" w:hangingChars="25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（千克/千瓦时）÷1000｝</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注意：采用纯低温余热发电技术的新型干法水泥企业，其熟料烧成煤耗既没有增加，也没有减少，不得将发电量折标准煤抵扣熟料烧成标准煤耗</w:t>
      </w:r>
    </w:p>
    <w:p>
      <w:pPr>
        <w:spacing w:line="312" w:lineRule="auto"/>
        <w:ind w:firstLine="420" w:firstLineChars="200"/>
        <w:textAlignment w:val="center"/>
        <w:rPr>
          <w:szCs w:val="21"/>
        </w:rPr>
      </w:pPr>
      <w:r>
        <w:rPr>
          <w:rFonts w:hint="eastAsia" w:asciiTheme="minorEastAsia" w:hAnsiTheme="minorEastAsia" w:eastAsiaTheme="minorEastAsia" w:cstheme="minorEastAsia"/>
          <w:bCs/>
          <w:szCs w:val="21"/>
        </w:rPr>
        <w:t>分母项：硅酸盐水泥熟料产量。指报告期合格品产量，计量单位为吨。</w:t>
      </w:r>
    </w:p>
    <w:p>
      <w:pPr>
        <w:spacing w:line="312" w:lineRule="auto"/>
        <w:ind w:firstLine="420" w:firstLineChars="200"/>
        <w:textAlignment w:val="center"/>
        <w:rPr>
          <w:rFonts w:eastAsia="黑体"/>
          <w:szCs w:val="21"/>
        </w:rPr>
      </w:pPr>
      <w:r>
        <w:rPr>
          <w:rFonts w:eastAsia="黑体"/>
          <w:szCs w:val="21"/>
        </w:rPr>
        <w:t>吨水泥熟料综合电耗</w:t>
      </w:r>
    </w:p>
    <w:p>
      <w:pPr>
        <w:spacing w:line="312" w:lineRule="auto"/>
        <w:ind w:left="5040" w:hanging="5040" w:hangingChars="24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计算公式：吨水泥熟料综合电耗（千瓦时/吨）＝10000×熟料生产综合电力消费量（万千瓦时）/硅酸盐水泥熟料产量（吨）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分子项：熟料生产综合电力消费量。包括熟料工序用电，以及生料电力消耗。熟料工序用电中还包括生产煤粉各项用电，即生产水泥熟料的全部电耗。</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熟料生产综合电力消费量＝熟料工序电力消耗量+生料消耗量×本期每吨生料电力消耗量 </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只生产水泥熟料的企业（不生产水泥），熟料生产综合电力消费量还要包括水泥熟料发送工序的电力消耗量。</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采用纯低温余热发电技术的新型干法水泥企业其电力自用量不得抵扣熟料生产综合电力消费量。</w:t>
      </w:r>
    </w:p>
    <w:p>
      <w:pPr>
        <w:spacing w:line="312" w:lineRule="auto"/>
        <w:ind w:firstLine="420" w:firstLineChars="200"/>
        <w:textAlignment w:val="center"/>
        <w:rPr>
          <w:szCs w:val="21"/>
        </w:rPr>
      </w:pPr>
      <w:r>
        <w:rPr>
          <w:rFonts w:hint="eastAsia" w:asciiTheme="minorEastAsia" w:hAnsiTheme="minorEastAsia" w:eastAsiaTheme="minorEastAsia" w:cstheme="minorEastAsia"/>
          <w:bCs/>
          <w:szCs w:val="21"/>
        </w:rPr>
        <w:t>分母项：硅酸盐水泥熟料产量。指报告期合格品产量，计量单位为吨。</w:t>
      </w:r>
    </w:p>
    <w:p>
      <w:pPr>
        <w:spacing w:line="312" w:lineRule="auto"/>
        <w:ind w:firstLine="420" w:firstLineChars="200"/>
        <w:textAlignment w:val="center"/>
        <w:rPr>
          <w:rFonts w:eastAsia="黑体"/>
          <w:szCs w:val="21"/>
        </w:rPr>
      </w:pPr>
      <w:r>
        <w:rPr>
          <w:rFonts w:eastAsia="黑体"/>
          <w:szCs w:val="21"/>
        </w:rPr>
        <w:t>吨水泥综合能耗</w:t>
      </w:r>
    </w:p>
    <w:p>
      <w:pPr>
        <w:spacing w:line="312" w:lineRule="auto"/>
        <w:ind w:left="4935" w:hanging="4935" w:hangingChars="235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计算公式：吨水泥综合能耗（千克标准煤/吨）＝1000×生产水泥综合能源消费量（吨标准煤）/水泥产量（吨）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子项：生产水泥综合能源消费量。包括电力、原煤、洗精煤、焦炭、原油、重油（包括渣油）、汽油、煤油、柴油、天然气、煤气、液化气、蒸汽等。企业自备锅炉、自备发电机组生产的蒸汽、电力，由本企业消耗的，只计算第一次能源消耗，不再重复计算蒸汽及电的消耗；余热发电亦不重复计算。依据分子分母对应原则，生产水泥综合能源消费量不应包括已销售的商品熟料所消耗的能源。</w:t>
      </w:r>
    </w:p>
    <w:p>
      <w:pPr>
        <w:spacing w:line="312" w:lineRule="auto"/>
        <w:ind w:firstLine="420" w:firstLineChars="200"/>
        <w:textAlignment w:val="center"/>
        <w:rPr>
          <w:szCs w:val="21"/>
        </w:rPr>
      </w:pPr>
      <w:r>
        <w:rPr>
          <w:rFonts w:hint="eastAsia" w:asciiTheme="minorEastAsia" w:hAnsiTheme="minorEastAsia" w:eastAsiaTheme="minorEastAsia" w:cstheme="minorEastAsia"/>
          <w:bCs/>
          <w:szCs w:val="21"/>
        </w:rPr>
        <w:t>分母项：水泥产量。指报告期合格品产量，计量单位为吨。水泥是指加水拌和成塑性浆体,能胶结砂、石等适当材料并能在空气和水中硬化的粉状水硬性胶凝材料。企业在统计水泥产量时，不得将达不到水泥强度等级的废品水泥和已销售的商品熟料折合成水泥统计在水泥产量中。</w:t>
      </w:r>
    </w:p>
    <w:p>
      <w:pPr>
        <w:spacing w:line="312" w:lineRule="auto"/>
        <w:ind w:firstLine="420" w:firstLineChars="200"/>
        <w:textAlignment w:val="center"/>
        <w:rPr>
          <w:rFonts w:eastAsia="黑体"/>
          <w:szCs w:val="21"/>
        </w:rPr>
      </w:pPr>
      <w:r>
        <w:rPr>
          <w:rFonts w:eastAsia="黑体"/>
          <w:szCs w:val="21"/>
        </w:rPr>
        <w:t>吨水泥实物煤耗</w:t>
      </w:r>
    </w:p>
    <w:p>
      <w:pPr>
        <w:spacing w:line="312" w:lineRule="auto"/>
        <w:ind w:left="1018" w:hanging="1018" w:hangingChars="485"/>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计算公式：吨水泥实物煤耗（千克/吨）＝ 1000 ×水泥生产实物煤综合消费量（吨）/水泥产量（吨）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子项：水泥生产实物煤综合消费量。包括熟料综合煤耗、混合材烘干煤耗以外，还包括为水泥生产直接服务的其他煤耗，如机修车间烘炉用煤，蒸汽锅炉用煤。原煤在粉磨过程中，用收尘办法回收的煤粉重新用于生产时应计算消耗，用于生产其他产品或用于生活福利的，则应扣除。</w:t>
      </w:r>
    </w:p>
    <w:p>
      <w:pPr>
        <w:spacing w:line="312" w:lineRule="auto"/>
        <w:ind w:firstLine="420"/>
        <w:textAlignment w:val="center"/>
        <w:rPr>
          <w:rFonts w:asciiTheme="minorEastAsia" w:hAnsiTheme="minorEastAsia" w:eastAsiaTheme="minorEastAsia" w:cstheme="minorEastAsia"/>
          <w:bCs/>
          <w:spacing w:val="-6"/>
          <w:szCs w:val="21"/>
        </w:rPr>
      </w:pPr>
      <w:r>
        <w:rPr>
          <w:rFonts w:hint="eastAsia" w:asciiTheme="minorEastAsia" w:hAnsiTheme="minorEastAsia" w:eastAsiaTheme="minorEastAsia" w:cstheme="minorEastAsia"/>
          <w:bCs/>
          <w:spacing w:val="-6"/>
          <w:szCs w:val="21"/>
        </w:rPr>
        <w:t>水泥生产实物煤综合消费量（吨）＝熟料消耗量（吨）×每吨熟料综合煤耗（吨）+混合材消耗量（吨）</w:t>
      </w:r>
    </w:p>
    <w:p>
      <w:pPr>
        <w:spacing w:line="312" w:lineRule="auto"/>
        <w:ind w:left="0" w:leftChars="0" w:firstLine="3578" w:firstLineChars="1704"/>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×每吨混合材烘干煤耗（吨）+其他生产用煤（吨）</w:t>
      </w:r>
    </w:p>
    <w:p>
      <w:pPr>
        <w:spacing w:line="312" w:lineRule="auto"/>
        <w:ind w:firstLine="420" w:firstLineChars="20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分母项：水泥产量。说明同上。</w:t>
      </w:r>
    </w:p>
    <w:p>
      <w:pPr>
        <w:spacing w:line="312" w:lineRule="auto"/>
        <w:ind w:firstLine="420" w:firstLineChars="200"/>
        <w:textAlignment w:val="center"/>
        <w:rPr>
          <w:rFonts w:eastAsia="黑体"/>
          <w:szCs w:val="21"/>
        </w:rPr>
      </w:pPr>
      <w:r>
        <w:rPr>
          <w:rFonts w:eastAsia="黑体"/>
          <w:szCs w:val="21"/>
        </w:rPr>
        <w:t>吨水泥标准煤耗</w:t>
      </w:r>
    </w:p>
    <w:p>
      <w:pPr>
        <w:spacing w:line="312" w:lineRule="auto"/>
        <w:ind w:firstLine="420" w:firstLineChars="200"/>
        <w:textAlignment w:val="center"/>
        <w:rPr>
          <w:szCs w:val="21"/>
        </w:rPr>
      </w:pPr>
      <w:r>
        <w:rPr>
          <w:szCs w:val="21"/>
        </w:rPr>
        <w:t>吨水泥标准煤耗的计算公式、包括范围同</w:t>
      </w:r>
      <w:r>
        <w:rPr>
          <w:rFonts w:hint="eastAsia"/>
          <w:szCs w:val="21"/>
        </w:rPr>
        <w:t>“</w:t>
      </w:r>
      <w:r>
        <w:rPr>
          <w:szCs w:val="21"/>
        </w:rPr>
        <w:t>吨水泥实物煤耗</w:t>
      </w:r>
      <w:r>
        <w:rPr>
          <w:rFonts w:hint="eastAsia"/>
          <w:szCs w:val="21"/>
        </w:rPr>
        <w:t>”</w:t>
      </w:r>
      <w:r>
        <w:rPr>
          <w:szCs w:val="21"/>
        </w:rPr>
        <w:t>，区别仅是将实物煤用折标准煤系数换算成标准煤。</w:t>
      </w:r>
    </w:p>
    <w:p>
      <w:pPr>
        <w:spacing w:line="312" w:lineRule="auto"/>
        <w:ind w:firstLine="420" w:firstLineChars="200"/>
        <w:textAlignment w:val="center"/>
        <w:rPr>
          <w:rFonts w:eastAsia="黑体"/>
          <w:szCs w:val="21"/>
        </w:rPr>
      </w:pPr>
      <w:r>
        <w:rPr>
          <w:rFonts w:eastAsia="黑体"/>
          <w:szCs w:val="21"/>
        </w:rPr>
        <w:t>吨水泥综合电耗</w:t>
      </w:r>
    </w:p>
    <w:p>
      <w:pPr>
        <w:spacing w:line="312" w:lineRule="auto"/>
        <w:ind w:left="3990" w:hanging="3990" w:hangingChars="1900"/>
        <w:textAlignment w:val="center"/>
        <w:rPr>
          <w:szCs w:val="21"/>
        </w:rPr>
      </w:pPr>
      <w:r>
        <w:rPr>
          <w:rFonts w:hint="eastAsia"/>
          <w:szCs w:val="21"/>
        </w:rPr>
        <w:t>　　</w:t>
      </w:r>
      <w:r>
        <w:rPr>
          <w:szCs w:val="21"/>
        </w:rPr>
        <w:t>计算公式：吨水泥综合电耗（千瓦时/吨）</w:t>
      </w:r>
      <w:r>
        <w:rPr>
          <w:rFonts w:hint="eastAsia" w:asciiTheme="minorEastAsia" w:hAnsiTheme="minorEastAsia" w:eastAsiaTheme="minorEastAsia" w:cstheme="minorEastAsia"/>
          <w:szCs w:val="21"/>
        </w:rPr>
        <w:t>＝10000×水</w:t>
      </w:r>
      <w:r>
        <w:rPr>
          <w:szCs w:val="21"/>
        </w:rPr>
        <w:t>泥生产综合电力消费量（万千瓦时）/水泥产</w:t>
      </w:r>
    </w:p>
    <w:p>
      <w:pPr>
        <w:spacing w:line="312" w:lineRule="auto"/>
        <w:ind w:firstLine="69" w:firstLineChars="33"/>
        <w:textAlignment w:val="center"/>
        <w:rPr>
          <w:szCs w:val="21"/>
        </w:rPr>
      </w:pPr>
      <w:r>
        <w:rPr>
          <w:rFonts w:hint="eastAsia"/>
          <w:szCs w:val="21"/>
        </w:rPr>
        <w:t>　　　　　　　　　　　　　　　　　　　　　</w:t>
      </w:r>
      <w:r>
        <w:rPr>
          <w:szCs w:val="21"/>
        </w:rPr>
        <w:t>量（吨）</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szCs w:val="21"/>
        </w:rPr>
      </w:pPr>
      <w:r>
        <w:rPr>
          <w:rFonts w:hint="eastAsia" w:asciiTheme="minorEastAsia" w:hAnsiTheme="minorEastAsia" w:eastAsiaTheme="minorEastAsia" w:cstheme="minorEastAsia"/>
          <w:szCs w:val="21"/>
        </w:rPr>
        <w:t>分子项： 水泥生产综合电力消费量。指生产水泥（不分品种、标号）所消耗的电力。消耗的电力应包括：水泥工序电耗，水泥所消耗的熟料、石膏、混合材的电力消耗量，水泥出厂时，进行包装或者散装所消耗的电力。为各种辅助用电，如机修、供热、供水、供风、化验等辅助用电，变电、配电、线路损失的电力，厂区、办公室、仓库照明用电，如果企业除生产水泥外，还生产其他产品，则要按比例进行合理分摊</w:t>
      </w:r>
      <w:r>
        <w:rPr>
          <w:szCs w:val="21"/>
        </w:rPr>
        <w:t>。</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szCs w:val="21"/>
        </w:rPr>
      </w:pPr>
      <w:r>
        <w:rPr>
          <w:szCs w:val="21"/>
        </w:rPr>
        <w:t>水泥生产综合电力消费量＝水泥粉磨及包装工序耗电量+熟料消耗量×本期每吨熟料电力消耗量+混合材消耗量×本期每吨混合材电力消耗量+石膏消耗量×本期每吨石膏电力消耗量+应分摊的辅助用电量</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szCs w:val="21"/>
        </w:rPr>
      </w:pPr>
      <w:r>
        <w:rPr>
          <w:szCs w:val="21"/>
        </w:rPr>
        <w:t xml:space="preserve">只进行水泥生产的企业（俗称水泥粉磨站），水泥生产综合电力消费量＝水泥粉磨及包装工序耗电量+水泥粉磨原料消耗量×本期每吨原料进厂工序电耗+水泥发运工序耗电+应分摊的辅助用电量 </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jc w:val="left"/>
        <w:textAlignment w:val="center"/>
        <w:rPr>
          <w:rFonts w:eastAsia="黑体"/>
          <w:bCs/>
          <w:szCs w:val="21"/>
        </w:rPr>
      </w:pPr>
      <w:r>
        <w:rPr>
          <w:szCs w:val="21"/>
        </w:rPr>
        <w:t>分母项：水泥产量。说明同上。</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jc w:val="left"/>
        <w:textAlignment w:val="center"/>
        <w:rPr>
          <w:rFonts w:eastAsia="黑体"/>
          <w:bCs/>
          <w:szCs w:val="21"/>
        </w:rPr>
      </w:pPr>
      <w:r>
        <w:rPr>
          <w:rFonts w:eastAsia="黑体"/>
          <w:bCs/>
          <w:szCs w:val="21"/>
        </w:rPr>
        <w:t>平板玻璃（</w:t>
      </w:r>
      <w:r>
        <w:rPr>
          <w:rFonts w:hint="eastAsia" w:ascii="黑体" w:hAnsi="黑体" w:eastAsia="黑体" w:cs="黑体"/>
          <w:bCs/>
          <w:szCs w:val="21"/>
        </w:rPr>
        <w:t>30</w:t>
      </w:r>
      <w:r>
        <w:rPr>
          <w:rFonts w:eastAsia="黑体"/>
          <w:bCs/>
          <w:szCs w:val="21"/>
        </w:rPr>
        <w:t>）</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szCs w:val="21"/>
        </w:rPr>
      </w:pPr>
      <w:r>
        <w:rPr>
          <w:szCs w:val="21"/>
        </w:rPr>
        <w:t>平板玻璃生产工艺分为：浮法、垂直引上、格法、平拉、其他。</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rFonts w:eastAsia="黑体"/>
          <w:szCs w:val="21"/>
        </w:rPr>
      </w:pPr>
      <w:r>
        <w:rPr>
          <w:rFonts w:eastAsia="黑体"/>
          <w:szCs w:val="21"/>
        </w:rPr>
        <w:t>每重量箱平板玻璃综合能耗</w:t>
      </w:r>
    </w:p>
    <w:p>
      <w:pPr>
        <w:keepNext w:val="0"/>
        <w:keepLines w:val="0"/>
        <w:pageBreakBefore w:val="0"/>
        <w:widowControl w:val="0"/>
        <w:kinsoku/>
        <w:wordWrap/>
        <w:overflowPunct/>
        <w:topLinePunct w:val="0"/>
        <w:autoSpaceDE/>
        <w:autoSpaceDN/>
        <w:bidi w:val="0"/>
        <w:adjustRightInd/>
        <w:snapToGrid/>
        <w:spacing w:line="303" w:lineRule="auto"/>
        <w:ind w:left="6195" w:hanging="6195" w:hangingChars="2950"/>
        <w:jc w:val="left"/>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w:t>
      </w:r>
      <w:r>
        <w:rPr>
          <w:rFonts w:hint="eastAsia" w:asciiTheme="minorEastAsia" w:hAnsiTheme="minorEastAsia" w:eastAsiaTheme="minorEastAsia" w:cstheme="minorEastAsia"/>
          <w:spacing w:val="-4"/>
          <w:sz w:val="21"/>
          <w:szCs w:val="21"/>
        </w:rPr>
        <w:t>计算公式：每重量箱平板玻璃综合能耗（千克标准煤/重量箱）＝1000×平板玻璃综合能源消耗量</w:t>
      </w:r>
      <w:r>
        <w:rPr>
          <w:rFonts w:hint="eastAsia" w:asciiTheme="minorEastAsia" w:hAnsiTheme="minorEastAsia" w:eastAsiaTheme="minorEastAsia" w:cstheme="minorEastAsia"/>
          <w:szCs w:val="21"/>
        </w:rPr>
        <w:t>（吨标准煤）/平板玻璃产量（重量箱）</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子项：平板玻璃综合能源消耗量。包括生产平板玻璃直接消耗的各种能源、辅助生产系统和附属生产系统消耗的一次能源和二次能源，以及需要分摊的企业内部亏损能源。不包括用于基本建设、生活福利设施等非工业生产所消耗的能源和回收利用的余能等。</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分母项：平板玻璃产量。包括浮法、垂直引上、格法、平拉等各种生产工艺生产的平板玻璃。计量单位为重量箱。</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rFonts w:eastAsia="黑体"/>
          <w:szCs w:val="21"/>
        </w:rPr>
      </w:pPr>
      <w:r>
        <w:rPr>
          <w:rFonts w:eastAsia="黑体"/>
          <w:szCs w:val="21"/>
        </w:rPr>
        <w:t>每重量箱平板玻璃耗燃油</w:t>
      </w:r>
    </w:p>
    <w:p>
      <w:pPr>
        <w:keepNext w:val="0"/>
        <w:keepLines w:val="0"/>
        <w:pageBreakBefore w:val="0"/>
        <w:widowControl w:val="0"/>
        <w:kinsoku/>
        <w:wordWrap/>
        <w:overflowPunct/>
        <w:topLinePunct w:val="0"/>
        <w:autoSpaceDE/>
        <w:autoSpaceDN/>
        <w:bidi w:val="0"/>
        <w:adjustRightInd/>
        <w:snapToGrid/>
        <w:spacing w:line="303" w:lineRule="auto"/>
        <w:ind w:left="990" w:hanging="990" w:hangingChars="500"/>
        <w:textAlignment w:val="center"/>
        <w:rPr>
          <w:rFonts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　　计算公式：每重量箱平板玻璃耗燃油（千克/重量箱）＝1000×燃油消耗量（吨）/平板玻璃产量（重量箱）</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分子项：燃油消耗量。指生产平板玻璃的重油、煤焦油、燃料油的消耗量。</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分母项：平板玻璃产量。计量单位为重量箱。</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rFonts w:eastAsia="黑体"/>
          <w:szCs w:val="21"/>
        </w:rPr>
      </w:pPr>
      <w:r>
        <w:rPr>
          <w:rFonts w:eastAsia="黑体"/>
          <w:szCs w:val="21"/>
        </w:rPr>
        <w:t>每重量箱平板玻璃耗电</w:t>
      </w:r>
    </w:p>
    <w:p>
      <w:pPr>
        <w:keepNext w:val="0"/>
        <w:keepLines w:val="0"/>
        <w:pageBreakBefore w:val="0"/>
        <w:widowControl w:val="0"/>
        <w:kinsoku/>
        <w:wordWrap/>
        <w:overflowPunct/>
        <w:topLinePunct w:val="0"/>
        <w:autoSpaceDE/>
        <w:autoSpaceDN/>
        <w:bidi w:val="0"/>
        <w:adjustRightInd/>
        <w:snapToGrid/>
        <w:spacing w:line="303" w:lineRule="auto"/>
        <w:ind w:left="5468" w:leftChars="0" w:hanging="5468" w:hangingChars="2604"/>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计算公式：每重量箱平板玻璃耗电（千瓦时/重量箱）＝10000×电力消耗量（万千瓦时）/平板玻</w:t>
      </w:r>
    </w:p>
    <w:p>
      <w:pPr>
        <w:keepNext w:val="0"/>
        <w:keepLines w:val="0"/>
        <w:pageBreakBefore w:val="0"/>
        <w:widowControl w:val="0"/>
        <w:kinsoku/>
        <w:wordWrap/>
        <w:overflowPunct/>
        <w:topLinePunct w:val="0"/>
        <w:autoSpaceDE/>
        <w:autoSpaceDN/>
        <w:bidi w:val="0"/>
        <w:adjustRightInd/>
        <w:snapToGrid/>
        <w:spacing w:line="303" w:lineRule="auto"/>
        <w:ind w:left="5468" w:leftChars="0" w:hanging="5468" w:hangingChars="2604"/>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　　　　　　　　　　　　　　　　</w:t>
      </w:r>
      <w:r>
        <w:rPr>
          <w:rFonts w:hint="eastAsia" w:asciiTheme="minorEastAsia" w:hAnsiTheme="minorEastAsia" w:eastAsiaTheme="minorEastAsia" w:cstheme="minorEastAsia"/>
          <w:spacing w:val="-6"/>
          <w:sz w:val="21"/>
          <w:szCs w:val="21"/>
          <w:lang w:eastAsia="zh-CN"/>
        </w:rPr>
        <w:t>　　　　　　　　　　　</w:t>
      </w:r>
      <w:r>
        <w:rPr>
          <w:rFonts w:hint="eastAsia" w:asciiTheme="minorEastAsia" w:hAnsiTheme="minorEastAsia" w:eastAsiaTheme="minorEastAsia" w:cstheme="minorEastAsia"/>
          <w:szCs w:val="21"/>
        </w:rPr>
        <w:t>璃产量（重量箱）</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子项：电力消耗量。指生产平板玻璃时的生产用电，包括辅助、附属生产用电，以及厂区、车间、办公室、仓库照明用电。为多种生产服务的辅助、附属生产部门电力消耗，按其为生产平板玻璃服务的工作量进行分摊。分摊系数由企业自定。</w:t>
      </w:r>
    </w:p>
    <w:p>
      <w:pPr>
        <w:keepNext w:val="0"/>
        <w:keepLines w:val="0"/>
        <w:pageBreakBefore w:val="0"/>
        <w:widowControl w:val="0"/>
        <w:kinsoku/>
        <w:wordWrap/>
        <w:overflowPunct/>
        <w:topLinePunct w:val="0"/>
        <w:autoSpaceDE/>
        <w:autoSpaceDN/>
        <w:bidi w:val="0"/>
        <w:adjustRightInd/>
        <w:snapToGrid/>
        <w:spacing w:line="303" w:lineRule="auto"/>
        <w:ind w:firstLine="420"/>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szCs w:val="21"/>
        </w:rPr>
        <w:t>分母项：平板玻璃产量。计量单位为重量箱。</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rFonts w:eastAsia="黑体"/>
          <w:bCs/>
          <w:szCs w:val="21"/>
        </w:rPr>
      </w:pPr>
      <w:r>
        <w:rPr>
          <w:rFonts w:eastAsia="黑体"/>
          <w:bCs/>
          <w:szCs w:val="21"/>
        </w:rPr>
        <w:t>钢铁工业有关概念</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rFonts w:eastAsia="黑体"/>
          <w:szCs w:val="21"/>
        </w:rPr>
      </w:pPr>
      <w:r>
        <w:rPr>
          <w:rFonts w:eastAsia="黑体"/>
          <w:szCs w:val="21"/>
        </w:rPr>
        <w:t>钢铁工业生产</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szCs w:val="21"/>
        </w:rPr>
      </w:pPr>
      <w:r>
        <w:rPr>
          <w:szCs w:val="21"/>
        </w:rPr>
        <w:t>指铁、铬、锰等黑色金属矿物的采选、人造块矿、铁合金冶炼、炼铁、炼钢、钢加工、钢丝及其制品、焦炭、耐火材料制品、碳素制品和为钢铁工业生产服务的运输、机修、动力等生产。 钢铁产品主要有：生铁、粗钢、钢材，生产的主要原材料有：铁矿石及各种辅助原料矿及其成品矿、人造块矿、铁合金、洗煤、焦炭、焦炉煤气及煤化工产品、耐火材料制品、碳素制品等，钢铁制品主要有：钢丝、钢丝绳、钢绞线、铁丝、铁钉等。</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rFonts w:eastAsia="黑体"/>
          <w:szCs w:val="21"/>
        </w:rPr>
      </w:pPr>
      <w:r>
        <w:rPr>
          <w:rFonts w:eastAsia="黑体"/>
          <w:szCs w:val="21"/>
        </w:rPr>
        <w:t>企业钢铁工业生产中自耗能源</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szCs w:val="21"/>
        </w:rPr>
      </w:pPr>
      <w:r>
        <w:rPr>
          <w:szCs w:val="21"/>
        </w:rPr>
        <w:t>指报告期内钢铁工业生产直接消耗的各种能源及其辅助生产系统、直接为钢铁工业生产服务的附属生产系统实际消耗的各种能源，不包括非钢铁工业生产消耗的能源和外销能源。</w:t>
      </w:r>
    </w:p>
    <w:p>
      <w:pPr>
        <w:keepNext w:val="0"/>
        <w:keepLines w:val="0"/>
        <w:pageBreakBefore w:val="0"/>
        <w:widowControl w:val="0"/>
        <w:kinsoku/>
        <w:wordWrap/>
        <w:overflowPunct/>
        <w:topLinePunct w:val="0"/>
        <w:autoSpaceDE/>
        <w:autoSpaceDN/>
        <w:bidi w:val="0"/>
        <w:adjustRightInd/>
        <w:snapToGrid/>
        <w:spacing w:line="303" w:lineRule="auto"/>
        <w:ind w:firstLine="420" w:firstLineChars="200"/>
        <w:textAlignment w:val="center"/>
        <w:rPr>
          <w:szCs w:val="21"/>
        </w:rPr>
      </w:pPr>
      <w:r>
        <w:rPr>
          <w:szCs w:val="21"/>
        </w:rPr>
        <w:t>企业钢铁工业生产中自耗能源量＝企业购入能源量＋期初库存量－期末库存量－非钢铁工业生产</w:t>
      </w:r>
    </w:p>
    <w:p>
      <w:pPr>
        <w:keepNext w:val="0"/>
        <w:keepLines w:val="0"/>
        <w:pageBreakBefore w:val="0"/>
        <w:widowControl w:val="0"/>
        <w:kinsoku/>
        <w:wordWrap/>
        <w:overflowPunct/>
        <w:topLinePunct w:val="0"/>
        <w:autoSpaceDE/>
        <w:autoSpaceDN/>
        <w:bidi w:val="0"/>
        <w:adjustRightInd/>
        <w:snapToGrid/>
        <w:spacing w:line="303" w:lineRule="auto"/>
        <w:ind w:firstLine="3570" w:firstLineChars="1700"/>
        <w:textAlignment w:val="center"/>
        <w:rPr>
          <w:szCs w:val="21"/>
        </w:rPr>
      </w:pPr>
      <w:r>
        <w:rPr>
          <w:szCs w:val="21"/>
        </w:rPr>
        <w:t>消耗的能源量－外销能源量＝企业钢铁工业生产各部位用能之</w:t>
      </w:r>
    </w:p>
    <w:p>
      <w:pPr>
        <w:keepNext w:val="0"/>
        <w:keepLines w:val="0"/>
        <w:pageBreakBefore w:val="0"/>
        <w:widowControl w:val="0"/>
        <w:kinsoku/>
        <w:wordWrap/>
        <w:overflowPunct/>
        <w:topLinePunct w:val="0"/>
        <w:autoSpaceDE/>
        <w:autoSpaceDN/>
        <w:bidi w:val="0"/>
        <w:adjustRightInd/>
        <w:snapToGrid/>
        <w:spacing w:line="303" w:lineRule="auto"/>
        <w:ind w:firstLine="3570" w:firstLineChars="1700"/>
        <w:textAlignment w:val="center"/>
        <w:rPr>
          <w:szCs w:val="21"/>
        </w:rPr>
      </w:pPr>
      <w:r>
        <w:rPr>
          <w:szCs w:val="21"/>
        </w:rPr>
        <w:t>和＋企业能源亏损量</w:t>
      </w:r>
    </w:p>
    <w:p>
      <w:pPr>
        <w:spacing w:line="312" w:lineRule="auto"/>
        <w:ind w:firstLine="420" w:firstLineChars="200"/>
        <w:textAlignment w:val="center"/>
        <w:rPr>
          <w:rFonts w:eastAsia="黑体"/>
          <w:szCs w:val="21"/>
        </w:rPr>
      </w:pPr>
      <w:r>
        <w:rPr>
          <w:rFonts w:eastAsia="黑体"/>
          <w:szCs w:val="21"/>
        </w:rPr>
        <w:t>企业外销能源量</w:t>
      </w:r>
    </w:p>
    <w:p>
      <w:pPr>
        <w:spacing w:line="312" w:lineRule="auto"/>
        <w:ind w:firstLine="420" w:firstLineChars="200"/>
        <w:textAlignment w:val="center"/>
        <w:rPr>
          <w:szCs w:val="21"/>
        </w:rPr>
      </w:pPr>
      <w:r>
        <w:rPr>
          <w:szCs w:val="21"/>
        </w:rPr>
        <w:t>指企业向外销售的购入能源、企业二次能源、下脚燃料及余热等。驻厂施工单位、独立核算的非工业生产单位和厂区（车间）以外的生活耗能（如服务公司、医院、学校、职工食堂等），凡有据可查的部分均可作为外销能源处理。</w:t>
      </w:r>
    </w:p>
    <w:p>
      <w:pPr>
        <w:spacing w:line="312" w:lineRule="auto"/>
        <w:ind w:firstLine="420" w:firstLineChars="200"/>
        <w:textAlignment w:val="center"/>
        <w:rPr>
          <w:rFonts w:eastAsia="黑体"/>
          <w:szCs w:val="21"/>
        </w:rPr>
      </w:pPr>
      <w:r>
        <w:rPr>
          <w:rFonts w:eastAsia="黑体"/>
          <w:szCs w:val="21"/>
        </w:rPr>
        <w:t>工序产品合格产出量</w:t>
      </w:r>
    </w:p>
    <w:p>
      <w:pPr>
        <w:spacing w:line="312" w:lineRule="auto"/>
        <w:ind w:firstLine="420" w:firstLineChars="200"/>
        <w:textAlignment w:val="center"/>
        <w:rPr>
          <w:szCs w:val="21"/>
        </w:rPr>
      </w:pPr>
      <w:r>
        <w:rPr>
          <w:szCs w:val="21"/>
        </w:rPr>
        <w:t>指企业某生产工序在报告期内生产、已结束本工序全部生产过程（不一定已结束本企业全部生产过程）、并符合产品质量要求的产品实物数量。包括订货者来料加工的产品，不包括委外加工生产的产品。</w:t>
      </w:r>
    </w:p>
    <w:p>
      <w:pPr>
        <w:spacing w:line="312" w:lineRule="auto"/>
        <w:ind w:firstLine="420" w:firstLineChars="200"/>
        <w:textAlignment w:val="center"/>
        <w:rPr>
          <w:rFonts w:eastAsia="黑体"/>
          <w:szCs w:val="21"/>
        </w:rPr>
      </w:pPr>
      <w:r>
        <w:rPr>
          <w:rFonts w:eastAsia="黑体"/>
          <w:szCs w:val="21"/>
        </w:rPr>
        <w:t>工序净耗能量</w:t>
      </w:r>
    </w:p>
    <w:p>
      <w:pPr>
        <w:spacing w:line="312" w:lineRule="auto"/>
        <w:ind w:firstLine="420" w:firstLineChars="200"/>
        <w:textAlignment w:val="center"/>
        <w:rPr>
          <w:szCs w:val="21"/>
        </w:rPr>
      </w:pPr>
      <w:r>
        <w:rPr>
          <w:szCs w:val="21"/>
        </w:rPr>
        <w:t>指企业内某工序（如铁矿采矿、铁矿选矿、人造块矿、炼铁、炼钢、钢加工、铁合金冶炼以及钢丝及其制品、焦炭、耐火材料制品、碳素制品生产）生产过程所消耗的各种能源量（包括主要生产系统、辅助生产系统以及直接为生产服务的附属生产系统所消耗的各种能源），扣除外供量。</w:t>
      </w:r>
    </w:p>
    <w:p>
      <w:pPr>
        <w:spacing w:line="312" w:lineRule="auto"/>
        <w:ind w:firstLine="420" w:firstLineChars="200"/>
        <w:textAlignment w:val="center"/>
        <w:rPr>
          <w:szCs w:val="21"/>
        </w:rPr>
      </w:pPr>
      <w:r>
        <w:rPr>
          <w:szCs w:val="21"/>
        </w:rPr>
        <w:t>工序净耗能量＝工序内各种能源消耗量之和－工序内能源外供量之和</w:t>
      </w:r>
    </w:p>
    <w:p>
      <w:pPr>
        <w:spacing w:line="312" w:lineRule="auto"/>
        <w:ind w:firstLine="420" w:firstLineChars="200"/>
        <w:textAlignment w:val="center"/>
        <w:rPr>
          <w:rFonts w:eastAsia="黑体"/>
          <w:szCs w:val="21"/>
        </w:rPr>
      </w:pPr>
      <w:r>
        <w:rPr>
          <w:rFonts w:eastAsia="黑体"/>
          <w:szCs w:val="21"/>
        </w:rPr>
        <w:t>钢铁生产的耗能工质</w:t>
      </w:r>
    </w:p>
    <w:p>
      <w:pPr>
        <w:spacing w:line="312" w:lineRule="auto"/>
        <w:ind w:firstLine="420" w:firstLineChars="200"/>
        <w:textAlignment w:val="center"/>
        <w:rPr>
          <w:szCs w:val="21"/>
        </w:rPr>
      </w:pPr>
      <w:r>
        <w:rPr>
          <w:szCs w:val="21"/>
        </w:rPr>
        <w:t>钢铁工业生产各有关工序单位能耗计算中，通常包含耗能工质的消耗。主要包括：水、氩气、氮气、氧气、蒸汽、压缩空气。</w:t>
      </w:r>
    </w:p>
    <w:p>
      <w:pPr>
        <w:spacing w:line="312" w:lineRule="auto"/>
        <w:ind w:firstLine="420" w:firstLineChars="200"/>
        <w:textAlignment w:val="center"/>
        <w:rPr>
          <w:rFonts w:eastAsia="黑体"/>
          <w:szCs w:val="21"/>
        </w:rPr>
      </w:pPr>
      <w:r>
        <w:rPr>
          <w:rFonts w:eastAsia="黑体"/>
          <w:szCs w:val="21"/>
        </w:rPr>
        <w:t>有关产品、原材料、能源的折标准量系数</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钢铁行业在计算工序单位能耗时，电力的折标系数按其热功当量折标系数0.1229千克标准煤/千瓦时计算，蒸汽按其热功当量系数0.03412千克标准煤/百万焦耳折算；氧气、氮气、氩气、水、压缩空气按其等价热量折算（千克标准煤/千克或立方米）；其他耗能介质的折标系数，有实测值的按实测值计算，没有实测值的按国家统计局公布的折标准煤参考系数计算。 </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等价热量：指为得到一个单位的能量（或物质），在其生产过程中所消耗的热量。如压缩空气的等价热量：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压缩空气的等价热量（千克标准煤/立方米）＝生产压缩空气能源自耗量（吨标准煤）/压缩空气生</w:t>
      </w:r>
    </w:p>
    <w:p>
      <w:pPr>
        <w:spacing w:line="312" w:lineRule="auto"/>
        <w:ind w:firstLine="4674" w:firstLineChars="2226"/>
        <w:textAlignment w:val="center"/>
        <w:rPr>
          <w:rFonts w:hint="default" w:asciiTheme="minorEastAsia" w:hAnsiTheme="minorEastAsia" w:eastAsiaTheme="minorEastAsia" w:cstheme="minorEastAsia"/>
          <w:bCs/>
          <w:lang w:val="en-US" w:eastAsia="zh-CN"/>
        </w:rPr>
      </w:pPr>
      <w:r>
        <w:rPr>
          <w:rFonts w:hint="eastAsia" w:asciiTheme="minorEastAsia" w:hAnsiTheme="minorEastAsia" w:eastAsiaTheme="minorEastAsia" w:cstheme="minorEastAsia"/>
          <w:szCs w:val="21"/>
        </w:rPr>
        <w:t>产量（立方米）×</w:t>
      </w:r>
      <w:r>
        <w:rPr>
          <w:rFonts w:hint="eastAsia" w:asciiTheme="minorEastAsia" w:hAnsiTheme="minorEastAsia" w:eastAsiaTheme="minorEastAsia" w:cstheme="minorEastAsia"/>
          <w:szCs w:val="21"/>
          <w:lang w:val="en-US" w:eastAsia="zh-CN"/>
        </w:rPr>
        <w:t>1000</w:t>
      </w:r>
    </w:p>
    <w:p>
      <w:pPr>
        <w:pStyle w:val="10"/>
        <w:spacing w:line="312" w:lineRule="auto"/>
        <w:ind w:firstLine="420" w:firstLineChars="200"/>
        <w:textAlignment w:val="center"/>
        <w:rPr>
          <w:rFonts w:ascii="Times New Roman" w:hAnsi="Times New Roman" w:eastAsia="黑体" w:cs="Times New Roman"/>
          <w:bCs/>
        </w:rPr>
      </w:pPr>
      <w:r>
        <w:rPr>
          <w:rFonts w:ascii="Times New Roman" w:hAnsi="Times New Roman" w:eastAsia="黑体" w:cs="Times New Roman"/>
          <w:bCs/>
        </w:rPr>
        <w:t>黑色金属（</w:t>
      </w:r>
      <w:r>
        <w:rPr>
          <w:rFonts w:hint="eastAsia" w:ascii="黑体" w:hAnsi="黑体" w:eastAsia="黑体" w:cs="黑体"/>
          <w:bCs/>
        </w:rPr>
        <w:t>31</w:t>
      </w:r>
      <w:r>
        <w:rPr>
          <w:rFonts w:ascii="Times New Roman" w:hAnsi="Times New Roman" w:eastAsia="黑体" w:cs="Times New Roman"/>
          <w:bCs/>
        </w:rPr>
        <w:t>）</w:t>
      </w:r>
    </w:p>
    <w:p>
      <w:pPr>
        <w:spacing w:line="312" w:lineRule="auto"/>
        <w:ind w:firstLine="420" w:firstLineChars="200"/>
        <w:textAlignment w:val="center"/>
        <w:rPr>
          <w:rFonts w:eastAsia="黑体"/>
          <w:szCs w:val="21"/>
        </w:rPr>
      </w:pPr>
      <w:r>
        <w:rPr>
          <w:rFonts w:eastAsia="黑体"/>
          <w:szCs w:val="21"/>
        </w:rPr>
        <w:t>吨钢综合能耗</w:t>
      </w:r>
    </w:p>
    <w:p>
      <w:pPr>
        <w:spacing w:line="312" w:lineRule="auto"/>
        <w:ind w:left="976" w:hanging="976" w:hangingChars="493"/>
        <w:textAlignment w:val="center"/>
        <w:rPr>
          <w:rFonts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　　计算公式：吨钢综合能耗（千克标准煤/吨）＝1000×企业净耗能源量（吨标准煤）/粗钢合格产出量（吨）</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子项：企业净耗能源量。指报告期内钢铁工业生产直接消耗的各种能源及其辅助生产系统、直接为钢铁工业生产服务的附属生产系统实际消耗的各种能源总量，不包括非钢铁工业生产消耗的能源量和外销能源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企业净耗能源量＝企业购入能源量+期初库存量－期末库存量－非钢铁工业生产消耗的能源量－外</w:t>
      </w:r>
    </w:p>
    <w:p>
      <w:pPr>
        <w:spacing w:line="312" w:lineRule="auto"/>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销能源量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钢铁工业生产，指铁、铬、锰等黑色金属矿物的采选、人造块矿、铁合金冶炼、炼铁、炼钢、钢加工、钢丝及其制品、焦炭、耐火材料制品、碳素制品和为钢铁工业生产服务的运输、机修、动力等生产。在这些之外的生产活动为非钢铁工业生产。</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企业外销能源量，指企业向外销售的购入能源、企业生产的二次能源、下脚燃料及余热等。驻厂施工单位、独立核算的非工业生产单位和厂区（车间）以外的生活耗能（如服务公司、医院、学校、职工食堂等），凡有据可查的部分均可作为外销能源处理。</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母项：粗钢合格产出量。指报告期内，企业完成了粗钢生产过程，并符合产品质量要求的模铸钢锭、连铸钢坯、铸造用液态钢（铸钢水）产出量之和，包括订货者来料加工生产的产品，不包括委外加工生产的产品。</w:t>
      </w:r>
    </w:p>
    <w:p>
      <w:pPr>
        <w:spacing w:line="312" w:lineRule="auto"/>
        <w:ind w:firstLine="420" w:firstLineChars="200"/>
        <w:textAlignment w:val="center"/>
        <w:rPr>
          <w:rFonts w:eastAsia="黑体"/>
          <w:szCs w:val="21"/>
        </w:rPr>
      </w:pPr>
      <w:r>
        <w:rPr>
          <w:rFonts w:eastAsia="黑体"/>
          <w:szCs w:val="21"/>
        </w:rPr>
        <w:t>吨钢耗电</w:t>
      </w:r>
    </w:p>
    <w:p>
      <w:pPr>
        <w:spacing w:line="312" w:lineRule="auto"/>
        <w:ind w:left="3788" w:leftChars="0" w:hanging="3788" w:hangingChars="1804"/>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计算公式：吨钢耗电（千瓦时/吨）＝10000×钢铁工业生产中净耗电总量（万千瓦时）/粗钢合格产出量（吨）</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分子项：钢铁工业生产中净耗电总量。包括报告期内生产直接消耗的各种电力及其辅助生产系统实际消耗的各种电力，即企业净耗的全部电量。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分母项：粗钢合格产出量。说明同上。</w:t>
      </w:r>
    </w:p>
    <w:p>
      <w:pPr>
        <w:spacing w:line="312" w:lineRule="auto"/>
        <w:ind w:firstLine="420" w:firstLineChars="200"/>
        <w:textAlignment w:val="center"/>
        <w:rPr>
          <w:rFonts w:eastAsia="黑体"/>
          <w:szCs w:val="21"/>
        </w:rPr>
      </w:pPr>
      <w:r>
        <w:rPr>
          <w:rFonts w:eastAsia="黑体"/>
          <w:szCs w:val="21"/>
        </w:rPr>
        <w:t>吨钢耗新水</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计算公式：吨钢耗新水（吨/吨）＝企业耗用新水量（吨）/粗钢合格产出量（吨）</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分子项：企业耗用新水量。指企业报告期内用新鲜水量，即直接取自“自来水”“地下水”“地表水”及其他外购水及水产品的数量。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钢铁联合企业的普通钢厂或特殊钢厂的新水取水量（新水量）供给范围，包括主要生产（含烧结、球团、焦化、炼铁、炼钢、轧钢、金属制品等）、辅助生产（含鼓风机站、氧气站、石灰窑、空压站、锅炉房、机修、电修、检化验、运输等）和附属生产（含厂部、科室、绿化、厂内食堂、厂区和车间浴室、保健站、厕所等）；不包括企业电厂用于发电的取水量（含电厂自用的化学水）、矿山选矿用水和外供水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不产粗钢的企业可以选定自己的主产品，参照本指标计算“吨产品耗新水”。</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分母项：粗钢合格产出量。说明同上。</w:t>
      </w:r>
    </w:p>
    <w:p>
      <w:pPr>
        <w:spacing w:line="312" w:lineRule="auto"/>
        <w:ind w:firstLine="420" w:firstLineChars="200"/>
        <w:textAlignment w:val="center"/>
        <w:rPr>
          <w:rFonts w:eastAsia="黑体"/>
          <w:szCs w:val="21"/>
        </w:rPr>
      </w:pPr>
      <w:r>
        <w:rPr>
          <w:rFonts w:eastAsia="黑体"/>
          <w:szCs w:val="21"/>
        </w:rPr>
        <w:t>铁矿烧结工序单位能耗</w:t>
      </w:r>
    </w:p>
    <w:p>
      <w:pPr>
        <w:spacing w:line="312" w:lineRule="auto"/>
        <w:ind w:left="5468" w:leftChars="0" w:hanging="5468" w:hangingChars="2604"/>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计算公式：铁矿烧结工序单位能耗（千克标准煤/吨）＝1000×烧结矿工序净耗能量 （吨标准煤）/烧结矿产出量（吨）</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分子项：烧结矿工序净耗能量。包括配料中用的焦粉、煤粉，点火和焙烧中用的燃油、煤气（包括为保持水分稳定所进行的烘干作业所耗的煤气）和生产中用的电力等，扣除外供量。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分母项：烧结矿产出量。</w:t>
      </w:r>
    </w:p>
    <w:p>
      <w:pPr>
        <w:spacing w:line="312" w:lineRule="auto"/>
        <w:ind w:firstLine="420" w:firstLineChars="200"/>
        <w:textAlignment w:val="center"/>
        <w:rPr>
          <w:rFonts w:eastAsia="黑体"/>
          <w:szCs w:val="21"/>
        </w:rPr>
      </w:pPr>
      <w:r>
        <w:rPr>
          <w:rFonts w:eastAsia="黑体"/>
          <w:szCs w:val="21"/>
        </w:rPr>
        <w:t>炼铁工序单位能耗</w:t>
      </w:r>
    </w:p>
    <w:p>
      <w:pPr>
        <w:spacing w:line="312" w:lineRule="auto"/>
        <w:ind w:left="5145" w:hanging="5145" w:hangingChars="245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计算公式：炼铁工序单位能耗（千克标准煤/吨）＝1000×炼铁工序净耗能量（吨标准煤）/生铁合格产出量（吨）</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分子项：炼铁工序净耗能量。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炼铁工序净耗能量＝炼铁工序内各种能源消耗量之和－炼铁工序能源外供量之和</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分母项：生铁合格产出量。</w:t>
      </w:r>
    </w:p>
    <w:p>
      <w:pPr>
        <w:spacing w:line="312" w:lineRule="auto"/>
        <w:ind w:firstLine="420" w:firstLineChars="200"/>
        <w:textAlignment w:val="center"/>
        <w:rPr>
          <w:rFonts w:eastAsia="黑体"/>
          <w:szCs w:val="21"/>
        </w:rPr>
      </w:pPr>
      <w:r>
        <w:rPr>
          <w:rFonts w:eastAsia="黑体"/>
          <w:szCs w:val="21"/>
        </w:rPr>
        <w:t>转炉炼钢综合工序单位能耗</w:t>
      </w:r>
    </w:p>
    <w:p>
      <w:pPr>
        <w:spacing w:line="312" w:lineRule="auto"/>
        <w:ind w:left="5460" w:hanging="5460" w:hangingChars="26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计算公式：转炉炼钢综合工序单位能耗（千克标准煤/吨）＝1000×转炉炼钢综合工序净耗能量（吨</w:t>
      </w:r>
    </w:p>
    <w:p>
      <w:pPr>
        <w:spacing w:line="312" w:lineRule="auto"/>
        <w:ind w:firstLine="67" w:firstLineChars="32"/>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标准煤）/转炉钢合格产出量（吨）</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子项：转炉炼钢综合工序净耗能量。指从原料进厂到钢锭、连铸钢坯、铸造用液态钢（铸钢水）出厂的整个炼钢工序过程，包括铁水预处理、转炉冶炼、二次冶金（精炼）、连铸和铸锭精整、产品出厂等全过程的能源消耗量，扣除炼钢工序外供能源量。</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分母项：转炉钢合格产出量。</w:t>
      </w:r>
    </w:p>
    <w:p>
      <w:pPr>
        <w:spacing w:line="312" w:lineRule="auto"/>
        <w:ind w:firstLine="420" w:firstLineChars="200"/>
        <w:textAlignment w:val="center"/>
        <w:rPr>
          <w:rFonts w:eastAsia="黑体"/>
          <w:szCs w:val="21"/>
        </w:rPr>
      </w:pPr>
      <w:r>
        <w:rPr>
          <w:rFonts w:eastAsia="黑体"/>
          <w:szCs w:val="21"/>
        </w:rPr>
        <w:t>电炉炼钢综合工序单位能耗</w:t>
      </w:r>
    </w:p>
    <w:p>
      <w:pPr>
        <w:spacing w:line="312" w:lineRule="auto"/>
        <w:ind w:left="5565" w:hanging="5565" w:hangingChars="265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计算公式：电炉炼钢综合工序单位能耗（千克标准煤/吨）＝1000×电炉炼钢综合工序净耗能量（吨</w:t>
      </w:r>
    </w:p>
    <w:p>
      <w:pPr>
        <w:spacing w:line="312" w:lineRule="auto"/>
        <w:ind w:left="21" w:hanging="21" w:hangingChars="1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标准煤）/电炉钢合格产出量（吨）</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子项：电炉炼钢综合工序净耗能量。指从原料进厂到钢锭、连铸钢坯、铸造用液态钢（铸钢水）出厂的整个炼钢工序过程，包括：废钢预热和处理、原材料的烘烤、干燥（包括石灰的二次烘烤、耐火材料及粉状材料的干燥、铁合金的烘烤等），电炉冶炼（包括熔炼、洗炉、液渣保护等），二次冶金（炉外精炼、炉外处理等），连铸和铸锭精整等的能源消耗量，不是仅指电炉冶炼。</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分母项：电炉钢合格产出量。</w:t>
      </w:r>
    </w:p>
    <w:p>
      <w:pPr>
        <w:spacing w:line="312" w:lineRule="auto"/>
        <w:ind w:firstLine="420" w:firstLineChars="200"/>
        <w:textAlignment w:val="center"/>
        <w:rPr>
          <w:rFonts w:eastAsia="黑体"/>
          <w:szCs w:val="21"/>
        </w:rPr>
      </w:pPr>
      <w:r>
        <w:rPr>
          <w:rFonts w:eastAsia="黑体"/>
          <w:szCs w:val="21"/>
        </w:rPr>
        <w:t>电炉炼钢综合电力消耗</w:t>
      </w:r>
    </w:p>
    <w:p>
      <w:pPr>
        <w:spacing w:line="312" w:lineRule="auto"/>
        <w:ind w:left="4725" w:hanging="4725" w:hangingChars="225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计算公式：电炉炼钢综合电力消耗（千瓦时/吨）＝10000×电炉炼钢综合电力净消耗量（万千瓦时）</w:t>
      </w:r>
    </w:p>
    <w:p>
      <w:pPr>
        <w:spacing w:line="312" w:lineRule="auto"/>
        <w:ind w:left="4725" w:hanging="4725" w:hangingChars="225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/电炉钢合格产出量（吨） </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子项：电炉炼钢综合电力净耗量。指从原料进厂到钢锭、连铸钢坯、铸造用液态钢（铸钢水）出厂的整个炼钢工序过程，包括：废钢预热和处理、原材料的烘烤、干燥（包括石灰的二次烘烤、耐火材料及粉状材料的干燥、铁合金的烘烤等），电炉冶炼（包括熔炼、洗炉、液渣保护等），二次冶金（炉外精炼、炉外处理等），连铸和铸锭精整等的电力消耗量，不是仅指电弧炉冶炼耗电。</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分母项：电炉钢合格产出量。</w:t>
      </w:r>
    </w:p>
    <w:p>
      <w:pPr>
        <w:spacing w:line="312" w:lineRule="auto"/>
        <w:ind w:firstLine="420" w:firstLineChars="200"/>
        <w:textAlignment w:val="center"/>
        <w:rPr>
          <w:rFonts w:eastAsia="黑体"/>
          <w:szCs w:val="21"/>
        </w:rPr>
      </w:pPr>
      <w:r>
        <w:rPr>
          <w:rFonts w:eastAsia="黑体"/>
          <w:szCs w:val="21"/>
        </w:rPr>
        <w:t>轧钢工序单位能耗</w:t>
      </w:r>
    </w:p>
    <w:p>
      <w:pPr>
        <w:spacing w:line="312" w:lineRule="auto"/>
        <w:ind w:left="5145" w:hanging="5145" w:hangingChars="245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计算公式：轧钢工序单位能耗（千克标准煤/吨）＝1000×轧钢工序净耗能量（吨标准煤）/企业最终钢材产品合格产出量（吨）</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分子项：轧钢工序净耗能量。指包括热压延加工、冷压延加工、焊接加工、镀涂层加工等钢材生产的各个环节所消耗的净能量。</w:t>
      </w:r>
    </w:p>
    <w:p>
      <w:pPr>
        <w:spacing w:line="312" w:lineRule="auto"/>
        <w:ind w:firstLine="420" w:firstLineChars="200"/>
        <w:textAlignment w:val="center"/>
        <w:rPr>
          <w:szCs w:val="21"/>
        </w:rPr>
      </w:pPr>
      <w:r>
        <w:rPr>
          <w:szCs w:val="21"/>
        </w:rPr>
        <w:t>分母项：企业最终钢材产品合格产出量。轧钢包括的种类主要有：线材（盘条）、特厚板、厚钢板、中板、热轧薄板、冷轧薄板、中厚宽钢带、热轧薄宽钢带、冷轧薄宽钢带、热轧窄钢带、冷轧窄钢带等。</w:t>
      </w:r>
    </w:p>
    <w:p>
      <w:pPr>
        <w:spacing w:line="312" w:lineRule="auto"/>
        <w:ind w:firstLine="420" w:firstLineChars="200"/>
        <w:textAlignment w:val="center"/>
        <w:rPr>
          <w:rFonts w:eastAsia="黑体"/>
          <w:szCs w:val="21"/>
        </w:rPr>
      </w:pPr>
      <w:r>
        <w:rPr>
          <w:rFonts w:eastAsia="黑体"/>
          <w:szCs w:val="21"/>
        </w:rPr>
        <w:t>轧钢工序单位电力消耗</w:t>
      </w:r>
    </w:p>
    <w:p>
      <w:pPr>
        <w:spacing w:line="312" w:lineRule="auto"/>
        <w:ind w:left="4662" w:hanging="4662" w:hangingChars="2220"/>
        <w:textAlignment w:val="center"/>
        <w:rPr>
          <w:szCs w:val="21"/>
        </w:rPr>
      </w:pPr>
      <w:r>
        <w:rPr>
          <w:rFonts w:hint="eastAsia"/>
          <w:szCs w:val="21"/>
        </w:rPr>
        <w:t>　　</w:t>
      </w:r>
      <w:r>
        <w:rPr>
          <w:szCs w:val="21"/>
        </w:rPr>
        <w:t>计算公式：轧钢工序单位电力消耗（千瓦时/吨）</w:t>
      </w:r>
      <w:r>
        <w:rPr>
          <w:rFonts w:hint="eastAsia" w:asciiTheme="minorEastAsia" w:hAnsiTheme="minorEastAsia" w:eastAsiaTheme="minorEastAsia" w:cstheme="minorEastAsia"/>
          <w:szCs w:val="21"/>
        </w:rPr>
        <w:t>＝10000×</w:t>
      </w:r>
      <w:r>
        <w:rPr>
          <w:szCs w:val="21"/>
        </w:rPr>
        <w:t>轧钢工序电力净消耗量（万千瓦时）/ 企</w:t>
      </w:r>
    </w:p>
    <w:p>
      <w:pPr>
        <w:spacing w:line="312" w:lineRule="auto"/>
        <w:ind w:left="4662" w:hanging="4662" w:hangingChars="2220"/>
        <w:textAlignment w:val="center"/>
        <w:rPr>
          <w:szCs w:val="21"/>
        </w:rPr>
      </w:pPr>
      <w:r>
        <w:rPr>
          <w:rFonts w:hint="eastAsia"/>
          <w:szCs w:val="21"/>
        </w:rPr>
        <w:t>　　　　　　　　　　　　　　　　　　　　　　　　</w:t>
      </w:r>
      <w:r>
        <w:rPr>
          <w:szCs w:val="21"/>
        </w:rPr>
        <w:t>业最终钢材产品合格产出量（吨）</w:t>
      </w:r>
    </w:p>
    <w:p>
      <w:pPr>
        <w:spacing w:line="312" w:lineRule="auto"/>
        <w:ind w:firstLine="420" w:firstLineChars="200"/>
        <w:textAlignment w:val="center"/>
        <w:rPr>
          <w:szCs w:val="21"/>
        </w:rPr>
      </w:pPr>
      <w:r>
        <w:rPr>
          <w:szCs w:val="21"/>
        </w:rPr>
        <w:t>分子项：轧钢工序电力消耗量。指钢材生产过程的全部用电量，其中包括热处理、压缩空气、氮气、蒸汽、氢气、冷却水等介质系统的用电，但不包括大修理及非生产用电。</w:t>
      </w:r>
    </w:p>
    <w:p>
      <w:pPr>
        <w:spacing w:line="312" w:lineRule="auto"/>
        <w:ind w:firstLine="420" w:firstLineChars="200"/>
        <w:textAlignment w:val="center"/>
        <w:rPr>
          <w:szCs w:val="21"/>
        </w:rPr>
      </w:pPr>
      <w:r>
        <w:rPr>
          <w:szCs w:val="21"/>
        </w:rPr>
        <w:t>分母项：企业最终钢材产品合格产出量。轧钢类型同上。</w:t>
      </w:r>
    </w:p>
    <w:p>
      <w:pPr>
        <w:spacing w:line="312" w:lineRule="auto"/>
        <w:ind w:firstLine="420" w:firstLineChars="200"/>
        <w:textAlignment w:val="center"/>
        <w:rPr>
          <w:rFonts w:eastAsia="黑体"/>
          <w:szCs w:val="21"/>
        </w:rPr>
      </w:pPr>
      <w:r>
        <w:rPr>
          <w:rFonts w:eastAsia="黑体"/>
          <w:szCs w:val="21"/>
        </w:rPr>
        <w:t>硅铁工序单位能耗</w:t>
      </w:r>
    </w:p>
    <w:p>
      <w:pPr>
        <w:spacing w:line="312" w:lineRule="auto"/>
        <w:ind w:left="5565" w:hanging="5565" w:hangingChars="2650"/>
        <w:textAlignment w:val="center"/>
        <w:rPr>
          <w:szCs w:val="21"/>
        </w:rPr>
      </w:pPr>
      <w:r>
        <w:rPr>
          <w:rFonts w:hint="eastAsia"/>
          <w:szCs w:val="21"/>
        </w:rPr>
        <w:t>　　</w:t>
      </w:r>
      <w:r>
        <w:rPr>
          <w:szCs w:val="21"/>
        </w:rPr>
        <w:t>计算公式：硅铁工序单位能耗（千克标准煤/标准吨）</w:t>
      </w:r>
      <w:r>
        <w:rPr>
          <w:rFonts w:hint="eastAsia" w:asciiTheme="minorEastAsia" w:hAnsiTheme="minorEastAsia" w:eastAsiaTheme="minorEastAsia" w:cstheme="minorEastAsia"/>
          <w:szCs w:val="21"/>
        </w:rPr>
        <w:t>＝1000×</w:t>
      </w:r>
      <w:r>
        <w:rPr>
          <w:szCs w:val="21"/>
        </w:rPr>
        <w:t>硅铁工序净耗能量（吨标准煤）/硅铁合格产品标准量（标准吨）</w:t>
      </w:r>
    </w:p>
    <w:p>
      <w:pPr>
        <w:spacing w:line="312" w:lineRule="auto"/>
        <w:ind w:firstLine="420" w:firstLineChars="200"/>
        <w:textAlignment w:val="center"/>
        <w:rPr>
          <w:szCs w:val="21"/>
        </w:rPr>
      </w:pPr>
      <w:r>
        <w:rPr>
          <w:szCs w:val="21"/>
        </w:rPr>
        <w:t>分子项：硅铁工序净耗能量。指硅铁工序中的能耗量。</w:t>
      </w:r>
    </w:p>
    <w:p>
      <w:pPr>
        <w:spacing w:line="312" w:lineRule="auto"/>
        <w:ind w:firstLine="420" w:firstLineChars="200"/>
        <w:textAlignment w:val="center"/>
        <w:rPr>
          <w:szCs w:val="21"/>
        </w:rPr>
      </w:pPr>
      <w:r>
        <w:rPr>
          <w:szCs w:val="21"/>
        </w:rPr>
        <w:t>分母项：硅铁合格产品标准量。指硅铁按</w:t>
      </w:r>
      <w:r>
        <w:rPr>
          <w:rFonts w:hint="eastAsia" w:asciiTheme="minorEastAsia" w:hAnsiTheme="minorEastAsia" w:eastAsiaTheme="minorEastAsia" w:cstheme="minorEastAsia"/>
          <w:szCs w:val="21"/>
        </w:rPr>
        <w:t>含硅75%的标</w:t>
      </w:r>
      <w:r>
        <w:rPr>
          <w:szCs w:val="21"/>
        </w:rPr>
        <w:t>准折算为标准吨。</w:t>
      </w:r>
    </w:p>
    <w:p>
      <w:pPr>
        <w:spacing w:line="312" w:lineRule="auto"/>
        <w:ind w:firstLine="420" w:firstLineChars="200"/>
        <w:textAlignment w:val="center"/>
        <w:rPr>
          <w:rFonts w:eastAsia="黑体"/>
          <w:szCs w:val="21"/>
        </w:rPr>
      </w:pPr>
      <w:r>
        <w:rPr>
          <w:rFonts w:eastAsia="黑体"/>
          <w:szCs w:val="21"/>
        </w:rPr>
        <w:t>硅铁单位电耗</w:t>
      </w:r>
    </w:p>
    <w:p>
      <w:pPr>
        <w:spacing w:line="312" w:lineRule="auto"/>
        <w:ind w:left="4725" w:hanging="4725" w:hangingChars="2250"/>
        <w:textAlignment w:val="center"/>
        <w:rPr>
          <w:szCs w:val="21"/>
        </w:rPr>
      </w:pPr>
      <w:r>
        <w:rPr>
          <w:rFonts w:hint="eastAsia"/>
          <w:szCs w:val="21"/>
        </w:rPr>
        <w:t>　　</w:t>
      </w:r>
      <w:r>
        <w:rPr>
          <w:szCs w:val="21"/>
        </w:rPr>
        <w:t>计算公式：硅铁单位电耗（千瓦时/标准吨）</w:t>
      </w:r>
      <w:r>
        <w:rPr>
          <w:rFonts w:hint="eastAsia" w:asciiTheme="minorEastAsia" w:hAnsiTheme="minorEastAsia" w:eastAsiaTheme="minorEastAsia" w:cstheme="minorEastAsia"/>
          <w:szCs w:val="21"/>
        </w:rPr>
        <w:t>＝10000×硅铁</w:t>
      </w:r>
      <w:r>
        <w:rPr>
          <w:szCs w:val="21"/>
        </w:rPr>
        <w:t>冶炼总耗电量（万千瓦时）/ 硅铁合格产品标准量（标准吨）</w:t>
      </w:r>
    </w:p>
    <w:p>
      <w:pPr>
        <w:spacing w:line="312" w:lineRule="auto"/>
        <w:ind w:firstLine="420" w:firstLineChars="200"/>
        <w:textAlignment w:val="center"/>
        <w:rPr>
          <w:szCs w:val="21"/>
        </w:rPr>
      </w:pPr>
      <w:r>
        <w:rPr>
          <w:szCs w:val="21"/>
        </w:rPr>
        <w:t>分子项：硅铁冶炼总耗电量。指硅铁工序中的电力消耗量，包括产品冶炼过程用电和生产时的烘炉用电、洗炉用电、动力用电、照明用电等。</w:t>
      </w:r>
    </w:p>
    <w:p>
      <w:pPr>
        <w:spacing w:line="312" w:lineRule="auto"/>
        <w:ind w:firstLine="420" w:firstLineChars="200"/>
        <w:textAlignment w:val="center"/>
        <w:rPr>
          <w:szCs w:val="21"/>
        </w:rPr>
      </w:pPr>
      <w:r>
        <w:rPr>
          <w:szCs w:val="21"/>
        </w:rPr>
        <w:t>分母项：硅铁合格产品标准量。硅铁按</w:t>
      </w:r>
      <w:r>
        <w:rPr>
          <w:rFonts w:hint="eastAsia" w:asciiTheme="minorEastAsia" w:hAnsiTheme="minorEastAsia" w:eastAsiaTheme="minorEastAsia" w:cstheme="minorEastAsia"/>
          <w:szCs w:val="21"/>
        </w:rPr>
        <w:t>含硅75%的标</w:t>
      </w:r>
      <w:r>
        <w:rPr>
          <w:szCs w:val="21"/>
        </w:rPr>
        <w:t>准折算为标准吨。</w:t>
      </w:r>
    </w:p>
    <w:p>
      <w:pPr>
        <w:spacing w:line="312" w:lineRule="auto"/>
        <w:ind w:firstLine="420" w:firstLineChars="200"/>
        <w:textAlignment w:val="center"/>
        <w:rPr>
          <w:rFonts w:eastAsia="黑体"/>
          <w:szCs w:val="21"/>
        </w:rPr>
      </w:pPr>
      <w:r>
        <w:rPr>
          <w:rFonts w:eastAsia="黑体"/>
          <w:szCs w:val="21"/>
        </w:rPr>
        <w:t>锰硅合金工序单位能耗</w:t>
      </w:r>
    </w:p>
    <w:p>
      <w:pPr>
        <w:spacing w:line="312" w:lineRule="auto"/>
        <w:ind w:left="5353" w:hanging="5353" w:hangingChars="2650"/>
        <w:textAlignment w:val="center"/>
        <w:rPr>
          <w:spacing w:val="-4"/>
          <w:szCs w:val="21"/>
        </w:rPr>
      </w:pPr>
      <w:r>
        <w:rPr>
          <w:rFonts w:hint="eastAsia"/>
          <w:spacing w:val="-4"/>
          <w:szCs w:val="21"/>
        </w:rPr>
        <w:t>　　</w:t>
      </w:r>
      <w:r>
        <w:rPr>
          <w:spacing w:val="-4"/>
          <w:szCs w:val="21"/>
        </w:rPr>
        <w:t>计算公式：锰硅合金工序单位能耗（千克标准煤/标准</w:t>
      </w:r>
      <w:r>
        <w:rPr>
          <w:rFonts w:hint="eastAsia" w:asciiTheme="minorEastAsia" w:hAnsiTheme="minorEastAsia" w:eastAsiaTheme="minorEastAsia" w:cstheme="minorEastAsia"/>
          <w:szCs w:val="21"/>
        </w:rPr>
        <w:t>吨）＝1000×锰</w:t>
      </w:r>
      <w:r>
        <w:rPr>
          <w:spacing w:val="-4"/>
          <w:szCs w:val="21"/>
        </w:rPr>
        <w:t>硅合金工序净耗能量（吨标准煤）</w:t>
      </w:r>
    </w:p>
    <w:p>
      <w:pPr>
        <w:spacing w:line="312" w:lineRule="auto"/>
        <w:ind w:left="5353" w:hanging="5353" w:hangingChars="2650"/>
        <w:textAlignment w:val="center"/>
        <w:rPr>
          <w:spacing w:val="-4"/>
          <w:szCs w:val="21"/>
        </w:rPr>
      </w:pPr>
      <w:r>
        <w:rPr>
          <w:rFonts w:hint="eastAsia"/>
          <w:spacing w:val="-4"/>
          <w:szCs w:val="21"/>
        </w:rPr>
        <w:t>　　　　　　　　　　　　　　　　　　　　　　　　　　　　</w:t>
      </w:r>
      <w:r>
        <w:rPr>
          <w:spacing w:val="-4"/>
          <w:szCs w:val="21"/>
        </w:rPr>
        <w:t>/锰硅合金合格产品标准量（标准吨）</w:t>
      </w:r>
    </w:p>
    <w:p>
      <w:pPr>
        <w:spacing w:line="312" w:lineRule="auto"/>
        <w:ind w:firstLine="420" w:firstLineChars="200"/>
        <w:textAlignment w:val="center"/>
        <w:rPr>
          <w:szCs w:val="21"/>
        </w:rPr>
      </w:pPr>
      <w:r>
        <w:rPr>
          <w:szCs w:val="21"/>
        </w:rPr>
        <w:t>分子项：锰硅合金工序净耗能量。指锰硅合金冶炼工序中的能耗量。</w:t>
      </w:r>
    </w:p>
    <w:p>
      <w:pPr>
        <w:spacing w:line="312" w:lineRule="auto"/>
        <w:ind w:firstLine="420" w:firstLineChars="200"/>
        <w:textAlignment w:val="center"/>
        <w:rPr>
          <w:szCs w:val="21"/>
        </w:rPr>
      </w:pPr>
      <w:r>
        <w:rPr>
          <w:szCs w:val="21"/>
        </w:rPr>
        <w:t>分母项：锰硅合金合格产品标准量。锰硅合金按</w:t>
      </w:r>
      <w:r>
        <w:rPr>
          <w:rFonts w:hint="eastAsia" w:asciiTheme="minorEastAsia" w:hAnsiTheme="minorEastAsia" w:eastAsiaTheme="minorEastAsia" w:cstheme="minorEastAsia"/>
          <w:szCs w:val="21"/>
        </w:rPr>
        <w:t>硅+锰＝82%的</w:t>
      </w:r>
      <w:r>
        <w:rPr>
          <w:szCs w:val="21"/>
        </w:rPr>
        <w:t>标准折算。</w:t>
      </w:r>
    </w:p>
    <w:p>
      <w:pPr>
        <w:spacing w:line="312" w:lineRule="auto"/>
        <w:ind w:firstLine="420" w:firstLineChars="200"/>
        <w:textAlignment w:val="center"/>
        <w:rPr>
          <w:rFonts w:eastAsia="黑体"/>
          <w:szCs w:val="21"/>
        </w:rPr>
      </w:pPr>
      <w:r>
        <w:rPr>
          <w:rFonts w:eastAsia="黑体"/>
          <w:szCs w:val="21"/>
        </w:rPr>
        <w:t>锰硅合金单位电耗</w:t>
      </w:r>
    </w:p>
    <w:p>
      <w:pPr>
        <w:spacing w:line="312" w:lineRule="auto"/>
        <w:ind w:left="5250" w:leftChars="0" w:hanging="5250" w:hangingChars="2500"/>
        <w:textAlignment w:val="center"/>
        <w:rPr>
          <w:szCs w:val="21"/>
        </w:rPr>
      </w:pPr>
      <w:r>
        <w:rPr>
          <w:rFonts w:hint="eastAsia"/>
          <w:szCs w:val="21"/>
        </w:rPr>
        <w:t>　　</w:t>
      </w:r>
      <w:r>
        <w:rPr>
          <w:szCs w:val="21"/>
        </w:rPr>
        <w:t>计算公式：锰硅合金单位电耗（千瓦时/标准</w:t>
      </w:r>
      <w:r>
        <w:rPr>
          <w:rFonts w:hint="eastAsia" w:asciiTheme="minorEastAsia" w:hAnsiTheme="minorEastAsia" w:eastAsiaTheme="minorEastAsia" w:cstheme="minorEastAsia"/>
          <w:szCs w:val="21"/>
        </w:rPr>
        <w:t>吨）＝10000×锰硅</w:t>
      </w:r>
      <w:r>
        <w:rPr>
          <w:szCs w:val="21"/>
        </w:rPr>
        <w:t>合金冶炼总耗电量（万千瓦时）/锰硅合金合格产品标准量（标准吨）</w:t>
      </w:r>
    </w:p>
    <w:p>
      <w:pPr>
        <w:spacing w:line="312" w:lineRule="auto"/>
        <w:ind w:firstLine="420" w:firstLineChars="200"/>
        <w:textAlignment w:val="center"/>
        <w:rPr>
          <w:szCs w:val="21"/>
        </w:rPr>
      </w:pPr>
      <w:r>
        <w:rPr>
          <w:szCs w:val="21"/>
        </w:rPr>
        <w:t>分子项：锰硅合金冶炼总耗电量。指硅锰合金冶炼工序中电力消耗量。电力消耗量包括产品冶炼过程电和生产时的烘炉电、洗炉电、动力电、照明电等。</w:t>
      </w:r>
    </w:p>
    <w:p>
      <w:pPr>
        <w:spacing w:line="312" w:lineRule="auto"/>
        <w:ind w:firstLine="420" w:firstLineChars="200"/>
        <w:textAlignment w:val="center"/>
        <w:rPr>
          <w:rFonts w:eastAsia="黑体"/>
          <w:bCs/>
        </w:rPr>
      </w:pPr>
      <w:r>
        <w:rPr>
          <w:szCs w:val="21"/>
        </w:rPr>
        <w:t>分母项：锰硅合金合格产品标准量。锰硅合金按硅</w:t>
      </w:r>
      <w:r>
        <w:rPr>
          <w:rFonts w:hint="eastAsia" w:asciiTheme="minorEastAsia" w:hAnsiTheme="minorEastAsia" w:eastAsiaTheme="minorEastAsia" w:cstheme="minorEastAsia"/>
          <w:szCs w:val="21"/>
        </w:rPr>
        <w:t>+锰＝82%的标</w:t>
      </w:r>
      <w:r>
        <w:rPr>
          <w:szCs w:val="21"/>
        </w:rPr>
        <w:t>准折算。</w:t>
      </w:r>
    </w:p>
    <w:p>
      <w:pPr>
        <w:pStyle w:val="10"/>
        <w:spacing w:line="312" w:lineRule="auto"/>
        <w:ind w:firstLine="420" w:firstLineChars="200"/>
        <w:textAlignment w:val="center"/>
        <w:rPr>
          <w:rFonts w:ascii="Times New Roman" w:hAnsi="Times New Roman" w:eastAsia="黑体" w:cs="Times New Roman"/>
          <w:bCs/>
        </w:rPr>
      </w:pPr>
      <w:r>
        <w:rPr>
          <w:rFonts w:ascii="Times New Roman" w:hAnsi="Times New Roman" w:eastAsia="黑体" w:cs="Times New Roman"/>
          <w:bCs/>
        </w:rPr>
        <w:t>铜（</w:t>
      </w:r>
      <w:r>
        <w:rPr>
          <w:rFonts w:hint="eastAsia" w:ascii="黑体" w:hAnsi="黑体" w:eastAsia="黑体" w:cs="黑体"/>
          <w:bCs/>
        </w:rPr>
        <w:t>32</w:t>
      </w:r>
      <w:r>
        <w:rPr>
          <w:rFonts w:ascii="Times New Roman" w:hAnsi="Times New Roman" w:eastAsia="黑体" w:cs="Times New Roman"/>
          <w:bCs/>
        </w:rPr>
        <w:t>）</w:t>
      </w:r>
    </w:p>
    <w:p>
      <w:pPr>
        <w:spacing w:line="312" w:lineRule="auto"/>
        <w:ind w:firstLine="420" w:firstLineChars="200"/>
        <w:textAlignment w:val="center"/>
        <w:rPr>
          <w:rFonts w:eastAsia="黑体"/>
          <w:szCs w:val="21"/>
        </w:rPr>
      </w:pPr>
      <w:r>
        <w:rPr>
          <w:rFonts w:eastAsia="黑体"/>
          <w:szCs w:val="21"/>
        </w:rPr>
        <w:t>单位粗铜综合能耗</w:t>
      </w:r>
    </w:p>
    <w:p>
      <w:pPr>
        <w:spacing w:line="312" w:lineRule="auto"/>
        <w:ind w:left="4725" w:hanging="4725" w:hangingChars="2250"/>
        <w:textAlignment w:val="center"/>
        <w:rPr>
          <w:szCs w:val="21"/>
        </w:rPr>
      </w:pPr>
      <w:r>
        <w:rPr>
          <w:rFonts w:hint="eastAsia"/>
          <w:szCs w:val="21"/>
        </w:rPr>
        <w:t>　　</w:t>
      </w:r>
      <w:r>
        <w:rPr>
          <w:szCs w:val="21"/>
        </w:rPr>
        <w:t>计算公式：单位粗铜综合能耗（千克标准</w:t>
      </w:r>
      <w:r>
        <w:rPr>
          <w:rFonts w:hint="eastAsia" w:asciiTheme="minorEastAsia" w:hAnsiTheme="minorEastAsia" w:eastAsiaTheme="minorEastAsia" w:cstheme="minorEastAsia"/>
          <w:szCs w:val="21"/>
        </w:rPr>
        <w:t>煤/吨）＝1000×矿产粗</w:t>
      </w:r>
      <w:r>
        <w:rPr>
          <w:szCs w:val="21"/>
        </w:rPr>
        <w:t>铜综合能源消费量（吨标准煤）/</w:t>
      </w:r>
    </w:p>
    <w:p>
      <w:pPr>
        <w:spacing w:line="312" w:lineRule="auto"/>
        <w:ind w:left="4725" w:hanging="4725" w:hangingChars="2250"/>
        <w:textAlignment w:val="center"/>
        <w:rPr>
          <w:szCs w:val="21"/>
        </w:rPr>
      </w:pPr>
      <w:r>
        <w:rPr>
          <w:rFonts w:hint="eastAsia"/>
          <w:szCs w:val="21"/>
        </w:rPr>
        <w:t xml:space="preserve">　　　　　　　　　　　　　　　　　　　　　　　　 </w:t>
      </w:r>
      <w:r>
        <w:rPr>
          <w:szCs w:val="21"/>
        </w:rPr>
        <w:t>矿产粗铜产量（吨）</w:t>
      </w:r>
    </w:p>
    <w:p>
      <w:pPr>
        <w:spacing w:line="312" w:lineRule="auto"/>
        <w:ind w:firstLine="420" w:firstLineChars="200"/>
        <w:textAlignment w:val="center"/>
        <w:rPr>
          <w:szCs w:val="21"/>
        </w:rPr>
      </w:pPr>
      <w:r>
        <w:rPr>
          <w:szCs w:val="21"/>
        </w:rPr>
        <w:t>分子项：矿产粗铜综合能源消费量。指从处理铜精矿到产出粗铜所消耗的能源总量。</w:t>
      </w:r>
    </w:p>
    <w:p>
      <w:pPr>
        <w:spacing w:line="312" w:lineRule="auto"/>
        <w:ind w:firstLine="420" w:firstLineChars="200"/>
        <w:textAlignment w:val="center"/>
        <w:rPr>
          <w:rFonts w:eastAsia="黑体"/>
          <w:szCs w:val="21"/>
        </w:rPr>
      </w:pPr>
      <w:r>
        <w:rPr>
          <w:szCs w:val="21"/>
        </w:rPr>
        <w:t>分母项：矿产粗铜产量。指合格入库产量。</w:t>
      </w:r>
    </w:p>
    <w:p>
      <w:pPr>
        <w:spacing w:line="312" w:lineRule="auto"/>
        <w:ind w:firstLine="420" w:firstLineChars="200"/>
        <w:textAlignment w:val="center"/>
        <w:rPr>
          <w:rFonts w:eastAsia="黑体"/>
          <w:szCs w:val="21"/>
        </w:rPr>
      </w:pPr>
      <w:r>
        <w:rPr>
          <w:rFonts w:eastAsia="黑体"/>
          <w:szCs w:val="21"/>
        </w:rPr>
        <w:t>铜精炼综合能耗</w:t>
      </w:r>
    </w:p>
    <w:p>
      <w:pPr>
        <w:spacing w:line="312" w:lineRule="auto"/>
        <w:ind w:left="4540" w:hanging="4540" w:hangingChars="2162"/>
        <w:textAlignment w:val="center"/>
        <w:rPr>
          <w:szCs w:val="21"/>
        </w:rPr>
      </w:pPr>
      <w:r>
        <w:rPr>
          <w:rFonts w:hint="eastAsia"/>
          <w:szCs w:val="21"/>
        </w:rPr>
        <w:t>　　</w:t>
      </w:r>
      <w:r>
        <w:rPr>
          <w:szCs w:val="21"/>
        </w:rPr>
        <w:t>计算公式：铜精炼综合能耗（千克标</w:t>
      </w:r>
      <w:r>
        <w:rPr>
          <w:rFonts w:hint="eastAsia" w:asciiTheme="minorEastAsia" w:hAnsiTheme="minorEastAsia" w:eastAsiaTheme="minorEastAsia" w:cstheme="minorEastAsia"/>
          <w:szCs w:val="21"/>
        </w:rPr>
        <w:t>准煤/吨）＝1000×粗铜到</w:t>
      </w:r>
      <w:r>
        <w:rPr>
          <w:szCs w:val="21"/>
        </w:rPr>
        <w:t>精炼铜消耗的能源总量（吨标准煤）</w:t>
      </w:r>
    </w:p>
    <w:p>
      <w:pPr>
        <w:spacing w:line="312" w:lineRule="auto"/>
        <w:ind w:left="73" w:hanging="73" w:hangingChars="35"/>
        <w:textAlignment w:val="center"/>
        <w:rPr>
          <w:szCs w:val="21"/>
        </w:rPr>
      </w:pPr>
      <w:r>
        <w:rPr>
          <w:rFonts w:hint="eastAsia"/>
          <w:szCs w:val="21"/>
        </w:rPr>
        <w:t xml:space="preserve">　　　　　　　　　　　　　　　　　　　　　　　 </w:t>
      </w:r>
      <w:r>
        <w:rPr>
          <w:szCs w:val="21"/>
        </w:rPr>
        <w:t>/精炼铜（电解铜）产量（吨）</w:t>
      </w:r>
    </w:p>
    <w:p>
      <w:pPr>
        <w:spacing w:line="312" w:lineRule="auto"/>
        <w:ind w:firstLine="420" w:firstLineChars="200"/>
        <w:textAlignment w:val="center"/>
        <w:rPr>
          <w:szCs w:val="21"/>
        </w:rPr>
      </w:pPr>
      <w:r>
        <w:rPr>
          <w:szCs w:val="21"/>
        </w:rPr>
        <w:t>分子项：粗铜到精炼铜（电解铜）消耗的能源总量。指从投入粗铜开始到产出精炼铜（电解铜）的生产过程中消耗的能源量。</w:t>
      </w:r>
    </w:p>
    <w:p>
      <w:pPr>
        <w:spacing w:line="312" w:lineRule="auto"/>
        <w:ind w:firstLine="420" w:firstLineChars="200"/>
        <w:textAlignment w:val="center"/>
        <w:rPr>
          <w:szCs w:val="21"/>
        </w:rPr>
      </w:pPr>
      <w:r>
        <w:rPr>
          <w:szCs w:val="21"/>
        </w:rPr>
        <w:t>分母项：精炼铜（电解铜）产量。指合格入库产量。包括以铜精矿作原料经电解生产的矿产阴极铜（也叫矿产铜）、以铜废料作原料经电解生产的再生铜（杂产铜）、以购买的粗铜和阳极铜作原料经电解生产的精炼铜和湿法冶炼生产的电极铜。</w:t>
      </w:r>
    </w:p>
    <w:p>
      <w:pPr>
        <w:spacing w:line="312" w:lineRule="auto"/>
        <w:ind w:firstLine="420" w:firstLineChars="200"/>
        <w:textAlignment w:val="center"/>
        <w:rPr>
          <w:rFonts w:eastAsia="黑体"/>
          <w:szCs w:val="21"/>
        </w:rPr>
      </w:pPr>
      <w:r>
        <w:rPr>
          <w:rFonts w:eastAsia="黑体"/>
          <w:szCs w:val="21"/>
        </w:rPr>
        <w:t>单位铜冶炼综合能耗</w:t>
      </w:r>
    </w:p>
    <w:p>
      <w:pPr>
        <w:spacing w:line="312" w:lineRule="auto"/>
        <w:ind w:left="5258" w:leftChars="0" w:hanging="5258" w:hangingChars="2504"/>
        <w:textAlignment w:val="center"/>
        <w:rPr>
          <w:szCs w:val="21"/>
        </w:rPr>
      </w:pPr>
      <w:r>
        <w:rPr>
          <w:rFonts w:hint="eastAsia"/>
          <w:szCs w:val="21"/>
        </w:rPr>
        <w:t>　　</w:t>
      </w:r>
      <w:r>
        <w:rPr>
          <w:szCs w:val="21"/>
        </w:rPr>
        <w:t>计算公式：单位铜冶炼综合能耗（千克标准煤</w:t>
      </w:r>
      <w:r>
        <w:rPr>
          <w:rFonts w:hint="eastAsia" w:asciiTheme="minorEastAsia" w:hAnsiTheme="minorEastAsia" w:eastAsiaTheme="minorEastAsia" w:cstheme="minorEastAsia"/>
          <w:szCs w:val="21"/>
        </w:rPr>
        <w:t>/吨）＝1000×铜冶</w:t>
      </w:r>
      <w:r>
        <w:rPr>
          <w:szCs w:val="21"/>
        </w:rPr>
        <w:t>炼各工序综合能源消费量（吨标准煤）/精炼铜（电解铜）产量（吨）</w:t>
      </w:r>
    </w:p>
    <w:p>
      <w:pPr>
        <w:spacing w:line="312" w:lineRule="auto"/>
        <w:ind w:firstLine="420" w:firstLineChars="200"/>
        <w:textAlignment w:val="center"/>
        <w:rPr>
          <w:szCs w:val="21"/>
        </w:rPr>
      </w:pPr>
      <w:r>
        <w:rPr>
          <w:szCs w:val="21"/>
        </w:rPr>
        <w:t>分子项：铜冶炼各工序综合能源消费量。指从处理铜精矿等物料到产出精炼铜（电解铜）的过程中所消耗的各类能源总量。</w:t>
      </w:r>
    </w:p>
    <w:p>
      <w:pPr>
        <w:spacing w:line="312" w:lineRule="auto"/>
        <w:ind w:firstLine="420" w:firstLineChars="200"/>
        <w:textAlignment w:val="center"/>
        <w:rPr>
          <w:szCs w:val="21"/>
        </w:rPr>
      </w:pPr>
      <w:r>
        <w:rPr>
          <w:szCs w:val="21"/>
        </w:rPr>
        <w:t>分母项：精炼铜（电解铜）产量。说明同上。</w:t>
      </w:r>
    </w:p>
    <w:p>
      <w:pPr>
        <w:spacing w:line="312" w:lineRule="auto"/>
        <w:ind w:firstLine="420" w:firstLineChars="200"/>
        <w:textAlignment w:val="center"/>
        <w:rPr>
          <w:rFonts w:eastAsia="黑体"/>
          <w:szCs w:val="21"/>
        </w:rPr>
      </w:pPr>
      <w:r>
        <w:rPr>
          <w:rFonts w:eastAsia="黑体"/>
          <w:szCs w:val="21"/>
        </w:rPr>
        <w:t>铜电解直流电单耗</w:t>
      </w:r>
    </w:p>
    <w:p>
      <w:pPr>
        <w:spacing w:line="312" w:lineRule="auto"/>
        <w:ind w:left="4305" w:hanging="4305" w:hangingChars="2050"/>
        <w:textAlignment w:val="center"/>
        <w:rPr>
          <w:szCs w:val="21"/>
        </w:rPr>
      </w:pPr>
      <w:r>
        <w:rPr>
          <w:rFonts w:hint="eastAsia"/>
          <w:szCs w:val="21"/>
        </w:rPr>
        <w:t>　　</w:t>
      </w:r>
      <w:r>
        <w:rPr>
          <w:szCs w:val="21"/>
        </w:rPr>
        <w:t>计算公式：铜电解直流电单耗（千瓦时</w:t>
      </w:r>
      <w:r>
        <w:rPr>
          <w:rFonts w:hint="eastAsia" w:asciiTheme="minorEastAsia" w:hAnsiTheme="minorEastAsia" w:eastAsiaTheme="minorEastAsia" w:cstheme="minorEastAsia"/>
          <w:szCs w:val="21"/>
        </w:rPr>
        <w:t>/吨）＝10000×精炼</w:t>
      </w:r>
      <w:r>
        <w:rPr>
          <w:szCs w:val="21"/>
        </w:rPr>
        <w:t>铜（电解铜）消耗的直流电量（万千瓦</w:t>
      </w:r>
    </w:p>
    <w:p>
      <w:pPr>
        <w:spacing w:line="312" w:lineRule="auto"/>
        <w:ind w:left="4305" w:hanging="4305" w:hangingChars="2050"/>
        <w:textAlignment w:val="center"/>
        <w:rPr>
          <w:szCs w:val="21"/>
        </w:rPr>
      </w:pPr>
      <w:r>
        <w:rPr>
          <w:rFonts w:hint="eastAsia"/>
          <w:szCs w:val="21"/>
        </w:rPr>
        <w:t xml:space="preserve">　　　　　　　　　　　　　　　　　　　　　　 </w:t>
      </w:r>
      <w:r>
        <w:rPr>
          <w:szCs w:val="21"/>
        </w:rPr>
        <w:t>时）/精炼铜（电解铜）产量（吨）</w:t>
      </w:r>
    </w:p>
    <w:p>
      <w:pPr>
        <w:spacing w:line="312" w:lineRule="auto"/>
        <w:ind w:firstLine="420" w:firstLineChars="200"/>
        <w:textAlignment w:val="center"/>
        <w:rPr>
          <w:szCs w:val="21"/>
        </w:rPr>
      </w:pPr>
      <w:r>
        <w:rPr>
          <w:szCs w:val="21"/>
        </w:rPr>
        <w:t>分子项：精炼铜（电解铜）消耗的直流电量。包括线路损失量和始极片耗电量。</w:t>
      </w:r>
    </w:p>
    <w:p>
      <w:pPr>
        <w:spacing w:line="312" w:lineRule="auto"/>
        <w:ind w:firstLine="420" w:firstLineChars="200"/>
        <w:textAlignment w:val="center"/>
        <w:rPr>
          <w:rFonts w:eastAsia="黑体"/>
          <w:bCs/>
          <w:szCs w:val="21"/>
        </w:rPr>
      </w:pPr>
      <w:r>
        <w:rPr>
          <w:szCs w:val="21"/>
        </w:rPr>
        <w:t>分母项：精炼铜（电解铜）产量。说明同上。</w:t>
      </w:r>
    </w:p>
    <w:p>
      <w:pPr>
        <w:spacing w:line="312" w:lineRule="auto"/>
        <w:ind w:firstLine="420" w:firstLineChars="200"/>
        <w:textAlignment w:val="center"/>
        <w:rPr>
          <w:rFonts w:eastAsia="黑体"/>
          <w:bCs/>
          <w:szCs w:val="21"/>
        </w:rPr>
      </w:pPr>
      <w:r>
        <w:rPr>
          <w:rFonts w:eastAsia="黑体"/>
          <w:bCs/>
          <w:szCs w:val="21"/>
        </w:rPr>
        <w:t>铝（</w:t>
      </w:r>
      <w:r>
        <w:rPr>
          <w:rFonts w:hint="eastAsia" w:ascii="黑体" w:hAnsi="黑体" w:eastAsia="黑体" w:cs="黑体"/>
          <w:bCs/>
          <w:szCs w:val="21"/>
        </w:rPr>
        <w:t>32</w:t>
      </w:r>
      <w:r>
        <w:rPr>
          <w:rFonts w:eastAsia="黑体"/>
          <w:bCs/>
          <w:szCs w:val="21"/>
        </w:rPr>
        <w:t>）</w:t>
      </w:r>
    </w:p>
    <w:p>
      <w:pPr>
        <w:spacing w:line="312" w:lineRule="auto"/>
        <w:ind w:firstLine="420" w:firstLineChars="200"/>
        <w:textAlignment w:val="center"/>
        <w:rPr>
          <w:rFonts w:eastAsia="黑体"/>
          <w:szCs w:val="21"/>
        </w:rPr>
      </w:pPr>
      <w:r>
        <w:rPr>
          <w:rFonts w:eastAsia="黑体"/>
          <w:szCs w:val="21"/>
        </w:rPr>
        <w:t>单位氧化铝综合能耗</w:t>
      </w:r>
    </w:p>
    <w:p>
      <w:pPr>
        <w:spacing w:line="312" w:lineRule="auto"/>
        <w:ind w:left="5256" w:leftChars="0" w:hanging="5256" w:hangingChars="2503"/>
        <w:textAlignment w:val="center"/>
        <w:rPr>
          <w:szCs w:val="21"/>
        </w:rPr>
      </w:pPr>
      <w:r>
        <w:rPr>
          <w:rFonts w:hint="eastAsia"/>
          <w:szCs w:val="21"/>
        </w:rPr>
        <w:t>　　</w:t>
      </w:r>
      <w:r>
        <w:rPr>
          <w:szCs w:val="21"/>
        </w:rPr>
        <w:t>计算公式：单位氧化铝综合能耗（千克标</w:t>
      </w:r>
      <w:r>
        <w:rPr>
          <w:rFonts w:hint="eastAsia" w:asciiTheme="minorEastAsia" w:hAnsiTheme="minorEastAsia" w:eastAsiaTheme="minorEastAsia" w:cstheme="minorEastAsia"/>
          <w:szCs w:val="21"/>
        </w:rPr>
        <w:t>准煤/吨）＝1000×氧化铝</w:t>
      </w:r>
      <w:r>
        <w:rPr>
          <w:szCs w:val="21"/>
        </w:rPr>
        <w:t>生产综合能源消费量（吨标准</w:t>
      </w:r>
    </w:p>
    <w:p>
      <w:pPr>
        <w:spacing w:line="312" w:lineRule="auto"/>
        <w:ind w:left="5256" w:leftChars="0" w:hanging="5256" w:hangingChars="2503"/>
        <w:textAlignment w:val="center"/>
        <w:rPr>
          <w:szCs w:val="21"/>
        </w:rPr>
      </w:pPr>
      <w:r>
        <w:rPr>
          <w:rFonts w:hint="eastAsia"/>
          <w:szCs w:val="21"/>
          <w:lang w:eastAsia="zh-CN"/>
        </w:rPr>
        <w:t>　　　　　　　　　　　　　　　　　　　</w:t>
      </w:r>
      <w:r>
        <w:rPr>
          <w:rFonts w:hint="eastAsia"/>
          <w:spacing w:val="-6"/>
          <w:sz w:val="21"/>
          <w:szCs w:val="21"/>
          <w:lang w:eastAsia="zh-CN"/>
        </w:rPr>
        <w:t>　　　　　　　</w:t>
      </w:r>
      <w:r>
        <w:rPr>
          <w:szCs w:val="21"/>
        </w:rPr>
        <w:t>煤）/实产氧化铝产量（吨）</w:t>
      </w:r>
    </w:p>
    <w:p>
      <w:pPr>
        <w:spacing w:line="312" w:lineRule="auto"/>
        <w:ind w:firstLine="420" w:firstLineChars="200"/>
        <w:textAlignment w:val="center"/>
        <w:rPr>
          <w:szCs w:val="21"/>
        </w:rPr>
      </w:pPr>
      <w:r>
        <w:rPr>
          <w:szCs w:val="21"/>
        </w:rPr>
        <w:t>分子项：氧化铝生产综合能源消费量。包括氧化铝工艺用能和间接能源消耗。氧化铝工艺用能，指生产氧化铝所直接消耗的各项能源，包括煤、油、焦、汽、电、煤气、汽油、柴油等消耗；间接能源消耗，指企业辅助、附属部门能耗分摊量、能源转换损耗分摊量和企业内部能源正常损耗量。</w:t>
      </w:r>
    </w:p>
    <w:p>
      <w:pPr>
        <w:keepNext w:val="0"/>
        <w:keepLines w:val="0"/>
        <w:pageBreakBefore w:val="0"/>
        <w:widowControl w:val="0"/>
        <w:kinsoku/>
        <w:wordWrap/>
        <w:overflowPunct/>
        <w:topLinePunct w:val="0"/>
        <w:autoSpaceDE/>
        <w:autoSpaceDN/>
        <w:bidi w:val="0"/>
        <w:adjustRightInd/>
        <w:snapToGrid/>
        <w:spacing w:line="305" w:lineRule="auto"/>
        <w:ind w:firstLine="412" w:firstLineChars="200"/>
        <w:textAlignment w:val="center"/>
        <w:rPr>
          <w:spacing w:val="-2"/>
          <w:szCs w:val="21"/>
        </w:rPr>
      </w:pPr>
      <w:r>
        <w:rPr>
          <w:spacing w:val="-2"/>
          <w:szCs w:val="21"/>
        </w:rPr>
        <w:t>分母项：实产氧化铝产量。包括冶金级氧化铝（指生产电解铝的原料）和化学品级氧化铝（折合量），如氢氧化铝系列商品折合量（普通氢氧化铝、特种氢氧化铝、白色氢氧化铝填料氢氧化铝等）、氧化铝系列折合量（煅烧氧化铝、助燃剂用低温氧化铝、电工填料氧化铝等）、拟薄水铝石系列折合量等。</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rFonts w:eastAsia="黑体"/>
          <w:szCs w:val="21"/>
        </w:rPr>
      </w:pPr>
      <w:r>
        <w:rPr>
          <w:rFonts w:eastAsia="黑体"/>
          <w:szCs w:val="21"/>
        </w:rPr>
        <w:t>单位电解铝综合能耗</w:t>
      </w:r>
    </w:p>
    <w:p>
      <w:pPr>
        <w:keepNext w:val="0"/>
        <w:keepLines w:val="0"/>
        <w:pageBreakBefore w:val="0"/>
        <w:widowControl w:val="0"/>
        <w:kinsoku/>
        <w:wordWrap/>
        <w:overflowPunct/>
        <w:topLinePunct w:val="0"/>
        <w:autoSpaceDE/>
        <w:autoSpaceDN/>
        <w:bidi w:val="0"/>
        <w:adjustRightInd/>
        <w:snapToGrid/>
        <w:spacing w:line="305" w:lineRule="auto"/>
        <w:ind w:left="5355" w:hanging="5355" w:hangingChars="2550"/>
        <w:textAlignment w:val="center"/>
        <w:rPr>
          <w:szCs w:val="21"/>
        </w:rPr>
      </w:pPr>
      <w:r>
        <w:rPr>
          <w:rFonts w:hint="eastAsia"/>
          <w:szCs w:val="21"/>
        </w:rPr>
        <w:t>　　</w:t>
      </w:r>
      <w:r>
        <w:rPr>
          <w:szCs w:val="21"/>
        </w:rPr>
        <w:t>计算公式：单位电解铝综合能耗（千克标准煤/吨</w:t>
      </w:r>
      <w:r>
        <w:rPr>
          <w:rFonts w:hint="eastAsia" w:asciiTheme="minorEastAsia" w:hAnsiTheme="minorEastAsia" w:eastAsiaTheme="minorEastAsia" w:cstheme="minorEastAsia"/>
          <w:szCs w:val="21"/>
        </w:rPr>
        <w:t>）＝1000×全厂综</w:t>
      </w:r>
      <w:r>
        <w:rPr>
          <w:szCs w:val="21"/>
        </w:rPr>
        <w:t>合能源消费量（吨标准煤）/合格交库的电解铝产量（吨）</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szCs w:val="21"/>
        </w:rPr>
      </w:pPr>
      <w:r>
        <w:rPr>
          <w:szCs w:val="21"/>
        </w:rPr>
        <w:t>分子项：全厂综合能源消费量。包括电解铝工艺能耗总量（直接消耗），辅助和附属部门消耗的柴油、汽油、蒸汽。</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szCs w:val="21"/>
        </w:rPr>
      </w:pPr>
      <w:r>
        <w:rPr>
          <w:szCs w:val="21"/>
        </w:rPr>
        <w:t>分母项：合格交库的电解铝产量。说明同上。</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szCs w:val="21"/>
        </w:rPr>
      </w:pPr>
      <w:r>
        <w:rPr>
          <w:rFonts w:eastAsia="黑体"/>
          <w:bCs/>
          <w:szCs w:val="21"/>
        </w:rPr>
        <w:t>单位铝锭综合交流电耗</w:t>
      </w:r>
    </w:p>
    <w:p>
      <w:pPr>
        <w:keepNext w:val="0"/>
        <w:keepLines w:val="0"/>
        <w:pageBreakBefore w:val="0"/>
        <w:widowControl w:val="0"/>
        <w:kinsoku/>
        <w:wordWrap/>
        <w:overflowPunct/>
        <w:topLinePunct w:val="0"/>
        <w:autoSpaceDE/>
        <w:autoSpaceDN/>
        <w:bidi w:val="0"/>
        <w:adjustRightInd/>
        <w:snapToGrid/>
        <w:spacing w:line="305" w:lineRule="auto"/>
        <w:ind w:left="4725" w:hanging="4725" w:hangingChars="2250"/>
        <w:textAlignment w:val="center"/>
        <w:rPr>
          <w:szCs w:val="21"/>
        </w:rPr>
      </w:pPr>
      <w:r>
        <w:rPr>
          <w:rFonts w:hint="eastAsia"/>
          <w:szCs w:val="21"/>
        </w:rPr>
        <w:t>　　</w:t>
      </w:r>
      <w:r>
        <w:rPr>
          <w:szCs w:val="21"/>
        </w:rPr>
        <w:t>计算公式：单位铝锭综合交流电耗（千瓦时</w:t>
      </w:r>
      <w:r>
        <w:rPr>
          <w:rFonts w:hint="eastAsia" w:asciiTheme="minorEastAsia" w:hAnsiTheme="minorEastAsia" w:eastAsiaTheme="minorEastAsia" w:cstheme="minorEastAsia"/>
          <w:szCs w:val="21"/>
        </w:rPr>
        <w:t>/吨）＝10000×铝锭交</w:t>
      </w:r>
      <w:r>
        <w:rPr>
          <w:szCs w:val="21"/>
        </w:rPr>
        <w:t>流电消耗总量（万千瓦时）/合格</w:t>
      </w:r>
    </w:p>
    <w:p>
      <w:pPr>
        <w:keepNext w:val="0"/>
        <w:keepLines w:val="0"/>
        <w:pageBreakBefore w:val="0"/>
        <w:widowControl w:val="0"/>
        <w:kinsoku/>
        <w:wordWrap/>
        <w:overflowPunct/>
        <w:topLinePunct w:val="0"/>
        <w:autoSpaceDE/>
        <w:autoSpaceDN/>
        <w:bidi w:val="0"/>
        <w:adjustRightInd/>
        <w:snapToGrid/>
        <w:spacing w:line="305" w:lineRule="auto"/>
        <w:ind w:left="4725" w:hanging="4725" w:hangingChars="2250"/>
        <w:textAlignment w:val="center"/>
        <w:rPr>
          <w:bCs/>
          <w:szCs w:val="21"/>
        </w:rPr>
      </w:pPr>
      <w:r>
        <w:rPr>
          <w:rFonts w:hint="eastAsia"/>
          <w:szCs w:val="21"/>
        </w:rPr>
        <w:t>　　　　　　　　　　　　　　　　　　　　　　　　</w:t>
      </w:r>
      <w:r>
        <w:rPr>
          <w:szCs w:val="21"/>
        </w:rPr>
        <w:t>交库的铝锭产量（吨）</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bCs/>
          <w:szCs w:val="21"/>
        </w:rPr>
      </w:pPr>
      <w:r>
        <w:rPr>
          <w:bCs/>
          <w:szCs w:val="21"/>
        </w:rPr>
        <w:t>分子项：</w:t>
      </w:r>
      <w:r>
        <w:rPr>
          <w:szCs w:val="21"/>
        </w:rPr>
        <w:t>铝锭交流电消耗总量为铝锭生产全部用电量，含电解工序交流电用量；电解工序、铸造工序的动力及照明用电；如电解的通风排烟和烟气净化设施，铸造的混合炉、熔炼炉、扒渣机、堆垛机、天车等设备用电；分摊的辅助、附属部门用电。如为电解服务的供电车间、机修车间、电维车间、计算机室、化验室等分摊的线路损失等。</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rFonts w:eastAsia="黑体"/>
          <w:bCs/>
          <w:szCs w:val="21"/>
        </w:rPr>
      </w:pPr>
      <w:r>
        <w:rPr>
          <w:bCs/>
          <w:szCs w:val="21"/>
        </w:rPr>
        <w:t>分母项：</w:t>
      </w:r>
      <w:r>
        <w:rPr>
          <w:szCs w:val="21"/>
        </w:rPr>
        <w:t>合格交库的铝锭产量是指报告期内生产合格交库的铝锭产量，包括商品产量和自用量之和。</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rFonts w:eastAsia="黑体"/>
          <w:bCs/>
          <w:szCs w:val="21"/>
        </w:rPr>
      </w:pPr>
      <w:r>
        <w:rPr>
          <w:rFonts w:eastAsia="黑体"/>
          <w:bCs/>
          <w:szCs w:val="21"/>
        </w:rPr>
        <w:t>铅锌（</w:t>
      </w:r>
      <w:r>
        <w:rPr>
          <w:rFonts w:hint="eastAsia" w:ascii="黑体" w:hAnsi="黑体" w:eastAsia="黑体" w:cs="黑体"/>
          <w:bCs/>
          <w:szCs w:val="21"/>
        </w:rPr>
        <w:t>32</w:t>
      </w:r>
      <w:r>
        <w:rPr>
          <w:rFonts w:eastAsia="黑体"/>
          <w:bCs/>
          <w:szCs w:val="21"/>
        </w:rPr>
        <w:t>）</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rFonts w:eastAsia="黑体"/>
          <w:szCs w:val="21"/>
        </w:rPr>
      </w:pPr>
      <w:r>
        <w:rPr>
          <w:rFonts w:eastAsia="黑体"/>
          <w:szCs w:val="21"/>
        </w:rPr>
        <w:t>单位粗铅综合能耗</w:t>
      </w:r>
    </w:p>
    <w:p>
      <w:pPr>
        <w:keepNext w:val="0"/>
        <w:keepLines w:val="0"/>
        <w:pageBreakBefore w:val="0"/>
        <w:widowControl w:val="0"/>
        <w:kinsoku/>
        <w:wordWrap/>
        <w:overflowPunct/>
        <w:topLinePunct w:val="0"/>
        <w:autoSpaceDE/>
        <w:autoSpaceDN/>
        <w:bidi w:val="0"/>
        <w:adjustRightInd/>
        <w:snapToGrid/>
        <w:spacing w:line="305" w:lineRule="auto"/>
        <w:ind w:left="4725" w:hanging="4725" w:hangingChars="2250"/>
        <w:textAlignment w:val="center"/>
        <w:rPr>
          <w:szCs w:val="21"/>
        </w:rPr>
      </w:pPr>
      <w:r>
        <w:rPr>
          <w:rFonts w:hint="eastAsia"/>
          <w:szCs w:val="21"/>
        </w:rPr>
        <w:t>　　</w:t>
      </w:r>
      <w:r>
        <w:rPr>
          <w:szCs w:val="21"/>
        </w:rPr>
        <w:t>计算公式：单位粗铅综合能耗（千克标准煤/</w:t>
      </w:r>
      <w:r>
        <w:rPr>
          <w:rFonts w:hint="eastAsia" w:asciiTheme="minorEastAsia" w:hAnsiTheme="minorEastAsia" w:eastAsiaTheme="minorEastAsia" w:cstheme="minorEastAsia"/>
          <w:szCs w:val="21"/>
        </w:rPr>
        <w:t>吨）＝1000×矿产</w:t>
      </w:r>
      <w:r>
        <w:rPr>
          <w:szCs w:val="21"/>
        </w:rPr>
        <w:t>粗铅综合能源消费量（吨标准煤）/</w:t>
      </w:r>
    </w:p>
    <w:p>
      <w:pPr>
        <w:keepNext w:val="0"/>
        <w:keepLines w:val="0"/>
        <w:pageBreakBefore w:val="0"/>
        <w:widowControl w:val="0"/>
        <w:kinsoku/>
        <w:wordWrap/>
        <w:overflowPunct/>
        <w:topLinePunct w:val="0"/>
        <w:autoSpaceDE/>
        <w:autoSpaceDN/>
        <w:bidi w:val="0"/>
        <w:adjustRightInd/>
        <w:snapToGrid/>
        <w:spacing w:line="305" w:lineRule="auto"/>
        <w:ind w:left="48" w:hanging="48" w:hangingChars="23"/>
        <w:textAlignment w:val="center"/>
        <w:rPr>
          <w:szCs w:val="21"/>
        </w:rPr>
      </w:pPr>
      <w:r>
        <w:rPr>
          <w:rFonts w:hint="eastAsia"/>
          <w:szCs w:val="21"/>
        </w:rPr>
        <w:t xml:space="preserve">　　　　　　　　　　　　　　　　　　　　　　　　 </w:t>
      </w:r>
      <w:r>
        <w:rPr>
          <w:szCs w:val="21"/>
        </w:rPr>
        <w:t>合格交库的矿产粗铅产出量（吨）</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szCs w:val="21"/>
        </w:rPr>
      </w:pPr>
      <w:r>
        <w:rPr>
          <w:szCs w:val="21"/>
        </w:rPr>
        <w:t>分子项：矿产粗铅综合能源消费量。包括粗铅工艺能耗（动力+燃料）和辅助用能分摊量。</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szCs w:val="21"/>
        </w:rPr>
      </w:pPr>
      <w:r>
        <w:rPr>
          <w:szCs w:val="21"/>
        </w:rPr>
        <w:t>辅助用能分摊量＝辅助用能</w:t>
      </w:r>
      <w:r>
        <w:rPr>
          <w:rFonts w:hint="eastAsia" w:asciiTheme="minorEastAsia" w:hAnsiTheme="minorEastAsia" w:eastAsiaTheme="minorEastAsia" w:cstheme="minorEastAsia"/>
          <w:szCs w:val="21"/>
        </w:rPr>
        <w:t>×</w:t>
      </w:r>
      <w:r>
        <w:rPr>
          <w:szCs w:val="21"/>
        </w:rPr>
        <w:t>分摊系数</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szCs w:val="21"/>
        </w:rPr>
      </w:pPr>
      <w:r>
        <w:rPr>
          <w:szCs w:val="21"/>
        </w:rPr>
        <w:t>分摊系数＝粗铅工艺总能耗/（全厂总能耗－辅助用能）</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szCs w:val="21"/>
        </w:rPr>
      </w:pPr>
      <w:r>
        <w:rPr>
          <w:szCs w:val="21"/>
        </w:rPr>
        <w:t>分母项：合格交库的矿产粗铅产出量。指合格交库的粗铅产量。矿产粗铅指用铅精矿作原料生产的矿产粗铅，不含开炉用粗铅和用铅碎料作原料生产的再生粗铅。</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rFonts w:eastAsia="黑体"/>
          <w:szCs w:val="21"/>
        </w:rPr>
      </w:pPr>
      <w:r>
        <w:rPr>
          <w:rFonts w:eastAsia="黑体"/>
          <w:szCs w:val="21"/>
        </w:rPr>
        <w:t>单位铅冶炼综合能耗</w:t>
      </w:r>
    </w:p>
    <w:p>
      <w:pPr>
        <w:keepNext w:val="0"/>
        <w:keepLines w:val="0"/>
        <w:pageBreakBefore w:val="0"/>
        <w:widowControl w:val="0"/>
        <w:kinsoku/>
        <w:wordWrap/>
        <w:overflowPunct/>
        <w:topLinePunct w:val="0"/>
        <w:autoSpaceDE/>
        <w:autoSpaceDN/>
        <w:bidi w:val="0"/>
        <w:adjustRightInd/>
        <w:snapToGrid/>
        <w:spacing w:line="305" w:lineRule="auto"/>
        <w:ind w:left="5355" w:hanging="5355" w:hangingChars="2550"/>
        <w:textAlignment w:val="center"/>
        <w:rPr>
          <w:szCs w:val="21"/>
        </w:rPr>
      </w:pPr>
      <w:r>
        <w:rPr>
          <w:rFonts w:hint="eastAsia"/>
          <w:szCs w:val="21"/>
        </w:rPr>
        <w:t>　　</w:t>
      </w:r>
      <w:r>
        <w:rPr>
          <w:szCs w:val="21"/>
        </w:rPr>
        <w:t>计算公式：单位铅冶炼综合能耗（千克标准煤/</w:t>
      </w:r>
      <w:r>
        <w:rPr>
          <w:rFonts w:hint="eastAsia" w:asciiTheme="minorEastAsia" w:hAnsiTheme="minorEastAsia" w:eastAsiaTheme="minorEastAsia" w:cstheme="minorEastAsia"/>
          <w:szCs w:val="21"/>
        </w:rPr>
        <w:t>吨）＝1000×铅产</w:t>
      </w:r>
      <w:r>
        <w:rPr>
          <w:szCs w:val="21"/>
        </w:rPr>
        <w:t>品能源消耗总量（吨标准煤）/合格交库的铅产量（吨）</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szCs w:val="21"/>
        </w:rPr>
      </w:pPr>
      <w:r>
        <w:rPr>
          <w:szCs w:val="21"/>
        </w:rPr>
        <w:t>分子项：铅产品能源消耗总量。包括电铅工艺用能量（动力+燃料）和辅助用能分摊量。</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szCs w:val="21"/>
        </w:rPr>
      </w:pPr>
      <w:r>
        <w:rPr>
          <w:szCs w:val="21"/>
        </w:rPr>
        <w:t>辅助用能分摊量＝辅助用能</w:t>
      </w:r>
      <w:r>
        <w:rPr>
          <w:rFonts w:hint="eastAsia" w:asciiTheme="minorEastAsia" w:hAnsiTheme="minorEastAsia" w:eastAsiaTheme="minorEastAsia" w:cstheme="minorEastAsia"/>
          <w:szCs w:val="21"/>
        </w:rPr>
        <w:t>×</w:t>
      </w:r>
      <w:r>
        <w:rPr>
          <w:szCs w:val="21"/>
        </w:rPr>
        <w:t>分摊系数</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szCs w:val="21"/>
        </w:rPr>
      </w:pPr>
      <w:r>
        <w:rPr>
          <w:szCs w:val="21"/>
        </w:rPr>
        <w:t>分摊系数＝电铅工艺总能耗/（全厂总能耗－辅助用能）</w:t>
      </w:r>
    </w:p>
    <w:p>
      <w:pPr>
        <w:keepNext w:val="0"/>
        <w:keepLines w:val="0"/>
        <w:pageBreakBefore w:val="0"/>
        <w:widowControl w:val="0"/>
        <w:kinsoku/>
        <w:wordWrap/>
        <w:overflowPunct/>
        <w:topLinePunct w:val="0"/>
        <w:autoSpaceDE/>
        <w:autoSpaceDN/>
        <w:bidi w:val="0"/>
        <w:adjustRightInd/>
        <w:snapToGrid/>
        <w:spacing w:line="305" w:lineRule="auto"/>
        <w:ind w:firstLine="420"/>
        <w:textAlignment w:val="center"/>
        <w:rPr>
          <w:szCs w:val="21"/>
        </w:rPr>
      </w:pPr>
      <w:r>
        <w:rPr>
          <w:szCs w:val="21"/>
        </w:rPr>
        <w:t>分母项：合格交库的铅产量。指从处理铅精矿到产出合格交库的电铅产出量。铅按原料来源分为以铅精矿作原料生产的矿产铅（电铅或铅锭）、以再生铅（铅蓄电池）作原料生产的再生铅或再生铅合金锭（杂产铅或杂产铅合金锭）、以购买的粗铅作原料生产的铅（电铅或铅锭）。按经济用途分为电铅（铅锭）、商品精铅（经火法精炼铸型生产出的不需电解的铅锭）、铸造锡铅焊料折铅（</w:t>
      </w:r>
      <w:r>
        <w:rPr>
          <w:rFonts w:hint="eastAsia" w:asciiTheme="minorEastAsia" w:hAnsiTheme="minorEastAsia" w:eastAsiaTheme="minorEastAsia" w:cstheme="minorEastAsia"/>
          <w:szCs w:val="21"/>
        </w:rPr>
        <w:t>铅≥90%，</w:t>
      </w:r>
      <w:r>
        <w:rPr>
          <w:szCs w:val="21"/>
        </w:rPr>
        <w:t>不含用成品电铅或精铅作原料生产的焊料）、铅基合金（不含用成品电铅或精铅作原料生产的铅基合金，包括电缆护套铅和含铅大</w:t>
      </w:r>
      <w:r>
        <w:rPr>
          <w:rFonts w:hint="eastAsia" w:asciiTheme="minorEastAsia" w:hAnsiTheme="minorEastAsia" w:eastAsiaTheme="minorEastAsia" w:cstheme="minorEastAsia"/>
          <w:szCs w:val="21"/>
        </w:rPr>
        <w:t>于99.13%的铅</w:t>
      </w:r>
      <w:r>
        <w:rPr>
          <w:szCs w:val="21"/>
        </w:rPr>
        <w:t>钙合金）。</w:t>
      </w:r>
    </w:p>
    <w:p>
      <w:pPr>
        <w:keepNext w:val="0"/>
        <w:keepLines w:val="0"/>
        <w:pageBreakBefore w:val="0"/>
        <w:widowControl w:val="0"/>
        <w:kinsoku/>
        <w:wordWrap/>
        <w:overflowPunct/>
        <w:topLinePunct w:val="0"/>
        <w:autoSpaceDE/>
        <w:autoSpaceDN/>
        <w:bidi w:val="0"/>
        <w:adjustRightInd/>
        <w:snapToGrid/>
        <w:spacing w:line="305" w:lineRule="auto"/>
        <w:ind w:firstLine="420" w:firstLineChars="200"/>
        <w:textAlignment w:val="center"/>
        <w:rPr>
          <w:rFonts w:eastAsia="黑体"/>
          <w:szCs w:val="21"/>
        </w:rPr>
      </w:pPr>
      <w:r>
        <w:rPr>
          <w:rFonts w:eastAsia="黑体"/>
          <w:szCs w:val="21"/>
        </w:rPr>
        <w:t>析出铅直流电单耗</w:t>
      </w:r>
    </w:p>
    <w:p>
      <w:pPr>
        <w:keepNext w:val="0"/>
        <w:keepLines w:val="0"/>
        <w:pageBreakBefore w:val="0"/>
        <w:widowControl w:val="0"/>
        <w:kinsoku/>
        <w:wordWrap/>
        <w:overflowPunct/>
        <w:topLinePunct w:val="0"/>
        <w:autoSpaceDE/>
        <w:autoSpaceDN/>
        <w:bidi w:val="0"/>
        <w:adjustRightInd/>
        <w:snapToGrid/>
        <w:spacing w:line="305" w:lineRule="auto"/>
        <w:ind w:left="4305" w:hanging="4305" w:hangingChars="2050"/>
        <w:textAlignment w:val="center"/>
        <w:rPr>
          <w:szCs w:val="21"/>
        </w:rPr>
      </w:pPr>
      <w:r>
        <w:rPr>
          <w:rFonts w:hint="eastAsia"/>
          <w:szCs w:val="21"/>
        </w:rPr>
        <w:t>　　</w:t>
      </w:r>
      <w:r>
        <w:rPr>
          <w:szCs w:val="21"/>
        </w:rPr>
        <w:t>计算公式：析出铅直流电单耗（千瓦时/吨</w:t>
      </w:r>
      <w:r>
        <w:rPr>
          <w:rFonts w:hint="eastAsia" w:asciiTheme="minorEastAsia" w:hAnsiTheme="minorEastAsia" w:eastAsiaTheme="minorEastAsia" w:cstheme="minorEastAsia"/>
          <w:szCs w:val="21"/>
        </w:rPr>
        <w:t>）＝10000×直流电</w:t>
      </w:r>
      <w:r>
        <w:rPr>
          <w:szCs w:val="21"/>
        </w:rPr>
        <w:t>消耗总量（万千瓦时）/实际析出铅产</w:t>
      </w:r>
    </w:p>
    <w:p>
      <w:pPr>
        <w:keepNext w:val="0"/>
        <w:keepLines w:val="0"/>
        <w:pageBreakBefore w:val="0"/>
        <w:widowControl w:val="0"/>
        <w:kinsoku/>
        <w:wordWrap/>
        <w:overflowPunct/>
        <w:topLinePunct w:val="0"/>
        <w:autoSpaceDE/>
        <w:autoSpaceDN/>
        <w:bidi w:val="0"/>
        <w:adjustRightInd/>
        <w:snapToGrid/>
        <w:spacing w:line="305" w:lineRule="auto"/>
        <w:ind w:left="4305" w:hanging="4305" w:hangingChars="2050"/>
        <w:textAlignment w:val="center"/>
        <w:rPr>
          <w:szCs w:val="21"/>
        </w:rPr>
      </w:pPr>
      <w:r>
        <w:rPr>
          <w:rFonts w:hint="eastAsia"/>
          <w:szCs w:val="21"/>
        </w:rPr>
        <w:t>　　　　　　　　　　　　　　　　　　　　　　</w:t>
      </w:r>
      <w:r>
        <w:rPr>
          <w:szCs w:val="21"/>
        </w:rPr>
        <w:t>量（吨）</w:t>
      </w:r>
    </w:p>
    <w:p>
      <w:pPr>
        <w:spacing w:line="312" w:lineRule="auto"/>
        <w:ind w:firstLine="420" w:firstLineChars="200"/>
        <w:textAlignment w:val="center"/>
        <w:rPr>
          <w:szCs w:val="21"/>
        </w:rPr>
      </w:pPr>
      <w:r>
        <w:rPr>
          <w:szCs w:val="21"/>
        </w:rPr>
        <w:t>分子项：直流电消耗总量。包括线路损失电量和电解液净化槽耗电量。</w:t>
      </w:r>
    </w:p>
    <w:p>
      <w:pPr>
        <w:spacing w:line="312" w:lineRule="auto"/>
        <w:ind w:firstLine="420" w:firstLineChars="200"/>
        <w:textAlignment w:val="center"/>
        <w:rPr>
          <w:szCs w:val="21"/>
        </w:rPr>
      </w:pPr>
      <w:r>
        <w:rPr>
          <w:szCs w:val="21"/>
        </w:rPr>
        <w:t xml:space="preserve">分母项：实际析出铅产量。 </w:t>
      </w:r>
    </w:p>
    <w:p>
      <w:pPr>
        <w:spacing w:line="312" w:lineRule="auto"/>
        <w:ind w:firstLine="420" w:firstLineChars="200"/>
        <w:textAlignment w:val="center"/>
        <w:rPr>
          <w:rFonts w:eastAsia="黑体"/>
          <w:szCs w:val="21"/>
        </w:rPr>
      </w:pPr>
      <w:r>
        <w:rPr>
          <w:rFonts w:eastAsia="黑体"/>
          <w:szCs w:val="21"/>
        </w:rPr>
        <w:t>蒸馏锌综合标准煤耗单耗</w:t>
      </w:r>
    </w:p>
    <w:p>
      <w:pPr>
        <w:spacing w:line="312" w:lineRule="auto"/>
        <w:ind w:left="5775" w:hanging="5775" w:hangingChars="2750"/>
        <w:textAlignment w:val="center"/>
        <w:rPr>
          <w:szCs w:val="21"/>
        </w:rPr>
      </w:pPr>
      <w:r>
        <w:rPr>
          <w:rFonts w:hint="eastAsia"/>
          <w:szCs w:val="21"/>
        </w:rPr>
        <w:t>　　</w:t>
      </w:r>
      <w:r>
        <w:rPr>
          <w:szCs w:val="21"/>
        </w:rPr>
        <w:t>计算公式：蒸馏锌综合标准煤耗单耗（千克标准煤</w:t>
      </w:r>
      <w:r>
        <w:rPr>
          <w:rFonts w:hint="eastAsia" w:asciiTheme="minorEastAsia" w:hAnsiTheme="minorEastAsia" w:eastAsiaTheme="minorEastAsia" w:cstheme="minorEastAsia"/>
          <w:szCs w:val="21"/>
        </w:rPr>
        <w:t>/吨）＝1000×蒸馏锌</w:t>
      </w:r>
      <w:r>
        <w:rPr>
          <w:szCs w:val="21"/>
        </w:rPr>
        <w:t>综合标准煤消耗总量（吨标准煤）/合格蒸馏锌产量（吨）</w:t>
      </w:r>
    </w:p>
    <w:p>
      <w:pPr>
        <w:spacing w:line="312" w:lineRule="auto"/>
        <w:ind w:firstLine="420" w:firstLineChars="200"/>
        <w:textAlignment w:val="center"/>
        <w:rPr>
          <w:szCs w:val="21"/>
        </w:rPr>
      </w:pPr>
      <w:r>
        <w:rPr>
          <w:szCs w:val="21"/>
        </w:rPr>
        <w:t>分子项：蒸馏锌综合标准煤消耗总量。包括煤炭、焦炭、重油、蒸汽等的消费（标准煤），蒸汽用煤（标准煤）应减去沸腾炉回收余热蒸汽（标准煤）。</w:t>
      </w:r>
    </w:p>
    <w:p>
      <w:pPr>
        <w:spacing w:line="312" w:lineRule="auto"/>
        <w:ind w:firstLine="420" w:firstLineChars="200"/>
        <w:textAlignment w:val="center"/>
        <w:rPr>
          <w:szCs w:val="21"/>
        </w:rPr>
      </w:pPr>
      <w:r>
        <w:rPr>
          <w:szCs w:val="21"/>
        </w:rPr>
        <w:t>分母项：合格蒸馏锌产量。指交库的合格蒸馏锌产量。</w:t>
      </w:r>
    </w:p>
    <w:p>
      <w:pPr>
        <w:spacing w:line="312" w:lineRule="auto"/>
        <w:ind w:firstLine="420" w:firstLineChars="200"/>
        <w:textAlignment w:val="center"/>
        <w:rPr>
          <w:rFonts w:eastAsia="黑体"/>
          <w:szCs w:val="21"/>
        </w:rPr>
      </w:pPr>
      <w:r>
        <w:rPr>
          <w:rFonts w:eastAsia="黑体"/>
          <w:szCs w:val="21"/>
        </w:rPr>
        <w:t>单位精锌（电锌）综合能耗</w:t>
      </w:r>
    </w:p>
    <w:p>
      <w:pPr>
        <w:spacing w:line="312" w:lineRule="auto"/>
        <w:ind w:left="5643" w:hanging="5643" w:hangingChars="2850"/>
        <w:textAlignment w:val="center"/>
        <w:rPr>
          <w:spacing w:val="-6"/>
          <w:szCs w:val="21"/>
        </w:rPr>
      </w:pPr>
      <w:r>
        <w:rPr>
          <w:rFonts w:hint="eastAsia"/>
          <w:spacing w:val="-6"/>
          <w:szCs w:val="21"/>
        </w:rPr>
        <w:t>　　</w:t>
      </w:r>
      <w:r>
        <w:rPr>
          <w:spacing w:val="-6"/>
          <w:szCs w:val="21"/>
        </w:rPr>
        <w:t>计算公式：单位精锌（电锌）综合能耗（千克标准</w:t>
      </w:r>
      <w:r>
        <w:rPr>
          <w:rFonts w:hint="eastAsia" w:asciiTheme="minorEastAsia" w:hAnsiTheme="minorEastAsia" w:eastAsiaTheme="minorEastAsia" w:cstheme="minorEastAsia"/>
          <w:szCs w:val="21"/>
        </w:rPr>
        <w:t>煤/吨）＝1000×精锌（</w:t>
      </w:r>
      <w:r>
        <w:rPr>
          <w:spacing w:val="-6"/>
          <w:szCs w:val="21"/>
        </w:rPr>
        <w:t>电锌）产品能源消耗总量（吨标准煤）/合格交库的精锌（电锌）产量（吨）</w:t>
      </w:r>
    </w:p>
    <w:p>
      <w:pPr>
        <w:spacing w:line="312" w:lineRule="auto"/>
        <w:ind w:firstLine="420" w:firstLineChars="200"/>
        <w:textAlignment w:val="center"/>
        <w:rPr>
          <w:szCs w:val="21"/>
        </w:rPr>
      </w:pPr>
      <w:r>
        <w:rPr>
          <w:szCs w:val="21"/>
        </w:rPr>
        <w:t>分子项：精锌（电锌）产品能源消耗总量。指精锌（电锌）工艺能源消耗量（动力+燃料）和辅助用能分摊量。</w:t>
      </w:r>
    </w:p>
    <w:p>
      <w:pPr>
        <w:spacing w:line="312" w:lineRule="auto"/>
        <w:ind w:firstLine="420" w:firstLineChars="200"/>
        <w:textAlignment w:val="center"/>
        <w:rPr>
          <w:szCs w:val="21"/>
        </w:rPr>
      </w:pPr>
      <w:r>
        <w:rPr>
          <w:szCs w:val="21"/>
        </w:rPr>
        <w:t>辅助用能分摊量＝辅助用能</w:t>
      </w:r>
      <w:r>
        <w:rPr>
          <w:rFonts w:hint="eastAsia" w:asciiTheme="minorEastAsia" w:hAnsiTheme="minorEastAsia" w:eastAsiaTheme="minorEastAsia" w:cstheme="minorEastAsia"/>
          <w:szCs w:val="21"/>
        </w:rPr>
        <w:t>×</w:t>
      </w:r>
      <w:r>
        <w:rPr>
          <w:szCs w:val="21"/>
        </w:rPr>
        <w:t>分摊系数</w:t>
      </w:r>
    </w:p>
    <w:p>
      <w:pPr>
        <w:spacing w:line="312" w:lineRule="auto"/>
        <w:ind w:firstLine="420" w:firstLineChars="200"/>
        <w:textAlignment w:val="center"/>
        <w:rPr>
          <w:szCs w:val="21"/>
        </w:rPr>
      </w:pPr>
      <w:r>
        <w:rPr>
          <w:szCs w:val="21"/>
        </w:rPr>
        <w:t>分摊系数＝精锌（电锌）工艺总能耗/（全厂总能耗－辅助用能）</w:t>
      </w:r>
    </w:p>
    <w:p>
      <w:pPr>
        <w:spacing w:line="312" w:lineRule="auto"/>
        <w:ind w:firstLine="420" w:firstLineChars="200"/>
        <w:textAlignment w:val="center"/>
        <w:rPr>
          <w:szCs w:val="21"/>
        </w:rPr>
      </w:pPr>
      <w:r>
        <w:rPr>
          <w:szCs w:val="21"/>
        </w:rPr>
        <w:t>分母项：合格交库的精锌（电锌）产量。指从处理锌精矿到产出合格交库的精锌（电锌）产出量。</w:t>
      </w:r>
    </w:p>
    <w:p>
      <w:pPr>
        <w:spacing w:line="312" w:lineRule="auto"/>
        <w:ind w:firstLine="420" w:firstLineChars="200"/>
        <w:textAlignment w:val="center"/>
        <w:rPr>
          <w:szCs w:val="21"/>
        </w:rPr>
      </w:pPr>
      <w:r>
        <w:rPr>
          <w:szCs w:val="21"/>
        </w:rPr>
        <w:t>火法和湿法炼锌均采用此办法。</w:t>
      </w:r>
    </w:p>
    <w:p>
      <w:pPr>
        <w:spacing w:line="312" w:lineRule="auto"/>
        <w:ind w:firstLine="420" w:firstLineChars="200"/>
        <w:textAlignment w:val="center"/>
        <w:rPr>
          <w:rFonts w:eastAsia="黑体"/>
          <w:szCs w:val="21"/>
        </w:rPr>
      </w:pPr>
      <w:r>
        <w:rPr>
          <w:rFonts w:eastAsia="黑体"/>
          <w:szCs w:val="21"/>
        </w:rPr>
        <w:t>析出锌（湿法）直流电单耗</w:t>
      </w:r>
    </w:p>
    <w:p>
      <w:pPr>
        <w:spacing w:line="312" w:lineRule="auto"/>
        <w:ind w:left="5160" w:hanging="5159" w:hangingChars="2457"/>
        <w:textAlignment w:val="center"/>
        <w:rPr>
          <w:szCs w:val="21"/>
        </w:rPr>
      </w:pPr>
      <w:r>
        <w:rPr>
          <w:rFonts w:hint="eastAsia"/>
          <w:szCs w:val="21"/>
        </w:rPr>
        <w:t>　　</w:t>
      </w:r>
      <w:r>
        <w:rPr>
          <w:szCs w:val="21"/>
        </w:rPr>
        <w:t>计算公式：析出锌（湿法）直流电单耗（千瓦时/</w:t>
      </w:r>
      <w:r>
        <w:rPr>
          <w:rFonts w:hint="eastAsia" w:asciiTheme="minorEastAsia" w:hAnsiTheme="minorEastAsia" w:eastAsiaTheme="minorEastAsia" w:cstheme="minorEastAsia"/>
          <w:szCs w:val="21"/>
        </w:rPr>
        <w:t>吨）＝10000×直流</w:t>
      </w:r>
      <w:r>
        <w:rPr>
          <w:szCs w:val="21"/>
        </w:rPr>
        <w:t>电消耗总量（万千瓦时）/实际</w:t>
      </w:r>
    </w:p>
    <w:p>
      <w:pPr>
        <w:spacing w:line="312" w:lineRule="auto"/>
        <w:ind w:left="5160" w:hanging="5159" w:hangingChars="2457"/>
        <w:textAlignment w:val="center"/>
        <w:rPr>
          <w:szCs w:val="21"/>
        </w:rPr>
      </w:pPr>
      <w:r>
        <w:rPr>
          <w:rFonts w:hint="eastAsia"/>
          <w:szCs w:val="21"/>
        </w:rPr>
        <w:t>　　　　　　　　　　　　　　　　　　　　　　　　　　</w:t>
      </w:r>
      <w:r>
        <w:rPr>
          <w:szCs w:val="21"/>
        </w:rPr>
        <w:t xml:space="preserve">析出锌产量（吨）  </w:t>
      </w:r>
    </w:p>
    <w:p>
      <w:pPr>
        <w:spacing w:line="312" w:lineRule="auto"/>
        <w:ind w:firstLine="420" w:firstLineChars="200"/>
        <w:textAlignment w:val="center"/>
        <w:rPr>
          <w:szCs w:val="21"/>
        </w:rPr>
      </w:pPr>
      <w:r>
        <w:rPr>
          <w:szCs w:val="21"/>
        </w:rPr>
        <w:t>分子项：直流电消耗总量包括线路损失电量和电解液净化槽耗电量。</w:t>
      </w:r>
    </w:p>
    <w:p>
      <w:pPr>
        <w:spacing w:line="312" w:lineRule="auto"/>
        <w:ind w:firstLine="420" w:firstLineChars="200"/>
        <w:textAlignment w:val="center"/>
        <w:rPr>
          <w:rFonts w:eastAsia="黑体"/>
          <w:bCs/>
          <w:szCs w:val="21"/>
        </w:rPr>
      </w:pPr>
      <w:r>
        <w:rPr>
          <w:szCs w:val="21"/>
        </w:rPr>
        <w:t>分母项：实际析出锌产量。</w:t>
      </w:r>
    </w:p>
    <w:p>
      <w:pPr>
        <w:spacing w:line="312" w:lineRule="auto"/>
        <w:ind w:firstLine="420" w:firstLineChars="200"/>
        <w:textAlignment w:val="center"/>
        <w:rPr>
          <w:rFonts w:eastAsia="黑体"/>
          <w:bCs/>
          <w:szCs w:val="21"/>
        </w:rPr>
      </w:pPr>
      <w:r>
        <w:rPr>
          <w:rFonts w:eastAsia="黑体"/>
          <w:bCs/>
          <w:szCs w:val="21"/>
        </w:rPr>
        <w:t>有色金属材（</w:t>
      </w:r>
      <w:r>
        <w:rPr>
          <w:rFonts w:hint="eastAsia" w:ascii="黑体" w:hAnsi="黑体" w:eastAsia="黑体" w:cs="黑体"/>
          <w:bCs/>
          <w:szCs w:val="21"/>
        </w:rPr>
        <w:t>32</w:t>
      </w:r>
      <w:r>
        <w:rPr>
          <w:rFonts w:eastAsia="黑体"/>
          <w:bCs/>
          <w:szCs w:val="21"/>
        </w:rPr>
        <w:t>）</w:t>
      </w:r>
    </w:p>
    <w:p>
      <w:pPr>
        <w:spacing w:line="312" w:lineRule="auto"/>
        <w:ind w:firstLine="420" w:firstLineChars="200"/>
        <w:textAlignment w:val="center"/>
        <w:rPr>
          <w:rFonts w:eastAsia="黑体"/>
          <w:szCs w:val="21"/>
        </w:rPr>
      </w:pPr>
      <w:r>
        <w:rPr>
          <w:rFonts w:eastAsia="黑体"/>
          <w:szCs w:val="21"/>
        </w:rPr>
        <w:t>吨铜加工材消耗电量</w:t>
      </w:r>
    </w:p>
    <w:p>
      <w:pPr>
        <w:spacing w:line="312" w:lineRule="auto"/>
        <w:ind w:left="4515" w:hanging="4515" w:hangingChars="2150"/>
        <w:textAlignment w:val="center"/>
        <w:rPr>
          <w:szCs w:val="21"/>
        </w:rPr>
      </w:pPr>
      <w:r>
        <w:rPr>
          <w:rFonts w:hint="eastAsia"/>
          <w:szCs w:val="21"/>
        </w:rPr>
        <w:t>　　</w:t>
      </w:r>
      <w:r>
        <w:rPr>
          <w:szCs w:val="21"/>
        </w:rPr>
        <w:t>计算公式：吨铜加工材消耗电量（千瓦时/</w:t>
      </w:r>
      <w:r>
        <w:rPr>
          <w:rFonts w:hint="eastAsia" w:asciiTheme="minorEastAsia" w:hAnsiTheme="minorEastAsia" w:eastAsiaTheme="minorEastAsia" w:cstheme="minorEastAsia"/>
          <w:szCs w:val="21"/>
        </w:rPr>
        <w:t>吨）＝10000×铜加</w:t>
      </w:r>
      <w:r>
        <w:rPr>
          <w:szCs w:val="21"/>
        </w:rPr>
        <w:t>工材用电消耗总量（万千瓦时）/合格</w:t>
      </w:r>
    </w:p>
    <w:p>
      <w:pPr>
        <w:spacing w:line="312" w:lineRule="auto"/>
        <w:ind w:left="4515" w:hanging="4515" w:hangingChars="2150"/>
        <w:textAlignment w:val="center"/>
        <w:rPr>
          <w:szCs w:val="21"/>
        </w:rPr>
      </w:pPr>
      <w:r>
        <w:rPr>
          <w:rFonts w:hint="eastAsia"/>
          <w:szCs w:val="21"/>
        </w:rPr>
        <w:t>　　　　　　　　　　　　　　　　　　　　　　　</w:t>
      </w:r>
      <w:r>
        <w:rPr>
          <w:szCs w:val="21"/>
        </w:rPr>
        <w:t xml:space="preserve">交库的铜材产量（吨）  </w:t>
      </w:r>
    </w:p>
    <w:p>
      <w:pPr>
        <w:spacing w:line="312" w:lineRule="auto"/>
        <w:ind w:firstLine="420" w:firstLineChars="200"/>
        <w:textAlignment w:val="center"/>
        <w:rPr>
          <w:szCs w:val="21"/>
        </w:rPr>
      </w:pPr>
      <w:r>
        <w:rPr>
          <w:szCs w:val="21"/>
        </w:rPr>
        <w:t>分子项：铜加工材用电消耗总量。包括铜加工生产分厂（车间）、辅助分厂（车间）和附属单位所消耗的电量，以及按比例分摊的线路损失电量；不包括铜深加工产品消耗的电量、基建及专供其他单位的用电。</w:t>
      </w:r>
    </w:p>
    <w:p>
      <w:pPr>
        <w:spacing w:line="312" w:lineRule="auto"/>
        <w:ind w:firstLine="420" w:firstLineChars="200"/>
        <w:textAlignment w:val="center"/>
        <w:rPr>
          <w:szCs w:val="21"/>
        </w:rPr>
      </w:pPr>
      <w:r>
        <w:rPr>
          <w:szCs w:val="21"/>
        </w:rPr>
        <w:t>分母项：合格交库铜材产量。包括自用量，不包括深加工产品产量。</w:t>
      </w:r>
    </w:p>
    <w:p>
      <w:pPr>
        <w:spacing w:line="312" w:lineRule="auto"/>
        <w:ind w:firstLine="420" w:firstLineChars="200"/>
        <w:textAlignment w:val="center"/>
        <w:rPr>
          <w:rFonts w:eastAsia="黑体"/>
          <w:szCs w:val="21"/>
        </w:rPr>
      </w:pPr>
      <w:r>
        <w:rPr>
          <w:rFonts w:eastAsia="黑体"/>
          <w:szCs w:val="21"/>
        </w:rPr>
        <w:t>吨铜加工材消耗能源量</w:t>
      </w:r>
    </w:p>
    <w:p>
      <w:pPr>
        <w:spacing w:line="312" w:lineRule="auto"/>
        <w:ind w:left="5145" w:hanging="5145" w:hangingChars="2450"/>
        <w:textAlignment w:val="center"/>
        <w:rPr>
          <w:szCs w:val="21"/>
        </w:rPr>
      </w:pPr>
      <w:r>
        <w:rPr>
          <w:rFonts w:hint="eastAsia"/>
          <w:szCs w:val="21"/>
        </w:rPr>
        <w:t>　　</w:t>
      </w:r>
      <w:r>
        <w:rPr>
          <w:szCs w:val="21"/>
        </w:rPr>
        <w:t>计算公式：吨铜加工材消耗能源量（千克标准</w:t>
      </w:r>
      <w:r>
        <w:rPr>
          <w:rFonts w:hint="eastAsia" w:asciiTheme="minorEastAsia" w:hAnsiTheme="minorEastAsia" w:eastAsiaTheme="minorEastAsia" w:cstheme="minorEastAsia"/>
          <w:szCs w:val="21"/>
        </w:rPr>
        <w:t>煤/吨）＝1000×铜加工</w:t>
      </w:r>
      <w:r>
        <w:rPr>
          <w:szCs w:val="21"/>
        </w:rPr>
        <w:t>材能源消耗总量（吨标准煤）</w:t>
      </w:r>
    </w:p>
    <w:p>
      <w:pPr>
        <w:spacing w:line="312" w:lineRule="auto"/>
        <w:ind w:left="5145" w:hanging="5145" w:hangingChars="2450"/>
        <w:textAlignment w:val="center"/>
        <w:rPr>
          <w:szCs w:val="21"/>
        </w:rPr>
      </w:pPr>
      <w:r>
        <w:rPr>
          <w:rFonts w:hint="eastAsia"/>
          <w:szCs w:val="21"/>
        </w:rPr>
        <w:t xml:space="preserve">　　　　　　　　　　　　　　　　　　　　　　　　　　 </w:t>
      </w:r>
      <w:r>
        <w:rPr>
          <w:szCs w:val="21"/>
        </w:rPr>
        <w:t>/合格交库的铜材产量（吨）</w:t>
      </w:r>
    </w:p>
    <w:p>
      <w:pPr>
        <w:spacing w:line="312" w:lineRule="auto"/>
        <w:ind w:firstLine="420"/>
        <w:textAlignment w:val="center"/>
        <w:rPr>
          <w:szCs w:val="21"/>
        </w:rPr>
      </w:pPr>
      <w:r>
        <w:rPr>
          <w:szCs w:val="21"/>
        </w:rPr>
        <w:t>分子项：铜加工材能源消耗总量。包括铜加工生产分厂（车间）、辅助分厂（车间）和附属单位所消耗的能源，能源亏损量应计入能耗。不包括深加工产品耗能、基建、改造用能和专供其他单位的用能。计量单位为吨标准煤。</w:t>
      </w:r>
    </w:p>
    <w:p>
      <w:pPr>
        <w:spacing w:line="312" w:lineRule="auto"/>
        <w:ind w:firstLine="420" w:firstLineChars="200"/>
        <w:textAlignment w:val="center"/>
        <w:rPr>
          <w:szCs w:val="21"/>
        </w:rPr>
      </w:pPr>
      <w:r>
        <w:rPr>
          <w:szCs w:val="21"/>
        </w:rPr>
        <w:t>分母项：合格交库铜材产量。说明同上。</w:t>
      </w:r>
    </w:p>
    <w:p>
      <w:pPr>
        <w:spacing w:line="312" w:lineRule="auto"/>
        <w:ind w:firstLine="420" w:firstLineChars="200"/>
        <w:textAlignment w:val="center"/>
        <w:rPr>
          <w:szCs w:val="21"/>
        </w:rPr>
      </w:pPr>
      <w:r>
        <w:rPr>
          <w:szCs w:val="21"/>
        </w:rPr>
        <w:t>铜材指用精炼铜和直接利用再生铜作原料，经挤压、锻造、轧制、或拉伸生产的铜加工产品。铜加工产品按形状、尺寸不同可分为：板材、带材、管材、棒材、线材、型材、箔材、锻件等加工材产品。</w:t>
      </w:r>
    </w:p>
    <w:p>
      <w:pPr>
        <w:spacing w:line="312" w:lineRule="auto"/>
        <w:ind w:firstLine="420" w:firstLineChars="200"/>
        <w:textAlignment w:val="center"/>
        <w:rPr>
          <w:rFonts w:eastAsia="黑体"/>
          <w:szCs w:val="21"/>
        </w:rPr>
      </w:pPr>
    </w:p>
    <w:p>
      <w:pPr>
        <w:spacing w:line="312" w:lineRule="auto"/>
        <w:ind w:firstLine="420" w:firstLineChars="200"/>
        <w:textAlignment w:val="center"/>
        <w:rPr>
          <w:rFonts w:eastAsia="黑体"/>
          <w:szCs w:val="21"/>
        </w:rPr>
      </w:pPr>
      <w:r>
        <w:rPr>
          <w:rFonts w:eastAsia="黑体"/>
          <w:szCs w:val="21"/>
        </w:rPr>
        <w:t>吨铝加工材消耗电量</w:t>
      </w:r>
    </w:p>
    <w:p>
      <w:pPr>
        <w:spacing w:line="312" w:lineRule="auto"/>
        <w:ind w:left="4515" w:hanging="4515" w:hangingChars="2150"/>
        <w:textAlignment w:val="center"/>
        <w:rPr>
          <w:szCs w:val="21"/>
        </w:rPr>
      </w:pPr>
      <w:r>
        <w:rPr>
          <w:rFonts w:hint="eastAsia"/>
          <w:szCs w:val="21"/>
        </w:rPr>
        <w:t>　　</w:t>
      </w:r>
      <w:r>
        <w:rPr>
          <w:szCs w:val="21"/>
        </w:rPr>
        <w:t>计算公式：吨铝加工材消耗电量（千瓦</w:t>
      </w:r>
      <w:r>
        <w:rPr>
          <w:rFonts w:hint="eastAsia" w:asciiTheme="minorEastAsia" w:hAnsiTheme="minorEastAsia" w:eastAsiaTheme="minorEastAsia" w:cstheme="minorEastAsia"/>
          <w:szCs w:val="21"/>
        </w:rPr>
        <w:t>时/吨）＝10000×铝加工材</w:t>
      </w:r>
      <w:r>
        <w:rPr>
          <w:szCs w:val="21"/>
        </w:rPr>
        <w:t>用电消耗总量（万千瓦时）/合格</w:t>
      </w:r>
    </w:p>
    <w:p>
      <w:pPr>
        <w:spacing w:line="312" w:lineRule="auto"/>
        <w:ind w:left="4515" w:hanging="4515" w:hangingChars="2150"/>
        <w:textAlignment w:val="center"/>
        <w:rPr>
          <w:szCs w:val="21"/>
        </w:rPr>
      </w:pPr>
      <w:r>
        <w:rPr>
          <w:rFonts w:hint="eastAsia"/>
          <w:szCs w:val="21"/>
        </w:rPr>
        <w:t xml:space="preserve">　　　　　　　　　　　　　　　　　　　　　　　 </w:t>
      </w:r>
      <w:r>
        <w:rPr>
          <w:szCs w:val="21"/>
        </w:rPr>
        <w:t xml:space="preserve">交库的铝材产量（吨）  </w:t>
      </w:r>
    </w:p>
    <w:p>
      <w:pPr>
        <w:spacing w:line="312" w:lineRule="auto"/>
        <w:ind w:firstLine="420" w:firstLineChars="200"/>
        <w:textAlignment w:val="center"/>
        <w:rPr>
          <w:szCs w:val="21"/>
        </w:rPr>
      </w:pPr>
      <w:r>
        <w:rPr>
          <w:szCs w:val="21"/>
        </w:rPr>
        <w:t>分子项：铝加工材用电消耗总量。包括铝加工生产分厂（车间），辅助分厂（车间）和附属单位所消耗的电量，以及按比例分摊的线路损失电量。不包括铝深加工产品所消耗的电量、基建及专供其他单位用电。</w:t>
      </w:r>
    </w:p>
    <w:p>
      <w:pPr>
        <w:spacing w:line="312" w:lineRule="auto"/>
        <w:ind w:firstLine="420" w:firstLineChars="200"/>
        <w:textAlignment w:val="center"/>
        <w:rPr>
          <w:szCs w:val="21"/>
        </w:rPr>
      </w:pPr>
      <w:r>
        <w:rPr>
          <w:szCs w:val="21"/>
        </w:rPr>
        <w:t>分母项：合格交库的铝材产量。包括自用量，不包括深加工产品产量。</w:t>
      </w:r>
    </w:p>
    <w:p>
      <w:pPr>
        <w:spacing w:line="312" w:lineRule="auto"/>
        <w:ind w:firstLine="420" w:firstLineChars="200"/>
        <w:textAlignment w:val="center"/>
        <w:rPr>
          <w:rFonts w:eastAsia="黑体"/>
          <w:szCs w:val="21"/>
        </w:rPr>
      </w:pPr>
      <w:r>
        <w:rPr>
          <w:szCs w:val="21"/>
        </w:rPr>
        <w:t>铝材指用铝液、电解铝锭、铝合金锭及直接利用的再生铝作原料，经挤压、锻造、轧制、或拉伸生产的铝加工产品。铝加工产品按形状、尺寸不同可分为：板材、带材、管材、棒材、线材、型材、箔材、排材、锻件等铝加工材产品。</w:t>
      </w:r>
    </w:p>
    <w:p>
      <w:pPr>
        <w:spacing w:line="312" w:lineRule="auto"/>
        <w:ind w:firstLine="420" w:firstLineChars="200"/>
        <w:textAlignment w:val="center"/>
        <w:rPr>
          <w:rFonts w:eastAsia="黑体"/>
          <w:szCs w:val="21"/>
        </w:rPr>
      </w:pPr>
      <w:r>
        <w:rPr>
          <w:rFonts w:eastAsia="黑体"/>
          <w:szCs w:val="21"/>
        </w:rPr>
        <w:t>吨铝加工材消耗能源量</w:t>
      </w:r>
    </w:p>
    <w:p>
      <w:pPr>
        <w:spacing w:line="312" w:lineRule="auto"/>
        <w:ind w:left="5145" w:hanging="5145" w:hangingChars="2450"/>
        <w:textAlignment w:val="center"/>
        <w:rPr>
          <w:szCs w:val="21"/>
        </w:rPr>
      </w:pPr>
      <w:r>
        <w:rPr>
          <w:rFonts w:hint="eastAsia"/>
          <w:szCs w:val="21"/>
        </w:rPr>
        <w:t>　　</w:t>
      </w:r>
      <w:r>
        <w:rPr>
          <w:szCs w:val="21"/>
        </w:rPr>
        <w:t>计算公式：吨铝加工材消耗能源量（千克标</w:t>
      </w:r>
      <w:r>
        <w:rPr>
          <w:rFonts w:hint="eastAsia" w:asciiTheme="minorEastAsia" w:hAnsiTheme="minorEastAsia" w:eastAsiaTheme="minorEastAsia" w:cstheme="minorEastAsia"/>
          <w:szCs w:val="21"/>
        </w:rPr>
        <w:t>准煤/吨）＝1000×铝加</w:t>
      </w:r>
      <w:r>
        <w:rPr>
          <w:szCs w:val="21"/>
        </w:rPr>
        <w:t>工材能源消耗总量（吨标准）/</w:t>
      </w:r>
    </w:p>
    <w:p>
      <w:pPr>
        <w:spacing w:line="312" w:lineRule="auto"/>
        <w:ind w:left="5145" w:hanging="5145" w:hangingChars="2450"/>
        <w:textAlignment w:val="center"/>
        <w:rPr>
          <w:szCs w:val="21"/>
        </w:rPr>
      </w:pPr>
      <w:r>
        <w:rPr>
          <w:rFonts w:hint="eastAsia"/>
          <w:szCs w:val="21"/>
        </w:rPr>
        <w:t xml:space="preserve">　　　　　　　　　　　　　　　　　　　　　　　　　　 </w:t>
      </w:r>
      <w:r>
        <w:rPr>
          <w:szCs w:val="21"/>
        </w:rPr>
        <w:t xml:space="preserve">合格交库的铝材产量（吨）  </w:t>
      </w:r>
    </w:p>
    <w:p>
      <w:pPr>
        <w:spacing w:line="312" w:lineRule="auto"/>
        <w:ind w:firstLine="420" w:firstLineChars="200"/>
        <w:textAlignment w:val="center"/>
        <w:rPr>
          <w:szCs w:val="21"/>
        </w:rPr>
      </w:pPr>
      <w:r>
        <w:rPr>
          <w:szCs w:val="21"/>
        </w:rPr>
        <w:t>分子项：铝加工材能源消耗总量。包括铝加工生产、辅助单位和附属单位能源消耗的总和，能源亏损量要计入消耗量内。不包括深加工产品耗能以及基建、改造用能和专供其他单位的用能。计量单位为吨标准煤。</w:t>
      </w:r>
    </w:p>
    <w:p>
      <w:pPr>
        <w:spacing w:line="312" w:lineRule="auto"/>
        <w:ind w:firstLine="420" w:firstLineChars="200"/>
        <w:textAlignment w:val="center"/>
        <w:rPr>
          <w:rFonts w:eastAsia="黑体"/>
          <w:bCs/>
          <w:szCs w:val="21"/>
        </w:rPr>
      </w:pPr>
      <w:r>
        <w:rPr>
          <w:szCs w:val="21"/>
        </w:rPr>
        <w:t>分母项：合格交库的铝材产量。说明同上。</w:t>
      </w:r>
    </w:p>
    <w:p>
      <w:pPr>
        <w:spacing w:line="312" w:lineRule="auto"/>
        <w:ind w:firstLine="420" w:firstLineChars="200"/>
        <w:textAlignment w:val="center"/>
        <w:rPr>
          <w:rFonts w:eastAsia="黑体"/>
          <w:bCs/>
          <w:szCs w:val="21"/>
        </w:rPr>
      </w:pPr>
      <w:r>
        <w:rPr>
          <w:rFonts w:eastAsia="黑体"/>
          <w:bCs/>
          <w:szCs w:val="21"/>
        </w:rPr>
        <w:t>火力发电（</w:t>
      </w:r>
      <w:r>
        <w:rPr>
          <w:rFonts w:hint="eastAsia" w:ascii="黑体" w:hAnsi="黑体" w:eastAsia="黑体" w:cs="黑体"/>
          <w:bCs/>
          <w:szCs w:val="21"/>
        </w:rPr>
        <w:t>44</w:t>
      </w:r>
      <w:r>
        <w:rPr>
          <w:rFonts w:eastAsia="黑体"/>
          <w:bCs/>
          <w:szCs w:val="21"/>
        </w:rPr>
        <w:t>）</w:t>
      </w:r>
    </w:p>
    <w:p>
      <w:pPr>
        <w:spacing w:line="312" w:lineRule="auto"/>
        <w:ind w:firstLine="420" w:firstLineChars="200"/>
        <w:textAlignment w:val="center"/>
        <w:rPr>
          <w:rFonts w:eastAsia="黑体"/>
          <w:szCs w:val="21"/>
        </w:rPr>
      </w:pPr>
      <w:r>
        <w:rPr>
          <w:rFonts w:eastAsia="黑体"/>
          <w:szCs w:val="21"/>
        </w:rPr>
        <w:t>电厂火力发电标准煤耗</w:t>
      </w:r>
    </w:p>
    <w:p>
      <w:pPr>
        <w:spacing w:line="312" w:lineRule="auto"/>
        <w:ind w:left="5775" w:hanging="5775" w:hangingChars="2750"/>
        <w:textAlignment w:val="center"/>
        <w:rPr>
          <w:szCs w:val="21"/>
        </w:rPr>
      </w:pPr>
      <w:r>
        <w:rPr>
          <w:rFonts w:hint="eastAsia"/>
          <w:szCs w:val="21"/>
        </w:rPr>
        <w:t>　　</w:t>
      </w:r>
      <w:r>
        <w:rPr>
          <w:szCs w:val="21"/>
        </w:rPr>
        <w:t>计算公式：电厂火力发电标准煤耗（克标准煤/千瓦时</w:t>
      </w:r>
      <w:r>
        <w:rPr>
          <w:rFonts w:hint="eastAsia" w:asciiTheme="minorEastAsia" w:hAnsiTheme="minorEastAsia" w:eastAsiaTheme="minorEastAsia" w:cstheme="minorEastAsia"/>
          <w:szCs w:val="21"/>
        </w:rPr>
        <w:t>）＝100×发</w:t>
      </w:r>
      <w:r>
        <w:rPr>
          <w:szCs w:val="21"/>
        </w:rPr>
        <w:t>电耗用标准煤量（吨标准煤）/火力发电量（万千瓦时）</w:t>
      </w:r>
    </w:p>
    <w:p>
      <w:pPr>
        <w:spacing w:line="312" w:lineRule="auto"/>
        <w:ind w:firstLine="404" w:firstLineChars="200"/>
        <w:textAlignment w:val="center"/>
        <w:rPr>
          <w:spacing w:val="-4"/>
          <w:sz w:val="21"/>
          <w:szCs w:val="21"/>
        </w:rPr>
      </w:pPr>
      <w:r>
        <w:rPr>
          <w:spacing w:val="-4"/>
          <w:sz w:val="21"/>
          <w:szCs w:val="21"/>
        </w:rPr>
        <w:t>分子项：发电耗用标准煤量。指发电生产耗用的原煤、燃料油和燃气等（标准煤）。不包括如下用项：</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（1）新设备或大修后设备的烘炉、煮炉、暖风机、空载运行的用能；</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（2）新设备在未移交生产前的带负荷试运行期间的用能；</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（3）计划大修以及基建、更改工程施工的用能；</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（4）发电机作调相运行时耗用的用能；</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（5）自备机车、船舶等耗用的用能；</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（6）升、降压变压器（不包括厂用电变压器）、变波机、调相机等消耗的用能；</w:t>
      </w:r>
    </w:p>
    <w:p>
      <w:pPr>
        <w:spacing w:line="312" w:lineRule="auto"/>
        <w:ind w:firstLine="420" w:firstLineChars="200"/>
        <w:textAlignment w:val="center"/>
        <w:rPr>
          <w:szCs w:val="21"/>
        </w:rPr>
      </w:pPr>
      <w:r>
        <w:rPr>
          <w:rFonts w:hint="eastAsia" w:asciiTheme="minorEastAsia" w:hAnsiTheme="minorEastAsia" w:eastAsiaTheme="minorEastAsia" w:cstheme="minorEastAsia"/>
          <w:szCs w:val="21"/>
        </w:rPr>
        <w:t>（7）修配</w:t>
      </w:r>
      <w:r>
        <w:rPr>
          <w:szCs w:val="21"/>
        </w:rPr>
        <w:t>车间、车库、副业、综合利用、集体企业、外供及非生产用（食堂、宿舍、幼儿园、学校、医院、服务公司和办公室等）的燃料。</w:t>
      </w:r>
    </w:p>
    <w:p>
      <w:pPr>
        <w:spacing w:line="312" w:lineRule="auto"/>
        <w:ind w:firstLine="420" w:firstLineChars="200"/>
        <w:textAlignment w:val="center"/>
        <w:rPr>
          <w:szCs w:val="21"/>
        </w:rPr>
      </w:pPr>
      <w:r>
        <w:rPr>
          <w:szCs w:val="21"/>
        </w:rPr>
        <w:t>发电企业对外供热，其</w:t>
      </w:r>
      <w:r>
        <w:rPr>
          <w:rFonts w:hint="eastAsia"/>
          <w:szCs w:val="21"/>
        </w:rPr>
        <w:t>“</w:t>
      </w:r>
      <w:r>
        <w:rPr>
          <w:szCs w:val="21"/>
        </w:rPr>
        <w:t>发电耗用标准煤量</w:t>
      </w:r>
      <w:r>
        <w:rPr>
          <w:rFonts w:hint="eastAsia"/>
          <w:szCs w:val="21"/>
        </w:rPr>
        <w:t>”</w:t>
      </w:r>
      <w:r>
        <w:rPr>
          <w:szCs w:val="21"/>
        </w:rPr>
        <w:t>计算方法如下：</w:t>
      </w:r>
    </w:p>
    <w:p>
      <w:pPr>
        <w:spacing w:line="312" w:lineRule="auto"/>
        <w:ind w:firstLine="420" w:firstLineChars="200"/>
        <w:textAlignment w:val="center"/>
        <w:rPr>
          <w:szCs w:val="21"/>
        </w:rPr>
      </w:pPr>
      <w:r>
        <w:rPr>
          <w:szCs w:val="21"/>
        </w:rPr>
        <w:t>发电耗用标准煤量＝发电、供热耗用标准煤量－供热耗用标准煤量</w:t>
      </w:r>
    </w:p>
    <w:p>
      <w:pPr>
        <w:spacing w:line="312" w:lineRule="auto"/>
        <w:ind w:firstLine="420" w:firstLineChars="200"/>
        <w:textAlignment w:val="center"/>
        <w:rPr>
          <w:szCs w:val="21"/>
        </w:rPr>
      </w:pPr>
      <w:r>
        <w:rPr>
          <w:szCs w:val="21"/>
        </w:rPr>
        <w:t>式中</w:t>
      </w:r>
      <w:r>
        <w:rPr>
          <w:rFonts w:hint="eastAsia"/>
          <w:szCs w:val="21"/>
        </w:rPr>
        <w:t>“</w:t>
      </w:r>
      <w:r>
        <w:rPr>
          <w:szCs w:val="21"/>
        </w:rPr>
        <w:t>供热耗用标准煤量</w:t>
      </w:r>
      <w:r>
        <w:rPr>
          <w:rFonts w:hint="eastAsia"/>
          <w:szCs w:val="21"/>
        </w:rPr>
        <w:t>”</w:t>
      </w:r>
      <w:r>
        <w:rPr>
          <w:szCs w:val="21"/>
        </w:rPr>
        <w:t>的计算，根据不同的供热方式，分别采用如下计算方法：</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（1）由供热式汽轮机组供热：</w:t>
      </w:r>
    </w:p>
    <w:p>
      <w:pPr>
        <w:spacing w:line="312" w:lineRule="auto"/>
        <w:ind w:left="2940" w:hanging="2940" w:hangingChars="14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供热耗用标准煤量（吨）＝发电、供热耗用标准煤量×［供热量（百万千焦）/发电、供热总耗热量（百万千焦）］</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（2）由锅炉直接供热：</w:t>
      </w:r>
    </w:p>
    <w:p>
      <w:pPr>
        <w:spacing w:line="312" w:lineRule="auto"/>
        <w:ind w:firstLine="420" w:firstLineChars="200"/>
        <w:textAlignment w:val="center"/>
        <w:rPr>
          <w:szCs w:val="21"/>
        </w:rPr>
      </w:pPr>
      <w:r>
        <w:rPr>
          <w:rFonts w:hint="eastAsia" w:asciiTheme="minorEastAsia" w:hAnsiTheme="minorEastAsia" w:eastAsiaTheme="minorEastAsia" w:cstheme="minorEastAsia"/>
          <w:szCs w:val="21"/>
        </w:rPr>
        <w:t>供热耗用</w:t>
      </w:r>
      <w:r>
        <w:rPr>
          <w:szCs w:val="21"/>
        </w:rPr>
        <w:t>标准煤量（吨）＝锅炉供热量折标准煤量（吨）/锅炉热效率</w:t>
      </w:r>
    </w:p>
    <w:p>
      <w:pPr>
        <w:spacing w:line="312" w:lineRule="auto"/>
        <w:ind w:firstLine="420" w:firstLineChars="200"/>
        <w:textAlignment w:val="center"/>
        <w:rPr>
          <w:szCs w:val="21"/>
        </w:rPr>
      </w:pPr>
      <w:r>
        <w:rPr>
          <w:szCs w:val="21"/>
        </w:rPr>
        <w:t>分母项：火力发电量。指报告期内火力发电厂生产的电量，扣除试运行期间的电量。</w:t>
      </w:r>
    </w:p>
    <w:p>
      <w:pPr>
        <w:spacing w:line="312" w:lineRule="auto"/>
        <w:ind w:firstLine="420" w:firstLineChars="200"/>
        <w:textAlignment w:val="center"/>
        <w:rPr>
          <w:rFonts w:eastAsia="黑体"/>
          <w:szCs w:val="21"/>
        </w:rPr>
      </w:pPr>
    </w:p>
    <w:p>
      <w:pPr>
        <w:spacing w:line="312" w:lineRule="auto"/>
        <w:ind w:firstLine="420" w:firstLineChars="200"/>
        <w:textAlignment w:val="center"/>
        <w:rPr>
          <w:rFonts w:eastAsia="黑体"/>
          <w:szCs w:val="21"/>
        </w:rPr>
      </w:pPr>
      <w:r>
        <w:rPr>
          <w:rFonts w:eastAsia="黑体"/>
          <w:szCs w:val="21"/>
        </w:rPr>
        <w:t>电厂火力供电标准煤耗</w:t>
      </w:r>
    </w:p>
    <w:p>
      <w:pPr>
        <w:spacing w:line="312" w:lineRule="auto"/>
        <w:ind w:left="5775" w:hanging="5775" w:hangingChars="2750"/>
        <w:textAlignment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　　计算公式：电厂火力供电标准煤耗（克标准煤/千瓦时）＝100×发电耗用标准煤量（吨标准煤）/电厂供电量（万千瓦时）</w:t>
      </w:r>
    </w:p>
    <w:p>
      <w:pPr>
        <w:spacing w:line="312" w:lineRule="auto"/>
        <w:ind w:firstLine="420" w:firstLineChars="200"/>
        <w:textAlignment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分子项：发电耗用标准煤量。说明同上。</w:t>
      </w:r>
    </w:p>
    <w:p>
      <w:pPr>
        <w:spacing w:line="312" w:lineRule="auto"/>
        <w:ind w:firstLine="420" w:firstLineChars="200"/>
        <w:textAlignment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分母项：电厂供电量。即电厂火力发电量减去厂用电量。厂用电量包括电厂动力、照明、通风、取暖及经常维修等用电量，以及其他励磁用电量、设备属于电厂资产并由电厂负责其运行和检修的厂外输油管道系统、循环管道系统和除灰管道系统等用电量。厂用电量既包括本厂生产的电力供本厂生产耗用的电量，也包括购电量中供本厂使用的电量。</w:t>
      </w:r>
    </w:p>
    <w:p>
      <w:pPr>
        <w:spacing w:line="312" w:lineRule="auto"/>
        <w:ind w:firstLine="420" w:firstLineChars="200"/>
        <w:textAlignment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厂用电量不包括：</w:t>
      </w:r>
    </w:p>
    <w:p>
      <w:pPr>
        <w:spacing w:line="312" w:lineRule="auto"/>
        <w:ind w:firstLine="420" w:firstLineChars="200"/>
        <w:textAlignment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（1）新设备或大修后设备的烘炉、煮炉、暖风机、空载运行的用电；</w:t>
      </w:r>
    </w:p>
    <w:p>
      <w:pPr>
        <w:spacing w:line="312" w:lineRule="auto"/>
        <w:ind w:firstLine="420" w:firstLineChars="200"/>
        <w:textAlignment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（2）新设备在未移交生产前的带负荷试运行期间的用电；</w:t>
      </w:r>
    </w:p>
    <w:p>
      <w:pPr>
        <w:spacing w:line="312" w:lineRule="auto"/>
        <w:ind w:firstLine="420" w:firstLineChars="200"/>
        <w:textAlignment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（3）计划大修以及基建、更改工程施工用电；</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（4）发电机作调相运行时的用电；</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（5）自备机车、船舶等的用电；</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（6）升、降压变压器（不包括厂用电变压器）、变波机、调相机等的用电；</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（7）修配车间、车库、副业、综合利用、集体企业、外供及非生产（食堂、宿舍、幼儿园、学校、医院、服务公司和办公室等）的用电。</w:t>
      </w:r>
    </w:p>
    <w:p>
      <w:pPr>
        <w:spacing w:line="312" w:lineRule="auto"/>
        <w:ind w:firstLine="420" w:firstLineChars="200"/>
        <w:textAlignment w:val="center"/>
        <w:rPr>
          <w:rFonts w:eastAsia="黑体"/>
          <w:szCs w:val="21"/>
        </w:rPr>
      </w:pPr>
      <w:r>
        <w:rPr>
          <w:rFonts w:eastAsia="黑体"/>
          <w:szCs w:val="21"/>
        </w:rPr>
        <w:t>发电厂用电率</w:t>
      </w:r>
    </w:p>
    <w:p>
      <w:pPr>
        <w:spacing w:line="312" w:lineRule="auto"/>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计算公式：发电厂用电率（%）＝发电厂用电量（万千瓦时）/发电量（万千瓦时）×100%</w:t>
      </w:r>
    </w:p>
    <w:p>
      <w:pPr>
        <w:snapToGrid w:val="0"/>
        <w:spacing w:line="312" w:lineRule="auto"/>
        <w:ind w:firstLine="42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Cs w:val="21"/>
        </w:rPr>
        <w:t>发电量、发电厂用电量说明同上。</w:t>
      </w:r>
      <w:r>
        <w:rPr>
          <w:rFonts w:hint="eastAsia" w:asciiTheme="minorEastAsia" w:hAnsiTheme="minorEastAsia" w:eastAsiaTheme="minorEastAsia" w:cstheme="minorEastAsia"/>
          <w:sz w:val="32"/>
        </w:rPr>
        <w:br w:type="page"/>
      </w:r>
    </w:p>
    <w:p>
      <w:pPr>
        <w:ind w:right="-38"/>
        <w:jc w:val="center"/>
        <w:rPr>
          <w:rFonts w:hint="default" w:ascii="Times New Roman" w:hAnsi="Times New Roman" w:eastAsia="黑体" w:cs="Times New Roman"/>
          <w:sz w:val="24"/>
        </w:rPr>
      </w:pPr>
      <w:r>
        <w:rPr>
          <w:rFonts w:hint="default" w:ascii="Times New Roman" w:hAnsi="Times New Roman" w:eastAsia="黑体" w:cs="Times New Roman"/>
          <w:sz w:val="24"/>
        </w:rPr>
        <w:t>3.能源生产、销售与库存目录</w:t>
      </w:r>
    </w:p>
    <w:p>
      <w:pPr>
        <w:keepNext w:val="0"/>
        <w:keepLines w:val="0"/>
        <w:pageBreakBefore w:val="0"/>
        <w:widowControl w:val="0"/>
        <w:kinsoku/>
        <w:wordWrap/>
        <w:overflowPunct/>
        <w:topLinePunct w:val="0"/>
        <w:autoSpaceDE/>
        <w:autoSpaceDN/>
        <w:bidi w:val="0"/>
        <w:adjustRightInd/>
        <w:snapToGrid/>
        <w:spacing w:after="144" w:afterLines="50"/>
        <w:ind w:right="-40"/>
        <w:jc w:val="center"/>
        <w:textAlignment w:val="auto"/>
        <w:rPr>
          <w:rFonts w:hint="default" w:ascii="Times New Roman" w:hAnsi="Times New Roman" w:cs="Times New Roman"/>
        </w:rPr>
      </w:pPr>
      <w:r>
        <w:rPr>
          <w:rFonts w:hint="default" w:ascii="Times New Roman" w:hAnsi="Times New Roman" w:eastAsia="黑体" w:cs="Times New Roman"/>
          <w:sz w:val="24"/>
        </w:rPr>
        <w:t>(限填报205-6表)</w:t>
      </w:r>
    </w:p>
    <w:tbl>
      <w:tblPr>
        <w:tblStyle w:val="21"/>
        <w:tblW w:w="9864" w:type="dxa"/>
        <w:jc w:val="center"/>
        <w:tblBorders>
          <w:top w:val="single" w:color="auto" w:sz="8" w:space="0"/>
          <w:left w:val="none" w:color="auto" w:sz="0" w:space="0"/>
          <w:bottom w:val="single" w:color="auto" w:sz="8" w:space="0"/>
          <w:right w:val="none" w:color="auto" w:sz="0" w:space="0"/>
          <w:insideH w:val="none" w:color="auto" w:sz="0" w:space="0"/>
          <w:insideV w:val="single" w:color="auto" w:sz="2" w:space="0"/>
        </w:tblBorders>
        <w:tblLayout w:type="fixed"/>
        <w:tblCellMar>
          <w:top w:w="0" w:type="dxa"/>
          <w:left w:w="108" w:type="dxa"/>
          <w:bottom w:w="0" w:type="dxa"/>
          <w:right w:w="108" w:type="dxa"/>
        </w:tblCellMar>
      </w:tblPr>
      <w:tblGrid>
        <w:gridCol w:w="2665"/>
        <w:gridCol w:w="1020"/>
        <w:gridCol w:w="1134"/>
        <w:gridCol w:w="2891"/>
        <w:gridCol w:w="1020"/>
        <w:gridCol w:w="1134"/>
      </w:tblGrid>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83" w:hRule="atLeast"/>
          <w:jc w:val="center"/>
        </w:trPr>
        <w:tc>
          <w:tcPr>
            <w:tcW w:w="2665" w:type="dxa"/>
            <w:tcBorders>
              <w:top w:val="single" w:color="auto" w:sz="8" w:space="0"/>
              <w:bottom w:val="single" w:color="auto" w:sz="2" w:space="0"/>
            </w:tcBorders>
            <w:shd w:val="clear" w:color="auto" w:fill="auto"/>
            <w:noWrap/>
            <w:tcMar>
              <w:left w:w="28" w:type="dxa"/>
              <w:right w:w="28" w:type="dxa"/>
            </w:tcMar>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能源名称</w:t>
            </w:r>
          </w:p>
        </w:tc>
        <w:tc>
          <w:tcPr>
            <w:tcW w:w="1020" w:type="dxa"/>
            <w:tcBorders>
              <w:top w:val="single" w:color="auto" w:sz="8" w:space="0"/>
              <w:bottom w:val="single" w:color="auto" w:sz="2" w:space="0"/>
            </w:tcBorders>
            <w:shd w:val="clear" w:color="auto" w:fill="auto"/>
            <w:noWrap/>
            <w:tcMar>
              <w:left w:w="28" w:type="dxa"/>
              <w:right w:w="28" w:type="dxa"/>
            </w:tcMar>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计量单位</w:t>
            </w:r>
          </w:p>
        </w:tc>
        <w:tc>
          <w:tcPr>
            <w:tcW w:w="1134" w:type="dxa"/>
            <w:tcBorders>
              <w:top w:val="single" w:color="auto" w:sz="8" w:space="0"/>
              <w:bottom w:val="single" w:color="auto" w:sz="2" w:space="0"/>
              <w:right w:val="double" w:color="auto" w:sz="4" w:space="0"/>
            </w:tcBorders>
            <w:shd w:val="clear" w:color="auto" w:fill="auto"/>
            <w:noWrap/>
            <w:tcMar>
              <w:left w:w="28" w:type="dxa"/>
              <w:right w:w="28" w:type="dxa"/>
            </w:tcMar>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代码</w:t>
            </w:r>
          </w:p>
        </w:tc>
        <w:tc>
          <w:tcPr>
            <w:tcW w:w="2891" w:type="dxa"/>
            <w:tcBorders>
              <w:top w:val="single" w:color="auto" w:sz="8" w:space="0"/>
              <w:left w:val="double" w:color="auto" w:sz="4" w:space="0"/>
              <w:bottom w:val="single" w:color="auto" w:sz="2" w:space="0"/>
            </w:tcBorders>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能源名称</w:t>
            </w:r>
          </w:p>
        </w:tc>
        <w:tc>
          <w:tcPr>
            <w:tcW w:w="1020" w:type="dxa"/>
            <w:tcBorders>
              <w:top w:val="single" w:color="auto" w:sz="8" w:space="0"/>
              <w:bottom w:val="single" w:color="auto" w:sz="2" w:space="0"/>
            </w:tcBorders>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计量单位</w:t>
            </w:r>
          </w:p>
        </w:tc>
        <w:tc>
          <w:tcPr>
            <w:tcW w:w="1134" w:type="dxa"/>
            <w:tcBorders>
              <w:top w:val="single" w:color="auto" w:sz="8" w:space="0"/>
              <w:bottom w:val="single" w:color="auto" w:sz="2" w:space="0"/>
            </w:tcBorders>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代码</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tcBorders>
              <w:top w:val="single" w:color="auto" w:sz="2" w:space="0"/>
            </w:tcBorders>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煤炭及煤炭制品</w:t>
            </w:r>
          </w:p>
        </w:tc>
        <w:tc>
          <w:tcPr>
            <w:tcW w:w="1020" w:type="dxa"/>
            <w:tcBorders>
              <w:top w:val="single" w:color="auto" w:sz="2"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w:t>
            </w:r>
          </w:p>
        </w:tc>
        <w:tc>
          <w:tcPr>
            <w:tcW w:w="1134" w:type="dxa"/>
            <w:tcBorders>
              <w:top w:val="single" w:color="auto" w:sz="2" w:space="0"/>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0600000000</w:t>
            </w:r>
          </w:p>
        </w:tc>
        <w:tc>
          <w:tcPr>
            <w:tcW w:w="2891" w:type="dxa"/>
            <w:tcBorders>
              <w:top w:val="single" w:color="auto" w:sz="2" w:space="0"/>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其他石油制品</w:t>
            </w:r>
          </w:p>
        </w:tc>
        <w:tc>
          <w:tcPr>
            <w:tcW w:w="1020" w:type="dxa"/>
            <w:tcBorders>
              <w:top w:val="single" w:color="auto" w:sz="2" w:space="0"/>
            </w:tcBorders>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top w:val="single" w:color="auto" w:sz="2" w:space="0"/>
            </w:tcBorders>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2502990000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原煤</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0601000000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生物质能</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2540000000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无烟煤</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0601010000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固态生物燃料</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2542000000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炼焦烟煤</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0601020100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液态生物燃料</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2541000000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一般烟煤</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0601020200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生物乙醇</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1501020300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褐煤</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0601030000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生物柴油</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2503030101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煤炭制品</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2524000000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生物航空煤油</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2541030000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洗精煤（用于炼焦）</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0602010000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其他液态生物燃料</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2541040000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其他洗煤</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0602070000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气态生物燃料</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万立方米</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4520000000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焦炭</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2504011001</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4401010000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型煤及其他煤制品</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2524010000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火力发电量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4401010100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煤焦油</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2521020000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燃煤发电量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4401010101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煤气</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万立方米</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4501000000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其中：煤矸石发电量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4401010105</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360" w:firstLineChars="2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其中：焦炉煤气</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万立方米</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4501010000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燃油发电量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4401010102</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left="525" w:leftChars="250" w:firstLine="360" w:firstLineChars="2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高炉煤气</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万立方米</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4501030000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燃气发电量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4401010103</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left="525" w:leftChars="250" w:firstLine="360" w:firstLineChars="2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转炉煤气</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万立方米</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4501040000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其中：煤层气发电量  </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4401010106</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煤制天然气</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万立方米</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2522010000</w:t>
            </w:r>
          </w:p>
        </w:tc>
        <w:tc>
          <w:tcPr>
            <w:tcW w:w="2891" w:type="dxa"/>
            <w:tcBorders>
              <w:left w:val="double" w:color="auto" w:sz="4" w:space="0"/>
            </w:tcBorders>
            <w:vAlign w:val="center"/>
          </w:tcPr>
          <w:p>
            <w:pPr>
              <w:widowControl/>
              <w:spacing w:line="200" w:lineRule="exact"/>
              <w:ind w:firstLine="320" w:firstLineChars="200"/>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pacing w:val="-10"/>
                <w:sz w:val="18"/>
                <w:szCs w:val="18"/>
              </w:rPr>
              <w:t>余热、余压、余气发电量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4401010104</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煤制油</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2523000000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生物质发电量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4401011000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煤制石脑油</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2523010000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其中：沼气发电量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4401010700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煤制汽油</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2523020000</w:t>
            </w:r>
          </w:p>
        </w:tc>
        <w:tc>
          <w:tcPr>
            <w:tcW w:w="2891" w:type="dxa"/>
            <w:tcBorders>
              <w:left w:val="double" w:color="auto" w:sz="4" w:space="0"/>
            </w:tcBorders>
            <w:vAlign w:val="center"/>
          </w:tcPr>
          <w:p>
            <w:pPr>
              <w:widowControl/>
              <w:spacing w:line="200" w:lineRule="exact"/>
              <w:ind w:firstLine="1080" w:firstLineChars="600"/>
              <w:jc w:val="left"/>
              <w:rPr>
                <w:rFonts w:asciiTheme="minorEastAsia" w:hAnsiTheme="minorEastAsia" w:eastAsiaTheme="minorEastAsia" w:cstheme="minorEastAsia"/>
                <w:spacing w:val="-10"/>
                <w:kern w:val="0"/>
                <w:sz w:val="18"/>
                <w:szCs w:val="18"/>
                <w:lang w:val="en-US" w:eastAsia="zh-CN" w:bidi="ar-SA"/>
              </w:rPr>
            </w:pPr>
            <w:r>
              <w:rPr>
                <w:rFonts w:hint="eastAsia" w:asciiTheme="minorEastAsia" w:hAnsiTheme="minorEastAsia" w:eastAsiaTheme="minorEastAsia" w:cstheme="minorEastAsia"/>
                <w:sz w:val="18"/>
                <w:szCs w:val="18"/>
                <w:lang w:eastAsia="zh-CN"/>
              </w:rPr>
              <w:t>垃圾焚烧发电量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lang w:eastAsia="zh-CN"/>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4401010</w:t>
            </w:r>
            <w:r>
              <w:rPr>
                <w:rFonts w:hint="eastAsia" w:asciiTheme="minorEastAsia" w:hAnsiTheme="minorEastAsia" w:eastAsiaTheme="minorEastAsia" w:cstheme="minorEastAsia"/>
                <w:sz w:val="18"/>
                <w:szCs w:val="18"/>
                <w:lang w:val="en-US" w:eastAsia="zh-CN"/>
              </w:rPr>
              <w:t>9</w:t>
            </w:r>
            <w:r>
              <w:rPr>
                <w:rFonts w:hint="eastAsia" w:asciiTheme="minorEastAsia" w:hAnsiTheme="minorEastAsia" w:eastAsiaTheme="minorEastAsia" w:cstheme="minorEastAsia"/>
                <w:sz w:val="18"/>
                <w:szCs w:val="18"/>
              </w:rPr>
              <w:t>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煤制柴油</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2523030000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spacing w:val="-10"/>
                <w:kern w:val="0"/>
                <w:sz w:val="18"/>
                <w:szCs w:val="18"/>
                <w:lang w:val="en-US" w:eastAsia="zh-CN" w:bidi="ar-SA"/>
              </w:rPr>
            </w:pPr>
            <w:r>
              <w:rPr>
                <w:rFonts w:hint="eastAsia" w:asciiTheme="minorEastAsia" w:hAnsiTheme="minorEastAsia" w:eastAsiaTheme="minorEastAsia" w:cstheme="minorEastAsia"/>
                <w:sz w:val="18"/>
                <w:szCs w:val="18"/>
              </w:rPr>
              <w:t xml:space="preserve">  水力发电量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4401010200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煤制航空燃料</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2523040000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其中：抽水蓄能发电量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4401010201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煤制石蜡</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2523050000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核能发电量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4401010300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其他煤制油产品</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2523060000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风力发电量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4401010500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天然气及天然气加工制品</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0720000000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太阳能发电量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4401010400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天然气</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万立方米</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0702000000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潮汐能发电量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4401010600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常规天然气</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万立方米</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0702010000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地热能发电量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4401010800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非常规天然气</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万立方米</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0702020000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其他发电量</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万千瓦时</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4401019900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煤层气</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万立方米</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0704000000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热力</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百万千焦</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4402010000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页岩气</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万立方米</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0702020100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太阳能供热</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百万千焦</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4402010100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致密砂岩气</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万立方米</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0702020200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生物质能供热</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百万千焦</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4402010200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天然气加工制品</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0703100000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地热能供热</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百万千焦</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4402010300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 xml:space="preserve">    液化天然气</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0703000000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化石燃料供热</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百万千焦</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4402010400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石油及石油制品</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0710000000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废料燃烧供热</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百万千焦</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4402010500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原油</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0701000000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电热锅炉供热</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百万千焦</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4402010600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360" w:firstLineChars="2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其中：页岩油</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2503010000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热泵供热</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百万千焦</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4402010700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原油加工量</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2501000000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 xml:space="preserve">  余热余压供热</w:t>
            </w:r>
          </w:p>
        </w:tc>
        <w:tc>
          <w:tcPr>
            <w:tcW w:w="1020"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百万千焦</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4402010800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180" w:firstLineChars="1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石油制品</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2502000000</w:t>
            </w:r>
          </w:p>
        </w:tc>
        <w:tc>
          <w:tcPr>
            <w:tcW w:w="2891" w:type="dxa"/>
            <w:tcBorders>
              <w:left w:val="double" w:color="auto" w:sz="4" w:space="0"/>
            </w:tcBorders>
            <w:vAlign w:val="center"/>
          </w:tcPr>
          <w:p>
            <w:pPr>
              <w:widowControl/>
              <w:spacing w:line="200" w:lineRule="exact"/>
              <w:jc w:val="left"/>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 xml:space="preserve">  其他能源供热</w:t>
            </w:r>
          </w:p>
        </w:tc>
        <w:tc>
          <w:tcPr>
            <w:tcW w:w="1020"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百万千焦</w:t>
            </w:r>
          </w:p>
        </w:tc>
        <w:tc>
          <w:tcPr>
            <w:tcW w:w="1134" w:type="dxa"/>
            <w:vAlign w:val="center"/>
          </w:tcPr>
          <w:p>
            <w:pPr>
              <w:widowControl/>
              <w:spacing w:line="200" w:lineRule="exact"/>
              <w:jc w:val="center"/>
              <w:rPr>
                <w:rFonts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sz w:val="18"/>
                <w:szCs w:val="18"/>
              </w:rPr>
              <w:t>4402010900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360" w:firstLineChars="2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汽油</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2502010000</w:t>
            </w:r>
          </w:p>
        </w:tc>
        <w:tc>
          <w:tcPr>
            <w:tcW w:w="2891" w:type="dxa"/>
            <w:tcBorders>
              <w:left w:val="double" w:color="auto" w:sz="4" w:space="0"/>
            </w:tcBorders>
            <w:vAlign w:val="center"/>
          </w:tcPr>
          <w:p>
            <w:pPr>
              <w:widowControl/>
              <w:spacing w:line="200" w:lineRule="exact"/>
              <w:jc w:val="left"/>
              <w:textAlignment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氢能</w:t>
            </w:r>
          </w:p>
        </w:tc>
        <w:tc>
          <w:tcPr>
            <w:tcW w:w="1020" w:type="dxa"/>
            <w:vAlign w:val="center"/>
          </w:tcPr>
          <w:p>
            <w:pPr>
              <w:widowControl/>
              <w:spacing w:line="200" w:lineRule="exact"/>
              <w:jc w:val="center"/>
              <w:textAlignment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w:t>
            </w:r>
          </w:p>
        </w:tc>
        <w:tc>
          <w:tcPr>
            <w:tcW w:w="1134" w:type="dxa"/>
            <w:vAlign w:val="center"/>
          </w:tcPr>
          <w:p>
            <w:pPr>
              <w:widowControl/>
              <w:spacing w:line="200" w:lineRule="exact"/>
              <w:jc w:val="center"/>
              <w:textAlignment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2619100000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360" w:firstLineChars="2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煤油</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2502020000</w:t>
            </w:r>
          </w:p>
        </w:tc>
        <w:tc>
          <w:tcPr>
            <w:tcW w:w="2891" w:type="dxa"/>
            <w:tcBorders>
              <w:left w:val="double" w:color="auto" w:sz="4" w:space="0"/>
            </w:tcBorders>
            <w:vAlign w:val="center"/>
          </w:tcPr>
          <w:p>
            <w:pPr>
              <w:widowControl/>
              <w:spacing w:line="200" w:lineRule="exact"/>
              <w:ind w:firstLine="180" w:firstLineChars="100"/>
              <w:jc w:val="left"/>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氢气</w:t>
            </w:r>
          </w:p>
        </w:tc>
        <w:tc>
          <w:tcPr>
            <w:tcW w:w="1020"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万立方米</w:t>
            </w:r>
          </w:p>
        </w:tc>
        <w:tc>
          <w:tcPr>
            <w:tcW w:w="1134"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2619100100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360" w:firstLineChars="2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柴油</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2502030000</w:t>
            </w:r>
          </w:p>
        </w:tc>
        <w:tc>
          <w:tcPr>
            <w:tcW w:w="2891" w:type="dxa"/>
            <w:tcBorders>
              <w:left w:val="double" w:color="auto" w:sz="4" w:space="0"/>
            </w:tcBorders>
            <w:vAlign w:val="center"/>
          </w:tcPr>
          <w:p>
            <w:pPr>
              <w:widowControl/>
              <w:spacing w:line="200" w:lineRule="exact"/>
              <w:ind w:firstLine="360" w:firstLineChars="200"/>
              <w:jc w:val="left"/>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煤制氢</w:t>
            </w:r>
          </w:p>
        </w:tc>
        <w:tc>
          <w:tcPr>
            <w:tcW w:w="1020"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万立方米</w:t>
            </w:r>
          </w:p>
        </w:tc>
        <w:tc>
          <w:tcPr>
            <w:tcW w:w="1134"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2522020100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润滑油</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2502040000</w:t>
            </w:r>
          </w:p>
        </w:tc>
        <w:tc>
          <w:tcPr>
            <w:tcW w:w="2891" w:type="dxa"/>
            <w:tcBorders>
              <w:left w:val="double" w:color="auto" w:sz="4" w:space="0"/>
            </w:tcBorders>
            <w:vAlign w:val="center"/>
          </w:tcPr>
          <w:p>
            <w:pPr>
              <w:widowControl/>
              <w:spacing w:line="200" w:lineRule="exact"/>
              <w:ind w:firstLine="360" w:firstLineChars="200"/>
              <w:jc w:val="left"/>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天然气制氢</w:t>
            </w:r>
          </w:p>
        </w:tc>
        <w:tc>
          <w:tcPr>
            <w:tcW w:w="1020"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万立方米</w:t>
            </w:r>
          </w:p>
        </w:tc>
        <w:tc>
          <w:tcPr>
            <w:tcW w:w="1134"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2619100101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燃料油</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2502050000</w:t>
            </w:r>
          </w:p>
        </w:tc>
        <w:tc>
          <w:tcPr>
            <w:tcW w:w="2891" w:type="dxa"/>
            <w:tcBorders>
              <w:left w:val="double" w:color="auto" w:sz="4" w:space="0"/>
            </w:tcBorders>
            <w:vAlign w:val="center"/>
          </w:tcPr>
          <w:p>
            <w:pPr>
              <w:widowControl/>
              <w:spacing w:line="200" w:lineRule="exact"/>
              <w:ind w:firstLine="360" w:firstLineChars="200"/>
              <w:jc w:val="left"/>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电解水制氢</w:t>
            </w:r>
          </w:p>
        </w:tc>
        <w:tc>
          <w:tcPr>
            <w:tcW w:w="1020"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万立方米</w:t>
            </w:r>
          </w:p>
        </w:tc>
        <w:tc>
          <w:tcPr>
            <w:tcW w:w="1134"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2619100102</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石脑油</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2502060000</w:t>
            </w:r>
          </w:p>
        </w:tc>
        <w:tc>
          <w:tcPr>
            <w:tcW w:w="2891" w:type="dxa"/>
            <w:tcBorders>
              <w:left w:val="double" w:color="auto" w:sz="4" w:space="0"/>
            </w:tcBorders>
            <w:vAlign w:val="center"/>
          </w:tcPr>
          <w:p>
            <w:pPr>
              <w:widowControl/>
              <w:spacing w:line="200" w:lineRule="exact"/>
              <w:ind w:firstLine="513" w:firstLineChars="300"/>
              <w:jc w:val="left"/>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w w:val="95"/>
                <w:sz w:val="18"/>
                <w:szCs w:val="18"/>
              </w:rPr>
              <w:t>其中：可再生能源电解水制氢</w:t>
            </w:r>
          </w:p>
        </w:tc>
        <w:tc>
          <w:tcPr>
            <w:tcW w:w="1020"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万立方米</w:t>
            </w:r>
          </w:p>
        </w:tc>
        <w:tc>
          <w:tcPr>
            <w:tcW w:w="1134"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2619100110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溶剂油</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2502070000</w:t>
            </w:r>
          </w:p>
        </w:tc>
        <w:tc>
          <w:tcPr>
            <w:tcW w:w="2891" w:type="dxa"/>
            <w:tcBorders>
              <w:left w:val="double" w:color="auto" w:sz="4" w:space="0"/>
            </w:tcBorders>
            <w:vAlign w:val="center"/>
          </w:tcPr>
          <w:p>
            <w:pPr>
              <w:widowControl/>
              <w:spacing w:line="200" w:lineRule="exact"/>
              <w:ind w:firstLine="360" w:firstLineChars="200"/>
              <w:jc w:val="left"/>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混合气体分离制氢</w:t>
            </w:r>
          </w:p>
        </w:tc>
        <w:tc>
          <w:tcPr>
            <w:tcW w:w="1020"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万立方米</w:t>
            </w:r>
          </w:p>
        </w:tc>
        <w:tc>
          <w:tcPr>
            <w:tcW w:w="1134"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2619100103</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石蜡</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2502100000</w:t>
            </w:r>
          </w:p>
        </w:tc>
        <w:tc>
          <w:tcPr>
            <w:tcW w:w="2891" w:type="dxa"/>
            <w:tcBorders>
              <w:left w:val="double" w:color="auto" w:sz="4" w:space="0"/>
            </w:tcBorders>
            <w:vAlign w:val="center"/>
          </w:tcPr>
          <w:p>
            <w:pPr>
              <w:widowControl/>
              <w:spacing w:line="200" w:lineRule="exact"/>
              <w:ind w:firstLine="360" w:firstLineChars="200"/>
              <w:jc w:val="left"/>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石油化工原料制氢</w:t>
            </w:r>
          </w:p>
        </w:tc>
        <w:tc>
          <w:tcPr>
            <w:tcW w:w="1020"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万立方米</w:t>
            </w:r>
          </w:p>
        </w:tc>
        <w:tc>
          <w:tcPr>
            <w:tcW w:w="1134"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2619100104</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360" w:firstLineChars="2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石油焦</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2504011002</w:t>
            </w:r>
          </w:p>
        </w:tc>
        <w:tc>
          <w:tcPr>
            <w:tcW w:w="2891" w:type="dxa"/>
            <w:tcBorders>
              <w:left w:val="double" w:color="auto" w:sz="4" w:space="0"/>
            </w:tcBorders>
            <w:vAlign w:val="center"/>
          </w:tcPr>
          <w:p>
            <w:pPr>
              <w:widowControl/>
              <w:spacing w:line="200" w:lineRule="exact"/>
              <w:ind w:firstLine="360" w:firstLineChars="200"/>
              <w:jc w:val="left"/>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工业副产氢</w:t>
            </w:r>
          </w:p>
        </w:tc>
        <w:tc>
          <w:tcPr>
            <w:tcW w:w="1020"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万立方米</w:t>
            </w:r>
          </w:p>
        </w:tc>
        <w:tc>
          <w:tcPr>
            <w:tcW w:w="1134"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2619100105</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360" w:firstLineChars="20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石油沥青</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2504011003</w:t>
            </w:r>
          </w:p>
        </w:tc>
        <w:tc>
          <w:tcPr>
            <w:tcW w:w="2891" w:type="dxa"/>
            <w:tcBorders>
              <w:left w:val="double" w:color="auto" w:sz="4" w:space="0"/>
            </w:tcBorders>
            <w:vAlign w:val="center"/>
          </w:tcPr>
          <w:p>
            <w:pPr>
              <w:widowControl/>
              <w:spacing w:line="200" w:lineRule="exact"/>
              <w:ind w:firstLine="360" w:firstLineChars="200"/>
              <w:jc w:val="left"/>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太阳能制氢</w:t>
            </w:r>
          </w:p>
        </w:tc>
        <w:tc>
          <w:tcPr>
            <w:tcW w:w="1020"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万立方米</w:t>
            </w:r>
          </w:p>
        </w:tc>
        <w:tc>
          <w:tcPr>
            <w:tcW w:w="1134"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2619100106</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燃料气</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2502110000</w:t>
            </w:r>
          </w:p>
        </w:tc>
        <w:tc>
          <w:tcPr>
            <w:tcW w:w="2891" w:type="dxa"/>
            <w:tcBorders>
              <w:left w:val="double" w:color="auto" w:sz="4" w:space="0"/>
            </w:tcBorders>
            <w:vAlign w:val="center"/>
          </w:tcPr>
          <w:p>
            <w:pPr>
              <w:widowControl/>
              <w:spacing w:line="200" w:lineRule="exact"/>
              <w:ind w:firstLine="360" w:firstLineChars="200"/>
              <w:jc w:val="left"/>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核能制氢</w:t>
            </w:r>
          </w:p>
        </w:tc>
        <w:tc>
          <w:tcPr>
            <w:tcW w:w="1020"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万立方米</w:t>
            </w:r>
          </w:p>
        </w:tc>
        <w:tc>
          <w:tcPr>
            <w:tcW w:w="1134"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2619100107</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shd w:val="clear" w:color="auto" w:fill="auto"/>
            <w:noWrap/>
            <w:tcMar>
              <w:left w:w="28" w:type="dxa"/>
              <w:right w:w="28" w:type="dxa"/>
            </w:tcMar>
            <w:vAlign w:val="center"/>
          </w:tcPr>
          <w:p>
            <w:pPr>
              <w:widowControl/>
              <w:spacing w:line="200" w:lineRule="exact"/>
              <w:ind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  其中：液化石油气</w:t>
            </w:r>
          </w:p>
        </w:tc>
        <w:tc>
          <w:tcPr>
            <w:tcW w:w="1020" w:type="dxa"/>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2502110100</w:t>
            </w:r>
          </w:p>
        </w:tc>
        <w:tc>
          <w:tcPr>
            <w:tcW w:w="2891" w:type="dxa"/>
            <w:tcBorders>
              <w:left w:val="double" w:color="auto" w:sz="4" w:space="0"/>
            </w:tcBorders>
            <w:vAlign w:val="center"/>
          </w:tcPr>
          <w:p>
            <w:pPr>
              <w:widowControl/>
              <w:spacing w:line="200" w:lineRule="exact"/>
              <w:ind w:firstLine="360" w:firstLineChars="200"/>
              <w:jc w:val="left"/>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其他方式制氢</w:t>
            </w:r>
          </w:p>
        </w:tc>
        <w:tc>
          <w:tcPr>
            <w:tcW w:w="1020"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万立方米</w:t>
            </w:r>
          </w:p>
        </w:tc>
        <w:tc>
          <w:tcPr>
            <w:tcW w:w="1134" w:type="dxa"/>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2619100109</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49" w:hRule="atLeast"/>
          <w:jc w:val="center"/>
        </w:trPr>
        <w:tc>
          <w:tcPr>
            <w:tcW w:w="2665" w:type="dxa"/>
            <w:tcBorders>
              <w:bottom w:val="single" w:color="auto" w:sz="8" w:space="0"/>
            </w:tcBorders>
            <w:shd w:val="clear" w:color="auto" w:fill="auto"/>
            <w:noWrap/>
            <w:tcMar>
              <w:left w:w="28" w:type="dxa"/>
              <w:right w:w="28" w:type="dxa"/>
            </w:tcMar>
            <w:vAlign w:val="center"/>
          </w:tcPr>
          <w:p>
            <w:pPr>
              <w:widowControl/>
              <w:spacing w:line="200" w:lineRule="exact"/>
              <w:ind w:firstLine="1080" w:firstLineChars="600"/>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炼厂干气</w:t>
            </w:r>
          </w:p>
        </w:tc>
        <w:tc>
          <w:tcPr>
            <w:tcW w:w="1020" w:type="dxa"/>
            <w:tcBorders>
              <w:bottom w:val="single" w:color="auto" w:sz="8"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吨</w:t>
            </w:r>
          </w:p>
        </w:tc>
        <w:tc>
          <w:tcPr>
            <w:tcW w:w="1134" w:type="dxa"/>
            <w:tcBorders>
              <w:bottom w:val="single" w:color="auto" w:sz="8" w:space="0"/>
              <w:right w:val="double" w:color="auto" w:sz="4" w:space="0"/>
            </w:tcBorders>
            <w:shd w:val="clear" w:color="auto" w:fill="auto"/>
            <w:noWrap/>
            <w:tcMar>
              <w:left w:w="28" w:type="dxa"/>
              <w:right w:w="28" w:type="dxa"/>
            </w:tcMar>
            <w:vAlign w:val="center"/>
          </w:tcPr>
          <w:p>
            <w:pPr>
              <w:widowControl/>
              <w:spacing w:line="200" w:lineRule="exact"/>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2502140000</w:t>
            </w:r>
          </w:p>
        </w:tc>
        <w:tc>
          <w:tcPr>
            <w:tcW w:w="2891" w:type="dxa"/>
            <w:tcBorders>
              <w:left w:val="double" w:color="auto" w:sz="4" w:space="0"/>
              <w:bottom w:val="single" w:color="auto" w:sz="8" w:space="0"/>
            </w:tcBorders>
            <w:vAlign w:val="center"/>
          </w:tcPr>
          <w:p>
            <w:pPr>
              <w:widowControl/>
              <w:spacing w:line="200" w:lineRule="exact"/>
              <w:ind w:firstLine="360" w:firstLineChars="200"/>
              <w:jc w:val="left"/>
              <w:rPr>
                <w:rFonts w:asciiTheme="minorEastAsia" w:hAnsiTheme="minorEastAsia" w:eastAsiaTheme="minorEastAsia" w:cstheme="minorEastAsia"/>
                <w:kern w:val="2"/>
                <w:sz w:val="18"/>
                <w:szCs w:val="18"/>
                <w:lang w:val="en-US" w:eastAsia="zh-CN" w:bidi="ar-SA"/>
              </w:rPr>
            </w:pPr>
          </w:p>
        </w:tc>
        <w:tc>
          <w:tcPr>
            <w:tcW w:w="1020" w:type="dxa"/>
            <w:tcBorders>
              <w:bottom w:val="single" w:color="auto" w:sz="8" w:space="0"/>
            </w:tcBorders>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p>
        </w:tc>
        <w:tc>
          <w:tcPr>
            <w:tcW w:w="1134" w:type="dxa"/>
            <w:tcBorders>
              <w:bottom w:val="single" w:color="auto" w:sz="8" w:space="0"/>
            </w:tcBorders>
            <w:vAlign w:val="center"/>
          </w:tcPr>
          <w:p>
            <w:pPr>
              <w:widowControl/>
              <w:spacing w:line="200" w:lineRule="exact"/>
              <w:jc w:val="center"/>
              <w:rPr>
                <w:rFonts w:asciiTheme="minorEastAsia" w:hAnsiTheme="minorEastAsia" w:eastAsiaTheme="minorEastAsia" w:cstheme="minorEastAsia"/>
                <w:kern w:val="2"/>
                <w:sz w:val="18"/>
                <w:szCs w:val="18"/>
                <w:lang w:val="en-US" w:eastAsia="zh-CN" w:bidi="ar-SA"/>
              </w:rPr>
            </w:pPr>
          </w:p>
        </w:tc>
      </w:tr>
    </w:tbl>
    <w:p>
      <w:pPr>
        <w:pStyle w:val="10"/>
        <w:adjustRightInd w:val="0"/>
        <w:spacing w:line="312" w:lineRule="auto"/>
        <w:ind w:firstLine="420" w:firstLineChars="200"/>
        <w:textAlignment w:val="center"/>
        <w:rPr>
          <w:rFonts w:hint="eastAsia" w:ascii="Times New Roman" w:hAnsi="Times New Roman" w:eastAsia="黑体" w:cs="Times New Roman"/>
        </w:rPr>
      </w:pP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eastAsia="黑体" w:cs="Times New Roman"/>
        </w:rPr>
      </w:pPr>
      <w:r>
        <w:rPr>
          <w:rFonts w:hint="eastAsia" w:ascii="Times New Roman" w:hAnsi="Times New Roman" w:eastAsia="黑体" w:cs="Times New Roman"/>
        </w:rPr>
        <w:t>填报目录说明：</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ascii="Times New Roman" w:hAnsi="Times New Roman" w:eastAsia="黑体" w:cs="Times New Roman"/>
        </w:rPr>
        <w:t>原煤</w:t>
      </w:r>
      <w:r>
        <w:rPr>
          <w:rFonts w:hint="eastAsia" w:ascii="Times New Roman" w:hAnsi="Times New Roman" w:eastAsia="黑体" w:cs="Times New Roman"/>
        </w:rPr>
        <w:t>　</w:t>
      </w:r>
      <w:r>
        <w:rPr>
          <w:rFonts w:hint="eastAsia" w:asciiTheme="minorEastAsia" w:hAnsiTheme="minorEastAsia" w:eastAsiaTheme="minorEastAsia" w:cstheme="minorEastAsia"/>
          <w:kern w:val="0"/>
        </w:rPr>
        <w:t>指煤矿生产的、经过验收符合质量标准的原煤。即：从毛煤中选出规定粒度的矸石（包括黄铁矿等杂物）并且绝对干燥灰分在40%以下的原煤。绝对干燥灰分虽在40%以上，但经有关部门批准开采，并有消费需求的劣质煤，亦应计入原煤产量。原煤分为无烟煤、烟煤、褐煤，在烟煤中又分为炼焦烟煤和一般烟煤两种。原煤不包括石煤、泥煤（泥炭）和伴随原煤生产过程而采出的煤矸石。</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原煤的计量</w:t>
      </w:r>
    </w:p>
    <w:p>
      <w:pPr>
        <w:keepNext w:val="0"/>
        <w:keepLines w:val="0"/>
        <w:pageBreakBefore w:val="0"/>
        <w:widowControl w:val="0"/>
        <w:kinsoku/>
        <w:wordWrap/>
        <w:overflowPunct/>
        <w:topLinePunct w:val="0"/>
        <w:autoSpaceDE/>
        <w:autoSpaceDN/>
        <w:bidi w:val="0"/>
        <w:spacing w:line="360" w:lineRule="exact"/>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煤炭必须加工拣选，实行选后计量，即拣出粒度大于50毫米以上矸石后，经验收合格的，方可计算原煤产量。凡有选煤环节的矿井，出井的煤必须经过选矸后，才能计量。没有选煤环节的矿井，也应采用简易方法拣选，扣除矸石后，计算原煤产量。</w:t>
      </w:r>
    </w:p>
    <w:p>
      <w:pPr>
        <w:keepNext w:val="0"/>
        <w:keepLines w:val="0"/>
        <w:pageBreakBefore w:val="0"/>
        <w:widowControl w:val="0"/>
        <w:kinsoku/>
        <w:wordWrap/>
        <w:overflowPunct/>
        <w:topLinePunct w:val="0"/>
        <w:autoSpaceDE/>
        <w:autoSpaceDN/>
        <w:bidi w:val="0"/>
        <w:spacing w:line="360" w:lineRule="exact"/>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原煤产量的计算应当以矿井主井口所采用的提升方式来定，但应扣除由井口提出毛煤到原煤筒仓（储煤场）之前拣出的粒度大于50毫米的矸石。</w:t>
      </w:r>
    </w:p>
    <w:p>
      <w:pPr>
        <w:keepNext w:val="0"/>
        <w:keepLines w:val="0"/>
        <w:pageBreakBefore w:val="0"/>
        <w:widowControl w:val="0"/>
        <w:kinsoku/>
        <w:wordWrap/>
        <w:overflowPunct/>
        <w:topLinePunct w:val="0"/>
        <w:autoSpaceDE/>
        <w:autoSpaceDN/>
        <w:bidi w:val="0"/>
        <w:spacing w:line="360" w:lineRule="exact"/>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1.采用皮带运煤时，应以核子秤计量计算原煤产量。</w:t>
      </w:r>
    </w:p>
    <w:p>
      <w:pPr>
        <w:keepNext w:val="0"/>
        <w:keepLines w:val="0"/>
        <w:pageBreakBefore w:val="0"/>
        <w:widowControl w:val="0"/>
        <w:kinsoku/>
        <w:wordWrap/>
        <w:overflowPunct/>
        <w:topLinePunct w:val="0"/>
        <w:autoSpaceDE/>
        <w:autoSpaceDN/>
        <w:bidi w:val="0"/>
        <w:spacing w:line="360" w:lineRule="exact"/>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2.采用矿车运煤时，矿车计量以实际装载量计算，应扣除车底积煤。</w:t>
      </w:r>
    </w:p>
    <w:p>
      <w:pPr>
        <w:keepNext w:val="0"/>
        <w:keepLines w:val="0"/>
        <w:pageBreakBefore w:val="0"/>
        <w:widowControl w:val="0"/>
        <w:kinsoku/>
        <w:wordWrap/>
        <w:overflowPunct/>
        <w:topLinePunct w:val="0"/>
        <w:autoSpaceDE/>
        <w:autoSpaceDN/>
        <w:bidi w:val="0"/>
        <w:spacing w:line="360" w:lineRule="exact"/>
        <w:ind w:firstLine="420" w:firstLineChars="20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3.箕斗提煤时，罐率或容积比重应每季测定一次，同时要进行全水分检查，全水分超过规定指标时，应从容积比重中扣除其超过部分。</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对已经验收的原煤产量，因存放日久或保管不善等其他原因而导致变质（如自燃或风化</w:t>
      </w:r>
      <w:r>
        <w:rPr>
          <w:rFonts w:hint="eastAsia" w:asciiTheme="minorEastAsia" w:hAnsiTheme="minorEastAsia" w:eastAsiaTheme="minorEastAsia" w:cstheme="minorEastAsia"/>
          <w:kern w:val="0"/>
        </w:rPr>
        <w:t>）</w:t>
      </w:r>
      <w:r>
        <w:rPr>
          <w:rFonts w:hint="eastAsia" w:asciiTheme="minorEastAsia" w:hAnsiTheme="minorEastAsia" w:eastAsiaTheme="minorEastAsia" w:cstheme="minorEastAsia"/>
        </w:rPr>
        <w:t>的煤炭不算废品，产量亦不扣除。</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ascii="Times New Roman" w:hAnsi="Times New Roman" w:eastAsia="黑体" w:cs="Times New Roman"/>
        </w:rPr>
        <w:t>无烟煤</w:t>
      </w:r>
      <w:r>
        <w:rPr>
          <w:rFonts w:hint="eastAsia" w:ascii="Times New Roman" w:hAnsi="Times New Roman" w:eastAsia="黑体" w:cs="Times New Roman"/>
        </w:rPr>
        <w:t>　</w:t>
      </w:r>
      <w:r>
        <w:rPr>
          <w:rFonts w:hint="eastAsia" w:asciiTheme="minorEastAsia" w:hAnsiTheme="minorEastAsia" w:eastAsiaTheme="minorEastAsia" w:cstheme="minorEastAsia"/>
          <w:kern w:val="0"/>
        </w:rPr>
        <w:t>指煤化程度高的原煤。其特点是挥发分低、密度大、燃点高、碳含量高、无黏结性，燃烧时多不冒烟。通常作为民用燃料，也可直接用于小型高炉炼铁等。无烟煤的干燥无灰基挥发分质量分数一般在10%以下。一般包括《中国煤炭分类》（GB/T 5751-2009）中的无烟煤一号、无烟煤二号和无烟煤三号。</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ascii="Times New Roman" w:hAnsi="Times New Roman" w:eastAsia="黑体" w:cs="Times New Roman"/>
        </w:rPr>
        <w:t>炼焦烟煤</w:t>
      </w:r>
      <w:r>
        <w:rPr>
          <w:rFonts w:hint="eastAsia" w:ascii="Times New Roman" w:hAnsi="Times New Roman" w:eastAsia="黑体" w:cs="Times New Roman"/>
        </w:rPr>
        <w:t>　</w:t>
      </w:r>
      <w:r>
        <w:rPr>
          <w:rFonts w:hint="eastAsia" w:asciiTheme="minorEastAsia" w:hAnsiTheme="minorEastAsia" w:eastAsiaTheme="minorEastAsia" w:cstheme="minorEastAsia"/>
          <w:kern w:val="0"/>
        </w:rPr>
        <w:t>指主要可用于炼焦的烟煤，一般包括《中国煤炭分类》中的焦煤、1/3焦煤、肥煤、气肥煤、气煤、瘦煤、贫瘦煤和其他炼焦的烟煤。</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bCs/>
        </w:rPr>
      </w:pPr>
      <w:r>
        <w:rPr>
          <w:rFonts w:ascii="Times New Roman" w:hAnsi="Times New Roman" w:eastAsia="黑体" w:cs="Times New Roman"/>
        </w:rPr>
        <w:t>一般烟煤</w:t>
      </w:r>
      <w:r>
        <w:rPr>
          <w:rFonts w:hint="eastAsia" w:ascii="Times New Roman" w:hAnsi="Times New Roman" w:eastAsia="黑体" w:cs="Times New Roman"/>
        </w:rPr>
        <w:t>　</w:t>
      </w:r>
      <w:r>
        <w:rPr>
          <w:rFonts w:hint="eastAsia" w:asciiTheme="minorEastAsia" w:hAnsiTheme="minorEastAsia" w:eastAsiaTheme="minorEastAsia" w:cstheme="minorEastAsia"/>
          <w:kern w:val="0"/>
        </w:rPr>
        <w:t>指除炼焦的烟煤以外的烟煤，一般包括《中国煤炭分类》中的贫煤、弱黏煤、不黏煤、长焰煤、1/2中黏煤和其他一般烟煤。</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褐煤</w:t>
      </w:r>
      <w:r>
        <w:rPr>
          <w:rFonts w:hint="eastAsia" w:ascii="Times New Roman" w:hAnsi="Times New Roman" w:eastAsia="黑体" w:cs="Times New Roman"/>
        </w:rPr>
        <w:t>　</w:t>
      </w:r>
      <w:r>
        <w:rPr>
          <w:rFonts w:ascii="Times New Roman" w:hAnsi="Times New Roman" w:cs="Times New Roman"/>
          <w:kern w:val="0"/>
        </w:rPr>
        <w:t>指煤化程度低的煤，其外观多呈褐色，光泽暗淡，水分含量高，在空气中易于风化。褐煤的干燥无灰基挥发分质量分数一般在</w:t>
      </w:r>
      <w:r>
        <w:rPr>
          <w:rFonts w:hint="eastAsia" w:asciiTheme="minorEastAsia" w:hAnsiTheme="minorEastAsia" w:eastAsiaTheme="minorEastAsia" w:cstheme="minorEastAsia"/>
          <w:kern w:val="0"/>
        </w:rPr>
        <w:t>37%以上，透光率小于等于50%。褐</w:t>
      </w:r>
      <w:r>
        <w:rPr>
          <w:rFonts w:ascii="Times New Roman" w:hAnsi="Times New Roman" w:cs="Times New Roman"/>
          <w:kern w:val="0"/>
        </w:rPr>
        <w:t>煤多作发电燃料，也可作气化原料和锅炉燃料，有的可用来制造磺化煤、活性</w:t>
      </w:r>
      <w:r>
        <w:rPr>
          <w:rFonts w:hint="eastAsia" w:ascii="Times New Roman" w:hAnsi="Times New Roman" w:cs="Times New Roman"/>
          <w:kern w:val="0"/>
        </w:rPr>
        <w:t>炭</w:t>
      </w:r>
      <w:r>
        <w:rPr>
          <w:rFonts w:ascii="Times New Roman" w:hAnsi="Times New Roman" w:cs="Times New Roman"/>
          <w:kern w:val="0"/>
        </w:rPr>
        <w:t>、褐煤蜡的原料。</w:t>
      </w:r>
      <w:r>
        <w:rPr>
          <w:rFonts w:hint="eastAsia" w:ascii="Times New Roman" w:hAnsi="Times New Roman" w:cs="Times New Roman"/>
          <w:kern w:val="0"/>
        </w:rPr>
        <w:t>一般包括《中国煤炭分类》中的褐煤一号和褐煤二号。</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eastAsia="黑体"/>
        </w:rPr>
      </w:pPr>
      <w:r>
        <w:rPr>
          <w:rFonts w:ascii="Times New Roman" w:hAnsi="Times New Roman" w:eastAsia="黑体"/>
        </w:rPr>
        <w:t>煤炭制品</w:t>
      </w:r>
      <w:r>
        <w:rPr>
          <w:rFonts w:hint="eastAsia" w:ascii="Times New Roman" w:hAnsi="Times New Roman" w:eastAsia="黑体"/>
        </w:rPr>
        <w:t>　</w:t>
      </w:r>
      <w:r>
        <w:rPr>
          <w:rFonts w:hint="eastAsia" w:hAnsi="宋体" w:cs="宋体"/>
          <w:kern w:val="0"/>
        </w:rPr>
        <w:t>指</w:t>
      </w:r>
      <w:r>
        <w:rPr>
          <w:rFonts w:ascii="Times New Roman" w:hAnsi="Times New Roman"/>
          <w:kern w:val="0"/>
        </w:rPr>
        <w:t>以原煤为原料制成的</w:t>
      </w:r>
      <w:r>
        <w:rPr>
          <w:rFonts w:hint="eastAsia" w:hAnsi="宋体" w:cs="宋体"/>
          <w:kern w:val="0"/>
        </w:rPr>
        <w:t>除</w:t>
      </w:r>
      <w:r>
        <w:rPr>
          <w:rFonts w:hAnsi="宋体" w:cs="宋体"/>
          <w:kern w:val="0"/>
        </w:rPr>
        <w:t>煤制油以外</w:t>
      </w:r>
      <w:r>
        <w:rPr>
          <w:rFonts w:hint="eastAsia" w:hAnsi="宋体" w:cs="宋体"/>
          <w:kern w:val="0"/>
        </w:rPr>
        <w:t>的</w:t>
      </w:r>
      <w:r>
        <w:rPr>
          <w:rFonts w:ascii="Times New Roman" w:hAnsi="Times New Roman"/>
          <w:kern w:val="0"/>
        </w:rPr>
        <w:t>各种煤制品</w:t>
      </w:r>
      <w:r>
        <w:rPr>
          <w:rFonts w:hAnsi="宋体" w:cs="宋体"/>
          <w:kern w:val="0"/>
        </w:rPr>
        <w:t>。</w:t>
      </w:r>
      <w:r>
        <w:rPr>
          <w:rFonts w:hint="eastAsia" w:hAnsi="宋体" w:cs="宋体"/>
          <w:kern w:val="0"/>
        </w:rPr>
        <w:t>包括直接或间接由原煤经过洗选</w:t>
      </w:r>
      <w:r>
        <w:rPr>
          <w:rFonts w:hAnsi="宋体" w:cs="宋体"/>
          <w:kern w:val="0"/>
        </w:rPr>
        <w:t>、</w:t>
      </w:r>
      <w:r>
        <w:rPr>
          <w:rFonts w:hint="eastAsia" w:hAnsi="宋体" w:cs="宋体"/>
          <w:kern w:val="0"/>
        </w:rPr>
        <w:t>干馏、裂解或其他化学反应等得到的产品。</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eastAsia="黑体" w:cs="Times New Roman"/>
        </w:rPr>
      </w:pPr>
      <w:r>
        <w:rPr>
          <w:rFonts w:ascii="Times New Roman" w:hAnsi="Times New Roman" w:eastAsia="黑体" w:cs="Times New Roman"/>
        </w:rPr>
        <w:t xml:space="preserve">洗精煤（用于炼焦） </w:t>
      </w:r>
      <w:r>
        <w:rPr>
          <w:rFonts w:ascii="Times New Roman" w:hAnsi="Times New Roman" w:cs="Times New Roman"/>
          <w:kern w:val="0"/>
        </w:rPr>
        <w:t>指原煤经洗选加工后，灰分较低、热值较高的用于炼焦的洗选煤产品，一般为炼焦选煤厂洗选产出。用于炼焦的洗精煤灰分较低，一般不超过</w:t>
      </w:r>
      <w:r>
        <w:rPr>
          <w:rFonts w:hint="eastAsia" w:asciiTheme="minorEastAsia" w:hAnsiTheme="minorEastAsia" w:eastAsiaTheme="minorEastAsia" w:cstheme="minorEastAsia"/>
          <w:kern w:val="0"/>
        </w:rPr>
        <w:t>12.5%</w:t>
      </w:r>
      <w:r>
        <w:rPr>
          <w:rFonts w:ascii="Times New Roman" w:hAnsi="Times New Roman" w:cs="Times New Roman"/>
          <w:kern w:val="0"/>
        </w:rPr>
        <w:t>。</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其他洗煤</w:t>
      </w:r>
      <w:r>
        <w:rPr>
          <w:rFonts w:hint="eastAsia" w:ascii="Times New Roman" w:hAnsi="Times New Roman" w:eastAsia="黑体" w:cs="Times New Roman"/>
        </w:rPr>
        <w:t>　</w:t>
      </w:r>
      <w:r>
        <w:rPr>
          <w:rFonts w:ascii="Times New Roman" w:hAnsi="Times New Roman" w:cs="Times New Roman"/>
          <w:kern w:val="0"/>
        </w:rPr>
        <w:t>指除用于炼焦的洗精煤以外的其他洗选煤产品。</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kern w:val="0"/>
        </w:rPr>
      </w:pPr>
      <w:r>
        <w:rPr>
          <w:rFonts w:ascii="Times New Roman" w:hAnsi="Times New Roman" w:eastAsia="黑体"/>
        </w:rPr>
        <w:t>焦炭</w:t>
      </w:r>
      <w:r>
        <w:rPr>
          <w:rFonts w:hint="eastAsia" w:ascii="Times New Roman" w:hAnsi="Times New Roman" w:eastAsia="黑体"/>
        </w:rPr>
        <w:t>　</w:t>
      </w:r>
      <w:r>
        <w:rPr>
          <w:rFonts w:ascii="Times New Roman" w:hAnsi="Times New Roman"/>
          <w:kern w:val="0"/>
        </w:rPr>
        <w:t>指将各种经过洗选的煤炭按一定比例配合后，在隔绝空气的高温炭化室内经过热解、缩聚、固化、收缩等复杂的物理化学过程形成的固体燃料，呈黑灰色块状、有光泽，燃烧时烟气少，具有不</w:t>
      </w:r>
      <w:r>
        <w:rPr>
          <w:rFonts w:hint="eastAsia" w:ascii="Times New Roman" w:hAnsi="Times New Roman"/>
          <w:kern w:val="0"/>
        </w:rPr>
        <w:t>黏</w:t>
      </w:r>
      <w:r>
        <w:rPr>
          <w:rFonts w:ascii="Times New Roman" w:hAnsi="Times New Roman"/>
          <w:kern w:val="0"/>
        </w:rPr>
        <w:t>结、不结块、低硫、低灰、坚硬、耐磨、耐压、富于气孔性等特点，主要用于冶金、化工、铸造等工艺的燃料和原料。它包括各种生产方式生产的焦炭，即包括机械化焦炉、简易焦炉、土焦炉、煤气发生炉等装置生产的所有焦炭和半焦炭。</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kern w:val="0"/>
        </w:rPr>
      </w:pPr>
      <w:r>
        <w:rPr>
          <w:rFonts w:hint="eastAsia" w:ascii="Times New Roman" w:hAnsi="Times New Roman" w:eastAsia="黑体"/>
        </w:rPr>
        <w:t>型煤及其他煤制品　</w:t>
      </w:r>
      <w:r>
        <w:rPr>
          <w:rFonts w:ascii="Times New Roman" w:hAnsi="Times New Roman"/>
          <w:kern w:val="0"/>
        </w:rPr>
        <w:t>指以原煤为原料制成的各种煤制品，包括水煤浆、型煤、煤粉等。</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hint="eastAsia" w:ascii="Times New Roman" w:hAnsi="Times New Roman" w:eastAsia="黑体"/>
        </w:rPr>
        <w:t>煤焦油　</w:t>
      </w:r>
      <w:r>
        <w:rPr>
          <w:rFonts w:hint="eastAsia" w:hAnsi="宋体" w:cs="宋体"/>
          <w:kern w:val="0"/>
        </w:rPr>
        <w:t>指</w:t>
      </w:r>
      <w:r>
        <w:rPr>
          <w:rFonts w:hAnsi="宋体" w:cs="宋体"/>
          <w:kern w:val="0"/>
        </w:rPr>
        <w:t>煤炭干馏时生成的具有刺激性臭味的黑色或黑褐色粘稠状液体。煤焦油按干馏温度可分为低温煤焦油、中温煤焦油和高温煤焦油。</w:t>
      </w:r>
      <w:r>
        <w:rPr>
          <w:rFonts w:hint="eastAsia" w:hAnsi="宋体" w:cs="宋体"/>
          <w:kern w:val="0"/>
        </w:rPr>
        <w:t>煤焦油可分馏出各种芳香烃、烷烃、酚类等，也可制取油毡、燃料和炭黑。</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kern w:val="0"/>
        </w:rPr>
      </w:pPr>
      <w:r>
        <w:rPr>
          <w:rFonts w:ascii="Times New Roman" w:hAnsi="Times New Roman" w:eastAsia="黑体"/>
        </w:rPr>
        <w:t>煤气</w:t>
      </w:r>
      <w:r>
        <w:rPr>
          <w:rFonts w:hint="eastAsia" w:ascii="Times New Roman" w:hAnsi="Times New Roman" w:eastAsia="黑体"/>
        </w:rPr>
        <w:t>　</w:t>
      </w:r>
      <w:r>
        <w:rPr>
          <w:rFonts w:ascii="Times New Roman" w:hAnsi="Times New Roman"/>
          <w:kern w:val="0"/>
        </w:rPr>
        <w:t>指煤、焦炭、半焦等固体燃料与燃料油等液体燃料干馏或气化所产生的可燃气体。包括焦炉煤气、高炉煤气、</w:t>
      </w:r>
      <w:r>
        <w:rPr>
          <w:rFonts w:hint="eastAsia" w:ascii="Times New Roman" w:hAnsi="Times New Roman"/>
          <w:kern w:val="0"/>
        </w:rPr>
        <w:t>转炉煤气、</w:t>
      </w:r>
      <w:r>
        <w:rPr>
          <w:rFonts w:ascii="Times New Roman" w:hAnsi="Times New Roman"/>
          <w:kern w:val="0"/>
        </w:rPr>
        <w:t>发生炉煤气和油煤气等。</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kern w:val="0"/>
        </w:rPr>
      </w:pPr>
      <w:r>
        <w:rPr>
          <w:rFonts w:ascii="Times New Roman" w:hAnsi="Times New Roman" w:eastAsia="黑体"/>
        </w:rPr>
        <w:t>焦炉煤气</w:t>
      </w:r>
      <w:r>
        <w:rPr>
          <w:rFonts w:hint="eastAsia" w:ascii="Times New Roman" w:hAnsi="Times New Roman" w:eastAsia="黑体"/>
        </w:rPr>
        <w:t>　</w:t>
      </w:r>
      <w:r>
        <w:rPr>
          <w:rFonts w:ascii="Times New Roman" w:hAnsi="Times New Roman"/>
          <w:kern w:val="0"/>
        </w:rPr>
        <w:t>指炼焦过程中，煤炭经高温干馏后，在产出焦炭和其他焦化产品的同时产生的可燃性气体，是炼焦产品的副产品。一吨煤在炼焦过程中可产</w:t>
      </w:r>
      <w:r>
        <w:rPr>
          <w:rFonts w:hint="eastAsia" w:asciiTheme="minorEastAsia" w:hAnsiTheme="minorEastAsia" w:eastAsiaTheme="minorEastAsia" w:cstheme="minorEastAsia"/>
          <w:kern w:val="0"/>
        </w:rPr>
        <w:t>出730-780千克焦炭和300-340立</w:t>
      </w:r>
      <w:r>
        <w:rPr>
          <w:rFonts w:ascii="Times New Roman" w:hAnsi="Times New Roman"/>
          <w:kern w:val="0"/>
        </w:rPr>
        <w:t>方米焦炉煤气以及</w:t>
      </w:r>
      <w:r>
        <w:rPr>
          <w:rFonts w:hint="eastAsia" w:asciiTheme="minorEastAsia" w:hAnsiTheme="minorEastAsia" w:eastAsiaTheme="minorEastAsia" w:cstheme="minorEastAsia"/>
          <w:kern w:val="0"/>
        </w:rPr>
        <w:t>35-42</w:t>
      </w:r>
      <w:r>
        <w:rPr>
          <w:rFonts w:ascii="Times New Roman" w:hAnsi="Times New Roman"/>
          <w:kern w:val="0"/>
        </w:rPr>
        <w:t>千克焦油。焦炉煤气热值高、燃烧快、火焰短、生成废气比重小；主要成分为甲烷、氢和一氧化碳等，可用作燃料和化工原料。</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kern w:val="0"/>
        </w:rPr>
      </w:pPr>
      <w:r>
        <w:rPr>
          <w:rFonts w:ascii="Times New Roman" w:hAnsi="Times New Roman" w:eastAsia="黑体"/>
        </w:rPr>
        <w:t>高炉煤气</w:t>
      </w:r>
      <w:r>
        <w:rPr>
          <w:rFonts w:hint="eastAsia" w:ascii="Times New Roman" w:hAnsi="Times New Roman" w:eastAsia="黑体"/>
        </w:rPr>
        <w:t>　</w:t>
      </w:r>
      <w:r>
        <w:rPr>
          <w:rFonts w:ascii="Times New Roman" w:hAnsi="Times New Roman"/>
          <w:kern w:val="0"/>
        </w:rPr>
        <w:t>指炼铁过程中从高炉炉顶逸出的可燃性气体，是炼铁过程的副产品；其理论燃烧温度约为</w:t>
      </w:r>
      <w:r>
        <w:rPr>
          <w:rFonts w:hint="eastAsia" w:asciiTheme="minorEastAsia" w:hAnsiTheme="minorEastAsia" w:eastAsiaTheme="minorEastAsia" w:cstheme="minorEastAsia"/>
          <w:kern w:val="0"/>
        </w:rPr>
        <w:t>1400-1500℃，</w:t>
      </w:r>
      <w:r>
        <w:rPr>
          <w:rFonts w:ascii="Times New Roman" w:hAnsi="Times New Roman"/>
          <w:kern w:val="0"/>
        </w:rPr>
        <w:t>含有大量粉尘（</w:t>
      </w:r>
      <w:r>
        <w:rPr>
          <w:rFonts w:hint="eastAsia" w:asciiTheme="minorEastAsia" w:hAnsiTheme="minorEastAsia" w:eastAsiaTheme="minorEastAsia" w:cstheme="minorEastAsia"/>
          <w:kern w:val="0"/>
        </w:rPr>
        <w:t>约60-80克/立</w:t>
      </w:r>
      <w:r>
        <w:rPr>
          <w:rFonts w:ascii="Times New Roman" w:hAnsi="Times New Roman"/>
          <w:kern w:val="0"/>
        </w:rPr>
        <w:t>方米），所以需要除尘处理，并在可能的情况下将其和空气预热以提高燃烧温度。据统计，高炉每消耗1吨焦炭约可产出</w:t>
      </w:r>
      <w:r>
        <w:rPr>
          <w:rFonts w:hint="eastAsia" w:asciiTheme="minorEastAsia" w:hAnsiTheme="minorEastAsia" w:eastAsiaTheme="minorEastAsia" w:cstheme="minorEastAsia"/>
          <w:kern w:val="0"/>
        </w:rPr>
        <w:t>3800-4000立方米高炉煤气（约有60%</w:t>
      </w:r>
      <w:r>
        <w:rPr>
          <w:rFonts w:ascii="Times New Roman" w:hAnsi="Times New Roman"/>
          <w:kern w:val="0"/>
        </w:rPr>
        <w:t>的燃料转变为高炉煤气）。在冶金联合企业，它主要用于焦炉，以及与焦炉煤气混合用作发电或其他燃料。</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kern w:val="0"/>
        </w:rPr>
      </w:pPr>
      <w:r>
        <w:rPr>
          <w:rFonts w:hint="eastAsia" w:ascii="Times New Roman" w:hAnsi="Times New Roman"/>
          <w:kern w:val="0"/>
        </w:rPr>
        <w:t>转炉煤气指转炉炼钢过程中，铁水中的碳在高温下和吹入的氧生成一氧化碳和少量二氧化碳的混合气体。</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kern w:val="0"/>
        </w:rPr>
      </w:pPr>
      <w:r>
        <w:rPr>
          <w:rFonts w:ascii="Times New Roman" w:hAnsi="Times New Roman" w:eastAsia="黑体"/>
        </w:rPr>
        <w:t>发生炉煤气</w:t>
      </w:r>
      <w:r>
        <w:rPr>
          <w:rFonts w:hint="eastAsia" w:ascii="Times New Roman" w:hAnsi="Times New Roman" w:eastAsia="黑体"/>
        </w:rPr>
        <w:t>　</w:t>
      </w:r>
      <w:r>
        <w:rPr>
          <w:rFonts w:ascii="Times New Roman" w:hAnsi="Times New Roman"/>
          <w:kern w:val="0"/>
        </w:rPr>
        <w:t>指燃料在煤气发生炉中气化得到的可燃性气体。依据所用气化剂，发生炉煤气分为以下四种</w:t>
      </w:r>
      <w:r>
        <w:rPr>
          <w:rFonts w:hint="eastAsia" w:ascii="Times New Roman" w:hAnsi="Times New Roman"/>
          <w:kern w:val="0"/>
        </w:rPr>
        <w:t>。</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hint="eastAsia" w:hAnsi="宋体" w:cs="宋体"/>
        </w:rPr>
        <w:t>1.空气煤气</w:t>
      </w:r>
      <w:r>
        <w:rPr>
          <w:rFonts w:hint="eastAsia" w:hAnsi="宋体" w:cs="宋体"/>
          <w:bCs/>
        </w:rPr>
        <w:t>：</w:t>
      </w:r>
      <w:r>
        <w:rPr>
          <w:rFonts w:hint="eastAsia" w:hAnsi="宋体" w:cs="宋体"/>
          <w:kern w:val="0"/>
        </w:rPr>
        <w:t>亦称低热值煤气，气化剂为空气；发热量很低，用途不大，目前基本已不采用这种工艺。</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hint="eastAsia" w:hAnsi="宋体" w:cs="宋体"/>
        </w:rPr>
        <w:t>2.混合煤气</w:t>
      </w:r>
      <w:r>
        <w:rPr>
          <w:rFonts w:hint="eastAsia" w:hAnsi="宋体" w:cs="宋体"/>
          <w:bCs/>
        </w:rPr>
        <w:t>：</w:t>
      </w:r>
      <w:r>
        <w:rPr>
          <w:rFonts w:hint="eastAsia" w:hAnsi="宋体" w:cs="宋体"/>
          <w:kern w:val="0"/>
        </w:rPr>
        <w:t>气化剂为空气和适量蒸汽的混合物；多用于冶金、机械、建筑材料等工业的熔炉和加热炉。</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hint="eastAsia" w:hAnsi="宋体" w:cs="宋体"/>
        </w:rPr>
        <w:t>3.水煤气</w:t>
      </w:r>
      <w:r>
        <w:rPr>
          <w:rFonts w:hint="eastAsia" w:hAnsi="宋体" w:cs="宋体"/>
          <w:bCs/>
        </w:rPr>
        <w:t>：</w:t>
      </w:r>
      <w:r>
        <w:rPr>
          <w:rFonts w:hint="eastAsia" w:hAnsi="宋体" w:cs="宋体"/>
          <w:kern w:val="0"/>
        </w:rPr>
        <w:t>气化剂为蒸汽；除用作燃料外，还可用作合成人造液体燃料的原料和有机合成工业的原料。</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hint="eastAsia" w:hAnsi="宋体" w:cs="宋体"/>
        </w:rPr>
        <w:t>4.半水煤气</w:t>
      </w:r>
      <w:r>
        <w:rPr>
          <w:rFonts w:hint="eastAsia" w:hAnsi="宋体" w:cs="宋体"/>
          <w:bCs/>
        </w:rPr>
        <w:t>：</w:t>
      </w:r>
      <w:r>
        <w:rPr>
          <w:rFonts w:hint="eastAsia" w:hAnsi="宋体" w:cs="宋体"/>
          <w:kern w:val="0"/>
        </w:rPr>
        <w:t>水煤气与空气煤气的混合气；多用作合成氨的原料。</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kern w:val="0"/>
        </w:rPr>
      </w:pPr>
      <w:r>
        <w:rPr>
          <w:rFonts w:ascii="Times New Roman" w:hAnsi="Times New Roman" w:eastAsia="黑体"/>
        </w:rPr>
        <w:t>油煤气</w:t>
      </w:r>
      <w:r>
        <w:rPr>
          <w:rFonts w:hint="eastAsia" w:ascii="Times New Roman" w:hAnsi="Times New Roman" w:eastAsia="黑体"/>
        </w:rPr>
        <w:t>　</w:t>
      </w:r>
      <w:r>
        <w:rPr>
          <w:rFonts w:ascii="Times New Roman" w:hAnsi="Times New Roman"/>
          <w:kern w:val="0"/>
        </w:rPr>
        <w:t>指以重油或其</w:t>
      </w:r>
      <w:r>
        <w:rPr>
          <w:rFonts w:hint="eastAsia" w:ascii="Times New Roman" w:hAnsi="Times New Roman"/>
          <w:kern w:val="0"/>
        </w:rPr>
        <w:t>他</w:t>
      </w:r>
      <w:r>
        <w:rPr>
          <w:rFonts w:ascii="Times New Roman" w:hAnsi="Times New Roman"/>
          <w:kern w:val="0"/>
        </w:rPr>
        <w:t>石油产品为原料转换而成的煤气。</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eastAsia="黑体" w:cs="Times New Roman"/>
        </w:rPr>
      </w:pPr>
      <w:r>
        <w:rPr>
          <w:rFonts w:hint="eastAsia" w:ascii="Times New Roman" w:hAnsi="Times New Roman" w:eastAsia="黑体" w:cs="Times New Roman"/>
        </w:rPr>
        <w:t xml:space="preserve">煤制天然气  </w:t>
      </w:r>
      <w:r>
        <w:rPr>
          <w:rFonts w:hint="eastAsia" w:ascii="Times New Roman" w:hAnsi="Times New Roman"/>
          <w:kern w:val="0"/>
        </w:rPr>
        <w:t>指以煤为原料经过加压气化后，脱硫提纯制得的含有可燃组分的气体。</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ascii="Times New Roman" w:hAnsi="Times New Roman" w:eastAsia="黑体"/>
        </w:rPr>
        <w:t>煤制油</w:t>
      </w:r>
      <w:r>
        <w:rPr>
          <w:rFonts w:hint="eastAsia" w:ascii="Times New Roman" w:hAnsi="Times New Roman" w:eastAsia="黑体"/>
        </w:rPr>
        <w:t>　</w:t>
      </w:r>
      <w:r>
        <w:rPr>
          <w:rFonts w:hint="eastAsia" w:hAnsi="宋体" w:cs="宋体"/>
          <w:kern w:val="0"/>
        </w:rPr>
        <w:t>指以</w:t>
      </w:r>
      <w:r>
        <w:rPr>
          <w:rFonts w:hAnsi="宋体" w:cs="宋体"/>
          <w:kern w:val="0"/>
        </w:rPr>
        <w:t>煤炭为原料，通过化学加工过程生产</w:t>
      </w:r>
      <w:r>
        <w:rPr>
          <w:rFonts w:hint="eastAsia" w:hAnsi="宋体" w:cs="宋体"/>
          <w:kern w:val="0"/>
        </w:rPr>
        <w:t>的</w:t>
      </w:r>
      <w:r>
        <w:rPr>
          <w:rFonts w:hAnsi="宋体" w:cs="宋体"/>
          <w:kern w:val="0"/>
        </w:rPr>
        <w:t>油品和石油化工产品</w:t>
      </w:r>
      <w:r>
        <w:rPr>
          <w:rFonts w:hint="eastAsia" w:hAnsi="宋体" w:cs="宋体"/>
          <w:kern w:val="0"/>
        </w:rPr>
        <w:t>，</w:t>
      </w:r>
      <w:r>
        <w:rPr>
          <w:rFonts w:hAnsi="宋体" w:cs="宋体"/>
          <w:kern w:val="0"/>
        </w:rPr>
        <w:t>包含煤直接液化和煤间接液化两种技术路线。煤的直接液化将煤在高温高压条件下，通过催化加氢直接液化合成液态烃类燃料，并脱除硫、氮、氧等原子。煤的间接液化首先把煤气化</w:t>
      </w:r>
      <w:r>
        <w:rPr>
          <w:rFonts w:hint="eastAsia" w:hAnsi="宋体" w:cs="宋体"/>
          <w:kern w:val="0"/>
        </w:rPr>
        <w:t>为</w:t>
      </w:r>
      <w:r>
        <w:rPr>
          <w:rFonts w:hAnsi="宋体" w:cs="宋体"/>
          <w:kern w:val="0"/>
        </w:rPr>
        <w:t>合成气，再通过费托合成转化为烃类燃料</w:t>
      </w:r>
      <w:r>
        <w:rPr>
          <w:rFonts w:hint="eastAsia" w:hAnsi="宋体" w:cs="宋体"/>
          <w:kern w:val="0"/>
        </w:rPr>
        <w:t>。</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hint="eastAsia" w:ascii="Times New Roman" w:hAnsi="Times New Roman" w:eastAsia="黑体"/>
        </w:rPr>
        <w:t>煤制石脑油　</w:t>
      </w:r>
      <w:r>
        <w:rPr>
          <w:rFonts w:hint="eastAsia" w:hAnsi="宋体" w:cs="宋体"/>
          <w:kern w:val="0"/>
        </w:rPr>
        <w:t>指</w:t>
      </w:r>
      <w:r>
        <w:rPr>
          <w:rFonts w:hAnsi="宋体" w:cs="宋体"/>
          <w:kern w:val="0"/>
        </w:rPr>
        <w:t>以</w:t>
      </w:r>
      <w:r>
        <w:rPr>
          <w:rFonts w:hint="eastAsia" w:hAnsi="宋体" w:cs="宋体"/>
          <w:kern w:val="0"/>
        </w:rPr>
        <w:t>煤炭</w:t>
      </w:r>
      <w:r>
        <w:rPr>
          <w:rFonts w:hAnsi="宋体" w:cs="宋体"/>
          <w:kern w:val="0"/>
        </w:rPr>
        <w:t>为原料</w:t>
      </w:r>
      <w:r>
        <w:rPr>
          <w:rFonts w:hint="eastAsia" w:hAnsi="宋体" w:cs="宋体"/>
          <w:kern w:val="0"/>
        </w:rPr>
        <w:t>，</w:t>
      </w:r>
      <w:r>
        <w:rPr>
          <w:rFonts w:hAnsi="宋体" w:cs="宋体"/>
          <w:kern w:val="0"/>
        </w:rPr>
        <w:t>通过直接液化或间接液化得到的</w:t>
      </w:r>
      <w:r>
        <w:rPr>
          <w:rFonts w:hint="eastAsia" w:hAnsi="宋体" w:cs="宋体"/>
          <w:kern w:val="0"/>
        </w:rPr>
        <w:t>产品</w:t>
      </w:r>
      <w:r>
        <w:rPr>
          <w:rFonts w:hAnsi="宋体" w:cs="宋体"/>
          <w:kern w:val="0"/>
        </w:rPr>
        <w:t>之一，</w:t>
      </w:r>
      <w:r>
        <w:rPr>
          <w:rFonts w:hint="eastAsia" w:hAnsi="宋体" w:cs="宋体"/>
          <w:kern w:val="0"/>
        </w:rPr>
        <w:t>或者</w:t>
      </w:r>
      <w:r>
        <w:rPr>
          <w:rFonts w:hAnsi="宋体" w:cs="宋体"/>
          <w:kern w:val="0"/>
        </w:rPr>
        <w:t>是由煤焦油</w:t>
      </w:r>
      <w:r>
        <w:rPr>
          <w:rFonts w:hint="eastAsia" w:hAnsi="宋体" w:cs="宋体"/>
          <w:kern w:val="0"/>
        </w:rPr>
        <w:t>通过</w:t>
      </w:r>
      <w:r>
        <w:rPr>
          <w:rFonts w:hAnsi="宋体" w:cs="宋体"/>
          <w:kern w:val="0"/>
        </w:rPr>
        <w:t>化学加工得</w:t>
      </w:r>
      <w:r>
        <w:rPr>
          <w:rFonts w:hint="eastAsia" w:hAnsi="宋体" w:cs="宋体"/>
          <w:kern w:val="0"/>
        </w:rPr>
        <w:t>。</w:t>
      </w:r>
      <w:r>
        <w:rPr>
          <w:rFonts w:hAnsi="宋体" w:cs="宋体"/>
          <w:kern w:val="0"/>
        </w:rPr>
        <w:t>主要由芳烃、烷烃等</w:t>
      </w:r>
      <w:r>
        <w:rPr>
          <w:rFonts w:hint="eastAsia" w:hAnsi="宋体" w:cs="宋体"/>
          <w:kern w:val="0"/>
        </w:rPr>
        <w:t>组分组成</w:t>
      </w:r>
      <w:r>
        <w:rPr>
          <w:rFonts w:hAnsi="宋体" w:cs="宋体"/>
          <w:kern w:val="0"/>
        </w:rPr>
        <w:t>。</w:t>
      </w:r>
      <w:r>
        <w:rPr>
          <w:rFonts w:hint="eastAsia" w:hAnsi="宋体" w:cs="宋体"/>
          <w:kern w:val="0"/>
        </w:rPr>
        <w:t>煤制石脑油</w:t>
      </w:r>
      <w:r>
        <w:rPr>
          <w:rFonts w:hAnsi="宋体" w:cs="宋体"/>
          <w:kern w:val="0"/>
        </w:rPr>
        <w:t>与石油基石脑油</w:t>
      </w:r>
      <w:r>
        <w:rPr>
          <w:rFonts w:hint="eastAsia" w:hAnsi="宋体" w:cs="宋体"/>
          <w:kern w:val="0"/>
        </w:rPr>
        <w:t>有一定</w:t>
      </w:r>
      <w:r>
        <w:rPr>
          <w:rFonts w:hAnsi="宋体" w:cs="宋体"/>
          <w:kern w:val="0"/>
        </w:rPr>
        <w:t>区别，</w:t>
      </w:r>
      <w:r>
        <w:rPr>
          <w:rFonts w:hint="eastAsia" w:hAnsi="宋体" w:cs="宋体"/>
          <w:kern w:val="0"/>
        </w:rPr>
        <w:t>纯苯</w:t>
      </w:r>
      <w:r>
        <w:rPr>
          <w:rFonts w:hAnsi="宋体" w:cs="宋体"/>
          <w:kern w:val="0"/>
        </w:rPr>
        <w:t>、甲苯及二甲苯含量</w:t>
      </w:r>
      <w:r>
        <w:rPr>
          <w:rFonts w:hint="eastAsia" w:hAnsi="宋体" w:cs="宋体"/>
          <w:kern w:val="0"/>
        </w:rPr>
        <w:t>较高</w:t>
      </w:r>
      <w:r>
        <w:rPr>
          <w:rFonts w:hAnsi="宋体" w:cs="宋体"/>
          <w:kern w:val="0"/>
        </w:rPr>
        <w:t>，</w:t>
      </w:r>
      <w:r>
        <w:rPr>
          <w:rFonts w:hint="eastAsia" w:hAnsi="宋体" w:cs="宋体"/>
          <w:kern w:val="0"/>
        </w:rPr>
        <w:t>且</w:t>
      </w:r>
      <w:r>
        <w:rPr>
          <w:rFonts w:hAnsi="宋体" w:cs="宋体"/>
          <w:kern w:val="0"/>
        </w:rPr>
        <w:t>含硫量较高</w:t>
      </w:r>
      <w:r>
        <w:rPr>
          <w:rFonts w:hint="eastAsia" w:hAnsi="宋体" w:cs="宋体"/>
          <w:kern w:val="0"/>
        </w:rPr>
        <w:t>。</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hint="eastAsia" w:ascii="Times New Roman" w:hAnsi="Times New Roman" w:eastAsia="黑体"/>
        </w:rPr>
        <w:t>煤制汽油　</w:t>
      </w:r>
      <w:r>
        <w:rPr>
          <w:rFonts w:hint="eastAsia" w:hAnsi="宋体" w:cs="宋体"/>
          <w:kern w:val="0"/>
        </w:rPr>
        <w:t>指</w:t>
      </w:r>
      <w:r>
        <w:rPr>
          <w:rFonts w:hAnsi="宋体" w:cs="宋体"/>
          <w:kern w:val="0"/>
        </w:rPr>
        <w:t>以</w:t>
      </w:r>
      <w:r>
        <w:rPr>
          <w:rFonts w:hint="eastAsia" w:hAnsi="宋体" w:cs="宋体"/>
          <w:kern w:val="0"/>
        </w:rPr>
        <w:t>煤炭</w:t>
      </w:r>
      <w:r>
        <w:rPr>
          <w:rFonts w:hAnsi="宋体" w:cs="宋体"/>
          <w:kern w:val="0"/>
        </w:rPr>
        <w:t>为原料</w:t>
      </w:r>
      <w:r>
        <w:rPr>
          <w:rFonts w:hint="eastAsia" w:hAnsi="宋体" w:cs="宋体"/>
          <w:kern w:val="0"/>
        </w:rPr>
        <w:t>，</w:t>
      </w:r>
      <w:r>
        <w:rPr>
          <w:rFonts w:hAnsi="宋体" w:cs="宋体"/>
          <w:kern w:val="0"/>
        </w:rPr>
        <w:t>通过直接液化或间接液化</w:t>
      </w:r>
      <w:r>
        <w:rPr>
          <w:rFonts w:hint="eastAsia" w:hAnsi="宋体" w:cs="宋体"/>
          <w:kern w:val="0"/>
        </w:rPr>
        <w:t>及</w:t>
      </w:r>
      <w:r>
        <w:rPr>
          <w:rFonts w:hAnsi="宋体" w:cs="宋体"/>
          <w:kern w:val="0"/>
        </w:rPr>
        <w:t>催化重整等化学加工过程</w:t>
      </w:r>
      <w:r>
        <w:rPr>
          <w:rFonts w:hint="eastAsia" w:hAnsi="宋体" w:cs="宋体"/>
          <w:kern w:val="0"/>
        </w:rPr>
        <w:t>或是</w:t>
      </w:r>
      <w:r>
        <w:rPr>
          <w:rFonts w:hAnsi="宋体" w:cs="宋体"/>
          <w:kern w:val="0"/>
        </w:rPr>
        <w:t>由煤焦油</w:t>
      </w:r>
      <w:r>
        <w:rPr>
          <w:rFonts w:hint="eastAsia" w:hAnsi="宋体" w:cs="宋体"/>
          <w:kern w:val="0"/>
        </w:rPr>
        <w:t>通过</w:t>
      </w:r>
      <w:r>
        <w:rPr>
          <w:rFonts w:hAnsi="宋体" w:cs="宋体"/>
          <w:kern w:val="0"/>
        </w:rPr>
        <w:t>化学加工得到的</w:t>
      </w:r>
      <w:r>
        <w:rPr>
          <w:rFonts w:hint="eastAsia" w:hAnsi="宋体" w:cs="宋体"/>
          <w:kern w:val="0"/>
        </w:rPr>
        <w:t>汽油。</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hint="eastAsia" w:ascii="Times New Roman" w:hAnsi="Times New Roman" w:eastAsia="黑体"/>
        </w:rPr>
        <w:t xml:space="preserve">煤制柴油  </w:t>
      </w:r>
      <w:r>
        <w:rPr>
          <w:rFonts w:hint="eastAsia" w:hAnsi="宋体" w:cs="宋体"/>
        </w:rPr>
        <w:t>指</w:t>
      </w:r>
      <w:r>
        <w:rPr>
          <w:rFonts w:hAnsi="宋体" w:cs="宋体"/>
          <w:kern w:val="0"/>
        </w:rPr>
        <w:t>以</w:t>
      </w:r>
      <w:r>
        <w:rPr>
          <w:rFonts w:hint="eastAsia" w:hAnsi="宋体" w:cs="宋体"/>
          <w:kern w:val="0"/>
        </w:rPr>
        <w:t>煤炭</w:t>
      </w:r>
      <w:r>
        <w:rPr>
          <w:rFonts w:hAnsi="宋体" w:cs="宋体"/>
          <w:kern w:val="0"/>
        </w:rPr>
        <w:t>为原料</w:t>
      </w:r>
      <w:r>
        <w:rPr>
          <w:rFonts w:hint="eastAsia" w:hAnsi="宋体" w:cs="宋体"/>
          <w:kern w:val="0"/>
        </w:rPr>
        <w:t>，通</w:t>
      </w:r>
      <w:r>
        <w:rPr>
          <w:rFonts w:hAnsi="宋体" w:cs="宋体"/>
          <w:kern w:val="0"/>
        </w:rPr>
        <w:t>过直接液化或间接液化</w:t>
      </w:r>
      <w:r>
        <w:rPr>
          <w:rFonts w:hint="eastAsia" w:hAnsi="宋体" w:cs="宋体"/>
          <w:kern w:val="0"/>
        </w:rPr>
        <w:t>及</w:t>
      </w:r>
      <w:r>
        <w:rPr>
          <w:rFonts w:hAnsi="宋体" w:cs="宋体"/>
          <w:kern w:val="0"/>
        </w:rPr>
        <w:t>催化重整等化学加工过程</w:t>
      </w:r>
      <w:r>
        <w:rPr>
          <w:rFonts w:hint="eastAsia" w:hAnsi="宋体" w:cs="宋体"/>
          <w:kern w:val="0"/>
        </w:rPr>
        <w:t>或是</w:t>
      </w:r>
      <w:r>
        <w:rPr>
          <w:rFonts w:hAnsi="宋体" w:cs="宋体"/>
          <w:kern w:val="0"/>
        </w:rPr>
        <w:t>由煤焦油</w:t>
      </w:r>
      <w:r>
        <w:rPr>
          <w:rFonts w:hint="eastAsia" w:hAnsi="宋体" w:cs="宋体"/>
          <w:kern w:val="0"/>
        </w:rPr>
        <w:t>通过</w:t>
      </w:r>
      <w:r>
        <w:rPr>
          <w:rFonts w:hAnsi="宋体" w:cs="宋体"/>
          <w:kern w:val="0"/>
        </w:rPr>
        <w:t>化学加工得到的</w:t>
      </w:r>
      <w:r>
        <w:rPr>
          <w:rFonts w:hint="eastAsia" w:hAnsi="宋体" w:cs="宋体"/>
          <w:kern w:val="0"/>
        </w:rPr>
        <w:t>柴油。</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hint="eastAsia" w:ascii="Times New Roman" w:hAnsi="Times New Roman" w:eastAsia="黑体"/>
        </w:rPr>
        <w:t>煤制航空燃料　</w:t>
      </w:r>
      <w:r>
        <w:rPr>
          <w:rFonts w:hint="eastAsia" w:hAnsi="宋体" w:cs="宋体"/>
          <w:kern w:val="0"/>
        </w:rPr>
        <w:t>指</w:t>
      </w:r>
      <w:r>
        <w:rPr>
          <w:rFonts w:hAnsi="宋体" w:cs="宋体"/>
          <w:kern w:val="0"/>
        </w:rPr>
        <w:t>以</w:t>
      </w:r>
      <w:r>
        <w:rPr>
          <w:rFonts w:hint="eastAsia" w:hAnsi="宋体" w:cs="宋体"/>
          <w:kern w:val="0"/>
        </w:rPr>
        <w:t>煤炭</w:t>
      </w:r>
      <w:r>
        <w:rPr>
          <w:rFonts w:hAnsi="宋体" w:cs="宋体"/>
          <w:kern w:val="0"/>
        </w:rPr>
        <w:t>为原料</w:t>
      </w:r>
      <w:r>
        <w:rPr>
          <w:rFonts w:hint="eastAsia" w:hAnsi="宋体" w:cs="宋体"/>
          <w:kern w:val="0"/>
        </w:rPr>
        <w:t>，</w:t>
      </w:r>
      <w:r>
        <w:rPr>
          <w:rFonts w:hAnsi="宋体" w:cs="宋体"/>
          <w:kern w:val="0"/>
        </w:rPr>
        <w:t>通过直接液化或间接液化</w:t>
      </w:r>
      <w:r>
        <w:rPr>
          <w:rFonts w:hint="eastAsia" w:hAnsi="宋体" w:cs="宋体"/>
          <w:kern w:val="0"/>
        </w:rPr>
        <w:t>及</w:t>
      </w:r>
      <w:r>
        <w:rPr>
          <w:rFonts w:hAnsi="宋体" w:cs="宋体"/>
          <w:kern w:val="0"/>
        </w:rPr>
        <w:t>催化重整等化学加工过程</w:t>
      </w:r>
      <w:r>
        <w:rPr>
          <w:rFonts w:hint="eastAsia" w:hAnsi="宋体" w:cs="宋体"/>
          <w:kern w:val="0"/>
        </w:rPr>
        <w:t>得到</w:t>
      </w:r>
      <w:r>
        <w:rPr>
          <w:rFonts w:hAnsi="宋体" w:cs="宋体"/>
          <w:kern w:val="0"/>
        </w:rPr>
        <w:t>的航空</w:t>
      </w:r>
      <w:r>
        <w:rPr>
          <w:rFonts w:hint="eastAsia" w:hAnsi="宋体" w:cs="宋体"/>
          <w:kern w:val="0"/>
        </w:rPr>
        <w:t>煤油等</w:t>
      </w:r>
      <w:r>
        <w:rPr>
          <w:rFonts w:hAnsi="宋体" w:cs="宋体"/>
          <w:kern w:val="0"/>
        </w:rPr>
        <w:t>航空燃料。</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hint="eastAsia" w:ascii="Times New Roman" w:hAnsi="Times New Roman" w:eastAsia="黑体"/>
        </w:rPr>
        <w:t>煤制石蜡　</w:t>
      </w:r>
      <w:r>
        <w:rPr>
          <w:rFonts w:hint="eastAsia" w:hAnsi="宋体" w:cs="宋体"/>
          <w:kern w:val="0"/>
        </w:rPr>
        <w:t>指煤</w:t>
      </w:r>
      <w:r>
        <w:rPr>
          <w:rFonts w:hAnsi="宋体" w:cs="宋体"/>
          <w:kern w:val="0"/>
        </w:rPr>
        <w:t>通过间接液化等化学加工过程</w:t>
      </w:r>
      <w:r>
        <w:rPr>
          <w:rFonts w:hint="eastAsia" w:hAnsi="宋体" w:cs="宋体"/>
          <w:kern w:val="0"/>
        </w:rPr>
        <w:t>得到</w:t>
      </w:r>
      <w:r>
        <w:rPr>
          <w:rFonts w:hAnsi="宋体" w:cs="宋体"/>
          <w:kern w:val="0"/>
        </w:rPr>
        <w:t>的石蜡。</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hint="eastAsia" w:ascii="Times New Roman" w:hAnsi="Times New Roman" w:eastAsia="黑体"/>
        </w:rPr>
        <w:t>其他煤制油产品　</w:t>
      </w:r>
      <w:r>
        <w:rPr>
          <w:rFonts w:hint="eastAsia" w:hAnsi="宋体" w:cs="宋体"/>
          <w:kern w:val="0"/>
        </w:rPr>
        <w:t>不属于</w:t>
      </w:r>
      <w:r>
        <w:rPr>
          <w:rFonts w:hAnsi="宋体" w:cs="宋体"/>
          <w:kern w:val="0"/>
        </w:rPr>
        <w:t>上述油品</w:t>
      </w:r>
      <w:r>
        <w:rPr>
          <w:rFonts w:hint="eastAsia" w:hAnsi="宋体" w:cs="宋体"/>
          <w:kern w:val="0"/>
        </w:rPr>
        <w:t>的其他煤制油</w:t>
      </w:r>
      <w:r>
        <w:rPr>
          <w:rFonts w:hAnsi="宋体" w:cs="宋体"/>
          <w:kern w:val="0"/>
        </w:rPr>
        <w:t>产品</w:t>
      </w:r>
      <w:r>
        <w:rPr>
          <w:rFonts w:hint="eastAsia" w:hAnsi="宋体" w:cs="宋体"/>
          <w:kern w:val="0"/>
        </w:rPr>
        <w:t>。</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天然气</w:t>
      </w:r>
      <w:r>
        <w:rPr>
          <w:rFonts w:hint="eastAsia" w:ascii="Times New Roman" w:hAnsi="Times New Roman" w:eastAsia="黑体" w:cs="Times New Roman"/>
        </w:rPr>
        <w:t>　</w:t>
      </w:r>
      <w:r>
        <w:rPr>
          <w:rFonts w:ascii="Times New Roman" w:hAnsi="Times New Roman" w:cs="Times New Roman"/>
          <w:kern w:val="0"/>
        </w:rPr>
        <w:t>指以气态碳氢化合物为主的各种气体的混合物，由有机物质经生物化学作用分解而成，或与石油共存于岩石的裂缝和空洞中，或以溶解状态存在于地下水中；主要成分为甲烷（约占</w:t>
      </w:r>
      <w:r>
        <w:rPr>
          <w:rFonts w:hint="eastAsia" w:asciiTheme="minorEastAsia" w:hAnsiTheme="minorEastAsia" w:eastAsiaTheme="minorEastAsia" w:cstheme="minorEastAsia"/>
          <w:kern w:val="0"/>
        </w:rPr>
        <w:t>85%-95%</w:t>
      </w:r>
      <w:r>
        <w:rPr>
          <w:rFonts w:ascii="Times New Roman" w:hAnsi="Times New Roman" w:cs="Times New Roman"/>
          <w:kern w:val="0"/>
        </w:rPr>
        <w:t>），还有乙烷、丙烷、丁烷等，是一种优质燃料和化工原料。天然气分为常规天然气和非常规天然气。</w:t>
      </w:r>
    </w:p>
    <w:p>
      <w:pPr>
        <w:keepNext w:val="0"/>
        <w:keepLines w:val="0"/>
        <w:pageBreakBefore w:val="0"/>
        <w:widowControl w:val="0"/>
        <w:kinsoku/>
        <w:wordWrap/>
        <w:overflowPunct/>
        <w:topLinePunct w:val="0"/>
        <w:autoSpaceDE/>
        <w:autoSpaceDN/>
        <w:bidi w:val="0"/>
        <w:spacing w:line="360" w:lineRule="exact"/>
        <w:ind w:firstLine="420" w:firstLineChars="200"/>
        <w:textAlignment w:val="center"/>
        <w:rPr>
          <w:kern w:val="0"/>
          <w:szCs w:val="21"/>
        </w:rPr>
      </w:pPr>
      <w:r>
        <w:rPr>
          <w:rFonts w:hint="eastAsia" w:ascii="黑体" w:hAnsi="黑体" w:eastAsia="黑体"/>
          <w:kern w:val="0"/>
          <w:szCs w:val="21"/>
        </w:rPr>
        <w:t xml:space="preserve">常规天然气  </w:t>
      </w:r>
      <w:r>
        <w:rPr>
          <w:kern w:val="0"/>
          <w:szCs w:val="21"/>
        </w:rPr>
        <w:t>包括气田天然气、油田天然气（分为油田气层气、油田伴生溶解气）。</w:t>
      </w:r>
    </w:p>
    <w:p>
      <w:pPr>
        <w:keepNext w:val="0"/>
        <w:keepLines w:val="0"/>
        <w:pageBreakBefore w:val="0"/>
        <w:widowControl w:val="0"/>
        <w:kinsoku/>
        <w:wordWrap/>
        <w:overflowPunct/>
        <w:topLinePunct w:val="0"/>
        <w:autoSpaceDE/>
        <w:autoSpaceDN/>
        <w:bidi w:val="0"/>
        <w:spacing w:line="360" w:lineRule="exact"/>
        <w:ind w:firstLine="420" w:firstLineChars="200"/>
        <w:textAlignment w:val="center"/>
        <w:rPr>
          <w:kern w:val="0"/>
          <w:szCs w:val="21"/>
        </w:rPr>
      </w:pPr>
      <w:r>
        <w:rPr>
          <w:rFonts w:hint="eastAsia" w:ascii="黑体" w:hAnsi="黑体" w:eastAsia="黑体"/>
          <w:kern w:val="0"/>
          <w:szCs w:val="21"/>
        </w:rPr>
        <w:t>非常规天然气　</w:t>
      </w:r>
      <w:r>
        <w:rPr>
          <w:kern w:val="0"/>
          <w:szCs w:val="21"/>
        </w:rPr>
        <w:t>包括煤层气、页岩气、致密砂岩气等。</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cs="Times New Roman"/>
          <w:kern w:val="0"/>
        </w:rPr>
        <w:t>天然气体积随温度和压力的变化而变化，统计时按标准状态下（压力为</w:t>
      </w:r>
      <w:r>
        <w:rPr>
          <w:rFonts w:hint="eastAsia" w:asciiTheme="minorEastAsia" w:hAnsiTheme="minorEastAsia" w:eastAsiaTheme="minorEastAsia" w:cstheme="minorEastAsia"/>
          <w:kern w:val="0"/>
        </w:rPr>
        <w:t>760毫米汞柱，温度20℃</w:t>
      </w:r>
      <w:r>
        <w:rPr>
          <w:rFonts w:ascii="Times New Roman" w:hAnsi="Times New Roman" w:cs="Times New Roman"/>
          <w:kern w:val="0"/>
        </w:rPr>
        <w:t>）的体积计算。</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ascii="Times New Roman" w:hAnsi="Times New Roman" w:cs="Times New Roman"/>
        </w:rPr>
        <w:t>天然气产量是指进入集输管网和就地利用的全部气量。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ascii="Times New Roman" w:hAnsi="Times New Roman" w:cs="Times New Roman"/>
        </w:rPr>
        <w:t>天然气产量的计算原则：</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hint="eastAsia" w:asciiTheme="minorEastAsia" w:hAnsiTheme="minorEastAsia" w:eastAsiaTheme="minorEastAsia" w:cstheme="minorEastAsia"/>
          <w:kern w:val="0"/>
        </w:rPr>
        <w:t>1.</w:t>
      </w:r>
      <w:r>
        <w:rPr>
          <w:rFonts w:ascii="Times New Roman" w:hAnsi="Times New Roman" w:cs="Times New Roman"/>
        </w:rPr>
        <w:t>气田天然气产量是指从井口产出经过油、气、水分离，进入集输管网和就地利用第一次计量的全部气量。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hint="eastAsia" w:asciiTheme="minorEastAsia" w:hAnsiTheme="minorEastAsia" w:eastAsiaTheme="minorEastAsia" w:cstheme="minorEastAsia"/>
          <w:kern w:val="0"/>
        </w:rPr>
        <w:t>2.</w:t>
      </w:r>
      <w:r>
        <w:rPr>
          <w:rFonts w:ascii="Times New Roman" w:hAnsi="Times New Roman" w:cs="Times New Roman"/>
        </w:rPr>
        <w:t>油田天然气产量是指从油井产出，在油、气、水三相分离分输点，第一次通过仪表连续计量进入管网和就地利用的全部气量。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hint="eastAsia" w:asciiTheme="minorEastAsia" w:hAnsiTheme="minorEastAsia" w:eastAsiaTheme="minorEastAsia" w:cstheme="minorEastAsia"/>
          <w:kern w:val="0"/>
        </w:rPr>
        <w:t>3.</w:t>
      </w:r>
      <w:r>
        <w:rPr>
          <w:rFonts w:ascii="Times New Roman" w:hAnsi="Times New Roman" w:cs="Times New Roman"/>
        </w:rPr>
        <w:t>对不具备条件未经油、气、水分离的就地自用气量和边远井产气就地利用气量，仍可按测定消耗定额的办法计算产气量。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hint="eastAsia" w:asciiTheme="minorEastAsia" w:hAnsiTheme="minorEastAsia" w:eastAsiaTheme="minorEastAsia" w:cstheme="minorEastAsia"/>
          <w:kern w:val="0"/>
        </w:rPr>
        <w:t>4.</w:t>
      </w:r>
      <w:r>
        <w:rPr>
          <w:rFonts w:ascii="Times New Roman" w:hAnsi="Times New Roman" w:cs="Times New Roman"/>
        </w:rPr>
        <w:t>经过油气水三相分离后的油井气中，可能含有一些凝聚物，应根据测定情况在气量中予以扣除。</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ascii="Times New Roman" w:hAnsi="Times New Roman" w:cs="Times New Roman"/>
        </w:rPr>
        <w:t>天然气产量计算公式：天然气产量=销售量+企业自用气量+损耗量及输差+期末库存-期初库存</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ascii="Times New Roman" w:hAnsi="Times New Roman" w:cs="Times New Roman"/>
        </w:rPr>
        <w:t>天然气销售量是指供给本企业以外用户，以及供本企业内部炼油厂、化工厂等部门用气量和其</w:t>
      </w:r>
      <w:r>
        <w:rPr>
          <w:rFonts w:hint="eastAsia" w:ascii="Times New Roman" w:hAnsi="Times New Roman" w:cs="Times New Roman"/>
        </w:rPr>
        <w:t>他</w:t>
      </w:r>
      <w:r>
        <w:rPr>
          <w:rFonts w:ascii="Times New Roman" w:hAnsi="Times New Roman" w:cs="Times New Roman"/>
        </w:rPr>
        <w:t>综合利用的气量。</w:t>
      </w:r>
    </w:p>
    <w:p>
      <w:pPr>
        <w:pStyle w:val="10"/>
        <w:keepNext w:val="0"/>
        <w:keepLines w:val="0"/>
        <w:pageBreakBefore w:val="0"/>
        <w:widowControl w:val="0"/>
        <w:kinsoku/>
        <w:wordWrap/>
        <w:overflowPunct/>
        <w:topLinePunct w:val="0"/>
        <w:autoSpaceDE/>
        <w:autoSpaceDN/>
        <w:bidi w:val="0"/>
        <w:adjustRightInd w:val="0"/>
        <w:spacing w:line="360" w:lineRule="exact"/>
        <w:ind w:firstLine="428" w:firstLineChars="200"/>
        <w:textAlignment w:val="center"/>
        <w:rPr>
          <w:rFonts w:ascii="Times New Roman" w:hAnsi="Times New Roman" w:cs="Times New Roman"/>
          <w:spacing w:val="2"/>
        </w:rPr>
      </w:pPr>
      <w:r>
        <w:rPr>
          <w:rFonts w:ascii="Times New Roman" w:hAnsi="Times New Roman" w:cs="Times New Roman"/>
          <w:spacing w:val="2"/>
        </w:rPr>
        <w:t>天然气销售量按供气用途分为供大化肥用、供中小化肥用、其他工业用、商业用、城市民用、其他用。</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ascii="Times New Roman" w:hAnsi="Times New Roman" w:cs="Times New Roman"/>
        </w:rPr>
        <w:t>销售量中供本企业用气量，主要是指供给本企业内炼油、化工、碳黑、硫磺、化肥、制盐等用气量，这部分气量计入其他工业用气量中。</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ascii="Times New Roman" w:hAnsi="Times New Roman" w:cs="Times New Roman"/>
        </w:rPr>
        <w:t>企业自用气量是指企业内部自用的全部天然气量。它包括生产用气和其他自用气量。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hint="eastAsia" w:asciiTheme="minorEastAsia" w:hAnsiTheme="minorEastAsia" w:eastAsiaTheme="minorEastAsia" w:cstheme="minorEastAsia"/>
          <w:kern w:val="0"/>
        </w:rPr>
        <w:t>1.生</w:t>
      </w:r>
      <w:r>
        <w:rPr>
          <w:rFonts w:ascii="Times New Roman" w:hAnsi="Times New Roman" w:cs="Times New Roman"/>
        </w:rPr>
        <w:t>产自用气量，是指围绕油气生产所用的气量。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hint="eastAsia" w:asciiTheme="minorEastAsia" w:hAnsiTheme="minorEastAsia" w:eastAsiaTheme="minorEastAsia" w:cstheme="minorEastAsia"/>
          <w:kern w:val="0"/>
        </w:rPr>
        <w:t>2.其</w:t>
      </w:r>
      <w:r>
        <w:rPr>
          <w:rFonts w:ascii="Times New Roman" w:hAnsi="Times New Roman" w:cs="Times New Roman"/>
        </w:rPr>
        <w:t>他自用气量，是指油田所属的文教、卫生、生活福利等部门的用气量。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ascii="Times New Roman" w:hAnsi="Times New Roman" w:cs="Times New Roman"/>
        </w:rPr>
        <w:t>天然气损耗量及输差是指天然气输送过程中的损耗及输差。</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煤层气</w:t>
      </w:r>
      <w:r>
        <w:rPr>
          <w:rFonts w:hint="eastAsia" w:ascii="Times New Roman" w:hAnsi="Times New Roman" w:eastAsia="黑体" w:cs="Times New Roman"/>
        </w:rPr>
        <w:t>　</w:t>
      </w:r>
      <w:r>
        <w:rPr>
          <w:rFonts w:ascii="Times New Roman" w:hAnsi="Times New Roman" w:cs="Times New Roman"/>
          <w:kern w:val="0"/>
        </w:rPr>
        <w:t>指储存在煤层中以甲烷为主要成分、以吸附在煤基质颗粒表面为主、部分游离于煤孔隙中或溶解于煤层水中的烃类气体，是煤的伴生矿产资源，属非常规天然气。</w:t>
      </w:r>
    </w:p>
    <w:p>
      <w:pPr>
        <w:keepNext w:val="0"/>
        <w:keepLines w:val="0"/>
        <w:pageBreakBefore w:val="0"/>
        <w:widowControl w:val="0"/>
        <w:kinsoku/>
        <w:wordWrap/>
        <w:overflowPunct/>
        <w:topLinePunct w:val="0"/>
        <w:autoSpaceDE/>
        <w:autoSpaceDN/>
        <w:bidi w:val="0"/>
        <w:spacing w:line="360" w:lineRule="exact"/>
        <w:ind w:firstLine="420" w:firstLineChars="200"/>
        <w:textAlignment w:val="center"/>
        <w:rPr>
          <w:szCs w:val="21"/>
          <w:shd w:val="clear" w:color="auto" w:fill="FFFFFF"/>
        </w:rPr>
      </w:pPr>
      <w:r>
        <w:rPr>
          <w:rFonts w:eastAsia="黑体"/>
          <w:kern w:val="0"/>
          <w:szCs w:val="21"/>
        </w:rPr>
        <w:t>页岩气</w:t>
      </w:r>
      <w:r>
        <w:rPr>
          <w:rFonts w:hint="eastAsia" w:eastAsia="黑体"/>
          <w:kern w:val="0"/>
          <w:szCs w:val="21"/>
        </w:rPr>
        <w:t>　</w:t>
      </w:r>
      <w:r>
        <w:rPr>
          <w:rFonts w:hint="eastAsia"/>
          <w:kern w:val="0"/>
          <w:szCs w:val="21"/>
        </w:rPr>
        <w:t xml:space="preserve">指赋存于富有机质泥页岩及其夹层中，以吸附或游离状态为主要存在方式的非常规天然气，成分以甲烷为主，是一种清洁、高效能源。 </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szCs w:val="21"/>
          <w:shd w:val="clear" w:color="auto" w:fill="FFFFFF"/>
        </w:rPr>
      </w:pPr>
      <w:r>
        <w:rPr>
          <w:rFonts w:eastAsia="黑体"/>
          <w:kern w:val="0"/>
          <w:szCs w:val="21"/>
        </w:rPr>
        <w:t>致密砂岩气</w:t>
      </w:r>
      <w:r>
        <w:rPr>
          <w:rFonts w:hint="eastAsia" w:eastAsia="黑体"/>
          <w:kern w:val="0"/>
          <w:szCs w:val="21"/>
        </w:rPr>
        <w:t>　</w:t>
      </w:r>
      <w:r>
        <w:rPr>
          <w:kern w:val="0"/>
          <w:szCs w:val="21"/>
        </w:rPr>
        <w:t>指</w:t>
      </w:r>
      <w:r>
        <w:rPr>
          <w:rFonts w:hint="eastAsia"/>
          <w:kern w:val="0"/>
          <w:szCs w:val="21"/>
        </w:rPr>
        <w:t>覆压基质渗透率</w:t>
      </w:r>
      <w:r>
        <w:rPr>
          <w:kern w:val="0"/>
          <w:szCs w:val="21"/>
        </w:rPr>
        <w:t>小于或等于</w:t>
      </w:r>
      <w:r>
        <w:rPr>
          <w:rFonts w:hint="eastAsia" w:asciiTheme="minorEastAsia" w:hAnsiTheme="minorEastAsia" w:eastAsiaTheme="minorEastAsia" w:cstheme="minorEastAsia"/>
          <w:kern w:val="0"/>
          <w:szCs w:val="21"/>
        </w:rPr>
        <w:t>0.1×10-</w:t>
      </w:r>
      <w:r>
        <w:rPr>
          <w:rFonts w:hint="eastAsia" w:asciiTheme="minorEastAsia" w:hAnsiTheme="minorEastAsia" w:eastAsiaTheme="minorEastAsia" w:cstheme="minorEastAsia"/>
          <w:kern w:val="0"/>
          <w:szCs w:val="21"/>
          <w:vertAlign w:val="superscript"/>
        </w:rPr>
        <w:t>3</w:t>
      </w:r>
      <w:r>
        <w:rPr>
          <w:rFonts w:hint="eastAsia" w:asciiTheme="minorEastAsia" w:hAnsiTheme="minorEastAsia" w:eastAsiaTheme="minorEastAsia" w:cstheme="minorEastAsia"/>
          <w:kern w:val="0"/>
          <w:szCs w:val="21"/>
        </w:rPr>
        <w:t>μm</w:t>
      </w:r>
      <w:r>
        <w:rPr>
          <w:rFonts w:hint="eastAsia" w:asciiTheme="minorEastAsia" w:hAnsiTheme="minorEastAsia" w:eastAsiaTheme="minorEastAsia" w:cstheme="minorEastAsia"/>
          <w:kern w:val="0"/>
          <w:szCs w:val="21"/>
          <w:vertAlign w:val="superscript"/>
        </w:rPr>
        <w:t>2</w:t>
      </w:r>
      <w:r>
        <w:rPr>
          <w:rFonts w:hint="eastAsia"/>
          <w:kern w:val="0"/>
          <w:szCs w:val="21"/>
        </w:rPr>
        <w:t>的砂岩</w:t>
      </w:r>
      <w:r>
        <w:rPr>
          <w:kern w:val="0"/>
          <w:szCs w:val="21"/>
        </w:rPr>
        <w:t>气层，单井一般无</w:t>
      </w:r>
      <w:r>
        <w:rPr>
          <w:rFonts w:hint="eastAsia"/>
          <w:kern w:val="0"/>
          <w:szCs w:val="21"/>
        </w:rPr>
        <w:t>自然</w:t>
      </w:r>
      <w:r>
        <w:rPr>
          <w:kern w:val="0"/>
          <w:szCs w:val="21"/>
        </w:rPr>
        <w:t>产能</w:t>
      </w:r>
      <w:r>
        <w:rPr>
          <w:rFonts w:hint="eastAsia"/>
          <w:kern w:val="0"/>
          <w:szCs w:val="21"/>
        </w:rPr>
        <w:t>或</w:t>
      </w:r>
      <w:r>
        <w:rPr>
          <w:kern w:val="0"/>
          <w:szCs w:val="21"/>
        </w:rPr>
        <w:t>自然产能低于工业气流下限，</w:t>
      </w:r>
      <w:r>
        <w:rPr>
          <w:rFonts w:hint="eastAsia"/>
          <w:kern w:val="0"/>
          <w:szCs w:val="21"/>
        </w:rPr>
        <w:t>但</w:t>
      </w:r>
      <w:r>
        <w:rPr>
          <w:kern w:val="0"/>
          <w:szCs w:val="21"/>
        </w:rPr>
        <w:t>在一</w:t>
      </w:r>
      <w:r>
        <w:rPr>
          <w:rFonts w:hint="eastAsia"/>
          <w:kern w:val="0"/>
          <w:szCs w:val="21"/>
        </w:rPr>
        <w:t>定</w:t>
      </w:r>
      <w:r>
        <w:rPr>
          <w:kern w:val="0"/>
          <w:szCs w:val="21"/>
        </w:rPr>
        <w:t>经济条件和技术措施下可获得工业天然气产量。</w:t>
      </w:r>
      <w:r>
        <w:rPr>
          <w:rFonts w:hint="eastAsia"/>
          <w:kern w:val="0"/>
          <w:szCs w:val="21"/>
        </w:rPr>
        <w:t>通常</w:t>
      </w:r>
      <w:r>
        <w:rPr>
          <w:kern w:val="0"/>
          <w:szCs w:val="21"/>
        </w:rPr>
        <w:t>情况下，</w:t>
      </w:r>
      <w:r>
        <w:rPr>
          <w:rFonts w:hint="eastAsia"/>
          <w:kern w:val="0"/>
          <w:szCs w:val="21"/>
        </w:rPr>
        <w:t>这些措施</w:t>
      </w:r>
      <w:r>
        <w:rPr>
          <w:kern w:val="0"/>
          <w:szCs w:val="21"/>
        </w:rPr>
        <w:t>包括压裂</w:t>
      </w:r>
      <w:r>
        <w:rPr>
          <w:rFonts w:hint="eastAsia"/>
          <w:kern w:val="0"/>
          <w:szCs w:val="21"/>
        </w:rPr>
        <w:t>、</w:t>
      </w:r>
      <w:r>
        <w:rPr>
          <w:kern w:val="0"/>
          <w:szCs w:val="21"/>
        </w:rPr>
        <w:t>水平井、多分</w:t>
      </w:r>
      <w:r>
        <w:rPr>
          <w:rFonts w:hint="eastAsia"/>
          <w:kern w:val="0"/>
          <w:szCs w:val="21"/>
        </w:rPr>
        <w:t>支</w:t>
      </w:r>
      <w:r>
        <w:rPr>
          <w:kern w:val="0"/>
          <w:szCs w:val="21"/>
        </w:rPr>
        <w:t>井等。</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液化天然气</w:t>
      </w:r>
      <w:r>
        <w:rPr>
          <w:rFonts w:hint="eastAsia" w:ascii="Times New Roman" w:hAnsi="Times New Roman" w:eastAsia="黑体" w:cs="Times New Roman"/>
        </w:rPr>
        <w:t>　</w:t>
      </w:r>
      <w:r>
        <w:rPr>
          <w:rFonts w:ascii="Times New Roman" w:hAnsi="Times New Roman" w:cs="Times New Roman"/>
          <w:kern w:val="0"/>
        </w:rPr>
        <w:t>指液体状态的天然气，由气态天然气在一定温度和压力条件下液化而成，无毒、无色、无味，在</w:t>
      </w:r>
      <w:r>
        <w:rPr>
          <w:rFonts w:hint="eastAsia" w:asciiTheme="minorEastAsia" w:hAnsiTheme="minorEastAsia" w:eastAsiaTheme="minorEastAsia" w:cstheme="minorEastAsia"/>
          <w:kern w:val="0"/>
        </w:rPr>
        <w:t>-161℃下的</w:t>
      </w:r>
      <w:r>
        <w:rPr>
          <w:rFonts w:ascii="Times New Roman" w:hAnsi="Times New Roman" w:cs="Times New Roman"/>
          <w:kern w:val="0"/>
        </w:rPr>
        <w:t>密度约</w:t>
      </w:r>
      <w:r>
        <w:rPr>
          <w:rFonts w:hint="eastAsia" w:asciiTheme="minorEastAsia" w:hAnsiTheme="minorEastAsia" w:eastAsiaTheme="minorEastAsia" w:cstheme="minorEastAsia"/>
          <w:kern w:val="0"/>
        </w:rPr>
        <w:t>为425千</w:t>
      </w:r>
      <w:r>
        <w:rPr>
          <w:rFonts w:ascii="Times New Roman" w:hAnsi="Times New Roman" w:cs="Times New Roman"/>
          <w:kern w:val="0"/>
        </w:rPr>
        <w:t>克/立方米。天然气在常温、常压状态为气态，占有的体积大，不利于储存，液化后体积只有气态的</w:t>
      </w:r>
      <w:r>
        <w:rPr>
          <w:rFonts w:hint="eastAsia" w:asciiTheme="minorEastAsia" w:hAnsiTheme="minorEastAsia" w:eastAsiaTheme="minorEastAsia" w:cstheme="minorEastAsia"/>
          <w:kern w:val="0"/>
        </w:rPr>
        <w:t>1/600</w:t>
      </w:r>
      <w:r>
        <w:rPr>
          <w:rFonts w:ascii="Times New Roman" w:hAnsi="Times New Roman" w:cs="Times New Roman"/>
          <w:kern w:val="0"/>
        </w:rPr>
        <w:t>左右。天然气的主要成分—甲烷的临界温度</w:t>
      </w:r>
      <w:r>
        <w:rPr>
          <w:rFonts w:hint="eastAsia" w:asciiTheme="minorEastAsia" w:hAnsiTheme="minorEastAsia" w:eastAsiaTheme="minorEastAsia" w:cstheme="minorEastAsia"/>
          <w:kern w:val="0"/>
        </w:rPr>
        <w:t>为-82℃，故在常温下不可能通过压缩而将其液化。而当将甲烷冷却到-161℃以下时，在常压下即转化为液体，即液化天然气（LNG）。</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spacing w:val="4"/>
          <w:kern w:val="0"/>
        </w:rPr>
      </w:pPr>
      <w:r>
        <w:rPr>
          <w:rFonts w:ascii="Times New Roman" w:hAnsi="Times New Roman" w:eastAsia="黑体" w:cs="Times New Roman"/>
        </w:rPr>
        <w:t>原油</w:t>
      </w:r>
      <w:r>
        <w:rPr>
          <w:rFonts w:hint="eastAsia" w:ascii="Times New Roman" w:hAnsi="Times New Roman" w:eastAsia="黑体" w:cs="Times New Roman"/>
        </w:rPr>
        <w:t>　</w:t>
      </w:r>
      <w:r>
        <w:rPr>
          <w:rFonts w:ascii="Times New Roman" w:hAnsi="Times New Roman" w:cs="Times New Roman"/>
          <w:spacing w:val="4"/>
          <w:kern w:val="0"/>
        </w:rPr>
        <w:t>指各种碳氢化合物的复杂混合物，通常呈暗褐色或者黑色液态，少数呈黄色、淡红色、淡褐色。</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cs="Times New Roman"/>
          <w:kern w:val="0"/>
        </w:rPr>
        <w:t>（一）原油产量的计算原则：</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1.原油产量按净原油量（即：扣除含水、泥沙后的原油量）计算。</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2.为了合理开发利用国家地下石油资源，从采油井采出的原油必须进入集输系统，尽量减少进入土油池。</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3.因事故、自然灾害及从探井、报废井、未交采油单位或未具备生产条件的井中产生的落地油，其产量应按已销售、已利用和已回收的油量计算原油产量。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4.原油产量中包括从油（气）井井口直接回收或经处理装置回收的凝析油。</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5.油田内部新管线投产后的管线存油，不能作为库存报产量，待管线报废时清除的原油才能计入报告期原油产量中。凡是以前已报过的管线存油，在管线报废后，清除的原油不能再计入本期原油产量。在进行原油平衡时，清除的原油作为增加期初库存处理，并在报表上注明此油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6.计算原油产量，必须建立定期盘库制度，通过检尺或流量计准确地计量。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hint="eastAsia" w:asciiTheme="minorEastAsia" w:hAnsiTheme="minorEastAsia" w:eastAsiaTheme="minorEastAsia" w:cstheme="minorEastAsia"/>
          <w:kern w:val="0"/>
        </w:rPr>
        <w:t>7.计</w:t>
      </w:r>
      <w:r>
        <w:rPr>
          <w:rFonts w:ascii="Times New Roman" w:hAnsi="Times New Roman" w:cs="Times New Roman"/>
        </w:rPr>
        <w:t>算原油产量的库存量，必须经化验，符合质量标准。不符合质量标准的原油库存量不能作为计产的盘库范围。</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ascii="Times New Roman" w:hAnsi="Times New Roman" w:cs="Times New Roman"/>
        </w:rPr>
        <w:t>（二）原油产量的计算方法：</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ascii="Times New Roman" w:hAnsi="Times New Roman" w:cs="Times New Roman"/>
        </w:rPr>
        <w:t>原油产量计算方法有两种：正算法和倒算法。</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1.“正算法”是从生产角度出发，按生产工艺过程进行计算原油产量的方法。</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2.“倒算法”就是从销售的角度根据销售量，自用量，及期末、期初库存差倒算出原油产量的计算方法。其计算公式如下：</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原油产量=（期末库存量+销售量+企业自用量-期初库存量）/（1-损耗率）+国际合作份额油</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原油商品量，是指本期生产可供销售的产量。它反映企业为社会提供原油商品的总量，其计算公式如下：</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原油商品量=原油产量-生产自用量-原油损耗量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企业原油自用量是指企业内部自用的全部原油量。包括生产自用量、矿区其他用量。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1.生产自用量是指围绕油气生产所用的油量（指在原油生产企业生产、集输、处理、储运过程中耗用的原油量）。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2.矿区其他用油量是指油气田所属的文教、卫生、生活福利等部门的用油量。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原油损耗量是指原油在集输、储存、装卸、脱水、脱盐、脱气等过程中发生的自然损耗以及清罐、事故损失。损耗定额必须定期测定，报有关部门批准执行。实际损耗低于定额的按实际损耗计算，超过定额的按定额损耗计算。如因各阶段损耗难以确定或各时期变化不大时，可按测定的总损耗率计算。</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清罐损耗量是指在油罐底部，因积有大量的泥、沙、杂质等，在清洗过程中发生的损耗，此项损耗可以按实际报损。</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ascii="Times New Roman" w:hAnsi="Times New Roman" w:cs="Times New Roman"/>
        </w:rPr>
        <w:t>事故损耗量是指原油在储输过程中因事故发生的损失。如跑油、溢油、漏油、火灾等事故损失量，计算事故损失量时必须认真核实，将回收部分冲减损耗。</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ascii="Times New Roman" w:hAnsi="Times New Roman" w:cs="Times New Roman"/>
        </w:rPr>
        <w:t>原油库存量是指全油田集输系统经净化处理符合规定质量标准的（或合同规定的技术条件）所有油罐的库存量之和。要建立定期的原油库存盘点制度，盘库要在规定的统一结算时点同时进行。</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eastAsia="黑体"/>
          <w:szCs w:val="21"/>
        </w:rPr>
      </w:pPr>
      <w:r>
        <w:rPr>
          <w:rFonts w:eastAsia="黑体"/>
          <w:szCs w:val="21"/>
        </w:rPr>
        <w:t>页岩油</w:t>
      </w:r>
      <w:r>
        <w:rPr>
          <w:rFonts w:hint="eastAsia" w:eastAsia="黑体"/>
          <w:szCs w:val="21"/>
        </w:rPr>
        <w:t>　</w:t>
      </w:r>
      <w:r>
        <w:rPr>
          <w:szCs w:val="21"/>
        </w:rPr>
        <w:t>指以页岩为主的页岩层系中所含的石油资源。其中包括泥页岩孔隙和裂缝中的石油，以及泥页岩层系中的致密碳酸岩或碎屑岩邻层和夹层中的石油资源。通常有效的开发方式为水平井和分段压裂技术。</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原油加工量</w:t>
      </w:r>
      <w:r>
        <w:rPr>
          <w:rFonts w:hint="eastAsia" w:ascii="Times New Roman" w:hAnsi="Times New Roman" w:eastAsia="黑体" w:cs="Times New Roman"/>
        </w:rPr>
        <w:t>　</w:t>
      </w:r>
      <w:r>
        <w:rPr>
          <w:rFonts w:ascii="Times New Roman" w:hAnsi="Times New Roman" w:cs="Times New Roman"/>
          <w:kern w:val="0"/>
        </w:rPr>
        <w:t>指直接进入蒸馏装置及二次加工装置加工的原油量。该指标是衡量炼化企业生产规模、能力的一项基础指标，也是炼化企业计算各项技术经济指标的重要依据。因此，原油加工量作为一个特殊的指标在产品产量中统计。</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cs="Times New Roman"/>
          <w:kern w:val="0"/>
        </w:rPr>
        <w:t>计算原油加工量必须具有一定的计量手段，一般用流量计计量，在计量表误差较大的情况下，也可以用罐检尺方法计量，但不允许用产出量倒算。</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汽油</w:t>
      </w:r>
      <w:r>
        <w:rPr>
          <w:rFonts w:hint="eastAsia" w:ascii="Times New Roman" w:hAnsi="Times New Roman" w:eastAsia="黑体" w:cs="Times New Roman"/>
        </w:rPr>
        <w:t>　</w:t>
      </w:r>
      <w:r>
        <w:rPr>
          <w:rFonts w:ascii="Times New Roman" w:hAnsi="Times New Roman" w:cs="Times New Roman"/>
          <w:kern w:val="0"/>
        </w:rPr>
        <w:t>指直馏汽油和二次加工（如催化裂化、加氢裂化，催化重整和经精制的热裂化、焦化等）汽油，按不同比例调和，加入适量抗氧防胶剂及金属钝化剂，必要时加入适量的抗爆剂（如加入抗爆剂还要加入着色剂）而制成。本品为易燃、易挥发液体，具有良好的抗爆性能和燃烧性能，其蒸发性好，燃烧完全，积炭少，对发动机部件及储油容器无腐蚀性，由于加有抗氧剂，产品具有较好的安定性，不易过早氧化。</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cs="Times New Roman"/>
          <w:kern w:val="0"/>
        </w:rPr>
        <w:t>包括航空汽油和车用汽油。</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hint="eastAsia" w:asciiTheme="minorEastAsia" w:hAnsiTheme="minorEastAsia" w:eastAsiaTheme="minorEastAsia" w:cstheme="minorEastAsia"/>
          <w:kern w:val="0"/>
        </w:rPr>
        <w:t>1.航</w:t>
      </w:r>
      <w:r>
        <w:rPr>
          <w:rFonts w:ascii="Times New Roman" w:hAnsi="Times New Roman" w:cs="Times New Roman"/>
          <w:kern w:val="0"/>
        </w:rPr>
        <w:t>空汽油  指按国家规定的鉴定程序所通过的原料及生产工艺条件，由催化裂化、烷基化、催化重整等装置所生产的汽油组分与其他高辛烷值组分（如工业异丙苯、抗爆剂、抗氧剂等）调合而成，主要用于活塞式航空发动机燃料，其质量要求要比车用汽油高，一般加入染色剂以区分。航空汽油有辛烷值和品度值两个质量控制指标。随着喷气内燃机的发展，航空汽油的用量已减少很多，目前主要用于直升机和一些小型螺旋桨飞机以及喷气式飞机的启动等。</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rPr>
      </w:pPr>
      <w:r>
        <w:rPr>
          <w:rFonts w:hint="eastAsia" w:asciiTheme="minorEastAsia" w:hAnsiTheme="minorEastAsia" w:eastAsiaTheme="minorEastAsia" w:cstheme="minorEastAsia"/>
          <w:kern w:val="0"/>
        </w:rPr>
        <w:t>2.车</w:t>
      </w:r>
      <w:r>
        <w:rPr>
          <w:rFonts w:ascii="Times New Roman" w:hAnsi="Times New Roman" w:cs="Times New Roman"/>
          <w:kern w:val="0"/>
        </w:rPr>
        <w:t>用汽油  指由常减压装置蒸馏产出的直馏汽油组分、二次加工装置产出的汽油组分（如催化汽油、加氢裂化汽油、催化重整汽油、加氢精制后的焦化汽油等）及高辛烷值汽油组分，按一定比例调合后加入适量抗氧防胶剂、金属钝化剂，必要时加入适量的抗爆剂和甲基叔丁基醚</w:t>
      </w:r>
      <w:r>
        <w:rPr>
          <w:rFonts w:hint="eastAsia" w:asciiTheme="minorEastAsia" w:hAnsiTheme="minorEastAsia" w:eastAsiaTheme="minorEastAsia" w:cstheme="minorEastAsia"/>
          <w:kern w:val="0"/>
        </w:rPr>
        <w:t>（MTBE）</w:t>
      </w:r>
      <w:r>
        <w:rPr>
          <w:rFonts w:ascii="Times New Roman" w:hAnsi="Times New Roman" w:cs="Times New Roman"/>
          <w:kern w:val="0"/>
        </w:rPr>
        <w:t>等制成。代表汽油质量等级的一个重要指标是抗爆性，辛烷值是表示汽油抗爆性的重要指标。</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煤油</w:t>
      </w:r>
      <w:r>
        <w:rPr>
          <w:rFonts w:hint="eastAsia" w:ascii="Times New Roman" w:hAnsi="Times New Roman" w:eastAsia="黑体" w:cs="Times New Roman"/>
        </w:rPr>
        <w:t>　</w:t>
      </w:r>
      <w:r>
        <w:rPr>
          <w:rFonts w:ascii="Times New Roman" w:hAnsi="Times New Roman" w:cs="Times New Roman"/>
          <w:kern w:val="0"/>
        </w:rPr>
        <w:t>包括灯用煤油、航空煤油。</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1.灯用煤油  指由常减压装置蒸馏的直馏煤油或二次加工经加氢精制的不含裂化组分的适宜馏分，主要用于点灯照明和各种燃料器用油。</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kern w:val="0"/>
        </w:rPr>
        <w:t>2.航空煤油  按国家规定的鉴定程序所通过的原料及生产工艺条件，由蒸馏装置的直馏煤油或经加氢裂化、加氢精制生产的组分，单独或复合加入必要的、有利于改进与提高航空煤油质量的添加剂制成。主要用于航空涡轮发动机作燃料，根据所适用的工作环境温度及发动机型号分为不同牌号。</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柴油</w:t>
      </w:r>
      <w:r>
        <w:rPr>
          <w:rFonts w:hint="eastAsia" w:ascii="Times New Roman" w:hAnsi="Times New Roman" w:eastAsia="黑体" w:cs="Times New Roman"/>
        </w:rPr>
        <w:t>　</w:t>
      </w:r>
      <w:r>
        <w:rPr>
          <w:rFonts w:ascii="Times New Roman" w:hAnsi="Times New Roman" w:cs="Times New Roman"/>
          <w:kern w:val="0"/>
        </w:rPr>
        <w:t>指直馏柴油和经过精制的二次加工（如催化裂化、加氢裂化、热裂化、加氢精制的焦化的柴油等），以不同比例调和而成的成品油。柴油分为轻柴油、重柴油。</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1.轻柴油  指由常减压装置蒸馏产出的直馏柴油或经过精制的二次加工柴油组分（如催化裂化柴油、加氢裂化柴油、加氢精制后的焦化柴油等）按一定比例调合而成，供转速为每分钟1000转以上的柴油机使用的柴油。按凝固点划分为以下牌号：10号、5号、0号、－10号、－20号、－30号、－35号、－50号等。</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2.重柴油  指由常减压装置蒸馏产出的直馏重柴油，或经过精制的二次加工重质柴油组分（如催化裂化柴油、加氢裂化柴油、经加氢精制的焦化柴油等），或与适量轻质柴油组分按不同比例调合而成，供转速为每分钟1000转以下的柴油机使用的柴油。包括以下牌号：10号、20号、30号等。</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润滑油</w:t>
      </w:r>
      <w:r>
        <w:rPr>
          <w:rFonts w:hint="eastAsia" w:ascii="Times New Roman" w:hAnsi="Times New Roman" w:eastAsia="黑体" w:cs="Times New Roman"/>
        </w:rPr>
        <w:t>　</w:t>
      </w:r>
      <w:r>
        <w:rPr>
          <w:rFonts w:ascii="Times New Roman" w:hAnsi="Times New Roman" w:cs="Times New Roman"/>
          <w:kern w:val="0"/>
        </w:rPr>
        <w:t>指以原油经常减压蒸馏装置和二次加工所得的馏分油为原料，经糠醛精制和溶剂脱蜡或压榨脱蜡，再经白土或加氢精制工艺所得的润滑油基础油，加入清净、分散、抗氧、抗腐、抗泡等添加剂调合而成。</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cs="Times New Roman"/>
          <w:kern w:val="0"/>
        </w:rPr>
        <w:t>润滑油品种、规格、牌号较多，广泛应用于机械设备上，不同的应用领域要求使用不同的品种，不同的使用环境和条件又要求使用不同的牌号。我国采用国际标准化组织的分类标准，制定了国家标准</w:t>
      </w:r>
      <w:r>
        <w:rPr>
          <w:rFonts w:hint="eastAsia" w:asciiTheme="minorEastAsia" w:hAnsiTheme="minorEastAsia" w:eastAsiaTheme="minorEastAsia" w:cstheme="minorEastAsia"/>
          <w:kern w:val="0"/>
        </w:rPr>
        <w:t>GB/T7631。目前润滑油分为16类</w:t>
      </w:r>
      <w:r>
        <w:rPr>
          <w:rFonts w:ascii="Times New Roman" w:hAnsi="Times New Roman" w:cs="Times New Roman"/>
          <w:kern w:val="0"/>
        </w:rPr>
        <w:t>：全损耗系统用油、齿轮用油、压缩机用油、主轴轴承用油、导轨用油、液压系统用油、金属加工用油、电器绝缘用油、防护防蚀用油、汽轮机用油、热处理用油、蒸汽汽缸用油、橡胶填充用油、白油、专用润滑油、热传导液等。</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燃料油</w:t>
      </w:r>
      <w:r>
        <w:rPr>
          <w:rFonts w:hint="eastAsia" w:ascii="Times New Roman" w:hAnsi="Times New Roman" w:eastAsia="黑体" w:cs="Times New Roman"/>
        </w:rPr>
        <w:t>　</w:t>
      </w:r>
      <w:r>
        <w:rPr>
          <w:rFonts w:ascii="Times New Roman" w:hAnsi="Times New Roman" w:cs="Times New Roman"/>
          <w:kern w:val="0"/>
        </w:rPr>
        <w:t>包括船用燃料油、重油或其他燃料油。燃料油分为商品燃料油和自用燃料油。商品燃料油指企业作为商品销售的燃料油；自用燃料油指本企业用作燃料和化肥、化工原料的自用油。</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1.船用燃料油  由原油经蒸馏后的常压重油或减压渣油与适量的二次加工柴油组分按不同比例调合而成。主要用于大型低速远洋船舶柴油机（转速低于每分钟150转）作燃料。包括：舰用燃料油、1000秒船用燃料油、1500秒船用燃料油及0号、2号、5号、6号、23号、其他船用燃料油。</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2.重油  指原油经常减压装置蒸馏后的减压渣油与二次加工组分油按不同比例调合而成。主要用于各种锅炉或其他工业炉燃料，也可用于重油制氢、生产合成氨和炭黑的原料。一般分为以下牌号：10号、20号、60号、100号、200号及其他重油。</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石脑油</w:t>
      </w:r>
      <w:r>
        <w:rPr>
          <w:rFonts w:hint="eastAsia" w:ascii="Times New Roman" w:hAnsi="Times New Roman" w:eastAsia="黑体" w:cs="Times New Roman"/>
        </w:rPr>
        <w:t>　</w:t>
      </w:r>
      <w:r>
        <w:rPr>
          <w:rFonts w:ascii="Times New Roman" w:hAnsi="Times New Roman" w:cs="Times New Roman"/>
          <w:kern w:val="0"/>
        </w:rPr>
        <w:t>属一部分石油轻馏分的泛称；用途不同，各种馏程亦不同。馏程</w:t>
      </w:r>
      <w:r>
        <w:rPr>
          <w:rFonts w:hint="eastAsia" w:asciiTheme="minorEastAsia" w:hAnsiTheme="minorEastAsia" w:eastAsiaTheme="minorEastAsia" w:cstheme="minorEastAsia"/>
          <w:kern w:val="0"/>
        </w:rPr>
        <w:t>自初馏点至220℃左右，主要用作重整和化工原料；70-145℃馏分，称轻石脑油，生产芳烃的重整原料；70-180℃馏分，称重石脑油，用作生产高辛烷值汽油。用作溶剂时，称作溶剂石脑油；来自煤焦油的芳香族溶剂油也称</w:t>
      </w:r>
      <w:r>
        <w:rPr>
          <w:rFonts w:ascii="Times New Roman" w:hAnsi="Times New Roman" w:cs="Times New Roman"/>
          <w:kern w:val="0"/>
        </w:rPr>
        <w:t>作重石脑油或溶剂石脑油。</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溶剂油</w:t>
      </w:r>
      <w:r>
        <w:rPr>
          <w:rFonts w:hint="eastAsia" w:ascii="Times New Roman" w:hAnsi="Times New Roman" w:eastAsia="黑体" w:cs="Times New Roman"/>
        </w:rPr>
        <w:t>　</w:t>
      </w:r>
      <w:r>
        <w:rPr>
          <w:rFonts w:ascii="Times New Roman" w:hAnsi="Times New Roman" w:cs="Times New Roman"/>
          <w:kern w:val="0"/>
        </w:rPr>
        <w:t>指以蒸馏装置的直馏汽油组分或催化重整的抽余油为原料，经精制、分馏而制成，按馏分不</w:t>
      </w:r>
      <w:r>
        <w:rPr>
          <w:rFonts w:hint="eastAsia" w:asciiTheme="minorEastAsia" w:hAnsiTheme="minorEastAsia" w:eastAsiaTheme="minorEastAsia" w:cstheme="minorEastAsia"/>
          <w:kern w:val="0"/>
        </w:rPr>
        <w:t>同分为以下不同牌号：6号抽提溶剂油，用于植物油萃取工艺中作抽提溶剂，也可作合成橡胶工艺中的溶剂、化学试剂、化学溶剂等；70号溶剂油，别名香花溶剂油，用于香花香料及油脂工业作抽提剂；90号溶剂油，别名90号石油醚，用于化学试剂、医药溶剂；120号橡胶溶剂油，用于橡胶工业作溶剂；190号溶剂油，用于机械零件洗涤和工农业生产作溶剂；200号溶剂油，用作油漆工业溶剂和稀释剂；260号溶剂油，为煤油型特种溶剂；300号彩色油墨溶剂油，用于制造高档油墨；航空洗涤油，用于航空机</w:t>
      </w:r>
      <w:r>
        <w:rPr>
          <w:rFonts w:ascii="Times New Roman" w:hAnsi="Times New Roman" w:cs="Times New Roman"/>
          <w:kern w:val="0"/>
        </w:rPr>
        <w:t>件等精密机件的洗涤，也用作航空涡轮发电机点火燃料。</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szCs w:val="21"/>
        </w:rPr>
      </w:pPr>
      <w:r>
        <w:rPr>
          <w:rFonts w:eastAsia="黑体"/>
          <w:szCs w:val="21"/>
        </w:rPr>
        <w:t>石蜡</w:t>
      </w:r>
      <w:r>
        <w:rPr>
          <w:rFonts w:hint="eastAsia" w:eastAsia="黑体"/>
          <w:szCs w:val="21"/>
        </w:rPr>
        <w:t>　</w:t>
      </w:r>
      <w:r>
        <w:rPr>
          <w:szCs w:val="21"/>
        </w:rPr>
        <w:t>指从石油、页岩油或其他沥青矿物油的某些馏出物中提取出来的烃类混合物，主要成分是固体烷烃，无臭无味，为白色或淡黄色半透明固体。</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石油焦</w:t>
      </w:r>
      <w:r>
        <w:rPr>
          <w:rFonts w:hint="eastAsia" w:ascii="Times New Roman" w:hAnsi="Times New Roman" w:eastAsia="黑体" w:cs="Times New Roman"/>
        </w:rPr>
        <w:t>　</w:t>
      </w:r>
      <w:r>
        <w:rPr>
          <w:rFonts w:ascii="Times New Roman" w:hAnsi="Times New Roman" w:cs="Times New Roman"/>
          <w:kern w:val="0"/>
        </w:rPr>
        <w:t>指以原油经</w:t>
      </w:r>
      <w:r>
        <w:rPr>
          <w:rFonts w:hint="eastAsia" w:asciiTheme="minorEastAsia" w:hAnsiTheme="minorEastAsia" w:eastAsiaTheme="minorEastAsia" w:cstheme="minorEastAsia"/>
          <w:kern w:val="0"/>
        </w:rPr>
        <w:t>常减压装置蒸馏所得的渣油或以重油为原料，经焦化装置生产。产品按用途分为三个牌号，每个牌号按质量分为A、B两类，牌号有1#A、1#B、2#A、2#B、3#A、3#B石油焦</w:t>
      </w:r>
      <w:r>
        <w:rPr>
          <w:rFonts w:ascii="Times New Roman" w:hAnsi="Times New Roman" w:cs="Times New Roman"/>
          <w:kern w:val="0"/>
        </w:rPr>
        <w:t>等。主要用于制造石墨电极、碳素、碳化硅、碳化钙等产品的原料，也可直接用于冶炼、铸煅工艺作燃料。</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石油沥青</w:t>
      </w:r>
      <w:r>
        <w:rPr>
          <w:rFonts w:hint="eastAsia" w:ascii="Times New Roman" w:hAnsi="Times New Roman" w:eastAsia="黑体" w:cs="Times New Roman"/>
        </w:rPr>
        <w:t>　</w:t>
      </w:r>
      <w:r>
        <w:rPr>
          <w:rFonts w:ascii="Times New Roman" w:hAnsi="Times New Roman" w:cs="Times New Roman"/>
          <w:kern w:val="0"/>
        </w:rPr>
        <w:t>指由原油经常减压装置蒸馏直接获得的渣油制品，也可以用减压渣油为原料经氧化，溶剂脱出的沥青再经适度氧化或调合而成。是来自原油中的最重的组分，是高度缩合的多环烃类混合物，具有良好的</w:t>
      </w:r>
      <w:r>
        <w:rPr>
          <w:rFonts w:hint="eastAsia" w:ascii="Times New Roman" w:hAnsi="Times New Roman" w:cs="Times New Roman"/>
          <w:kern w:val="0"/>
        </w:rPr>
        <w:t>黏</w:t>
      </w:r>
      <w:r>
        <w:rPr>
          <w:rFonts w:ascii="Times New Roman" w:hAnsi="Times New Roman" w:cs="Times New Roman"/>
          <w:kern w:val="0"/>
        </w:rPr>
        <w:t>结性、绝缘性、不渗水性，并能抵抗许多化学药物的侵蚀，广泛用于道路工程、建筑工程、水利工程、防护涂料以及保持水土、改良土壤等领域。沥青性能主要是以软化点、针入度、延伸度来表示的。软化点表示沥青的耐热性能，软化点越高则耐热性能越好。针入度反映沥青的流变性能，为使道路沥青与砂石</w:t>
      </w:r>
      <w:r>
        <w:rPr>
          <w:rFonts w:hint="eastAsia" w:ascii="Times New Roman" w:hAnsi="Times New Roman" w:cs="Times New Roman"/>
          <w:kern w:val="0"/>
        </w:rPr>
        <w:t>黏</w:t>
      </w:r>
      <w:r>
        <w:rPr>
          <w:rFonts w:ascii="Times New Roman" w:hAnsi="Times New Roman" w:cs="Times New Roman"/>
          <w:kern w:val="0"/>
        </w:rPr>
        <w:t>结紧密，需要高针入度的沥青；而作为防腐用的专用沥青，则需要低针入度的沥青，防止流失。延伸度表示沥青的抗张性和可塑性，道路沥青要求的延伸度最高，是为了保证在低温下路面不致受车辆碾压而出现裂缝。沥青按用途可分为普通沥青、道路沥青、建筑沥青、专用沥青，其中以道路沥青的用量最大。</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eastAsia="黑体"/>
        </w:rPr>
      </w:pPr>
      <w:r>
        <w:rPr>
          <w:rFonts w:ascii="Times New Roman" w:hAnsi="Times New Roman" w:eastAsia="黑体"/>
        </w:rPr>
        <w:t>燃料气</w:t>
      </w:r>
      <w:r>
        <w:rPr>
          <w:rFonts w:hint="eastAsia" w:ascii="Times New Roman" w:hAnsi="Times New Roman" w:eastAsia="黑体"/>
        </w:rPr>
        <w:t>　</w:t>
      </w:r>
      <w:r>
        <w:rPr>
          <w:rFonts w:hint="eastAsia" w:hAnsi="宋体" w:cs="宋体"/>
          <w:kern w:val="0"/>
        </w:rPr>
        <w:t>指</w:t>
      </w:r>
      <w:r>
        <w:rPr>
          <w:rFonts w:hAnsi="宋体" w:cs="宋体"/>
          <w:kern w:val="0"/>
        </w:rPr>
        <w:t>炼油厂在进行原油催化裂解与热裂解时所得到的</w:t>
      </w:r>
      <w:r>
        <w:rPr>
          <w:rFonts w:hint="eastAsia" w:hAnsi="宋体" w:cs="宋体"/>
          <w:kern w:val="0"/>
        </w:rPr>
        <w:t>气体及</w:t>
      </w:r>
      <w:r>
        <w:rPr>
          <w:rFonts w:hAnsi="宋体" w:cs="宋体"/>
          <w:kern w:val="0"/>
        </w:rPr>
        <w:t>由气体</w:t>
      </w:r>
      <w:r>
        <w:rPr>
          <w:rFonts w:hint="eastAsia" w:hAnsi="宋体" w:cs="宋体"/>
          <w:kern w:val="0"/>
        </w:rPr>
        <w:t>加压</w:t>
      </w:r>
      <w:r>
        <w:rPr>
          <w:rFonts w:hAnsi="宋体" w:cs="宋体"/>
          <w:kern w:val="0"/>
        </w:rPr>
        <w:t>液化而成的</w:t>
      </w:r>
      <w:r>
        <w:rPr>
          <w:rFonts w:hint="eastAsia" w:hAnsi="宋体" w:cs="宋体"/>
          <w:kern w:val="0"/>
        </w:rPr>
        <w:t>液态</w:t>
      </w:r>
      <w:r>
        <w:rPr>
          <w:rFonts w:hAnsi="宋体" w:cs="宋体"/>
          <w:kern w:val="0"/>
        </w:rPr>
        <w:t>产品</w:t>
      </w:r>
      <w:r>
        <w:fldChar w:fldCharType="begin"/>
      </w:r>
      <w:r>
        <w:instrText xml:space="preserve"> HYPERLINK "https://baike.baidu.com/item/%E5%89%AF%E4%BA%A7%E5%93%81" \t "_blank" </w:instrText>
      </w:r>
      <w:r>
        <w:fldChar w:fldCharType="separate"/>
      </w:r>
      <w:r>
        <w:fldChar w:fldCharType="end"/>
      </w:r>
      <w:r>
        <w:rPr>
          <w:rFonts w:hint="eastAsia" w:hAnsi="宋体" w:cs="宋体"/>
          <w:kern w:val="0"/>
        </w:rPr>
        <w:t>，包括液化石油气、炼厂干气等。</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kern w:val="0"/>
        </w:rPr>
      </w:pPr>
      <w:r>
        <w:rPr>
          <w:rFonts w:ascii="Times New Roman" w:hAnsi="Times New Roman" w:eastAsia="黑体"/>
        </w:rPr>
        <w:t>液化石油气</w:t>
      </w:r>
      <w:r>
        <w:rPr>
          <w:rFonts w:hint="eastAsia" w:ascii="Times New Roman" w:hAnsi="Times New Roman" w:eastAsia="黑体"/>
        </w:rPr>
        <w:t>　</w:t>
      </w:r>
      <w:r>
        <w:rPr>
          <w:rFonts w:ascii="Times New Roman" w:hAnsi="Times New Roman"/>
          <w:kern w:val="0"/>
        </w:rPr>
        <w:t>亦称液化气或压缩汽油，是炼油精制过程中产生并回收的气体在常温下经加压而成的液态产品。主要成分是丙烷、丁烷、丙烯、丁烯，主要用作石油化工原料，脱硫后可直接用作燃料。</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kern w:val="0"/>
          <w:szCs w:val="21"/>
        </w:rPr>
      </w:pPr>
      <w:r>
        <w:rPr>
          <w:rFonts w:eastAsia="黑体" w:cs="Courier New"/>
          <w:szCs w:val="21"/>
        </w:rPr>
        <w:t>炼厂干气</w:t>
      </w:r>
      <w:r>
        <w:rPr>
          <w:rFonts w:hint="eastAsia" w:eastAsia="黑体" w:cs="Courier New"/>
          <w:szCs w:val="21"/>
        </w:rPr>
        <w:t>　</w:t>
      </w:r>
      <w:r>
        <w:rPr>
          <w:rFonts w:ascii="宋体" w:hAnsi="宋体" w:cs="宋体"/>
          <w:kern w:val="0"/>
          <w:szCs w:val="21"/>
        </w:rPr>
        <w:t>指炼油厂炼油过程中产生并回收的非冷凝气体（也称蒸馏气），主要成分为乙烯、丙烯和甲烷、乙烷、丙烷、丁烷等，主要用作燃料和化工原料。</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szCs w:val="21"/>
        </w:rPr>
      </w:pPr>
      <w:r>
        <w:rPr>
          <w:rFonts w:eastAsia="黑体"/>
          <w:szCs w:val="21"/>
        </w:rPr>
        <w:t>其他石油制品</w:t>
      </w:r>
      <w:r>
        <w:rPr>
          <w:rFonts w:hint="eastAsia" w:eastAsia="黑体"/>
          <w:szCs w:val="21"/>
        </w:rPr>
        <w:t>　</w:t>
      </w:r>
      <w:r>
        <w:rPr>
          <w:kern w:val="0"/>
          <w:szCs w:val="21"/>
        </w:rPr>
        <w:t>指石油加工过程中除汽油、煤油、柴油、燃料油、液化石油气、炼厂干气、石脑油、润滑油、石蜡、溶剂油、石油焦、石油沥青以外的其他炼油产品。石油制品很多，目录中只列出了上述主要品种，统计时为了简化，把除这些主要品种以外的其他石油产品归并在</w:t>
      </w:r>
      <w:r>
        <w:rPr>
          <w:rFonts w:hint="eastAsia"/>
          <w:kern w:val="0"/>
          <w:szCs w:val="21"/>
        </w:rPr>
        <w:t>“</w:t>
      </w:r>
      <w:r>
        <w:rPr>
          <w:kern w:val="0"/>
          <w:szCs w:val="21"/>
        </w:rPr>
        <w:t>其他石油制品</w:t>
      </w:r>
      <w:r>
        <w:rPr>
          <w:rFonts w:hint="eastAsia"/>
          <w:kern w:val="0"/>
          <w:szCs w:val="21"/>
        </w:rPr>
        <w:t>”</w:t>
      </w:r>
      <w:r>
        <w:rPr>
          <w:kern w:val="0"/>
          <w:szCs w:val="21"/>
        </w:rPr>
        <w:t>一个目录下一起填报。</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hint="eastAsia" w:ascii="Times New Roman" w:hAnsi="Times New Roman" w:eastAsia="黑体"/>
        </w:rPr>
        <w:t>生物质</w:t>
      </w:r>
      <w:r>
        <w:rPr>
          <w:rFonts w:ascii="Times New Roman" w:hAnsi="Times New Roman" w:eastAsia="黑体"/>
        </w:rPr>
        <w:t>能</w:t>
      </w:r>
      <w:r>
        <w:rPr>
          <w:rFonts w:hint="eastAsia" w:ascii="Times New Roman" w:hAnsi="Times New Roman" w:eastAsia="黑体"/>
        </w:rPr>
        <w:t>　</w:t>
      </w:r>
      <w:r>
        <w:rPr>
          <w:rFonts w:hint="eastAsia" w:ascii="Times New Roman" w:hAnsi="Times New Roman" w:eastAsia="宋体" w:cs="Times New Roman"/>
          <w:bCs w:val="0"/>
          <w:kern w:val="0"/>
          <w:lang w:eastAsia="zh-CN"/>
        </w:rPr>
        <w:t>指</w:t>
      </w:r>
      <w:r>
        <w:rPr>
          <w:rFonts w:hint="eastAsia" w:ascii="Times New Roman" w:hAnsi="Times New Roman" w:cs="Times New Roman"/>
          <w:kern w:val="0"/>
        </w:rPr>
        <w:t>利用自然界的植物和城乡有机废物通过生物、化学或者物理过程转化成的能源</w:t>
      </w:r>
      <w:r>
        <w:rPr>
          <w:rFonts w:ascii="Times New Roman" w:hAnsi="Times New Roman" w:cs="Times New Roman"/>
          <w:kern w:val="0"/>
        </w:rPr>
        <w:t>。</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ascii="Times New Roman" w:hAnsi="Times New Roman" w:eastAsia="黑体"/>
        </w:rPr>
        <w:t>固态生物燃料</w:t>
      </w:r>
      <w:r>
        <w:rPr>
          <w:rFonts w:hint="eastAsia" w:ascii="Times New Roman" w:hAnsi="Times New Roman" w:eastAsia="黑体"/>
        </w:rPr>
        <w:t>　</w:t>
      </w:r>
      <w:r>
        <w:rPr>
          <w:rFonts w:hint="eastAsia" w:hAnsi="宋体" w:cs="宋体"/>
          <w:kern w:val="0"/>
        </w:rPr>
        <w:t>指</w:t>
      </w:r>
      <w:r>
        <w:rPr>
          <w:rFonts w:hAnsi="宋体" w:cs="宋体"/>
          <w:kern w:val="0"/>
        </w:rPr>
        <w:t>来源于生物质的固态燃料，</w:t>
      </w:r>
      <w:r>
        <w:rPr>
          <w:rFonts w:hint="eastAsia" w:hAnsi="宋体" w:cs="宋体"/>
          <w:kern w:val="0"/>
        </w:rPr>
        <w:t>包括薪柴、木材残渣</w:t>
      </w:r>
      <w:r>
        <w:rPr>
          <w:rFonts w:hAnsi="宋体" w:cs="宋体"/>
          <w:kern w:val="0"/>
        </w:rPr>
        <w:t>、</w:t>
      </w:r>
      <w:r>
        <w:rPr>
          <w:rFonts w:hint="eastAsia" w:hAnsi="宋体" w:cs="宋体"/>
          <w:kern w:val="0"/>
        </w:rPr>
        <w:t>动物废料、植物材料、木炭等。</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ascii="Times New Roman" w:hAnsi="Times New Roman" w:eastAsia="黑体"/>
        </w:rPr>
        <w:t>液态生物燃料</w:t>
      </w:r>
      <w:r>
        <w:rPr>
          <w:rFonts w:hint="eastAsia" w:ascii="Times New Roman" w:hAnsi="Times New Roman" w:eastAsia="黑体"/>
        </w:rPr>
        <w:t>　</w:t>
      </w:r>
      <w:r>
        <w:rPr>
          <w:rFonts w:hint="eastAsia" w:hAnsi="宋体" w:cs="宋体"/>
          <w:kern w:val="0"/>
        </w:rPr>
        <w:t>指由以</w:t>
      </w:r>
      <w:r>
        <w:rPr>
          <w:rFonts w:hAnsi="宋体" w:cs="宋体"/>
          <w:kern w:val="0"/>
        </w:rPr>
        <w:t>生物质</w:t>
      </w:r>
      <w:r>
        <w:rPr>
          <w:rFonts w:hint="eastAsia" w:hAnsi="宋体" w:cs="宋体"/>
          <w:kern w:val="0"/>
        </w:rPr>
        <w:t>为</w:t>
      </w:r>
      <w:r>
        <w:rPr>
          <w:rFonts w:hAnsi="宋体" w:cs="宋体"/>
          <w:kern w:val="0"/>
        </w:rPr>
        <w:t>原料</w:t>
      </w:r>
      <w:r>
        <w:rPr>
          <w:rFonts w:hint="eastAsia" w:hAnsi="宋体" w:cs="宋体"/>
          <w:kern w:val="0"/>
        </w:rPr>
        <w:t>加工</w:t>
      </w:r>
      <w:r>
        <w:rPr>
          <w:rFonts w:hAnsi="宋体" w:cs="宋体"/>
          <w:kern w:val="0"/>
        </w:rPr>
        <w:t>转换得到的</w:t>
      </w:r>
      <w:r>
        <w:rPr>
          <w:rFonts w:hint="eastAsia" w:hAnsi="宋体" w:cs="宋体"/>
          <w:kern w:val="0"/>
        </w:rPr>
        <w:t>液态</w:t>
      </w:r>
      <w:r>
        <w:rPr>
          <w:rFonts w:hAnsi="宋体" w:cs="宋体"/>
          <w:kern w:val="0"/>
        </w:rPr>
        <w:t>燃料</w:t>
      </w:r>
      <w:r>
        <w:rPr>
          <w:rFonts w:hint="eastAsia" w:hAnsi="宋体" w:cs="宋体"/>
          <w:kern w:val="0"/>
        </w:rPr>
        <w:t>。</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kern w:val="0"/>
          <w:szCs w:val="21"/>
        </w:rPr>
      </w:pPr>
      <w:r>
        <w:rPr>
          <w:rFonts w:eastAsia="黑体"/>
          <w:szCs w:val="21"/>
        </w:rPr>
        <w:t>生物乙醇</w:t>
      </w:r>
      <w:r>
        <w:rPr>
          <w:rFonts w:hint="eastAsia" w:eastAsia="黑体"/>
          <w:szCs w:val="21"/>
        </w:rPr>
        <w:t>　</w:t>
      </w:r>
      <w:r>
        <w:rPr>
          <w:kern w:val="0"/>
          <w:szCs w:val="21"/>
        </w:rPr>
        <w:t>指以淀粉质、糖质为原料，经发酵、蒸馏制得乙醇，脱水后，再添加变性剂（车用无铅汽油）变性的燃料乙醇，也称为变性燃料乙醇。</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spacing w:val="4"/>
          <w:kern w:val="0"/>
          <w:szCs w:val="21"/>
        </w:rPr>
      </w:pPr>
      <w:r>
        <w:rPr>
          <w:rFonts w:eastAsia="黑体"/>
          <w:szCs w:val="21"/>
        </w:rPr>
        <w:t>生物柴油</w:t>
      </w:r>
      <w:r>
        <w:rPr>
          <w:rFonts w:hint="eastAsia" w:eastAsia="黑体"/>
          <w:szCs w:val="21"/>
        </w:rPr>
        <w:t>　</w:t>
      </w:r>
      <w:r>
        <w:rPr>
          <w:spacing w:val="4"/>
          <w:kern w:val="0"/>
          <w:szCs w:val="21"/>
        </w:rPr>
        <w:t>指以油料作物如大豆、油菜、棉、棕榈等，野生油料植物和工程微藻等水生植物油脂以及动物油脂、餐饮垃圾油等为原料油通过酯交换或热化学工艺制成的可代替石化柴油的再生性柴油燃料。</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ascii="Times New Roman" w:hAnsi="Times New Roman" w:eastAsia="黑体"/>
        </w:rPr>
        <w:t>生物航空煤油</w:t>
      </w:r>
      <w:r>
        <w:rPr>
          <w:rFonts w:hint="eastAsia" w:ascii="Times New Roman" w:hAnsi="Times New Roman" w:eastAsia="黑体"/>
        </w:rPr>
        <w:t>　</w:t>
      </w:r>
      <w:r>
        <w:rPr>
          <w:rFonts w:hint="eastAsia" w:hAnsi="宋体" w:cs="宋体"/>
          <w:kern w:val="0"/>
        </w:rPr>
        <w:t>指</w:t>
      </w:r>
      <w:r>
        <w:rPr>
          <w:rFonts w:hAnsi="宋体" w:cs="宋体"/>
          <w:kern w:val="0"/>
        </w:rPr>
        <w:t>以废弃动植物油脂</w:t>
      </w:r>
      <w:r>
        <w:rPr>
          <w:rFonts w:hint="eastAsia" w:hAnsi="宋体" w:cs="宋体"/>
          <w:kern w:val="0"/>
        </w:rPr>
        <w:t>（地沟油）</w:t>
      </w:r>
      <w:r>
        <w:rPr>
          <w:rFonts w:hAnsi="宋体" w:cs="宋体"/>
          <w:kern w:val="0"/>
        </w:rPr>
        <w:t>、农林废弃物、油藻</w:t>
      </w:r>
      <w:r>
        <w:rPr>
          <w:rFonts w:hint="eastAsia" w:hAnsi="宋体" w:cs="宋体"/>
          <w:kern w:val="0"/>
        </w:rPr>
        <w:t>、</w:t>
      </w:r>
      <w:r>
        <w:rPr>
          <w:rFonts w:hAnsi="宋体" w:cs="宋体"/>
          <w:kern w:val="0"/>
        </w:rPr>
        <w:t>棕榈油</w:t>
      </w:r>
      <w:r>
        <w:rPr>
          <w:rFonts w:hint="eastAsia" w:hAnsi="宋体" w:cs="宋体"/>
          <w:kern w:val="0"/>
        </w:rPr>
        <w:t>等</w:t>
      </w:r>
      <w:r>
        <w:rPr>
          <w:rFonts w:hAnsi="宋体" w:cs="宋体"/>
          <w:kern w:val="0"/>
        </w:rPr>
        <w:t>为原料</w:t>
      </w:r>
      <w:r>
        <w:rPr>
          <w:rFonts w:hint="eastAsia" w:hAnsi="宋体" w:cs="宋体"/>
          <w:kern w:val="0"/>
        </w:rPr>
        <w:t>通过加氢、</w:t>
      </w:r>
      <w:r>
        <w:rPr>
          <w:rFonts w:hAnsi="宋体" w:cs="宋体"/>
          <w:kern w:val="0"/>
        </w:rPr>
        <w:t>催化等</w:t>
      </w:r>
      <w:r>
        <w:rPr>
          <w:rFonts w:hint="eastAsia" w:hAnsi="宋体" w:cs="宋体"/>
          <w:kern w:val="0"/>
        </w:rPr>
        <w:t>工艺</w:t>
      </w:r>
      <w:r>
        <w:rPr>
          <w:rFonts w:hAnsi="宋体" w:cs="宋体"/>
          <w:kern w:val="0"/>
        </w:rPr>
        <w:t>加工得到的航空煤油。</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eastAsia="黑体"/>
        </w:rPr>
      </w:pPr>
      <w:r>
        <w:rPr>
          <w:rFonts w:ascii="Times New Roman" w:hAnsi="Times New Roman" w:eastAsia="黑体"/>
        </w:rPr>
        <w:t>其他液态生物燃料</w:t>
      </w:r>
      <w:r>
        <w:rPr>
          <w:rFonts w:hint="eastAsia" w:ascii="Times New Roman" w:hAnsi="Times New Roman" w:eastAsia="黑体"/>
        </w:rPr>
        <w:t>　</w:t>
      </w:r>
      <w:r>
        <w:rPr>
          <w:rFonts w:hint="eastAsia" w:hAnsi="宋体" w:cs="宋体"/>
          <w:kern w:val="0"/>
        </w:rPr>
        <w:t>不属于</w:t>
      </w:r>
      <w:r>
        <w:rPr>
          <w:rFonts w:hAnsi="宋体" w:cs="宋体"/>
          <w:kern w:val="0"/>
        </w:rPr>
        <w:t>上述</w:t>
      </w:r>
      <w:r>
        <w:rPr>
          <w:rFonts w:hint="eastAsia" w:hAnsi="宋体" w:cs="宋体"/>
          <w:kern w:val="0"/>
        </w:rPr>
        <w:t>燃料的其他液态</w:t>
      </w:r>
      <w:r>
        <w:rPr>
          <w:rFonts w:hAnsi="宋体" w:cs="宋体"/>
          <w:kern w:val="0"/>
        </w:rPr>
        <w:t>生物燃料</w:t>
      </w:r>
      <w:r>
        <w:rPr>
          <w:rFonts w:hint="eastAsia" w:hAnsi="宋体" w:cs="宋体"/>
          <w:kern w:val="0"/>
        </w:rPr>
        <w:t>。</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eastAsia="黑体"/>
        </w:rPr>
      </w:pPr>
      <w:r>
        <w:rPr>
          <w:rFonts w:ascii="Times New Roman" w:hAnsi="Times New Roman" w:eastAsia="黑体"/>
        </w:rPr>
        <w:t>气态生物燃料</w:t>
      </w:r>
      <w:r>
        <w:rPr>
          <w:rFonts w:hint="eastAsia" w:ascii="Times New Roman" w:hAnsi="Times New Roman" w:eastAsia="黑体"/>
        </w:rPr>
        <w:t>　</w:t>
      </w:r>
      <w:r>
        <w:rPr>
          <w:rFonts w:hint="eastAsia" w:hAnsi="宋体" w:cs="宋体"/>
          <w:kern w:val="0"/>
        </w:rPr>
        <w:t>指由</w:t>
      </w:r>
      <w:r>
        <w:rPr>
          <w:rFonts w:hAnsi="宋体" w:cs="宋体"/>
          <w:kern w:val="0"/>
        </w:rPr>
        <w:t>生物质厌氧发酵</w:t>
      </w:r>
      <w:r>
        <w:rPr>
          <w:rFonts w:hint="eastAsia" w:hAnsi="宋体" w:cs="宋体"/>
          <w:kern w:val="0"/>
        </w:rPr>
        <w:t>或</w:t>
      </w:r>
      <w:r>
        <w:rPr>
          <w:rFonts w:hAnsi="宋体" w:cs="宋体"/>
          <w:kern w:val="0"/>
        </w:rPr>
        <w:t>固态生物质气化得到的</w:t>
      </w:r>
      <w:r>
        <w:rPr>
          <w:rFonts w:hint="eastAsia" w:hAnsi="宋体" w:cs="宋体"/>
          <w:kern w:val="0"/>
        </w:rPr>
        <w:t>气体。</w:t>
      </w:r>
      <w:r>
        <w:rPr>
          <w:rFonts w:hAnsi="宋体" w:cs="宋体"/>
          <w:kern w:val="0"/>
        </w:rPr>
        <w:t>厌氧发酵</w:t>
      </w:r>
      <w:r>
        <w:rPr>
          <w:rFonts w:hint="eastAsia" w:hAnsi="宋体" w:cs="宋体"/>
          <w:kern w:val="0"/>
        </w:rPr>
        <w:t>得到</w:t>
      </w:r>
      <w:r>
        <w:rPr>
          <w:rFonts w:hAnsi="宋体" w:cs="宋体"/>
          <w:kern w:val="0"/>
        </w:rPr>
        <w:t>的气态生物燃料主要由甲烷和二氧化碳组成，包括垃圾填埋气体、</w:t>
      </w:r>
      <w:r>
        <w:rPr>
          <w:rFonts w:hint="eastAsia" w:hAnsi="宋体" w:cs="宋体"/>
          <w:kern w:val="0"/>
        </w:rPr>
        <w:t>沼气等</w:t>
      </w:r>
      <w:r>
        <w:rPr>
          <w:rFonts w:hAnsi="宋体" w:cs="宋体"/>
          <w:kern w:val="0"/>
        </w:rPr>
        <w:t>。</w:t>
      </w:r>
      <w:r>
        <w:rPr>
          <w:rFonts w:hint="eastAsia" w:hAnsi="宋体" w:cs="宋体"/>
          <w:kern w:val="0"/>
        </w:rPr>
        <w:t>气态</w:t>
      </w:r>
      <w:r>
        <w:rPr>
          <w:rFonts w:hAnsi="宋体" w:cs="宋体"/>
          <w:kern w:val="0"/>
        </w:rPr>
        <w:t>生物燃料还可以由</w:t>
      </w:r>
      <w:r>
        <w:rPr>
          <w:rFonts w:hint="eastAsia" w:hAnsi="宋体" w:cs="宋体"/>
          <w:kern w:val="0"/>
        </w:rPr>
        <w:t>气化</w:t>
      </w:r>
      <w:r>
        <w:rPr>
          <w:rFonts w:hAnsi="宋体" w:cs="宋体"/>
          <w:kern w:val="0"/>
        </w:rPr>
        <w:t>或热分解生物质得到，得到的气体主要</w:t>
      </w:r>
      <w:r>
        <w:rPr>
          <w:rFonts w:hint="eastAsia" w:hAnsi="宋体" w:cs="宋体"/>
          <w:kern w:val="0"/>
        </w:rPr>
        <w:t>为</w:t>
      </w:r>
      <w:r>
        <w:rPr>
          <w:rFonts w:hAnsi="宋体" w:cs="宋体"/>
          <w:kern w:val="0"/>
        </w:rPr>
        <w:t>氢气、一氧化碳</w:t>
      </w:r>
      <w:r>
        <w:rPr>
          <w:rFonts w:hint="eastAsia" w:hAnsi="宋体" w:cs="宋体"/>
          <w:kern w:val="0"/>
        </w:rPr>
        <w:t>及其他</w:t>
      </w:r>
      <w:r>
        <w:rPr>
          <w:rFonts w:hAnsi="宋体" w:cs="宋体"/>
          <w:kern w:val="0"/>
        </w:rPr>
        <w:t>气体的混合物。</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发电量</w:t>
      </w:r>
      <w:r>
        <w:rPr>
          <w:rFonts w:hint="eastAsia" w:ascii="Times New Roman" w:hAnsi="Times New Roman" w:eastAsia="黑体" w:cs="Times New Roman"/>
        </w:rPr>
        <w:t>　</w:t>
      </w:r>
      <w:r>
        <w:rPr>
          <w:rFonts w:ascii="Times New Roman" w:hAnsi="Times New Roman" w:cs="Times New Roman"/>
          <w:kern w:val="0"/>
        </w:rPr>
        <w:t>指电厂（发电机组）在报告期内生产的电能量。它是发电机组经过对一次能源的加工转换而生产出的有功电能数量，即发电机实际发出的有功功率（千瓦）与发电机实际运行时间的乘积。发电量包括全部电力工业企业、自备电厂的产量。新装发电设备在未正式投入生产以前所发的电量以及发电设备大修或改进后试运转期间所发的电量，凡被本厂或用户利用的，均应计入发电量中，未被利用的，则不应计入。发电量中不包括电动的交直流变换、励磁机和周波变换的电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火力发电</w:t>
      </w:r>
      <w:r>
        <w:rPr>
          <w:rFonts w:hint="eastAsia" w:ascii="Times New Roman" w:hAnsi="Times New Roman" w:eastAsia="黑体" w:cs="Times New Roman"/>
          <w:kern w:val="0"/>
        </w:rPr>
        <w:t>　</w:t>
      </w:r>
      <w:r>
        <w:rPr>
          <w:rFonts w:ascii="Times New Roman" w:hAnsi="Times New Roman" w:cs="Times New Roman"/>
          <w:kern w:val="0"/>
        </w:rPr>
        <w:t>指利用煤炭、燃油、燃气、生物质等燃料燃烧时产生的热能，通过火电动力装置转换成电能的发电方式，包括燃煤发电，燃气发电，燃油发电，余热、余压、余气发电，生物质发电等。</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kern w:val="0"/>
          <w:szCs w:val="21"/>
        </w:rPr>
      </w:pPr>
      <w:r>
        <w:rPr>
          <w:rFonts w:eastAsia="黑体"/>
          <w:kern w:val="0"/>
          <w:szCs w:val="21"/>
        </w:rPr>
        <w:t>燃煤发电</w:t>
      </w:r>
      <w:r>
        <w:rPr>
          <w:rFonts w:hint="eastAsia" w:eastAsia="黑体"/>
          <w:kern w:val="0"/>
          <w:szCs w:val="21"/>
        </w:rPr>
        <w:t>　</w:t>
      </w:r>
      <w:r>
        <w:rPr>
          <w:kern w:val="0"/>
          <w:szCs w:val="21"/>
        </w:rPr>
        <w:t>指利用煤炭燃烧时产生的热能，通过火电动力装置转换成电能的发电方式，包括煤矸石发电。</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eastAsia="黑体"/>
          <w:kern w:val="0"/>
          <w:szCs w:val="21"/>
        </w:rPr>
      </w:pPr>
      <w:r>
        <w:rPr>
          <w:rFonts w:eastAsia="黑体"/>
          <w:kern w:val="0"/>
          <w:szCs w:val="21"/>
        </w:rPr>
        <w:t>煤矸石发电</w:t>
      </w:r>
      <w:r>
        <w:rPr>
          <w:rFonts w:hint="eastAsia" w:eastAsia="黑体"/>
          <w:kern w:val="0"/>
          <w:szCs w:val="21"/>
        </w:rPr>
        <w:t>　</w:t>
      </w:r>
      <w:r>
        <w:rPr>
          <w:kern w:val="0"/>
          <w:szCs w:val="21"/>
        </w:rPr>
        <w:t>指利用采煤和洗煤过程中排放的低热值固体废物（煤矸石）燃烧时产生的热能，通过火电动力装置转换成电能的发电方式。通常需掺烧一定数量的原煤。</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kern w:val="0"/>
          <w:szCs w:val="21"/>
        </w:rPr>
      </w:pPr>
      <w:r>
        <w:rPr>
          <w:rFonts w:eastAsia="黑体"/>
          <w:kern w:val="0"/>
          <w:szCs w:val="21"/>
        </w:rPr>
        <w:t>燃气发电</w:t>
      </w:r>
      <w:r>
        <w:rPr>
          <w:rFonts w:hint="eastAsia" w:eastAsia="黑体"/>
          <w:kern w:val="0"/>
          <w:szCs w:val="21"/>
        </w:rPr>
        <w:t>　</w:t>
      </w:r>
      <w:r>
        <w:rPr>
          <w:kern w:val="0"/>
          <w:szCs w:val="21"/>
        </w:rPr>
        <w:t>指</w:t>
      </w:r>
      <w:r>
        <w:rPr>
          <w:rFonts w:hint="eastAsia"/>
          <w:kern w:val="0"/>
          <w:szCs w:val="21"/>
        </w:rPr>
        <w:t>利用气体燃料如天然气、焦炉煤气、高炉煤气、转炉煤气等，通过燃气轮机转变为机械能，带动发电机发电的发电方式</w:t>
      </w:r>
      <w:r>
        <w:rPr>
          <w:kern w:val="0"/>
          <w:szCs w:val="21"/>
        </w:rPr>
        <w:t>。</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eastAsia="黑体"/>
          <w:kern w:val="0"/>
          <w:szCs w:val="21"/>
        </w:rPr>
      </w:pPr>
      <w:r>
        <w:rPr>
          <w:rFonts w:eastAsia="黑体"/>
          <w:kern w:val="0"/>
          <w:szCs w:val="21"/>
        </w:rPr>
        <w:t>煤层气发电</w:t>
      </w:r>
      <w:r>
        <w:rPr>
          <w:rFonts w:hint="eastAsia" w:eastAsia="黑体"/>
          <w:kern w:val="0"/>
          <w:szCs w:val="21"/>
        </w:rPr>
        <w:t>　</w:t>
      </w:r>
      <w:r>
        <w:rPr>
          <w:kern w:val="0"/>
          <w:szCs w:val="21"/>
        </w:rPr>
        <w:t>指利用煤层气燃烧时产生的热能，通过火电动力装置转换成电能的发电方式。</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kern w:val="0"/>
          <w:szCs w:val="21"/>
        </w:rPr>
      </w:pPr>
      <w:r>
        <w:rPr>
          <w:rFonts w:eastAsia="黑体"/>
          <w:kern w:val="0"/>
          <w:szCs w:val="21"/>
        </w:rPr>
        <w:t>燃油发电</w:t>
      </w:r>
      <w:r>
        <w:rPr>
          <w:rFonts w:hint="eastAsia" w:eastAsia="黑体"/>
          <w:kern w:val="0"/>
          <w:szCs w:val="21"/>
        </w:rPr>
        <w:t>　</w:t>
      </w:r>
      <w:r>
        <w:rPr>
          <w:kern w:val="0"/>
          <w:szCs w:val="21"/>
        </w:rPr>
        <w:t xml:space="preserve">指将燃油燃烧时产生的热能，通过发电动力装置（电厂锅炉、汽轮机和发电机及其辅助装置等）转换成电能的发电方式。主要包括渣油（重油）发电和柴（汽）油发电。 </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eastAsia="黑体"/>
          <w:kern w:val="0"/>
          <w:szCs w:val="21"/>
        </w:rPr>
      </w:pPr>
      <w:r>
        <w:rPr>
          <w:rFonts w:eastAsia="黑体"/>
          <w:kern w:val="0"/>
          <w:szCs w:val="21"/>
        </w:rPr>
        <w:t>余热、余压、余气发电</w:t>
      </w:r>
      <w:r>
        <w:rPr>
          <w:rFonts w:hint="eastAsia" w:eastAsia="黑体"/>
          <w:kern w:val="0"/>
          <w:szCs w:val="21"/>
        </w:rPr>
        <w:t>　</w:t>
      </w:r>
      <w:r>
        <w:rPr>
          <w:kern w:val="0"/>
          <w:szCs w:val="21"/>
        </w:rPr>
        <w:t>指</w:t>
      </w:r>
      <w:r>
        <w:rPr>
          <w:rFonts w:hint="eastAsia"/>
          <w:kern w:val="0"/>
          <w:szCs w:val="21"/>
        </w:rPr>
        <w:t>利用余热、余压、余气如焦炉煤气、高炉煤气、转炉煤气等，通过汽轮机转变为机械能带动发电机发电的发电方式</w:t>
      </w:r>
      <w:r>
        <w:rPr>
          <w:kern w:val="0"/>
          <w:szCs w:val="21"/>
        </w:rPr>
        <w:t>。</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kern w:val="0"/>
          <w:szCs w:val="21"/>
        </w:rPr>
      </w:pPr>
      <w:r>
        <w:rPr>
          <w:rFonts w:eastAsia="黑体"/>
          <w:szCs w:val="21"/>
        </w:rPr>
        <w:t>生物质发电</w:t>
      </w:r>
      <w:r>
        <w:rPr>
          <w:rFonts w:hint="eastAsia" w:eastAsia="黑体"/>
          <w:szCs w:val="21"/>
        </w:rPr>
        <w:t>　</w:t>
      </w:r>
      <w:r>
        <w:rPr>
          <w:kern w:val="0"/>
          <w:szCs w:val="21"/>
        </w:rPr>
        <w:t>指利用生物质所具有的生物质能进行发电的发电方式</w:t>
      </w:r>
      <w:r>
        <w:rPr>
          <w:szCs w:val="21"/>
        </w:rPr>
        <w:t>，包括农林废弃物直接燃烧发电、沼气发电</w:t>
      </w:r>
      <w:r>
        <w:rPr>
          <w:rFonts w:hint="eastAsia"/>
          <w:szCs w:val="21"/>
          <w:lang w:eastAsia="zh-CN"/>
        </w:rPr>
        <w:t>、垃圾焚烧发电等</w:t>
      </w:r>
      <w:r>
        <w:rPr>
          <w:kern w:val="0"/>
          <w:szCs w:val="21"/>
        </w:rPr>
        <w:t>。</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kern w:val="0"/>
          <w:szCs w:val="21"/>
        </w:rPr>
      </w:pPr>
      <w:r>
        <w:rPr>
          <w:rFonts w:eastAsia="黑体"/>
          <w:szCs w:val="21"/>
        </w:rPr>
        <w:t>沼气发电</w:t>
      </w:r>
      <w:r>
        <w:rPr>
          <w:rFonts w:hint="eastAsia" w:eastAsia="黑体"/>
          <w:szCs w:val="21"/>
        </w:rPr>
        <w:t>　</w:t>
      </w:r>
      <w:r>
        <w:rPr>
          <w:kern w:val="0"/>
          <w:szCs w:val="21"/>
        </w:rPr>
        <w:t>指利用厌氧发酵处理产生的沼气进行发电的发电方式，包括农林废弃物气化发电、垃圾填埋气发电。</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kern w:val="0"/>
          <w:szCs w:val="21"/>
        </w:rPr>
      </w:pPr>
      <w:r>
        <w:rPr>
          <w:rFonts w:eastAsia="黑体"/>
          <w:kern w:val="0"/>
          <w:szCs w:val="21"/>
        </w:rPr>
        <w:t>垃圾焚烧发电</w:t>
      </w:r>
      <w:r>
        <w:rPr>
          <w:rFonts w:hint="eastAsia" w:eastAsia="黑体"/>
          <w:kern w:val="0"/>
          <w:szCs w:val="21"/>
        </w:rPr>
        <w:t>　</w:t>
      </w:r>
      <w:r>
        <w:rPr>
          <w:kern w:val="0"/>
          <w:szCs w:val="21"/>
        </w:rPr>
        <w:t>指把经过分类处理后燃烧值较高的垃圾进行高温焚烧，产生热能通过火电动力装置转换成电能的发电方式。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水力发电</w:t>
      </w:r>
      <w:r>
        <w:rPr>
          <w:rFonts w:hint="eastAsia" w:ascii="Times New Roman" w:hAnsi="Times New Roman" w:eastAsia="黑体" w:cs="Times New Roman"/>
        </w:rPr>
        <w:t>　</w:t>
      </w:r>
      <w:r>
        <w:rPr>
          <w:rFonts w:ascii="Times New Roman" w:hAnsi="Times New Roman" w:cs="Times New Roman"/>
          <w:kern w:val="0"/>
        </w:rPr>
        <w:t>指利用水位落差，配合水轮发电机产生电力的一种发电方式，也就是利用水的势能转为水轮机的机械能，再以机械能推动发电机产生电能，包括抽水蓄能发电。</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kern w:val="0"/>
        </w:rPr>
        <w:t>抽水蓄能发电</w:t>
      </w:r>
      <w:r>
        <w:rPr>
          <w:rFonts w:hint="eastAsia" w:ascii="Times New Roman" w:hAnsi="Times New Roman" w:eastAsia="黑体" w:cs="Times New Roman"/>
          <w:kern w:val="0"/>
        </w:rPr>
        <w:t>　</w:t>
      </w:r>
      <w:r>
        <w:rPr>
          <w:rFonts w:ascii="Times New Roman" w:hAnsi="Times New Roman" w:cs="Times New Roman"/>
          <w:kern w:val="0"/>
        </w:rPr>
        <w:t>指利用电力系统负荷低谷时的电能抽水至上水库，在电力负荷高峰期再放水至下水库发电的发电方式。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核能发电</w:t>
      </w:r>
      <w:r>
        <w:rPr>
          <w:rFonts w:hint="eastAsia" w:ascii="Times New Roman" w:hAnsi="Times New Roman" w:eastAsia="黑体" w:cs="Times New Roman"/>
        </w:rPr>
        <w:t>　</w:t>
      </w:r>
      <w:r>
        <w:rPr>
          <w:rFonts w:ascii="Times New Roman" w:hAnsi="Times New Roman" w:cs="Times New Roman"/>
          <w:kern w:val="0"/>
        </w:rPr>
        <w:t>指利用原子反应堆中核燃料(例如铀)缓慢裂变所释放的热能产生蒸汽驱动汽轮机再带动发电机发电的一种发电方式。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风力发电</w:t>
      </w:r>
      <w:r>
        <w:rPr>
          <w:rFonts w:hint="eastAsia" w:ascii="Times New Roman" w:hAnsi="Times New Roman" w:eastAsia="黑体" w:cs="Times New Roman"/>
        </w:rPr>
        <w:t>　</w:t>
      </w:r>
      <w:r>
        <w:rPr>
          <w:rFonts w:ascii="Times New Roman" w:hAnsi="Times New Roman" w:cs="Times New Roman"/>
          <w:kern w:val="0"/>
        </w:rPr>
        <w:t>指把风的动能转变成机械能，再把机械能转化为电能的发电方式。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太阳能发电</w:t>
      </w:r>
      <w:r>
        <w:rPr>
          <w:rFonts w:hint="eastAsia" w:ascii="Times New Roman" w:hAnsi="Times New Roman" w:eastAsia="黑体" w:cs="Times New Roman"/>
        </w:rPr>
        <w:t>　</w:t>
      </w:r>
      <w:r>
        <w:rPr>
          <w:rFonts w:ascii="Times New Roman" w:hAnsi="Times New Roman" w:cs="Times New Roman"/>
          <w:kern w:val="0"/>
        </w:rPr>
        <w:t>指先将太阳能转化为热能，再将热能转化成电能或者直接将太阳能转换成电能的发电方式，主要包括太阳能光伏发电和太阳能光热发电。</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kern w:val="0"/>
          <w:szCs w:val="21"/>
        </w:rPr>
      </w:pPr>
      <w:r>
        <w:rPr>
          <w:kern w:val="0"/>
          <w:szCs w:val="21"/>
        </w:rPr>
        <w:t>太阳能光伏发电是利用太阳能电池直接将太阳能转换成电能的发电方式。</w:t>
      </w:r>
    </w:p>
    <w:p>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kern w:val="0"/>
          <w:szCs w:val="21"/>
        </w:rPr>
      </w:pPr>
      <w:r>
        <w:rPr>
          <w:kern w:val="0"/>
          <w:szCs w:val="21"/>
        </w:rPr>
        <w:t>太阳能光热发电是指利用大规模阵列抛物或碟形镜面收集太阳热能，通过换热装置提供蒸汽，结合传统汽轮发电机的工艺发电的发电方式。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潮汐能发电</w:t>
      </w:r>
      <w:r>
        <w:rPr>
          <w:rFonts w:hint="eastAsia" w:ascii="Times New Roman" w:hAnsi="Times New Roman" w:eastAsia="黑体" w:cs="Times New Roman"/>
        </w:rPr>
        <w:t>　</w:t>
      </w:r>
      <w:r>
        <w:rPr>
          <w:rFonts w:ascii="Times New Roman" w:hAnsi="Times New Roman" w:cs="Times New Roman"/>
          <w:kern w:val="0"/>
        </w:rPr>
        <w:t>指利用潮汐的动能和势能发电的发电方式。也就是在涨潮时将海水以势能的形式储存在水库内，在落潮时利用高、低潮位之间的落差放出海水，推动水轮机旋转带动发电机发电。</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地热能发电</w:t>
      </w:r>
      <w:r>
        <w:rPr>
          <w:rFonts w:hint="eastAsia" w:ascii="Times New Roman" w:hAnsi="Times New Roman" w:eastAsia="黑体" w:cs="Times New Roman"/>
        </w:rPr>
        <w:t>　</w:t>
      </w:r>
      <w:r>
        <w:rPr>
          <w:rFonts w:ascii="Times New Roman" w:hAnsi="Times New Roman" w:cs="Times New Roman"/>
          <w:kern w:val="0"/>
        </w:rPr>
        <w:t>指利用地下热能转变为机械能，然后再把机械能转变为电能的一种发电方式。能够把地下热能带到地面并用于发电的载热介质主要是天然蒸汽（干蒸汽和湿蒸汽）和地下热水。</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ascii="Times New Roman" w:hAnsi="Times New Roman" w:eastAsia="黑体" w:cs="Times New Roman"/>
        </w:rPr>
        <w:t>其他发电</w:t>
      </w:r>
      <w:r>
        <w:rPr>
          <w:rFonts w:hint="eastAsia" w:ascii="Times New Roman" w:hAnsi="Times New Roman" w:eastAsia="黑体" w:cs="Times New Roman"/>
        </w:rPr>
        <w:t>　</w:t>
      </w:r>
      <w:r>
        <w:rPr>
          <w:rFonts w:ascii="Times New Roman" w:hAnsi="Times New Roman" w:cs="Times New Roman"/>
          <w:kern w:val="0"/>
        </w:rPr>
        <w:t>指不属于上述各类的发电形式。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rPr>
          <w:rFonts w:ascii="Times New Roman" w:hAnsi="Times New Roman" w:eastAsia="黑体"/>
        </w:rPr>
        <w:t>热力</w:t>
      </w:r>
      <w:r>
        <w:rPr>
          <w:rFonts w:hint="eastAsia" w:ascii="Times New Roman" w:hAnsi="Times New Roman" w:eastAsia="黑体"/>
        </w:rPr>
        <w:t>　</w:t>
      </w:r>
      <w:r>
        <w:t>指</w:t>
      </w:r>
      <w:r>
        <w:rPr>
          <w:rFonts w:hint="eastAsia"/>
        </w:rPr>
        <w:t>企业在报告期内产出的热能。凡被本企业或用户利用的热能，均应计入热力产量中。包括可提供热源的热水、蒸汽和其他生产过程中释放的热能等</w:t>
      </w:r>
      <w:r>
        <w:t>。</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热力的计算：蒸汽和热水的热力计算，与锅炉出口蒸汽、热水的温度和压力有关，计算方法：</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第一步：确定锅炉出口蒸汽和热水的温度和压力，根据温度和压力值，在焓熵图</w:t>
      </w:r>
      <w:r>
        <w:rPr>
          <w:rFonts w:hint="eastAsia"/>
        </w:rPr>
        <w:t>（</w:t>
      </w:r>
      <w:r>
        <w:t>表）查出对应的每千克蒸汽、热水的热焓；</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第二步：确定锅炉给水</w:t>
      </w:r>
      <w:r>
        <w:rPr>
          <w:rFonts w:hint="eastAsia"/>
        </w:rPr>
        <w:t>（</w:t>
      </w:r>
      <w:r>
        <w:t>或回水）的温度和压力，根据温度和压力值，在焓熵图</w:t>
      </w:r>
      <w:r>
        <w:rPr>
          <w:rFonts w:hint="eastAsia"/>
        </w:rPr>
        <w:t>（</w:t>
      </w:r>
      <w:r>
        <w:t>表）查出对应的每千克给水</w:t>
      </w:r>
      <w:r>
        <w:rPr>
          <w:rFonts w:hint="eastAsia"/>
        </w:rPr>
        <w:t>（</w:t>
      </w:r>
      <w:r>
        <w:t>或回水）的热焓；</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第三步：求第一步和第二步查出的热焓之差，再乘以蒸汽或热水的数量</w:t>
      </w:r>
      <w:r>
        <w:rPr>
          <w:rFonts w:hint="eastAsia"/>
        </w:rPr>
        <w:t>（</w:t>
      </w:r>
      <w:r>
        <w:t>按流量表读数计算），所得值即为热力的量。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如果企业不具备上述计算热力的条件，可参考下列方法估算：</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第一步：确定锅炉蒸汽或热水的产量。产量</w:t>
      </w:r>
      <w:r>
        <w:rPr>
          <w:rFonts w:hint="eastAsia"/>
        </w:rPr>
        <w:t>＝</w:t>
      </w:r>
      <w:r>
        <w:t>锅炉的给水量</w:t>
      </w:r>
      <w:r>
        <w:rPr>
          <w:rFonts w:hint="eastAsia"/>
        </w:rPr>
        <w:t>－</w:t>
      </w:r>
      <w:r>
        <w:t>排污等损失量；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第二步：确定蒸汽或热水的热焓。热焓的确定分以下几种情况：</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(1)热水：假定出口温度为90</w:t>
      </w:r>
      <w:r>
        <w:rPr>
          <w:rFonts w:hint="eastAsia"/>
        </w:rPr>
        <w:t>℃</w:t>
      </w:r>
      <w:r>
        <w:t>，回水温度为20</w:t>
      </w:r>
      <w:r>
        <w:rPr>
          <w:rFonts w:hint="eastAsia"/>
        </w:rPr>
        <w:t>℃</w:t>
      </w:r>
      <w:r>
        <w:t>的情况下,闭路循环系统每千克热水的热焓按20千卡计算,开路供热系统每千克热水的热焓按70千卡计算。</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(2)饱和蒸汽：</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压力1-2.5千克/平方厘米，温度127</w:t>
      </w:r>
      <w:r>
        <w:rPr>
          <w:rFonts w:hint="eastAsia"/>
        </w:rPr>
        <w:t>℃</w:t>
      </w:r>
      <w:r>
        <w:t>以下，每千克蒸汽的热焓按620千卡计算；</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压力3-7千克/平方厘米，温度135-165</w:t>
      </w:r>
      <w:r>
        <w:rPr>
          <w:rFonts w:hint="eastAsia"/>
        </w:rPr>
        <w:t>℃</w:t>
      </w:r>
      <w:r>
        <w:t>，每千克蒸汽的热焓按630千卡计算；</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压力8千克/平方厘米，温度170</w:t>
      </w:r>
      <w:r>
        <w:rPr>
          <w:rFonts w:hint="eastAsia"/>
        </w:rPr>
        <w:t>℃</w:t>
      </w:r>
      <w:r>
        <w:t>以上，每千克蒸汽的热焓按640千卡计算。</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(3)过热蒸汽：压力150千克/平方厘米</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200</w:t>
      </w:r>
      <w:r>
        <w:rPr>
          <w:rFonts w:hint="eastAsia"/>
        </w:rPr>
        <w:t>℃</w:t>
      </w:r>
      <w:r>
        <w:t>以下，每千克蒸汽的热焓按650千卡计算；</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220-260</w:t>
      </w:r>
      <w:r>
        <w:rPr>
          <w:rFonts w:hint="eastAsia"/>
        </w:rPr>
        <w:t>℃</w:t>
      </w:r>
      <w:r>
        <w:t>，每千克蒸汽的热焓按680千卡计算；</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280-320</w:t>
      </w:r>
      <w:r>
        <w:rPr>
          <w:rFonts w:hint="eastAsia"/>
        </w:rPr>
        <w:t>℃</w:t>
      </w:r>
      <w:r>
        <w:t>，每千克蒸汽的热焓按700千卡计算；</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350-500</w:t>
      </w:r>
      <w:r>
        <w:rPr>
          <w:rFonts w:hint="eastAsia"/>
        </w:rPr>
        <w:t>℃</w:t>
      </w:r>
      <w:r>
        <w:t>，每千克蒸汽的热焓按750千卡计算。</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第三步：根据确定的热焓，乘以产量，所得值即为热力的量。</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pPr>
      <w:r>
        <w:t>对于中小企业，若以上条件均不具备，如果锅炉的功率在0.7兆瓦左右，1吨/小时的热水或蒸汽按相当于60万千卡的热力计算。</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ascii="Times New Roman" w:hAnsi="Times New Roman" w:eastAsia="黑体"/>
        </w:rPr>
        <w:t>太阳能供热</w:t>
      </w:r>
      <w:r>
        <w:rPr>
          <w:rFonts w:hint="eastAsia" w:ascii="Times New Roman" w:hAnsi="Times New Roman" w:eastAsia="黑体"/>
        </w:rPr>
        <w:t>　</w:t>
      </w:r>
      <w:r>
        <w:rPr>
          <w:rFonts w:hint="eastAsia" w:hAnsi="宋体" w:cs="宋体"/>
          <w:kern w:val="0"/>
        </w:rPr>
        <w:t>指利用太阳能集热装置收集太阳辐射并转化为热能进行供热。</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ascii="Times New Roman" w:hAnsi="Times New Roman" w:eastAsia="黑体"/>
        </w:rPr>
        <w:t>生物质能供热</w:t>
      </w:r>
      <w:r>
        <w:rPr>
          <w:rFonts w:hint="eastAsia" w:ascii="Times New Roman" w:hAnsi="Times New Roman" w:eastAsia="黑体"/>
        </w:rPr>
        <w:t>　</w:t>
      </w:r>
      <w:r>
        <w:rPr>
          <w:rFonts w:hint="eastAsia" w:hAnsi="宋体" w:cs="宋体"/>
          <w:kern w:val="0"/>
        </w:rPr>
        <w:t>指利用生物质成型燃料、生物质液体燃料等燃烧时产生的热能进行供热。如利用沼气、薪柴、生物乙醇、生物柴油、农林废弃物再利用加工而成的成型燃料等供热都属于生物质能供热</w:t>
      </w:r>
      <w:r>
        <w:rPr>
          <w:rFonts w:hAnsi="宋体" w:cs="宋体"/>
          <w:kern w:val="0"/>
        </w:rPr>
        <w:t>。</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ascii="Times New Roman" w:hAnsi="Times New Roman" w:eastAsia="黑体"/>
        </w:rPr>
        <w:t>地热能供热</w:t>
      </w:r>
      <w:r>
        <w:rPr>
          <w:rFonts w:hint="eastAsia" w:ascii="Times New Roman" w:hAnsi="Times New Roman" w:eastAsia="黑体"/>
        </w:rPr>
        <w:t>　</w:t>
      </w:r>
      <w:r>
        <w:rPr>
          <w:rFonts w:hAnsi="宋体" w:cs="宋体"/>
          <w:kern w:val="0"/>
        </w:rPr>
        <w:t>指利用地热能为主要热源</w:t>
      </w:r>
      <w:r>
        <w:rPr>
          <w:rFonts w:hint="eastAsia" w:hAnsi="宋体" w:cs="宋体"/>
          <w:kern w:val="0"/>
        </w:rPr>
        <w:t>进行</w:t>
      </w:r>
      <w:r>
        <w:rPr>
          <w:rFonts w:hAnsi="宋体" w:cs="宋体"/>
          <w:kern w:val="0"/>
        </w:rPr>
        <w:t>供热</w:t>
      </w:r>
      <w:r>
        <w:rPr>
          <w:rFonts w:hint="eastAsia" w:hAnsi="宋体" w:cs="宋体"/>
          <w:kern w:val="0"/>
        </w:rPr>
        <w:t>。地热供热系统按照地热流进入供热系统的方式可分为直接供热和间接供热。直接供热即把地热流直接引入供热系统，间接供热即地热流通过换热器将热能传递给供热系统的循环水，地热流不直接进入供热系统。</w:t>
      </w:r>
      <w:r>
        <w:rPr>
          <w:rFonts w:hAnsi="宋体" w:cs="宋体"/>
          <w:kern w:val="0"/>
        </w:rPr>
        <w:t>热量通常以热水或蒸汽的形式提取出来。</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ascii="Times New Roman" w:hAnsi="Times New Roman" w:eastAsia="黑体"/>
        </w:rPr>
        <w:t>化石燃料供热</w:t>
      </w:r>
      <w:r>
        <w:rPr>
          <w:rFonts w:hint="eastAsia" w:ascii="Times New Roman" w:hAnsi="Times New Roman" w:eastAsia="黑体"/>
        </w:rPr>
        <w:t>　</w:t>
      </w:r>
      <w:r>
        <w:rPr>
          <w:rFonts w:hint="eastAsia" w:hAnsi="宋体" w:cs="宋体"/>
          <w:kern w:val="0"/>
        </w:rPr>
        <w:t>指利用煤炭及煤炭制品、石油及石油制品、天然气及天然气加工制品等化石燃料燃烧时产生的热能进行供热。包括回收利用的高炉煤气、转炉煤气等</w:t>
      </w:r>
      <w:r>
        <w:rPr>
          <w:rFonts w:hAnsi="宋体" w:cs="宋体"/>
          <w:kern w:val="0"/>
        </w:rPr>
        <w:t>。</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ascii="Times New Roman" w:hAnsi="Times New Roman" w:eastAsia="黑体"/>
        </w:rPr>
        <w:t>废料燃烧供热</w:t>
      </w:r>
      <w:r>
        <w:rPr>
          <w:rFonts w:hint="eastAsia" w:ascii="Times New Roman" w:hAnsi="Times New Roman" w:eastAsia="黑体"/>
        </w:rPr>
        <w:t>　</w:t>
      </w:r>
      <w:r>
        <w:rPr>
          <w:rFonts w:hint="eastAsia" w:hAnsi="宋体" w:cs="宋体"/>
          <w:kern w:val="0"/>
        </w:rPr>
        <w:t>指利用工业废料、城市生活垃圾等燃烧时产生的热能进行供热</w:t>
      </w:r>
      <w:r>
        <w:rPr>
          <w:rFonts w:hAnsi="宋体" w:cs="宋体"/>
          <w:kern w:val="0"/>
        </w:rPr>
        <w:t>。</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ascii="Times New Roman" w:hAnsi="Times New Roman" w:eastAsia="黑体"/>
        </w:rPr>
        <w:t>电热锅炉供热</w:t>
      </w:r>
      <w:r>
        <w:rPr>
          <w:rFonts w:hint="eastAsia" w:ascii="Times New Roman" w:hAnsi="Times New Roman" w:eastAsia="黑体"/>
        </w:rPr>
        <w:t>　</w:t>
      </w:r>
      <w:r>
        <w:rPr>
          <w:rFonts w:hint="eastAsia" w:hAnsi="宋体" w:cs="宋体"/>
          <w:kern w:val="0"/>
        </w:rPr>
        <w:t>指</w:t>
      </w:r>
      <w:r>
        <w:rPr>
          <w:rFonts w:hAnsi="宋体" w:cs="宋体"/>
          <w:kern w:val="0"/>
        </w:rPr>
        <w:t>以电力</w:t>
      </w:r>
      <w:r>
        <w:rPr>
          <w:rFonts w:hint="eastAsia" w:hAnsi="宋体" w:cs="宋体"/>
          <w:kern w:val="0"/>
        </w:rPr>
        <w:t>为</w:t>
      </w:r>
      <w:r>
        <w:rPr>
          <w:rFonts w:hAnsi="宋体" w:cs="宋体"/>
          <w:kern w:val="0"/>
        </w:rPr>
        <w:t>能源并将其转化为</w:t>
      </w:r>
      <w:r>
        <w:rPr>
          <w:rFonts w:hint="eastAsia" w:hAnsi="宋体" w:cs="宋体"/>
          <w:kern w:val="0"/>
        </w:rPr>
        <w:t>热能进行供热。</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ascii="Times New Roman" w:hAnsi="Times New Roman" w:eastAsia="黑体"/>
        </w:rPr>
        <w:t>热泵供热</w:t>
      </w:r>
      <w:r>
        <w:rPr>
          <w:rFonts w:hint="eastAsia" w:ascii="Times New Roman" w:hAnsi="Times New Roman" w:eastAsia="黑体"/>
        </w:rPr>
        <w:t>　</w:t>
      </w:r>
      <w:r>
        <w:rPr>
          <w:rFonts w:hint="eastAsia" w:hAnsi="宋体" w:cs="宋体"/>
          <w:kern w:val="0"/>
        </w:rPr>
        <w:t>指通过</w:t>
      </w:r>
      <w:r>
        <w:rPr>
          <w:rFonts w:hAnsi="宋体" w:cs="宋体"/>
          <w:kern w:val="0"/>
        </w:rPr>
        <w:t>将低温热源的热能转移到高温热源的装置来实现</w:t>
      </w:r>
      <w:r>
        <w:rPr>
          <w:rFonts w:hint="eastAsia" w:hAnsi="宋体" w:cs="宋体"/>
          <w:kern w:val="0"/>
        </w:rPr>
        <w:t>供热。包括</w:t>
      </w:r>
      <w:r>
        <w:rPr>
          <w:rFonts w:hAnsi="宋体" w:cs="宋体"/>
          <w:kern w:val="0"/>
        </w:rPr>
        <w:t>地</w:t>
      </w:r>
      <w:r>
        <w:rPr>
          <w:rFonts w:hint="eastAsia" w:hAnsi="宋体" w:cs="宋体"/>
          <w:kern w:val="0"/>
        </w:rPr>
        <w:t>源、</w:t>
      </w:r>
      <w:r>
        <w:rPr>
          <w:rFonts w:hAnsi="宋体" w:cs="宋体"/>
          <w:kern w:val="0"/>
        </w:rPr>
        <w:t>空气</w:t>
      </w:r>
      <w:r>
        <w:rPr>
          <w:rFonts w:hint="eastAsia" w:hAnsi="宋体" w:cs="宋体"/>
          <w:kern w:val="0"/>
        </w:rPr>
        <w:t>源</w:t>
      </w:r>
      <w:r>
        <w:rPr>
          <w:rFonts w:hAnsi="宋体" w:cs="宋体"/>
          <w:kern w:val="0"/>
        </w:rPr>
        <w:t>、水</w:t>
      </w:r>
      <w:r>
        <w:rPr>
          <w:rFonts w:hint="eastAsia" w:hAnsi="宋体" w:cs="宋体"/>
          <w:kern w:val="0"/>
        </w:rPr>
        <w:t>源</w:t>
      </w:r>
      <w:r>
        <w:rPr>
          <w:rFonts w:hAnsi="宋体" w:cs="宋体"/>
          <w:kern w:val="0"/>
        </w:rPr>
        <w:t>热泵等</w:t>
      </w:r>
      <w:r>
        <w:rPr>
          <w:rFonts w:hint="eastAsia" w:hAnsi="宋体" w:cs="宋体"/>
          <w:kern w:val="0"/>
        </w:rPr>
        <w:t>。</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ascii="Times New Roman" w:hAnsi="Times New Roman" w:eastAsia="黑体"/>
        </w:rPr>
        <w:t>余热余压供热</w:t>
      </w:r>
      <w:r>
        <w:rPr>
          <w:rFonts w:hint="eastAsia" w:ascii="Times New Roman" w:hAnsi="Times New Roman" w:eastAsia="黑体"/>
        </w:rPr>
        <w:t>　</w:t>
      </w:r>
      <w:r>
        <w:rPr>
          <w:rFonts w:hint="eastAsia" w:hAnsi="宋体" w:cs="宋体"/>
          <w:kern w:val="0"/>
        </w:rPr>
        <w:t>指对</w:t>
      </w:r>
      <w:r>
        <w:rPr>
          <w:rFonts w:hAnsi="宋体" w:cs="宋体"/>
          <w:kern w:val="0"/>
        </w:rPr>
        <w:t>企业生产过程中释放出</w:t>
      </w:r>
      <w:r>
        <w:rPr>
          <w:rFonts w:hint="eastAsia" w:hAnsi="宋体" w:cs="宋体"/>
          <w:kern w:val="0"/>
        </w:rPr>
        <w:t>多余</w:t>
      </w:r>
      <w:r>
        <w:rPr>
          <w:rFonts w:hAnsi="宋体" w:cs="宋体"/>
          <w:kern w:val="0"/>
        </w:rPr>
        <w:t>的副产热能、压差能</w:t>
      </w:r>
      <w:r>
        <w:rPr>
          <w:rFonts w:hint="eastAsia" w:hAnsi="宋体" w:cs="宋体"/>
          <w:kern w:val="0"/>
        </w:rPr>
        <w:t>通过</w:t>
      </w:r>
      <w:r>
        <w:rPr>
          <w:rFonts w:hAnsi="宋体" w:cs="宋体"/>
          <w:kern w:val="0"/>
        </w:rPr>
        <w:t>热</w:t>
      </w:r>
      <w:r>
        <w:rPr>
          <w:rFonts w:hint="eastAsia" w:hAnsi="宋体" w:cs="宋体"/>
          <w:kern w:val="0"/>
        </w:rPr>
        <w:t>交换</w:t>
      </w:r>
      <w:r>
        <w:rPr>
          <w:rFonts w:hAnsi="宋体" w:cs="宋体"/>
          <w:kern w:val="0"/>
        </w:rPr>
        <w:t>等方式进行供热</w:t>
      </w:r>
      <w:r>
        <w:rPr>
          <w:rFonts w:hint="eastAsia" w:hAnsi="宋体" w:cs="宋体"/>
          <w:kern w:val="0"/>
        </w:rPr>
        <w:t>。</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ascii="Times New Roman" w:hAnsi="Times New Roman" w:eastAsia="黑体"/>
        </w:rPr>
        <w:t>其他能源供热</w:t>
      </w:r>
      <w:r>
        <w:rPr>
          <w:rFonts w:hint="eastAsia" w:ascii="Times New Roman" w:hAnsi="Times New Roman" w:eastAsia="黑体"/>
        </w:rPr>
        <w:t>　</w:t>
      </w:r>
      <w:r>
        <w:rPr>
          <w:rFonts w:hint="eastAsia" w:hAnsi="宋体" w:cs="宋体"/>
          <w:kern w:val="0"/>
        </w:rPr>
        <w:t>指未包含在制度中明确列示的各类供热方式。包括利用核能等其他形式的能源进行供热</w:t>
      </w:r>
      <w:r>
        <w:rPr>
          <w:rFonts w:hAnsi="宋体" w:cs="宋体"/>
          <w:kern w:val="0"/>
        </w:rPr>
        <w:t>。</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hint="eastAsia" w:ascii="Times New Roman" w:hAnsi="Times New Roman" w:eastAsia="黑体" w:cs="Times New Roman"/>
        </w:rPr>
        <w:t>氢能　</w:t>
      </w:r>
      <w:r>
        <w:rPr>
          <w:rFonts w:ascii="Times New Roman" w:hAnsi="Times New Roman" w:cs="Times New Roman"/>
          <w:kern w:val="0"/>
        </w:rPr>
        <w:t>指</w:t>
      </w:r>
      <w:r>
        <w:rPr>
          <w:rFonts w:hint="eastAsia" w:ascii="Times New Roman" w:hAnsi="Times New Roman" w:cs="Times New Roman"/>
          <w:kern w:val="0"/>
        </w:rPr>
        <w:t>氢作为能量载体进行化学反应释放出的能源</w:t>
      </w:r>
      <w:r>
        <w:rPr>
          <w:rFonts w:ascii="Times New Roman" w:hAnsi="Times New Roman" w:cs="Times New Roman"/>
          <w:kern w:val="0"/>
        </w:rPr>
        <w:t>。</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hint="eastAsia" w:ascii="Times New Roman" w:hAnsi="Times New Roman" w:eastAsia="黑体" w:cs="Times New Roman"/>
        </w:rPr>
        <w:t>氢气　</w:t>
      </w:r>
      <w:r>
        <w:rPr>
          <w:rFonts w:hint="eastAsia" w:ascii="Times New Roman" w:hAnsi="Times New Roman" w:cs="Times New Roman"/>
          <w:kern w:val="0"/>
        </w:rPr>
        <w:t>常温常压下，是一种极易燃烧的气体，无色透明、无臭无味且难溶于水。</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ascii="Times New Roman" w:hAnsi="Times New Roman" w:cs="Times New Roman"/>
          <w:kern w:val="0"/>
        </w:rPr>
      </w:pPr>
      <w:r>
        <w:rPr>
          <w:rFonts w:hint="eastAsia" w:eastAsia="黑体"/>
          <w:bCs/>
        </w:rPr>
        <w:t>煤制氢　</w:t>
      </w:r>
      <w:r>
        <w:rPr>
          <w:rFonts w:hint="eastAsia" w:ascii="Times New Roman" w:hAnsi="Times New Roman" w:cs="Times New Roman"/>
          <w:kern w:val="0"/>
        </w:rPr>
        <w:t>包括煤的焦化制氢和煤气化制氢，以气化制氢为主，指将煤炭或焦炭原料转化为粗合成气，再产生氢气。</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仿宋_GB2312"/>
          <w:kern w:val="0"/>
        </w:rPr>
      </w:pPr>
      <w:r>
        <w:rPr>
          <w:rFonts w:hint="eastAsia" w:eastAsia="黑体"/>
          <w:bCs/>
        </w:rPr>
        <w:t>天然气制氢　</w:t>
      </w:r>
      <w:r>
        <w:rPr>
          <w:rFonts w:hint="eastAsia" w:hAnsi="宋体" w:cs="仿宋_GB2312"/>
          <w:kern w:val="0"/>
        </w:rPr>
        <w:t>指利用天然气部分氧化、高温裂解或自热重整等技术生产的氢气。</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仿宋_GB2312"/>
          <w:kern w:val="0"/>
        </w:rPr>
      </w:pPr>
      <w:r>
        <w:rPr>
          <w:rFonts w:hint="eastAsia" w:eastAsia="黑体"/>
          <w:bCs/>
        </w:rPr>
        <w:t>电解水制氢　</w:t>
      </w:r>
      <w:r>
        <w:rPr>
          <w:rFonts w:hint="eastAsia" w:hAnsi="宋体" w:cs="仿宋_GB2312"/>
          <w:kern w:val="0"/>
        </w:rPr>
        <w:t>指以生产氢气为目的，以水为原料，电解制取的氢气。</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宋体"/>
          <w:kern w:val="0"/>
        </w:rPr>
      </w:pPr>
      <w:r>
        <w:rPr>
          <w:rFonts w:hint="eastAsia" w:ascii="宋体" w:eastAsia="黑体"/>
          <w:bCs/>
        </w:rPr>
        <w:t>可再生能源电解水制氢</w:t>
      </w:r>
      <w:r>
        <w:rPr>
          <w:rFonts w:hint="eastAsia" w:ascii="宋体" w:eastAsia="黑体"/>
          <w:bCs/>
          <w:lang w:val="en-US" w:eastAsia="zh-CN"/>
        </w:rPr>
        <w:t xml:space="preserve">  </w:t>
      </w:r>
      <w:r>
        <w:rPr>
          <w:rFonts w:hint="eastAsia" w:hAnsi="宋体" w:cs="宋体"/>
          <w:kern w:val="0"/>
        </w:rPr>
        <w:t>指利用水力发电、风力发电、太阳能发电、生物质发电、地热能发电等可再生能源电力电解水制取的氢气。</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仿宋_GB2312"/>
          <w:kern w:val="0"/>
        </w:rPr>
      </w:pPr>
      <w:r>
        <w:rPr>
          <w:rFonts w:hint="eastAsia" w:eastAsia="黑体"/>
          <w:bCs/>
        </w:rPr>
        <w:t>混合气体分离制氢　</w:t>
      </w:r>
      <w:r>
        <w:rPr>
          <w:rFonts w:hint="eastAsia" w:hAnsi="宋体" w:cs="仿宋_GB2312"/>
          <w:kern w:val="0"/>
        </w:rPr>
        <w:t>指利用气体沸点不同，通过制冷加压分离提纯的氢气，多见于焦炉煤气逐步提纯为氢气和一氧化碳。</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仿宋_GB2312"/>
          <w:kern w:val="0"/>
        </w:rPr>
      </w:pPr>
      <w:r>
        <w:rPr>
          <w:rFonts w:hint="eastAsia" w:eastAsia="黑体"/>
          <w:bCs/>
        </w:rPr>
        <w:t>石油化工原料制氢　</w:t>
      </w:r>
      <w:r>
        <w:rPr>
          <w:rFonts w:hint="eastAsia" w:hAnsi="宋体" w:cs="仿宋_GB2312"/>
          <w:kern w:val="0"/>
        </w:rPr>
        <w:t>指通过石油裂解或甲醇、乙醇、液氨等化工原料裂解生产的氢气。</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仿宋_GB2312"/>
          <w:kern w:val="0"/>
        </w:rPr>
      </w:pPr>
      <w:r>
        <w:rPr>
          <w:rFonts w:hint="eastAsia" w:eastAsia="黑体"/>
          <w:bCs/>
        </w:rPr>
        <w:t>工业副产氢　</w:t>
      </w:r>
      <w:r>
        <w:rPr>
          <w:rFonts w:hint="eastAsia" w:hAnsi="宋体" w:cs="仿宋_GB2312"/>
          <w:kern w:val="0"/>
        </w:rPr>
        <w:t>指以氯碱工业、酿造工业为主的工业生产过程中，伴随主要工业产品（如烧碱等）产出的氢气。</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仿宋_GB2312"/>
          <w:kern w:val="0"/>
        </w:rPr>
      </w:pPr>
      <w:r>
        <w:rPr>
          <w:rFonts w:hint="eastAsia" w:eastAsia="黑体"/>
          <w:bCs/>
        </w:rPr>
        <w:t>太阳能制氢　</w:t>
      </w:r>
      <w:r>
        <w:rPr>
          <w:rFonts w:hint="eastAsia" w:hAnsi="宋体" w:cs="仿宋_GB2312"/>
          <w:kern w:val="0"/>
        </w:rPr>
        <w:t>包括太阳能热化学制氢和太阳能光解水制氢，指利用太阳能的热量与热化学耦合生产氢气，或利用太阳光的能量通过光催化、光电化学或光生物学等过程分解水生产氢气。</w:t>
      </w:r>
    </w:p>
    <w:p>
      <w:pPr>
        <w:pStyle w:val="10"/>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center"/>
        <w:rPr>
          <w:rFonts w:hAnsi="宋体" w:cs="仿宋_GB2312"/>
          <w:kern w:val="0"/>
        </w:rPr>
      </w:pPr>
      <w:r>
        <w:rPr>
          <w:rFonts w:hint="eastAsia" w:eastAsia="黑体"/>
          <w:bCs/>
        </w:rPr>
        <w:t>核能制氢　</w:t>
      </w:r>
      <w:r>
        <w:rPr>
          <w:rFonts w:hint="eastAsia" w:hAnsi="宋体" w:cs="仿宋_GB2312"/>
          <w:kern w:val="0"/>
        </w:rPr>
        <w:t>指利用核能的热量与热化学反应耦合生产的氢气。</w:t>
      </w:r>
    </w:p>
    <w:p>
      <w:pPr>
        <w:keepNext w:val="0"/>
        <w:keepLines w:val="0"/>
        <w:pageBreakBefore w:val="0"/>
        <w:widowControl w:val="0"/>
        <w:kinsoku/>
        <w:wordWrap/>
        <w:overflowPunct/>
        <w:topLinePunct w:val="0"/>
        <w:autoSpaceDE/>
        <w:autoSpaceDN/>
        <w:bidi w:val="0"/>
        <w:snapToGrid w:val="0"/>
        <w:spacing w:line="360" w:lineRule="exact"/>
        <w:ind w:firstLine="420" w:firstLineChars="200"/>
        <w:textAlignment w:val="center"/>
        <w:rPr>
          <w:rFonts w:hint="eastAsia" w:hAnsi="宋体" w:cs="仿宋_GB2312"/>
          <w:kern w:val="0"/>
          <w:szCs w:val="21"/>
        </w:rPr>
      </w:pPr>
      <w:r>
        <w:rPr>
          <w:rFonts w:hint="eastAsia" w:eastAsia="黑体"/>
          <w:bCs/>
        </w:rPr>
        <w:t>其他方式制氢　</w:t>
      </w:r>
      <w:r>
        <w:rPr>
          <w:rFonts w:hint="eastAsia" w:hAnsi="宋体" w:cs="仿宋_GB2312"/>
          <w:kern w:val="0"/>
          <w:szCs w:val="21"/>
        </w:rPr>
        <w:t>指制度中未明确列示的其他制取氢气的方法，如生物质热解制氢、生物制氢、热化学制氢等。</w:t>
      </w:r>
    </w:p>
    <w:p>
      <w:pPr>
        <w:rPr>
          <w:rFonts w:hint="eastAsia" w:hAnsi="宋体" w:cs="仿宋_GB2312"/>
          <w:kern w:val="0"/>
          <w:szCs w:val="21"/>
        </w:rPr>
      </w:pPr>
      <w:r>
        <w:rPr>
          <w:rFonts w:hint="eastAsia" w:hAnsi="宋体" w:cs="仿宋_GB2312"/>
          <w:kern w:val="0"/>
          <w:szCs w:val="21"/>
        </w:rPr>
        <w:br w:type="page"/>
      </w:r>
    </w:p>
    <w:p>
      <w:pPr>
        <w:numPr>
          <w:ilvl w:val="0"/>
          <w:numId w:val="3"/>
        </w:numPr>
        <w:adjustRightInd w:val="0"/>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分行业能源消费量目录</w:t>
      </w:r>
    </w:p>
    <w:p>
      <w:pPr>
        <w:numPr>
          <w:ilvl w:val="0"/>
          <w:numId w:val="0"/>
        </w:numPr>
        <w:adjustRightInd w:val="0"/>
        <w:spacing w:line="32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（限填报P303—2表、P303—3表、P303—5表）</w:t>
      </w:r>
    </w:p>
    <w:p>
      <w:pPr>
        <w:adjustRightInd w:val="0"/>
        <w:spacing w:line="240" w:lineRule="exact"/>
        <w:jc w:val="center"/>
        <w:rPr>
          <w:rFonts w:ascii="黑体" w:hAnsi="宋体" w:eastAsia="黑体"/>
          <w:sz w:val="24"/>
        </w:rPr>
      </w:pPr>
    </w:p>
    <w:tbl>
      <w:tblPr>
        <w:tblStyle w:val="21"/>
        <w:tblW w:w="0" w:type="auto"/>
        <w:jc w:val="center"/>
        <w:tblBorders>
          <w:top w:val="single" w:color="auto" w:sz="8" w:space="0"/>
          <w:left w:val="none" w:color="auto" w:sz="0" w:space="0"/>
          <w:bottom w:val="single" w:color="auto" w:sz="8" w:space="0"/>
          <w:right w:val="none" w:color="auto" w:sz="0" w:space="0"/>
          <w:insideH w:val="double" w:color="auto" w:sz="4" w:space="0"/>
          <w:insideV w:val="double" w:color="auto" w:sz="4" w:space="0"/>
        </w:tblBorders>
        <w:tblLayout w:type="fixed"/>
        <w:tblCellMar>
          <w:top w:w="0" w:type="dxa"/>
          <w:left w:w="28" w:type="dxa"/>
          <w:bottom w:w="0" w:type="dxa"/>
          <w:right w:w="28" w:type="dxa"/>
        </w:tblCellMar>
      </w:tblPr>
      <w:tblGrid>
        <w:gridCol w:w="4804"/>
        <w:gridCol w:w="4516"/>
      </w:tblGrid>
      <w:tr>
        <w:tblPrEx>
          <w:tblBorders>
            <w:top w:val="single" w:color="auto" w:sz="8" w:space="0"/>
            <w:left w:val="none" w:color="auto" w:sz="0" w:space="0"/>
            <w:bottom w:val="single" w:color="auto" w:sz="8" w:space="0"/>
            <w:right w:val="none" w:color="auto" w:sz="0" w:space="0"/>
            <w:insideH w:val="double" w:color="auto" w:sz="4" w:space="0"/>
            <w:insideV w:val="double" w:color="auto" w:sz="4" w:space="0"/>
          </w:tblBorders>
          <w:tblCellMar>
            <w:top w:w="0" w:type="dxa"/>
            <w:left w:w="28" w:type="dxa"/>
            <w:bottom w:w="0" w:type="dxa"/>
            <w:right w:w="28" w:type="dxa"/>
          </w:tblCellMar>
        </w:tblPrEx>
        <w:trPr>
          <w:trHeight w:val="9686" w:hRule="atLeast"/>
          <w:jc w:val="center"/>
        </w:trPr>
        <w:tc>
          <w:tcPr>
            <w:tcW w:w="4804" w:type="dxa"/>
            <w:noWrap/>
          </w:tcPr>
          <w:p>
            <w:pPr>
              <w:spacing w:line="320" w:lineRule="exact"/>
              <w:ind w:right="-57"/>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消费合计</w:t>
            </w:r>
          </w:p>
          <w:p>
            <w:pPr>
              <w:spacing w:line="320" w:lineRule="exact"/>
              <w:ind w:right="-57"/>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A.农、林、牧、渔业</w:t>
            </w:r>
          </w:p>
          <w:p>
            <w:pPr>
              <w:spacing w:line="320" w:lineRule="exact"/>
              <w:ind w:right="-57"/>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z w:val="18"/>
                <w:szCs w:val="18"/>
              </w:rPr>
              <w:t>B.</w:t>
            </w:r>
            <w:r>
              <w:rPr>
                <w:rFonts w:hint="eastAsia" w:asciiTheme="minorEastAsia" w:hAnsiTheme="minorEastAsia" w:eastAsiaTheme="minorEastAsia" w:cstheme="minorEastAsia"/>
                <w:spacing w:val="-4"/>
                <w:sz w:val="18"/>
                <w:szCs w:val="18"/>
              </w:rPr>
              <w:t>采矿业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06煤炭开采和洗选业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07石油和天然气开采业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08黑色金属矿采选业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09有色金属矿采选业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10非金属矿采选业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11开采专业及辅助性活动</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12其他采矿业</w:t>
            </w:r>
          </w:p>
          <w:p>
            <w:pPr>
              <w:spacing w:line="320" w:lineRule="exact"/>
              <w:ind w:right="-57"/>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C.制造业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13农副食品加工业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14食品制造业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15酒、饮料和精制茶制造业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16烟草制品业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17纺织业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18纺织服装、服饰业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19皮革、毛皮、羽毛及其制品和制鞋业</w:t>
            </w:r>
          </w:p>
          <w:p>
            <w:pPr>
              <w:spacing w:line="320" w:lineRule="exact"/>
              <w:ind w:firstLine="344" w:firstLineChars="200"/>
              <w:rPr>
                <w:rFonts w:asciiTheme="minorEastAsia" w:hAnsiTheme="minorEastAsia" w:eastAsiaTheme="minorEastAsia" w:cstheme="minorEastAsia"/>
                <w:spacing w:val="-8"/>
                <w:sz w:val="18"/>
                <w:szCs w:val="18"/>
              </w:rPr>
            </w:pPr>
            <w:r>
              <w:rPr>
                <w:rFonts w:hint="eastAsia" w:asciiTheme="minorEastAsia" w:hAnsiTheme="minorEastAsia" w:eastAsiaTheme="minorEastAsia" w:cstheme="minorEastAsia"/>
                <w:spacing w:val="-4"/>
                <w:sz w:val="18"/>
                <w:szCs w:val="18"/>
              </w:rPr>
              <w:t>20</w:t>
            </w:r>
            <w:r>
              <w:rPr>
                <w:rFonts w:hint="eastAsia" w:asciiTheme="minorEastAsia" w:hAnsiTheme="minorEastAsia" w:eastAsiaTheme="minorEastAsia" w:cstheme="minorEastAsia"/>
                <w:spacing w:val="-8"/>
                <w:sz w:val="18"/>
                <w:szCs w:val="18"/>
              </w:rPr>
              <w:t>木材加工和木、竹、藤、棕、草制品业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21家具制造业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22造纸和纸制品业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23印刷和记录媒介复制业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24文教、工美、体育和娱乐用品制造业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25石油、煤炭及其他燃料加工业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26化学原料和化学制品制造业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27医药制造业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28化学纤维制造业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29橡胶和塑料制品业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30非金属矿物制品业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31黑色金属冶炼和压延加工业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32有色金属冶炼和压延加工业</w:t>
            </w:r>
          </w:p>
          <w:p>
            <w:pPr>
              <w:spacing w:line="320" w:lineRule="exact"/>
              <w:ind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33金属制品业</w:t>
            </w:r>
          </w:p>
        </w:tc>
        <w:tc>
          <w:tcPr>
            <w:tcW w:w="4516" w:type="dxa"/>
            <w:noWrap/>
          </w:tcPr>
          <w:p>
            <w:pPr>
              <w:spacing w:line="320" w:lineRule="exact"/>
              <w:ind w:right="-108" w:firstLine="285" w:firstLineChars="166"/>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34通用设备制造业</w:t>
            </w:r>
          </w:p>
          <w:p>
            <w:pPr>
              <w:spacing w:line="320" w:lineRule="exact"/>
              <w:ind w:right="-108" w:firstLine="285" w:firstLineChars="166"/>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35专用设备制造业</w:t>
            </w:r>
          </w:p>
          <w:p>
            <w:pPr>
              <w:spacing w:line="320" w:lineRule="exact"/>
              <w:ind w:right="-108" w:firstLine="285" w:firstLineChars="166"/>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36汽车制造业</w:t>
            </w:r>
          </w:p>
          <w:p>
            <w:pPr>
              <w:spacing w:line="320" w:lineRule="exact"/>
              <w:ind w:right="-108" w:firstLine="285" w:firstLineChars="166"/>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37铁路、船舶、航空航天和其他运输设备制造业</w:t>
            </w:r>
          </w:p>
          <w:p>
            <w:pPr>
              <w:spacing w:line="320" w:lineRule="exact"/>
              <w:ind w:right="-108" w:firstLine="285" w:firstLineChars="166"/>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38电气机械和器材制造业</w:t>
            </w:r>
          </w:p>
          <w:p>
            <w:pPr>
              <w:spacing w:line="320" w:lineRule="exact"/>
              <w:ind w:right="-108" w:firstLine="285" w:firstLineChars="166"/>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39计算机、通信和其他电子设备制造业</w:t>
            </w:r>
          </w:p>
          <w:p>
            <w:pPr>
              <w:spacing w:line="320" w:lineRule="exact"/>
              <w:ind w:firstLine="285" w:firstLineChars="166"/>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40仪器仪表制造业</w:t>
            </w:r>
          </w:p>
          <w:p>
            <w:pPr>
              <w:spacing w:line="320" w:lineRule="exact"/>
              <w:ind w:right="-108" w:firstLine="285" w:firstLineChars="166"/>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41其他制造业</w:t>
            </w:r>
          </w:p>
          <w:p>
            <w:pPr>
              <w:spacing w:line="320" w:lineRule="exact"/>
              <w:ind w:right="-108" w:firstLine="285" w:firstLineChars="166"/>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42废弃资源综合利用业</w:t>
            </w:r>
          </w:p>
          <w:p>
            <w:pPr>
              <w:spacing w:line="320" w:lineRule="exact"/>
              <w:ind w:right="-108" w:firstLine="285" w:firstLineChars="166"/>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43金属制品、机械和设备修理业</w:t>
            </w:r>
          </w:p>
          <w:p>
            <w:pPr>
              <w:spacing w:line="320" w:lineRule="exact"/>
              <w:ind w:right="-108"/>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D.电力、热力、燃气及水生产和供应业</w:t>
            </w:r>
          </w:p>
          <w:p>
            <w:pPr>
              <w:spacing w:line="320" w:lineRule="exact"/>
              <w:ind w:right="-108"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44电力、热力生产和供应业</w:t>
            </w:r>
          </w:p>
          <w:p>
            <w:pPr>
              <w:spacing w:line="320" w:lineRule="exact"/>
              <w:ind w:right="-108"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45燃气生产和供应业</w:t>
            </w:r>
          </w:p>
          <w:p>
            <w:pPr>
              <w:spacing w:line="320" w:lineRule="exact"/>
              <w:ind w:right="-108"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46水的生产和供应业</w:t>
            </w:r>
          </w:p>
          <w:p>
            <w:pPr>
              <w:spacing w:line="320" w:lineRule="exact"/>
              <w:ind w:right="-108"/>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E.建筑业</w:t>
            </w:r>
          </w:p>
          <w:p>
            <w:pPr>
              <w:spacing w:line="320" w:lineRule="exact"/>
              <w:ind w:right="-108"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47房屋建筑业</w:t>
            </w:r>
          </w:p>
          <w:p>
            <w:pPr>
              <w:spacing w:line="320" w:lineRule="exact"/>
              <w:ind w:right="-108"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48土木工程建筑业</w:t>
            </w:r>
          </w:p>
          <w:p>
            <w:pPr>
              <w:spacing w:line="320" w:lineRule="exact"/>
              <w:ind w:right="-108"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49建筑安装业</w:t>
            </w:r>
          </w:p>
          <w:p>
            <w:pPr>
              <w:spacing w:line="320" w:lineRule="exact"/>
              <w:ind w:right="-108"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50建筑装饰、装修和其他建筑业</w:t>
            </w:r>
          </w:p>
          <w:p>
            <w:pPr>
              <w:spacing w:line="320" w:lineRule="exact"/>
              <w:ind w:right="-108"/>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F.批发和零售业</w:t>
            </w:r>
          </w:p>
          <w:p>
            <w:pPr>
              <w:spacing w:line="320" w:lineRule="exact"/>
              <w:ind w:right="-108"/>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G.交通运输、仓储和邮政业</w:t>
            </w:r>
          </w:p>
          <w:p>
            <w:pPr>
              <w:spacing w:line="320" w:lineRule="exact"/>
              <w:ind w:right="-108"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53铁路运输业</w:t>
            </w:r>
          </w:p>
          <w:p>
            <w:pPr>
              <w:spacing w:line="320" w:lineRule="exact"/>
              <w:ind w:right="-108"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54道路运输业</w:t>
            </w:r>
          </w:p>
          <w:p>
            <w:pPr>
              <w:spacing w:line="320" w:lineRule="exact"/>
              <w:ind w:right="-108"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55水上运输业</w:t>
            </w:r>
          </w:p>
          <w:p>
            <w:pPr>
              <w:spacing w:line="320" w:lineRule="exact"/>
              <w:ind w:right="-108"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56航空运输业</w:t>
            </w:r>
          </w:p>
          <w:p>
            <w:pPr>
              <w:spacing w:line="320" w:lineRule="exact"/>
              <w:ind w:right="-108"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57管道运输业</w:t>
            </w:r>
          </w:p>
          <w:p>
            <w:pPr>
              <w:spacing w:line="320" w:lineRule="exact"/>
              <w:ind w:right="-108"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58多式联运和运输代理业</w:t>
            </w:r>
          </w:p>
          <w:p>
            <w:pPr>
              <w:spacing w:line="320" w:lineRule="exact"/>
              <w:ind w:right="-108"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59装卸搬运和仓储业</w:t>
            </w:r>
          </w:p>
          <w:p>
            <w:pPr>
              <w:spacing w:line="320" w:lineRule="exact"/>
              <w:ind w:right="-28" w:firstLine="344" w:firstLineChars="200"/>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60邮政业</w:t>
            </w:r>
          </w:p>
          <w:p>
            <w:pPr>
              <w:spacing w:line="320" w:lineRule="exact"/>
              <w:ind w:right="-108"/>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H.住宿和餐饮业</w:t>
            </w:r>
          </w:p>
          <w:p>
            <w:pPr>
              <w:spacing w:line="320" w:lineRule="exact"/>
              <w:ind w:right="-108"/>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Y.其他行业</w:t>
            </w:r>
          </w:p>
          <w:p>
            <w:pPr>
              <w:spacing w:line="320" w:lineRule="exact"/>
              <w:ind w:right="-108"/>
              <w:rPr>
                <w:rFonts w:asciiTheme="minorEastAsia" w:hAnsiTheme="minorEastAsia" w:eastAsiaTheme="minorEastAsia" w:cstheme="minorEastAsia"/>
                <w:spacing w:val="-4"/>
                <w:sz w:val="18"/>
                <w:szCs w:val="18"/>
              </w:rPr>
            </w:pPr>
            <w:r>
              <w:rPr>
                <w:rFonts w:hint="eastAsia" w:asciiTheme="minorEastAsia" w:hAnsiTheme="minorEastAsia" w:eastAsiaTheme="minorEastAsia" w:cstheme="minorEastAsia"/>
                <w:spacing w:val="-4"/>
                <w:sz w:val="18"/>
                <w:szCs w:val="18"/>
              </w:rPr>
              <w:t>Z.城乡居民生活</w:t>
            </w:r>
          </w:p>
        </w:tc>
      </w:tr>
    </w:tbl>
    <w:p>
      <w:pPr>
        <w:keepNext w:val="0"/>
        <w:keepLines w:val="0"/>
        <w:pageBreakBefore w:val="0"/>
        <w:widowControl w:val="0"/>
        <w:kinsoku/>
        <w:wordWrap/>
        <w:overflowPunct/>
        <w:topLinePunct w:val="0"/>
        <w:autoSpaceDE/>
        <w:autoSpaceDN/>
        <w:bidi w:val="0"/>
        <w:adjustRightInd/>
        <w:snapToGrid/>
        <w:spacing w:before="120" w:beforeLines="50" w:line="288" w:lineRule="auto"/>
        <w:ind w:left="420" w:leftChars="200"/>
        <w:textAlignment w:val="auto"/>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sz w:val="18"/>
          <w:szCs w:val="18"/>
        </w:rPr>
        <w:t>说明：1.消费合计=A+B+C+D+E+F+G+H+Y+Z</w:t>
      </w:r>
    </w:p>
    <w:p>
      <w:pPr>
        <w:keepNext w:val="0"/>
        <w:keepLines w:val="0"/>
        <w:pageBreakBefore w:val="0"/>
        <w:widowControl w:val="0"/>
        <w:kinsoku/>
        <w:wordWrap/>
        <w:overflowPunct/>
        <w:topLinePunct w:val="0"/>
        <w:autoSpaceDE/>
        <w:autoSpaceDN/>
        <w:bidi w:val="0"/>
        <w:adjustRightInd/>
        <w:snapToGrid/>
        <w:spacing w:line="288" w:lineRule="auto"/>
        <w:ind w:left="420" w:leftChars="200" w:firstLine="540" w:firstLineChars="300"/>
        <w:textAlignment w:val="auto"/>
        <w:rPr>
          <w:rFonts w:asciiTheme="minorEastAsia" w:hAnsiTheme="minorEastAsia" w:eastAsiaTheme="minorEastAsia" w:cstheme="minorEastAsia"/>
          <w:spacing w:val="-4"/>
          <w:sz w:val="18"/>
        </w:rPr>
      </w:pPr>
      <w:r>
        <w:rPr>
          <w:rFonts w:hint="eastAsia" w:asciiTheme="minorEastAsia" w:hAnsiTheme="minorEastAsia" w:eastAsiaTheme="minorEastAsia" w:cstheme="minorEastAsia"/>
          <w:sz w:val="18"/>
          <w:szCs w:val="18"/>
        </w:rPr>
        <w:t>2</w:t>
      </w:r>
      <w:r>
        <w:rPr>
          <w:rFonts w:hint="eastAsia" w:asciiTheme="minorEastAsia" w:hAnsiTheme="minorEastAsia" w:eastAsiaTheme="minorEastAsia" w:cstheme="minorEastAsia"/>
          <w:spacing w:val="-4"/>
          <w:sz w:val="18"/>
        </w:rPr>
        <w:t>.采矿业B=06+…+12</w:t>
      </w:r>
    </w:p>
    <w:p>
      <w:pPr>
        <w:keepNext w:val="0"/>
        <w:keepLines w:val="0"/>
        <w:pageBreakBefore w:val="0"/>
        <w:widowControl w:val="0"/>
        <w:kinsoku/>
        <w:wordWrap/>
        <w:overflowPunct/>
        <w:topLinePunct w:val="0"/>
        <w:autoSpaceDE/>
        <w:autoSpaceDN/>
        <w:bidi w:val="0"/>
        <w:adjustRightInd/>
        <w:snapToGrid/>
        <w:spacing w:line="288" w:lineRule="auto"/>
        <w:ind w:left="420" w:leftChars="200" w:firstLine="516" w:firstLineChars="300"/>
        <w:textAlignment w:val="auto"/>
        <w:rPr>
          <w:rFonts w:asciiTheme="minorEastAsia" w:hAnsiTheme="minorEastAsia" w:eastAsiaTheme="minorEastAsia" w:cstheme="minorEastAsia"/>
          <w:spacing w:val="-4"/>
          <w:sz w:val="18"/>
        </w:rPr>
      </w:pPr>
      <w:r>
        <w:rPr>
          <w:rFonts w:hint="eastAsia" w:asciiTheme="minorEastAsia" w:hAnsiTheme="minorEastAsia" w:eastAsiaTheme="minorEastAsia" w:cstheme="minorEastAsia"/>
          <w:spacing w:val="-4"/>
          <w:sz w:val="18"/>
        </w:rPr>
        <w:t>3.制造业C=13+…+43</w:t>
      </w:r>
    </w:p>
    <w:p>
      <w:pPr>
        <w:keepNext w:val="0"/>
        <w:keepLines w:val="0"/>
        <w:pageBreakBefore w:val="0"/>
        <w:widowControl w:val="0"/>
        <w:kinsoku/>
        <w:wordWrap/>
        <w:overflowPunct/>
        <w:topLinePunct w:val="0"/>
        <w:autoSpaceDE/>
        <w:autoSpaceDN/>
        <w:bidi w:val="0"/>
        <w:adjustRightInd/>
        <w:snapToGrid/>
        <w:spacing w:line="288" w:lineRule="auto"/>
        <w:ind w:left="420" w:leftChars="200" w:firstLine="516" w:firstLineChars="300"/>
        <w:textAlignment w:val="auto"/>
        <w:rPr>
          <w:rFonts w:asciiTheme="minorEastAsia" w:hAnsiTheme="minorEastAsia" w:eastAsiaTheme="minorEastAsia" w:cstheme="minorEastAsia"/>
          <w:spacing w:val="-4"/>
          <w:sz w:val="18"/>
        </w:rPr>
      </w:pPr>
      <w:r>
        <w:rPr>
          <w:rFonts w:hint="eastAsia" w:asciiTheme="minorEastAsia" w:hAnsiTheme="minorEastAsia" w:eastAsiaTheme="minorEastAsia" w:cstheme="minorEastAsia"/>
          <w:spacing w:val="-4"/>
          <w:sz w:val="18"/>
        </w:rPr>
        <w:t>4.电力、热力、燃气及水生产和供应业D=44+45+46</w:t>
      </w:r>
    </w:p>
    <w:p>
      <w:pPr>
        <w:keepNext w:val="0"/>
        <w:keepLines w:val="0"/>
        <w:pageBreakBefore w:val="0"/>
        <w:widowControl w:val="0"/>
        <w:kinsoku/>
        <w:wordWrap/>
        <w:overflowPunct/>
        <w:topLinePunct w:val="0"/>
        <w:autoSpaceDE/>
        <w:autoSpaceDN/>
        <w:bidi w:val="0"/>
        <w:adjustRightInd/>
        <w:snapToGrid/>
        <w:spacing w:line="288" w:lineRule="auto"/>
        <w:ind w:left="420" w:leftChars="200" w:firstLine="516" w:firstLineChars="300"/>
        <w:textAlignment w:val="auto"/>
        <w:rPr>
          <w:rFonts w:asciiTheme="minorEastAsia" w:hAnsiTheme="minorEastAsia" w:eastAsiaTheme="minorEastAsia" w:cstheme="minorEastAsia"/>
          <w:spacing w:val="-4"/>
          <w:sz w:val="18"/>
        </w:rPr>
      </w:pPr>
      <w:r>
        <w:rPr>
          <w:rFonts w:hint="eastAsia" w:asciiTheme="minorEastAsia" w:hAnsiTheme="minorEastAsia" w:eastAsiaTheme="minorEastAsia" w:cstheme="minorEastAsia"/>
          <w:spacing w:val="-4"/>
          <w:sz w:val="18"/>
        </w:rPr>
        <w:t>5.建筑业E=47+…+50</w:t>
      </w:r>
    </w:p>
    <w:p>
      <w:pPr>
        <w:keepNext w:val="0"/>
        <w:keepLines w:val="0"/>
        <w:pageBreakBefore w:val="0"/>
        <w:widowControl w:val="0"/>
        <w:kinsoku/>
        <w:wordWrap/>
        <w:overflowPunct/>
        <w:topLinePunct w:val="0"/>
        <w:autoSpaceDE/>
        <w:autoSpaceDN/>
        <w:bidi w:val="0"/>
        <w:adjustRightInd/>
        <w:snapToGrid/>
        <w:spacing w:line="288" w:lineRule="auto"/>
        <w:ind w:left="420" w:leftChars="200" w:firstLine="516" w:firstLineChars="300"/>
        <w:textAlignment w:val="auto"/>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pacing w:val="-4"/>
          <w:sz w:val="18"/>
        </w:rPr>
        <w:t>6.交通运输、仓储和邮政业G=53+…+60</w:t>
      </w:r>
    </w:p>
    <w:p>
      <w:pPr>
        <w:keepNext w:val="0"/>
        <w:keepLines w:val="0"/>
        <w:pageBreakBefore w:val="0"/>
        <w:widowControl w:val="0"/>
        <w:kinsoku/>
        <w:wordWrap/>
        <w:overflowPunct/>
        <w:topLinePunct w:val="0"/>
        <w:autoSpaceDE/>
        <w:autoSpaceDN/>
        <w:bidi w:val="0"/>
        <w:adjustRightInd/>
        <w:snapToGrid/>
        <w:spacing w:line="288" w:lineRule="auto"/>
        <w:ind w:left="420" w:leftChars="200" w:firstLine="516" w:firstLineChars="300"/>
        <w:textAlignment w:val="auto"/>
        <w:rPr>
          <w:rFonts w:asciiTheme="minorEastAsia" w:hAnsiTheme="minorEastAsia" w:eastAsiaTheme="minorEastAsia" w:cstheme="minorEastAsia"/>
          <w:spacing w:val="-4"/>
          <w:sz w:val="18"/>
        </w:rPr>
      </w:pPr>
      <w:r>
        <w:rPr>
          <w:rFonts w:hint="eastAsia" w:asciiTheme="minorEastAsia" w:hAnsiTheme="minorEastAsia" w:eastAsiaTheme="minorEastAsia" w:cstheme="minorEastAsia"/>
          <w:spacing w:val="-4"/>
          <w:sz w:val="18"/>
        </w:rPr>
        <w:t>7.P303-2表的消费合计=P303-1表的消费合计</w:t>
      </w:r>
    </w:p>
    <w:p>
      <w:pPr>
        <w:keepNext w:val="0"/>
        <w:keepLines w:val="0"/>
        <w:pageBreakBefore w:val="0"/>
        <w:widowControl w:val="0"/>
        <w:kinsoku/>
        <w:wordWrap/>
        <w:overflowPunct/>
        <w:topLinePunct w:val="0"/>
        <w:autoSpaceDE/>
        <w:autoSpaceDN/>
        <w:bidi w:val="0"/>
        <w:adjustRightInd/>
        <w:snapToGrid/>
        <w:spacing w:line="288" w:lineRule="auto"/>
        <w:ind w:left="420" w:leftChars="200" w:firstLine="516" w:firstLineChars="300"/>
        <w:textAlignment w:val="auto"/>
        <w:rPr>
          <w:rFonts w:asciiTheme="minorEastAsia" w:hAnsiTheme="minorEastAsia" w:eastAsiaTheme="minorEastAsia" w:cstheme="minorEastAsia"/>
          <w:spacing w:val="-4"/>
          <w:sz w:val="18"/>
        </w:rPr>
      </w:pPr>
      <w:r>
        <w:rPr>
          <w:rFonts w:hint="eastAsia" w:asciiTheme="minorEastAsia" w:hAnsiTheme="minorEastAsia" w:eastAsiaTheme="minorEastAsia" w:cstheme="minorEastAsia"/>
          <w:spacing w:val="-4"/>
          <w:sz w:val="18"/>
        </w:rPr>
        <w:t>8.P303-3表的消费合计=P303-1表的终端消费量</w:t>
      </w:r>
    </w:p>
    <w:p>
      <w:pPr>
        <w:keepNext w:val="0"/>
        <w:keepLines w:val="0"/>
        <w:pageBreakBefore w:val="0"/>
        <w:widowControl w:val="0"/>
        <w:kinsoku/>
        <w:wordWrap/>
        <w:overflowPunct/>
        <w:topLinePunct w:val="0"/>
        <w:autoSpaceDE/>
        <w:autoSpaceDN/>
        <w:bidi w:val="0"/>
        <w:adjustRightInd/>
        <w:snapToGrid/>
        <w:spacing w:line="288" w:lineRule="auto"/>
        <w:ind w:left="420" w:leftChars="200" w:firstLine="516" w:firstLineChars="300"/>
        <w:textAlignment w:val="auto"/>
        <w:rPr>
          <w:rFonts w:asciiTheme="minorEastAsia" w:hAnsiTheme="minorEastAsia" w:eastAsiaTheme="minorEastAsia" w:cstheme="minorEastAsia"/>
          <w:spacing w:val="-4"/>
          <w:sz w:val="18"/>
        </w:rPr>
        <w:sectPr>
          <w:headerReference r:id="rId8" w:type="default"/>
          <w:pgSz w:w="11906" w:h="16838"/>
          <w:pgMar w:top="1417" w:right="1247" w:bottom="1247" w:left="1247" w:header="851" w:footer="992" w:gutter="0"/>
          <w:pgBorders>
            <w:top w:val="none" w:sz="0" w:space="0"/>
            <w:left w:val="none" w:sz="0" w:space="0"/>
            <w:bottom w:val="none" w:sz="0" w:space="0"/>
            <w:right w:val="none" w:sz="0" w:space="0"/>
          </w:pgBorders>
          <w:pgNumType w:fmt="numberInDash"/>
          <w:cols w:space="0" w:num="1"/>
          <w:docGrid w:linePitch="286" w:charSpace="0"/>
        </w:sectPr>
      </w:pPr>
      <w:r>
        <w:rPr>
          <w:rFonts w:hint="eastAsia" w:asciiTheme="minorEastAsia" w:hAnsiTheme="minorEastAsia" w:eastAsiaTheme="minorEastAsia" w:cstheme="minorEastAsia"/>
          <w:spacing w:val="-4"/>
          <w:sz w:val="18"/>
        </w:rPr>
        <w:t>9.P303-5表的消费合计=P303-4表的终端消费量</w:t>
      </w:r>
    </w:p>
    <w:p>
      <w:pPr>
        <w:jc w:val="center"/>
        <w:rPr>
          <w:rFonts w:hint="default" w:ascii="Times New Roman" w:hAnsi="Times New Roman" w:eastAsia="黑体" w:cs="Times New Roman"/>
          <w:sz w:val="24"/>
        </w:rPr>
      </w:pPr>
      <w:r>
        <w:rPr>
          <w:rFonts w:hint="default" w:ascii="Times New Roman" w:hAnsi="Times New Roman" w:eastAsia="黑体" w:cs="Times New Roman"/>
          <w:sz w:val="24"/>
        </w:rPr>
        <w:t>5. 全社会用电量情况目录</w:t>
      </w:r>
    </w:p>
    <w:p>
      <w:pPr>
        <w:keepNext w:val="0"/>
        <w:keepLines w:val="0"/>
        <w:pageBreakBefore w:val="0"/>
        <w:widowControl w:val="0"/>
        <w:kinsoku/>
        <w:wordWrap/>
        <w:overflowPunct/>
        <w:topLinePunct w:val="0"/>
        <w:autoSpaceDE/>
        <w:autoSpaceDN/>
        <w:bidi w:val="0"/>
        <w:adjustRightInd/>
        <w:snapToGrid/>
        <w:spacing w:after="144" w:afterLines="50" w:line="192" w:lineRule="auto"/>
        <w:jc w:val="center"/>
        <w:textAlignment w:val="auto"/>
        <w:rPr>
          <w:rFonts w:hint="default" w:ascii="Times New Roman" w:hAnsi="Times New Roman" w:eastAsia="黑体" w:cs="Times New Roman"/>
          <w:sz w:val="24"/>
        </w:rPr>
      </w:pPr>
      <w:r>
        <w:rPr>
          <w:rFonts w:hint="default" w:ascii="Times New Roman" w:hAnsi="Times New Roman" w:eastAsia="黑体" w:cs="Times New Roman"/>
          <w:sz w:val="24"/>
        </w:rPr>
        <w:t xml:space="preserve"> （限填报P407表）</w:t>
      </w:r>
    </w:p>
    <w:tbl>
      <w:tblPr>
        <w:tblStyle w:val="21"/>
        <w:tblW w:w="0" w:type="auto"/>
        <w:tblInd w:w="3"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885"/>
        <w:gridCol w:w="716"/>
        <w:gridCol w:w="4219"/>
        <w:gridCol w:w="630"/>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15" w:hRule="atLeast"/>
        </w:trPr>
        <w:tc>
          <w:tcPr>
            <w:tcW w:w="3885" w:type="dxa"/>
            <w:noWrap/>
            <w:vAlign w:val="center"/>
          </w:tcPr>
          <w:p>
            <w:pPr>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指标内容</w:t>
            </w:r>
          </w:p>
        </w:tc>
        <w:tc>
          <w:tcPr>
            <w:tcW w:w="716" w:type="dxa"/>
            <w:noWrap/>
            <w:vAlign w:val="center"/>
          </w:tcPr>
          <w:p>
            <w:pPr>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代码</w:t>
            </w:r>
          </w:p>
        </w:tc>
        <w:tc>
          <w:tcPr>
            <w:tcW w:w="4219" w:type="dxa"/>
            <w:noWrap/>
            <w:vAlign w:val="center"/>
          </w:tcPr>
          <w:p>
            <w:pPr>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指标内容</w:t>
            </w:r>
          </w:p>
        </w:tc>
        <w:tc>
          <w:tcPr>
            <w:tcW w:w="630" w:type="dxa"/>
            <w:noWrap/>
            <w:vAlign w:val="center"/>
          </w:tcPr>
          <w:p>
            <w:pPr>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代码</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tcBorders>
              <w:top w:val="single" w:color="auto" w:sz="2" w:space="0"/>
            </w:tcBorders>
            <w:noWrap/>
            <w:vAlign w:val="center"/>
          </w:tcPr>
          <w:p>
            <w:pPr>
              <w:widowControl/>
              <w:ind w:left="-107" w:leftChars="-51"/>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全社会用电总计</w:t>
            </w:r>
          </w:p>
        </w:tc>
        <w:tc>
          <w:tcPr>
            <w:tcW w:w="716" w:type="dxa"/>
            <w:tcBorders>
              <w:top w:val="single" w:color="auto" w:sz="2" w:space="0"/>
            </w:tcBorders>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01</w:t>
            </w:r>
          </w:p>
        </w:tc>
        <w:tc>
          <w:tcPr>
            <w:tcW w:w="4219" w:type="dxa"/>
            <w:tcBorders>
              <w:top w:val="single" w:color="auto" w:sz="2" w:space="0"/>
            </w:tcBorders>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23.专用设备制造业</w:t>
            </w:r>
          </w:p>
        </w:tc>
        <w:tc>
          <w:tcPr>
            <w:tcW w:w="630" w:type="dxa"/>
            <w:tcBorders>
              <w:top w:val="single" w:color="auto" w:sz="2" w:space="0"/>
            </w:tcBorders>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69</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A、全行业用电合计</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02</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其中：医疗仪器设备及器械制造</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70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ind w:firstLine="160" w:firstLineChars="100"/>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第一产业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03</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24.汽车制造业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71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ind w:firstLine="160" w:firstLineChars="100"/>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第二产业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04</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其中：新能源车整车制造</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72</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ind w:firstLine="160" w:firstLineChars="100"/>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第三产业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05</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25.铁路.船舶.航空航天和其他运输设备制造业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73</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B、城乡居民生活用电合计</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06</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其中：铁路运输设备制造</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74</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ind w:firstLine="160" w:firstLineChars="100"/>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城镇居民</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07</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城市轨道交通设备制造</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75</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ind w:firstLine="160" w:firstLineChars="100"/>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乡村居民</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08</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航空、航天器及设备制造</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76</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ind w:left="8" w:leftChars="-51" w:hanging="115" w:hangingChars="72"/>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全行业用电分类</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09</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26.电气机械和器材制造业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77</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一、农、林、牧、渔业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10</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其中：光伏设备及元器件制造</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78</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1.农业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11</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27.计算机、通信和其他电子设备制造业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79</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2.林业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12</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其中：计算机制造</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80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3.畜牧业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13</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通信设备制造</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81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4.渔业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14</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28.仪器仪表制造业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82</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5.农、林、牧、渔专业及辅助性活动</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15</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29.其他制造业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83</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其中：排灌</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16</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30.废弃资源综合利用业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84</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二、工业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17</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31.金属制品、机械和设备修理业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85</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（一）采矿业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18</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（三）电力、热力、燃气及水生产和供应业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86</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1.煤炭开采和洗选业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19</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1.电力、热力生产和供应业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87</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2.石油和天然气开采业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20</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其中：电厂生产全部耗用电量</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88</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3.黑色金属矿采选业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21</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线路损失电量</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89</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4.有色金属矿采选业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22</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抽水蓄能抽水耗用电量</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90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5.非金属矿采选业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23</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2.燃气生产和供应业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91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6.其他采矿业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24</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3.水的生产和供应业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92</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（二）制造业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25</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三、建筑业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93</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1.农副食品加工业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26</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1.房屋建筑业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94</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2.食品制造业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27</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2.土木工程建筑业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95</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3.酒、饮料及精制茶制造业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28</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3.建筑安装业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96</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4.烟草制品业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29</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4.建筑装饰、装修和其他建筑业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97</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5.纺织业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30</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四、交通运输、仓储和邮政业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98</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6.纺织服装、服饰业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31</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1.铁路运输业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99</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7.皮革、毛皮、羽毛及其制品和制鞋业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32</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其中：电气化铁路</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100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8.木材加工和木、竹、藤、棕、草制品业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33</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2.道路运输业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101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9.家具制造业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34</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其中：城市公共交通运输</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102</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10.造纸和纸制品业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35</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3.水上运输业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103</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11.印刷和记录媒介复制业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36</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其中：港口岸电</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104</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12.文教、工美、体育和娱乐用品制造业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37</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4.航空运输业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105</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其中：体育用品制造</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38</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5.管道运输业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106</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13.石油、煤炭及其他燃料加工业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39</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6.多式联运和运输代理业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107</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其中：煤化工</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40</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7.装卸搬运和仓储业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108</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14.化学原料和化学制品制造业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41</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8.邮政业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109</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其中：氯碱</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42</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五、信息传输、软件和信息技术服务业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110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ind w:left="315" w:leftChars="150"/>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电石</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43</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1.电信、广播电视和卫星传输服务</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111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ind w:left="315" w:leftChars="150"/>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黄磷</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44</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2.互联网和相关服务</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112</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其中：肥料制造</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45</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其中：互联网数据服务</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113</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15.医药制造业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46</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3.软件和信息技术服务业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114</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其中：中成药生产</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47</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六、批发和零售业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115</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生物药品制品制造</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48</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其中：充换电服务业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116</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16.化学纤维制造业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49</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七、住宿和餐饮业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117</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17.橡胶和塑料制品业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50</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八、金融业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118</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其中：橡胶制品业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51</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九、房地产业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119</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塑料制品业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52</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十、租赁和商务服务业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120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18.非金属矿物制品业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53</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其中：租赁业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121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其中：水泥制造</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54</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十一、公共服务及管理组织</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122</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玻璃制造</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55</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1.科学研究和技术服务业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123</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陶瓷制品制造</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56</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其中：地质勘查</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124</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其中：碳化硅</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57</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其中：科技推广和应用服务业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125</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19.黑色金属冶炼和压延加工业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58</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2.水利、环境和公共设施管理业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126</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其中：钢铁</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59</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其中：水利管理业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127</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铁合金冶炼</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60</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其中：公共照明</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128</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20.有色金属冶炼和压延加工业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61</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3.居民服务、修理和其他服务业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129</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其中：铝冶炼</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62</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4.教育、文化、体育和娱乐业</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130</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铅锌冶炼</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63</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其中：教育</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131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稀有稀土金属冶炼</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64</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5.卫生和社会工作</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132</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21.金属制品业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65</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6.公共管理和社会组织、国际组织</w:t>
            </w:r>
          </w:p>
        </w:tc>
        <w:tc>
          <w:tcPr>
            <w:tcW w:w="630"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133</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其中：结构性金属制品制造</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66</w:t>
            </w:r>
          </w:p>
        </w:tc>
        <w:tc>
          <w:tcPr>
            <w:tcW w:w="4219" w:type="dxa"/>
            <w:noWrap/>
          </w:tcPr>
          <w:p>
            <w:pPr>
              <w:widowControl/>
              <w:jc w:val="left"/>
              <w:rPr>
                <w:rFonts w:asciiTheme="minorEastAsia" w:hAnsiTheme="minorEastAsia" w:eastAsiaTheme="minorEastAsia" w:cstheme="minorEastAsia"/>
                <w:kern w:val="0"/>
                <w:sz w:val="16"/>
                <w:szCs w:val="16"/>
              </w:rPr>
            </w:pPr>
          </w:p>
        </w:tc>
        <w:tc>
          <w:tcPr>
            <w:tcW w:w="630"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22.通用设备制造业</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67</w:t>
            </w:r>
          </w:p>
        </w:tc>
        <w:tc>
          <w:tcPr>
            <w:tcW w:w="4219" w:type="dxa"/>
            <w:noWrap/>
          </w:tcPr>
          <w:p>
            <w:pPr>
              <w:widowControl/>
              <w:jc w:val="left"/>
              <w:rPr>
                <w:rFonts w:asciiTheme="minorEastAsia" w:hAnsiTheme="minorEastAsia" w:eastAsiaTheme="minorEastAsia" w:cstheme="minorEastAsia"/>
                <w:kern w:val="0"/>
                <w:sz w:val="16"/>
                <w:szCs w:val="16"/>
              </w:rPr>
            </w:pPr>
          </w:p>
        </w:tc>
        <w:tc>
          <w:tcPr>
            <w:tcW w:w="630"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93" w:hRule="exact"/>
        </w:trPr>
        <w:tc>
          <w:tcPr>
            <w:tcW w:w="3885" w:type="dxa"/>
            <w:noWrap/>
            <w:vAlign w:val="center"/>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xml:space="preserve">     其中：风能原动设备制造</w:t>
            </w:r>
          </w:p>
        </w:tc>
        <w:tc>
          <w:tcPr>
            <w:tcW w:w="716" w:type="dxa"/>
            <w:noWrap/>
          </w:tcPr>
          <w:p>
            <w:pPr>
              <w:widowControl/>
              <w:jc w:val="center"/>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68</w:t>
            </w:r>
          </w:p>
        </w:tc>
        <w:tc>
          <w:tcPr>
            <w:tcW w:w="4219"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w:t>
            </w:r>
          </w:p>
        </w:tc>
        <w:tc>
          <w:tcPr>
            <w:tcW w:w="630" w:type="dxa"/>
            <w:noWrap/>
          </w:tcPr>
          <w:p>
            <w:pPr>
              <w:widowControl/>
              <w:jc w:val="left"/>
              <w:rPr>
                <w:rFonts w:asciiTheme="minorEastAsia" w:hAnsiTheme="minorEastAsia" w:eastAsiaTheme="minorEastAsia" w:cstheme="minorEastAsia"/>
                <w:kern w:val="0"/>
                <w:sz w:val="16"/>
                <w:szCs w:val="16"/>
              </w:rPr>
            </w:pPr>
            <w:r>
              <w:rPr>
                <w:rFonts w:hint="eastAsia" w:asciiTheme="minorEastAsia" w:hAnsiTheme="minorEastAsia" w:eastAsiaTheme="minorEastAsia" w:cstheme="minorEastAsia"/>
                <w:kern w:val="0"/>
                <w:sz w:val="16"/>
                <w:szCs w:val="16"/>
              </w:rPr>
              <w:t>　</w:t>
            </w:r>
          </w:p>
        </w:tc>
      </w:tr>
    </w:tbl>
    <w:p>
      <w:pPr>
        <w:ind w:right="-38"/>
        <w:rPr>
          <w:rFonts w:ascii="黑体" w:hAnsi="宋体" w:eastAsia="黑体"/>
          <w:sz w:val="28"/>
          <w:szCs w:val="28"/>
        </w:rPr>
      </w:pPr>
      <w:r>
        <w:rPr>
          <w:rFonts w:ascii="宋体" w:hAnsi="宋体"/>
          <w:sz w:val="32"/>
        </w:rPr>
        <w:br w:type="page"/>
      </w:r>
    </w:p>
    <w:p>
      <w:pPr>
        <w:ind w:right="-38"/>
        <w:jc w:val="center"/>
        <w:rPr>
          <w:rFonts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rPr>
        <w:t>（三）主要指标解释</w:t>
      </w:r>
    </w:p>
    <w:p>
      <w:pPr>
        <w:ind w:right="-38"/>
        <w:jc w:val="center"/>
        <w:rPr>
          <w:rFonts w:ascii="方正小标宋_GBK" w:hAnsi="宋体" w:eastAsia="方正小标宋_GBK"/>
          <w:sz w:val="18"/>
          <w:szCs w:val="18"/>
        </w:rPr>
      </w:pPr>
    </w:p>
    <w:p>
      <w:pPr>
        <w:spacing w:line="480" w:lineRule="exact"/>
        <w:jc w:val="center"/>
        <w:rPr>
          <w:rFonts w:hint="default" w:ascii="Times New Roman" w:hAnsi="Times New Roman" w:eastAsia="黑体" w:cs="Times New Roman"/>
          <w:sz w:val="24"/>
        </w:rPr>
      </w:pPr>
      <w:r>
        <w:rPr>
          <w:rFonts w:hint="default" w:ascii="Times New Roman" w:hAnsi="Times New Roman" w:eastAsia="黑体" w:cs="Times New Roman"/>
          <w:sz w:val="24"/>
        </w:rPr>
        <w:t>1.能源购进、消费与库存（205-1表）</w:t>
      </w:r>
    </w:p>
    <w:p>
      <w:pPr>
        <w:ind w:right="-38"/>
        <w:jc w:val="center"/>
        <w:rPr>
          <w:rFonts w:ascii="黑体" w:hAnsi="宋体" w:eastAsia="黑体"/>
          <w:sz w:val="28"/>
          <w:szCs w:val="28"/>
        </w:rPr>
      </w:pP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黑体" w:hAnsi="黑体" w:eastAsia="黑体"/>
          <w:bCs/>
          <w:szCs w:val="21"/>
        </w:rPr>
        <w:t>★</w:t>
      </w:r>
      <w:r>
        <w:rPr>
          <w:rStyle w:val="27"/>
          <w:rFonts w:eastAsia="黑体"/>
          <w:bCs/>
        </w:rPr>
        <w:footnoteReference w:id="0"/>
      </w:r>
      <w:r>
        <w:rPr>
          <w:rFonts w:hint="eastAsia" w:eastAsia="黑体"/>
          <w:bCs/>
          <w:szCs w:val="21"/>
        </w:rPr>
        <w:t>能源库存量　</w:t>
      </w:r>
      <w:r>
        <w:rPr>
          <w:rFonts w:hint="eastAsia" w:ascii="宋体" w:hAnsi="宋体"/>
          <w:bCs/>
          <w:szCs w:val="21"/>
        </w:rPr>
        <w:t>指</w:t>
      </w:r>
      <w:r>
        <w:rPr>
          <w:rFonts w:hint="eastAsia" w:ascii="宋体" w:hAnsi="宋体"/>
          <w:szCs w:val="21"/>
        </w:rPr>
        <w:t>能源使用企业（单位）在报告期的某时间点所拥有的、</w:t>
      </w:r>
      <w:r>
        <w:rPr>
          <w:bCs/>
          <w:szCs w:val="21"/>
        </w:rPr>
        <w:t>用于企业（单位）消费或转卖（不包括本企业自己生产）</w:t>
      </w:r>
      <w:r>
        <w:rPr>
          <w:szCs w:val="21"/>
        </w:rPr>
        <w:t>的各种能源的库存量</w:t>
      </w:r>
      <w:r>
        <w:rPr>
          <w:rFonts w:hint="eastAsia" w:ascii="宋体" w:hAnsi="宋体"/>
          <w:szCs w:val="21"/>
        </w:rPr>
        <w:t>。</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（1）库存量的核算原则：</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①时点性原则。库存量是指企业在报告期的某时间点所拥有的各种能源数量，所以必须按照制度所规定的时间点盘点库存，不得提前或推后。</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②实际数量原则。企业在库存盘点后，可能出现账面数量与实际库存数量不一致的现象，在这种情况下，应以盘点数量为准来调整账面数量，差额作盘盈或盘亏处理。</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③库存量的核算，以验收合格、办理完入库手续为准，未经验收或不合格的，不能计入库存。</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④能源使用企业（单位）用于消费的能源库存按照能源的使用权原则统计。</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（2）库存量的统计范围：</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能源使用企业（单位）的能源库存统计范围，是企业购进和调入（加工来料和借入）的、在报告期某一时点尚未消费或转卖、存放在原材料、能源供应仓库（或场地）、车间、工地中的各种能源，主要包括：</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①凡是本单位有权支配的，不论来源（自行采购的、借用的、外单位拨来得等），也不论存放在什么地方（总库、分库、车间、工地、本单位之外的其他地方等），均应统计在本单位的库存量中；</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②在统计时点上尚未投入消费的，包括车间、工地、班组从仓库已领取但尚未投入第一道生产工序的（应办理假退料手续）；</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③外单位来料加工或自外单位借入的，在报告期末尚未消费的；</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④已决定外调（卖出、借出、捐赠等），但尚未办理出库手续的；</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⑤委托外单位代保管的；</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⑥不属于正常周转库存的超出积压或特准储备、战略储备；</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⑦清点盘库时查出属于账外的。</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不包括：</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①已拨交外单位委托加工的；</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②已外调（借出、捐赠等），已经办理出库手续的；</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③供货单位错发到本单位的；</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④代外单位保管的；</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⑤已查实确属损失或丢失的；</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⑥已付货款，但还在运输途中的；</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⑦已运到本单位，但尚未办理或尚未办完验收入库手续的；</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⑧能源生产企业的产成品库存。</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黑体" w:hAnsi="黑体" w:eastAsia="黑体"/>
          <w:bCs/>
          <w:szCs w:val="21"/>
        </w:rPr>
        <w:t>★</w:t>
      </w:r>
      <w:r>
        <w:rPr>
          <w:rFonts w:hint="eastAsia" w:eastAsia="黑体"/>
          <w:bCs/>
          <w:szCs w:val="21"/>
        </w:rPr>
        <w:t>能源购进量</w:t>
      </w:r>
      <w:r>
        <w:rPr>
          <w:rFonts w:hint="eastAsia" w:ascii="宋体" w:hAnsi="宋体" w:eastAsia="黑体"/>
          <w:bCs/>
          <w:szCs w:val="21"/>
        </w:rPr>
        <w:t>　</w:t>
      </w:r>
      <w:r>
        <w:rPr>
          <w:rFonts w:hint="eastAsia" w:ascii="宋体" w:hAnsi="宋体"/>
          <w:bCs/>
          <w:szCs w:val="21"/>
        </w:rPr>
        <w:t>指能源使用企业（单位）在报告期购进的各种能源数量。</w:t>
      </w:r>
      <w:r>
        <w:rPr>
          <w:rFonts w:hint="eastAsia" w:ascii="宋体" w:hAnsi="宋体"/>
          <w:szCs w:val="21"/>
        </w:rPr>
        <w:t>购进量的核算原则：</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（1）计算购进量的能源必须具备以下三个条件：</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一是已实际到达本单位；</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二是经过验收、检验；</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三是办理完入库手续。但是，在未办理完入库手续前已经投入使用，要计算在购进量中；使用多少，计算多少。</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（2）“谁购进，谁统计”。</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凡属本单位实际购进的，符合上述原则，不论从何处购进，均应计算在内，包括作价的加工来料。</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凡属本报告期实际购进的，办理完入库手续，即计算购进量；什么时间办理入库手续，什么时间计算购进量。</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根据以上原则，下述情况不能计算在购进量内：</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（1）供货单位已发货，但尚未运到本单位，即使已经付款；</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（2）货已运到本单位，但尚未办理验收、入库手续；</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（3）经验收发现的亏吨（按验收后的实际数量计算购进量）；</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（4）借入的，自产自用的，车间、工地上年领用今年退回的，以及加工来料（作价的除外）。</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bCs/>
          <w:szCs w:val="21"/>
        </w:rPr>
        <w:t>能源购进量按照实物量和价值量（金额）分别填报。</w:t>
      </w:r>
      <w:r>
        <w:rPr>
          <w:rFonts w:hint="eastAsia" w:ascii="宋体" w:hAnsi="宋体"/>
          <w:szCs w:val="21"/>
        </w:rPr>
        <w:t>各种能源的</w:t>
      </w:r>
      <w:r>
        <w:rPr>
          <w:rFonts w:hint="eastAsia" w:ascii="宋体" w:hAnsi="宋体"/>
          <w:bCs/>
          <w:szCs w:val="21"/>
        </w:rPr>
        <w:t>能源购进实物量</w:t>
      </w:r>
      <w:r>
        <w:rPr>
          <w:rFonts w:hint="eastAsia" w:ascii="宋体" w:hAnsi="宋体"/>
          <w:szCs w:val="21"/>
        </w:rPr>
        <w:t>分别按照报表规定的、体现物质形态属性的计量单位（如：吨、立方米）计算的能源购进量。</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bCs/>
          <w:szCs w:val="21"/>
        </w:rPr>
      </w:pPr>
      <w:r>
        <w:rPr>
          <w:rFonts w:hint="eastAsia" w:ascii="黑体" w:hAnsi="黑体" w:eastAsia="黑体"/>
          <w:bCs/>
          <w:szCs w:val="21"/>
        </w:rPr>
        <w:t>★</w:t>
      </w:r>
      <w:r>
        <w:rPr>
          <w:rFonts w:hint="eastAsia" w:eastAsia="黑体"/>
          <w:bCs/>
          <w:szCs w:val="21"/>
        </w:rPr>
        <w:t>购自省外　</w:t>
      </w:r>
      <w:r>
        <w:rPr>
          <w:rFonts w:hint="eastAsia" w:ascii="宋体" w:hAnsi="宋体"/>
          <w:bCs/>
          <w:szCs w:val="21"/>
        </w:rPr>
        <w:t>指能源使用企业在报告期内从本省（自治区、直辖市）以外（包括进口）购进的能源数量。</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黑体" w:eastAsia="黑体"/>
          <w:bCs/>
          <w:szCs w:val="21"/>
        </w:rPr>
        <w:t>★能源购进金额　</w:t>
      </w:r>
      <w:r>
        <w:rPr>
          <w:rFonts w:hint="eastAsia" w:ascii="宋体" w:hAnsi="宋体"/>
          <w:bCs/>
          <w:szCs w:val="21"/>
        </w:rPr>
        <w:t>指各种能源按照购进价格计算的</w:t>
      </w:r>
      <w:r>
        <w:rPr>
          <w:rFonts w:hint="eastAsia" w:ascii="宋体" w:hAnsi="宋体"/>
          <w:szCs w:val="21"/>
        </w:rPr>
        <w:t>能源购进量，以价值量（金额）表示，含增值税。计算能源购进金额时要注意：</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（1）价值量指标要与实物量指标相一致，即计算实物量的，亦计算价值量，反之亦然；</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（2）已验收入库尚未结算，购货发票未到，购进量以实际验收数量计算，购进金额以货物的上期平均价或合同价格乘购进量计算，待结算后再作调整。</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szCs w:val="21"/>
        </w:rPr>
      </w:pPr>
      <w:r>
        <w:rPr>
          <w:rFonts w:hint="eastAsia" w:ascii="宋体" w:hAnsi="宋体"/>
          <w:szCs w:val="21"/>
        </w:rPr>
        <w:t>（</w:t>
      </w:r>
      <w:r>
        <w:rPr>
          <w:rFonts w:ascii="宋体" w:hAnsi="宋体"/>
          <w:szCs w:val="21"/>
        </w:rPr>
        <w:t>3</w:t>
      </w:r>
      <w:r>
        <w:rPr>
          <w:rFonts w:hint="eastAsia" w:ascii="宋体" w:hAnsi="宋体"/>
          <w:szCs w:val="21"/>
        </w:rPr>
        <w:t>）能源购进金额不包括运输、装卸费用。</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eastAsia="黑体"/>
          <w:bCs/>
          <w:szCs w:val="21"/>
        </w:rPr>
        <w:t>能源消费量　</w:t>
      </w:r>
      <w:r>
        <w:rPr>
          <w:rFonts w:hint="eastAsia" w:ascii="宋体" w:hAnsi="宋体"/>
          <w:szCs w:val="21"/>
        </w:rPr>
        <w:t>指能源使用企业（单位）在报告期内实际消费的各种能源的数量。能源消费量分实物量和标准量两种。能源消费实物量是按照报表规定的、体现物质形态属性的计量单位（如：吨、立方米）计算的能源消费量；能源消费标准量是按照能源标准计量单位（如：吨标准煤）计算的能源消费量。</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能源消费量的统计原则：</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（1）谁消费、谁统计。即不论其所有权的归属，由哪个单位消费，就由哪个单位统计其消费量。</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（2）何时投入使用，何时计算消费量。企业的能源消费，在时间、工艺界限上，以投入第一道生产工序为标志，即投入第一道生产工序即计算消费；何时投入第一道生产工序，何时计算消费量。</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（3）在计算企业（单位）的综合能源消费量时，不得重复计算，要扣除二次能源的产出量和余热、余能的回收利用量。</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（4）耗能工质（如水、氧气、压缩空气等），不论是外购的还是自产自用的，均不统计在能源消费量中（计算单位产品能耗时是否包括耗能工质，视统计指标的具体规定而定）。</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宋体" w:hAnsi="宋体"/>
          <w:szCs w:val="21"/>
        </w:rPr>
      </w:pPr>
      <w:r>
        <w:rPr>
          <w:rFonts w:hint="eastAsia" w:ascii="宋体" w:hAnsi="宋体"/>
          <w:szCs w:val="21"/>
        </w:rPr>
        <w:t>（5）企业自产的能源，作为企业生产另一种产品的原料或燃料，是否计算消费量，视以下两种情况而定：一是自产的能源如果计算产量，消费时则计算消费量，二是自产的能源如果不计算产量，消费时则不计算消费量，视同产品生产过程中的半成品和中间产品。原则是：计算产量，则计算消费；不计算产量，则不计算消费。</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szCs w:val="21"/>
        </w:rPr>
      </w:pPr>
      <w:r>
        <w:rPr>
          <w:rFonts w:hint="eastAsia" w:ascii="黑体" w:eastAsia="黑体"/>
          <w:bCs/>
          <w:szCs w:val="21"/>
        </w:rPr>
        <w:t>★</w:t>
      </w:r>
      <w:r>
        <w:rPr>
          <w:rFonts w:eastAsia="黑体"/>
          <w:bCs/>
          <w:szCs w:val="21"/>
        </w:rPr>
        <w:t>工业生产能源消费量</w:t>
      </w:r>
      <w:r>
        <w:rPr>
          <w:rFonts w:hint="eastAsia" w:eastAsia="黑体"/>
          <w:bCs/>
          <w:szCs w:val="21"/>
        </w:rPr>
        <w:t>　</w:t>
      </w:r>
      <w:r>
        <w:rPr>
          <w:szCs w:val="21"/>
        </w:rPr>
        <w:t>指工业企业为进行工业生产活动所消费的能源。主要包括：</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用于本企业产品生产、工业性作业的能源，包括用作原料、材料、燃料、动力的能源；作为能源加工转换企业，还包括用作加工转换的能源（这部分能源不能理解为用作原材料，用作原材料的概念见后面的解释）；</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（2）产品生产过程中作为辅助材料使用的能源；</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（3）生产工艺过程使用的能源；</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（4）新技术研究、新产品试制、科学试验使用的能源；</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（5）为了工业生产活动而在进行的各种修理过程中使用的能源；</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（6）生产区内的劳动保护用能等。</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spacing w:val="-6"/>
          <w:szCs w:val="21"/>
        </w:rPr>
      </w:pPr>
      <w:r>
        <w:rPr>
          <w:rFonts w:hint="eastAsia" w:asciiTheme="minorEastAsia" w:hAnsiTheme="minorEastAsia" w:eastAsiaTheme="minorEastAsia" w:cstheme="minorEastAsia"/>
          <w:spacing w:val="-6"/>
          <w:szCs w:val="21"/>
        </w:rPr>
        <w:t>（7）辅助工业生产的能源消费，如企业厂部、管理办公楼消费的能源、天然气输配装置消费的能源等。</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szCs w:val="21"/>
        </w:rPr>
      </w:pPr>
      <w:r>
        <w:rPr>
          <w:rFonts w:hint="eastAsia" w:ascii="黑体" w:hAnsi="黑体" w:eastAsia="黑体"/>
          <w:bCs/>
          <w:szCs w:val="21"/>
        </w:rPr>
        <w:t>★</w:t>
      </w:r>
      <w:r>
        <w:rPr>
          <w:rFonts w:eastAsia="黑体"/>
          <w:bCs/>
          <w:szCs w:val="21"/>
        </w:rPr>
        <w:t>用于原材料的能源消费量</w:t>
      </w:r>
      <w:r>
        <w:rPr>
          <w:rFonts w:hint="eastAsia" w:eastAsia="黑体"/>
          <w:bCs/>
          <w:szCs w:val="21"/>
        </w:rPr>
        <w:t>　</w:t>
      </w:r>
      <w:r>
        <w:rPr>
          <w:szCs w:val="21"/>
        </w:rPr>
        <w:t>指能源产品不作能源使用，即不作燃料、动力使用，而作为生产另外一种产品（非能源产品）的原料或作为辅助材料使用，作原料使用时通常构成这种产品的实体。它与用作加工转换的区别是：用作加工转换，投入的是能源，产出的主要产品还是能源（或产出的产品属于加工转换过程中产生的不作能源使用的其他副产品和联产品）。而用作原材料时，投入的是能源，产出的主要产品是能源范畴以外的产品，包括产出的某种产品在广义上可以用作能源（比如可以燃烧以提供热量），但通常意义上不作能源使用的产品。</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center"/>
        <w:rPr>
          <w:spacing w:val="4"/>
          <w:szCs w:val="21"/>
        </w:rPr>
      </w:pPr>
      <w:r>
        <w:rPr>
          <w:rFonts w:hint="eastAsia" w:ascii="黑体" w:hAnsi="黑体" w:eastAsia="黑体"/>
          <w:bCs/>
          <w:szCs w:val="21"/>
        </w:rPr>
        <w:t>★</w:t>
      </w:r>
      <w:r>
        <w:rPr>
          <w:rFonts w:eastAsia="黑体"/>
          <w:bCs/>
          <w:szCs w:val="21"/>
        </w:rPr>
        <w:t>运输工具能源消费量</w:t>
      </w:r>
      <w:r>
        <w:rPr>
          <w:rFonts w:hint="eastAsia" w:eastAsia="黑体"/>
          <w:bCs/>
          <w:szCs w:val="21"/>
        </w:rPr>
        <w:t>　</w:t>
      </w:r>
      <w:r>
        <w:rPr>
          <w:spacing w:val="4"/>
          <w:szCs w:val="21"/>
        </w:rPr>
        <w:t>指</w:t>
      </w:r>
      <w:r>
        <w:rPr>
          <w:rFonts w:hint="eastAsia"/>
          <w:spacing w:val="4"/>
          <w:szCs w:val="21"/>
        </w:rPr>
        <w:t>工业企业所属运输工具在厂区内、外为工业生产活动进行运输所消费的能源。用途为非运输性质的叉车、铲车、装载机、挖掘机等不计入运输工具能源消费量，但需计入工业生产能源消费量；生产运输工具的企业（如造船厂、汽车制造厂、工程车制造厂），向成品的轮船、汽车、工程车等中添加动力用油，不计入运输工具能源消费量和工业生产能源消费量</w:t>
      </w:r>
      <w:r>
        <w:rPr>
          <w:spacing w:val="4"/>
          <w:szCs w:val="21"/>
        </w:rPr>
        <w:t>。</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center"/>
        <w:rPr>
          <w:szCs w:val="21"/>
        </w:rPr>
      </w:pPr>
      <w:r>
        <w:rPr>
          <w:rFonts w:hint="eastAsia" w:ascii="黑体" w:hAnsi="黑体" w:eastAsia="黑体" w:cs="黑体"/>
          <w:szCs w:val="21"/>
        </w:rPr>
        <w:t>★能源折标系数</w:t>
      </w:r>
      <w:r>
        <w:rPr>
          <w:rFonts w:hint="eastAsia"/>
          <w:szCs w:val="21"/>
        </w:rPr>
        <w:t xml:space="preserve">  指将能源品种的实物量转换为标准量的折算系数。分能源品种参考折标系数具体见</w:t>
      </w:r>
      <w:r>
        <w:t>《能源购进、消费与库</w:t>
      </w:r>
      <w:r>
        <w:rPr>
          <w:rFonts w:hint="eastAsia" w:asciiTheme="minorEastAsia" w:hAnsiTheme="minorEastAsia" w:eastAsiaTheme="minorEastAsia" w:cstheme="minorEastAsia"/>
        </w:rPr>
        <w:t>存》（</w:t>
      </w:r>
      <w:r>
        <w:rPr>
          <w:rFonts w:hint="eastAsia" w:asciiTheme="minorEastAsia" w:hAnsiTheme="minorEastAsia" w:eastAsiaTheme="minorEastAsia" w:cstheme="minorEastAsia"/>
          <w:szCs w:val="21"/>
        </w:rPr>
        <w:t>205-1表</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zCs w:val="21"/>
        </w:rPr>
        <w:t>和《能源加工转换与回收利用》（205-2表）</w:t>
      </w:r>
      <w:r>
        <w:rPr>
          <w:rFonts w:hint="eastAsia"/>
          <w:szCs w:val="21"/>
        </w:rPr>
        <w:t>填报目录。</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center"/>
      </w:pPr>
      <w:r>
        <w:rPr>
          <w:rFonts w:hint="eastAsia" w:ascii="黑体" w:hAnsi="黑体" w:eastAsia="黑体"/>
          <w:bCs/>
        </w:rPr>
        <w:t>★</w:t>
      </w:r>
      <w:r>
        <w:rPr>
          <w:rFonts w:eastAsia="黑体"/>
          <w:bCs/>
        </w:rPr>
        <w:t xml:space="preserve">综合能源消费量  </w:t>
      </w:r>
      <w:r>
        <w:t>指企业（单位）在报告期内工业生产实际消费的各种能源（扣除能源加工转换</w:t>
      </w:r>
      <w:r>
        <w:rPr>
          <w:rFonts w:hint="eastAsia"/>
        </w:rPr>
        <w:t>产出</w:t>
      </w:r>
      <w:r>
        <w:t>和能源回收利用等重复因素）的总和。计算综合能源消费量时，</w:t>
      </w:r>
      <w:r>
        <w:rPr>
          <w:rFonts w:hint="eastAsia"/>
        </w:rPr>
        <w:t>一是</w:t>
      </w:r>
      <w:r>
        <w:t>需要将各种能源品种的消费量换算成按照标准计量单位（吨标准煤）计量的消费量</w:t>
      </w:r>
      <w:r>
        <w:rPr>
          <w:rFonts w:hint="eastAsia"/>
        </w:rPr>
        <w:t>；二是不计算原煤入洗损耗。</w:t>
      </w:r>
      <w:r>
        <w:t>不同工业法人单位的计算方法见《能源购进、消费与库存</w:t>
      </w:r>
      <w:r>
        <w:rPr>
          <w:rFonts w:hint="eastAsia" w:asciiTheme="minorEastAsia" w:hAnsiTheme="minorEastAsia" w:eastAsiaTheme="minorEastAsia" w:cstheme="minorEastAsia"/>
        </w:rPr>
        <w:t>》（205-1表）表</w:t>
      </w:r>
      <w:r>
        <w:rPr>
          <w:rFonts w:hint="eastAsia"/>
        </w:rPr>
        <w:t>底</w:t>
      </w:r>
      <w:r>
        <w:t>说明。</w:t>
      </w:r>
    </w:p>
    <w:p>
      <w:pPr>
        <w:spacing w:line="360" w:lineRule="exact"/>
        <w:ind w:right="-40" w:firstLine="420" w:firstLineChars="200"/>
        <w:rPr>
          <w:rFonts w:ascii="宋体" w:hAnsi="宋体"/>
          <w:szCs w:val="21"/>
        </w:rPr>
      </w:pPr>
    </w:p>
    <w:p>
      <w:pPr>
        <w:spacing w:line="480" w:lineRule="exact"/>
        <w:jc w:val="center"/>
        <w:rPr>
          <w:rFonts w:ascii="黑体" w:hAnsi="黑体" w:eastAsia="黑体"/>
          <w:sz w:val="24"/>
        </w:rPr>
      </w:pPr>
      <w:r>
        <w:rPr>
          <w:rFonts w:eastAsia="黑体"/>
          <w:bCs/>
          <w:szCs w:val="21"/>
        </w:rPr>
        <w:br w:type="page"/>
      </w:r>
      <w:r>
        <w:rPr>
          <w:rFonts w:hint="default" w:ascii="Times New Roman" w:hAnsi="Times New Roman" w:eastAsia="黑体" w:cs="Times New Roman"/>
          <w:sz w:val="24"/>
        </w:rPr>
        <w:t>2.能源加工转换与回收利用（205-2表）</w:t>
      </w:r>
    </w:p>
    <w:p>
      <w:pPr>
        <w:spacing w:line="480" w:lineRule="exact"/>
        <w:jc w:val="center"/>
        <w:rPr>
          <w:b/>
          <w:sz w:val="30"/>
          <w:szCs w:val="30"/>
        </w:rPr>
      </w:pPr>
    </w:p>
    <w:p>
      <w:pPr>
        <w:keepNext w:val="0"/>
        <w:keepLines w:val="0"/>
        <w:pageBreakBefore w:val="0"/>
        <w:widowControl w:val="0"/>
        <w:kinsoku/>
        <w:wordWrap/>
        <w:overflowPunct/>
        <w:topLinePunct w:val="0"/>
        <w:autoSpaceDE/>
        <w:autoSpaceDN/>
        <w:bidi w:val="0"/>
        <w:adjustRightInd/>
        <w:snapToGrid/>
        <w:spacing w:line="360" w:lineRule="exact"/>
        <w:ind w:right="-38" w:firstLine="420"/>
        <w:rPr>
          <w:szCs w:val="21"/>
        </w:rPr>
      </w:pPr>
      <w:r>
        <w:rPr>
          <w:rFonts w:eastAsia="黑体"/>
          <w:bCs/>
          <w:szCs w:val="21"/>
        </w:rPr>
        <w:t xml:space="preserve">能源加工转换投入  </w:t>
      </w:r>
      <w:r>
        <w:rPr>
          <w:szCs w:val="21"/>
        </w:rPr>
        <w:t>能源加工转换，指为了特定的用途，将一种能源（一般为一次能源），经过一定的工艺，加工或转换成另外一种能源（二次能源）。</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szCs w:val="21"/>
        </w:rPr>
      </w:pPr>
      <w:r>
        <w:rPr>
          <w:szCs w:val="21"/>
        </w:rPr>
        <w:t>能源加工，是能源的物理形态的变化，比如用蒸馏的方式将原油炼制成汽油、煤油、柴油等石油制品；用筛选、水洗的方式将原煤洗选成洗煤；以焦化的方式将煤炭高温干馏成焦炭；以气化的方式将煤炭气化成煤气，等等。这些方法在加工前后能源均未发生质的变化。</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szCs w:val="21"/>
        </w:rPr>
      </w:pPr>
      <w:r>
        <w:rPr>
          <w:szCs w:val="21"/>
        </w:rPr>
        <w:t>能源转换，是能源的能量形态和化学形态的变化，比如经过一定的工艺过程，将煤炭、重油等转换为电力和热力，将热能转换为机械能，将机械能转换为电能，将电能转换为热能等；又比如，经过裂化，将重质石油转换成轻质石油（转换前、后的物质具有不同的化学结构和化学性质）。</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szCs w:val="21"/>
        </w:rPr>
      </w:pPr>
      <w:r>
        <w:rPr>
          <w:szCs w:val="21"/>
        </w:rPr>
        <w:t>能源加工转换投入量，指以生产二次能源产品为目的而投入能源加工转换生产装置的能源（一般为一次能源）的数量。</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szCs w:val="21"/>
        </w:rPr>
      </w:pPr>
      <w:r>
        <w:rPr>
          <w:szCs w:val="21"/>
        </w:rPr>
        <w:t>用作能源加工转换的能源不能算作用于原材料。两者的区别是：用作加工转换，投入的是能源，产出的主要产品还是能源。而用作原材料时，投入的是能源，产出的主要产品却是能源范畴以外的产品，包括产出的某种产品在广义上可以用作能源（比如可以燃烧以提供热量），但通常意义上不作能源使用的产品。</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szCs w:val="21"/>
        </w:rPr>
      </w:pPr>
      <w:r>
        <w:rPr>
          <w:szCs w:val="21"/>
        </w:rPr>
        <w:t>能源加工转换企业的能源投入量不包括：</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（1）加工转换本身的工艺用能，如发电厂的发电装置的电机用电、点火用燃料、车间通风设备用电及其他厂用电；炼焦厂的焦炉原料预热用的焦炉煤气、设备运转用电等；</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（2）车间用能；</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（3）辅助生产系统用能；</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（4）经营管理用能；</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（5）除上述项目以外的其他生产用能。</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rPr>
          <w:szCs w:val="21"/>
        </w:rPr>
      </w:pPr>
      <w:r>
        <w:rPr>
          <w:rFonts w:eastAsia="黑体"/>
          <w:kern w:val="0"/>
          <w:szCs w:val="21"/>
        </w:rPr>
        <w:t>火力发电的加工转换投入</w:t>
      </w:r>
      <w:r>
        <w:rPr>
          <w:rFonts w:hint="eastAsia" w:eastAsia="黑体"/>
          <w:kern w:val="0"/>
          <w:szCs w:val="21"/>
        </w:rPr>
        <w:t>　</w:t>
      </w:r>
      <w:r>
        <w:rPr>
          <w:kern w:val="0"/>
          <w:szCs w:val="21"/>
        </w:rPr>
        <w:t>指火力发</w:t>
      </w:r>
      <w:r>
        <w:rPr>
          <w:szCs w:val="21"/>
        </w:rPr>
        <w:t>电企业为发电而投入发电锅炉燃烧室的燃料数量。通常燃料主</w:t>
      </w:r>
      <w:r>
        <w:rPr>
          <w:spacing w:val="-6"/>
          <w:szCs w:val="21"/>
        </w:rPr>
        <w:t>要有：煤炭、燃料油、天然气、焦炉煤气、高炉煤气、转炉煤气、生物质燃料、可燃废弃物和可燃垃圾等。</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rPr>
          <w:szCs w:val="21"/>
        </w:rPr>
      </w:pPr>
      <w:r>
        <w:rPr>
          <w:rFonts w:eastAsia="黑体"/>
          <w:kern w:val="0"/>
          <w:szCs w:val="21"/>
        </w:rPr>
        <w:t>供热的加工转换投入</w:t>
      </w:r>
      <w:r>
        <w:rPr>
          <w:szCs w:val="21"/>
        </w:rPr>
        <w:t>指热力生产企业为生产热力而投入供热锅炉燃烧室的燃料数量，以及热电联产机组用于供热的燃料投入量。</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rPr>
          <w:szCs w:val="21"/>
        </w:rPr>
      </w:pPr>
      <w:r>
        <w:rPr>
          <w:rFonts w:eastAsia="黑体"/>
          <w:kern w:val="0"/>
          <w:szCs w:val="21"/>
        </w:rPr>
        <w:t>原煤入洗的加工转换投入</w:t>
      </w:r>
      <w:r>
        <w:rPr>
          <w:rFonts w:hint="eastAsia" w:eastAsia="黑体"/>
          <w:kern w:val="0"/>
          <w:szCs w:val="21"/>
        </w:rPr>
        <w:t>　</w:t>
      </w:r>
      <w:r>
        <w:rPr>
          <w:szCs w:val="21"/>
        </w:rPr>
        <w:t>指洗煤企业为生产洗煤而投入煤炭洗选生产装置的原煤数量。</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rPr>
          <w:szCs w:val="21"/>
        </w:rPr>
      </w:pPr>
      <w:r>
        <w:rPr>
          <w:rFonts w:eastAsia="黑体"/>
          <w:szCs w:val="21"/>
        </w:rPr>
        <w:t>炼焦的加工转换投入</w:t>
      </w:r>
      <w:r>
        <w:rPr>
          <w:rFonts w:hint="eastAsia" w:eastAsia="黑体"/>
          <w:szCs w:val="21"/>
        </w:rPr>
        <w:t>　</w:t>
      </w:r>
      <w:r>
        <w:rPr>
          <w:szCs w:val="21"/>
        </w:rPr>
        <w:t>指焦化企业为生产焦化产品而投入炼焦生产设备的煤炭（原煤、洗煤）数量。</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szCs w:val="21"/>
        </w:rPr>
      </w:pPr>
      <w:r>
        <w:rPr>
          <w:rFonts w:eastAsia="黑体"/>
          <w:kern w:val="0"/>
          <w:szCs w:val="21"/>
        </w:rPr>
        <w:t>炼油及煤制油的加工转换投入</w:t>
      </w:r>
      <w:r>
        <w:rPr>
          <w:rFonts w:hint="eastAsia" w:eastAsia="黑体"/>
          <w:kern w:val="0"/>
          <w:szCs w:val="21"/>
        </w:rPr>
        <w:t>　</w:t>
      </w:r>
      <w:r>
        <w:rPr>
          <w:kern w:val="0"/>
          <w:szCs w:val="21"/>
        </w:rPr>
        <w:t>指炼油厂为生产成品油和其他石油制品而投入炼油生产装置的原油或其他原料油数量。</w:t>
      </w:r>
      <w:r>
        <w:rPr>
          <w:szCs w:val="21"/>
        </w:rPr>
        <w:t>煤制油</w:t>
      </w:r>
      <w:r>
        <w:rPr>
          <w:kern w:val="0"/>
          <w:szCs w:val="21"/>
        </w:rPr>
        <w:t>加工转换</w:t>
      </w:r>
      <w:r>
        <w:rPr>
          <w:szCs w:val="21"/>
        </w:rPr>
        <w:t>投入是指煤化工企业以生产成品油为目的而投入煤制油化工生产装置的煤炭（原煤、洗煤）数量。煤制油是以煤炭为原料，通过化学加工过程生产成品油的一项技术，包含煤直接液化和煤间接液化两种技术路线。煤的直接液化将煤在高温高压条件下，通过催化加氢直接液化合成液态烃类燃料，并脱除硫、氮、氧等原子。煤的间接液化首先把煤气化，再通过费托合成转化为烃类燃料。</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szCs w:val="21"/>
        </w:rPr>
      </w:pPr>
      <w:r>
        <w:rPr>
          <w:rFonts w:eastAsia="黑体"/>
          <w:kern w:val="0"/>
          <w:szCs w:val="21"/>
        </w:rPr>
        <w:t>制气的加工转换投入</w:t>
      </w:r>
      <w:r>
        <w:rPr>
          <w:rFonts w:hint="eastAsia" w:eastAsia="黑体"/>
          <w:kern w:val="0"/>
          <w:szCs w:val="21"/>
        </w:rPr>
        <w:t>　</w:t>
      </w:r>
      <w:r>
        <w:rPr>
          <w:kern w:val="0"/>
          <w:szCs w:val="21"/>
        </w:rPr>
        <w:t>指</w:t>
      </w:r>
      <w:r>
        <w:rPr>
          <w:szCs w:val="21"/>
        </w:rPr>
        <w:t>煤气生产</w:t>
      </w:r>
      <w:r>
        <w:rPr>
          <w:rFonts w:hint="eastAsia"/>
          <w:szCs w:val="21"/>
        </w:rPr>
        <w:t>、天然气和</w:t>
      </w:r>
      <w:r>
        <w:rPr>
          <w:szCs w:val="21"/>
        </w:rPr>
        <w:t>氢气制备企业为生产</w:t>
      </w:r>
      <w:r>
        <w:rPr>
          <w:rFonts w:hint="eastAsia"/>
          <w:szCs w:val="21"/>
        </w:rPr>
        <w:t>煤气</w:t>
      </w:r>
      <w:r>
        <w:rPr>
          <w:szCs w:val="21"/>
        </w:rPr>
        <w:t>、</w:t>
      </w:r>
      <w:r>
        <w:rPr>
          <w:rFonts w:hint="eastAsia"/>
          <w:szCs w:val="21"/>
        </w:rPr>
        <w:t>制取</w:t>
      </w:r>
      <w:r>
        <w:rPr>
          <w:szCs w:val="21"/>
        </w:rPr>
        <w:t>天然</w:t>
      </w:r>
      <w:r>
        <w:rPr>
          <w:rFonts w:hint="eastAsia"/>
          <w:szCs w:val="21"/>
        </w:rPr>
        <w:t>气和</w:t>
      </w:r>
      <w:r>
        <w:rPr>
          <w:szCs w:val="21"/>
        </w:rPr>
        <w:t>氢气而投入生产装置的煤炭、焦炭、燃料油</w:t>
      </w:r>
      <w:r>
        <w:rPr>
          <w:rFonts w:hint="eastAsia"/>
          <w:szCs w:val="21"/>
        </w:rPr>
        <w:t>、</w:t>
      </w:r>
      <w:r>
        <w:rPr>
          <w:szCs w:val="21"/>
        </w:rPr>
        <w:t>天然气等能源产品数量。</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eastAsia="黑体"/>
          <w:kern w:val="0"/>
          <w:szCs w:val="21"/>
        </w:rPr>
      </w:pPr>
      <w:r>
        <w:rPr>
          <w:rFonts w:eastAsia="黑体"/>
          <w:kern w:val="0"/>
          <w:szCs w:val="21"/>
        </w:rPr>
        <w:t>天然气液化的加工转换投入</w:t>
      </w:r>
      <w:r>
        <w:rPr>
          <w:rFonts w:hint="eastAsia" w:eastAsia="黑体"/>
          <w:kern w:val="0"/>
          <w:szCs w:val="21"/>
        </w:rPr>
        <w:t>　</w:t>
      </w:r>
      <w:r>
        <w:rPr>
          <w:szCs w:val="21"/>
        </w:rPr>
        <w:t>指天然气液化企业为生产液态天然气而投入天然气液化装置的天然气数量。</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kern w:val="0"/>
          <w:szCs w:val="21"/>
        </w:rPr>
      </w:pPr>
      <w:r>
        <w:rPr>
          <w:rFonts w:eastAsia="黑体"/>
          <w:kern w:val="0"/>
          <w:szCs w:val="21"/>
        </w:rPr>
        <w:t>煤制品加工的加工转换投入</w:t>
      </w:r>
      <w:r>
        <w:rPr>
          <w:rFonts w:hint="eastAsia" w:eastAsia="黑体"/>
          <w:kern w:val="0"/>
          <w:szCs w:val="21"/>
        </w:rPr>
        <w:t>　</w:t>
      </w:r>
      <w:r>
        <w:rPr>
          <w:kern w:val="0"/>
          <w:szCs w:val="21"/>
        </w:rPr>
        <w:t>指煤制品生产企业，在不改变煤炭基本属性的情况下，为生产型煤（煤球、煤饼、蜂窝煤）、煤粉、水煤浆等煤制品而使用的原煤或其他煤炭产品的数量。</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szCs w:val="21"/>
        </w:rPr>
      </w:pPr>
      <w:r>
        <w:rPr>
          <w:rFonts w:eastAsia="黑体"/>
          <w:bCs/>
          <w:szCs w:val="21"/>
        </w:rPr>
        <w:t xml:space="preserve">能源加工转换产出量  </w:t>
      </w:r>
      <w:r>
        <w:rPr>
          <w:szCs w:val="21"/>
        </w:rPr>
        <w:t>指一次能源经过加工转换产出的二次能源产品（包括不作能源使用的其他副产品和联产品）的数量，比如火力发电产出的电力，热电联产同时产出的电力、蒸汽、热水，原煤</w:t>
      </w:r>
      <w:r>
        <w:rPr>
          <w:rFonts w:hint="eastAsia"/>
          <w:szCs w:val="21"/>
        </w:rPr>
        <w:t>入</w:t>
      </w:r>
      <w:r>
        <w:rPr>
          <w:szCs w:val="21"/>
        </w:rPr>
        <w:t>洗产出的洗精煤、洗中煤、洗煤泥等，炼焦产出的焦炭、焦炉煤气和其他焦化产品（煤焦油、粗苯等），炼油和煤制油产出的汽油、煤油、柴油、燃料油、液化石油气、炼厂干气、石脑油、润滑油、石蜡、溶剂油、石油焦、石油沥青等，制气产出的发生炉煤气、其他焦化产品（煤焦油、粗苯等）</w:t>
      </w:r>
      <w:r>
        <w:rPr>
          <w:rFonts w:hint="eastAsia"/>
          <w:szCs w:val="21"/>
        </w:rPr>
        <w:t>、天然气和氢气</w:t>
      </w:r>
      <w:r>
        <w:rPr>
          <w:szCs w:val="21"/>
        </w:rPr>
        <w:t>等。</w:t>
      </w:r>
    </w:p>
    <w:p>
      <w:pPr>
        <w:keepNext w:val="0"/>
        <w:keepLines w:val="0"/>
        <w:pageBreakBefore w:val="0"/>
        <w:widowControl w:val="0"/>
        <w:kinsoku/>
        <w:wordWrap/>
        <w:overflowPunct/>
        <w:topLinePunct w:val="0"/>
        <w:autoSpaceDE/>
        <w:autoSpaceDN/>
        <w:bidi w:val="0"/>
        <w:adjustRightInd/>
        <w:snapToGrid/>
        <w:spacing w:line="360" w:lineRule="exact"/>
        <w:ind w:right="-38" w:firstLine="420"/>
      </w:pPr>
      <w:r>
        <w:rPr>
          <w:rFonts w:eastAsia="黑体"/>
          <w:bCs/>
        </w:rPr>
        <w:t>能源加工转换损失量</w:t>
      </w:r>
      <w:r>
        <w:rPr>
          <w:rFonts w:hint="eastAsia" w:eastAsia="黑体"/>
          <w:bCs/>
        </w:rPr>
        <w:t>　</w:t>
      </w:r>
      <w:r>
        <w:t>指能源在加工、转换过程中的各种损失量，计算式如下：</w:t>
      </w:r>
    </w:p>
    <w:p>
      <w:pPr>
        <w:keepNext w:val="0"/>
        <w:keepLines w:val="0"/>
        <w:pageBreakBefore w:val="0"/>
        <w:widowControl w:val="0"/>
        <w:kinsoku/>
        <w:wordWrap/>
        <w:overflowPunct/>
        <w:topLinePunct w:val="0"/>
        <w:autoSpaceDE/>
        <w:autoSpaceDN/>
        <w:bidi w:val="0"/>
        <w:adjustRightInd/>
        <w:snapToGrid/>
        <w:spacing w:line="360" w:lineRule="exact"/>
        <w:ind w:right="-38" w:firstLine="420"/>
      </w:pPr>
      <w:r>
        <w:t>能源加工转换损失量</w:t>
      </w:r>
      <w:r>
        <w:rPr>
          <w:szCs w:val="21"/>
        </w:rPr>
        <w:t>＝</w:t>
      </w:r>
      <w:r>
        <w:t>能源加工、转换过程中投入的能源数量－产出的能源数量</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rFonts w:eastAsia="黑体"/>
          <w:b/>
          <w:bCs/>
        </w:rPr>
      </w:pPr>
      <w:r>
        <w:t>在计算能源加工、转换损失量时，需要将加工、转换的投入量和产出量分别折算为标准燃料，如标准煤。</w:t>
      </w:r>
    </w:p>
    <w:p>
      <w:pPr>
        <w:keepNext w:val="0"/>
        <w:keepLines w:val="0"/>
        <w:pageBreakBefore w:val="0"/>
        <w:widowControl w:val="0"/>
        <w:kinsoku/>
        <w:wordWrap/>
        <w:overflowPunct/>
        <w:topLinePunct w:val="0"/>
        <w:autoSpaceDE/>
        <w:autoSpaceDN/>
        <w:bidi w:val="0"/>
        <w:adjustRightInd/>
        <w:snapToGrid/>
        <w:spacing w:line="360" w:lineRule="exact"/>
        <w:ind w:right="-38" w:firstLine="420"/>
        <w:rPr>
          <w:szCs w:val="21"/>
        </w:rPr>
      </w:pPr>
      <w:r>
        <w:rPr>
          <w:rFonts w:eastAsia="黑体"/>
          <w:bCs/>
        </w:rPr>
        <w:t>工业企业回收能利用</w:t>
      </w:r>
      <w:r>
        <w:rPr>
          <w:rFonts w:hint="eastAsia" w:eastAsia="黑体"/>
          <w:bCs/>
        </w:rPr>
        <w:t>　</w:t>
      </w:r>
      <w:r>
        <w:rPr>
          <w:szCs w:val="21"/>
        </w:rPr>
        <w:t>指企业将废气、废液、废渣及其余热，产品和工艺生产介质余热，工艺温差、压差，以及其他非直接投入的能量形态和能量物质，作为能源进行使用的数量。目前工业企业回收能的能量，绝大部分来自企业曾经投入使用的能源物质，很小部分来自其他物质在生产工艺过程中释放的能量（比如非能源物质的化学反应热）。所以，目前企业回收能利用量，只在报表中的高炉煤气、转炉煤气和余热余压目录中填报；其他目录</w:t>
      </w:r>
      <w:r>
        <w:rPr>
          <w:rFonts w:hint="eastAsia"/>
          <w:szCs w:val="21"/>
        </w:rPr>
        <w:t>原则上</w:t>
      </w:r>
      <w:r>
        <w:rPr>
          <w:szCs w:val="21"/>
        </w:rPr>
        <w:t>不得填报；企业的综合能源消费量</w:t>
      </w:r>
      <w:r>
        <w:rPr>
          <w:rFonts w:hint="eastAsia"/>
          <w:szCs w:val="21"/>
        </w:rPr>
        <w:t>原则上</w:t>
      </w:r>
      <w:r>
        <w:rPr>
          <w:szCs w:val="21"/>
        </w:rPr>
        <w:t>不得出现负值。</w:t>
      </w:r>
    </w:p>
    <w:p>
      <w:pPr>
        <w:pStyle w:val="10"/>
        <w:spacing w:line="360" w:lineRule="auto"/>
        <w:ind w:firstLine="421" w:firstLineChars="200"/>
        <w:rPr>
          <w:rFonts w:ascii="Times New Roman" w:hAnsi="Times New Roman" w:cs="Times New Roman"/>
          <w:b/>
        </w:rPr>
      </w:pPr>
    </w:p>
    <w:p>
      <w:pPr>
        <w:spacing w:line="360" w:lineRule="exact"/>
        <w:ind w:right="-40" w:firstLine="420" w:firstLineChars="200"/>
        <w:rPr>
          <w:rFonts w:eastAsia="黑体"/>
          <w:bCs/>
          <w:szCs w:val="21"/>
        </w:rPr>
      </w:pPr>
    </w:p>
    <w:p>
      <w:pPr>
        <w:spacing w:line="340" w:lineRule="exact"/>
        <w:jc w:val="center"/>
        <w:rPr>
          <w:rFonts w:ascii="宋体" w:hAnsi="宋体"/>
          <w:sz w:val="10"/>
          <w:szCs w:val="10"/>
        </w:rPr>
      </w:pPr>
      <w:r>
        <w:rPr>
          <w:rFonts w:ascii="黑体" w:hAnsi="宋体" w:eastAsia="黑体"/>
          <w:sz w:val="24"/>
        </w:rPr>
        <w:br w:type="page"/>
      </w:r>
      <w:r>
        <w:rPr>
          <w:rFonts w:hint="default" w:ascii="Times New Roman" w:hAnsi="Times New Roman" w:eastAsia="黑体" w:cs="Times New Roman"/>
          <w:sz w:val="24"/>
        </w:rPr>
        <w:t>3.工业企业用水情况（205-4表）</w:t>
      </w:r>
    </w:p>
    <w:p>
      <w:pPr>
        <w:snapToGrid w:val="0"/>
        <w:spacing w:line="340" w:lineRule="exact"/>
        <w:jc w:val="center"/>
        <w:rPr>
          <w:rFonts w:ascii="宋体" w:hAnsi="宋体"/>
          <w:b/>
          <w:sz w:val="30"/>
          <w:szCs w:val="30"/>
        </w:rPr>
      </w:pPr>
    </w:p>
    <w:p>
      <w:pPr>
        <w:adjustRightInd w:val="0"/>
        <w:snapToGrid w:val="0"/>
        <w:spacing w:line="312" w:lineRule="auto"/>
        <w:ind w:firstLine="420" w:firstLineChars="200"/>
        <w:rPr>
          <w:rFonts w:ascii="宋体" w:hAnsi="宋体"/>
          <w:szCs w:val="21"/>
        </w:rPr>
      </w:pPr>
      <w:r>
        <w:rPr>
          <w:rFonts w:hint="eastAsia" w:ascii="黑体" w:hAnsi="黑体" w:eastAsia="黑体"/>
          <w:szCs w:val="21"/>
        </w:rPr>
        <w:t>取水量　</w:t>
      </w:r>
      <w:r>
        <w:rPr>
          <w:rFonts w:hint="eastAsia" w:ascii="宋体" w:hAnsi="宋体"/>
          <w:szCs w:val="21"/>
        </w:rPr>
        <w:t>指企业从各种水源直接提取或者从市场购买的用于厂区、办公区内工业生产活动的水量，以实际获得的新水量为准。</w:t>
      </w:r>
    </w:p>
    <w:p>
      <w:pPr>
        <w:adjustRightInd w:val="0"/>
        <w:snapToGrid w:val="0"/>
        <w:spacing w:line="312" w:lineRule="auto"/>
        <w:ind w:firstLine="420" w:firstLineChars="200"/>
        <w:rPr>
          <w:rFonts w:ascii="宋体" w:hAnsi="宋体"/>
          <w:szCs w:val="21"/>
        </w:rPr>
      </w:pPr>
      <w:r>
        <w:rPr>
          <w:rFonts w:hint="eastAsia" w:ascii="宋体" w:hAnsi="宋体"/>
          <w:szCs w:val="21"/>
        </w:rPr>
        <w:t>用于工业生产活动的水量，包括主要生产用水、辅助生产用水（如机修、运输、空压站等）和附属生产用水（如绿化、办公室、浴室、食堂、厕所、保健站等），不包括非工业生产单位的用水量（如基建用</w:t>
      </w:r>
      <w:r>
        <w:rPr>
          <w:rFonts w:hint="eastAsia" w:ascii="宋体" w:hAnsi="宋体"/>
          <w:spacing w:val="-4"/>
          <w:szCs w:val="21"/>
        </w:rPr>
        <w:t>水、厂内居民家庭用水和企业附属幼儿园、学校、对外营业的浴室、游泳池等的用水量）和居民生活用水量。</w:t>
      </w:r>
    </w:p>
    <w:p>
      <w:pPr>
        <w:spacing w:line="312" w:lineRule="auto"/>
        <w:ind w:firstLine="420" w:firstLineChars="200"/>
        <w:textAlignment w:val="center"/>
        <w:rPr>
          <w:rFonts w:ascii="宋体" w:hAnsi="宋体"/>
          <w:szCs w:val="21"/>
        </w:rPr>
      </w:pPr>
      <w:r>
        <w:rPr>
          <w:rFonts w:hint="eastAsia" w:ascii="宋体" w:hAnsi="宋体"/>
          <w:szCs w:val="21"/>
        </w:rPr>
        <w:t>取水量包括企业取自地表、地下、城镇供水工程的水，外购的再生水(中水)、其他水或水的产品，以及企业为生产外供水或水产品而取用的水。不包括重复用水量、直流冷却水量、未利用直接排放的矿井水和雨水量、</w:t>
      </w:r>
      <w:r>
        <w:rPr>
          <w:rFonts w:hint="eastAsia"/>
          <w:szCs w:val="21"/>
        </w:rPr>
        <w:t>有</w:t>
      </w:r>
      <w:r>
        <w:rPr>
          <w:szCs w:val="21"/>
        </w:rPr>
        <w:t>污水处理</w:t>
      </w:r>
      <w:r>
        <w:rPr>
          <w:rFonts w:hint="eastAsia"/>
          <w:szCs w:val="21"/>
        </w:rPr>
        <w:t>设备的企业</w:t>
      </w:r>
      <w:r>
        <w:rPr>
          <w:rFonts w:hint="eastAsia" w:ascii="宋体" w:hAnsi="宋体"/>
          <w:szCs w:val="21"/>
        </w:rPr>
        <w:t>处理的污（废）水量、水力发电动力用水量。</w:t>
      </w:r>
      <w:r>
        <w:rPr>
          <w:rFonts w:hint="eastAsia"/>
          <w:szCs w:val="21"/>
        </w:rPr>
        <w:t>不包括为转供给其他企业、居民等而取的自来水。</w:t>
      </w:r>
    </w:p>
    <w:p>
      <w:pPr>
        <w:adjustRightInd w:val="0"/>
        <w:snapToGrid w:val="0"/>
        <w:spacing w:line="312" w:lineRule="auto"/>
        <w:ind w:firstLine="420" w:firstLineChars="200"/>
        <w:rPr>
          <w:rFonts w:ascii="宋体" w:hAnsi="宋体"/>
          <w:szCs w:val="21"/>
        </w:rPr>
      </w:pPr>
      <w:r>
        <w:rPr>
          <w:rFonts w:hint="eastAsia" w:ascii="黑体" w:hAnsi="黑体" w:eastAsia="黑体"/>
          <w:szCs w:val="21"/>
        </w:rPr>
        <w:t>外供水量</w:t>
      </w:r>
      <w:r>
        <w:rPr>
          <w:rFonts w:hint="eastAsia" w:ascii="宋体" w:hAnsi="宋体" w:eastAsia="黑体"/>
          <w:szCs w:val="21"/>
        </w:rPr>
        <w:t>　</w:t>
      </w:r>
      <w:r>
        <w:rPr>
          <w:rFonts w:hint="eastAsia" w:ascii="宋体" w:hAnsi="宋体"/>
          <w:szCs w:val="21"/>
        </w:rPr>
        <w:t>指企业外供给其他单位的水或水产品的量，以离厂水量为准。包括外供给其他企业或市场的原水、自来水、海水淡化水、矿泉水、纯净水等。不包括直流冷却水量、再生水（中水）、未利用直接排放的矿井水和雨水量、北方地区供暖企业供给城镇热力网内循环的热水量、进入城镇污水管网和直接排到自然环境中的水量。</w:t>
      </w:r>
      <w:r>
        <w:rPr>
          <w:rFonts w:hint="eastAsia"/>
          <w:szCs w:val="21"/>
        </w:rPr>
        <w:t>不包括取来直接转供给其他企业、居民等的自来水。</w:t>
      </w:r>
    </w:p>
    <w:p>
      <w:pPr>
        <w:adjustRightInd w:val="0"/>
        <w:snapToGrid w:val="0"/>
        <w:spacing w:line="312" w:lineRule="auto"/>
        <w:ind w:firstLine="420" w:firstLineChars="200"/>
        <w:rPr>
          <w:rFonts w:ascii="宋体" w:hAnsi="宋体"/>
          <w:szCs w:val="21"/>
        </w:rPr>
      </w:pPr>
      <w:r>
        <w:rPr>
          <w:rFonts w:hint="eastAsia" w:ascii="黑体" w:hAnsi="黑体" w:eastAsia="黑体"/>
          <w:szCs w:val="21"/>
        </w:rPr>
        <w:t>地表淡水</w:t>
      </w:r>
      <w:r>
        <w:rPr>
          <w:rFonts w:hint="eastAsia" w:ascii="宋体" w:hAnsi="宋体" w:eastAsia="黑体"/>
          <w:szCs w:val="21"/>
        </w:rPr>
        <w:t>　</w:t>
      </w:r>
      <w:r>
        <w:rPr>
          <w:rFonts w:hint="eastAsia" w:ascii="宋体" w:hAnsi="宋体"/>
          <w:szCs w:val="21"/>
        </w:rPr>
        <w:t>指陆地表面形成的径流及地表贮存的淡水。包括江、河、淡水湖、水库等。</w:t>
      </w:r>
    </w:p>
    <w:p>
      <w:pPr>
        <w:adjustRightInd w:val="0"/>
        <w:snapToGrid w:val="0"/>
        <w:spacing w:line="312" w:lineRule="auto"/>
        <w:ind w:firstLine="420" w:firstLineChars="200"/>
        <w:rPr>
          <w:rFonts w:ascii="仿宋_GB2312" w:hAnsi="宋体" w:eastAsia="仿宋_GB2312"/>
          <w:szCs w:val="21"/>
        </w:rPr>
      </w:pPr>
      <w:r>
        <w:rPr>
          <w:rFonts w:hint="eastAsia" w:ascii="黑体" w:hAnsi="黑体" w:eastAsia="黑体"/>
          <w:szCs w:val="21"/>
        </w:rPr>
        <w:t>地下淡水　</w:t>
      </w:r>
      <w:r>
        <w:rPr>
          <w:rFonts w:hint="eastAsia" w:ascii="宋体" w:hAnsi="宋体"/>
          <w:szCs w:val="21"/>
        </w:rPr>
        <w:t>指地下径流或埋藏于地下的，经过提取可被利用的淡水。包括井水、地热水等。</w:t>
      </w:r>
    </w:p>
    <w:p>
      <w:pPr>
        <w:adjustRightInd w:val="0"/>
        <w:snapToGrid w:val="0"/>
        <w:spacing w:line="312" w:lineRule="auto"/>
        <w:ind w:firstLine="420" w:firstLineChars="200"/>
        <w:rPr>
          <w:rFonts w:ascii="宋体" w:hAnsi="宋体"/>
          <w:szCs w:val="21"/>
        </w:rPr>
      </w:pPr>
      <w:r>
        <w:rPr>
          <w:rFonts w:hint="eastAsia" w:ascii="黑体" w:hAnsi="黑体" w:eastAsia="黑体"/>
          <w:szCs w:val="21"/>
        </w:rPr>
        <w:t>自来水　</w:t>
      </w:r>
      <w:r>
        <w:rPr>
          <w:rFonts w:hint="eastAsia" w:ascii="宋体" w:hAnsi="宋体"/>
          <w:szCs w:val="21"/>
        </w:rPr>
        <w:t>指自来水厂将地表淡水、地下淡水经过“混凝、沉淀、过滤、消毒”等净水工序，达到国家饮用水标准，通过城镇自来水管网供给工业生产、居民生活使用的水。</w:t>
      </w:r>
    </w:p>
    <w:p>
      <w:pPr>
        <w:adjustRightInd w:val="0"/>
        <w:snapToGrid w:val="0"/>
        <w:spacing w:line="312" w:lineRule="auto"/>
        <w:ind w:firstLine="420" w:firstLineChars="200"/>
        <w:rPr>
          <w:rFonts w:ascii="宋体" w:hAnsi="宋体"/>
          <w:szCs w:val="21"/>
        </w:rPr>
      </w:pPr>
      <w:r>
        <w:rPr>
          <w:rFonts w:hint="eastAsia" w:ascii="黑体" w:hAnsi="黑体" w:eastAsia="黑体"/>
          <w:szCs w:val="21"/>
        </w:rPr>
        <w:t>海水　</w:t>
      </w:r>
      <w:r>
        <w:rPr>
          <w:rFonts w:hint="eastAsia" w:ascii="宋体" w:hAnsi="宋体"/>
          <w:szCs w:val="21"/>
        </w:rPr>
        <w:t>指海洋的水。海水的取水量包括企业用来淡化、制盐、化工生产等海水资源利用所提取的海水量，以及用于海水循环冷却补充水、脱硫、洗涤、除尘、冲渣、印染等的海水直接利用量，不包括海水直流冷却水量。</w:t>
      </w:r>
    </w:p>
    <w:p>
      <w:pPr>
        <w:adjustRightInd w:val="0"/>
        <w:snapToGrid w:val="0"/>
        <w:spacing w:line="312" w:lineRule="auto"/>
        <w:ind w:firstLine="420" w:firstLineChars="200"/>
        <w:rPr>
          <w:rFonts w:ascii="宋体" w:hAnsi="宋体"/>
          <w:szCs w:val="21"/>
        </w:rPr>
      </w:pPr>
      <w:r>
        <w:rPr>
          <w:rFonts w:hint="eastAsia" w:ascii="黑体" w:hAnsi="黑体" w:eastAsia="黑体"/>
          <w:szCs w:val="21"/>
        </w:rPr>
        <w:t>陆地苦咸水</w:t>
      </w:r>
      <w:r>
        <w:rPr>
          <w:rFonts w:hint="eastAsia" w:ascii="宋体" w:hAnsi="宋体" w:eastAsia="黑体"/>
          <w:szCs w:val="21"/>
        </w:rPr>
        <w:t>　</w:t>
      </w:r>
      <w:r>
        <w:rPr>
          <w:rFonts w:hint="eastAsia" w:ascii="宋体" w:hAnsi="宋体"/>
          <w:szCs w:val="21"/>
        </w:rPr>
        <w:t>指存在于陆地地表或地下，含盐量大于1克/升的水。包括微咸水、咸水湖和地下的咸水。不包括海水。</w:t>
      </w:r>
    </w:p>
    <w:p>
      <w:pPr>
        <w:adjustRightInd w:val="0"/>
        <w:snapToGrid w:val="0"/>
        <w:spacing w:line="312" w:lineRule="auto"/>
        <w:ind w:firstLine="420" w:firstLineChars="200"/>
        <w:rPr>
          <w:rFonts w:ascii="宋体" w:hAnsi="宋体"/>
          <w:szCs w:val="21"/>
        </w:rPr>
      </w:pPr>
      <w:r>
        <w:rPr>
          <w:rFonts w:hint="eastAsia" w:ascii="黑体" w:hAnsi="黑体" w:eastAsia="黑体"/>
          <w:szCs w:val="21"/>
        </w:rPr>
        <w:t>矿井水　</w:t>
      </w:r>
      <w:r>
        <w:rPr>
          <w:rFonts w:hint="eastAsia" w:ascii="宋体" w:hAnsi="宋体"/>
          <w:szCs w:val="21"/>
        </w:rPr>
        <w:t>指在采矿过程中，由于矿床开采破坏了地下水原始赋存状态而产生导水裂隙，使周围水沿着原有的和新的裂隙渗入井下采掘空间进而形成的矿井涌水。收集、处理并已利用的矿井水填报取水量，未利用直接排放的矿井水不填报取水量、外供水量、外排水量。</w:t>
      </w:r>
    </w:p>
    <w:p>
      <w:pPr>
        <w:adjustRightInd w:val="0"/>
        <w:snapToGrid w:val="0"/>
        <w:spacing w:line="312" w:lineRule="auto"/>
        <w:ind w:firstLine="420" w:firstLineChars="200"/>
        <w:rPr>
          <w:rFonts w:ascii="宋体" w:hAnsi="宋体"/>
          <w:szCs w:val="21"/>
        </w:rPr>
      </w:pPr>
      <w:r>
        <w:rPr>
          <w:rFonts w:hint="eastAsia" w:ascii="黑体" w:hAnsi="黑体" w:eastAsia="黑体"/>
          <w:szCs w:val="21"/>
        </w:rPr>
        <w:t>雨水　</w:t>
      </w:r>
      <w:r>
        <w:rPr>
          <w:rFonts w:hint="eastAsia" w:ascii="宋体" w:hAnsi="宋体"/>
          <w:szCs w:val="21"/>
        </w:rPr>
        <w:t>指通过集雨工程积蓄处理后被工业利用的雨水。雨水的取水量不包括天降雨、雪后流到江河、湖泊、水库中的水，以及未经利用通过厂区内排水管道直接排放的雨水。</w:t>
      </w:r>
    </w:p>
    <w:p>
      <w:pPr>
        <w:adjustRightInd w:val="0"/>
        <w:snapToGrid w:val="0"/>
        <w:spacing w:line="312" w:lineRule="auto"/>
        <w:ind w:firstLine="420" w:firstLineChars="200"/>
        <w:rPr>
          <w:rFonts w:ascii="宋体" w:hAnsi="宋体"/>
          <w:szCs w:val="21"/>
        </w:rPr>
      </w:pPr>
      <w:r>
        <w:rPr>
          <w:rFonts w:hint="eastAsia" w:ascii="黑体" w:hAnsi="黑体" w:eastAsia="黑体"/>
          <w:szCs w:val="21"/>
        </w:rPr>
        <w:t>再生水（中水）</w:t>
      </w:r>
      <w:r>
        <w:rPr>
          <w:rFonts w:hint="eastAsia" w:ascii="宋体" w:hAnsi="宋体"/>
          <w:szCs w:val="21"/>
        </w:rPr>
        <w:t xml:space="preserve"> 指以污（废）水为水源，经再生工艺净化处理后水质达到再利用标准的水。再生水（中水）不填报外供量。有再生水（中水）取水的单位填报再生水（中水）的取水量。</w:t>
      </w:r>
    </w:p>
    <w:p>
      <w:pPr>
        <w:adjustRightInd w:val="0"/>
        <w:snapToGrid w:val="0"/>
        <w:spacing w:line="312" w:lineRule="auto"/>
        <w:ind w:firstLine="420" w:firstLineChars="200"/>
        <w:rPr>
          <w:rFonts w:ascii="仿宋_GB2312" w:hAnsi="宋体" w:eastAsia="仿宋_GB2312"/>
          <w:szCs w:val="21"/>
        </w:rPr>
      </w:pPr>
      <w:r>
        <w:rPr>
          <w:rFonts w:hint="eastAsia" w:ascii="黑体" w:hAnsi="黑体" w:eastAsia="黑体"/>
          <w:szCs w:val="21"/>
        </w:rPr>
        <w:t>海水淡化水</w:t>
      </w:r>
      <w:r>
        <w:rPr>
          <w:rFonts w:hint="eastAsia" w:ascii="宋体" w:hAnsi="宋体" w:eastAsia="黑体"/>
          <w:szCs w:val="21"/>
        </w:rPr>
        <w:t>　</w:t>
      </w:r>
      <w:r>
        <w:rPr>
          <w:rFonts w:hint="eastAsia" w:ascii="宋体" w:hAnsi="宋体"/>
          <w:szCs w:val="21"/>
        </w:rPr>
        <w:t>指经过特定生产工艺去除海水中的盐分后得到的淡化水。</w:t>
      </w:r>
    </w:p>
    <w:p>
      <w:pPr>
        <w:adjustRightInd w:val="0"/>
        <w:snapToGrid w:val="0"/>
        <w:spacing w:line="312" w:lineRule="auto"/>
        <w:ind w:firstLine="420" w:firstLineChars="200"/>
        <w:rPr>
          <w:rFonts w:ascii="宋体" w:hAnsi="宋体"/>
          <w:szCs w:val="21"/>
        </w:rPr>
      </w:pPr>
      <w:r>
        <w:rPr>
          <w:rFonts w:hint="eastAsia" w:ascii="黑体" w:hAnsi="黑体" w:eastAsia="黑体"/>
          <w:szCs w:val="21"/>
        </w:rPr>
        <w:t>其他水　</w:t>
      </w:r>
      <w:r>
        <w:rPr>
          <w:rFonts w:hint="eastAsia" w:ascii="宋体" w:hAnsi="宋体"/>
          <w:szCs w:val="21"/>
        </w:rPr>
        <w:t>指上述水资源品种没有涵盖的，或者界定不清的水及水的产品。包括软化水、除盐水、蒸汽（需折算成同等质量的水）、蒸汽冷凝水、管道供应的热水（不含北方地区城镇热力网内循环的热水）、瓶（桶）装纯净水、矿泉水、经过初步处理未达到自来水标准的水。不包括地热水、碳酸饮料、茶饮料、果汁饮料、酒类、污（废）水。</w:t>
      </w:r>
    </w:p>
    <w:p>
      <w:pPr>
        <w:adjustRightInd w:val="0"/>
        <w:snapToGrid w:val="0"/>
        <w:spacing w:line="312" w:lineRule="auto"/>
        <w:ind w:firstLine="420" w:firstLineChars="200"/>
        <w:rPr>
          <w:rFonts w:ascii="宋体" w:hAnsi="宋体"/>
          <w:szCs w:val="21"/>
        </w:rPr>
      </w:pPr>
      <w:r>
        <w:rPr>
          <w:rFonts w:hint="eastAsia" w:ascii="黑体" w:hAnsi="黑体" w:eastAsia="黑体"/>
          <w:szCs w:val="21"/>
        </w:rPr>
        <w:t>外排水量</w:t>
      </w:r>
      <w:r>
        <w:rPr>
          <w:rFonts w:hint="eastAsia" w:ascii="宋体" w:hAnsi="宋体" w:eastAsia="黑体"/>
          <w:szCs w:val="21"/>
        </w:rPr>
        <w:t>　</w:t>
      </w:r>
      <w:r>
        <w:rPr>
          <w:rFonts w:hint="eastAsia" w:ascii="宋体" w:hAnsi="宋体"/>
          <w:szCs w:val="21"/>
        </w:rPr>
        <w:t>指完成生产过程和生产活动之后，经过企业厂区、办公区所有排水口排到企业外部的水量。包括进入城镇污水管网的污（废）水量、直接排到自然环境中的水量。不包括外供水量、直流冷却水量、未利用就直接排放的矿井水量。</w:t>
      </w:r>
    </w:p>
    <w:p>
      <w:pPr>
        <w:adjustRightInd w:val="0"/>
        <w:snapToGrid w:val="0"/>
        <w:spacing w:line="312" w:lineRule="auto"/>
        <w:ind w:firstLine="420" w:firstLineChars="200"/>
        <w:rPr>
          <w:rFonts w:ascii="宋体" w:hAnsi="宋体"/>
          <w:szCs w:val="21"/>
        </w:rPr>
      </w:pPr>
      <w:r>
        <w:rPr>
          <w:rFonts w:hint="eastAsia" w:ascii="宋体" w:hAnsi="宋体"/>
          <w:szCs w:val="21"/>
        </w:rPr>
        <w:t>外排水量计算方法：</w:t>
      </w:r>
    </w:p>
    <w:p>
      <w:pPr>
        <w:adjustRightInd w:val="0"/>
        <w:snapToGrid w:val="0"/>
        <w:spacing w:line="312" w:lineRule="auto"/>
        <w:ind w:firstLine="420" w:firstLineChars="200"/>
        <w:rPr>
          <w:rFonts w:ascii="宋体" w:hAnsi="宋体"/>
          <w:szCs w:val="21"/>
        </w:rPr>
      </w:pPr>
      <w:r>
        <w:rPr>
          <w:rFonts w:hint="eastAsia" w:ascii="宋体" w:hAnsi="宋体"/>
          <w:szCs w:val="21"/>
        </w:rPr>
        <w:t>1.实测法</w:t>
      </w:r>
    </w:p>
    <w:p>
      <w:pPr>
        <w:adjustRightInd w:val="0"/>
        <w:snapToGrid w:val="0"/>
        <w:spacing w:line="312" w:lineRule="auto"/>
        <w:ind w:firstLine="420" w:firstLineChars="200"/>
        <w:rPr>
          <w:rFonts w:ascii="宋体" w:hAnsi="宋体"/>
          <w:szCs w:val="21"/>
        </w:rPr>
      </w:pPr>
      <w:r>
        <w:rPr>
          <w:rFonts w:hint="eastAsia" w:ascii="宋体" w:hAnsi="宋体"/>
          <w:szCs w:val="21"/>
        </w:rPr>
        <w:t>企业排水口有计量装置，按照计量装置的计量数据计算外排水量。</w:t>
      </w:r>
    </w:p>
    <w:p>
      <w:pPr>
        <w:adjustRightInd w:val="0"/>
        <w:snapToGrid w:val="0"/>
        <w:spacing w:line="312" w:lineRule="auto"/>
        <w:ind w:firstLine="420" w:firstLineChars="200"/>
        <w:rPr>
          <w:rFonts w:ascii="宋体" w:hAnsi="宋体"/>
          <w:szCs w:val="21"/>
        </w:rPr>
      </w:pPr>
      <w:r>
        <w:rPr>
          <w:rFonts w:hint="eastAsia" w:ascii="宋体" w:hAnsi="宋体"/>
          <w:szCs w:val="21"/>
        </w:rPr>
        <w:t>2</w:t>
      </w:r>
      <w:r>
        <w:rPr>
          <w:rFonts w:ascii="宋体" w:hAnsi="宋体"/>
          <w:szCs w:val="21"/>
          <w:lang w:val="en-GB"/>
        </w:rPr>
        <w:t>.</w:t>
      </w:r>
      <w:r>
        <w:rPr>
          <w:rFonts w:hint="eastAsia" w:ascii="宋体" w:hAnsi="宋体"/>
          <w:szCs w:val="21"/>
        </w:rPr>
        <w:t>排放系数法</w:t>
      </w:r>
    </w:p>
    <w:p>
      <w:pPr>
        <w:adjustRightInd w:val="0"/>
        <w:snapToGrid w:val="0"/>
        <w:spacing w:line="312" w:lineRule="auto"/>
        <w:ind w:firstLine="420" w:firstLineChars="200"/>
        <w:rPr>
          <w:rFonts w:ascii="宋体" w:hAnsi="宋体"/>
          <w:szCs w:val="21"/>
        </w:rPr>
      </w:pPr>
      <w:r>
        <w:rPr>
          <w:rFonts w:hint="eastAsia" w:ascii="宋体" w:hAnsi="宋体"/>
          <w:szCs w:val="21"/>
        </w:rPr>
        <w:t>外排水量＝（取水量合计－外供水量合计）×排放系数。</w:t>
      </w:r>
    </w:p>
    <w:p>
      <w:pPr>
        <w:adjustRightInd w:val="0"/>
        <w:snapToGrid w:val="0"/>
        <w:spacing w:line="312" w:lineRule="auto"/>
        <w:ind w:firstLine="420" w:firstLineChars="200"/>
        <w:rPr>
          <w:rFonts w:ascii="宋体" w:hAnsi="宋体"/>
          <w:szCs w:val="21"/>
        </w:rPr>
      </w:pPr>
      <w:r>
        <w:rPr>
          <w:rFonts w:hint="eastAsia" w:ascii="宋体" w:hAnsi="宋体"/>
          <w:szCs w:val="21"/>
        </w:rPr>
        <w:t>不同类型的工业企业排放系数数值有所不同，一般在0.6至0.9范围内取值。</w:t>
      </w:r>
    </w:p>
    <w:p>
      <w:pPr>
        <w:adjustRightInd w:val="0"/>
        <w:snapToGrid w:val="0"/>
        <w:spacing w:line="312" w:lineRule="auto"/>
        <w:ind w:firstLine="420" w:firstLineChars="200"/>
        <w:rPr>
          <w:rFonts w:ascii="宋体" w:hAnsi="宋体"/>
          <w:szCs w:val="21"/>
        </w:rPr>
      </w:pPr>
      <w:r>
        <w:rPr>
          <w:rFonts w:hint="eastAsia" w:ascii="宋体" w:hAnsi="宋体"/>
          <w:szCs w:val="21"/>
        </w:rPr>
        <w:t>3</w:t>
      </w:r>
      <w:r>
        <w:rPr>
          <w:rFonts w:ascii="宋体" w:hAnsi="宋体"/>
          <w:szCs w:val="21"/>
          <w:lang w:val="en-GB"/>
        </w:rPr>
        <w:t>.</w:t>
      </w:r>
      <w:r>
        <w:rPr>
          <w:rFonts w:hint="eastAsia" w:ascii="宋体" w:hAnsi="宋体"/>
          <w:szCs w:val="21"/>
        </w:rPr>
        <w:t>物料衡算法</w:t>
      </w:r>
    </w:p>
    <w:p>
      <w:pPr>
        <w:adjustRightInd w:val="0"/>
        <w:snapToGrid w:val="0"/>
        <w:spacing w:line="312" w:lineRule="auto"/>
        <w:ind w:firstLine="420" w:firstLineChars="200"/>
        <w:rPr>
          <w:rFonts w:ascii="宋体" w:hAnsi="宋体"/>
          <w:szCs w:val="21"/>
        </w:rPr>
      </w:pPr>
      <w:r>
        <w:rPr>
          <w:rFonts w:hint="eastAsia" w:ascii="宋体" w:hAnsi="宋体"/>
          <w:szCs w:val="21"/>
        </w:rPr>
        <w:t>外排水量＝（取水量合计－外供水量合计）－（产品带走水量＋漏失水量＋蒸发水量＋其他损失量）。</w:t>
      </w:r>
    </w:p>
    <w:p>
      <w:pPr>
        <w:adjustRightInd w:val="0"/>
        <w:snapToGrid w:val="0"/>
        <w:spacing w:line="312" w:lineRule="auto"/>
        <w:ind w:firstLine="420" w:firstLineChars="200"/>
        <w:rPr>
          <w:rFonts w:ascii="宋体" w:hAnsi="宋体"/>
          <w:szCs w:val="21"/>
        </w:rPr>
      </w:pPr>
      <w:r>
        <w:rPr>
          <w:rFonts w:hint="eastAsia" w:ascii="宋体" w:hAnsi="宋体"/>
          <w:szCs w:val="21"/>
        </w:rPr>
        <w:t>企业排水口有计量装置，按照实测法计算外排水量。企业排水口无计量装置，按照排放系数法或者物料衡算法计算外排水量。</w:t>
      </w:r>
    </w:p>
    <w:p>
      <w:pPr>
        <w:adjustRightInd w:val="0"/>
        <w:snapToGrid w:val="0"/>
        <w:spacing w:line="312" w:lineRule="auto"/>
        <w:ind w:firstLine="420" w:firstLineChars="200"/>
        <w:rPr>
          <w:rFonts w:ascii="宋体" w:hAnsi="宋体"/>
          <w:szCs w:val="21"/>
        </w:rPr>
      </w:pPr>
      <w:r>
        <w:rPr>
          <w:rFonts w:hint="eastAsia" w:ascii="黑体" w:hAnsi="黑体" w:eastAsia="黑体"/>
          <w:szCs w:val="21"/>
        </w:rPr>
        <w:t>重复用水量</w:t>
      </w:r>
      <w:r>
        <w:rPr>
          <w:rFonts w:hint="eastAsia" w:ascii="宋体" w:hAnsi="宋体" w:eastAsia="黑体"/>
          <w:szCs w:val="21"/>
        </w:rPr>
        <w:t>　</w:t>
      </w:r>
      <w:r>
        <w:rPr>
          <w:rFonts w:hint="eastAsia" w:ascii="宋体" w:hAnsi="宋体"/>
          <w:szCs w:val="21"/>
        </w:rPr>
        <w:t>指在确定的用水单元或系统内，所有未经处理和处理后又重复使用的水量总和。</w:t>
      </w:r>
    </w:p>
    <w:p>
      <w:pPr>
        <w:adjustRightInd w:val="0"/>
        <w:snapToGrid w:val="0"/>
        <w:spacing w:line="312" w:lineRule="auto"/>
        <w:ind w:firstLine="420" w:firstLineChars="200"/>
        <w:rPr>
          <w:rFonts w:ascii="宋体" w:hAnsi="宋体"/>
          <w:szCs w:val="21"/>
        </w:rPr>
      </w:pPr>
      <w:r>
        <w:rPr>
          <w:rFonts w:hint="eastAsia" w:ascii="宋体" w:hAnsi="宋体"/>
          <w:szCs w:val="21"/>
        </w:rPr>
        <w:t>满足下列任意一种情况，即可视为重复用水：</w:t>
      </w:r>
    </w:p>
    <w:p>
      <w:pPr>
        <w:adjustRightInd w:val="0"/>
        <w:snapToGrid w:val="0"/>
        <w:spacing w:line="312" w:lineRule="auto"/>
        <w:ind w:firstLine="420" w:firstLineChars="200"/>
        <w:rPr>
          <w:rFonts w:ascii="宋体" w:hAnsi="宋体"/>
          <w:szCs w:val="21"/>
        </w:rPr>
      </w:pPr>
      <w:r>
        <w:rPr>
          <w:rFonts w:hint="eastAsia" w:ascii="宋体" w:hAnsi="宋体"/>
          <w:szCs w:val="21"/>
        </w:rPr>
        <w:t>1</w:t>
      </w:r>
      <w:r>
        <w:rPr>
          <w:rFonts w:ascii="宋体" w:hAnsi="宋体"/>
          <w:szCs w:val="21"/>
          <w:lang w:val="en-GB"/>
        </w:rPr>
        <w:t>.</w:t>
      </w:r>
      <w:r>
        <w:rPr>
          <w:rFonts w:hint="eastAsia" w:ascii="宋体" w:hAnsi="宋体"/>
          <w:szCs w:val="21"/>
        </w:rPr>
        <w:t>循环水：指在确定的用水单元或系统内，生产过程中已用过、再循环用于同一过程的水。例如火力发电企业的循环冷却水。循环水量循环使用一次计算一次，根据循环水泵的流量乘以工作时间计算。</w:t>
      </w:r>
    </w:p>
    <w:p>
      <w:pPr>
        <w:adjustRightInd w:val="0"/>
        <w:snapToGrid w:val="0"/>
        <w:spacing w:line="312" w:lineRule="auto"/>
        <w:ind w:firstLine="420" w:firstLineChars="200"/>
        <w:rPr>
          <w:rFonts w:ascii="宋体" w:hAnsi="宋体"/>
          <w:szCs w:val="21"/>
        </w:rPr>
      </w:pPr>
      <w:r>
        <w:rPr>
          <w:rFonts w:hint="eastAsia" w:ascii="宋体" w:hAnsi="宋体"/>
          <w:szCs w:val="21"/>
        </w:rPr>
        <w:t>2</w:t>
      </w:r>
      <w:r>
        <w:rPr>
          <w:rFonts w:ascii="宋体" w:hAnsi="宋体"/>
          <w:szCs w:val="21"/>
          <w:lang w:val="en-GB"/>
        </w:rPr>
        <w:t>.</w:t>
      </w:r>
      <w:r>
        <w:rPr>
          <w:rFonts w:hint="eastAsia" w:ascii="宋体" w:hAnsi="宋体"/>
          <w:szCs w:val="21"/>
        </w:rPr>
        <w:t>串联水：指在确定的用水单元或系统，由生产过程中产生的或使用后、再用于另一单元或系统的水。例如先用于冷却再用于洗涤的水；生产过程中产生的，用于烟气脱硫、冲渣（灰）的水。串联水量重复使用一次计算一次。</w:t>
      </w:r>
    </w:p>
    <w:p>
      <w:pPr>
        <w:adjustRightInd w:val="0"/>
        <w:snapToGrid w:val="0"/>
        <w:spacing w:line="312" w:lineRule="auto"/>
        <w:ind w:firstLine="420" w:firstLineChars="200"/>
        <w:rPr>
          <w:rFonts w:ascii="宋体" w:hAnsi="宋体"/>
          <w:szCs w:val="21"/>
        </w:rPr>
      </w:pPr>
      <w:r>
        <w:rPr>
          <w:rFonts w:hint="eastAsia" w:ascii="宋体" w:hAnsi="宋体"/>
          <w:szCs w:val="21"/>
        </w:rPr>
        <w:t>3</w:t>
      </w:r>
      <w:r>
        <w:rPr>
          <w:rFonts w:ascii="宋体" w:hAnsi="宋体"/>
          <w:szCs w:val="21"/>
          <w:lang w:val="en-GB"/>
        </w:rPr>
        <w:t>.</w:t>
      </w:r>
      <w:r>
        <w:rPr>
          <w:rFonts w:hint="eastAsia" w:ascii="宋体" w:hAnsi="宋体"/>
          <w:szCs w:val="21"/>
        </w:rPr>
        <w:t>回用水：指企业产生的，没有排放而是直接或经处理后再利用于某一用水单元或系统的水。例如收集回用的蒸汽冷凝水，生产活动产生的、净化后回用的污（废）水，自来水厂冲洗沉淀池、滤池再处理后回用的水。回用水量回用一次计算一次。</w:t>
      </w:r>
    </w:p>
    <w:p>
      <w:pPr>
        <w:adjustRightInd w:val="0"/>
        <w:snapToGrid w:val="0"/>
        <w:spacing w:line="312" w:lineRule="auto"/>
        <w:ind w:firstLine="420" w:firstLineChars="200"/>
        <w:rPr>
          <w:rFonts w:ascii="宋体" w:hAnsi="宋体"/>
          <w:szCs w:val="21"/>
        </w:rPr>
      </w:pPr>
      <w:r>
        <w:rPr>
          <w:rFonts w:hint="eastAsia" w:ascii="宋体" w:hAnsi="宋体"/>
          <w:szCs w:val="21"/>
        </w:rPr>
        <w:t>重复用水量不包括北方地区城镇热力网内循环的热水、火力发电设备内进行汽水循环的除盐水。</w:t>
      </w:r>
    </w:p>
    <w:p>
      <w:pPr>
        <w:adjustRightInd w:val="0"/>
        <w:snapToGrid w:val="0"/>
        <w:spacing w:line="312" w:lineRule="auto"/>
        <w:ind w:firstLine="420" w:firstLineChars="200"/>
        <w:rPr>
          <w:rFonts w:ascii="宋体" w:hAnsi="宋体"/>
          <w:color w:val="auto"/>
          <w:szCs w:val="21"/>
        </w:rPr>
      </w:pPr>
      <w:r>
        <w:rPr>
          <w:rFonts w:hint="eastAsia" w:ascii="黑体" w:hAnsi="黑体" w:eastAsia="黑体"/>
          <w:szCs w:val="21"/>
        </w:rPr>
        <w:t>直流冷却水量　</w:t>
      </w:r>
      <w:r>
        <w:rPr>
          <w:rFonts w:hint="eastAsia" w:ascii="宋体" w:hAnsi="宋体"/>
          <w:szCs w:val="21"/>
        </w:rPr>
        <w:t>指企业取自河流、水库、湖泊、海洋，经一次使用后，直接排放回河流、水库、湖泊、海洋的冷却水量，多见于火（核）电企业。直流冷却水不填报取水量、外供水量、外排水量。企业从直流冷却水系统中取水用作其他用途，则</w:t>
      </w:r>
      <w:r>
        <w:rPr>
          <w:rFonts w:hint="eastAsia" w:ascii="宋体" w:hAnsi="宋体"/>
          <w:color w:val="auto"/>
          <w:szCs w:val="21"/>
        </w:rPr>
        <w:t>该部分应计入取水量。</w:t>
      </w:r>
    </w:p>
    <w:p>
      <w:pPr>
        <w:adjustRightInd w:val="0"/>
        <w:snapToGrid w:val="0"/>
        <w:spacing w:line="312" w:lineRule="auto"/>
        <w:ind w:firstLine="420" w:firstLineChars="200"/>
        <w:rPr>
          <w:rFonts w:ascii="宋体" w:hAnsi="宋体"/>
          <w:color w:val="auto"/>
          <w:szCs w:val="21"/>
        </w:rPr>
      </w:pPr>
      <w:r>
        <w:rPr>
          <w:rFonts w:hint="eastAsia" w:ascii="宋体" w:hAnsi="宋体"/>
          <w:color w:val="auto"/>
          <w:szCs w:val="21"/>
        </w:rPr>
        <w:t>利用河、湖、水库等的淡水进行直流冷却填报直流冷却水量（河湖水），利用海水进行直流冷却填报直流冷却水量（海水）。</w:t>
      </w:r>
    </w:p>
    <w:p>
      <w:pPr>
        <w:adjustRightInd w:val="0"/>
        <w:snapToGrid w:val="0"/>
        <w:spacing w:line="312" w:lineRule="auto"/>
        <w:ind w:firstLine="420" w:firstLineChars="200"/>
        <w:rPr>
          <w:rFonts w:ascii="宋体" w:hAnsi="宋体"/>
          <w:color w:val="FF0000"/>
          <w:szCs w:val="21"/>
        </w:rPr>
      </w:pPr>
      <w:r>
        <w:rPr>
          <w:rFonts w:eastAsia="黑体"/>
          <w:color w:val="auto"/>
          <w:szCs w:val="21"/>
        </w:rPr>
        <w:t>污水处理量</w:t>
      </w:r>
      <w:r>
        <w:rPr>
          <w:rFonts w:hint="eastAsia" w:eastAsia="黑体"/>
          <w:color w:val="auto"/>
          <w:szCs w:val="21"/>
        </w:rPr>
        <w:t>　</w:t>
      </w:r>
      <w:r>
        <w:rPr>
          <w:rFonts w:hint="eastAsia"/>
          <w:color w:val="auto"/>
          <w:szCs w:val="21"/>
        </w:rPr>
        <w:t>指污水处理厂（或污水处理装置）实际处理的污水量。包括物理处理量、生物处理量和化学处理量。统计污水处理量时，应包括取自企业外部和本企业产生的污（废）水。</w:t>
      </w:r>
    </w:p>
    <w:p>
      <w:pPr>
        <w:spacing w:line="312" w:lineRule="auto"/>
        <w:jc w:val="center"/>
        <w:rPr>
          <w:rFonts w:ascii="黑体" w:hAnsi="宋体" w:eastAsia="黑体"/>
          <w:sz w:val="24"/>
        </w:rPr>
      </w:pPr>
      <w:r>
        <w:rPr>
          <w:rFonts w:ascii="宋体" w:hAnsi="宋体"/>
          <w:szCs w:val="21"/>
        </w:rPr>
        <w:br w:type="page"/>
      </w:r>
      <w:r>
        <w:rPr>
          <w:rFonts w:hint="default" w:ascii="Times New Roman" w:hAnsi="Times New Roman" w:eastAsia="黑体" w:cs="Times New Roman"/>
          <w:sz w:val="24"/>
        </w:rPr>
        <w:t>4.非工业重点耗能单位能源消费情况（205-5表）</w:t>
      </w:r>
    </w:p>
    <w:p>
      <w:pPr>
        <w:spacing w:line="312" w:lineRule="auto"/>
        <w:jc w:val="center"/>
        <w:rPr>
          <w:rFonts w:ascii="宋体" w:hAnsi="宋体"/>
          <w:szCs w:val="21"/>
        </w:rPr>
      </w:pPr>
    </w:p>
    <w:p>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ascii="宋体" w:hAnsi="宋体"/>
          <w:szCs w:val="21"/>
        </w:rPr>
      </w:pPr>
      <w:r>
        <w:rPr>
          <w:rFonts w:hint="eastAsia" w:ascii="黑体" w:hAnsi="宋体" w:eastAsia="黑体"/>
          <w:bCs/>
          <w:szCs w:val="21"/>
        </w:rPr>
        <w:t>非工业企业能源消费量　</w:t>
      </w:r>
      <w:r>
        <w:rPr>
          <w:rFonts w:hint="eastAsia" w:ascii="宋体" w:hAnsi="宋体"/>
          <w:szCs w:val="21"/>
        </w:rPr>
        <w:t>指不是工业企业的法人单位所消费的各种能源，具体指建筑业和服务业的企事业法人单位。其能源消费主要包括：（1）用于生产经营活动的能源；（2）用于技术更新改造措施、新技术研究以及科学试验等方面的能源；（3）用于经营维修、建筑及设备大修理、机电设备和交通运输工具等方面的能源；（4）用于劳动保护的能源；（5）其他非生产消费的能源。</w:t>
      </w:r>
    </w:p>
    <w:p>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ascii="宋体" w:hAnsi="宋体"/>
          <w:szCs w:val="21"/>
        </w:rPr>
      </w:pPr>
      <w:r>
        <w:rPr>
          <w:rFonts w:hint="eastAsia" w:ascii="宋体" w:hAnsi="宋体"/>
          <w:szCs w:val="21"/>
        </w:rPr>
        <w:t>非工业企业法人单位的能源消费合计=∑（某能源品种的消费量×某能源品种的折标准煤系数）。</w:t>
      </w:r>
    </w:p>
    <w:p>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ascii="宋体" w:hAnsi="宋体"/>
          <w:szCs w:val="21"/>
        </w:rPr>
      </w:pPr>
      <w:r>
        <w:rPr>
          <w:rFonts w:hint="eastAsia" w:ascii="宋体" w:hAnsi="宋体"/>
          <w:szCs w:val="21"/>
        </w:rPr>
        <w:t>《非工业重点耗能单位能源消费情况》（205-5表）的能源消费合计（吨标准煤）=电力消费量（千瓦时）×0.1229/1000＋煤炭消费量（吨）×0.7143＋焦炭消费量（吨）×0.9714＋煤气消费量（立方米）×0.5714/1000＋天然气消费量（立方米）×1.33/1000＋液化石油气消费量（吨）×1.7143＋汽油消费量（吨）×1.4714＋煤油消费量（吨）×1.4714＋柴油消费量（吨）×1.4571＋燃料油消费量（吨）×1.4286＋外购热力消费量（百万千焦）×0.0341。计算时，各能源品种的计量单位必须与上述公式中的计量单位保持一致。部分能源品种换算关系如下：汽油1升=0.73千克=0.00073吨，轻柴油1升=0.86千克=0.00086吨，重柴油1升=0.92千克=0.00092吨，煤油1升=0.82千克=0.00082吨，燃料油1升=0.91千克=0.00091吨。</w:t>
      </w:r>
    </w:p>
    <w:p>
      <w:pPr>
        <w:spacing w:line="312" w:lineRule="auto"/>
        <w:jc w:val="center"/>
        <w:rPr>
          <w:rFonts w:ascii="黑体" w:hAnsi="宋体" w:eastAsia="黑体"/>
          <w:sz w:val="24"/>
        </w:rPr>
      </w:pPr>
      <w:r>
        <w:rPr>
          <w:rFonts w:ascii="宋体" w:hAnsi="宋体"/>
          <w:szCs w:val="21"/>
        </w:rPr>
        <w:br w:type="page"/>
      </w:r>
      <w:r>
        <w:rPr>
          <w:rFonts w:hint="default" w:ascii="Times New Roman" w:hAnsi="Times New Roman" w:eastAsia="黑体" w:cs="Times New Roman"/>
          <w:sz w:val="24"/>
        </w:rPr>
        <w:t>5.能源生产、销售与库存（205-6表）</w:t>
      </w:r>
    </w:p>
    <w:p>
      <w:pPr>
        <w:spacing w:line="312" w:lineRule="auto"/>
        <w:jc w:val="center"/>
        <w:rPr>
          <w:rFonts w:ascii="黑体" w:hAnsi="宋体" w:eastAsia="黑体"/>
          <w:sz w:val="24"/>
        </w:rPr>
      </w:pP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仿宋_GB2312" w:hAnsi="宋体" w:eastAsia="仿宋_GB2312"/>
          <w:szCs w:val="21"/>
        </w:rPr>
      </w:pPr>
      <w:r>
        <w:rPr>
          <w:rFonts w:hint="eastAsia" w:ascii="黑体" w:hAnsi="宋体" w:eastAsia="黑体"/>
          <w:szCs w:val="21"/>
        </w:rPr>
        <w:t>产成品库存量　</w:t>
      </w:r>
      <w:r>
        <w:rPr>
          <w:rFonts w:hint="eastAsia" w:ascii="宋体" w:hAnsi="宋体"/>
          <w:szCs w:val="21"/>
        </w:rPr>
        <w:t>指企业在期初、期末时点上，尚存在企业产成品仓库中而暂未售出的产品的实物数量。</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（1）产品库存量计算应遵循的原则</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szCs w:val="21"/>
        </w:rPr>
      </w:pPr>
      <w:r>
        <w:rPr>
          <w:rFonts w:hint="eastAsia" w:ascii="宋体" w:hAnsi="宋体"/>
          <w:szCs w:val="21"/>
        </w:rPr>
        <w:t>①产品库存必须是处于“实际库存”状态的产品，即产品生产出来经过检验合格并办理入库手续的产品。有的产品虽已结束了生产过程，但还没有验收合格，还没有办理入库手续，不能作为产品库存统计。有的产品已经售出，但按提货制要求还没有办妥货款结算手续的，或按送货制要求未办理承运手续的，仍应作为本企业的产品库存量统计，而不能作为产品销售量统计。</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szCs w:val="21"/>
        </w:rPr>
      </w:pPr>
      <w:r>
        <w:rPr>
          <w:rFonts w:hint="eastAsia" w:ascii="宋体" w:hAnsi="宋体"/>
          <w:szCs w:val="21"/>
        </w:rPr>
        <w:t>②计入产品库存量的产品，必须是本企业有权销售的产品，对于已经销售并已办妥各项手续，但尚未提货的产品，本企业无权支配，这种产品虽然仍存在本企业仓库中，但不应统计为库存量。凡企业有权销售的产品，不论存放在什么地方，均应统计。</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szCs w:val="21"/>
        </w:rPr>
      </w:pPr>
      <w:r>
        <w:rPr>
          <w:rFonts w:hint="eastAsia" w:ascii="宋体" w:hAnsi="宋体"/>
          <w:szCs w:val="21"/>
        </w:rPr>
        <w:t>③产品库存量不能出现负数。如果产品还没有入库就已售出，应将售出的这部分产品补填入库和出库凭证，并相应计入产品产量中。</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szCs w:val="21"/>
        </w:rPr>
      </w:pPr>
      <w:r>
        <w:rPr>
          <w:rFonts w:hint="eastAsia" w:ascii="宋体" w:hAnsi="宋体"/>
          <w:szCs w:val="21"/>
        </w:rPr>
        <w:t>（2）产品库存量包括的内容</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szCs w:val="21"/>
        </w:rPr>
      </w:pPr>
      <w:r>
        <w:rPr>
          <w:rFonts w:hint="eastAsia" w:ascii="宋体" w:hAnsi="宋体"/>
          <w:szCs w:val="21"/>
        </w:rPr>
        <w:t>①本企业生产的，报告期内经检验合格入库的产品。</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szCs w:val="21"/>
        </w:rPr>
      </w:pPr>
      <w:r>
        <w:rPr>
          <w:rFonts w:hint="eastAsia" w:ascii="宋体" w:hAnsi="宋体"/>
          <w:szCs w:val="21"/>
        </w:rPr>
        <w:t>②库存产品虽有销售对象，但尚未发货的。</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szCs w:val="21"/>
        </w:rPr>
      </w:pPr>
      <w:r>
        <w:rPr>
          <w:rFonts w:hint="eastAsia" w:ascii="宋体" w:hAnsi="宋体"/>
          <w:szCs w:val="21"/>
        </w:rPr>
        <w:t>③非工业企业和境外订货者来料加工产品尚未拨出的。</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szCs w:val="21"/>
        </w:rPr>
      </w:pPr>
      <w:r>
        <w:rPr>
          <w:rFonts w:hint="eastAsia" w:ascii="宋体" w:hAnsi="宋体"/>
          <w:szCs w:val="21"/>
        </w:rPr>
        <w:t>④盘点中的账外产品。</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szCs w:val="21"/>
        </w:rPr>
      </w:pPr>
      <w:r>
        <w:rPr>
          <w:rFonts w:hint="eastAsia" w:ascii="宋体" w:hAnsi="宋体"/>
          <w:szCs w:val="21"/>
        </w:rPr>
        <w:t>⑤产品入库后发现有质量问题，但未办理退库手续的产品。</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szCs w:val="21"/>
        </w:rPr>
      </w:pPr>
      <w:r>
        <w:rPr>
          <w:rFonts w:hint="eastAsia" w:ascii="宋体" w:hAnsi="宋体"/>
          <w:szCs w:val="21"/>
        </w:rPr>
        <w:t>（3）产品库存量不应包括的内容</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szCs w:val="21"/>
        </w:rPr>
      </w:pPr>
      <w:r>
        <w:rPr>
          <w:rFonts w:hint="eastAsia" w:ascii="宋体" w:hAnsi="宋体"/>
          <w:szCs w:val="21"/>
        </w:rPr>
        <w:t>①属于提货制销售的产品，已办理货款结算和开出提货单，但用户尚未提走的产品。</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szCs w:val="21"/>
        </w:rPr>
      </w:pPr>
      <w:r>
        <w:rPr>
          <w:rFonts w:hint="eastAsia" w:ascii="宋体" w:hAnsi="宋体"/>
          <w:szCs w:val="21"/>
        </w:rPr>
        <w:t>②代外单位保管的产品。</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szCs w:val="21"/>
        </w:rPr>
      </w:pPr>
      <w:r>
        <w:rPr>
          <w:rFonts w:hint="eastAsia" w:ascii="宋体" w:hAnsi="宋体"/>
          <w:szCs w:val="21"/>
        </w:rPr>
        <w:t>③已结束生产过程但尚未办理入库存手续的产品。</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szCs w:val="21"/>
        </w:rPr>
      </w:pPr>
      <w:r>
        <w:rPr>
          <w:rFonts w:hint="eastAsia" w:ascii="黑体" w:hAnsi="宋体" w:eastAsia="黑体"/>
          <w:szCs w:val="21"/>
        </w:rPr>
        <w:t>生产量　</w:t>
      </w:r>
      <w:r>
        <w:rPr>
          <w:rFonts w:hint="eastAsia" w:ascii="宋体" w:hAnsi="宋体"/>
          <w:szCs w:val="21"/>
        </w:rPr>
        <w:t>指企业在报告期内生产的并符合产品质量要求的实物数量，包括商品量和自用量两部分。</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（1）产品生产量计算应遵循的原则</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①产品质量标准：产品必须符合规定的质量标准或订货合同规定的技术条件，才可统计生产量。产品质量标准一律按国家标准或部颁标准执行。没有国家标准或部颁标准的产品，应按企业主管机关的标准或订货合同规定的技术条件执行，不得擅自更改标准或降低标准，不合格的产品不能计算生产量。</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②统计时间：产品生产量反映的是报告期内的企业生产成果，凡报告期内生产的产品都应计算在内，即截至报告期最后一天检验合格并办理了入库手续的产品，其中规定要求包装的产品必须包装好才能计算其生产量。至于报告期最后一天以哪一个班次作为截止计算产量的班次则由企业主管机关规定，并应与会计核算的结算时间一致。结算时间一经确定，就要严格执行，不得随意提前或移后。</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③准确度量：准确度量是计算产品产量的重要一环，企业应配备必要的计量设备，对产量进行实际度量，不得随意估算，对确有困难不得不推算的某些产品，一定要按照主管部门规定的推算方法计算，使之尽量接近实际。</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（2）产品生产量包括的内容</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①企业各车间（主要车间、辅助车间、附属品车间及副产品车间）用自备原材料生产的全部产品产量，不论是要销售的商品量还是本企业的自用量，均应统计生产量。</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②凡用订货者来料加工生产的产品，并且加工企业只收取加工费的，如果订货者是境内非工业企业和境外企业，其产品生产量由加工企业统计；如果订货者是境内工业企业，产品生产量由委托企业（即发包企业）统计，加工企业（即承包企业）不统计。</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③经正式鉴定合格的新产品、自产自用的生产设备、未正式投入生产以前试生产的合格品以及基本建设附产的合格品，都应包括在产品生产量中。</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④用进口原材料或关键零件生产的产品，或用进口整套散装零件及用进口组装件加工、装配的产品，不论是在国内销售还是外商经销，生产量均统计在国内同种产品生产量中。</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⑤在我国国土范围内的外商投资和港、澳、台商投资企业生产的产品，其生产量全部统计在国内同种产品生产量中。</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区分来料加工与自备原材料生产的依据是加工企业与委托加工企业间的财务结算关系。如果委托企业提供原材料而不与加工企业结算，加工企业收取加工费，产品返回委托企业销售，则这种模式是来料加工；如果委托加工企业提供的原材料与加工企业是结算的，制成品由加工企业返给委托企业也是结算的，则这种模式是自备原材料生产。</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Theme="minorEastAsia" w:hAnsiTheme="minorEastAsia" w:eastAsiaTheme="minorEastAsia" w:cstheme="minorEastAsia"/>
          <w:szCs w:val="21"/>
        </w:rPr>
        <w:t>（3）</w:t>
      </w:r>
      <w:r>
        <w:rPr>
          <w:rFonts w:hint="eastAsia" w:ascii="宋体" w:hAnsi="宋体"/>
          <w:szCs w:val="21"/>
        </w:rPr>
        <w:t>产品生产量不应包括的内容</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①在生产产品的同时，产生的下脚余料或废料，如冶金工业的氧化铁、中心注管、钢材切头、切尾，机械工业的切屑，木材工业的锯末，粮食加工工业的糠、麸，酿酒工业的酒糟等，一般做下脚料出售，不应统计为产品生产量。</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②投入生产过程中的原材料没有完全消耗掉，而加以回收、提浓，再供本企业自用的，如机械工业回收的润滑油，合成洗涤剂厂回收的盐酸、硫酸等都不计算产品生产量。</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③企业从外购进的，未经本企业任何加工的，不得作为本企业的产品生产量统计。</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④某些产品在检验产品质量时，需做破坏性试验（如试验灯泡的使用寿命，手电池的间歇放电时间等），这些用作试验的产品，不计算在产品生产量中。</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黑体" w:hAnsi="宋体" w:eastAsia="黑体"/>
          <w:szCs w:val="21"/>
        </w:rPr>
        <w:t>销售量　</w:t>
      </w:r>
      <w:r>
        <w:rPr>
          <w:rFonts w:hint="eastAsia" w:ascii="宋体" w:hAnsi="宋体"/>
          <w:szCs w:val="21"/>
        </w:rPr>
        <w:t>指报告期内企业实际销售的由本企业生产（包括本期生产和非本期生产）的符合规定的质量标准或订货合同规定的技术条件的产品的实物数量。凡用订货者来料加工生产的产品，并且加工企业只收取加工费的，如果订货者是境内非工业企业和境外企业，其产品销售量由加工企业（即承包企业）统计；如果订货者是境内工业企业，产品销售量由委托企业（即发包企业）统计，加工企业不统计。</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区分来料加工与自备原材料生产的依据同产品产量中的规定。</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1）产品销售量的核算原则：产品销售量以产品销售实现为核算原则，即在产品已发出，货款已经收到或者得到了收取货款的凭据时作为销售实现，统计产品销售量。按照企业销售方式的不同，产品销售量统计遵从以下几种规定：</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①采用送货制销售的，产品如由本企业运输部门发运，以产品出库单上的数量、日期为准；如委托专业运输部门发运，则以运输部门的承运单上的数量、日期为准。</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②采用提货制销售的，以给用户开具的发票和提货单上的数量、日期为准。</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③委托其他单位代销的产品，以企业收到代销单位的代销清单为准。</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④采用预收货款销售的，在发出产品时作为销售。产品尚未生产出来，已预收货款或预开提货单的，不应算作销售。</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⑤企业出口销售的产品，陆运以取得承运货物收据或铁路运单，海运以取得出口装船提单，空运以取得空运运单，并向银行办理出口交单的数量、日期为准。企业自营出口的产品，在委托外贸部门代理出口（实行代理制）的情况下，以收到外贸部门代办的运单和银行交单凭证的数量、日期为准。</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（2）统计产品销售量应注意以下几点：</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①只有企业销售的合格产品才能统计其销售量，销售的次品不能计入产品销售量。</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②企业直接从外购进产成品，只是更换了标签或包装的，不能作为销售量统计。</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③分清产品销售和预售的界限：预售指产品还没有生产出来以前，用户为了购买这种产品事先向工厂支付货款。预售不能算作销售。相反，有些产品采用了分期付款的形式，只要是用户拿到了这个商品，不管货款是否已付清，作为企业已经取得了收取货款的凭证就应作为销售。</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（3）售出产品退货的处理遵从以下规定</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①退回报告期内销售的合格品，应从报告期销售量中扣除，同时计入库存量；退回报告期内销售的不合格品，要在报告期销售量中扣除，还要同时扣除报告期生产量。</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②退回报告期以前售出的合格品，报告期销售量不变，计入产品库存量中；退回报告期以前售出的不合格品，报告期销售量和报告期生产量均不变。</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szCs w:val="21"/>
        </w:rPr>
      </w:pPr>
      <w:r>
        <w:rPr>
          <w:rFonts w:hint="eastAsia" w:ascii="宋体" w:hAnsi="宋体"/>
          <w:szCs w:val="21"/>
        </w:rPr>
        <w:t>③退回修理的产品，修理后仍交原用户的，不作为退货处理，在统计报表上不做反映。</w:t>
      </w:r>
    </w:p>
    <w:p>
      <w:pPr>
        <w:keepNext w:val="0"/>
        <w:keepLines w:val="0"/>
        <w:pageBreakBefore w:val="0"/>
        <w:widowControl w:val="0"/>
        <w:kinsoku/>
        <w:wordWrap/>
        <w:overflowPunct/>
        <w:topLinePunct w:val="0"/>
        <w:autoSpaceDE/>
        <w:autoSpaceDN/>
        <w:bidi w:val="0"/>
        <w:adjustRightInd/>
        <w:spacing w:line="360" w:lineRule="exact"/>
        <w:ind w:right="-38" w:firstLine="420" w:firstLineChars="200"/>
        <w:textAlignment w:val="auto"/>
        <w:rPr>
          <w:rFonts w:ascii="宋体" w:hAnsi="宋体"/>
          <w:szCs w:val="21"/>
        </w:rPr>
      </w:pPr>
      <w:r>
        <w:rPr>
          <w:rFonts w:hint="eastAsia" w:ascii="黑体" w:hAnsi="宋体" w:eastAsia="黑体"/>
          <w:szCs w:val="21"/>
        </w:rPr>
        <w:t>企业自用及其他　</w:t>
      </w:r>
      <w:r>
        <w:rPr>
          <w:rFonts w:hint="eastAsia" w:ascii="宋体" w:hAnsi="宋体"/>
          <w:bCs/>
          <w:szCs w:val="21"/>
        </w:rPr>
        <w:t>本指标包括</w:t>
      </w:r>
      <w:r>
        <w:rPr>
          <w:rFonts w:hint="eastAsia" w:ascii="宋体" w:hAnsi="宋体"/>
          <w:szCs w:val="21"/>
        </w:rPr>
        <w:t>企业自用量和其他</w:t>
      </w:r>
      <w:r>
        <w:rPr>
          <w:rFonts w:hint="eastAsia" w:ascii="宋体" w:hAnsi="宋体"/>
          <w:bCs/>
          <w:szCs w:val="21"/>
        </w:rPr>
        <w:t>两部分。</w:t>
      </w:r>
      <w:r>
        <w:rPr>
          <w:rFonts w:hint="eastAsia" w:ascii="宋体" w:hAnsi="宋体"/>
          <w:szCs w:val="21"/>
        </w:rPr>
        <w:t>企业自用量又称企业自产自用量，指企业在报告期内生产的、已作本企业产量统计的、又为本企业使用的产品的数量。如钢铁企业用本企业生产的生铁炼钢，其计算了生铁产量又用于炼钢的生铁数量，应作为企业自用量统计。但是，由本企业验收合格后，作为商品出售给本企业生活用、在建工程用或行政部门用的产品数量，不能作为自用量统计，而作为销售量统计。如钢铁企业将本企业生产的钢材用于本企业房屋维修的数量，应作为销售量而不是自用量统计。</w:t>
      </w:r>
      <w:r>
        <w:rPr>
          <w:rFonts w:hint="eastAsia" w:ascii="宋体" w:hAnsi="宋体"/>
          <w:bCs/>
          <w:szCs w:val="21"/>
        </w:rPr>
        <w:t>其他是</w:t>
      </w:r>
      <w:r>
        <w:rPr>
          <w:rFonts w:hint="eastAsia" w:ascii="宋体" w:hAnsi="宋体"/>
          <w:szCs w:val="21"/>
        </w:rPr>
        <w:t>指企业在报告期内将产品用于展览、捐赠、借出以及报废等方面的产品数量和盘盈盘亏的数量。企业以促销手段搭售的产品不能视为捐赠，而应作为销售对待。</w:t>
      </w:r>
    </w:p>
    <w:p>
      <w:pPr>
        <w:keepNext w:val="0"/>
        <w:keepLines w:val="0"/>
        <w:pageBreakBefore w:val="0"/>
        <w:widowControl w:val="0"/>
        <w:kinsoku/>
        <w:wordWrap/>
        <w:overflowPunct/>
        <w:topLinePunct w:val="0"/>
        <w:autoSpaceDE/>
        <w:autoSpaceDN/>
        <w:bidi w:val="0"/>
        <w:adjustRightInd/>
        <w:spacing w:line="360" w:lineRule="exact"/>
        <w:ind w:right="-38" w:firstLine="420" w:firstLineChars="200"/>
        <w:textAlignment w:val="auto"/>
        <w:rPr>
          <w:rFonts w:ascii="宋体" w:hAnsi="宋体"/>
          <w:szCs w:val="21"/>
        </w:rPr>
      </w:pPr>
      <w:r>
        <w:rPr>
          <w:rFonts w:hint="eastAsia" w:ascii="黑体" w:hAnsi="宋体" w:eastAsia="黑体"/>
          <w:szCs w:val="21"/>
        </w:rPr>
        <w:t>销往省外　</w:t>
      </w:r>
      <w:r>
        <w:rPr>
          <w:rFonts w:hint="eastAsia" w:ascii="宋体" w:hAnsi="宋体"/>
          <w:bCs/>
          <w:szCs w:val="21"/>
        </w:rPr>
        <w:t>指企业在报告期内销往本省（自治区、直辖市）以外（包括出口）的数量。</w:t>
      </w:r>
    </w:p>
    <w:p>
      <w:pPr>
        <w:jc w:val="center"/>
        <w:rPr>
          <w:rFonts w:ascii="黑体" w:hAnsi="宋体" w:eastAsia="黑体"/>
          <w:sz w:val="32"/>
          <w:szCs w:val="32"/>
        </w:rPr>
      </w:pPr>
      <w:r>
        <w:rPr>
          <w:rFonts w:ascii="宋体" w:hAnsi="宋体"/>
          <w:szCs w:val="21"/>
        </w:rPr>
        <w:br w:type="page"/>
      </w:r>
      <w:r>
        <w:rPr>
          <w:rFonts w:hint="default" w:ascii="Times New Roman" w:hAnsi="Times New Roman" w:eastAsia="黑体" w:cs="Times New Roman"/>
          <w:sz w:val="24"/>
        </w:rPr>
        <w:t>6.重点能源商品经销情况（205-7表）</w:t>
      </w:r>
    </w:p>
    <w:p>
      <w:pPr>
        <w:pStyle w:val="10"/>
        <w:ind w:firstLine="360" w:firstLineChars="200"/>
        <w:rPr>
          <w:rFonts w:ascii="Times New Roman" w:hAnsi="Times New Roman" w:eastAsia="黑体" w:cs="Times New Roman"/>
          <w:bCs/>
          <w:sz w:val="18"/>
          <w:szCs w:val="18"/>
        </w:rPr>
      </w:pPr>
    </w:p>
    <w:p>
      <w:pPr>
        <w:pStyle w:val="10"/>
        <w:keepNext w:val="0"/>
        <w:keepLines w:val="0"/>
        <w:pageBreakBefore w:val="0"/>
        <w:widowControl w:val="0"/>
        <w:kinsoku/>
        <w:wordWrap/>
        <w:overflowPunct/>
        <w:topLinePunct w:val="0"/>
        <w:autoSpaceDE/>
        <w:autoSpaceDN/>
        <w:bidi w:val="0"/>
        <w:spacing w:before="120" w:line="360" w:lineRule="exact"/>
        <w:ind w:firstLine="420" w:firstLineChars="200"/>
        <w:textAlignment w:val="auto"/>
        <w:rPr>
          <w:rFonts w:ascii="Times New Roman" w:hAnsi="Times New Roman" w:cs="Times New Roman"/>
          <w:bCs/>
        </w:rPr>
      </w:pPr>
      <w:r>
        <w:rPr>
          <w:rFonts w:ascii="Times New Roman" w:hAnsi="Times New Roman" w:eastAsia="黑体" w:cs="Times New Roman"/>
          <w:bCs/>
        </w:rPr>
        <w:t>商品购进量</w:t>
      </w:r>
      <w:r>
        <w:rPr>
          <w:rFonts w:hint="eastAsia" w:ascii="Times New Roman" w:hAnsi="Times New Roman" w:eastAsia="黑体" w:cs="Times New Roman"/>
          <w:bCs/>
        </w:rPr>
        <w:t>　</w:t>
      </w:r>
      <w:r>
        <w:rPr>
          <w:rFonts w:ascii="Times New Roman" w:hAnsi="Times New Roman" w:cs="Times New Roman"/>
          <w:bCs/>
        </w:rPr>
        <w:t>指从本单位以外的单位或个人购买和调入（开具正式发票，下同）的商品数量。购进的各种商品，不论是否进入本单位仓库，凡是通过本单位结算货款的，都统计在商品购进量中。</w:t>
      </w:r>
    </w:p>
    <w:p>
      <w:pPr>
        <w:pStyle w:val="10"/>
        <w:keepNext w:val="0"/>
        <w:keepLines w:val="0"/>
        <w:pageBreakBefore w:val="0"/>
        <w:widowControl w:val="0"/>
        <w:kinsoku/>
        <w:wordWrap/>
        <w:overflowPunct/>
        <w:topLinePunct w:val="0"/>
        <w:autoSpaceDE/>
        <w:autoSpaceDN/>
        <w:bidi w:val="0"/>
        <w:adjustRightInd w:val="0"/>
        <w:snapToGrid w:val="0"/>
        <w:spacing w:line="360" w:lineRule="exact"/>
        <w:ind w:firstLine="411" w:firstLineChars="196"/>
        <w:textAlignment w:val="auto"/>
        <w:rPr>
          <w:rFonts w:asciiTheme="minorEastAsia" w:hAnsiTheme="minorEastAsia" w:eastAsiaTheme="minorEastAsia" w:cstheme="minorEastAsia"/>
          <w:kern w:val="0"/>
        </w:rPr>
      </w:pPr>
      <w:r>
        <w:rPr>
          <w:rFonts w:ascii="Times New Roman" w:hAnsi="Times New Roman" w:cs="Times New Roman"/>
          <w:bCs/>
        </w:rPr>
        <w:t>商品购进量包括：</w:t>
      </w:r>
      <w:r>
        <w:rPr>
          <w:rFonts w:hint="eastAsia" w:asciiTheme="minorEastAsia" w:hAnsiTheme="minorEastAsia" w:eastAsiaTheme="minorEastAsia" w:cstheme="minorEastAsia"/>
          <w:kern w:val="0"/>
        </w:rPr>
        <w:t>（1）从工农业生产者、批发和零售业单位、住宿和餐饮业单位、出版社或报社的出版发行部门和其他服务业单位购买的商品数量；（2）从机关团体、事业单位购买的商品数量；（3）从海关、市场管理部门购买的缉私和没收的商品数量。（4）从国（境）外直接进口的商品数量；（5）从居民收购的废旧商品数量。</w:t>
      </w:r>
    </w:p>
    <w:p>
      <w:pPr>
        <w:pStyle w:val="10"/>
        <w:keepNext w:val="0"/>
        <w:keepLines w:val="0"/>
        <w:pageBreakBefore w:val="0"/>
        <w:widowControl w:val="0"/>
        <w:kinsoku/>
        <w:wordWrap/>
        <w:overflowPunct/>
        <w:topLinePunct w:val="0"/>
        <w:autoSpaceDE/>
        <w:autoSpaceDN/>
        <w:bidi w:val="0"/>
        <w:adjustRightInd w:val="0"/>
        <w:snapToGrid w:val="0"/>
        <w:spacing w:line="360" w:lineRule="exact"/>
        <w:ind w:firstLine="411" w:firstLineChars="196"/>
        <w:textAlignment w:val="auto"/>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商品购进量不包括：（1）未通过买卖行为而收入的商品数量，如接收其他部门移交的、借入的、代其他单位保管的、其他单位赠送的样品、加工回收的成品等；（2）经本单位介绍，由买卖双方直接结算，本单位只收取手续费的业务；（3）销货退回、买方拒付货款的商品数量；（4）溢余商品数量。</w:t>
      </w:r>
    </w:p>
    <w:p>
      <w:pPr>
        <w:pStyle w:val="10"/>
        <w:keepNext w:val="0"/>
        <w:keepLines w:val="0"/>
        <w:pageBreakBefore w:val="0"/>
        <w:widowControl w:val="0"/>
        <w:kinsoku/>
        <w:wordWrap/>
        <w:overflowPunct/>
        <w:topLinePunct w:val="0"/>
        <w:autoSpaceDE/>
        <w:autoSpaceDN/>
        <w:bidi w:val="0"/>
        <w:adjustRightInd w:val="0"/>
        <w:snapToGrid w:val="0"/>
        <w:spacing w:line="360" w:lineRule="exact"/>
        <w:ind w:firstLine="411" w:firstLineChars="196"/>
        <w:textAlignment w:val="auto"/>
        <w:rPr>
          <w:rFonts w:asciiTheme="minorEastAsia" w:hAnsiTheme="minorEastAsia" w:eastAsiaTheme="minorEastAsia" w:cstheme="minorEastAsia"/>
          <w:kern w:val="0"/>
        </w:rPr>
      </w:pPr>
      <w:r>
        <w:rPr>
          <w:rFonts w:ascii="Times New Roman" w:hAnsi="Times New Roman" w:eastAsia="黑体" w:cs="Times New Roman"/>
          <w:bCs/>
        </w:rPr>
        <w:t>商品销售量</w:t>
      </w:r>
      <w:r>
        <w:rPr>
          <w:rFonts w:hint="eastAsia" w:ascii="Times New Roman" w:hAnsi="Times New Roman" w:eastAsia="黑体" w:cs="Times New Roman"/>
          <w:bCs/>
        </w:rPr>
        <w:t>　</w:t>
      </w:r>
      <w:r>
        <w:rPr>
          <w:rFonts w:ascii="Times New Roman" w:hAnsi="Times New Roman" w:cs="Times New Roman"/>
          <w:bCs/>
        </w:rPr>
        <w:t>指销售和调出（开具正式发票，下同）给本单位以外的单位或个人的商品数量。销售的各种商品，凡是收</w:t>
      </w:r>
      <w:r>
        <w:rPr>
          <w:rFonts w:hint="eastAsia" w:asciiTheme="minorEastAsia" w:hAnsiTheme="minorEastAsia" w:eastAsiaTheme="minorEastAsia" w:cstheme="minorEastAsia"/>
          <w:kern w:val="0"/>
        </w:rPr>
        <w:t>到货款或取得收款凭证的，都统计在商品销售量中。</w:t>
      </w:r>
    </w:p>
    <w:p>
      <w:pPr>
        <w:pStyle w:val="10"/>
        <w:keepNext w:val="0"/>
        <w:keepLines w:val="0"/>
        <w:pageBreakBefore w:val="0"/>
        <w:widowControl w:val="0"/>
        <w:kinsoku/>
        <w:wordWrap/>
        <w:overflowPunct/>
        <w:topLinePunct w:val="0"/>
        <w:autoSpaceDE/>
        <w:autoSpaceDN/>
        <w:bidi w:val="0"/>
        <w:adjustRightInd w:val="0"/>
        <w:snapToGrid w:val="0"/>
        <w:spacing w:line="360" w:lineRule="exact"/>
        <w:ind w:firstLine="411" w:firstLineChars="196"/>
        <w:textAlignment w:val="auto"/>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商品销售量包括：（1）售给城乡居民、社会集团消费和其他个人（如外来旅游者）的商品数量；（2）售给国民经济各行业用于生产、经营使用的商品数量，包括售给批发和零售业作为转卖或加工后转卖的商品数量；（3）对国（境）外直接出口的商品数量。</w:t>
      </w:r>
    </w:p>
    <w:p>
      <w:pPr>
        <w:pStyle w:val="10"/>
        <w:keepNext w:val="0"/>
        <w:keepLines w:val="0"/>
        <w:pageBreakBefore w:val="0"/>
        <w:widowControl w:val="0"/>
        <w:kinsoku/>
        <w:wordWrap/>
        <w:overflowPunct/>
        <w:topLinePunct w:val="0"/>
        <w:autoSpaceDE/>
        <w:autoSpaceDN/>
        <w:bidi w:val="0"/>
        <w:adjustRightInd w:val="0"/>
        <w:snapToGrid w:val="0"/>
        <w:spacing w:line="360" w:lineRule="exact"/>
        <w:ind w:firstLine="411" w:firstLineChars="196"/>
        <w:textAlignment w:val="auto"/>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商品销售量不包括：（1）未通过买卖行为付出的商品数量，如：转移、借出、归还、赠送等；（2）购货单位退回的商品数量；（3）商品的损耗数量；（4）经本单位介绍，由买卖双方直接结算，本单位只收取手续费的业务；（5）出售本单位自用的废旧商品数量。</w:t>
      </w:r>
    </w:p>
    <w:p>
      <w:pPr>
        <w:pStyle w:val="10"/>
        <w:keepNext w:val="0"/>
        <w:keepLines w:val="0"/>
        <w:pageBreakBefore w:val="0"/>
        <w:widowControl w:val="0"/>
        <w:kinsoku/>
        <w:wordWrap/>
        <w:overflowPunct/>
        <w:topLinePunct w:val="0"/>
        <w:autoSpaceDE/>
        <w:autoSpaceDN/>
        <w:bidi w:val="0"/>
        <w:spacing w:line="360" w:lineRule="exact"/>
        <w:ind w:firstLine="420" w:firstLineChars="200"/>
        <w:textAlignment w:val="auto"/>
        <w:rPr>
          <w:rFonts w:ascii="Times New Roman" w:hAnsi="Times New Roman" w:cs="Times New Roman"/>
          <w:bCs/>
        </w:rPr>
      </w:pPr>
      <w:r>
        <w:rPr>
          <w:rFonts w:ascii="Times New Roman" w:hAnsi="Times New Roman" w:eastAsia="黑体" w:cs="Times New Roman"/>
          <w:bCs/>
        </w:rPr>
        <w:t>商品库存量</w:t>
      </w:r>
      <w:r>
        <w:rPr>
          <w:rFonts w:hint="eastAsia" w:ascii="Times New Roman" w:hAnsi="Times New Roman" w:eastAsia="黑体" w:cs="Times New Roman"/>
          <w:bCs/>
        </w:rPr>
        <w:t>　</w:t>
      </w:r>
      <w:r>
        <w:rPr>
          <w:rFonts w:ascii="Times New Roman" w:hAnsi="Times New Roman" w:cs="Times New Roman"/>
          <w:bCs/>
        </w:rPr>
        <w:t>指本单位已取得所有权的全部商品数量。商品库存量必须按照规定时点核算，期初库存量指报告期第一天零时的实际库存量，期末库存量指报告期最后一天24时的实际库存量。</w:t>
      </w:r>
    </w:p>
    <w:p>
      <w:pPr>
        <w:pStyle w:val="10"/>
        <w:keepNext w:val="0"/>
        <w:keepLines w:val="0"/>
        <w:pageBreakBefore w:val="0"/>
        <w:widowControl w:val="0"/>
        <w:kinsoku/>
        <w:wordWrap/>
        <w:overflowPunct/>
        <w:topLinePunct w:val="0"/>
        <w:autoSpaceDE/>
        <w:autoSpaceDN/>
        <w:bidi w:val="0"/>
        <w:adjustRightInd w:val="0"/>
        <w:snapToGrid w:val="0"/>
        <w:spacing w:line="360" w:lineRule="exact"/>
        <w:ind w:firstLine="411" w:firstLineChars="196"/>
        <w:textAlignment w:val="auto"/>
        <w:rPr>
          <w:rFonts w:asciiTheme="minorEastAsia" w:hAnsiTheme="minorEastAsia" w:eastAsiaTheme="minorEastAsia" w:cstheme="minorEastAsia"/>
          <w:kern w:val="0"/>
        </w:rPr>
      </w:pPr>
      <w:r>
        <w:rPr>
          <w:rFonts w:ascii="Times New Roman" w:hAnsi="Times New Roman" w:cs="Times New Roman"/>
          <w:bCs/>
        </w:rPr>
        <w:t>商品库存量包括：</w:t>
      </w:r>
      <w:r>
        <w:rPr>
          <w:rFonts w:hint="eastAsia" w:asciiTheme="minorEastAsia" w:hAnsiTheme="minorEastAsia" w:eastAsiaTheme="minorEastAsia" w:cstheme="minorEastAsia"/>
          <w:kern w:val="0"/>
        </w:rPr>
        <w:t>（1）存放在本单位（如门市部、批发站、采购站、经营处）的仓库、货场、货柜和货架中的商品数量；（2）挑选、整理、包装中的商品数量；（3）已记入购进而尚未运到的本单位的商品数量，即发货单或银行承兑凭证已到而货未到的商品数量；（4）寄存在他处的商品数量，如因购货方拒绝付款而暂时存在购货方的商品数量；（5）委托其他单位代销（未做销售货调出）尚未售出的商品数量；（6）代其他单位购进尚未交付的商品数量。</w:t>
      </w:r>
    </w:p>
    <w:p>
      <w:pPr>
        <w:pStyle w:val="10"/>
        <w:keepNext w:val="0"/>
        <w:keepLines w:val="0"/>
        <w:pageBreakBefore w:val="0"/>
        <w:widowControl w:val="0"/>
        <w:kinsoku/>
        <w:wordWrap/>
        <w:overflowPunct/>
        <w:topLinePunct w:val="0"/>
        <w:autoSpaceDE/>
        <w:autoSpaceDN/>
        <w:bidi w:val="0"/>
        <w:adjustRightInd w:val="0"/>
        <w:snapToGrid w:val="0"/>
        <w:spacing w:line="360" w:lineRule="exact"/>
        <w:ind w:firstLine="411" w:firstLineChars="196"/>
        <w:textAlignment w:val="auto"/>
        <w:rPr>
          <w:rFonts w:ascii="Times New Roman" w:hAnsi="Times New Roman" w:cs="Times New Roman"/>
          <w:bCs/>
        </w:rPr>
      </w:pPr>
      <w:r>
        <w:rPr>
          <w:rFonts w:hint="eastAsia" w:asciiTheme="minorEastAsia" w:hAnsiTheme="minorEastAsia" w:eastAsiaTheme="minorEastAsia" w:cstheme="minorEastAsia"/>
          <w:kern w:val="0"/>
        </w:rPr>
        <w:t>商品库存量不包括：（1）所有权不属于本单位的商品数量，如商品已作销售但买方尚未取走的商品数量，代替他人保管、运输、加工的商品数量，代其他单位销售（未做购进或调入）而未售出的商品数量；（2）委托外单位加工的商品数量（包括本单位所属加工厂和其他生产单位加工生产尚未收回成品的商品数量）；（3）外贸企业代理其他单位从国外进口，尚未付给订</w:t>
      </w:r>
      <w:r>
        <w:rPr>
          <w:rFonts w:ascii="Times New Roman" w:hAnsi="Times New Roman" w:cs="Times New Roman"/>
          <w:bCs/>
        </w:rPr>
        <w:t>货单位的商品数量；</w:t>
      </w:r>
      <w:r>
        <w:rPr>
          <w:rFonts w:hint="eastAsia" w:asciiTheme="minorEastAsia" w:hAnsiTheme="minorEastAsia" w:eastAsiaTheme="minorEastAsia" w:cstheme="minorEastAsia"/>
          <w:kern w:val="0"/>
        </w:rPr>
        <w:t>（4）代</w:t>
      </w:r>
      <w:r>
        <w:rPr>
          <w:rFonts w:ascii="Times New Roman" w:hAnsi="Times New Roman" w:cs="Times New Roman"/>
          <w:bCs/>
        </w:rPr>
        <w:t>国家储备部门保管的商品数量。</w:t>
      </w:r>
    </w:p>
    <w:p>
      <w:pPr>
        <w:keepNext w:val="0"/>
        <w:keepLines w:val="0"/>
        <w:pageBreakBefore w:val="0"/>
        <w:widowControl w:val="0"/>
        <w:kinsoku/>
        <w:wordWrap/>
        <w:overflowPunct/>
        <w:topLinePunct w:val="0"/>
        <w:autoSpaceDE/>
        <w:autoSpaceDN/>
        <w:bidi w:val="0"/>
        <w:spacing w:line="360" w:lineRule="exact"/>
        <w:ind w:right="-38" w:firstLine="420" w:firstLineChars="200"/>
        <w:textAlignment w:val="auto"/>
        <w:rPr>
          <w:rFonts w:eastAsia="仿宋_GB2312"/>
          <w:sz w:val="32"/>
          <w:szCs w:val="32"/>
        </w:rPr>
      </w:pPr>
      <w:r>
        <w:rPr>
          <w:rFonts w:eastAsia="黑体"/>
          <w:szCs w:val="21"/>
        </w:rPr>
        <w:t>购自省外</w:t>
      </w:r>
      <w:r>
        <w:rPr>
          <w:rFonts w:hint="eastAsia" w:eastAsia="黑体"/>
          <w:szCs w:val="21"/>
        </w:rPr>
        <w:t>　</w:t>
      </w:r>
      <w:r>
        <w:rPr>
          <w:bCs/>
          <w:szCs w:val="21"/>
        </w:rPr>
        <w:t>指能源经销企业在报告期内从本省（自治区、直辖市）以外（包括进口）的企业购进的用于本企业销售的能源商品数量。</w:t>
      </w:r>
    </w:p>
    <w:p>
      <w:pPr>
        <w:keepNext w:val="0"/>
        <w:keepLines w:val="0"/>
        <w:pageBreakBefore w:val="0"/>
        <w:widowControl w:val="0"/>
        <w:kinsoku/>
        <w:wordWrap/>
        <w:overflowPunct/>
        <w:topLinePunct w:val="0"/>
        <w:autoSpaceDE/>
        <w:autoSpaceDN/>
        <w:bidi w:val="0"/>
        <w:spacing w:line="360" w:lineRule="exact"/>
        <w:ind w:right="-38" w:firstLine="420" w:firstLineChars="200"/>
        <w:textAlignment w:val="auto"/>
        <w:rPr>
          <w:bCs/>
          <w:szCs w:val="21"/>
        </w:rPr>
      </w:pPr>
      <w:r>
        <w:rPr>
          <w:rFonts w:eastAsia="黑体"/>
          <w:szCs w:val="21"/>
        </w:rPr>
        <w:t>销往省外</w:t>
      </w:r>
      <w:r>
        <w:rPr>
          <w:rFonts w:hint="eastAsia" w:eastAsia="黑体"/>
          <w:szCs w:val="21"/>
        </w:rPr>
        <w:t>　</w:t>
      </w:r>
      <w:r>
        <w:rPr>
          <w:bCs/>
          <w:szCs w:val="21"/>
        </w:rPr>
        <w:t>指能源经销企业在报告期内经销的能源商品销往本省（自治区、直辖市）以外（包括出口）的数量。</w:t>
      </w:r>
    </w:p>
    <w:p>
      <w:pPr>
        <w:keepNext w:val="0"/>
        <w:keepLines w:val="0"/>
        <w:pageBreakBefore w:val="0"/>
        <w:widowControl w:val="0"/>
        <w:kinsoku/>
        <w:wordWrap/>
        <w:overflowPunct/>
        <w:topLinePunct w:val="0"/>
        <w:autoSpaceDE/>
        <w:autoSpaceDN/>
        <w:bidi w:val="0"/>
        <w:spacing w:line="360" w:lineRule="exact"/>
        <w:ind w:right="-38" w:firstLine="420" w:firstLineChars="200"/>
        <w:textAlignment w:val="auto"/>
        <w:rPr>
          <w:bCs/>
          <w:szCs w:val="21"/>
        </w:rPr>
      </w:pPr>
      <w:r>
        <w:rPr>
          <w:rFonts w:eastAsia="黑体"/>
          <w:szCs w:val="21"/>
        </w:rPr>
        <w:t>损耗量及其他</w:t>
      </w:r>
      <w:r>
        <w:rPr>
          <w:rFonts w:hint="eastAsia" w:eastAsia="黑体"/>
          <w:szCs w:val="21"/>
        </w:rPr>
        <w:t>　</w:t>
      </w:r>
      <w:r>
        <w:rPr>
          <w:bCs/>
          <w:szCs w:val="21"/>
        </w:rPr>
        <w:t>本指标包括损耗量和其他两部分。损耗量一般指报告期内能源商品在库存或运输过程中由于各种原因产生的损耗（如物理碰撞损伤、易挥发物料的挥发、液体物料的泄露等）,以及企业库存的盘盈盘亏的数量；其他是指能源经销企业在报告期内将能源商品用于消费、展览、捐赠、借出以及报废等方面的数量。</w:t>
      </w:r>
    </w:p>
    <w:p>
      <w:pPr>
        <w:pStyle w:val="10"/>
        <w:adjustRightInd w:val="0"/>
        <w:spacing w:line="360" w:lineRule="auto"/>
        <w:rPr>
          <w:rFonts w:hAnsi="宋体" w:cs="宋体"/>
          <w:kern w:val="0"/>
        </w:rPr>
      </w:pPr>
      <w:r>
        <w:br w:type="page"/>
      </w:r>
    </w:p>
    <w:p>
      <w:pPr>
        <w:ind w:right="-38"/>
        <w:jc w:val="center"/>
        <w:rPr>
          <w:rFonts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rPr>
        <w:t>（四）季度地区能源消费总量核算方案</w:t>
      </w:r>
    </w:p>
    <w:p>
      <w:pPr>
        <w:ind w:right="-38"/>
        <w:jc w:val="center"/>
        <w:rPr>
          <w:rFonts w:ascii="黑体" w:hAnsi="宋体" w:eastAsia="黑体"/>
          <w:b/>
          <w:sz w:val="28"/>
          <w:szCs w:val="28"/>
        </w:rPr>
      </w:pPr>
    </w:p>
    <w:p>
      <w:pPr>
        <w:pStyle w:val="10"/>
        <w:adjustRightInd w:val="0"/>
        <w:snapToGrid w:val="0"/>
        <w:spacing w:line="420" w:lineRule="exact"/>
        <w:ind w:firstLine="411" w:firstLineChars="196"/>
        <w:rPr>
          <w:rFonts w:hAnsi="宋体" w:cs="宋体"/>
          <w:spacing w:val="-6"/>
          <w:kern w:val="0"/>
          <w:sz w:val="21"/>
        </w:rPr>
      </w:pPr>
      <w:r>
        <w:rPr>
          <w:rFonts w:hAnsi="宋体" w:cs="宋体"/>
          <w:kern w:val="0"/>
        </w:rPr>
        <w:t>季度地区能源消费总量核算</w:t>
      </w:r>
      <w:r>
        <w:rPr>
          <w:rFonts w:hint="eastAsia" w:hAnsi="宋体" w:cs="宋体"/>
          <w:kern w:val="0"/>
        </w:rPr>
        <w:t>（季度核算</w:t>
      </w:r>
      <w:r>
        <w:rPr>
          <w:rFonts w:hAnsi="宋体" w:cs="宋体"/>
          <w:kern w:val="0"/>
        </w:rPr>
        <w:t>）的基础资料主要包括能源平衡表</w:t>
      </w:r>
      <w:r>
        <w:rPr>
          <w:rFonts w:hint="eastAsia" w:hAnsi="宋体" w:cs="宋体"/>
          <w:kern w:val="0"/>
        </w:rPr>
        <w:t>、</w:t>
      </w:r>
      <w:r>
        <w:rPr>
          <w:rFonts w:hAnsi="宋体" w:cs="宋体"/>
          <w:kern w:val="0"/>
        </w:rPr>
        <w:t>规模以上工业企业能源</w:t>
      </w:r>
      <w:r>
        <w:rPr>
          <w:rFonts w:hAnsi="宋体" w:cs="宋体"/>
          <w:spacing w:val="-6"/>
          <w:kern w:val="0"/>
          <w:sz w:val="21"/>
        </w:rPr>
        <w:t>消费</w:t>
      </w:r>
      <w:r>
        <w:rPr>
          <w:rFonts w:hint="eastAsia" w:hAnsi="宋体" w:cs="宋体"/>
          <w:spacing w:val="-6"/>
          <w:kern w:val="0"/>
          <w:sz w:val="21"/>
        </w:rPr>
        <w:t>、</w:t>
      </w:r>
      <w:r>
        <w:rPr>
          <w:rFonts w:hAnsi="宋体" w:cs="宋体"/>
          <w:spacing w:val="-6"/>
          <w:kern w:val="0"/>
          <w:sz w:val="21"/>
        </w:rPr>
        <w:t>增加值</w:t>
      </w:r>
      <w:r>
        <w:rPr>
          <w:rFonts w:hint="eastAsia" w:hAnsi="宋体" w:cs="宋体"/>
          <w:spacing w:val="-6"/>
          <w:kern w:val="0"/>
          <w:sz w:val="21"/>
        </w:rPr>
        <w:t>、全</w:t>
      </w:r>
      <w:r>
        <w:rPr>
          <w:rFonts w:hAnsi="宋体" w:cs="宋体"/>
          <w:spacing w:val="-6"/>
          <w:kern w:val="0"/>
          <w:sz w:val="21"/>
        </w:rPr>
        <w:t>社会用电量等数据</w:t>
      </w:r>
      <w:r>
        <w:rPr>
          <w:rFonts w:hint="eastAsia" w:hAnsi="宋体" w:cs="宋体"/>
          <w:spacing w:val="-6"/>
          <w:kern w:val="0"/>
          <w:sz w:val="21"/>
        </w:rPr>
        <w:t>，</w:t>
      </w:r>
      <w:r>
        <w:rPr>
          <w:rFonts w:hAnsi="宋体" w:cs="宋体"/>
          <w:spacing w:val="-6"/>
          <w:kern w:val="0"/>
          <w:sz w:val="21"/>
        </w:rPr>
        <w:t>其核算概念、口径范围等与年度</w:t>
      </w:r>
      <w:r>
        <w:rPr>
          <w:rFonts w:hint="eastAsia" w:hAnsi="宋体" w:cs="宋体"/>
          <w:spacing w:val="-6"/>
          <w:kern w:val="0"/>
          <w:sz w:val="21"/>
        </w:rPr>
        <w:t>核算</w:t>
      </w:r>
      <w:r>
        <w:rPr>
          <w:rFonts w:hAnsi="宋体" w:cs="宋体"/>
          <w:spacing w:val="-6"/>
          <w:kern w:val="0"/>
          <w:sz w:val="21"/>
        </w:rPr>
        <w:t>（</w:t>
      </w:r>
      <w:r>
        <w:rPr>
          <w:rFonts w:hint="eastAsia" w:hAnsi="宋体" w:cs="宋体"/>
          <w:spacing w:val="-6"/>
          <w:kern w:val="0"/>
          <w:sz w:val="21"/>
        </w:rPr>
        <w:t>编制年度</w:t>
      </w:r>
      <w:r>
        <w:rPr>
          <w:rFonts w:hAnsi="宋体" w:cs="宋体"/>
          <w:spacing w:val="-6"/>
          <w:kern w:val="0"/>
          <w:sz w:val="21"/>
        </w:rPr>
        <w:t>能源平衡表）一致。</w:t>
      </w:r>
    </w:p>
    <w:p>
      <w:pPr>
        <w:pStyle w:val="10"/>
        <w:adjustRightInd w:val="0"/>
        <w:snapToGrid w:val="0"/>
        <w:spacing w:line="420" w:lineRule="exact"/>
        <w:ind w:firstLine="411" w:firstLineChars="196"/>
        <w:rPr>
          <w:rFonts w:ascii="黑体" w:eastAsia="黑体"/>
          <w:color w:val="000000"/>
        </w:rPr>
      </w:pPr>
      <w:r>
        <w:rPr>
          <w:rFonts w:hint="eastAsia" w:ascii="黑体" w:eastAsia="黑体"/>
          <w:color w:val="000000"/>
        </w:rPr>
        <w:t>一、</w:t>
      </w:r>
      <w:r>
        <w:rPr>
          <w:rFonts w:ascii="黑体" w:eastAsia="黑体"/>
          <w:color w:val="000000"/>
        </w:rPr>
        <w:t>口径范围</w:t>
      </w:r>
    </w:p>
    <w:p>
      <w:pPr>
        <w:pStyle w:val="10"/>
        <w:adjustRightInd w:val="0"/>
        <w:snapToGrid w:val="0"/>
        <w:spacing w:line="420" w:lineRule="exact"/>
        <w:ind w:firstLine="411" w:firstLineChars="196"/>
        <w:rPr>
          <w:rFonts w:hAnsi="宋体" w:cs="宋体"/>
          <w:kern w:val="0"/>
        </w:rPr>
      </w:pPr>
      <w:r>
        <w:rPr>
          <w:rFonts w:hAnsi="宋体" w:cs="宋体"/>
          <w:kern w:val="0"/>
        </w:rPr>
        <w:t>1.能源消费数据均为等价值口径</w:t>
      </w:r>
      <w:r>
        <w:rPr>
          <w:rFonts w:hint="eastAsia" w:hAnsi="宋体" w:cs="宋体"/>
          <w:kern w:val="0"/>
        </w:rPr>
        <w:t>。</w:t>
      </w:r>
    </w:p>
    <w:p>
      <w:pPr>
        <w:pStyle w:val="10"/>
        <w:adjustRightInd w:val="0"/>
        <w:snapToGrid w:val="0"/>
        <w:spacing w:line="420" w:lineRule="exact"/>
        <w:ind w:firstLine="411" w:firstLineChars="196"/>
        <w:rPr>
          <w:rFonts w:hAnsi="宋体" w:cs="宋体"/>
          <w:kern w:val="0"/>
        </w:rPr>
      </w:pPr>
      <w:r>
        <w:rPr>
          <w:rFonts w:hAnsi="宋体" w:cs="宋体"/>
          <w:kern w:val="0"/>
        </w:rPr>
        <w:t>2.当上</w:t>
      </w:r>
      <w:r>
        <w:rPr>
          <w:rFonts w:hint="eastAsia" w:hAnsi="宋体" w:cs="宋体"/>
          <w:kern w:val="0"/>
        </w:rPr>
        <w:t>一</w:t>
      </w:r>
      <w:r>
        <w:rPr>
          <w:rFonts w:hAnsi="宋体" w:cs="宋体"/>
          <w:kern w:val="0"/>
        </w:rPr>
        <w:t>年度</w:t>
      </w:r>
      <w:r>
        <w:rPr>
          <w:rFonts w:hint="eastAsia" w:hAnsi="宋体" w:cs="宋体"/>
          <w:kern w:val="0"/>
        </w:rPr>
        <w:t>的</w:t>
      </w:r>
      <w:r>
        <w:rPr>
          <w:rFonts w:hAnsi="宋体" w:cs="宋体"/>
          <w:kern w:val="0"/>
        </w:rPr>
        <w:t>能源平衡表无法获得时，</w:t>
      </w:r>
      <w:r>
        <w:rPr>
          <w:rFonts w:hint="eastAsia"/>
        </w:rPr>
        <w:t>参考最新</w:t>
      </w:r>
      <w:r>
        <w:rPr>
          <w:rFonts w:hAnsi="宋体" w:cs="宋体"/>
          <w:kern w:val="0"/>
        </w:rPr>
        <w:t>年度</w:t>
      </w:r>
      <w:r>
        <w:rPr>
          <w:rFonts w:hint="eastAsia" w:hAnsi="宋体" w:cs="宋体"/>
          <w:kern w:val="0"/>
        </w:rPr>
        <w:t>的</w:t>
      </w:r>
      <w:r>
        <w:rPr>
          <w:rFonts w:hAnsi="宋体" w:cs="宋体"/>
          <w:kern w:val="0"/>
        </w:rPr>
        <w:t>能源平衡表</w:t>
      </w:r>
      <w:r>
        <w:rPr>
          <w:rFonts w:hint="eastAsia" w:hAnsi="宋体" w:cs="宋体"/>
          <w:kern w:val="0"/>
        </w:rPr>
        <w:t>数据</w:t>
      </w:r>
      <w:r>
        <w:rPr>
          <w:rFonts w:hAnsi="宋体" w:cs="宋体"/>
          <w:kern w:val="0"/>
        </w:rPr>
        <w:t>。</w:t>
      </w:r>
    </w:p>
    <w:p>
      <w:pPr>
        <w:pStyle w:val="10"/>
        <w:adjustRightInd w:val="0"/>
        <w:snapToGrid w:val="0"/>
        <w:spacing w:line="420" w:lineRule="exact"/>
        <w:ind w:firstLine="411" w:firstLineChars="196"/>
        <w:rPr>
          <w:rFonts w:hAnsi="宋体" w:cs="宋体"/>
          <w:kern w:val="0"/>
        </w:rPr>
      </w:pPr>
      <w:r>
        <w:rPr>
          <w:rFonts w:hAnsi="宋体" w:cs="宋体"/>
          <w:kern w:val="0"/>
        </w:rPr>
        <w:t>3.增加值数据均为不变价</w:t>
      </w:r>
      <w:r>
        <w:rPr>
          <w:rFonts w:hint="eastAsia" w:hAnsi="宋体" w:cs="宋体"/>
          <w:kern w:val="0"/>
        </w:rPr>
        <w:t>，规模</w:t>
      </w:r>
      <w:r>
        <w:rPr>
          <w:rFonts w:hAnsi="宋体" w:cs="宋体"/>
          <w:kern w:val="0"/>
        </w:rPr>
        <w:t>以上工业增加值数据来源于工业</w:t>
      </w:r>
      <w:r>
        <w:rPr>
          <w:rFonts w:hint="eastAsia" w:hAnsi="宋体" w:cs="宋体"/>
          <w:kern w:val="0"/>
        </w:rPr>
        <w:t>统计</w:t>
      </w:r>
      <w:r>
        <w:rPr>
          <w:rFonts w:hAnsi="宋体" w:cs="宋体"/>
          <w:kern w:val="0"/>
        </w:rPr>
        <w:t>专业，规模以下工业增加值数据来源于工业</w:t>
      </w:r>
      <w:r>
        <w:rPr>
          <w:rFonts w:hint="eastAsia" w:hAnsi="宋体" w:cs="宋体"/>
          <w:kern w:val="0"/>
        </w:rPr>
        <w:t>统计或国民经济核算专业，地区生产总值（地区生产总值）</w:t>
      </w:r>
      <w:r>
        <w:rPr>
          <w:rFonts w:hAnsi="宋体" w:cs="宋体"/>
          <w:kern w:val="0"/>
        </w:rPr>
        <w:t>和其他行业增加值</w:t>
      </w:r>
      <w:r>
        <w:rPr>
          <w:rFonts w:hint="eastAsia" w:hAnsi="宋体" w:cs="宋体"/>
          <w:kern w:val="0"/>
        </w:rPr>
        <w:t>数据</w:t>
      </w:r>
      <w:r>
        <w:rPr>
          <w:rFonts w:hAnsi="宋体" w:cs="宋体"/>
          <w:kern w:val="0"/>
        </w:rPr>
        <w:t>来源于国民经济核算专业</w:t>
      </w:r>
      <w:r>
        <w:rPr>
          <w:rFonts w:hint="eastAsia" w:hAnsi="宋体" w:cs="宋体"/>
          <w:kern w:val="0"/>
        </w:rPr>
        <w:t>。</w:t>
      </w:r>
    </w:p>
    <w:p>
      <w:pPr>
        <w:pStyle w:val="10"/>
        <w:adjustRightInd w:val="0"/>
        <w:snapToGrid w:val="0"/>
        <w:spacing w:line="420" w:lineRule="exact"/>
        <w:ind w:firstLine="411" w:firstLineChars="196"/>
        <w:rPr>
          <w:rFonts w:hAnsi="宋体" w:cs="宋体"/>
          <w:kern w:val="0"/>
        </w:rPr>
      </w:pPr>
      <w:r>
        <w:rPr>
          <w:rFonts w:hAnsi="宋体" w:cs="宋体"/>
          <w:kern w:val="0"/>
        </w:rPr>
        <w:t>4.分行业用电量数据来源于</w:t>
      </w:r>
      <w:r>
        <w:rPr>
          <w:rFonts w:hint="eastAsia" w:hAnsi="宋体"/>
          <w:color w:val="000000"/>
        </w:rPr>
        <w:t>中国电力企业联合会</w:t>
      </w:r>
      <w:r>
        <w:rPr>
          <w:rFonts w:hint="eastAsia" w:hAnsi="宋体" w:cs="宋体"/>
          <w:kern w:val="0"/>
        </w:rPr>
        <w:t>（电力部门）。</w:t>
      </w:r>
    </w:p>
    <w:p>
      <w:pPr>
        <w:pStyle w:val="10"/>
        <w:adjustRightInd w:val="0"/>
        <w:snapToGrid w:val="0"/>
        <w:spacing w:line="420" w:lineRule="exact"/>
        <w:ind w:firstLine="411" w:firstLineChars="196"/>
        <w:rPr>
          <w:rFonts w:ascii="黑体" w:eastAsia="黑体"/>
          <w:color w:val="000000"/>
        </w:rPr>
      </w:pPr>
      <w:r>
        <w:rPr>
          <w:rFonts w:ascii="黑体" w:eastAsia="黑体"/>
          <w:color w:val="000000"/>
        </w:rPr>
        <w:t>二</w:t>
      </w:r>
      <w:r>
        <w:rPr>
          <w:rFonts w:hint="eastAsia" w:ascii="黑体" w:eastAsia="黑体"/>
          <w:color w:val="000000"/>
        </w:rPr>
        <w:t>、主要核算方法</w:t>
      </w:r>
    </w:p>
    <w:p>
      <w:pPr>
        <w:pStyle w:val="10"/>
        <w:adjustRightInd w:val="0"/>
        <w:snapToGrid w:val="0"/>
        <w:spacing w:line="420" w:lineRule="exact"/>
        <w:ind w:firstLine="411" w:firstLineChars="196"/>
        <w:rPr>
          <w:rFonts w:hAnsi="宋体" w:cs="宋体"/>
          <w:kern w:val="0"/>
        </w:rPr>
      </w:pPr>
      <w:r>
        <w:rPr>
          <w:rFonts w:hint="eastAsia" w:hAnsi="宋体" w:cs="宋体"/>
          <w:kern w:val="0"/>
        </w:rPr>
        <w:t>主要使用以下三种方法对非工业行业</w:t>
      </w:r>
      <w:r>
        <w:rPr>
          <w:rFonts w:hAnsi="宋体" w:cs="宋体"/>
          <w:kern w:val="0"/>
        </w:rPr>
        <w:t>和居民生活本期</w:t>
      </w:r>
      <w:r>
        <w:rPr>
          <w:rFonts w:hint="eastAsia" w:hAnsi="宋体" w:cs="宋体"/>
          <w:kern w:val="0"/>
        </w:rPr>
        <w:t>能源消费量进行</w:t>
      </w:r>
      <w:r>
        <w:rPr>
          <w:rFonts w:hAnsi="宋体" w:cs="宋体"/>
          <w:kern w:val="0"/>
        </w:rPr>
        <w:t>核算</w:t>
      </w:r>
      <w:r>
        <w:rPr>
          <w:rFonts w:hint="eastAsia" w:hAnsi="宋体" w:cs="宋体"/>
          <w:kern w:val="0"/>
        </w:rPr>
        <w:t>。</w:t>
      </w:r>
    </w:p>
    <w:p>
      <w:pPr>
        <w:pStyle w:val="10"/>
        <w:adjustRightInd w:val="0"/>
        <w:snapToGrid w:val="0"/>
        <w:spacing w:line="420" w:lineRule="exact"/>
        <w:ind w:firstLine="411" w:firstLineChars="196"/>
        <w:rPr>
          <w:rFonts w:hAnsi="宋体" w:cs="宋体"/>
          <w:kern w:val="0"/>
        </w:rPr>
      </w:pPr>
      <w:r>
        <w:rPr>
          <w:rFonts w:hAnsi="宋体" w:cs="宋体"/>
          <w:kern w:val="0"/>
        </w:rPr>
        <w:t>1.核算方法</w:t>
      </w:r>
      <w:r>
        <w:rPr>
          <w:rFonts w:hint="eastAsia" w:hAnsi="宋体" w:cs="宋体"/>
          <w:kern w:val="0"/>
        </w:rPr>
        <w:t>一（电力占比法）</w:t>
      </w:r>
      <w:r>
        <w:rPr>
          <w:rFonts w:hAnsi="宋体" w:cs="宋体"/>
          <w:kern w:val="0"/>
        </w:rPr>
        <w:t>：使用本期用电量</w:t>
      </w:r>
      <w:r>
        <w:rPr>
          <w:rFonts w:hint="eastAsia" w:hAnsi="宋体" w:cs="宋体"/>
          <w:kern w:val="0"/>
        </w:rPr>
        <w:t>（折标准量）、上年</w:t>
      </w:r>
      <w:r>
        <w:rPr>
          <w:rFonts w:hAnsi="宋体" w:cs="宋体"/>
          <w:kern w:val="0"/>
        </w:rPr>
        <w:t>用电量比重等</w:t>
      </w:r>
      <w:r>
        <w:rPr>
          <w:rFonts w:hint="eastAsia" w:hAnsi="宋体" w:cs="宋体"/>
          <w:kern w:val="0"/>
        </w:rPr>
        <w:t>核算。</w:t>
      </w:r>
    </w:p>
    <w:p>
      <w:pPr>
        <w:pStyle w:val="10"/>
        <w:adjustRightInd w:val="0"/>
        <w:snapToGrid w:val="0"/>
        <w:spacing w:line="420" w:lineRule="exact"/>
        <w:ind w:firstLine="411" w:firstLineChars="196"/>
        <w:rPr>
          <w:rFonts w:hAnsi="宋体" w:cs="宋体"/>
          <w:kern w:val="0"/>
        </w:rPr>
      </w:pPr>
      <w:r>
        <w:rPr>
          <w:rFonts w:hAnsi="宋体" w:cs="宋体"/>
          <w:kern w:val="0"/>
        </w:rPr>
        <w:t>本期能源消费量</w:t>
      </w:r>
      <w:r>
        <w:rPr>
          <w:rFonts w:hint="eastAsia" w:hAnsi="宋体" w:cs="宋体"/>
          <w:kern w:val="0"/>
        </w:rPr>
        <w:t>=</w:t>
      </w:r>
      <w:r>
        <w:rPr>
          <w:rFonts w:hAnsi="宋体" w:cs="宋体"/>
          <w:kern w:val="0"/>
        </w:rPr>
        <w:t>本期用电量</w:t>
      </w:r>
      <w:r>
        <w:rPr>
          <w:rFonts w:hint="eastAsia" w:hAnsi="宋体" w:cs="宋体"/>
          <w:kern w:val="0"/>
        </w:rPr>
        <w:t>（</w:t>
      </w:r>
      <w:r>
        <w:rPr>
          <w:rFonts w:hAnsi="宋体" w:cs="宋体"/>
          <w:kern w:val="0"/>
        </w:rPr>
        <w:t>折标准量</w:t>
      </w:r>
      <w:r>
        <w:rPr>
          <w:rFonts w:hint="eastAsia" w:hAnsi="宋体" w:cs="宋体"/>
          <w:kern w:val="0"/>
        </w:rPr>
        <w:t>）</w:t>
      </w:r>
      <w:r>
        <w:rPr>
          <w:rFonts w:hAnsi="宋体" w:cs="宋体"/>
          <w:kern w:val="0"/>
        </w:rPr>
        <w:t>÷上年用电量占能源消费量比重</w:t>
      </w:r>
    </w:p>
    <w:p>
      <w:pPr>
        <w:pStyle w:val="10"/>
        <w:adjustRightInd w:val="0"/>
        <w:snapToGrid w:val="0"/>
        <w:spacing w:line="420" w:lineRule="exact"/>
        <w:ind w:firstLine="411" w:firstLineChars="196"/>
        <w:rPr>
          <w:rFonts w:hAnsi="宋体" w:cs="宋体"/>
          <w:kern w:val="0"/>
        </w:rPr>
      </w:pPr>
      <w:r>
        <w:rPr>
          <w:rFonts w:hAnsi="宋体" w:cs="宋体"/>
          <w:kern w:val="0"/>
        </w:rPr>
        <w:t xml:space="preserve">              =本期</w:t>
      </w:r>
      <w:r>
        <w:rPr>
          <w:rFonts w:hint="eastAsia" w:hAnsi="宋体" w:cs="宋体"/>
          <w:kern w:val="0"/>
        </w:rPr>
        <w:t>用电量×电力等价折标系数÷上年用电量占能源消费量比重</w:t>
      </w:r>
    </w:p>
    <w:p>
      <w:pPr>
        <w:pStyle w:val="10"/>
        <w:adjustRightInd w:val="0"/>
        <w:snapToGrid w:val="0"/>
        <w:spacing w:line="420" w:lineRule="exact"/>
        <w:ind w:firstLine="411" w:firstLineChars="196"/>
        <w:rPr>
          <w:rFonts w:hAnsi="宋体" w:cs="宋体"/>
          <w:kern w:val="0"/>
        </w:rPr>
      </w:pPr>
      <w:r>
        <w:rPr>
          <w:rFonts w:hint="eastAsia" w:hAnsi="宋体" w:cs="宋体"/>
          <w:kern w:val="0"/>
        </w:rPr>
        <w:t>其中：</w:t>
      </w:r>
    </w:p>
    <w:p>
      <w:pPr>
        <w:pStyle w:val="10"/>
        <w:adjustRightInd w:val="0"/>
        <w:snapToGrid w:val="0"/>
        <w:spacing w:line="420" w:lineRule="exact"/>
        <w:ind w:firstLine="411" w:firstLineChars="196"/>
        <w:rPr>
          <w:rFonts w:hAnsi="宋体" w:cs="宋体"/>
          <w:kern w:val="0"/>
        </w:rPr>
      </w:pPr>
      <w:r>
        <w:rPr>
          <w:rFonts w:hint="eastAsia" w:hAnsi="宋体" w:cs="宋体"/>
          <w:kern w:val="0"/>
        </w:rPr>
        <w:t>（</w:t>
      </w:r>
      <w:r>
        <w:rPr>
          <w:rFonts w:hAnsi="宋体" w:cs="宋体"/>
          <w:kern w:val="0"/>
        </w:rPr>
        <w:t>1</w:t>
      </w:r>
      <w:r>
        <w:rPr>
          <w:rFonts w:hint="eastAsia" w:hAnsi="宋体" w:cs="宋体"/>
          <w:kern w:val="0"/>
        </w:rPr>
        <w:t>）“</w:t>
      </w:r>
      <w:r>
        <w:rPr>
          <w:rFonts w:hAnsi="宋体" w:cs="宋体"/>
          <w:kern w:val="0"/>
        </w:rPr>
        <w:t>本</w:t>
      </w:r>
      <w:r>
        <w:rPr>
          <w:rFonts w:hint="eastAsia" w:hAnsi="宋体" w:cs="宋体"/>
          <w:kern w:val="0"/>
        </w:rPr>
        <w:t>期用电量”是指各行业和</w:t>
      </w:r>
      <w:r>
        <w:rPr>
          <w:rFonts w:hAnsi="宋体" w:cs="宋体"/>
          <w:kern w:val="0"/>
        </w:rPr>
        <w:t>居民生活本期</w:t>
      </w:r>
      <w:r>
        <w:rPr>
          <w:rFonts w:hint="eastAsia" w:hAnsi="宋体" w:cs="宋体"/>
          <w:kern w:val="0"/>
        </w:rPr>
        <w:t>用电量。</w:t>
      </w:r>
    </w:p>
    <w:p>
      <w:pPr>
        <w:pStyle w:val="10"/>
        <w:adjustRightInd w:val="0"/>
        <w:snapToGrid w:val="0"/>
        <w:spacing w:line="420" w:lineRule="exact"/>
        <w:ind w:firstLine="411" w:firstLineChars="196"/>
        <w:rPr>
          <w:rFonts w:hAnsi="宋体" w:cs="宋体"/>
          <w:kern w:val="0"/>
        </w:rPr>
      </w:pPr>
      <w:r>
        <w:rPr>
          <w:rFonts w:hint="eastAsia" w:hAnsi="宋体" w:cs="宋体"/>
          <w:kern w:val="0"/>
        </w:rPr>
        <w:t>（</w:t>
      </w:r>
      <w:r>
        <w:rPr>
          <w:rFonts w:hAnsi="宋体" w:cs="宋体"/>
          <w:kern w:val="0"/>
        </w:rPr>
        <w:t>2</w:t>
      </w:r>
      <w:r>
        <w:rPr>
          <w:rFonts w:hint="eastAsia" w:hAnsi="宋体" w:cs="宋体"/>
          <w:kern w:val="0"/>
        </w:rPr>
        <w:t>）“电力等价折标系数”</w:t>
      </w:r>
      <w:r>
        <w:rPr>
          <w:rFonts w:hAnsi="宋体" w:cs="宋体"/>
          <w:kern w:val="0"/>
        </w:rPr>
        <w:t>以上年能源平衡表中</w:t>
      </w:r>
      <w:r>
        <w:rPr>
          <w:rFonts w:hint="eastAsia" w:hAnsi="宋体" w:cs="宋体"/>
          <w:kern w:val="0"/>
        </w:rPr>
        <w:t>电力等价折标系数</w:t>
      </w:r>
      <w:r>
        <w:rPr>
          <w:rFonts w:hAnsi="宋体" w:cs="宋体"/>
          <w:kern w:val="0"/>
        </w:rPr>
        <w:t>为基础，</w:t>
      </w:r>
      <w:r>
        <w:rPr>
          <w:rFonts w:hint="eastAsia" w:hAnsi="宋体" w:cs="宋体"/>
          <w:kern w:val="0"/>
        </w:rPr>
        <w:t>参考</w:t>
      </w:r>
      <w:r>
        <w:rPr>
          <w:rFonts w:hAnsi="宋体" w:cs="宋体"/>
          <w:kern w:val="0"/>
        </w:rPr>
        <w:t>中电联和规模以上工业企业发电煤耗</w:t>
      </w:r>
      <w:r>
        <w:rPr>
          <w:rFonts w:hint="eastAsia" w:hAnsi="宋体" w:cs="宋体"/>
          <w:kern w:val="0"/>
        </w:rPr>
        <w:t>本期与</w:t>
      </w:r>
      <w:r>
        <w:rPr>
          <w:rFonts w:hAnsi="宋体" w:cs="宋体"/>
          <w:kern w:val="0"/>
        </w:rPr>
        <w:t>同期</w:t>
      </w:r>
      <w:r>
        <w:rPr>
          <w:rFonts w:hint="eastAsia" w:hAnsi="宋体" w:cs="宋体"/>
          <w:kern w:val="0"/>
        </w:rPr>
        <w:t>的变动</w:t>
      </w:r>
      <w:r>
        <w:rPr>
          <w:rFonts w:hAnsi="宋体" w:cs="宋体"/>
          <w:kern w:val="0"/>
        </w:rPr>
        <w:t>克数</w:t>
      </w:r>
      <w:r>
        <w:rPr>
          <w:rFonts w:hint="eastAsia" w:hAnsi="宋体" w:cs="宋体"/>
          <w:kern w:val="0"/>
        </w:rPr>
        <w:t>确定</w:t>
      </w:r>
      <w:r>
        <w:rPr>
          <w:rFonts w:hAnsi="宋体" w:cs="宋体"/>
          <w:kern w:val="0"/>
        </w:rPr>
        <w:t>。</w:t>
      </w:r>
    </w:p>
    <w:p>
      <w:pPr>
        <w:pStyle w:val="10"/>
        <w:adjustRightInd w:val="0"/>
        <w:snapToGrid w:val="0"/>
        <w:spacing w:line="420" w:lineRule="exact"/>
        <w:ind w:firstLine="411" w:firstLineChars="196"/>
        <w:rPr>
          <w:rFonts w:hAnsi="宋体" w:cs="宋体"/>
          <w:kern w:val="0"/>
        </w:rPr>
      </w:pPr>
      <w:r>
        <w:rPr>
          <w:rFonts w:hint="eastAsia" w:hAnsi="宋体" w:cs="宋体"/>
          <w:kern w:val="0"/>
        </w:rPr>
        <w:t>（</w:t>
      </w:r>
      <w:r>
        <w:rPr>
          <w:rFonts w:hAnsi="宋体" w:cs="宋体"/>
          <w:kern w:val="0"/>
        </w:rPr>
        <w:t>3</w:t>
      </w:r>
      <w:r>
        <w:rPr>
          <w:rFonts w:hint="eastAsia" w:hAnsi="宋体" w:cs="宋体"/>
          <w:kern w:val="0"/>
        </w:rPr>
        <w:t>）“</w:t>
      </w:r>
      <w:r>
        <w:rPr>
          <w:rFonts w:hAnsi="宋体" w:cs="宋体"/>
          <w:kern w:val="0"/>
        </w:rPr>
        <w:t>上年用电量占</w:t>
      </w:r>
      <w:r>
        <w:rPr>
          <w:rFonts w:hint="eastAsia" w:hAnsi="宋体" w:cs="宋体"/>
          <w:kern w:val="0"/>
        </w:rPr>
        <w:t>能源</w:t>
      </w:r>
      <w:r>
        <w:rPr>
          <w:rFonts w:hAnsi="宋体" w:cs="宋体"/>
          <w:kern w:val="0"/>
        </w:rPr>
        <w:t>消费量比重”是指上年</w:t>
      </w:r>
      <w:r>
        <w:rPr>
          <w:rFonts w:hint="eastAsia" w:hAnsi="宋体" w:cs="宋体"/>
          <w:kern w:val="0"/>
        </w:rPr>
        <w:t>能源</w:t>
      </w:r>
      <w:r>
        <w:rPr>
          <w:rFonts w:hAnsi="宋体" w:cs="宋体"/>
          <w:kern w:val="0"/>
        </w:rPr>
        <w:t>平衡表中</w:t>
      </w:r>
      <w:r>
        <w:rPr>
          <w:rFonts w:hint="eastAsia" w:hAnsi="宋体" w:cs="宋体"/>
          <w:kern w:val="0"/>
        </w:rPr>
        <w:t>各行</w:t>
      </w:r>
      <w:r>
        <w:rPr>
          <w:rFonts w:hAnsi="宋体" w:cs="宋体"/>
          <w:kern w:val="0"/>
        </w:rPr>
        <w:t>业</w:t>
      </w:r>
      <w:r>
        <w:rPr>
          <w:rFonts w:hint="eastAsia" w:hAnsi="宋体" w:cs="宋体"/>
          <w:kern w:val="0"/>
        </w:rPr>
        <w:t>和</w:t>
      </w:r>
      <w:r>
        <w:rPr>
          <w:rFonts w:hAnsi="宋体" w:cs="宋体"/>
          <w:kern w:val="0"/>
        </w:rPr>
        <w:t>居民</w:t>
      </w:r>
      <w:r>
        <w:rPr>
          <w:rFonts w:hint="eastAsia" w:hAnsi="宋体" w:cs="宋体"/>
          <w:kern w:val="0"/>
        </w:rPr>
        <w:t>生活</w:t>
      </w:r>
      <w:r>
        <w:rPr>
          <w:rFonts w:hAnsi="宋体" w:cs="宋体"/>
          <w:kern w:val="0"/>
        </w:rPr>
        <w:t>用电量占该行业</w:t>
      </w:r>
      <w:r>
        <w:rPr>
          <w:rFonts w:hint="eastAsia" w:hAnsi="宋体" w:cs="宋体"/>
          <w:kern w:val="0"/>
        </w:rPr>
        <w:t>和</w:t>
      </w:r>
      <w:r>
        <w:rPr>
          <w:rFonts w:hAnsi="宋体" w:cs="宋体"/>
          <w:kern w:val="0"/>
        </w:rPr>
        <w:t>居民生活</w:t>
      </w:r>
      <w:r>
        <w:rPr>
          <w:rFonts w:hint="eastAsia" w:hAnsi="宋体" w:cs="宋体"/>
          <w:kern w:val="0"/>
        </w:rPr>
        <w:t>能源</w:t>
      </w:r>
      <w:r>
        <w:rPr>
          <w:rFonts w:hAnsi="宋体" w:cs="宋体"/>
          <w:kern w:val="0"/>
        </w:rPr>
        <w:t>消费量的比重。</w:t>
      </w:r>
    </w:p>
    <w:p>
      <w:pPr>
        <w:spacing w:line="300" w:lineRule="exact"/>
        <w:jc w:val="left"/>
        <w:textAlignment w:val="center"/>
        <w:rPr>
          <w:rFonts w:ascii="宋体" w:hAnsi="宋体"/>
          <w:spacing w:val="8"/>
          <w:sz w:val="18"/>
          <w:szCs w:val="18"/>
        </w:rPr>
      </w:pPr>
      <w:r>
        <w:rPr>
          <w:rFonts w:hint="eastAsia" w:ascii="宋体" w:hAnsi="宋体"/>
          <w:spacing w:val="8"/>
          <w:sz w:val="18"/>
          <w:szCs w:val="18"/>
        </w:rPr>
        <w:t>表1</w:t>
      </w:r>
    </w:p>
    <w:tbl>
      <w:tblPr>
        <w:tblStyle w:val="21"/>
        <w:tblW w:w="10271"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585"/>
        <w:gridCol w:w="1186"/>
        <w:gridCol w:w="1485"/>
        <w:gridCol w:w="1419"/>
        <w:gridCol w:w="1365"/>
        <w:gridCol w:w="1231"/>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52" w:hRule="atLeast"/>
          <w:jc w:val="center"/>
        </w:trPr>
        <w:tc>
          <w:tcPr>
            <w:tcW w:w="3585" w:type="dxa"/>
            <w:noWrap/>
            <w:vAlign w:val="center"/>
          </w:tcPr>
          <w:p>
            <w:pPr>
              <w:spacing w:line="240" w:lineRule="exact"/>
              <w:jc w:val="center"/>
              <w:textAlignment w:val="center"/>
              <w:rPr>
                <w:spacing w:val="8"/>
                <w:sz w:val="18"/>
                <w:szCs w:val="18"/>
              </w:rPr>
            </w:pPr>
            <w:r>
              <w:rPr>
                <w:spacing w:val="8"/>
                <w:sz w:val="18"/>
                <w:szCs w:val="18"/>
              </w:rPr>
              <w:t>指标名称</w:t>
            </w:r>
          </w:p>
        </w:tc>
        <w:tc>
          <w:tcPr>
            <w:tcW w:w="1186" w:type="dxa"/>
            <w:noWrap/>
            <w:tcMar>
              <w:left w:w="0" w:type="dxa"/>
              <w:right w:w="0" w:type="dxa"/>
            </w:tcMar>
            <w:vAlign w:val="center"/>
          </w:tcPr>
          <w:p>
            <w:pPr>
              <w:spacing w:line="220" w:lineRule="exact"/>
              <w:jc w:val="center"/>
              <w:textAlignment w:val="center"/>
              <w:rPr>
                <w:rFonts w:ascii="宋体" w:hAnsi="宋体"/>
                <w:kern w:val="13"/>
                <w:sz w:val="18"/>
                <w:szCs w:val="18"/>
              </w:rPr>
            </w:pPr>
            <w:r>
              <w:rPr>
                <w:rFonts w:hint="eastAsia" w:ascii="宋体" w:hAnsi="宋体"/>
                <w:kern w:val="13"/>
                <w:sz w:val="18"/>
                <w:szCs w:val="18"/>
              </w:rPr>
              <w:t>本期用电量</w:t>
            </w:r>
          </w:p>
          <w:p>
            <w:pPr>
              <w:spacing w:line="220" w:lineRule="exact"/>
              <w:jc w:val="center"/>
              <w:textAlignment w:val="center"/>
              <w:rPr>
                <w:rFonts w:ascii="宋体" w:hAnsi="宋体"/>
                <w:kern w:val="13"/>
                <w:sz w:val="18"/>
                <w:szCs w:val="18"/>
              </w:rPr>
            </w:pPr>
            <w:r>
              <w:rPr>
                <w:rFonts w:hint="eastAsia" w:ascii="宋体" w:hAnsi="宋体"/>
                <w:kern w:val="13"/>
                <w:sz w:val="18"/>
                <w:szCs w:val="18"/>
              </w:rPr>
              <w:t>（亿千瓦时）</w:t>
            </w:r>
          </w:p>
        </w:tc>
        <w:tc>
          <w:tcPr>
            <w:tcW w:w="1485" w:type="dxa"/>
            <w:noWrap/>
            <w:vAlign w:val="center"/>
          </w:tcPr>
          <w:p>
            <w:pPr>
              <w:pStyle w:val="2"/>
              <w:spacing w:line="220" w:lineRule="exact"/>
              <w:textAlignment w:val="center"/>
              <w:rPr>
                <w:kern w:val="13"/>
                <w:sz w:val="18"/>
                <w:szCs w:val="18"/>
              </w:rPr>
            </w:pPr>
            <w:r>
              <w:rPr>
                <w:rFonts w:hint="eastAsia"/>
                <w:kern w:val="13"/>
                <w:sz w:val="18"/>
                <w:szCs w:val="18"/>
              </w:rPr>
              <w:t>电力等价</w:t>
            </w:r>
          </w:p>
          <w:p>
            <w:pPr>
              <w:pStyle w:val="2"/>
              <w:spacing w:line="220" w:lineRule="exact"/>
              <w:textAlignment w:val="center"/>
              <w:rPr>
                <w:kern w:val="13"/>
                <w:sz w:val="18"/>
                <w:szCs w:val="18"/>
              </w:rPr>
            </w:pPr>
            <w:r>
              <w:rPr>
                <w:rFonts w:hint="eastAsia"/>
                <w:kern w:val="13"/>
                <w:sz w:val="18"/>
                <w:szCs w:val="18"/>
              </w:rPr>
              <w:t>折标系数（克标准煤/千瓦时）</w:t>
            </w:r>
          </w:p>
        </w:tc>
        <w:tc>
          <w:tcPr>
            <w:tcW w:w="1419" w:type="dxa"/>
            <w:noWrap/>
            <w:vAlign w:val="center"/>
          </w:tcPr>
          <w:p>
            <w:pPr>
              <w:spacing w:line="220" w:lineRule="exact"/>
              <w:jc w:val="center"/>
              <w:textAlignment w:val="center"/>
              <w:rPr>
                <w:rFonts w:ascii="宋体" w:hAnsi="宋体"/>
                <w:kern w:val="13"/>
                <w:sz w:val="18"/>
                <w:szCs w:val="18"/>
              </w:rPr>
            </w:pPr>
            <w:r>
              <w:rPr>
                <w:rFonts w:hint="eastAsia" w:ascii="宋体" w:hAnsi="宋体"/>
                <w:kern w:val="13"/>
                <w:sz w:val="18"/>
                <w:szCs w:val="18"/>
              </w:rPr>
              <w:t>本期用电量</w:t>
            </w:r>
          </w:p>
          <w:p>
            <w:pPr>
              <w:spacing w:line="220" w:lineRule="exact"/>
              <w:jc w:val="center"/>
              <w:textAlignment w:val="center"/>
              <w:rPr>
                <w:rFonts w:ascii="宋体" w:hAnsi="宋体"/>
                <w:kern w:val="13"/>
                <w:sz w:val="18"/>
                <w:szCs w:val="18"/>
              </w:rPr>
            </w:pPr>
            <w:r>
              <w:rPr>
                <w:rFonts w:hint="eastAsia" w:ascii="宋体" w:hAnsi="宋体"/>
                <w:kern w:val="13"/>
                <w:sz w:val="18"/>
                <w:szCs w:val="18"/>
              </w:rPr>
              <w:t>（折标准量）</w:t>
            </w:r>
          </w:p>
          <w:p>
            <w:pPr>
              <w:spacing w:line="220" w:lineRule="exact"/>
              <w:jc w:val="center"/>
              <w:textAlignment w:val="center"/>
              <w:rPr>
                <w:rFonts w:ascii="宋体" w:hAnsi="宋体"/>
                <w:kern w:val="13"/>
                <w:sz w:val="18"/>
                <w:szCs w:val="18"/>
              </w:rPr>
            </w:pPr>
            <w:r>
              <w:rPr>
                <w:rFonts w:hint="eastAsia" w:ascii="宋体" w:hAnsi="宋体"/>
                <w:kern w:val="13"/>
                <w:sz w:val="18"/>
                <w:szCs w:val="18"/>
              </w:rPr>
              <w:t>（万吨标准煤）</w:t>
            </w:r>
          </w:p>
        </w:tc>
        <w:tc>
          <w:tcPr>
            <w:tcW w:w="1365" w:type="dxa"/>
            <w:noWrap/>
            <w:vAlign w:val="center"/>
          </w:tcPr>
          <w:p>
            <w:pPr>
              <w:spacing w:line="220" w:lineRule="exact"/>
              <w:jc w:val="center"/>
              <w:textAlignment w:val="center"/>
              <w:rPr>
                <w:rFonts w:ascii="宋体" w:hAnsi="宋体"/>
                <w:kern w:val="13"/>
                <w:sz w:val="18"/>
                <w:szCs w:val="18"/>
              </w:rPr>
            </w:pPr>
            <w:r>
              <w:rPr>
                <w:rFonts w:hint="eastAsia" w:ascii="宋体" w:hAnsi="宋体"/>
                <w:kern w:val="13"/>
                <w:sz w:val="18"/>
                <w:szCs w:val="18"/>
              </w:rPr>
              <w:t>上年用电量占能源消费量</w:t>
            </w:r>
          </w:p>
          <w:p>
            <w:pPr>
              <w:spacing w:line="220" w:lineRule="exact"/>
              <w:jc w:val="center"/>
              <w:textAlignment w:val="center"/>
              <w:rPr>
                <w:rFonts w:ascii="宋体" w:hAnsi="宋体"/>
                <w:kern w:val="13"/>
                <w:sz w:val="18"/>
                <w:szCs w:val="18"/>
              </w:rPr>
            </w:pPr>
            <w:r>
              <w:rPr>
                <w:rFonts w:hint="eastAsia" w:ascii="宋体" w:hAnsi="宋体"/>
                <w:kern w:val="13"/>
                <w:sz w:val="18"/>
                <w:szCs w:val="18"/>
              </w:rPr>
              <w:t>比重（%）</w:t>
            </w:r>
          </w:p>
        </w:tc>
        <w:tc>
          <w:tcPr>
            <w:tcW w:w="1231" w:type="dxa"/>
            <w:noWrap/>
            <w:vAlign w:val="center"/>
          </w:tcPr>
          <w:p>
            <w:pPr>
              <w:spacing w:line="220" w:lineRule="exact"/>
              <w:jc w:val="center"/>
              <w:textAlignment w:val="center"/>
              <w:rPr>
                <w:rFonts w:ascii="宋体" w:hAnsi="宋体"/>
                <w:kern w:val="13"/>
                <w:sz w:val="18"/>
                <w:szCs w:val="18"/>
              </w:rPr>
            </w:pPr>
            <w:r>
              <w:rPr>
                <w:rFonts w:hint="eastAsia" w:ascii="宋体" w:hAnsi="宋体"/>
                <w:kern w:val="13"/>
                <w:sz w:val="18"/>
                <w:szCs w:val="18"/>
              </w:rPr>
              <w:t>本期能源消费量（万吨标准煤）</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25" w:hRule="atLeast"/>
          <w:jc w:val="center"/>
        </w:trPr>
        <w:tc>
          <w:tcPr>
            <w:tcW w:w="3585" w:type="dxa"/>
            <w:noWrap/>
            <w:vAlign w:val="center"/>
          </w:tcPr>
          <w:p>
            <w:pPr>
              <w:spacing w:line="240" w:lineRule="exact"/>
              <w:jc w:val="center"/>
              <w:textAlignment w:val="center"/>
              <w:rPr>
                <w:spacing w:val="8"/>
                <w:sz w:val="18"/>
                <w:szCs w:val="18"/>
              </w:rPr>
            </w:pPr>
            <w:r>
              <w:rPr>
                <w:spacing w:val="8"/>
                <w:sz w:val="18"/>
                <w:szCs w:val="18"/>
              </w:rPr>
              <w:t>甲</w:t>
            </w:r>
          </w:p>
        </w:tc>
        <w:tc>
          <w:tcPr>
            <w:tcW w:w="1186" w:type="dxa"/>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tc>
        <w:tc>
          <w:tcPr>
            <w:tcW w:w="1485" w:type="dxa"/>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1419" w:type="dxa"/>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w:t>
            </w:r>
          </w:p>
        </w:tc>
        <w:tc>
          <w:tcPr>
            <w:tcW w:w="1365" w:type="dxa"/>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p>
        </w:tc>
        <w:tc>
          <w:tcPr>
            <w:tcW w:w="1231" w:type="dxa"/>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99" w:hRule="atLeast"/>
          <w:jc w:val="center"/>
        </w:trPr>
        <w:tc>
          <w:tcPr>
            <w:tcW w:w="3585" w:type="dxa"/>
            <w:noWrap/>
            <w:vAlign w:val="center"/>
          </w:tcPr>
          <w:p>
            <w:pPr>
              <w:spacing w:line="240" w:lineRule="exact"/>
              <w:textAlignment w:val="center"/>
              <w:rPr>
                <w:spacing w:val="8"/>
                <w:sz w:val="18"/>
                <w:szCs w:val="18"/>
              </w:rPr>
            </w:pPr>
            <w:r>
              <w:rPr>
                <w:spacing w:val="8"/>
                <w:sz w:val="18"/>
                <w:szCs w:val="18"/>
              </w:rPr>
              <w:t>农、林、牧、渔业</w:t>
            </w:r>
          </w:p>
          <w:p>
            <w:pPr>
              <w:spacing w:line="240" w:lineRule="exact"/>
              <w:textAlignment w:val="center"/>
              <w:rPr>
                <w:spacing w:val="8"/>
                <w:sz w:val="18"/>
                <w:szCs w:val="18"/>
              </w:rPr>
            </w:pPr>
            <w:r>
              <w:rPr>
                <w:spacing w:val="8"/>
                <w:sz w:val="18"/>
                <w:szCs w:val="18"/>
              </w:rPr>
              <w:t>建筑业</w:t>
            </w:r>
          </w:p>
          <w:p>
            <w:pPr>
              <w:spacing w:line="240" w:lineRule="exact"/>
              <w:textAlignment w:val="center"/>
              <w:rPr>
                <w:spacing w:val="8"/>
                <w:sz w:val="18"/>
                <w:szCs w:val="18"/>
              </w:rPr>
            </w:pPr>
            <w:r>
              <w:rPr>
                <w:spacing w:val="8"/>
                <w:sz w:val="18"/>
                <w:szCs w:val="18"/>
              </w:rPr>
              <w:t>服务业</w:t>
            </w:r>
            <w:r>
              <w:rPr>
                <w:rFonts w:hint="eastAsia"/>
                <w:kern w:val="0"/>
                <w:sz w:val="18"/>
                <w:szCs w:val="18"/>
                <w:vertAlign w:val="superscript"/>
              </w:rPr>
              <w:t>*</w:t>
            </w:r>
            <w:r>
              <w:rPr>
                <w:rFonts w:hint="eastAsia"/>
                <w:spacing w:val="8"/>
                <w:sz w:val="18"/>
                <w:szCs w:val="18"/>
              </w:rPr>
              <w:t>（</w:t>
            </w:r>
            <w:r>
              <w:rPr>
                <w:spacing w:val="8"/>
                <w:sz w:val="18"/>
                <w:szCs w:val="18"/>
              </w:rPr>
              <w:t>不含交通运输、仓储和邮政业</w:t>
            </w:r>
            <w:r>
              <w:rPr>
                <w:rFonts w:hint="eastAsia"/>
                <w:spacing w:val="8"/>
                <w:sz w:val="18"/>
                <w:szCs w:val="18"/>
              </w:rPr>
              <w:t>）</w:t>
            </w:r>
          </w:p>
          <w:p>
            <w:pPr>
              <w:spacing w:line="240" w:lineRule="exact"/>
              <w:textAlignment w:val="center"/>
              <w:rPr>
                <w:spacing w:val="8"/>
                <w:sz w:val="18"/>
                <w:szCs w:val="18"/>
              </w:rPr>
            </w:pPr>
            <w:r>
              <w:rPr>
                <w:rFonts w:hint="eastAsia"/>
                <w:spacing w:val="8"/>
                <w:sz w:val="18"/>
                <w:szCs w:val="18"/>
              </w:rPr>
              <w:t>城镇</w:t>
            </w:r>
            <w:r>
              <w:rPr>
                <w:spacing w:val="8"/>
                <w:sz w:val="18"/>
                <w:szCs w:val="18"/>
              </w:rPr>
              <w:t>居民生活</w:t>
            </w:r>
          </w:p>
          <w:p>
            <w:pPr>
              <w:spacing w:line="240" w:lineRule="exact"/>
              <w:textAlignment w:val="center"/>
              <w:rPr>
                <w:spacing w:val="8"/>
                <w:sz w:val="18"/>
                <w:szCs w:val="18"/>
              </w:rPr>
            </w:pPr>
            <w:r>
              <w:rPr>
                <w:rFonts w:hint="eastAsia"/>
                <w:spacing w:val="8"/>
                <w:sz w:val="18"/>
                <w:szCs w:val="18"/>
              </w:rPr>
              <w:t>乡村</w:t>
            </w:r>
            <w:r>
              <w:rPr>
                <w:spacing w:val="8"/>
                <w:sz w:val="18"/>
                <w:szCs w:val="18"/>
              </w:rPr>
              <w:t>居民生活</w:t>
            </w:r>
          </w:p>
        </w:tc>
        <w:tc>
          <w:tcPr>
            <w:tcW w:w="1186" w:type="dxa"/>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p>
        </w:tc>
        <w:tc>
          <w:tcPr>
            <w:tcW w:w="1485" w:type="dxa"/>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p>
        </w:tc>
        <w:tc>
          <w:tcPr>
            <w:tcW w:w="1419" w:type="dxa"/>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3=1*2</w:t>
            </w:r>
          </w:p>
        </w:tc>
        <w:tc>
          <w:tcPr>
            <w:tcW w:w="1365" w:type="dxa"/>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p>
        </w:tc>
        <w:tc>
          <w:tcPr>
            <w:tcW w:w="1231" w:type="dxa"/>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5=3/4</w:t>
            </w:r>
          </w:p>
        </w:tc>
      </w:tr>
    </w:tbl>
    <w:p>
      <w:pPr>
        <w:pStyle w:val="10"/>
        <w:adjustRightInd w:val="0"/>
        <w:spacing w:before="120" w:beforeLines="50" w:line="360" w:lineRule="auto"/>
        <w:ind w:firstLine="411" w:firstLineChars="196"/>
        <w:rPr>
          <w:rFonts w:hAnsi="宋体" w:cs="宋体"/>
          <w:kern w:val="0"/>
        </w:rPr>
      </w:pPr>
      <w:r>
        <w:rPr>
          <w:rFonts w:hint="eastAsia" w:hAnsi="宋体" w:cs="宋体"/>
          <w:kern w:val="0"/>
        </w:rPr>
        <w:t>2</w:t>
      </w:r>
      <w:r>
        <w:rPr>
          <w:rFonts w:hAnsi="宋体" w:cs="宋体"/>
          <w:kern w:val="0"/>
        </w:rPr>
        <w:t>.核算方法</w:t>
      </w:r>
      <w:r>
        <w:rPr>
          <w:rFonts w:hint="eastAsia" w:hAnsi="宋体" w:cs="宋体"/>
          <w:kern w:val="0"/>
        </w:rPr>
        <w:t>二（单位增加值能耗法）</w:t>
      </w:r>
      <w:r>
        <w:rPr>
          <w:rFonts w:hAnsi="宋体" w:cs="宋体"/>
          <w:kern w:val="0"/>
        </w:rPr>
        <w:t>：使用本</w:t>
      </w:r>
      <w:r>
        <w:rPr>
          <w:rFonts w:hint="eastAsia" w:hAnsi="宋体" w:cs="宋体"/>
          <w:kern w:val="0"/>
        </w:rPr>
        <w:t>期</w:t>
      </w:r>
      <w:r>
        <w:rPr>
          <w:rFonts w:hAnsi="宋体" w:cs="宋体"/>
          <w:kern w:val="0"/>
        </w:rPr>
        <w:t>增加值</w:t>
      </w:r>
      <w:r>
        <w:rPr>
          <w:rFonts w:hint="eastAsia" w:hAnsi="宋体" w:cs="宋体"/>
          <w:kern w:val="0"/>
        </w:rPr>
        <w:t>、</w:t>
      </w:r>
      <w:r>
        <w:rPr>
          <w:rFonts w:hAnsi="宋体" w:cs="宋体"/>
          <w:kern w:val="0"/>
        </w:rPr>
        <w:t>上年单位增加值能耗等</w:t>
      </w:r>
      <w:r>
        <w:rPr>
          <w:rFonts w:hint="eastAsia" w:hAnsi="宋体" w:cs="宋体"/>
          <w:kern w:val="0"/>
        </w:rPr>
        <w:t>核算</w:t>
      </w:r>
      <w:r>
        <w:rPr>
          <w:rFonts w:hAnsi="宋体" w:cs="宋体"/>
          <w:kern w:val="0"/>
        </w:rPr>
        <w:t>。</w:t>
      </w:r>
    </w:p>
    <w:p>
      <w:pPr>
        <w:pStyle w:val="10"/>
        <w:adjustRightInd w:val="0"/>
        <w:spacing w:line="360" w:lineRule="auto"/>
        <w:ind w:firstLine="411" w:firstLineChars="196"/>
        <w:rPr>
          <w:rFonts w:hAnsi="宋体" w:cs="宋体"/>
          <w:kern w:val="0"/>
        </w:rPr>
      </w:pPr>
      <w:r>
        <w:rPr>
          <w:rFonts w:hAnsi="宋体" w:cs="宋体"/>
          <w:kern w:val="0"/>
        </w:rPr>
        <w:t>本期能源消费量</w:t>
      </w:r>
      <w:r>
        <w:rPr>
          <w:rFonts w:hint="eastAsia" w:hAnsi="宋体" w:cs="宋体"/>
          <w:kern w:val="0"/>
        </w:rPr>
        <w:t>=</w:t>
      </w:r>
      <w:r>
        <w:rPr>
          <w:rFonts w:hAnsi="宋体" w:cs="宋体"/>
          <w:kern w:val="0"/>
        </w:rPr>
        <w:t>本</w:t>
      </w:r>
      <w:r>
        <w:rPr>
          <w:rFonts w:hint="eastAsia" w:hAnsi="宋体" w:cs="宋体"/>
          <w:kern w:val="0"/>
        </w:rPr>
        <w:t>期增加值×</w:t>
      </w:r>
      <w:r>
        <w:rPr>
          <w:rFonts w:hAnsi="宋体" w:cs="宋体"/>
          <w:kern w:val="0"/>
        </w:rPr>
        <w:t>上年单位增加值能耗</w:t>
      </w:r>
    </w:p>
    <w:p>
      <w:pPr>
        <w:pStyle w:val="10"/>
        <w:adjustRightInd w:val="0"/>
        <w:spacing w:line="360" w:lineRule="auto"/>
        <w:ind w:firstLine="411" w:firstLineChars="196"/>
        <w:rPr>
          <w:rFonts w:hAnsi="宋体" w:cs="宋体"/>
          <w:kern w:val="0"/>
        </w:rPr>
      </w:pPr>
      <w:r>
        <w:rPr>
          <w:rFonts w:hint="eastAsia" w:hAnsi="宋体" w:cs="宋体"/>
          <w:kern w:val="0"/>
        </w:rPr>
        <w:t xml:space="preserve">              =</w:t>
      </w:r>
      <w:r>
        <w:rPr>
          <w:rFonts w:hAnsi="宋体" w:cs="宋体"/>
          <w:kern w:val="0"/>
        </w:rPr>
        <w:t>本</w:t>
      </w:r>
      <w:r>
        <w:rPr>
          <w:rFonts w:hint="eastAsia" w:hAnsi="宋体" w:cs="宋体"/>
          <w:kern w:val="0"/>
        </w:rPr>
        <w:t>期增加值×</w:t>
      </w:r>
      <w:r>
        <w:rPr>
          <w:rFonts w:hAnsi="宋体" w:cs="宋体"/>
          <w:kern w:val="0"/>
        </w:rPr>
        <w:t>（上年能源消费量/上年增加值）</w:t>
      </w:r>
    </w:p>
    <w:p>
      <w:pPr>
        <w:pStyle w:val="10"/>
        <w:adjustRightInd w:val="0"/>
        <w:spacing w:line="360" w:lineRule="auto"/>
        <w:ind w:firstLine="411" w:firstLineChars="196"/>
        <w:rPr>
          <w:rFonts w:hAnsi="宋体" w:cs="宋体"/>
          <w:kern w:val="0"/>
        </w:rPr>
      </w:pPr>
      <w:r>
        <w:rPr>
          <w:rFonts w:hint="eastAsia" w:hAnsi="宋体" w:cs="宋体"/>
          <w:kern w:val="0"/>
        </w:rPr>
        <w:t>其中：</w:t>
      </w:r>
    </w:p>
    <w:p>
      <w:pPr>
        <w:pStyle w:val="10"/>
        <w:adjustRightInd w:val="0"/>
        <w:spacing w:line="360" w:lineRule="auto"/>
        <w:ind w:firstLine="411" w:firstLineChars="196"/>
        <w:rPr>
          <w:rFonts w:hAnsi="宋体" w:cs="宋体"/>
          <w:kern w:val="0"/>
        </w:rPr>
      </w:pPr>
      <w:r>
        <w:rPr>
          <w:rFonts w:hint="eastAsia" w:hAnsi="宋体" w:cs="宋体"/>
          <w:kern w:val="0"/>
        </w:rPr>
        <w:t>（</w:t>
      </w:r>
      <w:r>
        <w:rPr>
          <w:rFonts w:hAnsi="宋体" w:cs="宋体"/>
          <w:kern w:val="0"/>
        </w:rPr>
        <w:t>1</w:t>
      </w:r>
      <w:r>
        <w:rPr>
          <w:rFonts w:hint="eastAsia" w:hAnsi="宋体" w:cs="宋体"/>
          <w:kern w:val="0"/>
        </w:rPr>
        <w:t>）“</w:t>
      </w:r>
      <w:r>
        <w:rPr>
          <w:rFonts w:hAnsi="宋体" w:cs="宋体"/>
          <w:kern w:val="0"/>
        </w:rPr>
        <w:t>本</w:t>
      </w:r>
      <w:r>
        <w:rPr>
          <w:rFonts w:hint="eastAsia" w:hAnsi="宋体" w:cs="宋体"/>
          <w:kern w:val="0"/>
        </w:rPr>
        <w:t>期增加值”“上年增加值”是指各行</w:t>
      </w:r>
      <w:r>
        <w:rPr>
          <w:rFonts w:hAnsi="宋体" w:cs="宋体"/>
          <w:kern w:val="0"/>
        </w:rPr>
        <w:t>业本期和上年</w:t>
      </w:r>
      <w:r>
        <w:rPr>
          <w:rFonts w:hint="eastAsia" w:hAnsi="宋体" w:cs="宋体"/>
          <w:kern w:val="0"/>
        </w:rPr>
        <w:t>增加值。</w:t>
      </w:r>
    </w:p>
    <w:p>
      <w:pPr>
        <w:pStyle w:val="10"/>
        <w:adjustRightInd w:val="0"/>
        <w:spacing w:line="360" w:lineRule="auto"/>
        <w:ind w:firstLine="411" w:firstLineChars="196"/>
        <w:rPr>
          <w:rFonts w:hAnsi="宋体" w:cs="宋体"/>
          <w:kern w:val="0"/>
        </w:rPr>
      </w:pPr>
      <w:r>
        <w:rPr>
          <w:rFonts w:hint="eastAsia"/>
          <w:kern w:val="0"/>
        </w:rPr>
        <w:t>（</w:t>
      </w:r>
      <w:r>
        <w:rPr>
          <w:kern w:val="0"/>
        </w:rPr>
        <w:t>2</w:t>
      </w:r>
      <w:r>
        <w:rPr>
          <w:rFonts w:hint="eastAsia"/>
          <w:kern w:val="0"/>
        </w:rPr>
        <w:t>）“上年能源消费量”是指上年能源平衡表中各行业能源消费量。</w:t>
      </w:r>
    </w:p>
    <w:p>
      <w:pPr>
        <w:spacing w:line="300" w:lineRule="exact"/>
        <w:jc w:val="left"/>
        <w:textAlignment w:val="center"/>
        <w:rPr>
          <w:rFonts w:ascii="宋体" w:hAnsi="宋体" w:cs="宋体"/>
          <w:spacing w:val="8"/>
          <w:sz w:val="18"/>
          <w:szCs w:val="18"/>
        </w:rPr>
      </w:pPr>
      <w:r>
        <w:rPr>
          <w:spacing w:val="8"/>
          <w:sz w:val="18"/>
          <w:szCs w:val="18"/>
        </w:rPr>
        <w:t>表</w:t>
      </w:r>
      <w:r>
        <w:rPr>
          <w:rFonts w:ascii="宋体" w:hAnsi="宋体"/>
          <w:spacing w:val="8"/>
          <w:sz w:val="18"/>
          <w:szCs w:val="18"/>
        </w:rPr>
        <w:t>2</w:t>
      </w:r>
    </w:p>
    <w:tbl>
      <w:tblPr>
        <w:tblStyle w:val="21"/>
        <w:tblW w:w="5062"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794"/>
        <w:gridCol w:w="1240"/>
        <w:gridCol w:w="1146"/>
        <w:gridCol w:w="1294"/>
        <w:gridCol w:w="1140"/>
        <w:gridCol w:w="1133"/>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55" w:hRule="atLeast"/>
          <w:jc w:val="center"/>
        </w:trPr>
        <w:tc>
          <w:tcPr>
            <w:tcW w:w="1946" w:type="pct"/>
            <w:noWrap/>
            <w:vAlign w:val="center"/>
          </w:tcPr>
          <w:p>
            <w:pPr>
              <w:spacing w:line="240" w:lineRule="exact"/>
              <w:jc w:val="center"/>
              <w:textAlignment w:val="center"/>
              <w:rPr>
                <w:spacing w:val="8"/>
                <w:sz w:val="18"/>
                <w:szCs w:val="18"/>
              </w:rPr>
            </w:pPr>
            <w:r>
              <w:rPr>
                <w:spacing w:val="8"/>
                <w:sz w:val="18"/>
                <w:szCs w:val="18"/>
              </w:rPr>
              <w:t>指标名称</w:t>
            </w:r>
          </w:p>
        </w:tc>
        <w:tc>
          <w:tcPr>
            <w:tcW w:w="636" w:type="pct"/>
            <w:tcBorders>
              <w:bottom w:val="single" w:color="auto" w:sz="2" w:space="0"/>
            </w:tcBorders>
            <w:noWrap/>
            <w:vAlign w:val="center"/>
          </w:tcPr>
          <w:p>
            <w:pPr>
              <w:pStyle w:val="18"/>
              <w:spacing w:line="220" w:lineRule="exact"/>
              <w:jc w:val="center"/>
              <w:textAlignment w:val="center"/>
              <w:rPr>
                <w:rFonts w:ascii="Times New Roman" w:hAnsi="Times New Roman"/>
                <w:color w:val="auto"/>
                <w:sz w:val="18"/>
                <w:szCs w:val="18"/>
              </w:rPr>
            </w:pPr>
            <w:r>
              <w:rPr>
                <w:rFonts w:ascii="Times New Roman" w:hAnsi="Times New Roman"/>
                <w:color w:val="auto"/>
                <w:sz w:val="18"/>
                <w:szCs w:val="18"/>
              </w:rPr>
              <w:t>上年能源消费量</w:t>
            </w:r>
            <w:r>
              <w:rPr>
                <w:rFonts w:ascii="Times New Roman" w:hAnsi="Times New Roman"/>
                <w:color w:val="auto"/>
                <w:kern w:val="0"/>
                <w:sz w:val="18"/>
                <w:szCs w:val="18"/>
              </w:rPr>
              <w:t>（</w:t>
            </w:r>
            <w:r>
              <w:rPr>
                <w:rFonts w:hint="eastAsia" w:ascii="Times New Roman" w:hAnsi="Times New Roman"/>
                <w:color w:val="auto"/>
                <w:kern w:val="0"/>
                <w:sz w:val="18"/>
                <w:szCs w:val="18"/>
              </w:rPr>
              <w:t>万吨标准</w:t>
            </w:r>
            <w:r>
              <w:rPr>
                <w:rFonts w:ascii="Times New Roman" w:hAnsi="Times New Roman"/>
                <w:color w:val="auto"/>
                <w:kern w:val="0"/>
                <w:sz w:val="18"/>
                <w:szCs w:val="18"/>
              </w:rPr>
              <w:t>煤</w:t>
            </w:r>
            <w:r>
              <w:rPr>
                <w:rFonts w:hint="eastAsia" w:ascii="Times New Roman" w:hAnsi="Times New Roman"/>
                <w:color w:val="auto"/>
                <w:kern w:val="0"/>
                <w:sz w:val="18"/>
                <w:szCs w:val="18"/>
              </w:rPr>
              <w:t>）</w:t>
            </w:r>
          </w:p>
        </w:tc>
        <w:tc>
          <w:tcPr>
            <w:tcW w:w="588" w:type="pct"/>
            <w:tcBorders>
              <w:bottom w:val="single" w:color="auto" w:sz="2" w:space="0"/>
            </w:tcBorders>
            <w:noWrap/>
            <w:vAlign w:val="center"/>
          </w:tcPr>
          <w:p>
            <w:pPr>
              <w:spacing w:line="220" w:lineRule="exact"/>
              <w:jc w:val="center"/>
              <w:textAlignment w:val="center"/>
              <w:rPr>
                <w:sz w:val="18"/>
                <w:szCs w:val="18"/>
              </w:rPr>
            </w:pPr>
            <w:r>
              <w:rPr>
                <w:sz w:val="18"/>
                <w:szCs w:val="18"/>
              </w:rPr>
              <w:t xml:space="preserve">上  </w:t>
            </w:r>
            <w:r>
              <w:rPr>
                <w:rFonts w:hint="eastAsia"/>
                <w:sz w:val="18"/>
                <w:szCs w:val="18"/>
              </w:rPr>
              <w:t>年</w:t>
            </w:r>
          </w:p>
          <w:p>
            <w:pPr>
              <w:spacing w:line="220" w:lineRule="exact"/>
              <w:jc w:val="center"/>
              <w:textAlignment w:val="center"/>
              <w:rPr>
                <w:sz w:val="18"/>
                <w:szCs w:val="18"/>
              </w:rPr>
            </w:pPr>
            <w:r>
              <w:rPr>
                <w:rFonts w:hint="eastAsia"/>
                <w:sz w:val="18"/>
                <w:szCs w:val="18"/>
              </w:rPr>
              <w:t>增加值</w:t>
            </w:r>
          </w:p>
          <w:p>
            <w:pPr>
              <w:spacing w:line="220" w:lineRule="exact"/>
              <w:jc w:val="center"/>
              <w:textAlignment w:val="center"/>
              <w:rPr>
                <w:sz w:val="18"/>
                <w:szCs w:val="18"/>
              </w:rPr>
            </w:pPr>
            <w:r>
              <w:rPr>
                <w:rFonts w:hint="eastAsia"/>
                <w:sz w:val="18"/>
                <w:szCs w:val="18"/>
              </w:rPr>
              <w:t>（亿元）</w:t>
            </w:r>
          </w:p>
        </w:tc>
        <w:tc>
          <w:tcPr>
            <w:tcW w:w="664" w:type="pct"/>
            <w:tcBorders>
              <w:bottom w:val="single" w:color="auto" w:sz="2" w:space="0"/>
            </w:tcBorders>
            <w:noWrap/>
            <w:vAlign w:val="center"/>
          </w:tcPr>
          <w:p>
            <w:pPr>
              <w:spacing w:line="220" w:lineRule="exact"/>
              <w:jc w:val="center"/>
              <w:textAlignment w:val="center"/>
              <w:rPr>
                <w:sz w:val="18"/>
                <w:szCs w:val="18"/>
              </w:rPr>
            </w:pPr>
            <w:r>
              <w:rPr>
                <w:rFonts w:hint="eastAsia"/>
                <w:spacing w:val="30"/>
                <w:kern w:val="0"/>
                <w:sz w:val="18"/>
                <w:szCs w:val="18"/>
                <w:fitText w:val="900" w:id="-1959636992"/>
              </w:rPr>
              <w:t>上年单</w:t>
            </w:r>
            <w:r>
              <w:rPr>
                <w:rFonts w:hint="eastAsia"/>
                <w:spacing w:val="0"/>
                <w:kern w:val="0"/>
                <w:sz w:val="18"/>
                <w:szCs w:val="18"/>
                <w:fitText w:val="900" w:id="-1959636992"/>
              </w:rPr>
              <w:t>位</w:t>
            </w:r>
          </w:p>
          <w:p>
            <w:pPr>
              <w:spacing w:line="220" w:lineRule="exact"/>
              <w:jc w:val="center"/>
              <w:textAlignment w:val="center"/>
              <w:rPr>
                <w:sz w:val="18"/>
                <w:szCs w:val="18"/>
              </w:rPr>
            </w:pPr>
            <w:r>
              <w:rPr>
                <w:rFonts w:hint="eastAsia"/>
                <w:sz w:val="18"/>
                <w:szCs w:val="18"/>
              </w:rPr>
              <w:t>增加值能耗</w:t>
            </w:r>
          </w:p>
          <w:p>
            <w:pPr>
              <w:spacing w:line="220" w:lineRule="exact"/>
              <w:jc w:val="center"/>
              <w:textAlignment w:val="center"/>
              <w:rPr>
                <w:sz w:val="18"/>
                <w:szCs w:val="18"/>
              </w:rPr>
            </w:pPr>
            <w:r>
              <w:rPr>
                <w:rFonts w:hint="eastAsia"/>
                <w:sz w:val="18"/>
                <w:szCs w:val="18"/>
              </w:rPr>
              <w:t>（吨标准煤</w:t>
            </w:r>
            <w:r>
              <w:rPr>
                <w:sz w:val="18"/>
                <w:szCs w:val="18"/>
              </w:rPr>
              <w:t>/</w:t>
            </w:r>
            <w:r>
              <w:rPr>
                <w:rFonts w:hint="eastAsia"/>
                <w:sz w:val="18"/>
                <w:szCs w:val="18"/>
              </w:rPr>
              <w:t>万元）</w:t>
            </w:r>
          </w:p>
        </w:tc>
        <w:tc>
          <w:tcPr>
            <w:tcW w:w="585" w:type="pct"/>
            <w:tcBorders>
              <w:bottom w:val="single" w:color="auto" w:sz="2" w:space="0"/>
            </w:tcBorders>
            <w:noWrap/>
            <w:vAlign w:val="center"/>
          </w:tcPr>
          <w:p>
            <w:pPr>
              <w:spacing w:line="220" w:lineRule="exact"/>
              <w:jc w:val="center"/>
              <w:textAlignment w:val="center"/>
              <w:rPr>
                <w:sz w:val="18"/>
                <w:szCs w:val="18"/>
              </w:rPr>
            </w:pPr>
            <w:r>
              <w:rPr>
                <w:rFonts w:hint="eastAsia"/>
                <w:sz w:val="18"/>
                <w:szCs w:val="18"/>
              </w:rPr>
              <w:t>本期</w:t>
            </w:r>
          </w:p>
          <w:p>
            <w:pPr>
              <w:spacing w:line="220" w:lineRule="exact"/>
              <w:jc w:val="center"/>
              <w:textAlignment w:val="center"/>
              <w:rPr>
                <w:sz w:val="18"/>
                <w:szCs w:val="18"/>
              </w:rPr>
            </w:pPr>
            <w:r>
              <w:rPr>
                <w:rFonts w:hint="eastAsia"/>
                <w:sz w:val="18"/>
                <w:szCs w:val="18"/>
              </w:rPr>
              <w:t>增加值</w:t>
            </w:r>
          </w:p>
          <w:p>
            <w:pPr>
              <w:spacing w:line="220" w:lineRule="exact"/>
              <w:jc w:val="center"/>
              <w:textAlignment w:val="center"/>
              <w:rPr>
                <w:sz w:val="18"/>
                <w:szCs w:val="18"/>
              </w:rPr>
            </w:pPr>
            <w:r>
              <w:rPr>
                <w:rFonts w:hint="eastAsia"/>
                <w:sz w:val="18"/>
                <w:szCs w:val="18"/>
              </w:rPr>
              <w:t>（亿元）</w:t>
            </w:r>
          </w:p>
        </w:tc>
        <w:tc>
          <w:tcPr>
            <w:tcW w:w="581" w:type="pct"/>
            <w:tcBorders>
              <w:bottom w:val="single" w:color="auto" w:sz="2" w:space="0"/>
            </w:tcBorders>
            <w:noWrap/>
            <w:vAlign w:val="center"/>
          </w:tcPr>
          <w:p>
            <w:pPr>
              <w:spacing w:line="220" w:lineRule="exact"/>
              <w:jc w:val="center"/>
              <w:textAlignment w:val="center"/>
              <w:rPr>
                <w:sz w:val="18"/>
                <w:szCs w:val="18"/>
              </w:rPr>
            </w:pPr>
            <w:r>
              <w:rPr>
                <w:rFonts w:hint="eastAsia"/>
                <w:sz w:val="18"/>
                <w:szCs w:val="18"/>
              </w:rPr>
              <w:t>本期能源消费量（万吨标准煤）</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1946" w:type="pct"/>
            <w:tcBorders>
              <w:bottom w:val="single" w:color="auto" w:sz="2" w:space="0"/>
            </w:tcBorders>
            <w:noWrap/>
            <w:vAlign w:val="center"/>
          </w:tcPr>
          <w:p>
            <w:pPr>
              <w:spacing w:line="240" w:lineRule="exact"/>
              <w:jc w:val="center"/>
              <w:textAlignment w:val="center"/>
              <w:rPr>
                <w:spacing w:val="8"/>
                <w:sz w:val="18"/>
                <w:szCs w:val="18"/>
              </w:rPr>
            </w:pPr>
            <w:r>
              <w:rPr>
                <w:spacing w:val="8"/>
                <w:sz w:val="18"/>
                <w:szCs w:val="18"/>
              </w:rPr>
              <w:t>甲</w:t>
            </w:r>
          </w:p>
        </w:tc>
        <w:tc>
          <w:tcPr>
            <w:tcW w:w="636" w:type="pct"/>
            <w:tcBorders>
              <w:top w:val="single" w:color="auto" w:sz="2" w:space="0"/>
              <w:bottom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tc>
        <w:tc>
          <w:tcPr>
            <w:tcW w:w="588" w:type="pct"/>
            <w:tcBorders>
              <w:top w:val="single" w:color="auto" w:sz="2" w:space="0"/>
              <w:bottom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664" w:type="pct"/>
            <w:tcBorders>
              <w:top w:val="single" w:color="auto" w:sz="2" w:space="0"/>
              <w:bottom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w:t>
            </w:r>
          </w:p>
        </w:tc>
        <w:tc>
          <w:tcPr>
            <w:tcW w:w="585" w:type="pct"/>
            <w:tcBorders>
              <w:top w:val="single" w:color="auto" w:sz="2" w:space="0"/>
              <w:bottom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p>
        </w:tc>
        <w:tc>
          <w:tcPr>
            <w:tcW w:w="581" w:type="pct"/>
            <w:tcBorders>
              <w:top w:val="single" w:color="auto" w:sz="2" w:space="0"/>
              <w:bottom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0" w:hRule="atLeast"/>
          <w:jc w:val="center"/>
        </w:trPr>
        <w:tc>
          <w:tcPr>
            <w:tcW w:w="1946" w:type="pct"/>
            <w:tcBorders>
              <w:top w:val="single" w:color="auto" w:sz="2" w:space="0"/>
              <w:bottom w:val="nil"/>
            </w:tcBorders>
            <w:noWrap/>
            <w:vAlign w:val="center"/>
          </w:tcPr>
          <w:p>
            <w:pPr>
              <w:spacing w:line="240" w:lineRule="exact"/>
              <w:textAlignment w:val="center"/>
              <w:rPr>
                <w:spacing w:val="8"/>
                <w:sz w:val="18"/>
                <w:szCs w:val="18"/>
              </w:rPr>
            </w:pPr>
            <w:r>
              <w:rPr>
                <w:spacing w:val="8"/>
                <w:sz w:val="18"/>
                <w:szCs w:val="18"/>
              </w:rPr>
              <w:t>农、林、牧、渔业</w:t>
            </w:r>
          </w:p>
        </w:tc>
        <w:tc>
          <w:tcPr>
            <w:tcW w:w="636" w:type="pct"/>
            <w:vMerge w:val="restart"/>
            <w:tcBorders>
              <w:top w:val="single" w:color="auto" w:sz="2" w:space="0"/>
              <w:right w:val="single" w:color="auto" w:sz="2" w:space="0"/>
            </w:tcBorders>
            <w:noWrap/>
            <w:vAlign w:val="center"/>
          </w:tcPr>
          <w:p>
            <w:pPr>
              <w:spacing w:line="240" w:lineRule="exact"/>
              <w:jc w:val="center"/>
              <w:textAlignment w:val="center"/>
              <w:rPr>
                <w:spacing w:val="8"/>
                <w:sz w:val="18"/>
                <w:szCs w:val="18"/>
              </w:rPr>
            </w:pPr>
          </w:p>
        </w:tc>
        <w:tc>
          <w:tcPr>
            <w:tcW w:w="588" w:type="pct"/>
            <w:vMerge w:val="restart"/>
            <w:tcBorders>
              <w:top w:val="single" w:color="auto" w:sz="2" w:space="0"/>
              <w:left w:val="single" w:color="auto" w:sz="2" w:space="0"/>
              <w:right w:val="single" w:color="auto" w:sz="2" w:space="0"/>
            </w:tcBorders>
            <w:noWrap/>
            <w:vAlign w:val="center"/>
          </w:tcPr>
          <w:p>
            <w:pPr>
              <w:spacing w:line="240" w:lineRule="exact"/>
              <w:jc w:val="center"/>
              <w:textAlignment w:val="center"/>
              <w:rPr>
                <w:spacing w:val="8"/>
                <w:sz w:val="18"/>
                <w:szCs w:val="18"/>
              </w:rPr>
            </w:pPr>
          </w:p>
        </w:tc>
        <w:tc>
          <w:tcPr>
            <w:tcW w:w="664" w:type="pct"/>
            <w:vMerge w:val="restart"/>
            <w:tcBorders>
              <w:top w:val="single" w:color="auto" w:sz="2" w:space="0"/>
              <w:left w:val="single" w:color="auto" w:sz="2" w:space="0"/>
              <w:bottom w:val="nil"/>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pacing w:val="8"/>
                <w:sz w:val="18"/>
                <w:szCs w:val="18"/>
              </w:rPr>
            </w:pPr>
            <w:r>
              <w:rPr>
                <w:rFonts w:hint="eastAsia" w:asciiTheme="minorEastAsia" w:hAnsiTheme="minorEastAsia" w:eastAsiaTheme="minorEastAsia" w:cstheme="minorEastAsia"/>
                <w:spacing w:val="8"/>
                <w:sz w:val="18"/>
                <w:szCs w:val="18"/>
              </w:rPr>
              <w:t>3=1/2</w:t>
            </w:r>
          </w:p>
        </w:tc>
        <w:tc>
          <w:tcPr>
            <w:tcW w:w="585" w:type="pct"/>
            <w:vMerge w:val="restart"/>
            <w:tcBorders>
              <w:top w:val="single" w:color="auto" w:sz="2" w:space="0"/>
              <w:left w:val="single" w:color="auto" w:sz="2" w:space="0"/>
              <w:right w:val="single" w:color="auto" w:sz="2" w:space="0"/>
            </w:tcBorders>
            <w:noWrap/>
            <w:vAlign w:val="center"/>
          </w:tcPr>
          <w:p>
            <w:pPr>
              <w:spacing w:line="240" w:lineRule="exact"/>
              <w:jc w:val="center"/>
              <w:textAlignment w:val="center"/>
              <w:rPr>
                <w:rFonts w:asciiTheme="minorEastAsia" w:hAnsiTheme="minorEastAsia" w:eastAsiaTheme="minorEastAsia" w:cstheme="minorEastAsia"/>
                <w:spacing w:val="8"/>
                <w:sz w:val="18"/>
                <w:szCs w:val="18"/>
              </w:rPr>
            </w:pPr>
          </w:p>
        </w:tc>
        <w:tc>
          <w:tcPr>
            <w:tcW w:w="581" w:type="pct"/>
            <w:vMerge w:val="restart"/>
            <w:tcBorders>
              <w:top w:val="single" w:color="auto" w:sz="2" w:space="0"/>
              <w:left w:val="single" w:color="auto" w:sz="2" w:space="0"/>
              <w:bottom w:val="single" w:color="auto" w:sz="8" w:space="0"/>
              <w:right w:val="nil"/>
            </w:tcBorders>
            <w:noWrap/>
            <w:vAlign w:val="center"/>
          </w:tcPr>
          <w:p>
            <w:pPr>
              <w:spacing w:line="240" w:lineRule="exact"/>
              <w:jc w:val="center"/>
              <w:textAlignment w:val="center"/>
              <w:rPr>
                <w:rFonts w:asciiTheme="minorEastAsia" w:hAnsiTheme="minorEastAsia" w:eastAsiaTheme="minorEastAsia" w:cstheme="minorEastAsia"/>
                <w:spacing w:val="8"/>
                <w:sz w:val="18"/>
                <w:szCs w:val="18"/>
              </w:rPr>
            </w:pPr>
            <w:r>
              <w:rPr>
                <w:rFonts w:hint="eastAsia" w:asciiTheme="minorEastAsia" w:hAnsiTheme="minorEastAsia" w:eastAsiaTheme="minorEastAsia" w:cstheme="minorEastAsia"/>
                <w:spacing w:val="8"/>
                <w:sz w:val="18"/>
                <w:szCs w:val="18"/>
              </w:rPr>
              <w:t>5=3*4</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6" w:hRule="atLeast"/>
          <w:jc w:val="center"/>
        </w:trPr>
        <w:tc>
          <w:tcPr>
            <w:tcW w:w="1946" w:type="pct"/>
            <w:tcBorders>
              <w:top w:val="nil"/>
              <w:bottom w:val="nil"/>
            </w:tcBorders>
            <w:noWrap/>
            <w:vAlign w:val="center"/>
          </w:tcPr>
          <w:p>
            <w:pPr>
              <w:spacing w:line="240" w:lineRule="exact"/>
              <w:textAlignment w:val="center"/>
              <w:rPr>
                <w:spacing w:val="8"/>
                <w:sz w:val="18"/>
                <w:szCs w:val="18"/>
              </w:rPr>
            </w:pPr>
            <w:r>
              <w:rPr>
                <w:spacing w:val="8"/>
                <w:sz w:val="18"/>
                <w:szCs w:val="18"/>
              </w:rPr>
              <w:t>建筑业</w:t>
            </w:r>
          </w:p>
        </w:tc>
        <w:tc>
          <w:tcPr>
            <w:tcW w:w="636" w:type="pct"/>
            <w:vMerge w:val="continue"/>
            <w:tcBorders>
              <w:right w:val="single" w:color="auto" w:sz="2" w:space="0"/>
            </w:tcBorders>
            <w:noWrap/>
            <w:vAlign w:val="center"/>
          </w:tcPr>
          <w:p>
            <w:pPr>
              <w:spacing w:line="240" w:lineRule="exact"/>
              <w:jc w:val="center"/>
              <w:textAlignment w:val="center"/>
              <w:rPr>
                <w:spacing w:val="8"/>
                <w:sz w:val="18"/>
                <w:szCs w:val="18"/>
              </w:rPr>
            </w:pPr>
          </w:p>
        </w:tc>
        <w:tc>
          <w:tcPr>
            <w:tcW w:w="588" w:type="pct"/>
            <w:vMerge w:val="continue"/>
            <w:tcBorders>
              <w:left w:val="single" w:color="auto" w:sz="2" w:space="0"/>
              <w:right w:val="single" w:color="auto" w:sz="2" w:space="0"/>
            </w:tcBorders>
            <w:noWrap/>
            <w:vAlign w:val="center"/>
          </w:tcPr>
          <w:p>
            <w:pPr>
              <w:spacing w:line="240" w:lineRule="exact"/>
              <w:jc w:val="center"/>
              <w:textAlignment w:val="center"/>
              <w:rPr>
                <w:spacing w:val="8"/>
                <w:sz w:val="18"/>
                <w:szCs w:val="18"/>
              </w:rPr>
            </w:pPr>
          </w:p>
        </w:tc>
        <w:tc>
          <w:tcPr>
            <w:tcW w:w="664" w:type="pct"/>
            <w:vMerge w:val="continue"/>
            <w:tcBorders>
              <w:top w:val="nil"/>
              <w:left w:val="single" w:color="auto" w:sz="2" w:space="0"/>
              <w:bottom w:val="nil"/>
              <w:right w:val="single" w:color="auto" w:sz="2" w:space="0"/>
            </w:tcBorders>
            <w:noWrap/>
            <w:vAlign w:val="center"/>
          </w:tcPr>
          <w:p>
            <w:pPr>
              <w:spacing w:line="240" w:lineRule="exact"/>
              <w:jc w:val="center"/>
              <w:textAlignment w:val="center"/>
              <w:rPr>
                <w:spacing w:val="8"/>
                <w:sz w:val="18"/>
                <w:szCs w:val="18"/>
              </w:rPr>
            </w:pPr>
          </w:p>
        </w:tc>
        <w:tc>
          <w:tcPr>
            <w:tcW w:w="585" w:type="pct"/>
            <w:vMerge w:val="continue"/>
            <w:tcBorders>
              <w:left w:val="single" w:color="auto" w:sz="2" w:space="0"/>
              <w:right w:val="single" w:color="auto" w:sz="2" w:space="0"/>
            </w:tcBorders>
            <w:noWrap/>
            <w:vAlign w:val="center"/>
          </w:tcPr>
          <w:p>
            <w:pPr>
              <w:spacing w:line="240" w:lineRule="exact"/>
              <w:jc w:val="center"/>
              <w:textAlignment w:val="center"/>
              <w:rPr>
                <w:spacing w:val="8"/>
                <w:sz w:val="18"/>
                <w:szCs w:val="18"/>
              </w:rPr>
            </w:pPr>
          </w:p>
        </w:tc>
        <w:tc>
          <w:tcPr>
            <w:tcW w:w="581" w:type="pct"/>
            <w:vMerge w:val="continue"/>
            <w:tcBorders>
              <w:top w:val="single" w:color="auto" w:sz="2" w:space="0"/>
              <w:left w:val="single" w:color="auto" w:sz="2" w:space="0"/>
              <w:bottom w:val="single" w:color="auto" w:sz="8" w:space="0"/>
              <w:right w:val="nil"/>
            </w:tcBorders>
            <w:noWrap/>
          </w:tcPr>
          <w:p>
            <w:pPr>
              <w:spacing w:line="240" w:lineRule="exact"/>
              <w:jc w:val="center"/>
              <w:textAlignment w:val="center"/>
              <w:rPr>
                <w:spacing w:val="8"/>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2" w:hRule="atLeast"/>
          <w:jc w:val="center"/>
        </w:trPr>
        <w:tc>
          <w:tcPr>
            <w:tcW w:w="1946" w:type="pct"/>
            <w:tcBorders>
              <w:top w:val="nil"/>
              <w:bottom w:val="nil"/>
            </w:tcBorders>
            <w:noWrap/>
            <w:vAlign w:val="center"/>
          </w:tcPr>
          <w:p>
            <w:pPr>
              <w:spacing w:line="240" w:lineRule="exact"/>
              <w:textAlignment w:val="center"/>
              <w:rPr>
                <w:spacing w:val="8"/>
                <w:sz w:val="18"/>
                <w:szCs w:val="18"/>
              </w:rPr>
            </w:pPr>
            <w:r>
              <w:rPr>
                <w:spacing w:val="8"/>
                <w:sz w:val="18"/>
                <w:szCs w:val="18"/>
              </w:rPr>
              <w:t>服务业</w:t>
            </w:r>
            <w:r>
              <w:rPr>
                <w:rFonts w:hint="eastAsia"/>
                <w:kern w:val="0"/>
                <w:sz w:val="18"/>
                <w:szCs w:val="18"/>
                <w:vertAlign w:val="superscript"/>
              </w:rPr>
              <w:t>*</w:t>
            </w:r>
          </w:p>
        </w:tc>
        <w:tc>
          <w:tcPr>
            <w:tcW w:w="636" w:type="pct"/>
            <w:vMerge w:val="continue"/>
            <w:tcBorders>
              <w:right w:val="single" w:color="auto" w:sz="2" w:space="0"/>
            </w:tcBorders>
            <w:noWrap/>
            <w:vAlign w:val="center"/>
          </w:tcPr>
          <w:p>
            <w:pPr>
              <w:spacing w:line="240" w:lineRule="exact"/>
              <w:jc w:val="center"/>
              <w:textAlignment w:val="center"/>
              <w:rPr>
                <w:spacing w:val="8"/>
                <w:sz w:val="18"/>
                <w:szCs w:val="18"/>
              </w:rPr>
            </w:pPr>
          </w:p>
        </w:tc>
        <w:tc>
          <w:tcPr>
            <w:tcW w:w="588" w:type="pct"/>
            <w:vMerge w:val="continue"/>
            <w:tcBorders>
              <w:left w:val="single" w:color="auto" w:sz="2" w:space="0"/>
              <w:right w:val="single" w:color="auto" w:sz="2" w:space="0"/>
            </w:tcBorders>
            <w:noWrap/>
            <w:vAlign w:val="center"/>
          </w:tcPr>
          <w:p>
            <w:pPr>
              <w:spacing w:line="240" w:lineRule="exact"/>
              <w:jc w:val="center"/>
              <w:textAlignment w:val="center"/>
              <w:rPr>
                <w:spacing w:val="8"/>
                <w:sz w:val="18"/>
                <w:szCs w:val="18"/>
              </w:rPr>
            </w:pPr>
          </w:p>
        </w:tc>
        <w:tc>
          <w:tcPr>
            <w:tcW w:w="664" w:type="pct"/>
            <w:vMerge w:val="continue"/>
            <w:tcBorders>
              <w:top w:val="nil"/>
              <w:left w:val="single" w:color="auto" w:sz="2" w:space="0"/>
              <w:bottom w:val="nil"/>
              <w:right w:val="single" w:color="auto" w:sz="2" w:space="0"/>
            </w:tcBorders>
            <w:noWrap/>
            <w:vAlign w:val="center"/>
          </w:tcPr>
          <w:p>
            <w:pPr>
              <w:spacing w:line="240" w:lineRule="exact"/>
              <w:jc w:val="center"/>
              <w:textAlignment w:val="center"/>
              <w:rPr>
                <w:spacing w:val="8"/>
                <w:sz w:val="18"/>
                <w:szCs w:val="18"/>
              </w:rPr>
            </w:pPr>
          </w:p>
        </w:tc>
        <w:tc>
          <w:tcPr>
            <w:tcW w:w="585" w:type="pct"/>
            <w:vMerge w:val="continue"/>
            <w:tcBorders>
              <w:left w:val="single" w:color="auto" w:sz="2" w:space="0"/>
              <w:right w:val="single" w:color="auto" w:sz="2" w:space="0"/>
            </w:tcBorders>
            <w:noWrap/>
            <w:vAlign w:val="center"/>
          </w:tcPr>
          <w:p>
            <w:pPr>
              <w:spacing w:line="240" w:lineRule="exact"/>
              <w:jc w:val="center"/>
              <w:textAlignment w:val="center"/>
              <w:rPr>
                <w:spacing w:val="8"/>
                <w:sz w:val="18"/>
                <w:szCs w:val="18"/>
              </w:rPr>
            </w:pPr>
          </w:p>
        </w:tc>
        <w:tc>
          <w:tcPr>
            <w:tcW w:w="581" w:type="pct"/>
            <w:vMerge w:val="continue"/>
            <w:tcBorders>
              <w:top w:val="single" w:color="auto" w:sz="2" w:space="0"/>
              <w:left w:val="single" w:color="auto" w:sz="2" w:space="0"/>
              <w:bottom w:val="single" w:color="auto" w:sz="8" w:space="0"/>
              <w:right w:val="nil"/>
            </w:tcBorders>
            <w:noWrap/>
          </w:tcPr>
          <w:p>
            <w:pPr>
              <w:spacing w:line="240" w:lineRule="exact"/>
              <w:jc w:val="center"/>
              <w:textAlignment w:val="center"/>
              <w:rPr>
                <w:spacing w:val="8"/>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3" w:hRule="atLeast"/>
          <w:jc w:val="center"/>
        </w:trPr>
        <w:tc>
          <w:tcPr>
            <w:tcW w:w="1946" w:type="pct"/>
            <w:tcBorders>
              <w:top w:val="nil"/>
              <w:bottom w:val="nil"/>
            </w:tcBorders>
            <w:noWrap/>
            <w:vAlign w:val="center"/>
          </w:tcPr>
          <w:p>
            <w:pPr>
              <w:spacing w:line="240" w:lineRule="exact"/>
              <w:textAlignment w:val="center"/>
              <w:rPr>
                <w:spacing w:val="8"/>
                <w:sz w:val="18"/>
                <w:szCs w:val="18"/>
              </w:rPr>
            </w:pPr>
            <w:r>
              <w:rPr>
                <w:spacing w:val="8"/>
                <w:sz w:val="18"/>
                <w:szCs w:val="18"/>
              </w:rPr>
              <w:t>交通运输、仓储和邮政业</w:t>
            </w:r>
          </w:p>
        </w:tc>
        <w:tc>
          <w:tcPr>
            <w:tcW w:w="636" w:type="pct"/>
            <w:vMerge w:val="continue"/>
            <w:tcBorders>
              <w:right w:val="single" w:color="auto" w:sz="2" w:space="0"/>
            </w:tcBorders>
            <w:noWrap/>
            <w:vAlign w:val="center"/>
          </w:tcPr>
          <w:p>
            <w:pPr>
              <w:spacing w:line="240" w:lineRule="exact"/>
              <w:jc w:val="center"/>
              <w:textAlignment w:val="center"/>
              <w:rPr>
                <w:spacing w:val="8"/>
                <w:sz w:val="18"/>
                <w:szCs w:val="18"/>
              </w:rPr>
            </w:pPr>
          </w:p>
        </w:tc>
        <w:tc>
          <w:tcPr>
            <w:tcW w:w="588" w:type="pct"/>
            <w:vMerge w:val="continue"/>
            <w:tcBorders>
              <w:left w:val="single" w:color="auto" w:sz="2" w:space="0"/>
              <w:right w:val="single" w:color="auto" w:sz="2" w:space="0"/>
            </w:tcBorders>
            <w:noWrap/>
            <w:vAlign w:val="center"/>
          </w:tcPr>
          <w:p>
            <w:pPr>
              <w:spacing w:line="240" w:lineRule="exact"/>
              <w:jc w:val="center"/>
              <w:textAlignment w:val="center"/>
              <w:rPr>
                <w:spacing w:val="8"/>
                <w:sz w:val="18"/>
                <w:szCs w:val="18"/>
              </w:rPr>
            </w:pPr>
          </w:p>
        </w:tc>
        <w:tc>
          <w:tcPr>
            <w:tcW w:w="664" w:type="pct"/>
            <w:vMerge w:val="continue"/>
            <w:tcBorders>
              <w:top w:val="nil"/>
              <w:left w:val="single" w:color="auto" w:sz="2" w:space="0"/>
              <w:bottom w:val="nil"/>
              <w:right w:val="single" w:color="auto" w:sz="2" w:space="0"/>
            </w:tcBorders>
            <w:noWrap/>
            <w:vAlign w:val="center"/>
          </w:tcPr>
          <w:p>
            <w:pPr>
              <w:spacing w:line="240" w:lineRule="exact"/>
              <w:jc w:val="center"/>
              <w:textAlignment w:val="center"/>
              <w:rPr>
                <w:spacing w:val="8"/>
                <w:sz w:val="18"/>
                <w:szCs w:val="18"/>
              </w:rPr>
            </w:pPr>
          </w:p>
        </w:tc>
        <w:tc>
          <w:tcPr>
            <w:tcW w:w="585" w:type="pct"/>
            <w:vMerge w:val="continue"/>
            <w:tcBorders>
              <w:left w:val="single" w:color="auto" w:sz="2" w:space="0"/>
              <w:right w:val="single" w:color="auto" w:sz="2" w:space="0"/>
            </w:tcBorders>
            <w:noWrap/>
            <w:vAlign w:val="center"/>
          </w:tcPr>
          <w:p>
            <w:pPr>
              <w:spacing w:line="240" w:lineRule="exact"/>
              <w:jc w:val="center"/>
              <w:textAlignment w:val="center"/>
              <w:rPr>
                <w:spacing w:val="8"/>
                <w:sz w:val="18"/>
                <w:szCs w:val="18"/>
              </w:rPr>
            </w:pPr>
          </w:p>
        </w:tc>
        <w:tc>
          <w:tcPr>
            <w:tcW w:w="581" w:type="pct"/>
            <w:vMerge w:val="continue"/>
            <w:tcBorders>
              <w:top w:val="single" w:color="auto" w:sz="2" w:space="0"/>
              <w:left w:val="single" w:color="auto" w:sz="2" w:space="0"/>
              <w:bottom w:val="single" w:color="auto" w:sz="8" w:space="0"/>
              <w:right w:val="nil"/>
            </w:tcBorders>
            <w:noWrap/>
          </w:tcPr>
          <w:p>
            <w:pPr>
              <w:spacing w:line="240" w:lineRule="exact"/>
              <w:jc w:val="center"/>
              <w:textAlignment w:val="center"/>
              <w:rPr>
                <w:spacing w:val="8"/>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63" w:hRule="atLeast"/>
          <w:jc w:val="center"/>
        </w:trPr>
        <w:tc>
          <w:tcPr>
            <w:tcW w:w="1946" w:type="pct"/>
            <w:tcBorders>
              <w:top w:val="nil"/>
              <w:bottom w:val="single" w:color="auto" w:sz="8" w:space="0"/>
            </w:tcBorders>
            <w:noWrap/>
            <w:vAlign w:val="center"/>
          </w:tcPr>
          <w:p>
            <w:pPr>
              <w:spacing w:line="240" w:lineRule="exact"/>
              <w:textAlignment w:val="center"/>
              <w:rPr>
                <w:spacing w:val="8"/>
                <w:sz w:val="18"/>
                <w:szCs w:val="18"/>
              </w:rPr>
            </w:pPr>
            <w:r>
              <w:rPr>
                <w:spacing w:val="8"/>
                <w:sz w:val="18"/>
                <w:szCs w:val="18"/>
              </w:rPr>
              <w:t>服务业</w:t>
            </w:r>
            <w:r>
              <w:rPr>
                <w:rFonts w:hint="eastAsia"/>
                <w:kern w:val="0"/>
                <w:sz w:val="18"/>
                <w:szCs w:val="18"/>
                <w:vertAlign w:val="superscript"/>
              </w:rPr>
              <w:t>*</w:t>
            </w:r>
            <w:r>
              <w:rPr>
                <w:rFonts w:hint="eastAsia"/>
                <w:spacing w:val="8"/>
                <w:sz w:val="18"/>
                <w:szCs w:val="18"/>
              </w:rPr>
              <w:t>（</w:t>
            </w:r>
            <w:r>
              <w:rPr>
                <w:spacing w:val="8"/>
                <w:sz w:val="18"/>
                <w:szCs w:val="18"/>
              </w:rPr>
              <w:t>不含交通运输、仓储和邮政业</w:t>
            </w:r>
            <w:r>
              <w:rPr>
                <w:rFonts w:hint="eastAsia"/>
                <w:spacing w:val="8"/>
                <w:sz w:val="18"/>
                <w:szCs w:val="18"/>
              </w:rPr>
              <w:t>）</w:t>
            </w:r>
          </w:p>
        </w:tc>
        <w:tc>
          <w:tcPr>
            <w:tcW w:w="636" w:type="pct"/>
            <w:vMerge w:val="continue"/>
            <w:tcBorders>
              <w:bottom w:val="single" w:color="auto" w:sz="8" w:space="0"/>
              <w:right w:val="single" w:color="auto" w:sz="2" w:space="0"/>
            </w:tcBorders>
            <w:noWrap/>
            <w:vAlign w:val="center"/>
          </w:tcPr>
          <w:p>
            <w:pPr>
              <w:spacing w:line="240" w:lineRule="exact"/>
              <w:jc w:val="center"/>
              <w:textAlignment w:val="center"/>
              <w:rPr>
                <w:spacing w:val="8"/>
                <w:sz w:val="18"/>
                <w:szCs w:val="18"/>
              </w:rPr>
            </w:pPr>
          </w:p>
        </w:tc>
        <w:tc>
          <w:tcPr>
            <w:tcW w:w="588" w:type="pct"/>
            <w:vMerge w:val="continue"/>
            <w:tcBorders>
              <w:left w:val="single" w:color="auto" w:sz="2" w:space="0"/>
              <w:bottom w:val="single" w:color="auto" w:sz="8" w:space="0"/>
              <w:right w:val="single" w:color="auto" w:sz="2" w:space="0"/>
            </w:tcBorders>
            <w:noWrap/>
            <w:vAlign w:val="center"/>
          </w:tcPr>
          <w:p>
            <w:pPr>
              <w:spacing w:line="240" w:lineRule="exact"/>
              <w:jc w:val="center"/>
              <w:textAlignment w:val="center"/>
              <w:rPr>
                <w:spacing w:val="8"/>
                <w:sz w:val="18"/>
                <w:szCs w:val="18"/>
              </w:rPr>
            </w:pPr>
          </w:p>
        </w:tc>
        <w:tc>
          <w:tcPr>
            <w:tcW w:w="664" w:type="pct"/>
            <w:vMerge w:val="continue"/>
            <w:tcBorders>
              <w:top w:val="nil"/>
              <w:left w:val="single" w:color="auto" w:sz="2" w:space="0"/>
              <w:bottom w:val="single" w:color="auto" w:sz="8" w:space="0"/>
              <w:right w:val="single" w:color="auto" w:sz="2" w:space="0"/>
            </w:tcBorders>
            <w:noWrap/>
            <w:vAlign w:val="center"/>
          </w:tcPr>
          <w:p>
            <w:pPr>
              <w:spacing w:line="240" w:lineRule="exact"/>
              <w:jc w:val="center"/>
              <w:textAlignment w:val="center"/>
              <w:rPr>
                <w:spacing w:val="8"/>
                <w:sz w:val="18"/>
                <w:szCs w:val="18"/>
              </w:rPr>
            </w:pPr>
          </w:p>
        </w:tc>
        <w:tc>
          <w:tcPr>
            <w:tcW w:w="585" w:type="pct"/>
            <w:vMerge w:val="continue"/>
            <w:tcBorders>
              <w:left w:val="single" w:color="auto" w:sz="2" w:space="0"/>
              <w:bottom w:val="single" w:color="auto" w:sz="8" w:space="0"/>
              <w:right w:val="single" w:color="auto" w:sz="2" w:space="0"/>
            </w:tcBorders>
            <w:noWrap/>
            <w:vAlign w:val="center"/>
          </w:tcPr>
          <w:p>
            <w:pPr>
              <w:spacing w:line="240" w:lineRule="exact"/>
              <w:jc w:val="center"/>
              <w:textAlignment w:val="center"/>
              <w:rPr>
                <w:spacing w:val="8"/>
                <w:sz w:val="18"/>
                <w:szCs w:val="18"/>
              </w:rPr>
            </w:pPr>
          </w:p>
        </w:tc>
        <w:tc>
          <w:tcPr>
            <w:tcW w:w="581" w:type="pct"/>
            <w:vMerge w:val="continue"/>
            <w:tcBorders>
              <w:top w:val="single" w:color="auto" w:sz="2" w:space="0"/>
              <w:left w:val="single" w:color="auto" w:sz="2" w:space="0"/>
              <w:bottom w:val="single" w:color="auto" w:sz="8" w:space="0"/>
              <w:right w:val="nil"/>
            </w:tcBorders>
            <w:noWrap/>
          </w:tcPr>
          <w:p>
            <w:pPr>
              <w:spacing w:line="240" w:lineRule="exact"/>
              <w:jc w:val="center"/>
              <w:textAlignment w:val="center"/>
              <w:rPr>
                <w:spacing w:val="8"/>
                <w:sz w:val="18"/>
                <w:szCs w:val="18"/>
              </w:rPr>
            </w:pPr>
          </w:p>
        </w:tc>
      </w:tr>
    </w:tbl>
    <w:p>
      <w:pPr>
        <w:pStyle w:val="10"/>
        <w:adjustRightInd w:val="0"/>
        <w:snapToGrid w:val="0"/>
        <w:spacing w:before="120" w:beforeLines="50" w:line="400" w:lineRule="exact"/>
        <w:ind w:firstLine="411" w:firstLineChars="196"/>
        <w:rPr>
          <w:rFonts w:hAnsi="宋体" w:cs="宋体"/>
          <w:kern w:val="0"/>
        </w:rPr>
      </w:pPr>
      <w:r>
        <w:rPr>
          <w:rFonts w:hint="eastAsia" w:hAnsi="宋体" w:cs="宋体"/>
          <w:kern w:val="0"/>
        </w:rPr>
        <w:t>3</w:t>
      </w:r>
      <w:r>
        <w:rPr>
          <w:rFonts w:hAnsi="宋体" w:cs="宋体"/>
          <w:kern w:val="0"/>
        </w:rPr>
        <w:t>.核算方法</w:t>
      </w:r>
      <w:r>
        <w:rPr>
          <w:rFonts w:hint="eastAsia" w:hAnsi="宋体" w:cs="宋体"/>
          <w:kern w:val="0"/>
        </w:rPr>
        <w:t>三（能源消费弹性系数法）</w:t>
      </w:r>
      <w:r>
        <w:rPr>
          <w:rFonts w:hAnsi="宋体" w:cs="宋体"/>
          <w:kern w:val="0"/>
        </w:rPr>
        <w:t>：使用本期增加值增速</w:t>
      </w:r>
      <w:r>
        <w:rPr>
          <w:rFonts w:hint="eastAsia" w:hAnsi="宋体" w:cs="宋体"/>
          <w:kern w:val="0"/>
        </w:rPr>
        <w:t>、上年</w:t>
      </w:r>
      <w:r>
        <w:rPr>
          <w:rFonts w:hAnsi="宋体" w:cs="宋体"/>
          <w:kern w:val="0"/>
        </w:rPr>
        <w:t>能源消费</w:t>
      </w:r>
      <w:r>
        <w:rPr>
          <w:rFonts w:hint="eastAsia" w:hAnsi="宋体" w:cs="宋体"/>
          <w:kern w:val="0"/>
        </w:rPr>
        <w:t>弹性系数</w:t>
      </w:r>
      <w:r>
        <w:rPr>
          <w:rFonts w:hAnsi="宋体" w:cs="宋体"/>
          <w:kern w:val="0"/>
        </w:rPr>
        <w:t>等</w:t>
      </w:r>
      <w:r>
        <w:rPr>
          <w:rFonts w:hint="eastAsia" w:hAnsi="宋体" w:cs="宋体"/>
          <w:kern w:val="0"/>
        </w:rPr>
        <w:t>核算</w:t>
      </w:r>
      <w:r>
        <w:rPr>
          <w:rFonts w:hAnsi="宋体" w:cs="宋体"/>
          <w:kern w:val="0"/>
        </w:rPr>
        <w:t>。</w:t>
      </w:r>
    </w:p>
    <w:p>
      <w:pPr>
        <w:pStyle w:val="10"/>
        <w:adjustRightInd w:val="0"/>
        <w:snapToGrid w:val="0"/>
        <w:spacing w:line="400" w:lineRule="exact"/>
        <w:ind w:firstLine="411" w:firstLineChars="196"/>
        <w:rPr>
          <w:rFonts w:hAnsi="宋体" w:cs="宋体"/>
          <w:kern w:val="0"/>
        </w:rPr>
      </w:pPr>
      <w:r>
        <w:rPr>
          <w:rFonts w:hAnsi="宋体" w:cs="宋体"/>
          <w:kern w:val="0"/>
        </w:rPr>
        <w:t>本期能源消费量</w:t>
      </w:r>
      <w:r>
        <w:rPr>
          <w:rFonts w:hint="eastAsia" w:hAnsi="宋体" w:cs="宋体"/>
          <w:kern w:val="0"/>
        </w:rPr>
        <w:t>增速</w:t>
      </w:r>
      <w:r>
        <w:rPr>
          <w:rFonts w:hAnsi="宋体" w:cs="宋体"/>
          <w:kern w:val="0"/>
        </w:rPr>
        <w:t>=本期增加值增速×上年能源消费弹性系数</w:t>
      </w:r>
    </w:p>
    <w:p>
      <w:pPr>
        <w:pStyle w:val="10"/>
        <w:adjustRightInd w:val="0"/>
        <w:snapToGrid w:val="0"/>
        <w:spacing w:line="400" w:lineRule="exact"/>
        <w:ind w:firstLine="411" w:firstLineChars="196"/>
        <w:rPr>
          <w:rFonts w:hAnsi="宋体" w:cs="宋体"/>
          <w:kern w:val="0"/>
        </w:rPr>
      </w:pPr>
      <w:r>
        <w:rPr>
          <w:rFonts w:hint="eastAsia" w:hAnsi="宋体" w:cs="宋体"/>
          <w:kern w:val="0"/>
        </w:rPr>
        <w:t xml:space="preserve">    =</w:t>
      </w:r>
      <w:r>
        <w:rPr>
          <w:rFonts w:hAnsi="宋体" w:cs="宋体"/>
          <w:kern w:val="0"/>
        </w:rPr>
        <w:t>本</w:t>
      </w:r>
      <w:r>
        <w:rPr>
          <w:rFonts w:hint="eastAsia" w:hAnsi="宋体" w:cs="宋体"/>
          <w:kern w:val="0"/>
        </w:rPr>
        <w:t>期增加值增速×（上年能源消费量增速/上年增加值增速）</w:t>
      </w:r>
    </w:p>
    <w:p>
      <w:pPr>
        <w:pStyle w:val="10"/>
        <w:adjustRightInd w:val="0"/>
        <w:snapToGrid w:val="0"/>
        <w:spacing w:line="400" w:lineRule="exact"/>
        <w:ind w:firstLine="411" w:firstLineChars="196"/>
        <w:rPr>
          <w:rFonts w:hAnsi="宋体" w:cs="宋体"/>
          <w:kern w:val="0"/>
        </w:rPr>
      </w:pPr>
      <w:r>
        <w:rPr>
          <w:rFonts w:hint="eastAsia" w:hAnsi="宋体" w:cs="宋体"/>
          <w:kern w:val="0"/>
        </w:rPr>
        <w:t>其中：</w:t>
      </w:r>
    </w:p>
    <w:p>
      <w:pPr>
        <w:pStyle w:val="10"/>
        <w:adjustRightInd w:val="0"/>
        <w:snapToGrid w:val="0"/>
        <w:spacing w:line="400" w:lineRule="exact"/>
        <w:ind w:firstLine="411" w:firstLineChars="196"/>
        <w:rPr>
          <w:rFonts w:hAnsi="宋体" w:cs="宋体"/>
          <w:kern w:val="0"/>
        </w:rPr>
      </w:pPr>
      <w:r>
        <w:rPr>
          <w:rFonts w:hint="eastAsia" w:hAnsi="宋体" w:cs="宋体"/>
          <w:kern w:val="0"/>
        </w:rPr>
        <w:t>（</w:t>
      </w:r>
      <w:r>
        <w:rPr>
          <w:rFonts w:hAnsi="宋体" w:cs="宋体"/>
          <w:kern w:val="0"/>
        </w:rPr>
        <w:t>1</w:t>
      </w:r>
      <w:r>
        <w:rPr>
          <w:rFonts w:hint="eastAsia" w:hAnsi="宋体" w:cs="宋体"/>
          <w:kern w:val="0"/>
        </w:rPr>
        <w:t>）“</w:t>
      </w:r>
      <w:r>
        <w:rPr>
          <w:rFonts w:hAnsi="宋体" w:cs="宋体"/>
          <w:kern w:val="0"/>
        </w:rPr>
        <w:t>本</w:t>
      </w:r>
      <w:r>
        <w:rPr>
          <w:rFonts w:hint="eastAsia" w:hAnsi="宋体" w:cs="宋体"/>
          <w:kern w:val="0"/>
        </w:rPr>
        <w:t>期增加值增速”“上年增加值增速”是指各行业</w:t>
      </w:r>
      <w:r>
        <w:rPr>
          <w:rFonts w:hAnsi="宋体" w:cs="宋体"/>
          <w:kern w:val="0"/>
        </w:rPr>
        <w:t>本期和上年</w:t>
      </w:r>
      <w:r>
        <w:rPr>
          <w:rFonts w:hint="eastAsia" w:hAnsi="宋体" w:cs="宋体"/>
          <w:kern w:val="0"/>
        </w:rPr>
        <w:t>增加值增速。</w:t>
      </w:r>
    </w:p>
    <w:p>
      <w:pPr>
        <w:pStyle w:val="10"/>
        <w:adjustRightInd w:val="0"/>
        <w:snapToGrid w:val="0"/>
        <w:spacing w:line="400" w:lineRule="exact"/>
        <w:ind w:firstLine="411" w:firstLineChars="196"/>
        <w:rPr>
          <w:rFonts w:hAnsi="宋体" w:cs="宋体"/>
          <w:kern w:val="0"/>
        </w:rPr>
      </w:pPr>
      <w:r>
        <w:rPr>
          <w:rFonts w:hint="eastAsia" w:hAnsi="宋体" w:cs="宋体"/>
          <w:kern w:val="0"/>
        </w:rPr>
        <w:t>（</w:t>
      </w:r>
      <w:r>
        <w:rPr>
          <w:rFonts w:hAnsi="宋体" w:cs="宋体"/>
          <w:kern w:val="0"/>
        </w:rPr>
        <w:t>2</w:t>
      </w:r>
      <w:r>
        <w:rPr>
          <w:rFonts w:hint="eastAsia" w:hAnsi="宋体" w:cs="宋体"/>
          <w:kern w:val="0"/>
        </w:rPr>
        <w:t>）“上年能源消费量增速”</w:t>
      </w:r>
      <w:r>
        <w:rPr>
          <w:rFonts w:hAnsi="宋体" w:cs="宋体"/>
          <w:kern w:val="0"/>
        </w:rPr>
        <w:t>根据</w:t>
      </w:r>
      <w:r>
        <w:rPr>
          <w:rFonts w:hint="eastAsia" w:hAnsi="宋体" w:cs="宋体"/>
          <w:kern w:val="0"/>
        </w:rPr>
        <w:t>上年及往年能源平衡表各行业能源消费量计算。</w:t>
      </w:r>
    </w:p>
    <w:p>
      <w:pPr>
        <w:spacing w:line="400" w:lineRule="exact"/>
        <w:jc w:val="left"/>
        <w:textAlignment w:val="center"/>
        <w:rPr>
          <w:rFonts w:ascii="宋体" w:hAnsi="宋体"/>
          <w:spacing w:val="8"/>
          <w:sz w:val="18"/>
          <w:szCs w:val="18"/>
        </w:rPr>
      </w:pPr>
      <w:r>
        <w:rPr>
          <w:rFonts w:ascii="宋体" w:hAnsi="宋体"/>
          <w:spacing w:val="8"/>
          <w:sz w:val="18"/>
          <w:szCs w:val="18"/>
        </w:rPr>
        <w:t>表3</w:t>
      </w:r>
    </w:p>
    <w:tbl>
      <w:tblPr>
        <w:tblStyle w:val="21"/>
        <w:tblW w:w="10034" w:type="dxa"/>
        <w:jc w:val="center"/>
        <w:tblLayout w:type="fixed"/>
        <w:tblCellMar>
          <w:top w:w="0" w:type="dxa"/>
          <w:left w:w="108" w:type="dxa"/>
          <w:bottom w:w="0" w:type="dxa"/>
          <w:right w:w="108" w:type="dxa"/>
        </w:tblCellMar>
      </w:tblPr>
      <w:tblGrid>
        <w:gridCol w:w="3553"/>
        <w:gridCol w:w="1297"/>
        <w:gridCol w:w="1296"/>
        <w:gridCol w:w="1296"/>
        <w:gridCol w:w="1296"/>
        <w:gridCol w:w="1296"/>
      </w:tblGrid>
      <w:tr>
        <w:tblPrEx>
          <w:tblCellMar>
            <w:top w:w="0" w:type="dxa"/>
            <w:left w:w="108" w:type="dxa"/>
            <w:bottom w:w="0" w:type="dxa"/>
            <w:right w:w="108" w:type="dxa"/>
          </w:tblCellMar>
        </w:tblPrEx>
        <w:trPr>
          <w:trHeight w:val="642" w:hRule="atLeast"/>
          <w:jc w:val="center"/>
        </w:trPr>
        <w:tc>
          <w:tcPr>
            <w:tcW w:w="1770" w:type="pct"/>
            <w:tcBorders>
              <w:top w:val="single" w:color="auto" w:sz="8" w:space="0"/>
              <w:left w:val="nil"/>
              <w:bottom w:val="single" w:color="auto" w:sz="4" w:space="0"/>
              <w:right w:val="single" w:color="auto" w:sz="2" w:space="0"/>
            </w:tcBorders>
            <w:noWrap/>
            <w:vAlign w:val="center"/>
          </w:tcPr>
          <w:p>
            <w:pPr>
              <w:jc w:val="center"/>
              <w:textAlignment w:val="center"/>
              <w:rPr>
                <w:kern w:val="0"/>
                <w:sz w:val="18"/>
                <w:szCs w:val="18"/>
              </w:rPr>
            </w:pPr>
            <w:r>
              <w:rPr>
                <w:kern w:val="0"/>
                <w:sz w:val="18"/>
                <w:szCs w:val="18"/>
              </w:rPr>
              <w:t>指标名称</w:t>
            </w:r>
          </w:p>
        </w:tc>
        <w:tc>
          <w:tcPr>
            <w:tcW w:w="646" w:type="pct"/>
            <w:tcBorders>
              <w:top w:val="single" w:color="auto" w:sz="8" w:space="0"/>
              <w:left w:val="single" w:color="auto" w:sz="2" w:space="0"/>
              <w:bottom w:val="single" w:color="auto" w:sz="4" w:space="0"/>
              <w:right w:val="single" w:color="auto" w:sz="2" w:space="0"/>
            </w:tcBorders>
            <w:noWrap/>
            <w:vAlign w:val="center"/>
          </w:tcPr>
          <w:p>
            <w:pPr>
              <w:widowControl/>
              <w:jc w:val="center"/>
              <w:textAlignment w:val="center"/>
              <w:rPr>
                <w:kern w:val="0"/>
                <w:sz w:val="18"/>
                <w:szCs w:val="18"/>
              </w:rPr>
            </w:pPr>
            <w:r>
              <w:rPr>
                <w:kern w:val="0"/>
                <w:sz w:val="18"/>
                <w:szCs w:val="18"/>
              </w:rPr>
              <w:t>上年增加值增速</w:t>
            </w:r>
            <w:r>
              <w:rPr>
                <w:rFonts w:hint="eastAsia"/>
                <w:kern w:val="0"/>
                <w:sz w:val="18"/>
                <w:szCs w:val="18"/>
              </w:rPr>
              <w:t>（</w:t>
            </w:r>
            <w:r>
              <w:rPr>
                <w:rFonts w:ascii="宋体" w:hAnsi="宋体"/>
                <w:kern w:val="0"/>
                <w:sz w:val="18"/>
                <w:szCs w:val="18"/>
              </w:rPr>
              <w:t>%</w:t>
            </w:r>
            <w:r>
              <w:rPr>
                <w:rFonts w:hint="eastAsia"/>
                <w:kern w:val="0"/>
                <w:sz w:val="18"/>
                <w:szCs w:val="18"/>
              </w:rPr>
              <w:t>）</w:t>
            </w:r>
          </w:p>
        </w:tc>
        <w:tc>
          <w:tcPr>
            <w:tcW w:w="646" w:type="pct"/>
            <w:tcBorders>
              <w:top w:val="single" w:color="auto" w:sz="8" w:space="0"/>
              <w:left w:val="single" w:color="auto" w:sz="2" w:space="0"/>
              <w:bottom w:val="single" w:color="auto" w:sz="4" w:space="0"/>
              <w:right w:val="single" w:color="auto" w:sz="2" w:space="0"/>
            </w:tcBorders>
            <w:noWrap/>
            <w:vAlign w:val="center"/>
          </w:tcPr>
          <w:p>
            <w:pPr>
              <w:widowControl/>
              <w:jc w:val="center"/>
              <w:textAlignment w:val="center"/>
              <w:rPr>
                <w:kern w:val="0"/>
                <w:sz w:val="18"/>
                <w:szCs w:val="18"/>
              </w:rPr>
            </w:pPr>
            <w:r>
              <w:rPr>
                <w:kern w:val="0"/>
                <w:sz w:val="18"/>
                <w:szCs w:val="18"/>
              </w:rPr>
              <w:t>上年能源消费量增速（</w:t>
            </w:r>
            <w:r>
              <w:rPr>
                <w:rFonts w:ascii="宋体" w:hAnsi="宋体"/>
                <w:kern w:val="0"/>
                <w:sz w:val="18"/>
                <w:szCs w:val="18"/>
              </w:rPr>
              <w:t>%</w:t>
            </w:r>
            <w:r>
              <w:rPr>
                <w:kern w:val="0"/>
                <w:sz w:val="18"/>
                <w:szCs w:val="18"/>
              </w:rPr>
              <w:t>）</w:t>
            </w:r>
          </w:p>
        </w:tc>
        <w:tc>
          <w:tcPr>
            <w:tcW w:w="646" w:type="pct"/>
            <w:tcBorders>
              <w:top w:val="single" w:color="auto" w:sz="8" w:space="0"/>
              <w:left w:val="single" w:color="auto" w:sz="2" w:space="0"/>
              <w:bottom w:val="single" w:color="auto" w:sz="4" w:space="0"/>
              <w:right w:val="single" w:color="auto" w:sz="2" w:space="0"/>
            </w:tcBorders>
            <w:noWrap/>
            <w:vAlign w:val="center"/>
          </w:tcPr>
          <w:p>
            <w:pPr>
              <w:widowControl/>
              <w:jc w:val="center"/>
              <w:textAlignment w:val="center"/>
              <w:rPr>
                <w:kern w:val="0"/>
                <w:sz w:val="18"/>
                <w:szCs w:val="18"/>
              </w:rPr>
            </w:pPr>
            <w:r>
              <w:rPr>
                <w:kern w:val="0"/>
                <w:sz w:val="18"/>
                <w:szCs w:val="18"/>
              </w:rPr>
              <w:t>上年能源消费弹性系数</w:t>
            </w:r>
          </w:p>
        </w:tc>
        <w:tc>
          <w:tcPr>
            <w:tcW w:w="646" w:type="pct"/>
            <w:tcBorders>
              <w:top w:val="single" w:color="auto" w:sz="8" w:space="0"/>
              <w:left w:val="single" w:color="auto" w:sz="2" w:space="0"/>
              <w:bottom w:val="single" w:color="auto" w:sz="4" w:space="0"/>
              <w:right w:val="single" w:color="auto" w:sz="4" w:space="0"/>
            </w:tcBorders>
            <w:noWrap/>
            <w:vAlign w:val="center"/>
          </w:tcPr>
          <w:p>
            <w:pPr>
              <w:widowControl/>
              <w:jc w:val="center"/>
              <w:textAlignment w:val="center"/>
              <w:rPr>
                <w:kern w:val="0"/>
                <w:sz w:val="18"/>
                <w:szCs w:val="18"/>
              </w:rPr>
            </w:pPr>
            <w:r>
              <w:rPr>
                <w:kern w:val="0"/>
                <w:sz w:val="18"/>
                <w:szCs w:val="18"/>
              </w:rPr>
              <w:t>本期增加值增速（</w:t>
            </w:r>
            <w:r>
              <w:rPr>
                <w:rFonts w:ascii="宋体" w:hAnsi="宋体"/>
                <w:kern w:val="0"/>
                <w:sz w:val="18"/>
                <w:szCs w:val="18"/>
              </w:rPr>
              <w:t>%</w:t>
            </w:r>
            <w:r>
              <w:rPr>
                <w:kern w:val="0"/>
                <w:sz w:val="18"/>
                <w:szCs w:val="18"/>
              </w:rPr>
              <w:t>）</w:t>
            </w:r>
          </w:p>
        </w:tc>
        <w:tc>
          <w:tcPr>
            <w:tcW w:w="646" w:type="pct"/>
            <w:tcBorders>
              <w:top w:val="single" w:color="auto" w:sz="8" w:space="0"/>
              <w:left w:val="single" w:color="auto" w:sz="4" w:space="0"/>
              <w:bottom w:val="single" w:color="auto" w:sz="4" w:space="0"/>
            </w:tcBorders>
            <w:noWrap/>
            <w:vAlign w:val="center"/>
          </w:tcPr>
          <w:p>
            <w:pPr>
              <w:widowControl/>
              <w:jc w:val="center"/>
              <w:textAlignment w:val="center"/>
              <w:rPr>
                <w:kern w:val="0"/>
                <w:sz w:val="18"/>
                <w:szCs w:val="18"/>
              </w:rPr>
            </w:pPr>
            <w:r>
              <w:rPr>
                <w:kern w:val="0"/>
                <w:sz w:val="18"/>
                <w:szCs w:val="18"/>
              </w:rPr>
              <w:t>本期能源消费量增速（</w:t>
            </w:r>
            <w:r>
              <w:rPr>
                <w:rFonts w:ascii="宋体" w:hAnsi="宋体"/>
                <w:kern w:val="0"/>
                <w:sz w:val="18"/>
                <w:szCs w:val="18"/>
              </w:rPr>
              <w:t>%</w:t>
            </w:r>
            <w:r>
              <w:rPr>
                <w:kern w:val="0"/>
                <w:sz w:val="18"/>
                <w:szCs w:val="18"/>
              </w:rPr>
              <w:t>）</w:t>
            </w:r>
          </w:p>
        </w:tc>
      </w:tr>
      <w:tr>
        <w:tblPrEx>
          <w:tblCellMar>
            <w:top w:w="0" w:type="dxa"/>
            <w:left w:w="108" w:type="dxa"/>
            <w:bottom w:w="0" w:type="dxa"/>
            <w:right w:w="108" w:type="dxa"/>
          </w:tblCellMar>
        </w:tblPrEx>
        <w:trPr>
          <w:trHeight w:val="306" w:hRule="atLeast"/>
          <w:jc w:val="center"/>
        </w:trPr>
        <w:tc>
          <w:tcPr>
            <w:tcW w:w="1770" w:type="pct"/>
            <w:tcBorders>
              <w:top w:val="single" w:color="auto" w:sz="4" w:space="0"/>
              <w:left w:val="nil"/>
              <w:bottom w:val="single" w:color="auto" w:sz="4" w:space="0"/>
              <w:right w:val="single" w:color="auto" w:sz="2" w:space="0"/>
            </w:tcBorders>
            <w:noWrap/>
            <w:vAlign w:val="center"/>
          </w:tcPr>
          <w:p>
            <w:pPr>
              <w:widowControl/>
              <w:spacing w:line="240" w:lineRule="exact"/>
              <w:jc w:val="center"/>
              <w:textAlignment w:val="center"/>
              <w:rPr>
                <w:kern w:val="0"/>
                <w:sz w:val="18"/>
                <w:szCs w:val="18"/>
              </w:rPr>
            </w:pPr>
            <w:r>
              <w:rPr>
                <w:kern w:val="0"/>
                <w:sz w:val="18"/>
                <w:szCs w:val="18"/>
              </w:rPr>
              <w:t>甲</w:t>
            </w:r>
          </w:p>
        </w:tc>
        <w:tc>
          <w:tcPr>
            <w:tcW w:w="646" w:type="pct"/>
            <w:tcBorders>
              <w:top w:val="single" w:color="auto" w:sz="4" w:space="0"/>
              <w:left w:val="single" w:color="auto" w:sz="2" w:space="0"/>
              <w:bottom w:val="single" w:color="auto" w:sz="4"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tc>
        <w:tc>
          <w:tcPr>
            <w:tcW w:w="646" w:type="pct"/>
            <w:tcBorders>
              <w:top w:val="single" w:color="auto" w:sz="4" w:space="0"/>
              <w:left w:val="single" w:color="auto" w:sz="2" w:space="0"/>
              <w:bottom w:val="single" w:color="auto" w:sz="4"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646" w:type="pct"/>
            <w:tcBorders>
              <w:top w:val="single" w:color="auto" w:sz="4" w:space="0"/>
              <w:left w:val="single" w:color="auto" w:sz="2" w:space="0"/>
              <w:bottom w:val="single" w:color="auto" w:sz="4" w:space="0"/>
              <w:right w:val="single" w:color="auto" w:sz="4"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w:t>
            </w:r>
          </w:p>
        </w:tc>
        <w:tc>
          <w:tcPr>
            <w:tcW w:w="646"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p>
        </w:tc>
        <w:tc>
          <w:tcPr>
            <w:tcW w:w="646" w:type="pct"/>
            <w:tcBorders>
              <w:top w:val="single" w:color="auto" w:sz="4" w:space="0"/>
              <w:left w:val="single" w:color="auto" w:sz="4" w:space="0"/>
              <w:bottom w:val="single" w:color="auto" w:sz="4"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w:t>
            </w:r>
          </w:p>
        </w:tc>
      </w:tr>
      <w:tr>
        <w:tblPrEx>
          <w:tblCellMar>
            <w:top w:w="0" w:type="dxa"/>
            <w:left w:w="108" w:type="dxa"/>
            <w:bottom w:w="0" w:type="dxa"/>
            <w:right w:w="108" w:type="dxa"/>
          </w:tblCellMar>
        </w:tblPrEx>
        <w:trPr>
          <w:trHeight w:val="254" w:hRule="atLeast"/>
          <w:jc w:val="center"/>
        </w:trPr>
        <w:tc>
          <w:tcPr>
            <w:tcW w:w="1770" w:type="pct"/>
            <w:tcBorders>
              <w:top w:val="single" w:color="auto" w:sz="4" w:space="0"/>
              <w:left w:val="nil"/>
              <w:right w:val="single" w:color="auto" w:sz="2" w:space="0"/>
            </w:tcBorders>
            <w:noWrap/>
            <w:vAlign w:val="center"/>
          </w:tcPr>
          <w:p>
            <w:pPr>
              <w:widowControl/>
              <w:textAlignment w:val="center"/>
              <w:rPr>
                <w:kern w:val="0"/>
                <w:sz w:val="18"/>
                <w:szCs w:val="18"/>
              </w:rPr>
            </w:pPr>
            <w:r>
              <w:rPr>
                <w:kern w:val="0"/>
                <w:sz w:val="18"/>
                <w:szCs w:val="18"/>
              </w:rPr>
              <w:t>农、林、牧、渔业</w:t>
            </w:r>
          </w:p>
        </w:tc>
        <w:tc>
          <w:tcPr>
            <w:tcW w:w="646" w:type="pct"/>
            <w:vMerge w:val="restart"/>
            <w:tcBorders>
              <w:top w:val="single" w:color="auto" w:sz="4" w:space="0"/>
              <w:left w:val="single" w:color="auto" w:sz="2" w:space="0"/>
              <w:right w:val="single" w:color="auto" w:sz="2" w:space="0"/>
            </w:tcBorders>
            <w:noWrap/>
            <w:vAlign w:val="center"/>
          </w:tcPr>
          <w:p>
            <w:pPr>
              <w:widowControl/>
              <w:jc w:val="center"/>
              <w:textAlignment w:val="center"/>
              <w:rPr>
                <w:kern w:val="0"/>
                <w:sz w:val="18"/>
                <w:szCs w:val="18"/>
              </w:rPr>
            </w:pPr>
          </w:p>
        </w:tc>
        <w:tc>
          <w:tcPr>
            <w:tcW w:w="646" w:type="pct"/>
            <w:vMerge w:val="restart"/>
            <w:tcBorders>
              <w:top w:val="single" w:color="auto" w:sz="4" w:space="0"/>
              <w:left w:val="single" w:color="auto" w:sz="2" w:space="0"/>
              <w:right w:val="single" w:color="auto" w:sz="2" w:space="0"/>
            </w:tcBorders>
            <w:noWrap/>
            <w:vAlign w:val="center"/>
          </w:tcPr>
          <w:p>
            <w:pPr>
              <w:widowControl/>
              <w:jc w:val="center"/>
              <w:textAlignment w:val="center"/>
              <w:rPr>
                <w:kern w:val="0"/>
                <w:sz w:val="18"/>
                <w:szCs w:val="18"/>
              </w:rPr>
            </w:pPr>
          </w:p>
        </w:tc>
        <w:tc>
          <w:tcPr>
            <w:tcW w:w="646" w:type="pct"/>
            <w:vMerge w:val="restart"/>
            <w:tcBorders>
              <w:top w:val="single" w:color="auto" w:sz="4" w:space="0"/>
              <w:left w:val="single" w:color="auto" w:sz="2" w:space="0"/>
              <w:right w:val="single" w:color="auto" w:sz="2" w:space="0"/>
            </w:tcBorders>
            <w:noWrap/>
            <w:vAlign w:val="center"/>
          </w:tcPr>
          <w:p>
            <w:pPr>
              <w:widowControl/>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3=2/1</w:t>
            </w:r>
          </w:p>
        </w:tc>
        <w:tc>
          <w:tcPr>
            <w:tcW w:w="646" w:type="pct"/>
            <w:vMerge w:val="restart"/>
            <w:tcBorders>
              <w:top w:val="single" w:color="auto" w:sz="4" w:space="0"/>
              <w:left w:val="single" w:color="auto" w:sz="2" w:space="0"/>
              <w:right w:val="single" w:color="auto" w:sz="4" w:space="0"/>
            </w:tcBorders>
            <w:noWrap/>
            <w:vAlign w:val="center"/>
          </w:tcPr>
          <w:p>
            <w:pPr>
              <w:widowControl/>
              <w:jc w:val="center"/>
              <w:textAlignment w:val="center"/>
              <w:rPr>
                <w:rFonts w:asciiTheme="minorEastAsia" w:hAnsiTheme="minorEastAsia" w:eastAsiaTheme="minorEastAsia" w:cstheme="minorEastAsia"/>
                <w:kern w:val="0"/>
                <w:sz w:val="18"/>
                <w:szCs w:val="18"/>
              </w:rPr>
            </w:pPr>
          </w:p>
        </w:tc>
        <w:tc>
          <w:tcPr>
            <w:tcW w:w="646" w:type="pct"/>
            <w:vMerge w:val="restart"/>
            <w:tcBorders>
              <w:top w:val="single" w:color="auto" w:sz="4" w:space="0"/>
              <w:left w:val="single" w:color="auto" w:sz="2" w:space="0"/>
              <w:bottom w:val="single" w:color="auto" w:sz="2" w:space="0"/>
            </w:tcBorders>
            <w:noWrap/>
            <w:vAlign w:val="center"/>
          </w:tcPr>
          <w:p>
            <w:pPr>
              <w:widowControl/>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5=3*4</w:t>
            </w:r>
          </w:p>
        </w:tc>
      </w:tr>
      <w:tr>
        <w:tblPrEx>
          <w:tblCellMar>
            <w:top w:w="0" w:type="dxa"/>
            <w:left w:w="108" w:type="dxa"/>
            <w:bottom w:w="0" w:type="dxa"/>
            <w:right w:w="108" w:type="dxa"/>
          </w:tblCellMar>
        </w:tblPrEx>
        <w:trPr>
          <w:trHeight w:val="282" w:hRule="atLeast"/>
          <w:jc w:val="center"/>
        </w:trPr>
        <w:tc>
          <w:tcPr>
            <w:tcW w:w="1770" w:type="pct"/>
            <w:tcBorders>
              <w:left w:val="nil"/>
              <w:right w:val="single" w:color="auto" w:sz="2" w:space="0"/>
            </w:tcBorders>
            <w:noWrap/>
            <w:vAlign w:val="center"/>
          </w:tcPr>
          <w:p>
            <w:pPr>
              <w:widowControl/>
              <w:textAlignment w:val="center"/>
              <w:rPr>
                <w:kern w:val="0"/>
                <w:sz w:val="18"/>
                <w:szCs w:val="18"/>
              </w:rPr>
            </w:pPr>
            <w:r>
              <w:rPr>
                <w:kern w:val="0"/>
                <w:sz w:val="18"/>
                <w:szCs w:val="18"/>
              </w:rPr>
              <w:t>建筑业</w:t>
            </w:r>
          </w:p>
        </w:tc>
        <w:tc>
          <w:tcPr>
            <w:tcW w:w="646" w:type="pct"/>
            <w:vMerge w:val="continue"/>
            <w:tcBorders>
              <w:left w:val="single" w:color="auto" w:sz="2" w:space="0"/>
              <w:right w:val="single" w:color="auto" w:sz="2" w:space="0"/>
            </w:tcBorders>
            <w:noWrap/>
            <w:vAlign w:val="center"/>
          </w:tcPr>
          <w:p>
            <w:pPr>
              <w:widowControl/>
              <w:jc w:val="center"/>
              <w:textAlignment w:val="center"/>
              <w:rPr>
                <w:kern w:val="0"/>
                <w:sz w:val="18"/>
                <w:szCs w:val="18"/>
              </w:rPr>
            </w:pPr>
          </w:p>
        </w:tc>
        <w:tc>
          <w:tcPr>
            <w:tcW w:w="646" w:type="pct"/>
            <w:vMerge w:val="continue"/>
            <w:tcBorders>
              <w:left w:val="single" w:color="auto" w:sz="2" w:space="0"/>
              <w:right w:val="single" w:color="auto" w:sz="2" w:space="0"/>
            </w:tcBorders>
            <w:noWrap/>
            <w:vAlign w:val="center"/>
          </w:tcPr>
          <w:p>
            <w:pPr>
              <w:widowControl/>
              <w:jc w:val="center"/>
              <w:textAlignment w:val="center"/>
              <w:rPr>
                <w:kern w:val="0"/>
                <w:sz w:val="18"/>
                <w:szCs w:val="18"/>
              </w:rPr>
            </w:pPr>
          </w:p>
        </w:tc>
        <w:tc>
          <w:tcPr>
            <w:tcW w:w="646" w:type="pct"/>
            <w:vMerge w:val="continue"/>
            <w:tcBorders>
              <w:left w:val="single" w:color="auto" w:sz="2" w:space="0"/>
              <w:right w:val="single" w:color="auto" w:sz="2" w:space="0"/>
            </w:tcBorders>
            <w:noWrap/>
            <w:vAlign w:val="center"/>
          </w:tcPr>
          <w:p>
            <w:pPr>
              <w:widowControl/>
              <w:jc w:val="center"/>
              <w:textAlignment w:val="center"/>
              <w:rPr>
                <w:kern w:val="0"/>
                <w:sz w:val="18"/>
                <w:szCs w:val="18"/>
              </w:rPr>
            </w:pPr>
          </w:p>
        </w:tc>
        <w:tc>
          <w:tcPr>
            <w:tcW w:w="646" w:type="pct"/>
            <w:vMerge w:val="continue"/>
            <w:tcBorders>
              <w:left w:val="single" w:color="auto" w:sz="2" w:space="0"/>
              <w:right w:val="single" w:color="auto" w:sz="2" w:space="0"/>
            </w:tcBorders>
            <w:noWrap/>
            <w:vAlign w:val="center"/>
          </w:tcPr>
          <w:p>
            <w:pPr>
              <w:widowControl/>
              <w:jc w:val="center"/>
              <w:textAlignment w:val="center"/>
              <w:rPr>
                <w:kern w:val="0"/>
                <w:sz w:val="18"/>
                <w:szCs w:val="18"/>
              </w:rPr>
            </w:pPr>
          </w:p>
        </w:tc>
        <w:tc>
          <w:tcPr>
            <w:tcW w:w="646" w:type="pct"/>
            <w:vMerge w:val="continue"/>
            <w:tcBorders>
              <w:top w:val="single" w:color="auto" w:sz="2" w:space="0"/>
              <w:left w:val="single" w:color="auto" w:sz="2" w:space="0"/>
              <w:bottom w:val="single" w:color="auto" w:sz="2" w:space="0"/>
            </w:tcBorders>
            <w:noWrap/>
          </w:tcPr>
          <w:p>
            <w:pPr>
              <w:widowControl/>
              <w:jc w:val="center"/>
              <w:textAlignment w:val="center"/>
              <w:rPr>
                <w:kern w:val="0"/>
                <w:sz w:val="18"/>
                <w:szCs w:val="18"/>
              </w:rPr>
            </w:pPr>
          </w:p>
        </w:tc>
      </w:tr>
      <w:tr>
        <w:tblPrEx>
          <w:tblCellMar>
            <w:top w:w="0" w:type="dxa"/>
            <w:left w:w="108" w:type="dxa"/>
            <w:bottom w:w="0" w:type="dxa"/>
            <w:right w:w="108" w:type="dxa"/>
          </w:tblCellMar>
        </w:tblPrEx>
        <w:trPr>
          <w:trHeight w:val="251" w:hRule="atLeast"/>
          <w:jc w:val="center"/>
        </w:trPr>
        <w:tc>
          <w:tcPr>
            <w:tcW w:w="1770" w:type="pct"/>
            <w:tcBorders>
              <w:top w:val="nil"/>
              <w:left w:val="nil"/>
              <w:right w:val="single" w:color="auto" w:sz="2" w:space="0"/>
            </w:tcBorders>
            <w:noWrap/>
            <w:vAlign w:val="center"/>
          </w:tcPr>
          <w:p>
            <w:pPr>
              <w:widowControl/>
              <w:jc w:val="left"/>
              <w:textAlignment w:val="center"/>
              <w:rPr>
                <w:kern w:val="0"/>
                <w:sz w:val="18"/>
                <w:szCs w:val="18"/>
              </w:rPr>
            </w:pPr>
            <w:r>
              <w:rPr>
                <w:kern w:val="0"/>
                <w:sz w:val="18"/>
                <w:szCs w:val="18"/>
              </w:rPr>
              <w:t>服务业</w:t>
            </w:r>
            <w:r>
              <w:rPr>
                <w:rFonts w:hint="eastAsia"/>
                <w:kern w:val="0"/>
                <w:sz w:val="18"/>
                <w:szCs w:val="18"/>
                <w:vertAlign w:val="superscript"/>
              </w:rPr>
              <w:t>*</w:t>
            </w:r>
          </w:p>
        </w:tc>
        <w:tc>
          <w:tcPr>
            <w:tcW w:w="646" w:type="pct"/>
            <w:vMerge w:val="continue"/>
            <w:tcBorders>
              <w:left w:val="single" w:color="auto" w:sz="2" w:space="0"/>
              <w:right w:val="single" w:color="auto" w:sz="2" w:space="0"/>
            </w:tcBorders>
            <w:noWrap/>
            <w:vAlign w:val="center"/>
          </w:tcPr>
          <w:p>
            <w:pPr>
              <w:widowControl/>
              <w:jc w:val="center"/>
              <w:textAlignment w:val="center"/>
              <w:rPr>
                <w:kern w:val="0"/>
                <w:sz w:val="18"/>
                <w:szCs w:val="18"/>
              </w:rPr>
            </w:pPr>
          </w:p>
        </w:tc>
        <w:tc>
          <w:tcPr>
            <w:tcW w:w="646" w:type="pct"/>
            <w:vMerge w:val="continue"/>
            <w:tcBorders>
              <w:left w:val="single" w:color="auto" w:sz="2" w:space="0"/>
              <w:right w:val="single" w:color="auto" w:sz="2" w:space="0"/>
            </w:tcBorders>
            <w:noWrap/>
            <w:vAlign w:val="center"/>
          </w:tcPr>
          <w:p>
            <w:pPr>
              <w:widowControl/>
              <w:jc w:val="center"/>
              <w:textAlignment w:val="center"/>
              <w:rPr>
                <w:kern w:val="0"/>
                <w:sz w:val="18"/>
                <w:szCs w:val="18"/>
              </w:rPr>
            </w:pPr>
          </w:p>
        </w:tc>
        <w:tc>
          <w:tcPr>
            <w:tcW w:w="646" w:type="pct"/>
            <w:vMerge w:val="continue"/>
            <w:tcBorders>
              <w:top w:val="nil"/>
              <w:left w:val="single" w:color="auto" w:sz="2" w:space="0"/>
              <w:right w:val="single" w:color="auto" w:sz="2" w:space="0"/>
            </w:tcBorders>
            <w:noWrap/>
          </w:tcPr>
          <w:p>
            <w:pPr>
              <w:widowControl/>
              <w:jc w:val="left"/>
              <w:textAlignment w:val="center"/>
              <w:rPr>
                <w:kern w:val="0"/>
                <w:sz w:val="18"/>
                <w:szCs w:val="18"/>
              </w:rPr>
            </w:pPr>
          </w:p>
        </w:tc>
        <w:tc>
          <w:tcPr>
            <w:tcW w:w="646" w:type="pct"/>
            <w:vMerge w:val="continue"/>
            <w:tcBorders>
              <w:top w:val="nil"/>
              <w:left w:val="single" w:color="auto" w:sz="2" w:space="0"/>
              <w:right w:val="single" w:color="auto" w:sz="2" w:space="0"/>
            </w:tcBorders>
            <w:noWrap/>
          </w:tcPr>
          <w:p>
            <w:pPr>
              <w:widowControl/>
              <w:jc w:val="left"/>
              <w:textAlignment w:val="center"/>
              <w:rPr>
                <w:kern w:val="0"/>
                <w:sz w:val="18"/>
                <w:szCs w:val="18"/>
              </w:rPr>
            </w:pPr>
          </w:p>
        </w:tc>
        <w:tc>
          <w:tcPr>
            <w:tcW w:w="646" w:type="pct"/>
            <w:vMerge w:val="continue"/>
            <w:tcBorders>
              <w:top w:val="single" w:color="auto" w:sz="2" w:space="0"/>
              <w:left w:val="single" w:color="auto" w:sz="2" w:space="0"/>
              <w:bottom w:val="single" w:color="auto" w:sz="2" w:space="0"/>
            </w:tcBorders>
            <w:noWrap/>
          </w:tcPr>
          <w:p>
            <w:pPr>
              <w:widowControl/>
              <w:jc w:val="center"/>
              <w:textAlignment w:val="center"/>
              <w:rPr>
                <w:kern w:val="0"/>
                <w:sz w:val="18"/>
                <w:szCs w:val="18"/>
              </w:rPr>
            </w:pPr>
          </w:p>
        </w:tc>
      </w:tr>
      <w:tr>
        <w:tblPrEx>
          <w:tblCellMar>
            <w:top w:w="0" w:type="dxa"/>
            <w:left w:w="108" w:type="dxa"/>
            <w:bottom w:w="0" w:type="dxa"/>
            <w:right w:w="108" w:type="dxa"/>
          </w:tblCellMar>
        </w:tblPrEx>
        <w:trPr>
          <w:trHeight w:val="258" w:hRule="atLeast"/>
          <w:jc w:val="center"/>
        </w:trPr>
        <w:tc>
          <w:tcPr>
            <w:tcW w:w="1770" w:type="pct"/>
            <w:tcBorders>
              <w:top w:val="nil"/>
              <w:left w:val="nil"/>
              <w:right w:val="single" w:color="auto" w:sz="2" w:space="0"/>
            </w:tcBorders>
            <w:noWrap/>
            <w:vAlign w:val="center"/>
          </w:tcPr>
          <w:p>
            <w:pPr>
              <w:widowControl/>
              <w:jc w:val="left"/>
              <w:textAlignment w:val="center"/>
              <w:rPr>
                <w:kern w:val="0"/>
                <w:sz w:val="18"/>
                <w:szCs w:val="18"/>
              </w:rPr>
            </w:pPr>
            <w:r>
              <w:rPr>
                <w:kern w:val="0"/>
                <w:sz w:val="18"/>
                <w:szCs w:val="18"/>
              </w:rPr>
              <w:t xml:space="preserve">  交通运输、仓储和邮政业</w:t>
            </w:r>
          </w:p>
        </w:tc>
        <w:tc>
          <w:tcPr>
            <w:tcW w:w="646" w:type="pct"/>
            <w:vMerge w:val="continue"/>
            <w:tcBorders>
              <w:left w:val="single" w:color="auto" w:sz="2" w:space="0"/>
              <w:right w:val="single" w:color="auto" w:sz="2" w:space="0"/>
            </w:tcBorders>
            <w:noWrap/>
            <w:vAlign w:val="center"/>
          </w:tcPr>
          <w:p>
            <w:pPr>
              <w:widowControl/>
              <w:jc w:val="center"/>
              <w:textAlignment w:val="center"/>
              <w:rPr>
                <w:kern w:val="0"/>
                <w:sz w:val="18"/>
                <w:szCs w:val="18"/>
              </w:rPr>
            </w:pPr>
          </w:p>
        </w:tc>
        <w:tc>
          <w:tcPr>
            <w:tcW w:w="646" w:type="pct"/>
            <w:vMerge w:val="continue"/>
            <w:tcBorders>
              <w:left w:val="single" w:color="auto" w:sz="2" w:space="0"/>
              <w:right w:val="single" w:color="auto" w:sz="2" w:space="0"/>
            </w:tcBorders>
            <w:noWrap/>
            <w:vAlign w:val="center"/>
          </w:tcPr>
          <w:p>
            <w:pPr>
              <w:widowControl/>
              <w:jc w:val="center"/>
              <w:textAlignment w:val="center"/>
              <w:rPr>
                <w:kern w:val="0"/>
                <w:sz w:val="18"/>
                <w:szCs w:val="18"/>
              </w:rPr>
            </w:pPr>
          </w:p>
        </w:tc>
        <w:tc>
          <w:tcPr>
            <w:tcW w:w="646" w:type="pct"/>
            <w:vMerge w:val="continue"/>
            <w:tcBorders>
              <w:top w:val="nil"/>
              <w:left w:val="single" w:color="auto" w:sz="2" w:space="0"/>
              <w:right w:val="single" w:color="auto" w:sz="2" w:space="0"/>
            </w:tcBorders>
            <w:noWrap/>
          </w:tcPr>
          <w:p>
            <w:pPr>
              <w:widowControl/>
              <w:jc w:val="left"/>
              <w:textAlignment w:val="center"/>
              <w:rPr>
                <w:kern w:val="0"/>
                <w:sz w:val="18"/>
                <w:szCs w:val="18"/>
              </w:rPr>
            </w:pPr>
          </w:p>
        </w:tc>
        <w:tc>
          <w:tcPr>
            <w:tcW w:w="646" w:type="pct"/>
            <w:vMerge w:val="continue"/>
            <w:tcBorders>
              <w:top w:val="nil"/>
              <w:left w:val="single" w:color="auto" w:sz="2" w:space="0"/>
              <w:right w:val="single" w:color="auto" w:sz="2" w:space="0"/>
            </w:tcBorders>
            <w:noWrap/>
          </w:tcPr>
          <w:p>
            <w:pPr>
              <w:widowControl/>
              <w:jc w:val="left"/>
              <w:textAlignment w:val="center"/>
              <w:rPr>
                <w:kern w:val="0"/>
                <w:sz w:val="18"/>
                <w:szCs w:val="18"/>
              </w:rPr>
            </w:pPr>
          </w:p>
        </w:tc>
        <w:tc>
          <w:tcPr>
            <w:tcW w:w="646" w:type="pct"/>
            <w:vMerge w:val="continue"/>
            <w:tcBorders>
              <w:top w:val="single" w:color="auto" w:sz="2" w:space="0"/>
              <w:left w:val="single" w:color="auto" w:sz="2" w:space="0"/>
              <w:bottom w:val="single" w:color="auto" w:sz="2" w:space="0"/>
            </w:tcBorders>
            <w:noWrap/>
          </w:tcPr>
          <w:p>
            <w:pPr>
              <w:widowControl/>
              <w:jc w:val="left"/>
              <w:textAlignment w:val="center"/>
              <w:rPr>
                <w:kern w:val="0"/>
                <w:sz w:val="18"/>
                <w:szCs w:val="18"/>
              </w:rPr>
            </w:pPr>
          </w:p>
        </w:tc>
      </w:tr>
      <w:tr>
        <w:tblPrEx>
          <w:tblCellMar>
            <w:top w:w="0" w:type="dxa"/>
            <w:left w:w="108" w:type="dxa"/>
            <w:bottom w:w="0" w:type="dxa"/>
            <w:right w:w="108" w:type="dxa"/>
          </w:tblCellMar>
        </w:tblPrEx>
        <w:trPr>
          <w:trHeight w:val="265" w:hRule="atLeast"/>
          <w:jc w:val="center"/>
        </w:trPr>
        <w:tc>
          <w:tcPr>
            <w:tcW w:w="1770" w:type="pct"/>
            <w:tcBorders>
              <w:top w:val="nil"/>
              <w:left w:val="nil"/>
              <w:bottom w:val="single" w:color="auto" w:sz="4" w:space="0"/>
              <w:right w:val="single" w:color="auto" w:sz="2" w:space="0"/>
            </w:tcBorders>
            <w:noWrap/>
            <w:vAlign w:val="center"/>
          </w:tcPr>
          <w:p>
            <w:pPr>
              <w:widowControl/>
              <w:jc w:val="left"/>
              <w:textAlignment w:val="center"/>
              <w:rPr>
                <w:kern w:val="0"/>
                <w:sz w:val="18"/>
                <w:szCs w:val="18"/>
              </w:rPr>
            </w:pPr>
            <w:r>
              <w:rPr>
                <w:kern w:val="0"/>
                <w:sz w:val="18"/>
                <w:szCs w:val="18"/>
              </w:rPr>
              <w:t xml:space="preserve">  服务业</w:t>
            </w:r>
            <w:r>
              <w:rPr>
                <w:kern w:val="0"/>
                <w:sz w:val="18"/>
                <w:szCs w:val="18"/>
                <w:vertAlign w:val="superscript"/>
              </w:rPr>
              <w:t>*</w:t>
            </w:r>
            <w:r>
              <w:rPr>
                <w:rFonts w:hint="eastAsia"/>
                <w:kern w:val="0"/>
                <w:sz w:val="18"/>
                <w:szCs w:val="18"/>
              </w:rPr>
              <w:t>（</w:t>
            </w:r>
            <w:r>
              <w:rPr>
                <w:kern w:val="0"/>
                <w:sz w:val="18"/>
                <w:szCs w:val="18"/>
              </w:rPr>
              <w:t>不含交通运输、仓储和邮政业</w:t>
            </w:r>
            <w:r>
              <w:rPr>
                <w:rFonts w:hint="eastAsia"/>
                <w:kern w:val="0"/>
                <w:sz w:val="18"/>
                <w:szCs w:val="18"/>
              </w:rPr>
              <w:t>）</w:t>
            </w:r>
          </w:p>
        </w:tc>
        <w:tc>
          <w:tcPr>
            <w:tcW w:w="646" w:type="pct"/>
            <w:vMerge w:val="continue"/>
            <w:tcBorders>
              <w:left w:val="single" w:color="auto" w:sz="2" w:space="0"/>
              <w:bottom w:val="single" w:color="auto" w:sz="4" w:space="0"/>
              <w:right w:val="single" w:color="auto" w:sz="2" w:space="0"/>
            </w:tcBorders>
            <w:noWrap/>
            <w:vAlign w:val="center"/>
          </w:tcPr>
          <w:p>
            <w:pPr>
              <w:widowControl/>
              <w:jc w:val="center"/>
              <w:textAlignment w:val="center"/>
              <w:rPr>
                <w:kern w:val="0"/>
                <w:sz w:val="18"/>
                <w:szCs w:val="18"/>
              </w:rPr>
            </w:pPr>
          </w:p>
        </w:tc>
        <w:tc>
          <w:tcPr>
            <w:tcW w:w="646" w:type="pct"/>
            <w:vMerge w:val="continue"/>
            <w:tcBorders>
              <w:left w:val="single" w:color="auto" w:sz="2" w:space="0"/>
              <w:bottom w:val="single" w:color="auto" w:sz="4" w:space="0"/>
              <w:right w:val="single" w:color="auto" w:sz="2" w:space="0"/>
            </w:tcBorders>
            <w:noWrap/>
            <w:vAlign w:val="center"/>
          </w:tcPr>
          <w:p>
            <w:pPr>
              <w:widowControl/>
              <w:jc w:val="center"/>
              <w:textAlignment w:val="center"/>
              <w:rPr>
                <w:kern w:val="0"/>
                <w:sz w:val="18"/>
                <w:szCs w:val="18"/>
              </w:rPr>
            </w:pPr>
          </w:p>
        </w:tc>
        <w:tc>
          <w:tcPr>
            <w:tcW w:w="646" w:type="pct"/>
            <w:vMerge w:val="continue"/>
            <w:tcBorders>
              <w:top w:val="nil"/>
              <w:left w:val="single" w:color="auto" w:sz="2" w:space="0"/>
              <w:bottom w:val="single" w:color="auto" w:sz="4" w:space="0"/>
              <w:right w:val="single" w:color="auto" w:sz="2" w:space="0"/>
            </w:tcBorders>
            <w:noWrap/>
            <w:vAlign w:val="center"/>
          </w:tcPr>
          <w:p>
            <w:pPr>
              <w:widowControl/>
              <w:jc w:val="left"/>
              <w:textAlignment w:val="center"/>
              <w:rPr>
                <w:kern w:val="0"/>
                <w:sz w:val="18"/>
                <w:szCs w:val="18"/>
              </w:rPr>
            </w:pPr>
          </w:p>
        </w:tc>
        <w:tc>
          <w:tcPr>
            <w:tcW w:w="646" w:type="pct"/>
            <w:vMerge w:val="continue"/>
            <w:tcBorders>
              <w:top w:val="nil"/>
              <w:left w:val="single" w:color="auto" w:sz="2" w:space="0"/>
              <w:bottom w:val="single" w:color="auto" w:sz="4" w:space="0"/>
              <w:right w:val="single" w:color="auto" w:sz="2" w:space="0"/>
            </w:tcBorders>
            <w:noWrap/>
            <w:vAlign w:val="center"/>
          </w:tcPr>
          <w:p>
            <w:pPr>
              <w:widowControl/>
              <w:jc w:val="left"/>
              <w:textAlignment w:val="center"/>
              <w:rPr>
                <w:kern w:val="0"/>
                <w:sz w:val="18"/>
                <w:szCs w:val="18"/>
              </w:rPr>
            </w:pPr>
          </w:p>
        </w:tc>
        <w:tc>
          <w:tcPr>
            <w:tcW w:w="646" w:type="pct"/>
            <w:vMerge w:val="continue"/>
            <w:tcBorders>
              <w:top w:val="single" w:color="auto" w:sz="2" w:space="0"/>
              <w:left w:val="single" w:color="auto" w:sz="2" w:space="0"/>
              <w:bottom w:val="single" w:color="auto" w:sz="2" w:space="0"/>
            </w:tcBorders>
            <w:noWrap/>
          </w:tcPr>
          <w:p>
            <w:pPr>
              <w:widowControl/>
              <w:jc w:val="left"/>
              <w:textAlignment w:val="center"/>
              <w:rPr>
                <w:kern w:val="0"/>
                <w:sz w:val="18"/>
                <w:szCs w:val="18"/>
              </w:rPr>
            </w:pPr>
          </w:p>
        </w:tc>
      </w:tr>
    </w:tbl>
    <w:p>
      <w:pPr>
        <w:pStyle w:val="10"/>
        <w:adjustRightInd w:val="0"/>
        <w:snapToGrid w:val="0"/>
        <w:spacing w:before="120" w:beforeLines="50" w:line="380" w:lineRule="exact"/>
        <w:ind w:firstLine="411" w:firstLineChars="196"/>
        <w:rPr>
          <w:rFonts w:hAnsi="宋体" w:cs="宋体"/>
          <w:color w:val="auto"/>
          <w:kern w:val="0"/>
        </w:rPr>
      </w:pPr>
      <w:r>
        <w:rPr>
          <w:rFonts w:hAnsi="宋体" w:cs="宋体"/>
          <w:kern w:val="0"/>
        </w:rPr>
        <w:t>说明：当经济运行正常</w:t>
      </w:r>
      <w:r>
        <w:rPr>
          <w:rFonts w:hint="eastAsia" w:hAnsi="宋体" w:cs="宋体"/>
          <w:kern w:val="0"/>
        </w:rPr>
        <w:t>、</w:t>
      </w:r>
      <w:r>
        <w:rPr>
          <w:rFonts w:hAnsi="宋体" w:cs="宋体"/>
          <w:kern w:val="0"/>
        </w:rPr>
        <w:t>数据波动较平稳时，采用上年能源消费弹性系数；当经济运行不正常，或部分行业上年弹性系数为负、弹性系数过大及</w:t>
      </w:r>
      <w:r>
        <w:rPr>
          <w:rFonts w:hAnsi="宋体" w:cs="宋体"/>
          <w:color w:val="auto"/>
          <w:kern w:val="0"/>
        </w:rPr>
        <w:t>弹性系数接近零的情况下，可采用</w:t>
      </w:r>
      <w:r>
        <w:rPr>
          <w:rFonts w:hint="eastAsia" w:hAnsi="宋体" w:cs="宋体"/>
          <w:color w:val="auto"/>
          <w:kern w:val="0"/>
        </w:rPr>
        <w:t>往年</w:t>
      </w:r>
      <w:r>
        <w:rPr>
          <w:rFonts w:hAnsi="宋体" w:cs="宋体"/>
          <w:color w:val="auto"/>
          <w:kern w:val="0"/>
        </w:rPr>
        <w:t xml:space="preserve">弹性系数。 </w:t>
      </w:r>
    </w:p>
    <w:p>
      <w:pPr>
        <w:spacing w:line="360" w:lineRule="exact"/>
        <w:ind w:right="-40" w:firstLine="420" w:firstLineChars="200"/>
        <w:textAlignment w:val="center"/>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val="en-US" w:eastAsia="zh-CN"/>
        </w:rPr>
        <w:t>4</w:t>
      </w:r>
      <w:r>
        <w:rPr>
          <w:rFonts w:hint="eastAsia" w:ascii="宋体" w:hAnsi="宋体" w:eastAsia="宋体" w:cs="Times New Roman"/>
          <w:color w:val="auto"/>
          <w:sz w:val="21"/>
          <w:szCs w:val="21"/>
          <w:lang w:eastAsia="zh-CN"/>
        </w:rPr>
        <w:t>.核算方法四（电力增速推算法）：使用本期用电量增速、上年用电量占能源消费量比重核算。</w:t>
      </w:r>
    </w:p>
    <w:p>
      <w:pPr>
        <w:spacing w:line="360" w:lineRule="exact"/>
        <w:ind w:right="-40" w:firstLine="420" w:firstLineChars="200"/>
        <w:textAlignment w:val="center"/>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本期能源消费量增速=本期用电量增速×上年用电量占能源消费量比重</w:t>
      </w:r>
    </w:p>
    <w:p>
      <w:pPr>
        <w:spacing w:line="360" w:lineRule="exact"/>
        <w:ind w:right="-40" w:firstLine="420" w:firstLineChars="200"/>
        <w:textAlignment w:val="center"/>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其中：</w:t>
      </w:r>
    </w:p>
    <w:p>
      <w:pPr>
        <w:spacing w:line="360" w:lineRule="exact"/>
        <w:ind w:right="-40" w:firstLine="420" w:firstLineChars="200"/>
        <w:textAlignment w:val="center"/>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（1）“本期用电量增速”是指各行业和居民生活本期用电量增速。</w:t>
      </w:r>
    </w:p>
    <w:p>
      <w:pPr>
        <w:spacing w:line="360" w:lineRule="exact"/>
        <w:ind w:right="-40" w:firstLine="420" w:firstLineChars="200"/>
        <w:jc w:val="left"/>
        <w:textAlignment w:val="center"/>
        <w:rPr>
          <w:rFonts w:hint="eastAsia" w:ascii="宋体" w:hAnsi="宋体"/>
          <w:color w:val="auto"/>
          <w:spacing w:val="8"/>
          <w:sz w:val="18"/>
          <w:szCs w:val="18"/>
        </w:rPr>
      </w:pP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lang w:val="en-US" w:eastAsia="zh-CN"/>
        </w:rPr>
        <w:t>2</w:t>
      </w:r>
      <w:r>
        <w:rPr>
          <w:rFonts w:hint="eastAsia" w:ascii="宋体" w:hAnsi="宋体" w:eastAsia="宋体" w:cs="Times New Roman"/>
          <w:color w:val="auto"/>
          <w:sz w:val="21"/>
          <w:szCs w:val="21"/>
          <w:lang w:eastAsia="zh-CN"/>
        </w:rPr>
        <w:t>）“上年用电量占能源消费量比重”是指上年能源平衡表中各行业和居民生活用电量占该行业和居民生活能源消费量的比重。</w:t>
      </w:r>
    </w:p>
    <w:p>
      <w:pPr>
        <w:spacing w:line="300" w:lineRule="exact"/>
        <w:jc w:val="left"/>
        <w:textAlignment w:val="center"/>
        <w:rPr>
          <w:rFonts w:hint="eastAsia" w:ascii="宋体" w:hAnsi="宋体" w:eastAsia="宋体"/>
          <w:color w:val="auto"/>
          <w:spacing w:val="8"/>
          <w:sz w:val="18"/>
          <w:szCs w:val="18"/>
          <w:lang w:eastAsia="zh-CN"/>
        </w:rPr>
      </w:pPr>
      <w:r>
        <w:rPr>
          <w:rFonts w:hint="eastAsia" w:ascii="宋体" w:hAnsi="宋体"/>
          <w:color w:val="auto"/>
          <w:spacing w:val="8"/>
          <w:sz w:val="18"/>
          <w:szCs w:val="18"/>
        </w:rPr>
        <w:t>表</w:t>
      </w:r>
      <w:r>
        <w:rPr>
          <w:rFonts w:hint="eastAsia" w:ascii="宋体" w:hAnsi="宋体"/>
          <w:color w:val="auto"/>
          <w:spacing w:val="8"/>
          <w:sz w:val="18"/>
          <w:szCs w:val="18"/>
          <w:lang w:val="en-US" w:eastAsia="zh-CN"/>
        </w:rPr>
        <w:t>4</w:t>
      </w:r>
    </w:p>
    <w:tbl>
      <w:tblPr>
        <w:tblStyle w:val="21"/>
        <w:tblW w:w="9503"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5117"/>
        <w:gridCol w:w="1484"/>
        <w:gridCol w:w="1417"/>
        <w:gridCol w:w="1485"/>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32" w:hRule="atLeast"/>
          <w:jc w:val="center"/>
        </w:trPr>
        <w:tc>
          <w:tcPr>
            <w:tcW w:w="5117" w:type="dxa"/>
            <w:noWrap w:val="0"/>
            <w:vAlign w:val="center"/>
          </w:tcPr>
          <w:p>
            <w:pPr>
              <w:spacing w:line="240" w:lineRule="exact"/>
              <w:jc w:val="center"/>
              <w:textAlignment w:val="center"/>
              <w:rPr>
                <w:color w:val="auto"/>
                <w:spacing w:val="8"/>
                <w:sz w:val="18"/>
                <w:szCs w:val="18"/>
              </w:rPr>
            </w:pPr>
            <w:r>
              <w:rPr>
                <w:color w:val="auto"/>
                <w:spacing w:val="8"/>
                <w:sz w:val="18"/>
                <w:szCs w:val="18"/>
              </w:rPr>
              <w:t>指标名称</w:t>
            </w:r>
          </w:p>
        </w:tc>
        <w:tc>
          <w:tcPr>
            <w:tcW w:w="1484" w:type="dxa"/>
            <w:noWrap w:val="0"/>
            <w:tcMar>
              <w:left w:w="0" w:type="dxa"/>
              <w:right w:w="0" w:type="dxa"/>
            </w:tcMar>
            <w:vAlign w:val="center"/>
          </w:tcPr>
          <w:p>
            <w:pPr>
              <w:spacing w:line="220" w:lineRule="exact"/>
              <w:jc w:val="center"/>
              <w:textAlignment w:val="center"/>
              <w:rPr>
                <w:rFonts w:hint="eastAsia" w:ascii="宋体" w:hAnsi="宋体" w:eastAsia="宋体"/>
                <w:color w:val="auto"/>
                <w:kern w:val="13"/>
                <w:sz w:val="18"/>
                <w:szCs w:val="18"/>
                <w:lang w:eastAsia="zh-CN"/>
              </w:rPr>
            </w:pPr>
            <w:r>
              <w:rPr>
                <w:rFonts w:hint="eastAsia" w:ascii="宋体" w:hAnsi="宋体"/>
                <w:color w:val="auto"/>
                <w:kern w:val="13"/>
                <w:sz w:val="18"/>
                <w:szCs w:val="18"/>
              </w:rPr>
              <w:t>本期用电量</w:t>
            </w:r>
            <w:r>
              <w:rPr>
                <w:rFonts w:hint="eastAsia" w:ascii="宋体" w:hAnsi="宋体"/>
                <w:color w:val="auto"/>
                <w:kern w:val="13"/>
                <w:sz w:val="18"/>
                <w:szCs w:val="18"/>
                <w:lang w:eastAsia="zh-CN"/>
              </w:rPr>
              <w:t>增速</w:t>
            </w:r>
          </w:p>
          <w:p>
            <w:pPr>
              <w:spacing w:line="220" w:lineRule="exact"/>
              <w:jc w:val="center"/>
              <w:textAlignment w:val="center"/>
              <w:rPr>
                <w:rFonts w:ascii="宋体" w:hAnsi="宋体"/>
                <w:color w:val="auto"/>
                <w:kern w:val="13"/>
                <w:sz w:val="18"/>
                <w:szCs w:val="18"/>
              </w:rPr>
            </w:pPr>
            <w:r>
              <w:rPr>
                <w:rFonts w:hint="eastAsia" w:ascii="宋体" w:hAnsi="宋体"/>
                <w:color w:val="auto"/>
                <w:kern w:val="13"/>
                <w:sz w:val="18"/>
                <w:szCs w:val="18"/>
              </w:rPr>
              <w:t>（</w:t>
            </w:r>
            <w:r>
              <w:rPr>
                <w:rFonts w:hint="eastAsia" w:ascii="宋体" w:hAnsi="宋体"/>
                <w:color w:val="auto"/>
                <w:kern w:val="13"/>
                <w:sz w:val="18"/>
                <w:szCs w:val="18"/>
                <w:lang w:val="en-US" w:eastAsia="zh-CN"/>
              </w:rPr>
              <w:t>%</w:t>
            </w:r>
            <w:r>
              <w:rPr>
                <w:rFonts w:hint="eastAsia" w:ascii="宋体" w:hAnsi="宋体"/>
                <w:color w:val="auto"/>
                <w:kern w:val="13"/>
                <w:sz w:val="18"/>
                <w:szCs w:val="18"/>
              </w:rPr>
              <w:t>）</w:t>
            </w:r>
          </w:p>
        </w:tc>
        <w:tc>
          <w:tcPr>
            <w:tcW w:w="1417" w:type="dxa"/>
            <w:noWrap w:val="0"/>
            <w:vAlign w:val="center"/>
          </w:tcPr>
          <w:p>
            <w:pPr>
              <w:spacing w:line="220" w:lineRule="exact"/>
              <w:jc w:val="center"/>
              <w:textAlignment w:val="center"/>
              <w:rPr>
                <w:rFonts w:ascii="宋体" w:hAnsi="宋体"/>
                <w:color w:val="auto"/>
                <w:kern w:val="13"/>
                <w:sz w:val="18"/>
                <w:szCs w:val="18"/>
              </w:rPr>
            </w:pPr>
            <w:r>
              <w:rPr>
                <w:rFonts w:hint="eastAsia" w:ascii="宋体" w:hAnsi="宋体"/>
                <w:color w:val="auto"/>
                <w:kern w:val="13"/>
                <w:sz w:val="18"/>
                <w:szCs w:val="18"/>
              </w:rPr>
              <w:t>上年用电量占能源消费量</w:t>
            </w:r>
          </w:p>
          <w:p>
            <w:pPr>
              <w:spacing w:line="220" w:lineRule="exact"/>
              <w:jc w:val="center"/>
              <w:textAlignment w:val="center"/>
              <w:rPr>
                <w:rFonts w:ascii="宋体" w:hAnsi="宋体"/>
                <w:color w:val="auto"/>
                <w:kern w:val="13"/>
                <w:sz w:val="18"/>
                <w:szCs w:val="18"/>
              </w:rPr>
            </w:pPr>
            <w:r>
              <w:rPr>
                <w:rFonts w:hint="eastAsia" w:ascii="宋体" w:hAnsi="宋体"/>
                <w:color w:val="auto"/>
                <w:kern w:val="13"/>
                <w:sz w:val="18"/>
                <w:szCs w:val="18"/>
              </w:rPr>
              <w:t>比重（%）</w:t>
            </w:r>
          </w:p>
        </w:tc>
        <w:tc>
          <w:tcPr>
            <w:tcW w:w="1485" w:type="dxa"/>
            <w:noWrap w:val="0"/>
            <w:vAlign w:val="center"/>
          </w:tcPr>
          <w:p>
            <w:pPr>
              <w:widowControl/>
              <w:jc w:val="center"/>
              <w:textAlignment w:val="center"/>
              <w:rPr>
                <w:color w:val="auto"/>
                <w:kern w:val="0"/>
                <w:sz w:val="18"/>
                <w:szCs w:val="18"/>
              </w:rPr>
            </w:pPr>
            <w:r>
              <w:rPr>
                <w:color w:val="auto"/>
                <w:kern w:val="0"/>
                <w:sz w:val="18"/>
                <w:szCs w:val="18"/>
              </w:rPr>
              <w:t>本期能源消费量增速</w:t>
            </w:r>
          </w:p>
          <w:p>
            <w:pPr>
              <w:spacing w:line="220" w:lineRule="exact"/>
              <w:jc w:val="center"/>
              <w:textAlignment w:val="center"/>
              <w:rPr>
                <w:rFonts w:ascii="宋体" w:hAnsi="宋体"/>
                <w:color w:val="auto"/>
                <w:kern w:val="13"/>
                <w:sz w:val="18"/>
                <w:szCs w:val="18"/>
              </w:rPr>
            </w:pPr>
            <w:r>
              <w:rPr>
                <w:color w:val="auto"/>
                <w:kern w:val="0"/>
                <w:sz w:val="18"/>
                <w:szCs w:val="18"/>
              </w:rPr>
              <w:t>（</w:t>
            </w:r>
            <w:r>
              <w:rPr>
                <w:rFonts w:ascii="宋体" w:hAnsi="宋体"/>
                <w:color w:val="auto"/>
                <w:kern w:val="0"/>
                <w:sz w:val="18"/>
                <w:szCs w:val="18"/>
              </w:rPr>
              <w:t>%</w:t>
            </w:r>
            <w:r>
              <w:rPr>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25" w:hRule="atLeast"/>
          <w:jc w:val="center"/>
        </w:trPr>
        <w:tc>
          <w:tcPr>
            <w:tcW w:w="5117" w:type="dxa"/>
            <w:noWrap w:val="0"/>
            <w:vAlign w:val="center"/>
          </w:tcPr>
          <w:p>
            <w:pPr>
              <w:spacing w:line="240" w:lineRule="exact"/>
              <w:jc w:val="center"/>
              <w:textAlignment w:val="center"/>
              <w:rPr>
                <w:color w:val="auto"/>
                <w:spacing w:val="8"/>
                <w:sz w:val="18"/>
                <w:szCs w:val="18"/>
              </w:rPr>
            </w:pPr>
            <w:r>
              <w:rPr>
                <w:color w:val="auto"/>
                <w:spacing w:val="8"/>
                <w:sz w:val="18"/>
                <w:szCs w:val="18"/>
              </w:rPr>
              <w:t>甲</w:t>
            </w:r>
          </w:p>
        </w:tc>
        <w:tc>
          <w:tcPr>
            <w:tcW w:w="1484" w:type="dxa"/>
            <w:noWrap w:val="0"/>
            <w:vAlign w:val="center"/>
          </w:tcPr>
          <w:p>
            <w:pPr>
              <w:spacing w:line="240" w:lineRule="exact"/>
              <w:jc w:val="center"/>
              <w:textAlignment w:val="center"/>
              <w:rPr>
                <w:color w:val="auto"/>
                <w:spacing w:val="8"/>
                <w:sz w:val="18"/>
                <w:szCs w:val="18"/>
              </w:rPr>
            </w:pPr>
            <w:r>
              <w:rPr>
                <w:color w:val="auto"/>
                <w:spacing w:val="8"/>
                <w:sz w:val="18"/>
                <w:szCs w:val="18"/>
              </w:rPr>
              <w:t>1</w:t>
            </w:r>
          </w:p>
        </w:tc>
        <w:tc>
          <w:tcPr>
            <w:tcW w:w="1417" w:type="dxa"/>
            <w:noWrap w:val="0"/>
            <w:vAlign w:val="center"/>
          </w:tcPr>
          <w:p>
            <w:pPr>
              <w:spacing w:line="240" w:lineRule="exact"/>
              <w:jc w:val="center"/>
              <w:textAlignment w:val="center"/>
              <w:rPr>
                <w:rFonts w:hint="eastAsia" w:eastAsia="宋体"/>
                <w:color w:val="auto"/>
                <w:spacing w:val="8"/>
                <w:sz w:val="18"/>
                <w:szCs w:val="18"/>
                <w:lang w:eastAsia="zh-CN"/>
              </w:rPr>
            </w:pPr>
            <w:r>
              <w:rPr>
                <w:rFonts w:hint="eastAsia"/>
                <w:color w:val="auto"/>
                <w:spacing w:val="8"/>
                <w:sz w:val="18"/>
                <w:szCs w:val="18"/>
                <w:lang w:val="en-US" w:eastAsia="zh-CN"/>
              </w:rPr>
              <w:t>2</w:t>
            </w:r>
          </w:p>
        </w:tc>
        <w:tc>
          <w:tcPr>
            <w:tcW w:w="1485" w:type="dxa"/>
            <w:noWrap w:val="0"/>
            <w:vAlign w:val="center"/>
          </w:tcPr>
          <w:p>
            <w:pPr>
              <w:spacing w:line="240" w:lineRule="exact"/>
              <w:jc w:val="center"/>
              <w:textAlignment w:val="center"/>
              <w:rPr>
                <w:rFonts w:hint="eastAsia" w:eastAsia="宋体"/>
                <w:color w:val="auto"/>
                <w:spacing w:val="8"/>
                <w:sz w:val="18"/>
                <w:szCs w:val="18"/>
                <w:lang w:eastAsia="zh-CN"/>
              </w:rPr>
            </w:pPr>
            <w:r>
              <w:rPr>
                <w:rFonts w:hint="eastAsia"/>
                <w:color w:val="auto"/>
                <w:spacing w:val="8"/>
                <w:sz w:val="18"/>
                <w:szCs w:val="18"/>
                <w:lang w:val="en-US" w:eastAsia="zh-CN"/>
              </w:rPr>
              <w:t>3</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99" w:hRule="atLeast"/>
          <w:jc w:val="center"/>
        </w:trPr>
        <w:tc>
          <w:tcPr>
            <w:tcW w:w="5117" w:type="dxa"/>
            <w:noWrap w:val="0"/>
            <w:vAlign w:val="center"/>
          </w:tcPr>
          <w:p>
            <w:pPr>
              <w:spacing w:line="240" w:lineRule="exact"/>
              <w:textAlignment w:val="center"/>
              <w:rPr>
                <w:color w:val="auto"/>
                <w:spacing w:val="8"/>
                <w:sz w:val="18"/>
                <w:szCs w:val="18"/>
              </w:rPr>
            </w:pPr>
            <w:r>
              <w:rPr>
                <w:color w:val="auto"/>
                <w:spacing w:val="8"/>
                <w:sz w:val="18"/>
                <w:szCs w:val="18"/>
              </w:rPr>
              <w:t>农、林、牧、渔业</w:t>
            </w:r>
          </w:p>
          <w:p>
            <w:pPr>
              <w:spacing w:line="240" w:lineRule="exact"/>
              <w:textAlignment w:val="center"/>
              <w:rPr>
                <w:color w:val="auto"/>
                <w:spacing w:val="8"/>
                <w:sz w:val="18"/>
                <w:szCs w:val="18"/>
              </w:rPr>
            </w:pPr>
            <w:r>
              <w:rPr>
                <w:color w:val="auto"/>
                <w:spacing w:val="8"/>
                <w:sz w:val="18"/>
                <w:szCs w:val="18"/>
              </w:rPr>
              <w:t>建筑业</w:t>
            </w:r>
          </w:p>
          <w:p>
            <w:pPr>
              <w:spacing w:line="240" w:lineRule="exact"/>
              <w:textAlignment w:val="center"/>
              <w:rPr>
                <w:color w:val="auto"/>
                <w:spacing w:val="8"/>
                <w:sz w:val="18"/>
                <w:szCs w:val="18"/>
              </w:rPr>
            </w:pPr>
            <w:r>
              <w:rPr>
                <w:color w:val="auto"/>
                <w:spacing w:val="8"/>
                <w:sz w:val="18"/>
                <w:szCs w:val="18"/>
              </w:rPr>
              <w:t>服务业</w:t>
            </w:r>
            <w:r>
              <w:rPr>
                <w:rFonts w:hint="eastAsia"/>
                <w:color w:val="auto"/>
                <w:kern w:val="0"/>
                <w:sz w:val="18"/>
                <w:szCs w:val="18"/>
                <w:vertAlign w:val="superscript"/>
              </w:rPr>
              <w:t>*</w:t>
            </w:r>
            <w:r>
              <w:rPr>
                <w:rFonts w:hint="eastAsia"/>
                <w:color w:val="auto"/>
                <w:spacing w:val="8"/>
                <w:sz w:val="18"/>
                <w:szCs w:val="18"/>
              </w:rPr>
              <w:t>（</w:t>
            </w:r>
            <w:r>
              <w:rPr>
                <w:color w:val="auto"/>
                <w:spacing w:val="8"/>
                <w:sz w:val="18"/>
                <w:szCs w:val="18"/>
              </w:rPr>
              <w:t>不含交通运输、仓储和邮政业</w:t>
            </w:r>
            <w:r>
              <w:rPr>
                <w:rFonts w:hint="eastAsia"/>
                <w:color w:val="auto"/>
                <w:spacing w:val="8"/>
                <w:sz w:val="18"/>
                <w:szCs w:val="18"/>
              </w:rPr>
              <w:t>）</w:t>
            </w:r>
          </w:p>
          <w:p>
            <w:pPr>
              <w:spacing w:line="240" w:lineRule="exact"/>
              <w:textAlignment w:val="center"/>
              <w:rPr>
                <w:color w:val="auto"/>
                <w:spacing w:val="8"/>
                <w:sz w:val="18"/>
                <w:szCs w:val="18"/>
              </w:rPr>
            </w:pPr>
            <w:r>
              <w:rPr>
                <w:rFonts w:hint="eastAsia"/>
                <w:color w:val="auto"/>
                <w:spacing w:val="8"/>
                <w:sz w:val="18"/>
                <w:szCs w:val="18"/>
              </w:rPr>
              <w:t>城镇</w:t>
            </w:r>
            <w:r>
              <w:rPr>
                <w:color w:val="auto"/>
                <w:spacing w:val="8"/>
                <w:sz w:val="18"/>
                <w:szCs w:val="18"/>
              </w:rPr>
              <w:t>居民生活</w:t>
            </w:r>
          </w:p>
          <w:p>
            <w:pPr>
              <w:spacing w:line="240" w:lineRule="exact"/>
              <w:textAlignment w:val="center"/>
              <w:rPr>
                <w:color w:val="auto"/>
                <w:spacing w:val="8"/>
                <w:sz w:val="18"/>
                <w:szCs w:val="18"/>
              </w:rPr>
            </w:pPr>
            <w:r>
              <w:rPr>
                <w:rFonts w:hint="eastAsia"/>
                <w:color w:val="auto"/>
                <w:spacing w:val="8"/>
                <w:sz w:val="18"/>
                <w:szCs w:val="18"/>
              </w:rPr>
              <w:t>乡村</w:t>
            </w:r>
            <w:r>
              <w:rPr>
                <w:color w:val="auto"/>
                <w:spacing w:val="8"/>
                <w:sz w:val="18"/>
                <w:szCs w:val="18"/>
              </w:rPr>
              <w:t>居民生活</w:t>
            </w:r>
          </w:p>
        </w:tc>
        <w:tc>
          <w:tcPr>
            <w:tcW w:w="1484" w:type="dxa"/>
            <w:noWrap w:val="0"/>
            <w:vAlign w:val="center"/>
          </w:tcPr>
          <w:p>
            <w:pPr>
              <w:spacing w:line="240" w:lineRule="exact"/>
              <w:jc w:val="center"/>
              <w:textAlignment w:val="center"/>
              <w:rPr>
                <w:color w:val="auto"/>
                <w:spacing w:val="8"/>
                <w:sz w:val="18"/>
                <w:szCs w:val="18"/>
              </w:rPr>
            </w:pPr>
          </w:p>
        </w:tc>
        <w:tc>
          <w:tcPr>
            <w:tcW w:w="1417" w:type="dxa"/>
            <w:noWrap w:val="0"/>
            <w:vAlign w:val="center"/>
          </w:tcPr>
          <w:p>
            <w:pPr>
              <w:spacing w:line="240" w:lineRule="exact"/>
              <w:jc w:val="center"/>
              <w:textAlignment w:val="center"/>
              <w:rPr>
                <w:color w:val="auto"/>
                <w:spacing w:val="8"/>
                <w:sz w:val="18"/>
                <w:szCs w:val="18"/>
              </w:rPr>
            </w:pPr>
          </w:p>
        </w:tc>
        <w:tc>
          <w:tcPr>
            <w:tcW w:w="1485" w:type="dxa"/>
            <w:noWrap w:val="0"/>
            <w:vAlign w:val="center"/>
          </w:tcPr>
          <w:p>
            <w:pPr>
              <w:spacing w:line="240" w:lineRule="exact"/>
              <w:jc w:val="center"/>
              <w:textAlignment w:val="center"/>
              <w:rPr>
                <w:color w:val="auto"/>
                <w:spacing w:val="8"/>
                <w:sz w:val="18"/>
                <w:szCs w:val="18"/>
              </w:rPr>
            </w:pPr>
            <w:r>
              <w:rPr>
                <w:rFonts w:hint="eastAsia"/>
                <w:color w:val="auto"/>
                <w:spacing w:val="8"/>
                <w:sz w:val="18"/>
                <w:szCs w:val="18"/>
                <w:lang w:val="en-US" w:eastAsia="zh-CN"/>
              </w:rPr>
              <w:t>3</w:t>
            </w:r>
            <w:r>
              <w:rPr>
                <w:color w:val="auto"/>
                <w:spacing w:val="8"/>
                <w:sz w:val="18"/>
                <w:szCs w:val="18"/>
              </w:rPr>
              <w:t>=1*2</w:t>
            </w:r>
          </w:p>
        </w:tc>
      </w:tr>
    </w:tbl>
    <w:p>
      <w:pPr>
        <w:pStyle w:val="10"/>
        <w:adjustRightInd w:val="0"/>
        <w:snapToGrid w:val="0"/>
        <w:spacing w:line="380" w:lineRule="exact"/>
        <w:ind w:firstLine="411" w:firstLineChars="196"/>
        <w:rPr>
          <w:rFonts w:ascii="黑体" w:eastAsia="黑体"/>
          <w:color w:val="000000"/>
        </w:rPr>
      </w:pPr>
      <w:r>
        <w:rPr>
          <w:rFonts w:ascii="黑体" w:eastAsia="黑体"/>
          <w:color w:val="000000"/>
        </w:rPr>
        <w:t>三、</w:t>
      </w:r>
      <w:r>
        <w:rPr>
          <w:rFonts w:hint="eastAsia" w:ascii="黑体" w:eastAsia="黑体"/>
          <w:color w:val="000000"/>
        </w:rPr>
        <w:t>分行业</w:t>
      </w:r>
      <w:r>
        <w:rPr>
          <w:rFonts w:ascii="黑体" w:eastAsia="黑体"/>
          <w:color w:val="000000"/>
        </w:rPr>
        <w:t>和居民生活核算情况</w:t>
      </w:r>
    </w:p>
    <w:p>
      <w:pPr>
        <w:adjustRightInd w:val="0"/>
        <w:snapToGrid w:val="0"/>
        <w:spacing w:line="380" w:lineRule="exact"/>
        <w:ind w:right="-40" w:firstLine="424" w:firstLineChars="202"/>
        <w:textAlignment w:val="center"/>
        <w:rPr>
          <w:rFonts w:ascii="楷体_GB2312" w:eastAsia="楷体_GB2312"/>
          <w:szCs w:val="21"/>
        </w:rPr>
      </w:pPr>
      <w:r>
        <w:rPr>
          <w:rFonts w:hint="eastAsia" w:ascii="楷体_GB2312" w:eastAsia="楷体_GB2312"/>
          <w:szCs w:val="21"/>
        </w:rPr>
        <w:t>（一）农、林、牧、渔业</w:t>
      </w:r>
    </w:p>
    <w:p>
      <w:pPr>
        <w:adjustRightInd w:val="0"/>
        <w:snapToGrid w:val="0"/>
        <w:spacing w:line="380" w:lineRule="exact"/>
        <w:ind w:right="-40" w:firstLine="430" w:firstLineChars="205"/>
        <w:textAlignment w:val="center"/>
        <w:rPr>
          <w:color w:val="auto"/>
          <w:szCs w:val="21"/>
        </w:rPr>
      </w:pPr>
      <w:r>
        <w:rPr>
          <w:szCs w:val="21"/>
        </w:rPr>
        <w:t>分别</w:t>
      </w:r>
      <w:r>
        <w:rPr>
          <w:rFonts w:hint="eastAsia"/>
          <w:szCs w:val="21"/>
        </w:rPr>
        <w:t>按照</w:t>
      </w:r>
      <w:r>
        <w:rPr>
          <w:szCs w:val="21"/>
        </w:rPr>
        <w:t>核算方法</w:t>
      </w:r>
      <w:r>
        <w:rPr>
          <w:rFonts w:hint="eastAsia"/>
          <w:szCs w:val="21"/>
        </w:rPr>
        <w:t>一、</w:t>
      </w:r>
      <w:r>
        <w:rPr>
          <w:szCs w:val="21"/>
        </w:rPr>
        <w:t>核算方</w:t>
      </w:r>
      <w:r>
        <w:rPr>
          <w:color w:val="auto"/>
          <w:szCs w:val="21"/>
        </w:rPr>
        <w:t>法</w:t>
      </w:r>
      <w:r>
        <w:rPr>
          <w:rFonts w:hint="eastAsia"/>
          <w:color w:val="auto"/>
          <w:szCs w:val="21"/>
        </w:rPr>
        <w:t>二</w:t>
      </w:r>
      <w:r>
        <w:rPr>
          <w:rFonts w:hint="eastAsia"/>
          <w:color w:val="auto"/>
          <w:szCs w:val="21"/>
          <w:lang w:eastAsia="zh-CN"/>
        </w:rPr>
        <w:t>、</w:t>
      </w:r>
      <w:r>
        <w:rPr>
          <w:color w:val="auto"/>
          <w:szCs w:val="21"/>
        </w:rPr>
        <w:t>核算方法</w:t>
      </w:r>
      <w:r>
        <w:rPr>
          <w:rFonts w:hint="eastAsia"/>
          <w:color w:val="auto"/>
          <w:szCs w:val="21"/>
        </w:rPr>
        <w:t>三</w:t>
      </w:r>
      <w:r>
        <w:rPr>
          <w:rFonts w:hint="eastAsia"/>
          <w:color w:val="auto"/>
          <w:szCs w:val="21"/>
          <w:lang w:eastAsia="zh-CN"/>
        </w:rPr>
        <w:t>和核算方法四</w:t>
      </w:r>
      <w:r>
        <w:rPr>
          <w:rFonts w:hint="eastAsia"/>
          <w:color w:val="auto"/>
          <w:szCs w:val="21"/>
        </w:rPr>
        <w:t>进行核算。</w:t>
      </w:r>
    </w:p>
    <w:p>
      <w:pPr>
        <w:adjustRightInd w:val="0"/>
        <w:snapToGrid w:val="0"/>
        <w:spacing w:line="380" w:lineRule="exact"/>
        <w:ind w:firstLine="420" w:firstLineChars="200"/>
        <w:textAlignment w:val="center"/>
        <w:rPr>
          <w:rFonts w:ascii="楷体_GB2312" w:eastAsia="楷体_GB2312"/>
          <w:color w:val="auto"/>
          <w:szCs w:val="21"/>
        </w:rPr>
      </w:pPr>
      <w:r>
        <w:rPr>
          <w:rFonts w:hint="eastAsia" w:ascii="楷体_GB2312" w:eastAsia="楷体_GB2312"/>
          <w:color w:val="auto"/>
          <w:szCs w:val="21"/>
        </w:rPr>
        <w:t>（二）工业</w:t>
      </w:r>
    </w:p>
    <w:p>
      <w:pPr>
        <w:pStyle w:val="10"/>
        <w:adjustRightInd w:val="0"/>
        <w:snapToGrid w:val="0"/>
        <w:spacing w:line="380" w:lineRule="exact"/>
        <w:ind w:firstLine="411" w:firstLineChars="196"/>
        <w:rPr>
          <w:rFonts w:hAnsi="宋体" w:cs="宋体"/>
          <w:kern w:val="0"/>
        </w:rPr>
      </w:pPr>
      <w:r>
        <w:rPr>
          <w:rFonts w:hAnsi="宋体" w:cs="宋体"/>
          <w:color w:val="auto"/>
          <w:kern w:val="0"/>
        </w:rPr>
        <w:t>工业不使用以上</w:t>
      </w:r>
      <w:r>
        <w:rPr>
          <w:rFonts w:hint="eastAsia" w:hAnsi="宋体" w:cs="宋体"/>
          <w:color w:val="auto"/>
          <w:kern w:val="0"/>
          <w:lang w:eastAsia="zh-CN"/>
        </w:rPr>
        <w:t>四</w:t>
      </w:r>
      <w:r>
        <w:rPr>
          <w:rFonts w:hAnsi="宋体" w:cs="宋体"/>
          <w:color w:val="auto"/>
          <w:kern w:val="0"/>
        </w:rPr>
        <w:t>种核算方法，使用本期规模以上工业能源消费量及上年规模以上工业占工业能源消费量比重进行核算。因此</w:t>
      </w:r>
      <w:r>
        <w:rPr>
          <w:rFonts w:hint="eastAsia" w:hAnsi="宋体" w:cs="宋体"/>
          <w:color w:val="auto"/>
          <w:kern w:val="0"/>
        </w:rPr>
        <w:t>，</w:t>
      </w:r>
      <w:r>
        <w:rPr>
          <w:rFonts w:hint="eastAsia" w:hAnsi="宋体" w:cs="宋体"/>
          <w:color w:val="auto"/>
          <w:kern w:val="0"/>
          <w:lang w:eastAsia="zh-CN"/>
        </w:rPr>
        <w:t>四</w:t>
      </w:r>
      <w:r>
        <w:rPr>
          <w:rFonts w:hAnsi="宋体" w:cs="宋体"/>
          <w:color w:val="auto"/>
          <w:kern w:val="0"/>
        </w:rPr>
        <w:t>种核算方法中</w:t>
      </w:r>
      <w:r>
        <w:rPr>
          <w:rFonts w:hAnsi="宋体" w:cs="宋体"/>
          <w:kern w:val="0"/>
        </w:rPr>
        <w:t>的工业数据均使用本方法数据结果</w:t>
      </w:r>
      <w:r>
        <w:rPr>
          <w:rFonts w:hint="eastAsia" w:hAnsi="宋体" w:cs="宋体"/>
          <w:kern w:val="0"/>
        </w:rPr>
        <w:t>。</w:t>
      </w:r>
    </w:p>
    <w:p>
      <w:pPr>
        <w:pStyle w:val="10"/>
        <w:adjustRightInd w:val="0"/>
        <w:snapToGrid w:val="0"/>
        <w:spacing w:line="380" w:lineRule="exact"/>
        <w:ind w:firstLine="411" w:firstLineChars="196"/>
        <w:rPr>
          <w:rFonts w:hAnsi="宋体" w:cs="宋体"/>
          <w:kern w:val="0"/>
        </w:rPr>
      </w:pPr>
      <w:r>
        <w:rPr>
          <w:rFonts w:hAnsi="宋体" w:cs="宋体"/>
          <w:kern w:val="0"/>
        </w:rPr>
        <w:t>1.</w:t>
      </w:r>
      <w:r>
        <w:rPr>
          <w:rFonts w:hint="eastAsia" w:hAnsi="宋体" w:cs="宋体"/>
          <w:kern w:val="0"/>
        </w:rPr>
        <w:t>规模</w:t>
      </w:r>
      <w:r>
        <w:rPr>
          <w:rFonts w:hAnsi="宋体" w:cs="宋体"/>
          <w:kern w:val="0"/>
        </w:rPr>
        <w:t>以上工业企业数据整理</w:t>
      </w:r>
    </w:p>
    <w:p>
      <w:pPr>
        <w:pStyle w:val="10"/>
        <w:adjustRightInd w:val="0"/>
        <w:snapToGrid w:val="0"/>
        <w:spacing w:line="380" w:lineRule="exact"/>
        <w:ind w:firstLine="411" w:firstLineChars="196"/>
        <w:rPr>
          <w:rFonts w:hAnsi="宋体" w:cs="宋体"/>
          <w:kern w:val="0"/>
        </w:rPr>
      </w:pPr>
      <w:r>
        <w:rPr>
          <w:rFonts w:hint="eastAsia" w:hAnsi="宋体" w:cs="宋体"/>
          <w:kern w:val="0"/>
        </w:rPr>
        <w:t>（</w:t>
      </w:r>
      <w:r>
        <w:rPr>
          <w:rFonts w:hAnsi="宋体" w:cs="宋体"/>
          <w:kern w:val="0"/>
        </w:rPr>
        <w:t>1</w:t>
      </w:r>
      <w:r>
        <w:rPr>
          <w:rFonts w:hint="eastAsia" w:hAnsi="宋体" w:cs="宋体"/>
          <w:kern w:val="0"/>
        </w:rPr>
        <w:t>）</w:t>
      </w:r>
      <w:r>
        <w:rPr>
          <w:rFonts w:hAnsi="宋体" w:cs="宋体"/>
          <w:kern w:val="0"/>
        </w:rPr>
        <w:t>资料来源于205-1/-2表</w:t>
      </w:r>
      <w:r>
        <w:rPr>
          <w:rFonts w:hint="eastAsia" w:hAnsi="宋体" w:cs="宋体"/>
          <w:kern w:val="0"/>
        </w:rPr>
        <w:t>。</w:t>
      </w:r>
    </w:p>
    <w:p>
      <w:pPr>
        <w:pStyle w:val="10"/>
        <w:adjustRightInd w:val="0"/>
        <w:snapToGrid w:val="0"/>
        <w:spacing w:line="380" w:lineRule="exact"/>
        <w:ind w:firstLine="411" w:firstLineChars="196"/>
        <w:rPr>
          <w:rFonts w:hAnsi="宋体" w:cs="宋体"/>
          <w:kern w:val="0"/>
        </w:rPr>
      </w:pPr>
      <w:r>
        <w:rPr>
          <w:rFonts w:hint="eastAsia" w:hAnsi="宋体" w:cs="宋体"/>
          <w:kern w:val="0"/>
        </w:rPr>
        <w:t>（</w:t>
      </w:r>
      <w:r>
        <w:rPr>
          <w:rFonts w:hAnsi="宋体" w:cs="宋体"/>
          <w:kern w:val="0"/>
        </w:rPr>
        <w:t>2</w:t>
      </w:r>
      <w:r>
        <w:rPr>
          <w:rFonts w:hint="eastAsia" w:hAnsi="宋体" w:cs="宋体"/>
          <w:kern w:val="0"/>
        </w:rPr>
        <w:t>）</w:t>
      </w:r>
      <w:r>
        <w:rPr>
          <w:rFonts w:hAnsi="宋体" w:cs="宋体"/>
          <w:kern w:val="0"/>
        </w:rPr>
        <w:t>企业数据整理的目的是将企业电力</w:t>
      </w:r>
      <w:r>
        <w:rPr>
          <w:rFonts w:hint="eastAsia" w:hAnsi="宋体" w:cs="宋体"/>
          <w:kern w:val="0"/>
        </w:rPr>
        <w:t>当量</w:t>
      </w:r>
      <w:r>
        <w:rPr>
          <w:rFonts w:hAnsi="宋体" w:cs="宋体"/>
          <w:kern w:val="0"/>
        </w:rPr>
        <w:t>折标系数调整为</w:t>
      </w:r>
      <w:r>
        <w:rPr>
          <w:rFonts w:hint="eastAsia" w:hAnsi="宋体" w:cs="宋体"/>
          <w:kern w:val="0"/>
        </w:rPr>
        <w:t>等价折标系数</w:t>
      </w:r>
      <w:r>
        <w:rPr>
          <w:rFonts w:hAnsi="宋体" w:cs="宋体"/>
          <w:kern w:val="0"/>
        </w:rPr>
        <w:t>（发电煤耗）。</w:t>
      </w:r>
    </w:p>
    <w:p>
      <w:pPr>
        <w:pStyle w:val="10"/>
        <w:adjustRightInd w:val="0"/>
        <w:snapToGrid w:val="0"/>
        <w:spacing w:line="380" w:lineRule="exact"/>
        <w:ind w:firstLine="411" w:firstLineChars="196"/>
        <w:rPr>
          <w:rFonts w:hAnsi="宋体" w:cs="宋体"/>
          <w:kern w:val="0"/>
        </w:rPr>
      </w:pPr>
      <w:r>
        <w:rPr>
          <w:rFonts w:hint="eastAsia" w:hAnsi="宋体" w:cs="宋体"/>
          <w:kern w:val="0"/>
        </w:rPr>
        <w:t>（</w:t>
      </w:r>
      <w:r>
        <w:rPr>
          <w:rFonts w:hAnsi="宋体" w:cs="宋体"/>
          <w:kern w:val="0"/>
        </w:rPr>
        <w:t>3</w:t>
      </w:r>
      <w:r>
        <w:rPr>
          <w:rFonts w:hint="eastAsia" w:hAnsi="宋体" w:cs="宋体"/>
          <w:kern w:val="0"/>
        </w:rPr>
        <w:t>）</w:t>
      </w:r>
      <w:r>
        <w:rPr>
          <w:rFonts w:hAnsi="宋体" w:cs="宋体"/>
          <w:kern w:val="0"/>
        </w:rPr>
        <w:t>企业数据整理的原则：</w:t>
      </w:r>
    </w:p>
    <w:p>
      <w:pPr>
        <w:pStyle w:val="10"/>
        <w:adjustRightInd w:val="0"/>
        <w:snapToGrid w:val="0"/>
        <w:spacing w:line="380" w:lineRule="exact"/>
        <w:ind w:firstLine="411" w:firstLineChars="196"/>
        <w:rPr>
          <w:rFonts w:hAnsi="宋体" w:cs="宋体"/>
          <w:kern w:val="0"/>
        </w:rPr>
      </w:pPr>
      <w:r>
        <w:rPr>
          <w:rFonts w:hint="eastAsia" w:hAnsi="宋体" w:cs="宋体"/>
          <w:kern w:val="0"/>
        </w:rPr>
        <w:t>①</w:t>
      </w:r>
      <w:r>
        <w:rPr>
          <w:rFonts w:hAnsi="宋体" w:cs="宋体"/>
          <w:kern w:val="0"/>
        </w:rPr>
        <w:t>用电企业电力等价折标系数采用本地区平均等价折标系数（按205-2表计算）；</w:t>
      </w:r>
    </w:p>
    <w:p>
      <w:pPr>
        <w:pStyle w:val="10"/>
        <w:adjustRightInd w:val="0"/>
        <w:snapToGrid w:val="0"/>
        <w:spacing w:line="380" w:lineRule="exact"/>
        <w:ind w:firstLine="411" w:firstLineChars="196"/>
        <w:rPr>
          <w:rFonts w:hAnsi="宋体" w:cs="宋体"/>
          <w:kern w:val="0"/>
        </w:rPr>
      </w:pPr>
      <w:r>
        <w:rPr>
          <w:rFonts w:hint="eastAsia" w:hAnsi="宋体" w:cs="宋体"/>
          <w:kern w:val="0"/>
        </w:rPr>
        <w:t>②</w:t>
      </w:r>
      <w:r>
        <w:rPr>
          <w:rFonts w:hAnsi="宋体" w:cs="宋体"/>
          <w:kern w:val="0"/>
        </w:rPr>
        <w:t>火力发电企业和有自备电厂且发电量大于本企业用电量的企业，采用本企业等价折标系数；</w:t>
      </w:r>
    </w:p>
    <w:p>
      <w:pPr>
        <w:pStyle w:val="10"/>
        <w:adjustRightInd w:val="0"/>
        <w:snapToGrid w:val="0"/>
        <w:spacing w:line="400" w:lineRule="exact"/>
        <w:ind w:firstLine="411" w:firstLineChars="196"/>
        <w:rPr>
          <w:rFonts w:hAnsi="宋体" w:cs="宋体"/>
          <w:kern w:val="0"/>
        </w:rPr>
      </w:pPr>
      <w:r>
        <w:rPr>
          <w:rFonts w:hint="eastAsia" w:hAnsi="宋体" w:cs="宋体"/>
          <w:kern w:val="0"/>
        </w:rPr>
        <w:t>③</w:t>
      </w:r>
      <w:r>
        <w:rPr>
          <w:rFonts w:hAnsi="宋体" w:cs="宋体"/>
          <w:kern w:val="0"/>
        </w:rPr>
        <w:t>有自备电厂（或发电机组）且本企业用电量大于发电量的企业，购入的电量（企业电力消费合计－电力产出）采用本地区平均等价折标系数，本企业生产的电量采用本企业等价折标系数。</w:t>
      </w:r>
    </w:p>
    <w:p>
      <w:pPr>
        <w:pStyle w:val="10"/>
        <w:adjustRightInd w:val="0"/>
        <w:snapToGrid w:val="0"/>
        <w:spacing w:line="400" w:lineRule="exact"/>
        <w:ind w:firstLine="411" w:firstLineChars="196"/>
        <w:rPr>
          <w:rFonts w:hAnsi="宋体" w:cs="宋体"/>
          <w:kern w:val="0"/>
        </w:rPr>
      </w:pPr>
      <w:r>
        <w:rPr>
          <w:rFonts w:hint="eastAsia" w:hAnsi="宋体" w:cs="宋体"/>
          <w:kern w:val="0"/>
        </w:rPr>
        <w:t>2</w:t>
      </w:r>
      <w:r>
        <w:rPr>
          <w:rFonts w:hAnsi="宋体" w:cs="宋体"/>
          <w:kern w:val="0"/>
        </w:rPr>
        <w:t>.</w:t>
      </w:r>
      <w:r>
        <w:rPr>
          <w:rFonts w:hint="eastAsia" w:hAnsi="宋体" w:cs="宋体"/>
          <w:kern w:val="0"/>
        </w:rPr>
        <w:t>规模</w:t>
      </w:r>
      <w:r>
        <w:rPr>
          <w:rFonts w:hAnsi="宋体" w:cs="宋体"/>
          <w:kern w:val="0"/>
        </w:rPr>
        <w:t>以上工业能源消费量计算</w:t>
      </w:r>
    </w:p>
    <w:p>
      <w:pPr>
        <w:pStyle w:val="10"/>
        <w:adjustRightInd w:val="0"/>
        <w:snapToGrid w:val="0"/>
        <w:spacing w:line="400" w:lineRule="exact"/>
        <w:ind w:firstLine="411" w:firstLineChars="196"/>
        <w:rPr>
          <w:rFonts w:hAnsi="宋体" w:cs="宋体"/>
          <w:kern w:val="0"/>
        </w:rPr>
      </w:pPr>
      <w:r>
        <w:rPr>
          <w:rFonts w:hint="eastAsia" w:hAnsi="宋体" w:cs="宋体"/>
          <w:kern w:val="0"/>
        </w:rPr>
        <w:t>（</w:t>
      </w:r>
      <w:r>
        <w:rPr>
          <w:rFonts w:hAnsi="宋体" w:cs="宋体"/>
          <w:kern w:val="0"/>
        </w:rPr>
        <w:t>1</w:t>
      </w:r>
      <w:r>
        <w:rPr>
          <w:rFonts w:hint="eastAsia" w:hAnsi="宋体" w:cs="宋体"/>
          <w:kern w:val="0"/>
        </w:rPr>
        <w:t>）</w:t>
      </w:r>
      <w:r>
        <w:rPr>
          <w:rFonts w:hAnsi="宋体" w:cs="宋体"/>
          <w:kern w:val="0"/>
        </w:rPr>
        <w:t>电力等价折标系数</w:t>
      </w:r>
    </w:p>
    <w:p>
      <w:pPr>
        <w:pStyle w:val="10"/>
        <w:adjustRightInd w:val="0"/>
        <w:snapToGrid w:val="0"/>
        <w:spacing w:line="400" w:lineRule="exact"/>
        <w:ind w:firstLine="411" w:firstLineChars="196"/>
        <w:rPr>
          <w:rFonts w:hAnsi="宋体" w:cs="宋体"/>
          <w:kern w:val="0"/>
        </w:rPr>
      </w:pPr>
      <w:r>
        <w:rPr>
          <w:rFonts w:hAnsi="宋体" w:cs="宋体"/>
          <w:kern w:val="0"/>
        </w:rPr>
        <w:t>电力等价折标系数＝火力发电投入的能源合计（205-2表第40行第3栏）÷电力产出量（205-2表</w:t>
      </w:r>
    </w:p>
    <w:p>
      <w:pPr>
        <w:pStyle w:val="10"/>
        <w:adjustRightInd w:val="0"/>
        <w:snapToGrid w:val="0"/>
        <w:spacing w:line="400" w:lineRule="exact"/>
        <w:ind w:firstLine="411" w:firstLineChars="196"/>
        <w:rPr>
          <w:rFonts w:hAnsi="宋体" w:cs="宋体"/>
          <w:kern w:val="0"/>
        </w:rPr>
      </w:pPr>
      <w:r>
        <w:rPr>
          <w:rFonts w:hAnsi="宋体" w:cs="宋体"/>
          <w:kern w:val="0"/>
        </w:rPr>
        <w:t xml:space="preserve">                  第33行第11栏）</w:t>
      </w:r>
    </w:p>
    <w:p>
      <w:pPr>
        <w:pStyle w:val="10"/>
        <w:adjustRightInd w:val="0"/>
        <w:snapToGrid w:val="0"/>
        <w:spacing w:line="400" w:lineRule="exact"/>
        <w:ind w:firstLine="411" w:firstLineChars="196"/>
        <w:rPr>
          <w:rFonts w:hAnsi="宋体" w:cs="宋体"/>
          <w:kern w:val="0"/>
        </w:rPr>
      </w:pPr>
      <w:r>
        <w:rPr>
          <w:rFonts w:hint="eastAsia" w:hAnsi="宋体" w:cs="宋体"/>
          <w:kern w:val="0"/>
        </w:rPr>
        <w:t>（</w:t>
      </w:r>
      <w:r>
        <w:rPr>
          <w:rFonts w:hAnsi="宋体" w:cs="宋体"/>
          <w:kern w:val="0"/>
        </w:rPr>
        <w:t>2</w:t>
      </w:r>
      <w:r>
        <w:rPr>
          <w:rFonts w:hint="eastAsia" w:hAnsi="宋体" w:cs="宋体"/>
          <w:kern w:val="0"/>
        </w:rPr>
        <w:t>）企业</w:t>
      </w:r>
      <w:r>
        <w:rPr>
          <w:rFonts w:hAnsi="宋体" w:cs="宋体"/>
          <w:kern w:val="0"/>
        </w:rPr>
        <w:t>能源消费量</w:t>
      </w:r>
      <w:r>
        <w:rPr>
          <w:rFonts w:hint="eastAsia" w:hAnsi="宋体" w:cs="宋体"/>
          <w:kern w:val="0"/>
        </w:rPr>
        <w:t>（等价值）</w:t>
      </w:r>
    </w:p>
    <w:p>
      <w:pPr>
        <w:pStyle w:val="10"/>
        <w:adjustRightInd w:val="0"/>
        <w:snapToGrid w:val="0"/>
        <w:spacing w:line="400" w:lineRule="exact"/>
        <w:ind w:firstLine="420" w:firstLineChars="200"/>
        <w:rPr>
          <w:rFonts w:hAnsi="宋体" w:cs="宋体"/>
          <w:kern w:val="0"/>
        </w:rPr>
      </w:pPr>
      <w:r>
        <w:rPr>
          <w:rFonts w:hint="eastAsia" w:hAnsi="宋体" w:cs="宋体"/>
          <w:kern w:val="0"/>
        </w:rPr>
        <w:t>企业能源消费量（等价值）</w:t>
      </w:r>
      <w:r>
        <w:rPr>
          <w:rFonts w:hAnsi="宋体" w:cs="宋体"/>
          <w:kern w:val="0"/>
        </w:rPr>
        <w:t>＝综合能源消费量（205-1表代码48）＋工业生产电力消费×（电力等</w:t>
      </w:r>
    </w:p>
    <w:p>
      <w:pPr>
        <w:pStyle w:val="10"/>
        <w:adjustRightInd w:val="0"/>
        <w:snapToGrid w:val="0"/>
        <w:spacing w:line="400" w:lineRule="exact"/>
        <w:ind w:firstLine="420" w:firstLineChars="200"/>
        <w:rPr>
          <w:rFonts w:hAnsi="宋体" w:cs="宋体"/>
          <w:kern w:val="0"/>
        </w:rPr>
      </w:pPr>
      <w:r>
        <w:rPr>
          <w:rFonts w:hint="eastAsia" w:hAnsi="宋体" w:cs="宋体"/>
          <w:kern w:val="0"/>
        </w:rPr>
        <w:t>　　　　　　　　　　　　　</w:t>
      </w:r>
      <w:r>
        <w:rPr>
          <w:rFonts w:hAnsi="宋体" w:cs="宋体"/>
          <w:kern w:val="0"/>
        </w:rPr>
        <w:t>价折标系数－1.229）－电力产出量×（电力等价折标系数－1.229）</w:t>
      </w:r>
    </w:p>
    <w:p>
      <w:pPr>
        <w:pStyle w:val="10"/>
        <w:adjustRightInd w:val="0"/>
        <w:snapToGrid w:val="0"/>
        <w:spacing w:line="400" w:lineRule="exact"/>
        <w:ind w:firstLine="411" w:firstLineChars="196"/>
        <w:rPr>
          <w:rFonts w:hAnsi="宋体" w:cs="宋体"/>
          <w:kern w:val="0"/>
        </w:rPr>
      </w:pPr>
      <w:r>
        <w:rPr>
          <w:rFonts w:hAnsi="宋体" w:cs="宋体"/>
          <w:kern w:val="0"/>
        </w:rPr>
        <w:t>有自备电厂（或发电机组）的企业按照上述“企业数据整理的原则”分别采用不同系数进行计算。</w:t>
      </w:r>
    </w:p>
    <w:p>
      <w:pPr>
        <w:pStyle w:val="10"/>
        <w:adjustRightInd w:val="0"/>
        <w:snapToGrid w:val="0"/>
        <w:spacing w:line="400" w:lineRule="exact"/>
        <w:ind w:firstLine="411" w:firstLineChars="196"/>
        <w:rPr>
          <w:rFonts w:hAnsi="宋体" w:cs="宋体"/>
          <w:kern w:val="0"/>
        </w:rPr>
      </w:pPr>
      <w:r>
        <w:rPr>
          <w:rFonts w:hint="eastAsia" w:hAnsi="宋体" w:cs="宋体"/>
          <w:kern w:val="0"/>
        </w:rPr>
        <w:t>3</w:t>
      </w:r>
      <w:r>
        <w:rPr>
          <w:rFonts w:hAnsi="宋体" w:cs="宋体"/>
          <w:kern w:val="0"/>
        </w:rPr>
        <w:t>.工业</w:t>
      </w:r>
      <w:r>
        <w:rPr>
          <w:rFonts w:hint="eastAsia" w:hAnsi="宋体" w:cs="宋体"/>
          <w:kern w:val="0"/>
        </w:rPr>
        <w:t>能源消费量核算</w:t>
      </w:r>
      <w:r>
        <w:rPr>
          <w:rFonts w:hAnsi="宋体" w:cs="宋体"/>
          <w:kern w:val="0"/>
        </w:rPr>
        <w:t>方法：使用</w:t>
      </w:r>
      <w:r>
        <w:rPr>
          <w:rFonts w:hint="eastAsia" w:hAnsi="宋体" w:cs="宋体"/>
          <w:kern w:val="0"/>
        </w:rPr>
        <w:t>本期</w:t>
      </w:r>
      <w:r>
        <w:rPr>
          <w:rFonts w:hAnsi="宋体" w:cs="宋体"/>
          <w:kern w:val="0"/>
        </w:rPr>
        <w:t>规模</w:t>
      </w:r>
      <w:r>
        <w:rPr>
          <w:rFonts w:hint="eastAsia" w:hAnsi="宋体" w:cs="宋体"/>
          <w:kern w:val="0"/>
        </w:rPr>
        <w:t>以上</w:t>
      </w:r>
      <w:r>
        <w:rPr>
          <w:rFonts w:hAnsi="宋体" w:cs="宋体"/>
          <w:kern w:val="0"/>
        </w:rPr>
        <w:t>工业能源消费量及</w:t>
      </w:r>
      <w:r>
        <w:rPr>
          <w:rFonts w:hint="eastAsia" w:hAnsi="宋体" w:cs="宋体"/>
          <w:kern w:val="0"/>
        </w:rPr>
        <w:t>上年规模以上工业占工业能源消费量比重</w:t>
      </w:r>
      <w:r>
        <w:rPr>
          <w:rFonts w:hAnsi="宋体" w:cs="宋体"/>
          <w:kern w:val="0"/>
        </w:rPr>
        <w:t>进行</w:t>
      </w:r>
      <w:r>
        <w:rPr>
          <w:rFonts w:hint="eastAsia" w:hAnsi="宋体" w:cs="宋体"/>
          <w:kern w:val="0"/>
        </w:rPr>
        <w:t>核</w:t>
      </w:r>
      <w:r>
        <w:rPr>
          <w:rFonts w:hAnsi="宋体" w:cs="宋体"/>
          <w:kern w:val="0"/>
        </w:rPr>
        <w:t>算。</w:t>
      </w:r>
    </w:p>
    <w:p>
      <w:pPr>
        <w:pStyle w:val="10"/>
        <w:adjustRightInd w:val="0"/>
        <w:snapToGrid w:val="0"/>
        <w:spacing w:line="400" w:lineRule="exact"/>
        <w:ind w:firstLine="411" w:firstLineChars="196"/>
        <w:rPr>
          <w:rFonts w:hAnsi="宋体" w:cs="宋体"/>
          <w:kern w:val="0"/>
        </w:rPr>
      </w:pPr>
      <w:r>
        <w:rPr>
          <w:rFonts w:hAnsi="宋体" w:cs="宋体"/>
          <w:kern w:val="0"/>
        </w:rPr>
        <w:t>本期</w:t>
      </w:r>
      <w:r>
        <w:rPr>
          <w:rFonts w:hint="eastAsia" w:hAnsi="宋体" w:cs="宋体"/>
          <w:kern w:val="0"/>
        </w:rPr>
        <w:t>工业能源消费量</w:t>
      </w:r>
      <w:r>
        <w:rPr>
          <w:rFonts w:hAnsi="宋体" w:cs="宋体"/>
          <w:kern w:val="0"/>
        </w:rPr>
        <w:t>=本期规模以上工业能源消费量÷上年规模以上工业占工业能源消费量比重</w:t>
      </w:r>
    </w:p>
    <w:p>
      <w:pPr>
        <w:pStyle w:val="10"/>
        <w:adjustRightInd w:val="0"/>
        <w:snapToGrid w:val="0"/>
        <w:spacing w:line="400" w:lineRule="exact"/>
        <w:ind w:firstLine="411" w:firstLineChars="196"/>
        <w:rPr>
          <w:rFonts w:hAnsi="宋体" w:cs="宋体"/>
          <w:kern w:val="0"/>
        </w:rPr>
      </w:pPr>
      <w:r>
        <w:rPr>
          <w:rFonts w:hint="eastAsia" w:hAnsi="宋体" w:cs="宋体"/>
          <w:kern w:val="0"/>
        </w:rPr>
        <w:t>=本期规模以上工业能源消费量÷（上年规模以上工业能源消费量/上年工业能源消费量）</w:t>
      </w:r>
    </w:p>
    <w:p>
      <w:pPr>
        <w:pStyle w:val="10"/>
        <w:adjustRightInd w:val="0"/>
        <w:snapToGrid w:val="0"/>
        <w:spacing w:line="400" w:lineRule="exact"/>
        <w:ind w:firstLine="411" w:firstLineChars="196"/>
        <w:rPr>
          <w:rFonts w:hAnsi="宋体" w:cs="宋体"/>
          <w:kern w:val="0"/>
        </w:rPr>
      </w:pPr>
      <w:r>
        <w:rPr>
          <w:rFonts w:hAnsi="宋体" w:cs="宋体"/>
          <w:kern w:val="0"/>
        </w:rPr>
        <w:t>其中：</w:t>
      </w:r>
    </w:p>
    <w:p>
      <w:pPr>
        <w:pStyle w:val="10"/>
        <w:adjustRightInd w:val="0"/>
        <w:snapToGrid w:val="0"/>
        <w:spacing w:line="400" w:lineRule="exact"/>
        <w:ind w:firstLine="411" w:firstLineChars="196"/>
        <w:rPr>
          <w:rFonts w:hAnsi="宋体" w:cs="宋体"/>
          <w:kern w:val="0"/>
        </w:rPr>
      </w:pPr>
      <w:r>
        <w:rPr>
          <w:rFonts w:hAnsi="宋体" w:cs="宋体"/>
          <w:kern w:val="0"/>
        </w:rPr>
        <w:t>（1）</w:t>
      </w:r>
      <w:r>
        <w:rPr>
          <w:rFonts w:hint="eastAsia" w:hAnsi="宋体" w:cs="宋体"/>
          <w:kern w:val="0"/>
        </w:rPr>
        <w:t>“</w:t>
      </w:r>
      <w:r>
        <w:rPr>
          <w:rFonts w:hAnsi="宋体" w:cs="宋体"/>
          <w:kern w:val="0"/>
        </w:rPr>
        <w:t>本期规模以上工业能源消费量</w:t>
      </w:r>
      <w:r>
        <w:rPr>
          <w:rFonts w:hint="eastAsia" w:hAnsi="宋体" w:cs="宋体"/>
          <w:kern w:val="0"/>
        </w:rPr>
        <w:t>”“</w:t>
      </w:r>
      <w:r>
        <w:rPr>
          <w:rFonts w:hAnsi="宋体" w:cs="宋体"/>
          <w:kern w:val="0"/>
        </w:rPr>
        <w:t>上年规模以上工业能源消费量</w:t>
      </w:r>
      <w:r>
        <w:rPr>
          <w:rFonts w:hint="eastAsia" w:hAnsi="宋体" w:cs="宋体"/>
          <w:kern w:val="0"/>
        </w:rPr>
        <w:t>”</w:t>
      </w:r>
      <w:r>
        <w:rPr>
          <w:rFonts w:hAnsi="宋体" w:cs="宋体"/>
          <w:kern w:val="0"/>
        </w:rPr>
        <w:t>是</w:t>
      </w:r>
      <w:r>
        <w:rPr>
          <w:rFonts w:hint="eastAsia" w:hAnsi="宋体" w:cs="宋体"/>
          <w:kern w:val="0"/>
        </w:rPr>
        <w:t>指</w:t>
      </w:r>
      <w:r>
        <w:rPr>
          <w:rFonts w:hAnsi="宋体" w:cs="宋体"/>
          <w:kern w:val="0"/>
        </w:rPr>
        <w:t>205-1/-2表本期和上年数据</w:t>
      </w:r>
      <w:r>
        <w:rPr>
          <w:rFonts w:hint="eastAsia" w:hAnsi="宋体" w:cs="宋体"/>
          <w:kern w:val="0"/>
        </w:rPr>
        <w:t>。</w:t>
      </w:r>
    </w:p>
    <w:p>
      <w:pPr>
        <w:pStyle w:val="10"/>
        <w:adjustRightInd w:val="0"/>
        <w:snapToGrid w:val="0"/>
        <w:spacing w:line="400" w:lineRule="exact"/>
        <w:ind w:firstLine="411" w:firstLineChars="196"/>
        <w:rPr>
          <w:rFonts w:hAnsi="宋体" w:cs="宋体"/>
          <w:kern w:val="0"/>
        </w:rPr>
      </w:pPr>
      <w:r>
        <w:rPr>
          <w:rFonts w:hAnsi="宋体" w:cs="宋体"/>
          <w:kern w:val="0"/>
        </w:rPr>
        <w:t>（2）</w:t>
      </w:r>
      <w:r>
        <w:rPr>
          <w:rFonts w:hint="eastAsia" w:hAnsi="宋体" w:cs="宋体"/>
          <w:kern w:val="0"/>
        </w:rPr>
        <w:t>“</w:t>
      </w:r>
      <w:r>
        <w:rPr>
          <w:rFonts w:hAnsi="宋体" w:cs="宋体"/>
          <w:kern w:val="0"/>
        </w:rPr>
        <w:t>上年工业能源消费量</w:t>
      </w:r>
      <w:r>
        <w:rPr>
          <w:rFonts w:hint="eastAsia" w:hAnsi="宋体" w:cs="宋体"/>
          <w:kern w:val="0"/>
        </w:rPr>
        <w:t>”</w:t>
      </w:r>
      <w:r>
        <w:rPr>
          <w:rFonts w:hAnsi="宋体" w:cs="宋体"/>
          <w:kern w:val="0"/>
        </w:rPr>
        <w:t>是指上年能源平衡表中工业能源消费量数据。</w:t>
      </w:r>
    </w:p>
    <w:p>
      <w:pPr>
        <w:pStyle w:val="17"/>
        <w:spacing w:line="360" w:lineRule="exact"/>
        <w:ind w:firstLine="392"/>
        <w:textAlignment w:val="center"/>
        <w:rPr>
          <w:rFonts w:hint="eastAsia" w:eastAsia="宋体"/>
          <w:spacing w:val="8"/>
          <w:sz w:val="18"/>
          <w:szCs w:val="18"/>
          <w:lang w:eastAsia="zh-CN"/>
        </w:rPr>
      </w:pPr>
      <w:r>
        <w:rPr>
          <w:spacing w:val="8"/>
          <w:sz w:val="18"/>
          <w:szCs w:val="18"/>
        </w:rPr>
        <w:t>表</w:t>
      </w:r>
      <w:r>
        <w:rPr>
          <w:rFonts w:hint="eastAsia" w:hAnsi="Times New Roman"/>
          <w:color w:val="auto"/>
          <w:sz w:val="18"/>
          <w:szCs w:val="18"/>
          <w:lang w:val="en-US" w:eastAsia="zh-CN"/>
        </w:rPr>
        <w:t>5</w:t>
      </w:r>
    </w:p>
    <w:tbl>
      <w:tblPr>
        <w:tblStyle w:val="21"/>
        <w:tblW w:w="5009"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196"/>
        <w:gridCol w:w="1476"/>
        <w:gridCol w:w="1836"/>
        <w:gridCol w:w="1980"/>
        <w:gridCol w:w="1836"/>
        <w:gridCol w:w="1476"/>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45" w:hRule="atLeast"/>
          <w:jc w:val="center"/>
        </w:trPr>
        <w:tc>
          <w:tcPr>
            <w:tcW w:w="919" w:type="pct"/>
            <w:noWrap/>
            <w:vAlign w:val="center"/>
          </w:tcPr>
          <w:p>
            <w:pPr>
              <w:spacing w:line="240" w:lineRule="exact"/>
              <w:jc w:val="center"/>
              <w:textAlignment w:val="center"/>
              <w:rPr>
                <w:spacing w:val="8"/>
                <w:sz w:val="18"/>
                <w:szCs w:val="18"/>
              </w:rPr>
            </w:pPr>
            <w:r>
              <w:rPr>
                <w:spacing w:val="8"/>
                <w:sz w:val="18"/>
                <w:szCs w:val="18"/>
              </w:rPr>
              <w:t>指标名称</w:t>
            </w:r>
          </w:p>
        </w:tc>
        <w:tc>
          <w:tcPr>
            <w:tcW w:w="738" w:type="pct"/>
            <w:noWrap/>
            <w:vAlign w:val="center"/>
          </w:tcPr>
          <w:p>
            <w:pPr>
              <w:spacing w:line="240" w:lineRule="atLeast"/>
              <w:jc w:val="center"/>
              <w:textAlignment w:val="center"/>
              <w:rPr>
                <w:kern w:val="0"/>
                <w:sz w:val="18"/>
                <w:szCs w:val="18"/>
              </w:rPr>
            </w:pPr>
            <w:r>
              <w:rPr>
                <w:spacing w:val="30"/>
                <w:kern w:val="0"/>
                <w:sz w:val="18"/>
                <w:szCs w:val="18"/>
              </w:rPr>
              <w:t>上年工</w:t>
            </w:r>
            <w:r>
              <w:rPr>
                <w:kern w:val="0"/>
                <w:sz w:val="18"/>
                <w:szCs w:val="18"/>
              </w:rPr>
              <w:t>业</w:t>
            </w:r>
          </w:p>
          <w:p>
            <w:pPr>
              <w:spacing w:line="240" w:lineRule="exact"/>
              <w:jc w:val="center"/>
              <w:textAlignment w:val="center"/>
              <w:rPr>
                <w:sz w:val="20"/>
                <w:szCs w:val="20"/>
              </w:rPr>
            </w:pPr>
            <w:r>
              <w:rPr>
                <w:sz w:val="18"/>
                <w:szCs w:val="18"/>
              </w:rPr>
              <w:t>（万吨标准煤）</w:t>
            </w:r>
          </w:p>
        </w:tc>
        <w:tc>
          <w:tcPr>
            <w:tcW w:w="858" w:type="pct"/>
            <w:noWrap/>
            <w:vAlign w:val="center"/>
          </w:tcPr>
          <w:p>
            <w:pPr>
              <w:spacing w:line="240" w:lineRule="exact"/>
              <w:jc w:val="center"/>
              <w:textAlignment w:val="center"/>
              <w:rPr>
                <w:sz w:val="18"/>
                <w:szCs w:val="18"/>
              </w:rPr>
            </w:pPr>
            <w:r>
              <w:rPr>
                <w:spacing w:val="18"/>
                <w:kern w:val="0"/>
                <w:sz w:val="18"/>
                <w:szCs w:val="18"/>
              </w:rPr>
              <w:t>上年规模以</w:t>
            </w:r>
            <w:r>
              <w:rPr>
                <w:kern w:val="0"/>
                <w:sz w:val="18"/>
                <w:szCs w:val="18"/>
              </w:rPr>
              <w:t>上</w:t>
            </w:r>
            <w:r>
              <w:rPr>
                <w:sz w:val="18"/>
                <w:szCs w:val="18"/>
              </w:rPr>
              <w:t>工业</w:t>
            </w:r>
          </w:p>
          <w:p>
            <w:pPr>
              <w:spacing w:line="240" w:lineRule="exact"/>
              <w:jc w:val="center"/>
              <w:textAlignment w:val="center"/>
              <w:rPr>
                <w:sz w:val="18"/>
                <w:szCs w:val="18"/>
              </w:rPr>
            </w:pPr>
            <w:r>
              <w:rPr>
                <w:sz w:val="18"/>
                <w:szCs w:val="18"/>
              </w:rPr>
              <w:t>（万吨标准煤）</w:t>
            </w:r>
          </w:p>
        </w:tc>
        <w:tc>
          <w:tcPr>
            <w:tcW w:w="858" w:type="pct"/>
            <w:noWrap/>
            <w:vAlign w:val="center"/>
          </w:tcPr>
          <w:p>
            <w:pPr>
              <w:spacing w:line="240" w:lineRule="exact"/>
              <w:jc w:val="center"/>
              <w:textAlignment w:val="center"/>
              <w:rPr>
                <w:spacing w:val="8"/>
                <w:sz w:val="18"/>
                <w:szCs w:val="18"/>
              </w:rPr>
            </w:pPr>
            <w:r>
              <w:rPr>
                <w:rFonts w:hint="eastAsia"/>
                <w:spacing w:val="8"/>
                <w:sz w:val="18"/>
                <w:szCs w:val="18"/>
              </w:rPr>
              <w:t>上年规模以上工业占</w:t>
            </w:r>
          </w:p>
          <w:p>
            <w:pPr>
              <w:spacing w:line="240" w:lineRule="exact"/>
              <w:jc w:val="center"/>
              <w:textAlignment w:val="center"/>
              <w:rPr>
                <w:spacing w:val="8"/>
                <w:sz w:val="18"/>
                <w:szCs w:val="18"/>
              </w:rPr>
            </w:pPr>
            <w:r>
              <w:rPr>
                <w:rFonts w:hint="eastAsia"/>
                <w:spacing w:val="8"/>
                <w:sz w:val="18"/>
                <w:szCs w:val="18"/>
              </w:rPr>
              <w:t>全部工业比重</w:t>
            </w:r>
            <w:r>
              <w:rPr>
                <w:sz w:val="18"/>
                <w:szCs w:val="18"/>
              </w:rPr>
              <w:t>（</w:t>
            </w:r>
            <w:r>
              <w:rPr>
                <w:rFonts w:ascii="宋体" w:hAnsi="宋体"/>
                <w:sz w:val="18"/>
                <w:szCs w:val="18"/>
              </w:rPr>
              <w:t>%</w:t>
            </w:r>
            <w:r>
              <w:rPr>
                <w:sz w:val="18"/>
                <w:szCs w:val="18"/>
              </w:rPr>
              <w:t>）</w:t>
            </w:r>
          </w:p>
        </w:tc>
        <w:tc>
          <w:tcPr>
            <w:tcW w:w="858" w:type="pct"/>
            <w:noWrap/>
            <w:vAlign w:val="center"/>
          </w:tcPr>
          <w:p>
            <w:pPr>
              <w:spacing w:line="240" w:lineRule="exact"/>
              <w:jc w:val="center"/>
              <w:textAlignment w:val="center"/>
              <w:rPr>
                <w:sz w:val="18"/>
                <w:szCs w:val="18"/>
              </w:rPr>
            </w:pPr>
            <w:r>
              <w:rPr>
                <w:rFonts w:hint="eastAsia"/>
                <w:spacing w:val="18"/>
                <w:kern w:val="0"/>
                <w:sz w:val="18"/>
                <w:szCs w:val="18"/>
                <w:fitText w:val="1260" w:id="-1959636991"/>
              </w:rPr>
              <w:t>本期规模以</w:t>
            </w:r>
            <w:r>
              <w:rPr>
                <w:rFonts w:hint="eastAsia"/>
                <w:spacing w:val="0"/>
                <w:kern w:val="0"/>
                <w:sz w:val="18"/>
                <w:szCs w:val="18"/>
                <w:fitText w:val="1260" w:id="-1959636991"/>
              </w:rPr>
              <w:t>上</w:t>
            </w:r>
            <w:r>
              <w:rPr>
                <w:sz w:val="18"/>
                <w:szCs w:val="18"/>
              </w:rPr>
              <w:t>工业</w:t>
            </w:r>
          </w:p>
          <w:p>
            <w:pPr>
              <w:spacing w:line="240" w:lineRule="exact"/>
              <w:jc w:val="center"/>
              <w:textAlignment w:val="center"/>
              <w:rPr>
                <w:sz w:val="18"/>
                <w:szCs w:val="18"/>
              </w:rPr>
            </w:pPr>
            <w:r>
              <w:rPr>
                <w:sz w:val="18"/>
                <w:szCs w:val="18"/>
              </w:rPr>
              <w:t>（</w:t>
            </w:r>
            <w:r>
              <w:rPr>
                <w:rFonts w:hint="eastAsia"/>
                <w:sz w:val="18"/>
                <w:szCs w:val="18"/>
              </w:rPr>
              <w:t>万吨标准煤）</w:t>
            </w:r>
          </w:p>
        </w:tc>
        <w:tc>
          <w:tcPr>
            <w:tcW w:w="765" w:type="pct"/>
            <w:noWrap/>
            <w:vAlign w:val="center"/>
          </w:tcPr>
          <w:p>
            <w:pPr>
              <w:spacing w:line="240" w:lineRule="exact"/>
              <w:jc w:val="center"/>
              <w:textAlignment w:val="center"/>
              <w:rPr>
                <w:sz w:val="18"/>
                <w:szCs w:val="18"/>
              </w:rPr>
            </w:pPr>
            <w:r>
              <w:rPr>
                <w:spacing w:val="30"/>
                <w:kern w:val="0"/>
                <w:sz w:val="18"/>
                <w:szCs w:val="18"/>
                <w:fitText w:val="900" w:id="-1959636990"/>
              </w:rPr>
              <w:t>本期工</w:t>
            </w:r>
            <w:r>
              <w:rPr>
                <w:spacing w:val="0"/>
                <w:kern w:val="0"/>
                <w:sz w:val="18"/>
                <w:szCs w:val="18"/>
                <w:fitText w:val="900" w:id="-1959636990"/>
              </w:rPr>
              <w:t>业</w:t>
            </w:r>
          </w:p>
          <w:p>
            <w:pPr>
              <w:spacing w:line="240" w:lineRule="exact"/>
              <w:jc w:val="center"/>
              <w:textAlignment w:val="center"/>
              <w:rPr>
                <w:sz w:val="18"/>
                <w:szCs w:val="18"/>
              </w:rPr>
            </w:pPr>
            <w:r>
              <w:rPr>
                <w:sz w:val="18"/>
                <w:szCs w:val="18"/>
              </w:rPr>
              <w:t>（</w:t>
            </w:r>
            <w:r>
              <w:rPr>
                <w:rFonts w:hint="eastAsia"/>
                <w:sz w:val="18"/>
                <w:szCs w:val="18"/>
              </w:rPr>
              <w:t>万吨标准煤）</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919" w:type="pct"/>
            <w:tcBorders>
              <w:bottom w:val="single" w:color="auto" w:sz="2" w:space="0"/>
            </w:tcBorders>
            <w:noWrap/>
            <w:vAlign w:val="center"/>
          </w:tcPr>
          <w:p>
            <w:pPr>
              <w:spacing w:line="300" w:lineRule="exact"/>
              <w:jc w:val="center"/>
              <w:textAlignment w:val="center"/>
              <w:rPr>
                <w:spacing w:val="8"/>
                <w:sz w:val="18"/>
                <w:szCs w:val="18"/>
              </w:rPr>
            </w:pPr>
            <w:r>
              <w:rPr>
                <w:spacing w:val="8"/>
                <w:sz w:val="18"/>
                <w:szCs w:val="18"/>
              </w:rPr>
              <w:t>甲</w:t>
            </w:r>
          </w:p>
        </w:tc>
        <w:tc>
          <w:tcPr>
            <w:tcW w:w="738" w:type="pct"/>
            <w:tcBorders>
              <w:bottom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tc>
        <w:tc>
          <w:tcPr>
            <w:tcW w:w="858" w:type="pct"/>
            <w:tcBorders>
              <w:bottom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858" w:type="pct"/>
            <w:tcBorders>
              <w:bottom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w:t>
            </w:r>
          </w:p>
        </w:tc>
        <w:tc>
          <w:tcPr>
            <w:tcW w:w="858" w:type="pct"/>
            <w:tcBorders>
              <w:bottom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p>
        </w:tc>
        <w:tc>
          <w:tcPr>
            <w:tcW w:w="765" w:type="pct"/>
            <w:tcBorders>
              <w:bottom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29" w:hRule="atLeast"/>
          <w:jc w:val="center"/>
        </w:trPr>
        <w:tc>
          <w:tcPr>
            <w:tcW w:w="919" w:type="pct"/>
            <w:tcBorders>
              <w:top w:val="single" w:color="auto" w:sz="2" w:space="0"/>
              <w:bottom w:val="single" w:color="auto" w:sz="2" w:space="0"/>
            </w:tcBorders>
            <w:noWrap/>
            <w:vAlign w:val="center"/>
          </w:tcPr>
          <w:p>
            <w:pPr>
              <w:spacing w:line="300" w:lineRule="exact"/>
              <w:jc w:val="center"/>
              <w:textAlignment w:val="center"/>
              <w:rPr>
                <w:spacing w:val="8"/>
                <w:sz w:val="18"/>
                <w:szCs w:val="18"/>
              </w:rPr>
            </w:pPr>
            <w:r>
              <w:rPr>
                <w:spacing w:val="8"/>
                <w:sz w:val="18"/>
                <w:szCs w:val="18"/>
              </w:rPr>
              <w:t>能源消费量</w:t>
            </w:r>
          </w:p>
        </w:tc>
        <w:tc>
          <w:tcPr>
            <w:tcW w:w="738" w:type="pct"/>
            <w:tcBorders>
              <w:top w:val="single" w:color="auto" w:sz="2" w:space="0"/>
              <w:bottom w:val="single" w:color="auto" w:sz="2" w:space="0"/>
            </w:tcBorders>
            <w:noWrap/>
          </w:tcPr>
          <w:p>
            <w:pPr>
              <w:spacing w:line="300" w:lineRule="exact"/>
              <w:textAlignment w:val="center"/>
              <w:rPr>
                <w:spacing w:val="8"/>
                <w:sz w:val="18"/>
                <w:szCs w:val="18"/>
              </w:rPr>
            </w:pPr>
          </w:p>
        </w:tc>
        <w:tc>
          <w:tcPr>
            <w:tcW w:w="858" w:type="pct"/>
            <w:tcBorders>
              <w:top w:val="single" w:color="auto" w:sz="2" w:space="0"/>
              <w:bottom w:val="single" w:color="auto" w:sz="2" w:space="0"/>
            </w:tcBorders>
            <w:noWrap/>
          </w:tcPr>
          <w:p>
            <w:pPr>
              <w:spacing w:line="300" w:lineRule="exact"/>
              <w:textAlignment w:val="center"/>
              <w:rPr>
                <w:spacing w:val="8"/>
                <w:sz w:val="18"/>
                <w:szCs w:val="18"/>
              </w:rPr>
            </w:pPr>
          </w:p>
        </w:tc>
        <w:tc>
          <w:tcPr>
            <w:tcW w:w="858" w:type="pct"/>
            <w:tcBorders>
              <w:top w:val="single" w:color="auto" w:sz="2" w:space="0"/>
              <w:bottom w:val="single" w:color="auto" w:sz="2" w:space="0"/>
            </w:tcBorders>
            <w:noWrap/>
            <w:vAlign w:val="center"/>
          </w:tcPr>
          <w:p>
            <w:pPr>
              <w:spacing w:line="300" w:lineRule="exact"/>
              <w:jc w:val="center"/>
              <w:textAlignment w:val="center"/>
              <w:rPr>
                <w:rFonts w:asciiTheme="minorEastAsia" w:hAnsiTheme="minorEastAsia" w:eastAsiaTheme="minorEastAsia" w:cstheme="minorEastAsia"/>
                <w:spacing w:val="8"/>
                <w:sz w:val="18"/>
                <w:szCs w:val="18"/>
              </w:rPr>
            </w:pPr>
            <w:r>
              <w:rPr>
                <w:rFonts w:hint="eastAsia" w:asciiTheme="minorEastAsia" w:hAnsiTheme="minorEastAsia" w:eastAsiaTheme="minorEastAsia" w:cstheme="minorEastAsia"/>
                <w:spacing w:val="8"/>
                <w:sz w:val="18"/>
                <w:szCs w:val="18"/>
              </w:rPr>
              <w:t>3=2/1</w:t>
            </w:r>
          </w:p>
        </w:tc>
        <w:tc>
          <w:tcPr>
            <w:tcW w:w="858" w:type="pct"/>
            <w:tcBorders>
              <w:top w:val="single" w:color="auto" w:sz="2" w:space="0"/>
              <w:bottom w:val="single" w:color="auto" w:sz="2" w:space="0"/>
            </w:tcBorders>
            <w:noWrap/>
            <w:vAlign w:val="center"/>
          </w:tcPr>
          <w:p>
            <w:pPr>
              <w:spacing w:line="300" w:lineRule="exact"/>
              <w:jc w:val="center"/>
              <w:textAlignment w:val="center"/>
              <w:rPr>
                <w:rFonts w:asciiTheme="minorEastAsia" w:hAnsiTheme="minorEastAsia" w:eastAsiaTheme="minorEastAsia" w:cstheme="minorEastAsia"/>
                <w:spacing w:val="8"/>
                <w:sz w:val="18"/>
                <w:szCs w:val="18"/>
              </w:rPr>
            </w:pPr>
          </w:p>
        </w:tc>
        <w:tc>
          <w:tcPr>
            <w:tcW w:w="765" w:type="pct"/>
            <w:tcBorders>
              <w:top w:val="single" w:color="auto" w:sz="2" w:space="0"/>
              <w:bottom w:val="single" w:color="auto" w:sz="2" w:space="0"/>
            </w:tcBorders>
            <w:noWrap/>
            <w:vAlign w:val="center"/>
          </w:tcPr>
          <w:p>
            <w:pPr>
              <w:spacing w:line="300" w:lineRule="exact"/>
              <w:jc w:val="center"/>
              <w:textAlignment w:val="center"/>
              <w:rPr>
                <w:rFonts w:asciiTheme="minorEastAsia" w:hAnsiTheme="minorEastAsia" w:eastAsiaTheme="minorEastAsia" w:cstheme="minorEastAsia"/>
                <w:spacing w:val="8"/>
                <w:sz w:val="18"/>
                <w:szCs w:val="18"/>
              </w:rPr>
            </w:pPr>
            <w:r>
              <w:rPr>
                <w:rFonts w:hint="eastAsia" w:asciiTheme="minorEastAsia" w:hAnsiTheme="minorEastAsia" w:eastAsiaTheme="minorEastAsia" w:cstheme="minorEastAsia"/>
                <w:spacing w:val="8"/>
                <w:sz w:val="18"/>
                <w:szCs w:val="18"/>
              </w:rPr>
              <w:t>5=4/3</w:t>
            </w:r>
          </w:p>
        </w:tc>
      </w:tr>
    </w:tbl>
    <w:p>
      <w:pPr>
        <w:adjustRightInd w:val="0"/>
        <w:snapToGrid w:val="0"/>
        <w:spacing w:line="400" w:lineRule="exact"/>
        <w:ind w:right="-40" w:firstLine="420" w:firstLineChars="200"/>
        <w:textAlignment w:val="center"/>
        <w:rPr>
          <w:rFonts w:ascii="楷体_GB2312" w:eastAsia="楷体_GB2312"/>
          <w:szCs w:val="21"/>
        </w:rPr>
      </w:pPr>
      <w:r>
        <w:rPr>
          <w:rFonts w:hint="eastAsia" w:ascii="楷体_GB2312" w:eastAsia="楷体_GB2312"/>
          <w:szCs w:val="21"/>
        </w:rPr>
        <w:t>（三）建筑业</w:t>
      </w:r>
    </w:p>
    <w:p>
      <w:pPr>
        <w:adjustRightInd w:val="0"/>
        <w:snapToGrid w:val="0"/>
        <w:spacing w:line="400" w:lineRule="exact"/>
        <w:ind w:right="-40" w:firstLine="420" w:firstLineChars="200"/>
        <w:textAlignment w:val="center"/>
        <w:rPr>
          <w:color w:val="auto"/>
          <w:szCs w:val="21"/>
        </w:rPr>
      </w:pPr>
      <w:r>
        <w:rPr>
          <w:szCs w:val="21"/>
        </w:rPr>
        <w:t>分别按照核算方法一、核算方法二</w:t>
      </w:r>
      <w:r>
        <w:rPr>
          <w:rFonts w:hint="eastAsia"/>
          <w:szCs w:val="21"/>
          <w:lang w:eastAsia="zh-CN"/>
        </w:rPr>
        <w:t>、</w:t>
      </w:r>
      <w:r>
        <w:rPr>
          <w:szCs w:val="21"/>
        </w:rPr>
        <w:t>核算</w:t>
      </w:r>
      <w:r>
        <w:rPr>
          <w:color w:val="auto"/>
          <w:szCs w:val="21"/>
        </w:rPr>
        <w:t>方法三</w:t>
      </w:r>
      <w:r>
        <w:rPr>
          <w:rFonts w:hint="eastAsia"/>
          <w:color w:val="auto"/>
          <w:szCs w:val="21"/>
          <w:lang w:eastAsia="zh-CN"/>
        </w:rPr>
        <w:t>和核算方法四</w:t>
      </w:r>
      <w:r>
        <w:rPr>
          <w:color w:val="auto"/>
          <w:szCs w:val="21"/>
        </w:rPr>
        <w:t>进行</w:t>
      </w:r>
      <w:r>
        <w:rPr>
          <w:rFonts w:hint="eastAsia"/>
          <w:color w:val="auto"/>
          <w:szCs w:val="21"/>
        </w:rPr>
        <w:t>核算。</w:t>
      </w:r>
    </w:p>
    <w:p>
      <w:pPr>
        <w:adjustRightInd w:val="0"/>
        <w:snapToGrid w:val="0"/>
        <w:spacing w:line="400" w:lineRule="exact"/>
        <w:ind w:right="-40" w:firstLine="420" w:firstLineChars="200"/>
        <w:textAlignment w:val="center"/>
        <w:rPr>
          <w:rFonts w:ascii="楷体_GB2312" w:eastAsia="楷体_GB2312"/>
          <w:color w:val="auto"/>
          <w:szCs w:val="21"/>
        </w:rPr>
      </w:pPr>
      <w:r>
        <w:rPr>
          <w:rFonts w:hint="eastAsia" w:ascii="楷体_GB2312" w:eastAsia="楷体_GB2312"/>
          <w:color w:val="auto"/>
          <w:szCs w:val="21"/>
        </w:rPr>
        <w:t>（四）交通运输、</w:t>
      </w:r>
      <w:r>
        <w:rPr>
          <w:rFonts w:ascii="楷体_GB2312" w:eastAsia="楷体_GB2312"/>
          <w:color w:val="auto"/>
          <w:szCs w:val="21"/>
        </w:rPr>
        <w:t>仓储</w:t>
      </w:r>
      <w:r>
        <w:rPr>
          <w:rFonts w:hint="eastAsia" w:ascii="楷体_GB2312" w:eastAsia="楷体_GB2312"/>
          <w:color w:val="auto"/>
          <w:szCs w:val="21"/>
        </w:rPr>
        <w:t>和</w:t>
      </w:r>
      <w:r>
        <w:rPr>
          <w:rFonts w:ascii="楷体_GB2312" w:eastAsia="楷体_GB2312"/>
          <w:color w:val="auto"/>
          <w:szCs w:val="21"/>
        </w:rPr>
        <w:t>邮政业</w:t>
      </w:r>
    </w:p>
    <w:p>
      <w:pPr>
        <w:adjustRightInd w:val="0"/>
        <w:snapToGrid w:val="0"/>
        <w:spacing w:line="400" w:lineRule="exact"/>
        <w:ind w:right="-40" w:firstLine="420" w:firstLineChars="200"/>
        <w:textAlignment w:val="center"/>
        <w:rPr>
          <w:color w:val="auto"/>
          <w:szCs w:val="21"/>
        </w:rPr>
      </w:pPr>
      <w:r>
        <w:rPr>
          <w:rFonts w:hint="eastAsia"/>
          <w:color w:val="auto"/>
          <w:szCs w:val="21"/>
        </w:rPr>
        <w:t>分别按照核算方法二、核算方法三进行核算，</w:t>
      </w:r>
      <w:r>
        <w:rPr>
          <w:color w:val="auto"/>
          <w:szCs w:val="21"/>
        </w:rPr>
        <w:t>核算方法一</w:t>
      </w:r>
      <w:r>
        <w:rPr>
          <w:rFonts w:hint="eastAsia"/>
          <w:color w:val="auto"/>
          <w:szCs w:val="21"/>
          <w:lang w:eastAsia="zh-CN"/>
        </w:rPr>
        <w:t>、四均</w:t>
      </w:r>
      <w:r>
        <w:rPr>
          <w:color w:val="auto"/>
          <w:szCs w:val="21"/>
        </w:rPr>
        <w:t>使用核算方法二数据结果</w:t>
      </w:r>
      <w:r>
        <w:rPr>
          <w:rFonts w:hint="eastAsia"/>
          <w:color w:val="auto"/>
          <w:szCs w:val="21"/>
        </w:rPr>
        <w:t>。</w:t>
      </w:r>
    </w:p>
    <w:p>
      <w:pPr>
        <w:adjustRightInd w:val="0"/>
        <w:snapToGrid w:val="0"/>
        <w:spacing w:line="400" w:lineRule="exact"/>
        <w:ind w:right="-40" w:firstLine="420" w:firstLineChars="200"/>
        <w:textAlignment w:val="center"/>
        <w:rPr>
          <w:rFonts w:ascii="楷体_GB2312" w:eastAsia="楷体_GB2312"/>
          <w:color w:val="auto"/>
          <w:szCs w:val="21"/>
        </w:rPr>
      </w:pPr>
      <w:r>
        <w:rPr>
          <w:rFonts w:hint="eastAsia" w:ascii="楷体_GB2312" w:eastAsia="楷体_GB2312"/>
          <w:color w:val="auto"/>
          <w:szCs w:val="21"/>
        </w:rPr>
        <w:t>（五）服务业</w:t>
      </w:r>
      <w:r>
        <w:rPr>
          <w:rFonts w:hint="eastAsia" w:ascii="楷体_GB2312" w:eastAsia="楷体_GB2312"/>
          <w:color w:val="auto"/>
          <w:szCs w:val="21"/>
          <w:vertAlign w:val="superscript"/>
        </w:rPr>
        <w:t>*</w:t>
      </w:r>
      <w:r>
        <w:rPr>
          <w:rFonts w:hint="eastAsia" w:ascii="楷体_GB2312" w:eastAsia="楷体_GB2312"/>
          <w:color w:val="auto"/>
          <w:szCs w:val="21"/>
        </w:rPr>
        <w:t>（不含</w:t>
      </w:r>
      <w:r>
        <w:rPr>
          <w:rFonts w:ascii="楷体_GB2312" w:eastAsia="楷体_GB2312"/>
          <w:color w:val="auto"/>
          <w:szCs w:val="21"/>
        </w:rPr>
        <w:t>交通运输、仓储和</w:t>
      </w:r>
      <w:r>
        <w:rPr>
          <w:rFonts w:hint="eastAsia" w:ascii="楷体_GB2312" w:eastAsia="楷体_GB2312"/>
          <w:color w:val="auto"/>
          <w:szCs w:val="21"/>
        </w:rPr>
        <w:t>邮政业）</w:t>
      </w:r>
    </w:p>
    <w:p>
      <w:pPr>
        <w:adjustRightInd w:val="0"/>
        <w:snapToGrid w:val="0"/>
        <w:spacing w:line="400" w:lineRule="exact"/>
        <w:ind w:right="-40" w:firstLine="420" w:firstLineChars="200"/>
        <w:textAlignment w:val="center"/>
        <w:rPr>
          <w:color w:val="auto"/>
          <w:szCs w:val="21"/>
        </w:rPr>
      </w:pPr>
      <w:r>
        <w:rPr>
          <w:color w:val="auto"/>
          <w:szCs w:val="21"/>
        </w:rPr>
        <w:t>分别按照核算方法一、核算方法二</w:t>
      </w:r>
      <w:r>
        <w:rPr>
          <w:rFonts w:hint="eastAsia"/>
          <w:color w:val="auto"/>
          <w:szCs w:val="21"/>
          <w:lang w:eastAsia="zh-CN"/>
        </w:rPr>
        <w:t>、</w:t>
      </w:r>
      <w:r>
        <w:rPr>
          <w:color w:val="auto"/>
          <w:szCs w:val="21"/>
        </w:rPr>
        <w:t>核算方法三</w:t>
      </w:r>
      <w:r>
        <w:rPr>
          <w:rFonts w:hint="eastAsia"/>
          <w:color w:val="auto"/>
          <w:szCs w:val="21"/>
          <w:lang w:eastAsia="zh-CN"/>
        </w:rPr>
        <w:t>和核算方法四</w:t>
      </w:r>
      <w:r>
        <w:rPr>
          <w:color w:val="auto"/>
          <w:szCs w:val="21"/>
        </w:rPr>
        <w:t>进行</w:t>
      </w:r>
      <w:r>
        <w:rPr>
          <w:rFonts w:hint="eastAsia"/>
          <w:color w:val="auto"/>
          <w:szCs w:val="21"/>
        </w:rPr>
        <w:t>核算。</w:t>
      </w:r>
    </w:p>
    <w:p>
      <w:pPr>
        <w:adjustRightInd w:val="0"/>
        <w:snapToGrid w:val="0"/>
        <w:spacing w:line="400" w:lineRule="exact"/>
        <w:ind w:right="-40" w:firstLine="420" w:firstLineChars="200"/>
        <w:textAlignment w:val="center"/>
        <w:rPr>
          <w:rFonts w:ascii="楷体_GB2312" w:eastAsia="楷体_GB2312"/>
          <w:szCs w:val="21"/>
        </w:rPr>
      </w:pPr>
      <w:r>
        <w:rPr>
          <w:rFonts w:ascii="楷体_GB2312" w:eastAsia="楷体_GB2312"/>
          <w:szCs w:val="21"/>
        </w:rPr>
        <w:t>（</w:t>
      </w:r>
      <w:r>
        <w:rPr>
          <w:rFonts w:hint="eastAsia" w:ascii="楷体_GB2312" w:eastAsia="楷体_GB2312"/>
          <w:szCs w:val="21"/>
        </w:rPr>
        <w:t>六</w:t>
      </w:r>
      <w:r>
        <w:rPr>
          <w:rFonts w:ascii="楷体_GB2312" w:eastAsia="楷体_GB2312"/>
          <w:szCs w:val="21"/>
        </w:rPr>
        <w:t>）居民生活</w:t>
      </w:r>
    </w:p>
    <w:p>
      <w:pPr>
        <w:adjustRightInd w:val="0"/>
        <w:snapToGrid w:val="0"/>
        <w:spacing w:line="400" w:lineRule="exact"/>
        <w:ind w:firstLine="420" w:firstLineChars="200"/>
        <w:textAlignment w:val="center"/>
        <w:rPr>
          <w:szCs w:val="21"/>
        </w:rPr>
      </w:pPr>
      <w:r>
        <w:rPr>
          <w:rFonts w:hint="eastAsia" w:ascii="宋体" w:hAnsi="宋体"/>
          <w:szCs w:val="21"/>
        </w:rPr>
        <w:t>城镇、</w:t>
      </w:r>
      <w:r>
        <w:rPr>
          <w:rFonts w:ascii="宋体" w:hAnsi="宋体"/>
          <w:szCs w:val="21"/>
        </w:rPr>
        <w:t>乡村均</w:t>
      </w:r>
      <w:r>
        <w:rPr>
          <w:rFonts w:hint="eastAsia"/>
          <w:szCs w:val="21"/>
        </w:rPr>
        <w:t>按照核算方法一进行核算，</w:t>
      </w:r>
      <w:r>
        <w:rPr>
          <w:szCs w:val="21"/>
        </w:rPr>
        <w:t>核算方法二</w:t>
      </w:r>
      <w:r>
        <w:rPr>
          <w:rFonts w:hint="eastAsia"/>
          <w:szCs w:val="21"/>
        </w:rPr>
        <w:t>、</w:t>
      </w:r>
      <w:r>
        <w:rPr>
          <w:szCs w:val="21"/>
        </w:rPr>
        <w:t>三</w:t>
      </w:r>
      <w:r>
        <w:rPr>
          <w:rFonts w:hint="eastAsia"/>
          <w:color w:val="auto"/>
          <w:szCs w:val="21"/>
          <w:lang w:eastAsia="zh-CN"/>
        </w:rPr>
        <w:t>、四</w:t>
      </w:r>
      <w:r>
        <w:rPr>
          <w:color w:val="auto"/>
          <w:szCs w:val="21"/>
        </w:rPr>
        <w:t>均</w:t>
      </w:r>
      <w:r>
        <w:rPr>
          <w:szCs w:val="21"/>
        </w:rPr>
        <w:t>使用核算方法一数据结果。</w:t>
      </w:r>
    </w:p>
    <w:p>
      <w:pPr>
        <w:pStyle w:val="10"/>
        <w:adjustRightInd w:val="0"/>
        <w:snapToGrid w:val="0"/>
        <w:spacing w:before="120" w:beforeLines="50"/>
        <w:ind w:firstLine="411" w:firstLineChars="196"/>
        <w:rPr>
          <w:rFonts w:ascii="黑体" w:eastAsia="黑体"/>
          <w:color w:val="000000"/>
        </w:rPr>
      </w:pPr>
      <w:r>
        <w:rPr>
          <w:rFonts w:ascii="黑体" w:eastAsia="黑体"/>
          <w:color w:val="000000"/>
        </w:rPr>
        <w:t>四、</w:t>
      </w:r>
      <w:r>
        <w:rPr>
          <w:rFonts w:hint="eastAsia" w:ascii="黑体" w:eastAsia="黑体"/>
          <w:color w:val="000000"/>
        </w:rPr>
        <w:t>审核方法</w:t>
      </w:r>
    </w:p>
    <w:p>
      <w:pPr>
        <w:pStyle w:val="10"/>
        <w:adjustRightInd w:val="0"/>
        <w:snapToGrid w:val="0"/>
        <w:spacing w:after="120" w:afterLines="50" w:line="420" w:lineRule="exact"/>
        <w:ind w:firstLine="411" w:firstLineChars="196"/>
        <w:rPr>
          <w:rFonts w:hAnsi="宋体" w:cs="宋体"/>
          <w:kern w:val="0"/>
        </w:rPr>
      </w:pPr>
      <w:r>
        <w:rPr>
          <w:rFonts w:hint="eastAsia" w:hAnsi="宋体" w:cs="宋体"/>
          <w:kern w:val="0"/>
        </w:rPr>
        <w:t>季度地区能源消费总量审核的重点是</w:t>
      </w:r>
      <w:r>
        <w:rPr>
          <w:rFonts w:hAnsi="宋体" w:cs="宋体"/>
          <w:kern w:val="0"/>
        </w:rPr>
        <w:t>电力等价</w:t>
      </w:r>
      <w:r>
        <w:rPr>
          <w:rFonts w:hint="eastAsia" w:hAnsi="宋体" w:cs="宋体"/>
          <w:kern w:val="0"/>
        </w:rPr>
        <w:t>折标系数</w:t>
      </w:r>
      <w:r>
        <w:rPr>
          <w:rFonts w:hAnsi="宋体" w:cs="宋体"/>
          <w:kern w:val="0"/>
        </w:rPr>
        <w:t>、分行业能耗增速、消费端与供应端数据</w:t>
      </w:r>
      <w:r>
        <w:rPr>
          <w:rFonts w:hint="eastAsia" w:hAnsi="宋体" w:cs="宋体"/>
          <w:kern w:val="0"/>
        </w:rPr>
        <w:t>等</w:t>
      </w:r>
      <w:r>
        <w:rPr>
          <w:rFonts w:hAnsi="宋体" w:cs="宋体"/>
          <w:kern w:val="0"/>
        </w:rPr>
        <w:t>综合指标。</w:t>
      </w:r>
      <w:r>
        <w:rPr>
          <w:rFonts w:hint="eastAsia" w:hAnsi="宋体" w:cs="宋体"/>
          <w:kern w:val="0"/>
        </w:rPr>
        <w:t>核算本期电力等价折标系数时，其变动克数应参考中电联、规模以上工业等价折标系数的变动情况。在</w:t>
      </w:r>
      <w:r>
        <w:rPr>
          <w:rFonts w:hAnsi="宋体" w:cs="宋体"/>
          <w:kern w:val="0"/>
        </w:rPr>
        <w:t>对分行业</w:t>
      </w:r>
      <w:r>
        <w:rPr>
          <w:rFonts w:hint="eastAsia" w:hAnsi="宋体" w:cs="宋体"/>
          <w:kern w:val="0"/>
        </w:rPr>
        <w:t>能耗</w:t>
      </w:r>
      <w:r>
        <w:rPr>
          <w:rFonts w:hAnsi="宋体" w:cs="宋体"/>
          <w:kern w:val="0"/>
        </w:rPr>
        <w:t>增速进行审核时，</w:t>
      </w:r>
      <w:r>
        <w:rPr>
          <w:rFonts w:hint="eastAsia" w:hAnsi="宋体" w:cs="宋体"/>
          <w:kern w:val="0"/>
        </w:rPr>
        <w:t>农、林、牧、渔业，</w:t>
      </w:r>
      <w:r>
        <w:rPr>
          <w:rFonts w:hAnsi="宋体" w:cs="宋体"/>
          <w:kern w:val="0"/>
        </w:rPr>
        <w:t>建筑业</w:t>
      </w:r>
      <w:r>
        <w:rPr>
          <w:rFonts w:hint="eastAsia" w:hAnsi="宋体" w:cs="宋体"/>
          <w:kern w:val="0"/>
        </w:rPr>
        <w:t>，服务业</w:t>
      </w:r>
      <w:r>
        <w:rPr>
          <w:rFonts w:hAnsi="宋体" w:cs="宋体"/>
          <w:kern w:val="0"/>
        </w:rPr>
        <w:t>*</w:t>
      </w:r>
      <w:r>
        <w:rPr>
          <w:rFonts w:hint="eastAsia" w:hAnsi="宋体" w:cs="宋体"/>
          <w:kern w:val="0"/>
        </w:rPr>
        <w:t>（不</w:t>
      </w:r>
      <w:r>
        <w:rPr>
          <w:rFonts w:hAnsi="宋体" w:cs="宋体"/>
          <w:kern w:val="0"/>
        </w:rPr>
        <w:t>含</w:t>
      </w:r>
      <w:r>
        <w:rPr>
          <w:rFonts w:hint="eastAsia" w:hAnsi="宋体" w:cs="宋体"/>
          <w:kern w:val="0"/>
        </w:rPr>
        <w:t>交通运输、仓储和邮政业）、</w:t>
      </w:r>
      <w:r>
        <w:rPr>
          <w:rFonts w:hAnsi="宋体" w:cs="宋体"/>
          <w:kern w:val="0"/>
        </w:rPr>
        <w:t>城镇居民生活和乡村居民生活主要依据电力</w:t>
      </w:r>
      <w:r>
        <w:rPr>
          <w:rFonts w:hint="eastAsia" w:hAnsi="宋体" w:cs="宋体"/>
          <w:kern w:val="0"/>
        </w:rPr>
        <w:t>推算数（</w:t>
      </w:r>
      <w:r>
        <w:rPr>
          <w:rFonts w:hAnsi="宋体" w:cs="宋体"/>
          <w:kern w:val="0"/>
        </w:rPr>
        <w:t>是</w:t>
      </w:r>
      <w:r>
        <w:rPr>
          <w:rFonts w:hint="eastAsia" w:hAnsi="宋体" w:cs="宋体"/>
          <w:kern w:val="0"/>
        </w:rPr>
        <w:t>指各行业和居民生活本期用电量增速</w:t>
      </w:r>
      <w:r>
        <w:rPr>
          <w:rFonts w:hAnsi="宋体" w:cs="宋体"/>
          <w:kern w:val="0"/>
        </w:rPr>
        <w:t>乘以</w:t>
      </w:r>
      <w:r>
        <w:rPr>
          <w:rFonts w:hint="eastAsia" w:hAnsi="宋体" w:cs="宋体"/>
          <w:kern w:val="0"/>
        </w:rPr>
        <w:t>上年能源平衡表中各行业和居民生活用电量占该行业和居民生活能源消费量的比重及有关数据）；</w:t>
      </w:r>
      <w:r>
        <w:rPr>
          <w:rFonts w:hAnsi="宋体" w:cs="宋体"/>
          <w:kern w:val="0"/>
        </w:rPr>
        <w:t>规模以上工业主要依据205-1/-2表数据；</w:t>
      </w:r>
      <w:r>
        <w:rPr>
          <w:rFonts w:hint="eastAsia" w:hAnsi="宋体" w:cs="宋体"/>
          <w:kern w:val="0"/>
        </w:rPr>
        <w:t>规模以下工业主要依据增加值数据和规模以上工业数据</w:t>
      </w:r>
      <w:r>
        <w:rPr>
          <w:rFonts w:hAnsi="宋体" w:cs="宋体"/>
          <w:kern w:val="0"/>
        </w:rPr>
        <w:t>；</w:t>
      </w:r>
      <w:r>
        <w:rPr>
          <w:rFonts w:hint="eastAsia" w:hAnsi="宋体" w:cs="宋体"/>
          <w:kern w:val="0"/>
        </w:rPr>
        <w:t>交通运输、仓储和邮政业主要</w:t>
      </w:r>
      <w:r>
        <w:rPr>
          <w:rFonts w:hAnsi="宋体" w:cs="宋体"/>
          <w:kern w:val="0"/>
        </w:rPr>
        <w:t>依据增加值</w:t>
      </w:r>
      <w:r>
        <w:rPr>
          <w:rFonts w:hint="eastAsia" w:hAnsi="宋体" w:cs="宋体"/>
          <w:kern w:val="0"/>
        </w:rPr>
        <w:t>及有关</w:t>
      </w:r>
      <w:r>
        <w:rPr>
          <w:rFonts w:hAnsi="宋体" w:cs="宋体"/>
          <w:kern w:val="0"/>
        </w:rPr>
        <w:t>数据</w:t>
      </w:r>
      <w:r>
        <w:rPr>
          <w:rFonts w:hint="eastAsia" w:hAnsi="宋体" w:cs="宋体"/>
          <w:kern w:val="0"/>
        </w:rPr>
        <w:t>。同</w:t>
      </w:r>
      <w:r>
        <w:rPr>
          <w:rFonts w:hAnsi="宋体" w:cs="宋体"/>
          <w:kern w:val="0"/>
        </w:rPr>
        <w:t>时</w:t>
      </w:r>
      <w:r>
        <w:rPr>
          <w:rFonts w:hint="eastAsia" w:hAnsi="宋体" w:cs="宋体"/>
          <w:kern w:val="0"/>
        </w:rPr>
        <w:t>，</w:t>
      </w:r>
      <w:r>
        <w:rPr>
          <w:rFonts w:hAnsi="宋体" w:cs="宋体"/>
          <w:kern w:val="0"/>
        </w:rPr>
        <w:t>结合国家数据进行审核</w:t>
      </w:r>
      <w:r>
        <w:rPr>
          <w:rFonts w:hint="eastAsia" w:hAnsi="宋体" w:cs="宋体"/>
          <w:kern w:val="0"/>
        </w:rPr>
        <w:t>。整体而言，能耗核算结果应符合经济社会发展规律和地区实际，综合指标基本衔接。</w:t>
      </w:r>
    </w:p>
    <w:p>
      <w:pPr>
        <w:pStyle w:val="10"/>
        <w:adjustRightInd w:val="0"/>
        <w:snapToGrid w:val="0"/>
        <w:spacing w:line="420" w:lineRule="exact"/>
        <w:ind w:firstLine="411" w:firstLineChars="196"/>
        <w:rPr>
          <w:rFonts w:ascii="黑体" w:eastAsia="黑体"/>
          <w:color w:val="000000"/>
        </w:rPr>
      </w:pPr>
      <w:r>
        <w:rPr>
          <w:rFonts w:hint="eastAsia" w:ascii="黑体" w:eastAsia="黑体"/>
          <w:color w:val="000000"/>
        </w:rPr>
        <w:t>五、核算结果报送</w:t>
      </w:r>
    </w:p>
    <w:p>
      <w:pPr>
        <w:spacing w:line="360" w:lineRule="atLeast"/>
        <w:ind w:firstLine="420" w:firstLineChars="200"/>
        <w:textAlignment w:val="center"/>
        <w:rPr>
          <w:spacing w:val="8"/>
          <w:sz w:val="18"/>
          <w:szCs w:val="18"/>
        </w:rPr>
      </w:pPr>
      <w:r>
        <w:rPr>
          <w:rFonts w:ascii="宋体" w:hAnsi="宋体"/>
          <w:szCs w:val="21"/>
        </w:rPr>
        <w:t>1.核算表</w:t>
      </w:r>
    </w:p>
    <w:p>
      <w:pPr>
        <w:textAlignment w:val="center"/>
        <w:rPr>
          <w:rFonts w:hint="eastAsia" w:eastAsia="宋体"/>
          <w:color w:val="auto"/>
          <w:spacing w:val="8"/>
          <w:sz w:val="18"/>
          <w:szCs w:val="18"/>
          <w:lang w:eastAsia="zh-CN"/>
        </w:rPr>
      </w:pPr>
      <w:r>
        <w:rPr>
          <w:color w:val="auto"/>
          <w:spacing w:val="8"/>
          <w:sz w:val="18"/>
          <w:szCs w:val="18"/>
        </w:rPr>
        <w:t>表</w:t>
      </w:r>
      <w:r>
        <w:rPr>
          <w:rFonts w:hint="eastAsia" w:ascii="宋体" w:hAnsi="宋体"/>
          <w:color w:val="auto"/>
          <w:spacing w:val="8"/>
          <w:sz w:val="18"/>
          <w:szCs w:val="18"/>
          <w:lang w:val="en-US" w:eastAsia="zh-CN"/>
        </w:rPr>
        <w:t>6</w:t>
      </w:r>
    </w:p>
    <w:tbl>
      <w:tblPr>
        <w:tblStyle w:val="21"/>
        <w:tblW w:w="10045"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28" w:type="dxa"/>
          <w:bottom w:w="0" w:type="dxa"/>
          <w:right w:w="28" w:type="dxa"/>
        </w:tblCellMar>
      </w:tblPr>
      <w:tblGrid>
        <w:gridCol w:w="4111"/>
        <w:gridCol w:w="1276"/>
        <w:gridCol w:w="608"/>
        <w:gridCol w:w="836"/>
        <w:gridCol w:w="837"/>
        <w:gridCol w:w="837"/>
        <w:gridCol w:w="770"/>
        <w:gridCol w:w="770"/>
      </w:tblGrid>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0" w:hRule="atLeast"/>
          <w:jc w:val="center"/>
        </w:trPr>
        <w:tc>
          <w:tcPr>
            <w:tcW w:w="4111" w:type="dxa"/>
            <w:vMerge w:val="restart"/>
            <w:tcBorders>
              <w:top w:val="single" w:color="auto" w:sz="8" w:space="0"/>
              <w:left w:val="nil"/>
              <w:bottom w:val="single" w:color="auto" w:sz="4" w:space="0"/>
              <w:right w:val="single" w:color="auto" w:sz="2" w:space="0"/>
            </w:tcBorders>
            <w:noWrap/>
            <w:vAlign w:val="center"/>
          </w:tcPr>
          <w:p>
            <w:pPr>
              <w:jc w:val="center"/>
              <w:textAlignment w:val="center"/>
              <w:rPr>
                <w:sz w:val="18"/>
                <w:szCs w:val="18"/>
              </w:rPr>
            </w:pPr>
            <w:r>
              <w:rPr>
                <w:sz w:val="18"/>
                <w:szCs w:val="18"/>
              </w:rPr>
              <w:t>指标名称</w:t>
            </w:r>
          </w:p>
        </w:tc>
        <w:tc>
          <w:tcPr>
            <w:tcW w:w="1276" w:type="dxa"/>
            <w:vMerge w:val="restart"/>
            <w:tcBorders>
              <w:top w:val="single" w:color="auto" w:sz="8" w:space="0"/>
              <w:left w:val="single" w:color="auto" w:sz="2" w:space="0"/>
              <w:bottom w:val="single" w:color="auto" w:sz="4" w:space="0"/>
              <w:right w:val="single" w:color="auto" w:sz="2" w:space="0"/>
            </w:tcBorders>
            <w:noWrap/>
            <w:vAlign w:val="center"/>
          </w:tcPr>
          <w:p>
            <w:pPr>
              <w:jc w:val="center"/>
              <w:textAlignment w:val="center"/>
              <w:rPr>
                <w:sz w:val="18"/>
                <w:szCs w:val="18"/>
              </w:rPr>
            </w:pPr>
            <w:r>
              <w:rPr>
                <w:sz w:val="18"/>
                <w:szCs w:val="18"/>
              </w:rPr>
              <w:t>计量单位</w:t>
            </w:r>
          </w:p>
        </w:tc>
        <w:tc>
          <w:tcPr>
            <w:tcW w:w="608" w:type="dxa"/>
            <w:vMerge w:val="restart"/>
            <w:tcBorders>
              <w:top w:val="single" w:color="auto" w:sz="8" w:space="0"/>
              <w:left w:val="single" w:color="auto" w:sz="2" w:space="0"/>
              <w:bottom w:val="single" w:color="auto" w:sz="4" w:space="0"/>
              <w:right w:val="single" w:color="auto" w:sz="2" w:space="0"/>
            </w:tcBorders>
            <w:noWrap/>
            <w:vAlign w:val="center"/>
          </w:tcPr>
          <w:p>
            <w:pPr>
              <w:jc w:val="center"/>
              <w:textAlignment w:val="center"/>
              <w:rPr>
                <w:sz w:val="18"/>
                <w:szCs w:val="18"/>
              </w:rPr>
            </w:pPr>
            <w:r>
              <w:rPr>
                <w:sz w:val="18"/>
                <w:szCs w:val="18"/>
              </w:rPr>
              <w:t>代码</w:t>
            </w:r>
          </w:p>
        </w:tc>
        <w:tc>
          <w:tcPr>
            <w:tcW w:w="836" w:type="dxa"/>
            <w:vMerge w:val="restart"/>
            <w:tcBorders>
              <w:top w:val="single" w:color="auto" w:sz="8" w:space="0"/>
              <w:left w:val="single" w:color="auto" w:sz="2" w:space="0"/>
              <w:bottom w:val="single" w:color="auto" w:sz="4" w:space="0"/>
              <w:right w:val="single" w:color="auto" w:sz="2" w:space="0"/>
            </w:tcBorders>
            <w:noWrap/>
            <w:vAlign w:val="center"/>
          </w:tcPr>
          <w:p>
            <w:pPr>
              <w:jc w:val="center"/>
              <w:textAlignment w:val="center"/>
              <w:rPr>
                <w:sz w:val="18"/>
                <w:szCs w:val="18"/>
              </w:rPr>
            </w:pPr>
            <w:r>
              <w:rPr>
                <w:sz w:val="18"/>
                <w:szCs w:val="18"/>
              </w:rPr>
              <w:t>本期</w:t>
            </w:r>
          </w:p>
        </w:tc>
        <w:tc>
          <w:tcPr>
            <w:tcW w:w="837" w:type="dxa"/>
            <w:vMerge w:val="restart"/>
            <w:tcBorders>
              <w:top w:val="single" w:color="auto" w:sz="8" w:space="0"/>
              <w:left w:val="single" w:color="auto" w:sz="2" w:space="0"/>
              <w:bottom w:val="single" w:color="auto" w:sz="4" w:space="0"/>
              <w:right w:val="single" w:color="auto" w:sz="2" w:space="0"/>
            </w:tcBorders>
            <w:noWrap/>
            <w:vAlign w:val="center"/>
          </w:tcPr>
          <w:p>
            <w:pPr>
              <w:jc w:val="center"/>
              <w:textAlignment w:val="center"/>
              <w:rPr>
                <w:sz w:val="18"/>
                <w:szCs w:val="18"/>
              </w:rPr>
            </w:pPr>
            <w:r>
              <w:rPr>
                <w:sz w:val="18"/>
                <w:szCs w:val="18"/>
              </w:rPr>
              <w:t>上年同期</w:t>
            </w:r>
          </w:p>
        </w:tc>
        <w:tc>
          <w:tcPr>
            <w:tcW w:w="837" w:type="dxa"/>
            <w:vMerge w:val="restart"/>
            <w:tcBorders>
              <w:top w:val="single" w:color="auto" w:sz="8" w:space="0"/>
              <w:left w:val="single" w:color="auto" w:sz="2" w:space="0"/>
              <w:bottom w:val="single" w:color="auto" w:sz="4" w:space="0"/>
              <w:right w:val="single" w:color="auto" w:sz="2" w:space="0"/>
            </w:tcBorders>
            <w:noWrap/>
            <w:vAlign w:val="center"/>
          </w:tcPr>
          <w:p>
            <w:pPr>
              <w:jc w:val="center"/>
              <w:textAlignment w:val="center"/>
              <w:rPr>
                <w:sz w:val="18"/>
                <w:szCs w:val="18"/>
              </w:rPr>
            </w:pPr>
            <w:r>
              <w:rPr>
                <w:sz w:val="18"/>
                <w:szCs w:val="18"/>
              </w:rPr>
              <w:t>比上年同</w:t>
            </w:r>
          </w:p>
          <w:p>
            <w:pPr>
              <w:jc w:val="center"/>
              <w:textAlignment w:val="center"/>
              <w:rPr>
                <w:sz w:val="18"/>
                <w:szCs w:val="18"/>
              </w:rPr>
            </w:pPr>
            <w:r>
              <w:rPr>
                <w:sz w:val="18"/>
                <w:szCs w:val="18"/>
              </w:rPr>
              <w:t>期增长</w:t>
            </w:r>
          </w:p>
          <w:p>
            <w:pPr>
              <w:jc w:val="center"/>
              <w:textAlignment w:val="center"/>
              <w:rPr>
                <w:sz w:val="18"/>
                <w:szCs w:val="18"/>
              </w:rPr>
            </w:pPr>
            <w:r>
              <w:rPr>
                <w:rFonts w:hint="eastAsia"/>
                <w:sz w:val="18"/>
                <w:szCs w:val="18"/>
              </w:rPr>
              <w:t>（</w:t>
            </w:r>
            <w:r>
              <w:rPr>
                <w:rFonts w:ascii="宋体" w:hAnsi="宋体"/>
                <w:sz w:val="18"/>
                <w:szCs w:val="18"/>
              </w:rPr>
              <w:t>%</w:t>
            </w:r>
            <w:r>
              <w:rPr>
                <w:rFonts w:hint="eastAsia"/>
                <w:sz w:val="18"/>
                <w:szCs w:val="18"/>
              </w:rPr>
              <w:t>）</w:t>
            </w:r>
          </w:p>
        </w:tc>
        <w:tc>
          <w:tcPr>
            <w:tcW w:w="1540" w:type="dxa"/>
            <w:gridSpan w:val="2"/>
            <w:tcBorders>
              <w:top w:val="single" w:color="auto" w:sz="8" w:space="0"/>
              <w:left w:val="single" w:color="auto" w:sz="2" w:space="0"/>
              <w:bottom w:val="single" w:color="auto" w:sz="2" w:space="0"/>
              <w:right w:val="nil"/>
            </w:tcBorders>
            <w:noWrap/>
            <w:vAlign w:val="center"/>
          </w:tcPr>
          <w:p>
            <w:pPr>
              <w:jc w:val="center"/>
              <w:textAlignment w:val="center"/>
              <w:rPr>
                <w:sz w:val="18"/>
                <w:szCs w:val="18"/>
              </w:rPr>
            </w:pPr>
            <w:r>
              <w:rPr>
                <w:sz w:val="18"/>
                <w:szCs w:val="18"/>
              </w:rPr>
              <w:t>能耗比重</w:t>
            </w:r>
            <w:r>
              <w:rPr>
                <w:rFonts w:hint="eastAsia"/>
                <w:sz w:val="18"/>
                <w:szCs w:val="18"/>
              </w:rPr>
              <w:t>（</w:t>
            </w:r>
            <w:r>
              <w:rPr>
                <w:rFonts w:ascii="宋体" w:hAnsi="宋体"/>
                <w:sz w:val="18"/>
                <w:szCs w:val="18"/>
              </w:rPr>
              <w:t>%</w:t>
            </w:r>
            <w:r>
              <w:rPr>
                <w:rFonts w:hint="eastAsia"/>
                <w:sz w:val="18"/>
                <w:szCs w:val="18"/>
              </w:rPr>
              <w:t>）</w:t>
            </w: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0" w:hRule="atLeast"/>
          <w:jc w:val="center"/>
        </w:trPr>
        <w:tc>
          <w:tcPr>
            <w:tcW w:w="4111" w:type="dxa"/>
            <w:vMerge w:val="continue"/>
            <w:tcBorders>
              <w:left w:val="nil"/>
              <w:bottom w:val="single" w:color="auto" w:sz="2" w:space="0"/>
              <w:right w:val="single" w:color="auto" w:sz="2" w:space="0"/>
            </w:tcBorders>
            <w:noWrap/>
            <w:vAlign w:val="center"/>
          </w:tcPr>
          <w:p>
            <w:pPr>
              <w:jc w:val="center"/>
              <w:textAlignment w:val="center"/>
              <w:rPr>
                <w:sz w:val="18"/>
                <w:szCs w:val="18"/>
              </w:rPr>
            </w:pPr>
          </w:p>
        </w:tc>
        <w:tc>
          <w:tcPr>
            <w:tcW w:w="1276" w:type="dxa"/>
            <w:vMerge w:val="continue"/>
            <w:tcBorders>
              <w:left w:val="single" w:color="auto" w:sz="2" w:space="0"/>
              <w:bottom w:val="single" w:color="auto" w:sz="2" w:space="0"/>
              <w:right w:val="single" w:color="auto" w:sz="2" w:space="0"/>
            </w:tcBorders>
            <w:noWrap/>
            <w:vAlign w:val="center"/>
          </w:tcPr>
          <w:p>
            <w:pPr>
              <w:jc w:val="center"/>
              <w:textAlignment w:val="center"/>
              <w:rPr>
                <w:sz w:val="18"/>
                <w:szCs w:val="18"/>
              </w:rPr>
            </w:pPr>
          </w:p>
        </w:tc>
        <w:tc>
          <w:tcPr>
            <w:tcW w:w="608" w:type="dxa"/>
            <w:vMerge w:val="continue"/>
            <w:tcBorders>
              <w:left w:val="single" w:color="auto" w:sz="2" w:space="0"/>
              <w:bottom w:val="single" w:color="auto" w:sz="2" w:space="0"/>
              <w:right w:val="single" w:color="auto" w:sz="2" w:space="0"/>
            </w:tcBorders>
            <w:noWrap/>
            <w:vAlign w:val="center"/>
          </w:tcPr>
          <w:p>
            <w:pPr>
              <w:jc w:val="center"/>
              <w:textAlignment w:val="center"/>
              <w:rPr>
                <w:sz w:val="18"/>
                <w:szCs w:val="18"/>
              </w:rPr>
            </w:pPr>
          </w:p>
        </w:tc>
        <w:tc>
          <w:tcPr>
            <w:tcW w:w="836" w:type="dxa"/>
            <w:vMerge w:val="continue"/>
            <w:tcBorders>
              <w:left w:val="single" w:color="auto" w:sz="2" w:space="0"/>
              <w:bottom w:val="single" w:color="auto" w:sz="2" w:space="0"/>
              <w:right w:val="single" w:color="auto" w:sz="2" w:space="0"/>
            </w:tcBorders>
            <w:noWrap/>
            <w:vAlign w:val="center"/>
          </w:tcPr>
          <w:p>
            <w:pPr>
              <w:jc w:val="center"/>
              <w:textAlignment w:val="center"/>
              <w:rPr>
                <w:sz w:val="18"/>
                <w:szCs w:val="18"/>
              </w:rPr>
            </w:pPr>
          </w:p>
        </w:tc>
        <w:tc>
          <w:tcPr>
            <w:tcW w:w="837" w:type="dxa"/>
            <w:vMerge w:val="continue"/>
            <w:tcBorders>
              <w:left w:val="single" w:color="auto" w:sz="2" w:space="0"/>
              <w:bottom w:val="single" w:color="auto" w:sz="2" w:space="0"/>
              <w:right w:val="single" w:color="auto" w:sz="2" w:space="0"/>
            </w:tcBorders>
            <w:noWrap/>
            <w:vAlign w:val="center"/>
          </w:tcPr>
          <w:p>
            <w:pPr>
              <w:jc w:val="center"/>
              <w:textAlignment w:val="center"/>
              <w:rPr>
                <w:sz w:val="18"/>
                <w:szCs w:val="18"/>
              </w:rPr>
            </w:pPr>
          </w:p>
        </w:tc>
        <w:tc>
          <w:tcPr>
            <w:tcW w:w="837" w:type="dxa"/>
            <w:vMerge w:val="continue"/>
            <w:tcBorders>
              <w:left w:val="single" w:color="auto" w:sz="2" w:space="0"/>
              <w:bottom w:val="single" w:color="auto" w:sz="2" w:space="0"/>
              <w:right w:val="single" w:color="auto" w:sz="2" w:space="0"/>
            </w:tcBorders>
            <w:noWrap/>
            <w:vAlign w:val="center"/>
          </w:tcPr>
          <w:p>
            <w:pPr>
              <w:jc w:val="center"/>
              <w:textAlignment w:val="center"/>
              <w:rPr>
                <w:sz w:val="18"/>
                <w:szCs w:val="18"/>
              </w:rPr>
            </w:pPr>
          </w:p>
        </w:tc>
        <w:tc>
          <w:tcPr>
            <w:tcW w:w="770" w:type="dxa"/>
            <w:tcBorders>
              <w:top w:val="single" w:color="auto" w:sz="2" w:space="0"/>
              <w:left w:val="single" w:color="auto" w:sz="2" w:space="0"/>
              <w:bottom w:val="single" w:color="auto" w:sz="2" w:space="0"/>
              <w:right w:val="single" w:color="auto" w:sz="2" w:space="0"/>
            </w:tcBorders>
            <w:noWrap/>
            <w:vAlign w:val="center"/>
          </w:tcPr>
          <w:p>
            <w:pPr>
              <w:jc w:val="center"/>
              <w:textAlignment w:val="center"/>
              <w:rPr>
                <w:sz w:val="18"/>
                <w:szCs w:val="18"/>
              </w:rPr>
            </w:pPr>
            <w:r>
              <w:rPr>
                <w:sz w:val="18"/>
                <w:szCs w:val="18"/>
              </w:rPr>
              <w:t>本期</w:t>
            </w:r>
          </w:p>
        </w:tc>
        <w:tc>
          <w:tcPr>
            <w:tcW w:w="770" w:type="dxa"/>
            <w:tcBorders>
              <w:top w:val="single" w:color="auto" w:sz="2" w:space="0"/>
              <w:left w:val="single" w:color="auto" w:sz="2" w:space="0"/>
              <w:bottom w:val="single" w:color="auto" w:sz="2" w:space="0"/>
              <w:right w:val="nil"/>
            </w:tcBorders>
            <w:noWrap/>
            <w:vAlign w:val="center"/>
          </w:tcPr>
          <w:p>
            <w:pPr>
              <w:jc w:val="center"/>
              <w:textAlignment w:val="center"/>
              <w:rPr>
                <w:sz w:val="18"/>
                <w:szCs w:val="18"/>
              </w:rPr>
            </w:pPr>
            <w:r>
              <w:rPr>
                <w:sz w:val="18"/>
                <w:szCs w:val="18"/>
              </w:rPr>
              <w:t>上年</w:t>
            </w:r>
          </w:p>
          <w:p>
            <w:pPr>
              <w:jc w:val="center"/>
              <w:textAlignment w:val="center"/>
              <w:rPr>
                <w:sz w:val="18"/>
                <w:szCs w:val="18"/>
              </w:rPr>
            </w:pPr>
            <w:r>
              <w:rPr>
                <w:sz w:val="18"/>
                <w:szCs w:val="18"/>
              </w:rPr>
              <w:t>同期</w:t>
            </w: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324" w:hRule="atLeast"/>
          <w:jc w:val="center"/>
        </w:trPr>
        <w:tc>
          <w:tcPr>
            <w:tcW w:w="4111" w:type="dxa"/>
            <w:tcBorders>
              <w:top w:val="single" w:color="auto" w:sz="2" w:space="0"/>
              <w:left w:val="nil"/>
              <w:bottom w:val="single" w:color="auto" w:sz="2" w:space="0"/>
              <w:right w:val="single" w:color="auto" w:sz="2" w:space="0"/>
            </w:tcBorders>
            <w:noWrap/>
            <w:vAlign w:val="center"/>
          </w:tcPr>
          <w:p>
            <w:pPr>
              <w:spacing w:line="240" w:lineRule="exact"/>
              <w:jc w:val="center"/>
              <w:textAlignment w:val="center"/>
              <w:rPr>
                <w:sz w:val="18"/>
                <w:szCs w:val="18"/>
              </w:rPr>
            </w:pPr>
            <w:r>
              <w:rPr>
                <w:sz w:val="18"/>
                <w:szCs w:val="18"/>
              </w:rPr>
              <w:t>甲</w:t>
            </w:r>
          </w:p>
        </w:tc>
        <w:tc>
          <w:tcPr>
            <w:tcW w:w="1276" w:type="dxa"/>
            <w:tcBorders>
              <w:top w:val="single" w:color="auto" w:sz="2" w:space="0"/>
              <w:left w:val="single" w:color="auto" w:sz="2" w:space="0"/>
              <w:bottom w:val="single" w:color="auto" w:sz="2" w:space="0"/>
              <w:right w:val="single" w:color="auto" w:sz="2" w:space="0"/>
            </w:tcBorders>
            <w:noWrap/>
            <w:vAlign w:val="center"/>
          </w:tcPr>
          <w:p>
            <w:pPr>
              <w:spacing w:line="240" w:lineRule="exact"/>
              <w:jc w:val="center"/>
              <w:textAlignment w:val="center"/>
              <w:rPr>
                <w:sz w:val="18"/>
                <w:szCs w:val="18"/>
              </w:rPr>
            </w:pPr>
            <w:r>
              <w:rPr>
                <w:sz w:val="18"/>
                <w:szCs w:val="18"/>
              </w:rPr>
              <w:t>乙</w:t>
            </w:r>
          </w:p>
        </w:tc>
        <w:tc>
          <w:tcPr>
            <w:tcW w:w="608" w:type="dxa"/>
            <w:tcBorders>
              <w:top w:val="single" w:color="auto" w:sz="2" w:space="0"/>
              <w:left w:val="single" w:color="auto" w:sz="2" w:space="0"/>
              <w:bottom w:val="single" w:color="auto" w:sz="2" w:space="0"/>
              <w:right w:val="single" w:color="auto" w:sz="2" w:space="0"/>
            </w:tcBorders>
            <w:noWrap/>
            <w:vAlign w:val="center"/>
          </w:tcPr>
          <w:p>
            <w:pPr>
              <w:spacing w:line="240" w:lineRule="exact"/>
              <w:jc w:val="center"/>
              <w:textAlignment w:val="center"/>
              <w:rPr>
                <w:sz w:val="18"/>
                <w:szCs w:val="18"/>
              </w:rPr>
            </w:pPr>
            <w:r>
              <w:rPr>
                <w:sz w:val="18"/>
                <w:szCs w:val="18"/>
              </w:rPr>
              <w:t>丙</w:t>
            </w:r>
          </w:p>
        </w:tc>
        <w:tc>
          <w:tcPr>
            <w:tcW w:w="836"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tc>
        <w:tc>
          <w:tcPr>
            <w:tcW w:w="837"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837"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w:t>
            </w:r>
          </w:p>
        </w:tc>
        <w:tc>
          <w:tcPr>
            <w:tcW w:w="770" w:type="dxa"/>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p>
        </w:tc>
        <w:tc>
          <w:tcPr>
            <w:tcW w:w="770" w:type="dxa"/>
            <w:tcBorders>
              <w:top w:val="single" w:color="auto" w:sz="2" w:space="0"/>
              <w:left w:val="single" w:color="auto" w:sz="2" w:space="0"/>
              <w:bottom w:val="single" w:color="auto" w:sz="2" w:space="0"/>
              <w:right w:val="nil"/>
            </w:tcBorders>
            <w:noWrap/>
            <w:vAlign w:val="center"/>
          </w:tcPr>
          <w:p>
            <w:pPr>
              <w:widowControl/>
              <w:spacing w:line="240" w:lineRule="exact"/>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w:t>
            </w: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28" w:type="dxa"/>
            <w:bottom w:w="0" w:type="dxa"/>
            <w:right w:w="28" w:type="dxa"/>
          </w:tblCellMar>
        </w:tblPrEx>
        <w:trPr>
          <w:trHeight w:val="20" w:hRule="atLeast"/>
          <w:jc w:val="center"/>
        </w:trPr>
        <w:tc>
          <w:tcPr>
            <w:tcW w:w="4111" w:type="dxa"/>
            <w:tcBorders>
              <w:top w:val="single" w:color="auto" w:sz="2" w:space="0"/>
              <w:left w:val="nil"/>
              <w:bottom w:val="single" w:color="auto" w:sz="8" w:space="0"/>
              <w:right w:val="single" w:color="auto" w:sz="2" w:space="0"/>
            </w:tcBorders>
            <w:noWrap/>
            <w:vAlign w:val="center"/>
          </w:tcPr>
          <w:p>
            <w:pPr>
              <w:spacing w:line="240" w:lineRule="exact"/>
              <w:ind w:firstLine="180" w:firstLineChars="100"/>
              <w:textAlignment w:val="center"/>
              <w:rPr>
                <w:sz w:val="18"/>
                <w:szCs w:val="18"/>
              </w:rPr>
            </w:pPr>
            <w:r>
              <w:rPr>
                <w:sz w:val="18"/>
                <w:szCs w:val="18"/>
              </w:rPr>
              <w:t>一、能源消费总量</w:t>
            </w:r>
          </w:p>
          <w:p>
            <w:pPr>
              <w:spacing w:line="240" w:lineRule="exact"/>
              <w:ind w:left="360"/>
              <w:textAlignment w:val="center"/>
              <w:rPr>
                <w:sz w:val="18"/>
                <w:szCs w:val="18"/>
              </w:rPr>
            </w:pPr>
            <w:r>
              <w:rPr>
                <w:rFonts w:hint="eastAsia"/>
                <w:sz w:val="18"/>
                <w:szCs w:val="18"/>
              </w:rPr>
              <w:t>（</w:t>
            </w:r>
            <w:r>
              <w:rPr>
                <w:sz w:val="18"/>
                <w:szCs w:val="18"/>
              </w:rPr>
              <w:t>一</w:t>
            </w:r>
            <w:r>
              <w:rPr>
                <w:rFonts w:hint="eastAsia"/>
                <w:sz w:val="18"/>
                <w:szCs w:val="18"/>
              </w:rPr>
              <w:t>）</w:t>
            </w:r>
            <w:r>
              <w:rPr>
                <w:sz w:val="18"/>
                <w:szCs w:val="18"/>
              </w:rPr>
              <w:t>农、林、牧、渔业</w:t>
            </w:r>
          </w:p>
          <w:p>
            <w:pPr>
              <w:spacing w:line="240" w:lineRule="exact"/>
              <w:ind w:left="360"/>
              <w:textAlignment w:val="center"/>
              <w:rPr>
                <w:sz w:val="18"/>
                <w:szCs w:val="18"/>
              </w:rPr>
            </w:pPr>
            <w:r>
              <w:rPr>
                <w:rFonts w:hint="eastAsia"/>
                <w:sz w:val="18"/>
                <w:szCs w:val="18"/>
              </w:rPr>
              <w:t>（</w:t>
            </w:r>
            <w:r>
              <w:rPr>
                <w:sz w:val="18"/>
                <w:szCs w:val="18"/>
              </w:rPr>
              <w:t>二</w:t>
            </w:r>
            <w:r>
              <w:rPr>
                <w:rFonts w:hint="eastAsia"/>
                <w:sz w:val="18"/>
                <w:szCs w:val="18"/>
              </w:rPr>
              <w:t>）</w:t>
            </w:r>
            <w:r>
              <w:rPr>
                <w:sz w:val="18"/>
                <w:szCs w:val="18"/>
              </w:rPr>
              <w:t>工业和建筑业</w:t>
            </w:r>
          </w:p>
          <w:p>
            <w:pPr>
              <w:spacing w:line="240" w:lineRule="exact"/>
              <w:ind w:firstLine="540" w:firstLineChars="300"/>
              <w:textAlignment w:val="center"/>
              <w:rPr>
                <w:sz w:val="18"/>
                <w:szCs w:val="18"/>
              </w:rPr>
            </w:pPr>
            <w:r>
              <w:rPr>
                <w:rFonts w:ascii="宋体" w:hAnsi="宋体"/>
                <w:sz w:val="18"/>
                <w:szCs w:val="18"/>
              </w:rPr>
              <w:t xml:space="preserve">  1.</w:t>
            </w:r>
            <w:r>
              <w:rPr>
                <w:sz w:val="18"/>
                <w:szCs w:val="18"/>
              </w:rPr>
              <w:t>工业</w:t>
            </w:r>
          </w:p>
          <w:p>
            <w:pPr>
              <w:spacing w:line="240" w:lineRule="exact"/>
              <w:ind w:left="864"/>
              <w:textAlignment w:val="center"/>
              <w:rPr>
                <w:sz w:val="18"/>
                <w:szCs w:val="18"/>
              </w:rPr>
            </w:pPr>
            <w:r>
              <w:rPr>
                <w:rFonts w:hint="eastAsia"/>
                <w:sz w:val="18"/>
                <w:szCs w:val="18"/>
              </w:rPr>
              <w:t>（</w:t>
            </w:r>
            <w:r>
              <w:rPr>
                <w:rFonts w:ascii="宋体" w:hAnsi="宋体"/>
                <w:sz w:val="18"/>
                <w:szCs w:val="18"/>
              </w:rPr>
              <w:t>1</w:t>
            </w:r>
            <w:r>
              <w:rPr>
                <w:rFonts w:hint="eastAsia"/>
                <w:sz w:val="18"/>
                <w:szCs w:val="18"/>
              </w:rPr>
              <w:t>）</w:t>
            </w:r>
            <w:r>
              <w:rPr>
                <w:sz w:val="18"/>
                <w:szCs w:val="18"/>
              </w:rPr>
              <w:t>规模以上工业</w:t>
            </w:r>
          </w:p>
          <w:p>
            <w:pPr>
              <w:spacing w:line="240" w:lineRule="exact"/>
              <w:ind w:left="864"/>
              <w:textAlignment w:val="center"/>
              <w:rPr>
                <w:sz w:val="18"/>
                <w:szCs w:val="18"/>
              </w:rPr>
            </w:pPr>
            <w:r>
              <w:rPr>
                <w:rFonts w:hint="eastAsia"/>
                <w:sz w:val="18"/>
                <w:szCs w:val="18"/>
              </w:rPr>
              <w:t>（</w:t>
            </w:r>
            <w:r>
              <w:rPr>
                <w:rFonts w:ascii="宋体" w:hAnsi="宋体"/>
                <w:sz w:val="18"/>
                <w:szCs w:val="18"/>
              </w:rPr>
              <w:t>2</w:t>
            </w:r>
            <w:r>
              <w:rPr>
                <w:rFonts w:hint="eastAsia"/>
                <w:sz w:val="18"/>
                <w:szCs w:val="18"/>
              </w:rPr>
              <w:t>）</w:t>
            </w:r>
            <w:r>
              <w:rPr>
                <w:sz w:val="18"/>
                <w:szCs w:val="18"/>
              </w:rPr>
              <w:t>规模以下工业</w:t>
            </w:r>
          </w:p>
          <w:p>
            <w:pPr>
              <w:spacing w:line="240" w:lineRule="exact"/>
              <w:ind w:firstLine="540" w:firstLineChars="300"/>
              <w:textAlignment w:val="center"/>
              <w:rPr>
                <w:sz w:val="18"/>
                <w:szCs w:val="18"/>
              </w:rPr>
            </w:pPr>
            <w:r>
              <w:rPr>
                <w:rFonts w:ascii="宋体" w:hAnsi="宋体"/>
                <w:sz w:val="18"/>
                <w:szCs w:val="18"/>
              </w:rPr>
              <w:t xml:space="preserve">  2.</w:t>
            </w:r>
            <w:r>
              <w:rPr>
                <w:sz w:val="18"/>
                <w:szCs w:val="18"/>
              </w:rPr>
              <w:t>建筑业</w:t>
            </w:r>
          </w:p>
          <w:p>
            <w:pPr>
              <w:spacing w:line="240" w:lineRule="exact"/>
              <w:ind w:left="360"/>
              <w:textAlignment w:val="center"/>
              <w:rPr>
                <w:sz w:val="18"/>
                <w:szCs w:val="18"/>
              </w:rPr>
            </w:pPr>
            <w:r>
              <w:rPr>
                <w:rFonts w:hint="eastAsia"/>
                <w:sz w:val="18"/>
                <w:szCs w:val="18"/>
              </w:rPr>
              <w:t>（</w:t>
            </w:r>
            <w:r>
              <w:rPr>
                <w:sz w:val="18"/>
                <w:szCs w:val="18"/>
              </w:rPr>
              <w:t>三</w:t>
            </w:r>
            <w:r>
              <w:rPr>
                <w:rFonts w:hint="eastAsia"/>
                <w:sz w:val="18"/>
                <w:szCs w:val="18"/>
              </w:rPr>
              <w:t>）</w:t>
            </w:r>
            <w:r>
              <w:rPr>
                <w:sz w:val="18"/>
                <w:szCs w:val="18"/>
              </w:rPr>
              <w:t>服务业</w:t>
            </w:r>
            <w:r>
              <w:rPr>
                <w:rFonts w:hint="eastAsia"/>
                <w:kern w:val="0"/>
                <w:sz w:val="18"/>
                <w:szCs w:val="18"/>
                <w:vertAlign w:val="superscript"/>
              </w:rPr>
              <w:t>*</w:t>
            </w:r>
          </w:p>
          <w:p>
            <w:pPr>
              <w:spacing w:line="240" w:lineRule="exact"/>
              <w:ind w:firstLine="360"/>
              <w:textAlignment w:val="center"/>
              <w:rPr>
                <w:sz w:val="18"/>
                <w:szCs w:val="18"/>
              </w:rPr>
            </w:pPr>
            <w:r>
              <w:rPr>
                <w:rFonts w:ascii="宋体" w:hAnsi="宋体"/>
                <w:sz w:val="18"/>
                <w:szCs w:val="18"/>
              </w:rPr>
              <w:t>1.</w:t>
            </w:r>
            <w:r>
              <w:rPr>
                <w:sz w:val="18"/>
                <w:szCs w:val="18"/>
              </w:rPr>
              <w:t>交通运输、仓储和邮政业</w:t>
            </w:r>
          </w:p>
          <w:p>
            <w:pPr>
              <w:widowControl/>
              <w:ind w:firstLine="720" w:firstLineChars="400"/>
              <w:jc w:val="left"/>
              <w:textAlignment w:val="center"/>
            </w:pPr>
            <w:r>
              <w:rPr>
                <w:rFonts w:ascii="宋体" w:hAnsi="宋体"/>
                <w:sz w:val="18"/>
                <w:szCs w:val="18"/>
              </w:rPr>
              <w:t>2.</w:t>
            </w:r>
            <w:r>
              <w:rPr>
                <w:sz w:val="18"/>
                <w:szCs w:val="18"/>
              </w:rPr>
              <w:t>服务业</w:t>
            </w:r>
            <w:r>
              <w:rPr>
                <w:sz w:val="18"/>
                <w:szCs w:val="18"/>
                <w:vertAlign w:val="superscript"/>
              </w:rPr>
              <w:t>*</w:t>
            </w:r>
            <w:r>
              <w:rPr>
                <w:rFonts w:hint="eastAsia"/>
                <w:sz w:val="18"/>
                <w:szCs w:val="18"/>
              </w:rPr>
              <w:t>（</w:t>
            </w:r>
            <w:r>
              <w:rPr>
                <w:sz w:val="18"/>
                <w:szCs w:val="18"/>
              </w:rPr>
              <w:t>不含交通运输、仓储和邮政业</w:t>
            </w:r>
            <w:r>
              <w:rPr>
                <w:rFonts w:hint="eastAsia"/>
                <w:sz w:val="18"/>
                <w:szCs w:val="18"/>
              </w:rPr>
              <w:t>）</w:t>
            </w:r>
          </w:p>
          <w:p>
            <w:pPr>
              <w:spacing w:line="240" w:lineRule="exact"/>
              <w:ind w:firstLine="360"/>
              <w:textAlignment w:val="center"/>
              <w:rPr>
                <w:sz w:val="18"/>
                <w:szCs w:val="18"/>
              </w:rPr>
            </w:pPr>
            <w:r>
              <w:rPr>
                <w:rFonts w:hint="eastAsia"/>
                <w:sz w:val="18"/>
                <w:szCs w:val="18"/>
              </w:rPr>
              <w:t>（</w:t>
            </w:r>
            <w:r>
              <w:rPr>
                <w:sz w:val="18"/>
                <w:szCs w:val="18"/>
              </w:rPr>
              <w:t>四</w:t>
            </w:r>
            <w:r>
              <w:rPr>
                <w:rFonts w:hint="eastAsia"/>
                <w:sz w:val="18"/>
                <w:szCs w:val="18"/>
              </w:rPr>
              <w:t>）</w:t>
            </w:r>
            <w:r>
              <w:rPr>
                <w:sz w:val="18"/>
                <w:szCs w:val="18"/>
              </w:rPr>
              <w:t>居民生活</w:t>
            </w:r>
          </w:p>
          <w:p>
            <w:pPr>
              <w:spacing w:line="240" w:lineRule="exact"/>
              <w:ind w:firstLine="539"/>
              <w:textAlignment w:val="center"/>
              <w:rPr>
                <w:rFonts w:ascii="宋体" w:hAnsi="宋体"/>
                <w:sz w:val="18"/>
                <w:szCs w:val="18"/>
              </w:rPr>
            </w:pPr>
            <w:r>
              <w:rPr>
                <w:rFonts w:ascii="宋体" w:hAnsi="宋体"/>
                <w:sz w:val="18"/>
                <w:szCs w:val="18"/>
              </w:rPr>
              <w:t xml:space="preserve">  1.</w:t>
            </w:r>
            <w:r>
              <w:rPr>
                <w:rFonts w:hint="eastAsia" w:ascii="宋体" w:hAnsi="宋体"/>
                <w:sz w:val="18"/>
                <w:szCs w:val="18"/>
              </w:rPr>
              <w:t>城镇</w:t>
            </w:r>
          </w:p>
          <w:p>
            <w:pPr>
              <w:spacing w:line="240" w:lineRule="exact"/>
              <w:ind w:firstLine="538" w:firstLineChars="299"/>
              <w:textAlignment w:val="center"/>
              <w:rPr>
                <w:rFonts w:ascii="宋体" w:hAnsi="宋体"/>
                <w:sz w:val="18"/>
                <w:szCs w:val="18"/>
              </w:rPr>
            </w:pPr>
            <w:r>
              <w:rPr>
                <w:rFonts w:ascii="宋体" w:hAnsi="宋体"/>
                <w:sz w:val="18"/>
                <w:szCs w:val="18"/>
              </w:rPr>
              <w:t xml:space="preserve">  2.</w:t>
            </w:r>
            <w:r>
              <w:rPr>
                <w:rFonts w:hint="eastAsia" w:ascii="宋体" w:hAnsi="宋体"/>
                <w:sz w:val="18"/>
                <w:szCs w:val="18"/>
              </w:rPr>
              <w:t>乡村</w:t>
            </w:r>
          </w:p>
          <w:p>
            <w:pPr>
              <w:spacing w:line="240" w:lineRule="exact"/>
              <w:ind w:firstLine="180" w:firstLineChars="100"/>
              <w:textAlignment w:val="center"/>
              <w:rPr>
                <w:rFonts w:ascii="宋体" w:hAnsi="宋体"/>
                <w:sz w:val="18"/>
                <w:szCs w:val="18"/>
              </w:rPr>
            </w:pPr>
            <w:r>
              <w:rPr>
                <w:rFonts w:ascii="宋体" w:hAnsi="宋体"/>
                <w:sz w:val="18"/>
                <w:szCs w:val="18"/>
              </w:rPr>
              <w:t>二、地区生产总值</w:t>
            </w:r>
          </w:p>
          <w:p>
            <w:pPr>
              <w:spacing w:line="240" w:lineRule="exact"/>
              <w:ind w:firstLine="180" w:firstLineChars="100"/>
              <w:textAlignment w:val="center"/>
              <w:rPr>
                <w:rFonts w:ascii="宋体" w:hAnsi="宋体"/>
                <w:sz w:val="18"/>
                <w:szCs w:val="18"/>
              </w:rPr>
            </w:pPr>
            <w:r>
              <w:rPr>
                <w:rFonts w:ascii="宋体" w:hAnsi="宋体"/>
                <w:sz w:val="18"/>
                <w:szCs w:val="18"/>
              </w:rPr>
              <w:t>三、单位地区生产总值能耗</w:t>
            </w:r>
          </w:p>
          <w:p>
            <w:pPr>
              <w:spacing w:line="240" w:lineRule="exact"/>
              <w:ind w:firstLine="180"/>
              <w:textAlignment w:val="center"/>
              <w:rPr>
                <w:rFonts w:ascii="宋体" w:hAnsi="宋体"/>
                <w:sz w:val="18"/>
                <w:szCs w:val="18"/>
              </w:rPr>
            </w:pPr>
            <w:r>
              <w:rPr>
                <w:rFonts w:ascii="宋体" w:hAnsi="宋体"/>
                <w:sz w:val="18"/>
                <w:szCs w:val="18"/>
              </w:rPr>
              <w:t>四、规模以上工业单位增加值能耗</w:t>
            </w:r>
          </w:p>
          <w:p>
            <w:pPr>
              <w:spacing w:line="240" w:lineRule="exact"/>
              <w:ind w:firstLine="180"/>
              <w:textAlignment w:val="center"/>
              <w:rPr>
                <w:sz w:val="18"/>
                <w:szCs w:val="18"/>
              </w:rPr>
            </w:pPr>
            <w:r>
              <w:rPr>
                <w:rFonts w:ascii="宋体" w:hAnsi="宋体"/>
                <w:sz w:val="18"/>
                <w:szCs w:val="18"/>
              </w:rPr>
              <w:t>五、单位地区生产总值电耗</w:t>
            </w:r>
          </w:p>
        </w:tc>
        <w:tc>
          <w:tcPr>
            <w:tcW w:w="1276" w:type="dxa"/>
            <w:tcBorders>
              <w:top w:val="single" w:color="auto" w:sz="2" w:space="0"/>
              <w:left w:val="single" w:color="auto" w:sz="2" w:space="0"/>
              <w:bottom w:val="single" w:color="auto" w:sz="8" w:space="0"/>
              <w:right w:val="single" w:color="auto" w:sz="2" w:space="0"/>
            </w:tcBorders>
            <w:noWrap/>
            <w:vAlign w:val="center"/>
          </w:tcPr>
          <w:p>
            <w:pPr>
              <w:spacing w:line="240" w:lineRule="exact"/>
              <w:jc w:val="center"/>
              <w:textAlignment w:val="center"/>
              <w:rPr>
                <w:sz w:val="18"/>
                <w:szCs w:val="18"/>
              </w:rPr>
            </w:pPr>
            <w:r>
              <w:rPr>
                <w:sz w:val="18"/>
                <w:szCs w:val="18"/>
              </w:rPr>
              <w:t>万吨标准煤</w:t>
            </w:r>
          </w:p>
          <w:p>
            <w:pPr>
              <w:spacing w:line="240" w:lineRule="exact"/>
              <w:jc w:val="center"/>
              <w:textAlignment w:val="center"/>
              <w:rPr>
                <w:sz w:val="18"/>
                <w:szCs w:val="18"/>
              </w:rPr>
            </w:pPr>
            <w:r>
              <w:rPr>
                <w:sz w:val="18"/>
                <w:szCs w:val="18"/>
              </w:rPr>
              <w:t>万吨标准煤</w:t>
            </w:r>
          </w:p>
          <w:p>
            <w:pPr>
              <w:spacing w:line="240" w:lineRule="exact"/>
              <w:jc w:val="center"/>
              <w:textAlignment w:val="center"/>
              <w:rPr>
                <w:sz w:val="18"/>
                <w:szCs w:val="18"/>
              </w:rPr>
            </w:pPr>
            <w:r>
              <w:rPr>
                <w:sz w:val="18"/>
                <w:szCs w:val="18"/>
              </w:rPr>
              <w:t>万吨标准煤</w:t>
            </w:r>
          </w:p>
          <w:p>
            <w:pPr>
              <w:spacing w:line="240" w:lineRule="exact"/>
              <w:jc w:val="center"/>
              <w:textAlignment w:val="center"/>
              <w:rPr>
                <w:sz w:val="18"/>
                <w:szCs w:val="18"/>
              </w:rPr>
            </w:pPr>
            <w:r>
              <w:rPr>
                <w:sz w:val="18"/>
                <w:szCs w:val="18"/>
              </w:rPr>
              <w:t>万吨标准煤</w:t>
            </w:r>
          </w:p>
          <w:p>
            <w:pPr>
              <w:spacing w:line="240" w:lineRule="exact"/>
              <w:jc w:val="center"/>
              <w:textAlignment w:val="center"/>
              <w:rPr>
                <w:sz w:val="18"/>
                <w:szCs w:val="18"/>
              </w:rPr>
            </w:pPr>
            <w:r>
              <w:rPr>
                <w:sz w:val="18"/>
                <w:szCs w:val="18"/>
              </w:rPr>
              <w:t>万吨标准煤</w:t>
            </w:r>
          </w:p>
          <w:p>
            <w:pPr>
              <w:spacing w:line="240" w:lineRule="exact"/>
              <w:jc w:val="center"/>
              <w:textAlignment w:val="center"/>
              <w:rPr>
                <w:sz w:val="18"/>
                <w:szCs w:val="18"/>
              </w:rPr>
            </w:pPr>
            <w:r>
              <w:rPr>
                <w:sz w:val="18"/>
                <w:szCs w:val="18"/>
              </w:rPr>
              <w:t>万吨标准煤</w:t>
            </w:r>
          </w:p>
          <w:p>
            <w:pPr>
              <w:spacing w:line="240" w:lineRule="exact"/>
              <w:jc w:val="center"/>
              <w:textAlignment w:val="center"/>
              <w:rPr>
                <w:sz w:val="18"/>
                <w:szCs w:val="18"/>
              </w:rPr>
            </w:pPr>
            <w:r>
              <w:rPr>
                <w:sz w:val="18"/>
                <w:szCs w:val="18"/>
              </w:rPr>
              <w:t>万吨标准煤</w:t>
            </w:r>
          </w:p>
          <w:p>
            <w:pPr>
              <w:spacing w:line="240" w:lineRule="exact"/>
              <w:jc w:val="center"/>
              <w:textAlignment w:val="center"/>
              <w:rPr>
                <w:sz w:val="18"/>
                <w:szCs w:val="18"/>
              </w:rPr>
            </w:pPr>
            <w:r>
              <w:rPr>
                <w:sz w:val="18"/>
                <w:szCs w:val="18"/>
              </w:rPr>
              <w:t>万吨标准煤</w:t>
            </w:r>
          </w:p>
          <w:p>
            <w:pPr>
              <w:spacing w:line="240" w:lineRule="exact"/>
              <w:jc w:val="center"/>
              <w:textAlignment w:val="center"/>
              <w:rPr>
                <w:sz w:val="18"/>
                <w:szCs w:val="18"/>
              </w:rPr>
            </w:pPr>
            <w:r>
              <w:rPr>
                <w:sz w:val="18"/>
                <w:szCs w:val="18"/>
              </w:rPr>
              <w:t>万吨标准煤</w:t>
            </w:r>
          </w:p>
          <w:p>
            <w:pPr>
              <w:widowControl/>
              <w:jc w:val="center"/>
              <w:textAlignment w:val="center"/>
              <w:rPr>
                <w:sz w:val="18"/>
                <w:szCs w:val="18"/>
              </w:rPr>
            </w:pPr>
            <w:r>
              <w:rPr>
                <w:rFonts w:hint="eastAsia"/>
                <w:sz w:val="18"/>
                <w:szCs w:val="18"/>
              </w:rPr>
              <w:t>万吨标准煤</w:t>
            </w:r>
          </w:p>
          <w:p>
            <w:pPr>
              <w:spacing w:line="240" w:lineRule="exact"/>
              <w:jc w:val="center"/>
              <w:textAlignment w:val="center"/>
              <w:rPr>
                <w:sz w:val="18"/>
                <w:szCs w:val="18"/>
              </w:rPr>
            </w:pPr>
            <w:r>
              <w:rPr>
                <w:sz w:val="18"/>
                <w:szCs w:val="18"/>
              </w:rPr>
              <w:t>万吨标准煤</w:t>
            </w:r>
          </w:p>
          <w:p>
            <w:pPr>
              <w:spacing w:line="240" w:lineRule="exact"/>
              <w:jc w:val="center"/>
              <w:textAlignment w:val="center"/>
              <w:rPr>
                <w:sz w:val="18"/>
                <w:szCs w:val="18"/>
              </w:rPr>
            </w:pPr>
            <w:r>
              <w:rPr>
                <w:sz w:val="18"/>
                <w:szCs w:val="18"/>
              </w:rPr>
              <w:t>万吨标准煤</w:t>
            </w:r>
          </w:p>
          <w:p>
            <w:pPr>
              <w:spacing w:line="240" w:lineRule="exact"/>
              <w:jc w:val="center"/>
              <w:textAlignment w:val="center"/>
              <w:rPr>
                <w:sz w:val="18"/>
                <w:szCs w:val="18"/>
              </w:rPr>
            </w:pPr>
            <w:r>
              <w:rPr>
                <w:sz w:val="18"/>
                <w:szCs w:val="18"/>
              </w:rPr>
              <w:t>万吨标准煤</w:t>
            </w:r>
          </w:p>
          <w:p>
            <w:pPr>
              <w:spacing w:line="240" w:lineRule="exact"/>
              <w:jc w:val="center"/>
              <w:textAlignment w:val="center"/>
              <w:rPr>
                <w:sz w:val="18"/>
                <w:szCs w:val="18"/>
              </w:rPr>
            </w:pPr>
            <w:r>
              <w:rPr>
                <w:sz w:val="18"/>
                <w:szCs w:val="18"/>
              </w:rPr>
              <w:t>亿元</w:t>
            </w:r>
          </w:p>
          <w:p>
            <w:pPr>
              <w:spacing w:line="240" w:lineRule="exact"/>
              <w:jc w:val="center"/>
              <w:textAlignment w:val="center"/>
              <w:rPr>
                <w:sz w:val="18"/>
                <w:szCs w:val="18"/>
              </w:rPr>
            </w:pPr>
            <w:r>
              <w:rPr>
                <w:sz w:val="18"/>
                <w:szCs w:val="18"/>
              </w:rPr>
              <w:t>吨标准煤/万元</w:t>
            </w:r>
          </w:p>
          <w:p>
            <w:pPr>
              <w:spacing w:line="240" w:lineRule="exact"/>
              <w:jc w:val="center"/>
              <w:textAlignment w:val="center"/>
              <w:rPr>
                <w:sz w:val="18"/>
                <w:szCs w:val="18"/>
              </w:rPr>
            </w:pPr>
            <w:r>
              <w:rPr>
                <w:sz w:val="18"/>
                <w:szCs w:val="18"/>
              </w:rPr>
              <w:t>吨标准煤/万元</w:t>
            </w:r>
          </w:p>
          <w:p>
            <w:pPr>
              <w:spacing w:line="240" w:lineRule="exact"/>
              <w:jc w:val="center"/>
              <w:textAlignment w:val="center"/>
              <w:rPr>
                <w:sz w:val="18"/>
                <w:szCs w:val="18"/>
              </w:rPr>
            </w:pPr>
            <w:r>
              <w:rPr>
                <w:sz w:val="18"/>
                <w:szCs w:val="18"/>
              </w:rPr>
              <w:t>千瓦时/万元</w:t>
            </w:r>
          </w:p>
        </w:tc>
        <w:tc>
          <w:tcPr>
            <w:tcW w:w="608" w:type="dxa"/>
            <w:tcBorders>
              <w:top w:val="single" w:color="auto" w:sz="2" w:space="0"/>
              <w:left w:val="single" w:color="auto" w:sz="2" w:space="0"/>
              <w:bottom w:val="single" w:color="auto" w:sz="8" w:space="0"/>
              <w:right w:val="nil"/>
            </w:tcBorders>
            <w:noWrap/>
            <w:vAlign w:val="center"/>
          </w:tcPr>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01</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02</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03</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04</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05</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06</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07</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08</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09</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13</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w:t>
            </w:r>
          </w:p>
          <w:p>
            <w:pPr>
              <w:spacing w:line="240"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w:t>
            </w:r>
          </w:p>
        </w:tc>
        <w:tc>
          <w:tcPr>
            <w:tcW w:w="836" w:type="dxa"/>
            <w:tcBorders>
              <w:top w:val="single" w:color="auto" w:sz="2" w:space="0"/>
              <w:left w:val="single" w:color="auto" w:sz="2" w:space="0"/>
              <w:bottom w:val="single" w:color="auto" w:sz="8" w:space="0"/>
              <w:right w:val="single" w:color="auto" w:sz="2" w:space="0"/>
            </w:tcBorders>
            <w:noWrap/>
            <w:vAlign w:val="center"/>
          </w:tcPr>
          <w:p>
            <w:pPr>
              <w:textAlignment w:val="center"/>
              <w:rPr>
                <w:rFonts w:asciiTheme="minorEastAsia" w:hAnsiTheme="minorEastAsia" w:eastAsiaTheme="minorEastAsia" w:cstheme="minorEastAsia"/>
                <w:sz w:val="18"/>
                <w:szCs w:val="18"/>
              </w:rPr>
            </w:pPr>
          </w:p>
          <w:p>
            <w:pPr>
              <w:widowControl/>
              <w:jc w:val="left"/>
              <w:textAlignment w:val="center"/>
              <w:rPr>
                <w:rFonts w:asciiTheme="minorEastAsia" w:hAnsiTheme="minorEastAsia" w:eastAsiaTheme="minorEastAsia" w:cstheme="minorEastAsia"/>
                <w:sz w:val="18"/>
                <w:szCs w:val="18"/>
              </w:rPr>
            </w:pPr>
          </w:p>
        </w:tc>
        <w:tc>
          <w:tcPr>
            <w:tcW w:w="837" w:type="dxa"/>
            <w:tcBorders>
              <w:top w:val="single" w:color="auto" w:sz="2" w:space="0"/>
              <w:left w:val="single" w:color="auto" w:sz="2" w:space="0"/>
              <w:bottom w:val="single" w:color="auto" w:sz="8" w:space="0"/>
              <w:right w:val="single" w:color="auto" w:sz="2" w:space="0"/>
            </w:tcBorders>
            <w:noWrap/>
            <w:vAlign w:val="center"/>
          </w:tcPr>
          <w:p>
            <w:pPr>
              <w:textAlignment w:val="center"/>
              <w:rPr>
                <w:rFonts w:asciiTheme="minorEastAsia" w:hAnsiTheme="minorEastAsia" w:eastAsiaTheme="minorEastAsia" w:cstheme="minorEastAsia"/>
                <w:sz w:val="18"/>
                <w:szCs w:val="18"/>
              </w:rPr>
            </w:pPr>
          </w:p>
          <w:p>
            <w:pPr>
              <w:widowControl/>
              <w:jc w:val="left"/>
              <w:textAlignment w:val="center"/>
              <w:rPr>
                <w:rFonts w:asciiTheme="minorEastAsia" w:hAnsiTheme="minorEastAsia" w:eastAsiaTheme="minorEastAsia" w:cstheme="minorEastAsia"/>
              </w:rPr>
            </w:pPr>
          </w:p>
        </w:tc>
        <w:tc>
          <w:tcPr>
            <w:tcW w:w="837" w:type="dxa"/>
            <w:tcBorders>
              <w:top w:val="single" w:color="auto" w:sz="2" w:space="0"/>
              <w:left w:val="single" w:color="auto" w:sz="2" w:space="0"/>
              <w:bottom w:val="single" w:color="auto" w:sz="8" w:space="0"/>
              <w:right w:val="single" w:color="auto" w:sz="2" w:space="0"/>
            </w:tcBorders>
            <w:noWrap/>
            <w:vAlign w:val="center"/>
          </w:tcPr>
          <w:p>
            <w:pPr>
              <w:textAlignment w:val="center"/>
              <w:rPr>
                <w:rFonts w:asciiTheme="minorEastAsia" w:hAnsiTheme="minorEastAsia" w:eastAsiaTheme="minorEastAsia" w:cstheme="minorEastAsia"/>
                <w:sz w:val="18"/>
                <w:szCs w:val="18"/>
              </w:rPr>
            </w:pPr>
          </w:p>
          <w:p>
            <w:pPr>
              <w:widowControl/>
              <w:jc w:val="left"/>
              <w:textAlignment w:val="center"/>
              <w:rPr>
                <w:rFonts w:asciiTheme="minorEastAsia" w:hAnsiTheme="minorEastAsia" w:eastAsiaTheme="minorEastAsia" w:cstheme="minorEastAsia"/>
              </w:rPr>
            </w:pPr>
          </w:p>
        </w:tc>
        <w:tc>
          <w:tcPr>
            <w:tcW w:w="770" w:type="dxa"/>
            <w:tcBorders>
              <w:top w:val="single" w:color="auto" w:sz="2" w:space="0"/>
              <w:left w:val="single" w:color="auto" w:sz="2" w:space="0"/>
              <w:bottom w:val="single" w:color="auto" w:sz="8" w:space="0"/>
              <w:right w:val="single" w:color="auto" w:sz="2" w:space="0"/>
            </w:tcBorders>
            <w:noWrap/>
            <w:vAlign w:val="center"/>
          </w:tcPr>
          <w:p>
            <w:pPr>
              <w:spacing w:line="23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w:t>
            </w: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widowControl/>
              <w:jc w:val="left"/>
              <w:textAlignment w:val="center"/>
              <w:rPr>
                <w:rFonts w:asciiTheme="minorEastAsia" w:hAnsiTheme="minorEastAsia" w:eastAsiaTheme="minorEastAsia" w:cstheme="minorEastAsia"/>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p>
            <w:pPr>
              <w:spacing w:line="23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p>
            <w:pPr>
              <w:spacing w:line="23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p>
            <w:pPr>
              <w:spacing w:line="23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770" w:type="dxa"/>
            <w:tcBorders>
              <w:top w:val="single" w:color="auto" w:sz="2" w:space="0"/>
              <w:left w:val="single" w:color="auto" w:sz="2" w:space="0"/>
              <w:bottom w:val="single" w:color="auto" w:sz="8" w:space="0"/>
              <w:right w:val="nil"/>
            </w:tcBorders>
            <w:noWrap/>
            <w:vAlign w:val="center"/>
          </w:tcPr>
          <w:p>
            <w:pPr>
              <w:spacing w:line="23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w:t>
            </w: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widowControl/>
              <w:jc w:val="left"/>
              <w:textAlignment w:val="center"/>
              <w:rPr>
                <w:rFonts w:asciiTheme="minorEastAsia" w:hAnsiTheme="minorEastAsia" w:eastAsiaTheme="minorEastAsia" w:cstheme="minorEastAsia"/>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p>
          <w:p>
            <w:pPr>
              <w:spacing w:line="23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p>
            <w:pPr>
              <w:spacing w:line="23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p>
            <w:pPr>
              <w:spacing w:line="23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p>
            <w:pPr>
              <w:spacing w:line="236" w:lineRule="exact"/>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r>
    </w:tbl>
    <w:p>
      <w:pPr>
        <w:pStyle w:val="10"/>
        <w:adjustRightInd w:val="0"/>
        <w:snapToGrid w:val="0"/>
        <w:spacing w:before="120" w:beforeLines="50" w:after="120" w:afterLines="50"/>
        <w:ind w:firstLine="411" w:firstLineChars="196"/>
        <w:rPr>
          <w:rFonts w:hAnsi="宋体" w:cs="宋体"/>
          <w:kern w:val="0"/>
        </w:rPr>
      </w:pPr>
      <w:r>
        <w:rPr>
          <w:rFonts w:hAnsi="宋体" w:cs="宋体"/>
          <w:kern w:val="0"/>
        </w:rPr>
        <w:t>其中</w:t>
      </w:r>
      <w:r>
        <w:rPr>
          <w:rFonts w:hint="eastAsia" w:hAnsi="宋体" w:cs="宋体"/>
          <w:kern w:val="0"/>
        </w:rPr>
        <w:t>，</w:t>
      </w:r>
      <w:r>
        <w:rPr>
          <w:rFonts w:hAnsi="宋体" w:cs="宋体"/>
          <w:kern w:val="0"/>
        </w:rPr>
        <w:t>万元地区生产总值能耗</w:t>
      </w:r>
      <w:r>
        <w:rPr>
          <w:rFonts w:hint="eastAsia" w:hAnsi="宋体" w:cs="宋体"/>
          <w:kern w:val="0"/>
        </w:rPr>
        <w:t>（</w:t>
      </w:r>
      <w:r>
        <w:rPr>
          <w:rFonts w:hAnsi="宋体" w:cs="宋体"/>
          <w:kern w:val="0"/>
        </w:rPr>
        <w:t>简称单位地区生产总值能耗</w:t>
      </w:r>
      <w:r>
        <w:rPr>
          <w:rFonts w:hint="eastAsia" w:hAnsi="宋体" w:cs="宋体"/>
          <w:kern w:val="0"/>
        </w:rPr>
        <w:t>）</w:t>
      </w:r>
      <w:r>
        <w:rPr>
          <w:rFonts w:hAnsi="宋体" w:cs="宋体"/>
          <w:kern w:val="0"/>
        </w:rPr>
        <w:t>及其降低率计算方法</w:t>
      </w:r>
      <w:r>
        <w:rPr>
          <w:rFonts w:hint="eastAsia" w:hAnsi="宋体" w:cs="宋体"/>
          <w:kern w:val="0"/>
        </w:rPr>
        <w:t>：</w:t>
      </w:r>
    </w:p>
    <w:p>
      <w:pPr>
        <w:pStyle w:val="10"/>
        <w:adjustRightInd w:val="0"/>
        <w:snapToGrid w:val="0"/>
        <w:ind w:firstLine="411" w:firstLineChars="196"/>
        <w:rPr>
          <w:rFonts w:hAnsi="宋体" w:cs="宋体"/>
          <w:kern w:val="0"/>
        </w:rPr>
      </w:pPr>
      <m:oMathPara>
        <m:oMathParaPr>
          <m:jc m:val="left"/>
        </m:oMathParaPr>
        <m:oMath>
          <m:r>
            <m:rPr>
              <m:sty m:val="p"/>
            </m:rPr>
            <w:rPr>
              <w:rFonts w:hint="eastAsia" w:ascii="DejaVu Math TeX Gyre" w:hAnsi="DejaVu Math TeX Gyre"/>
            </w:rPr>
            <m:t>单位</m:t>
          </m:r>
          <m:r>
            <m:rPr>
              <m:sty m:val="p"/>
            </m:rPr>
            <w:rPr>
              <w:rFonts w:ascii="DejaVu Math TeX Gyre" w:hAnsi="DejaVu Math TeX Gyre"/>
            </w:rPr>
            <m:t>GDP能耗=</m:t>
          </m:r>
          <m:f>
            <m:fPr>
              <m:ctrlPr>
                <w:rPr>
                  <w:rFonts w:ascii="Cambria Math" w:hAnsi="Cambria Math"/>
                </w:rPr>
              </m:ctrlPr>
            </m:fPr>
            <m:num>
              <m:r>
                <m:rPr>
                  <m:sty m:val="p"/>
                </m:rPr>
                <w:rPr>
                  <w:rFonts w:hint="eastAsia" w:ascii="DejaVu Math TeX Gyre" w:hAnsi="DejaVu Math TeX Gyre"/>
                </w:rPr>
                <m:t>能源消费总量</m:t>
              </m:r>
              <m:ctrlPr>
                <w:rPr>
                  <w:rFonts w:ascii="Cambria Math" w:hAnsi="Cambria Math"/>
                </w:rPr>
              </m:ctrlPr>
            </m:num>
            <m:den>
              <m:r>
                <m:rPr>
                  <m:sty m:val="p"/>
                </m:rPr>
                <w:rPr>
                  <w:rFonts w:ascii="DejaVu Math TeX Gyre" w:hAnsi="DejaVu Math TeX Gyre"/>
                </w:rPr>
                <m:t>GDP</m:t>
              </m:r>
              <m:ctrlPr>
                <w:rPr>
                  <w:rFonts w:ascii="Cambria Math" w:hAnsi="Cambria Math"/>
                </w:rPr>
              </m:ctrlPr>
            </m:den>
          </m:f>
        </m:oMath>
      </m:oMathPara>
    </w:p>
    <w:p>
      <w:pPr>
        <w:pStyle w:val="10"/>
        <w:adjustRightInd w:val="0"/>
        <w:snapToGrid w:val="0"/>
        <w:ind w:firstLine="411" w:firstLineChars="196"/>
        <w:rPr>
          <w:rFonts w:hAnsi="宋体" w:cs="宋体"/>
          <w:kern w:val="0"/>
        </w:rPr>
      </w:pPr>
      <m:oMathPara>
        <m:oMathParaPr>
          <m:jc m:val="left"/>
        </m:oMathParaPr>
        <m:oMath>
          <m:r>
            <m:rPr>
              <m:sty m:val="p"/>
            </m:rPr>
            <w:rPr>
              <w:rFonts w:hint="eastAsia" w:ascii="DejaVu Math TeX Gyre" w:hAnsi="DejaVu Math TeX Gyre"/>
            </w:rPr>
            <m:t>单位</m:t>
          </m:r>
          <m:r>
            <m:rPr>
              <m:sty m:val="p"/>
            </m:rPr>
            <w:rPr>
              <w:rFonts w:ascii="DejaVu Math TeX Gyre" w:hAnsi="DejaVu Math TeX Gyre"/>
            </w:rPr>
            <m:t>GDP能耗上升或下降</m:t>
          </m:r>
          <m:d>
            <m:dPr>
              <m:ctrlPr>
                <w:rPr>
                  <w:rFonts w:ascii="Cambria Math" w:hAnsi="Cambria Math"/>
                </w:rPr>
              </m:ctrlPr>
            </m:dPr>
            <m:e>
              <m:r>
                <m:rPr>
                  <m:sty m:val="p"/>
                </m:rPr>
                <w:rPr>
                  <w:rFonts w:ascii="DejaVu Math TeX Gyre" w:hAnsi="DejaVu Math TeX Gyre"/>
                </w:rPr>
                <m:t>±%</m:t>
              </m:r>
              <m:ctrlPr>
                <w:rPr>
                  <w:rFonts w:ascii="Cambria Math" w:hAnsi="Cambria Math"/>
                </w:rPr>
              </m:ctrlPr>
            </m:e>
          </m:d>
          <m:r>
            <m:rPr>
              <m:sty m:val="p"/>
            </m:rPr>
            <w:rPr>
              <w:rFonts w:ascii="DejaVu Math TeX Gyre" w:hAnsi="DejaVu Math TeX Gyre"/>
            </w:rPr>
            <m:t>=</m:t>
          </m:r>
          <m:d>
            <m:dPr>
              <m:ctrlPr>
                <w:rPr>
                  <w:rFonts w:ascii="Cambria Math" w:hAnsi="Cambria Math"/>
                </w:rPr>
              </m:ctrlPr>
            </m:dPr>
            <m:e>
              <m:f>
                <m:fPr>
                  <m:ctrlPr>
                    <w:rPr>
                      <w:rFonts w:ascii="Cambria Math" w:hAnsi="Cambria Math"/>
                    </w:rPr>
                  </m:ctrlPr>
                </m:fPr>
                <m:num>
                  <m:f>
                    <m:fPr>
                      <m:type m:val="lin"/>
                      <m:ctrlPr>
                        <w:rPr>
                          <w:rFonts w:ascii="Cambria Math" w:hAnsi="Cambria Math"/>
                          <w:i/>
                        </w:rPr>
                      </m:ctrlPr>
                    </m:fPr>
                    <m:num>
                      <m:r>
                        <m:rPr>
                          <m:sty m:val="p"/>
                        </m:rPr>
                        <w:rPr>
                          <w:rFonts w:hint="eastAsia" w:ascii="DejaVu Math TeX Gyre" w:hAnsi="DejaVu Math TeX Gyre"/>
                        </w:rPr>
                        <m:t>本期</m:t>
                      </m:r>
                      <m:r>
                        <m:rPr>
                          <m:sty m:val="p"/>
                        </m:rPr>
                        <w:rPr>
                          <w:rFonts w:ascii="DejaVu Math TeX Gyre" w:hAnsi="DejaVu Math TeX Gyre"/>
                        </w:rPr>
                        <m:t>能源消费总量</m:t>
                      </m:r>
                      <m:ctrlPr>
                        <w:rPr>
                          <w:rFonts w:ascii="Cambria Math" w:hAnsi="Cambria Math"/>
                          <w:i/>
                        </w:rPr>
                      </m:ctrlPr>
                    </m:num>
                    <m:den>
                      <m:r>
                        <m:rPr>
                          <m:sty m:val="p"/>
                        </m:rPr>
                        <w:rPr>
                          <w:rFonts w:hint="eastAsia" w:ascii="DejaVu Math TeX Gyre" w:hAnsi="DejaVu Math TeX Gyre"/>
                        </w:rPr>
                        <m:t>本期</m:t>
                      </m:r>
                      <m:r>
                        <m:rPr>
                          <m:sty m:val="p"/>
                        </m:rPr>
                        <w:rPr>
                          <w:rFonts w:ascii="DejaVu Math TeX Gyre" w:hAnsi="DejaVu Math TeX Gyre"/>
                        </w:rPr>
                        <m:t>GDP</m:t>
                      </m:r>
                      <m:ctrlPr>
                        <w:rPr>
                          <w:rFonts w:ascii="Cambria Math" w:hAnsi="Cambria Math"/>
                          <w:i/>
                        </w:rPr>
                      </m:ctrlPr>
                    </m:den>
                  </m:f>
                  <m:ctrlPr>
                    <w:rPr>
                      <w:rFonts w:ascii="Cambria Math" w:hAnsi="Cambria Math"/>
                      <w:i/>
                    </w:rPr>
                  </m:ctrlPr>
                </m:num>
                <m:den>
                  <m:f>
                    <m:fPr>
                      <m:type m:val="lin"/>
                      <m:ctrlPr>
                        <w:rPr>
                          <w:rFonts w:ascii="Cambria Math" w:hAnsi="Cambria Math"/>
                          <w:i/>
                        </w:rPr>
                      </m:ctrlPr>
                    </m:fPr>
                    <m:num>
                      <m:r>
                        <m:rPr>
                          <m:sty m:val="p"/>
                        </m:rPr>
                        <w:rPr>
                          <w:rFonts w:hint="eastAsia" w:ascii="DejaVu Math TeX Gyre" w:hAnsi="DejaVu Math TeX Gyre"/>
                        </w:rPr>
                        <m:t>上年同期</m:t>
                      </m:r>
                      <m:r>
                        <m:rPr>
                          <m:sty m:val="p"/>
                        </m:rPr>
                        <w:rPr>
                          <w:rFonts w:ascii="DejaVu Math TeX Gyre" w:hAnsi="DejaVu Math TeX Gyre"/>
                        </w:rPr>
                        <m:t>能源消费总量</m:t>
                      </m:r>
                      <m:ctrlPr>
                        <w:rPr>
                          <w:rFonts w:ascii="Cambria Math" w:hAnsi="Cambria Math"/>
                          <w:i/>
                        </w:rPr>
                      </m:ctrlPr>
                    </m:num>
                    <m:den>
                      <m:r>
                        <m:rPr>
                          <m:sty m:val="p"/>
                        </m:rPr>
                        <w:rPr>
                          <w:rFonts w:hint="eastAsia" w:ascii="DejaVu Math TeX Gyre" w:hAnsi="DejaVu Math TeX Gyre"/>
                        </w:rPr>
                        <m:t>上年同期</m:t>
                      </m:r>
                      <m:r>
                        <m:rPr>
                          <m:sty m:val="p"/>
                        </m:rPr>
                        <w:rPr>
                          <w:rFonts w:ascii="DejaVu Math TeX Gyre" w:hAnsi="DejaVu Math TeX Gyre"/>
                        </w:rPr>
                        <m:t>GDP</m:t>
                      </m:r>
                      <m:ctrlPr>
                        <w:rPr>
                          <w:rFonts w:ascii="Cambria Math" w:hAnsi="Cambria Math"/>
                          <w:i/>
                        </w:rPr>
                      </m:ctrlPr>
                    </m:den>
                  </m:f>
                  <m:ctrlPr>
                    <w:rPr>
                      <w:rFonts w:ascii="Cambria Math" w:hAnsi="Cambria Math"/>
                      <w:i/>
                    </w:rPr>
                  </m:ctrlPr>
                </m:den>
              </m:f>
              <m:r>
                <m:rPr/>
                <w:rPr>
                  <w:rFonts w:ascii="DejaVu Math TeX Gyre" w:hAnsi="DejaVu Math TeX Gyre"/>
                </w:rPr>
                <m:t>−1</m:t>
              </m:r>
              <m:ctrlPr>
                <w:rPr>
                  <w:rFonts w:ascii="Cambria Math" w:hAnsi="Cambria Math"/>
                  <w:i/>
                </w:rPr>
              </m:ctrlPr>
            </m:e>
          </m:d>
          <m:r>
            <m:rPr/>
            <w:rPr>
              <w:rFonts w:ascii="DejaVu Math TeX Gyre" w:hAnsi="DejaVu Math TeX Gyre"/>
            </w:rPr>
            <m:t>×100%</m:t>
          </m:r>
        </m:oMath>
      </m:oMathPara>
    </w:p>
    <w:p>
      <w:pPr>
        <w:pStyle w:val="10"/>
        <w:adjustRightInd w:val="0"/>
        <w:snapToGrid w:val="0"/>
        <w:ind w:firstLine="411" w:firstLineChars="196"/>
        <w:rPr>
          <w:rFonts w:hAnsi="宋体" w:cs="宋体"/>
          <w:kern w:val="0"/>
        </w:rPr>
      </w:pPr>
      <m:oMathPara>
        <m:oMathParaPr>
          <m:jc m:val="left"/>
        </m:oMathParaPr>
        <m:oMath>
          <m:r>
            <m:rPr>
              <m:sty m:val="p"/>
            </m:rPr>
            <w:rPr>
              <w:rFonts w:ascii="DejaVu Math TeX Gyre" w:hAnsi="DejaVu Math TeX Gyre"/>
            </w:rPr>
            <m:t>=</m:t>
          </m:r>
          <m:d>
            <m:dPr>
              <m:ctrlPr>
                <w:rPr>
                  <w:rFonts w:ascii="Cambria Math" w:hAnsi="Cambria Math"/>
                </w:rPr>
              </m:ctrlPr>
            </m:dPr>
            <m:e>
              <m:f>
                <m:fPr>
                  <m:ctrlPr>
                    <w:rPr>
                      <w:rFonts w:ascii="Cambria Math" w:hAnsi="Cambria Math"/>
                    </w:rPr>
                  </m:ctrlPr>
                </m:fPr>
                <m:num>
                  <m:r>
                    <m:rPr>
                      <m:sty m:val="p"/>
                    </m:rPr>
                    <w:rPr>
                      <w:rFonts w:hint="eastAsia" w:ascii="DejaVu Math TeX Gyre" w:hAnsi="DejaVu Math TeX Gyre"/>
                    </w:rPr>
                    <m:t>本期</m:t>
                  </m:r>
                  <m:r>
                    <m:rPr>
                      <m:sty m:val="p"/>
                    </m:rPr>
                    <w:rPr>
                      <w:rFonts w:ascii="DejaVu Math TeX Gyre" w:hAnsi="DejaVu Math TeX Gyre"/>
                    </w:rPr>
                    <m:t>能源消费总量</m:t>
                  </m:r>
                  <m:ctrlPr>
                    <w:rPr>
                      <w:rFonts w:ascii="Cambria Math" w:hAnsi="Cambria Math"/>
                    </w:rPr>
                  </m:ctrlPr>
                </m:num>
                <m:den>
                  <m:r>
                    <m:rPr>
                      <m:sty m:val="p"/>
                    </m:rPr>
                    <w:rPr>
                      <w:rFonts w:hint="eastAsia" w:ascii="DejaVu Math TeX Gyre" w:hAnsi="DejaVu Math TeX Gyre"/>
                    </w:rPr>
                    <m:t>上年同期能源消费总量</m:t>
                  </m:r>
                  <m:ctrlPr>
                    <w:rPr>
                      <w:rFonts w:ascii="Cambria Math" w:hAnsi="Cambria Math"/>
                    </w:rPr>
                  </m:ctrlPr>
                </m:den>
              </m:f>
              <m:r>
                <m:rPr/>
                <w:rPr>
                  <w:rFonts w:ascii="DejaVu Math TeX Gyre" w:hAnsi="DejaVu Math TeX Gyre"/>
                </w:rPr>
                <m:t>÷</m:t>
              </m:r>
              <m:f>
                <m:fPr>
                  <m:ctrlPr>
                    <w:rPr>
                      <w:rFonts w:ascii="Cambria Math" w:hAnsi="Cambria Math"/>
                      <w:i/>
                    </w:rPr>
                  </m:ctrlPr>
                </m:fPr>
                <m:num>
                  <m:r>
                    <m:rPr>
                      <m:sty m:val="p"/>
                    </m:rPr>
                    <w:rPr>
                      <w:rFonts w:hint="eastAsia" w:ascii="DejaVu Math TeX Gyre" w:hAnsi="DejaVu Math TeX Gyre"/>
                    </w:rPr>
                    <m:t>本期</m:t>
                  </m:r>
                  <m:r>
                    <m:rPr>
                      <m:sty m:val="p"/>
                    </m:rPr>
                    <w:rPr>
                      <w:rFonts w:ascii="DejaVu Math TeX Gyre" w:hAnsi="DejaVu Math TeX Gyre"/>
                    </w:rPr>
                    <m:t>GDP</m:t>
                  </m:r>
                  <m:ctrlPr>
                    <w:rPr>
                      <w:rFonts w:ascii="Cambria Math" w:hAnsi="Cambria Math"/>
                      <w:i/>
                    </w:rPr>
                  </m:ctrlPr>
                </m:num>
                <m:den>
                  <m:r>
                    <m:rPr>
                      <m:sty m:val="p"/>
                    </m:rPr>
                    <w:rPr>
                      <w:rFonts w:hint="eastAsia" w:ascii="DejaVu Math TeX Gyre" w:hAnsi="DejaVu Math TeX Gyre"/>
                    </w:rPr>
                    <m:t>上年同期</m:t>
                  </m:r>
                  <m:r>
                    <m:rPr>
                      <m:sty m:val="p"/>
                    </m:rPr>
                    <w:rPr>
                      <w:rFonts w:ascii="DejaVu Math TeX Gyre" w:hAnsi="DejaVu Math TeX Gyre"/>
                    </w:rPr>
                    <m:t>GDP</m:t>
                  </m:r>
                  <m:ctrlPr>
                    <w:rPr>
                      <w:rFonts w:ascii="Cambria Math" w:hAnsi="Cambria Math"/>
                      <w:i/>
                    </w:rPr>
                  </m:ctrlPr>
                </m:den>
              </m:f>
              <m:r>
                <m:rPr/>
                <w:rPr>
                  <w:rFonts w:ascii="DejaVu Math TeX Gyre" w:hAnsi="DejaVu Math TeX Gyre"/>
                </w:rPr>
                <m:t>−1</m:t>
              </m:r>
              <m:ctrlPr>
                <w:rPr>
                  <w:rFonts w:ascii="Cambria Math" w:hAnsi="Cambria Math"/>
                  <w:i/>
                </w:rPr>
              </m:ctrlPr>
            </m:e>
          </m:d>
          <m:r>
            <m:rPr/>
            <w:rPr>
              <w:rFonts w:ascii="DejaVu Math TeX Gyre" w:hAnsi="DejaVu Math TeX Gyre"/>
            </w:rPr>
            <m:t>×100%</m:t>
          </m:r>
        </m:oMath>
      </m:oMathPara>
    </w:p>
    <w:p>
      <w:pPr>
        <w:pStyle w:val="10"/>
        <w:adjustRightInd w:val="0"/>
        <w:snapToGrid w:val="0"/>
        <w:ind w:firstLine="411" w:firstLineChars="196"/>
        <w:rPr>
          <w:rFonts w:hAnsi="宋体"/>
        </w:rPr>
      </w:pPr>
      <m:oMathPara>
        <m:oMathParaPr>
          <m:jc m:val="left"/>
        </m:oMathParaPr>
        <m:oMath>
          <m:r>
            <m:rPr>
              <m:sty m:val="p"/>
            </m:rPr>
            <w:rPr>
              <w:rFonts w:ascii="DejaVu Math TeX Gyre" w:hAnsi="DejaVu Math TeX Gyre"/>
            </w:rPr>
            <m:t>=</m:t>
          </m:r>
          <m:d>
            <m:dPr>
              <m:ctrlPr>
                <w:rPr>
                  <w:rFonts w:ascii="Cambria Math" w:hAnsi="Cambria Math"/>
                </w:rPr>
              </m:ctrlPr>
            </m:dPr>
            <m:e>
              <m:f>
                <m:fPr>
                  <m:ctrlPr>
                    <w:rPr>
                      <w:rFonts w:ascii="Cambria Math" w:hAnsi="Cambria Math"/>
                    </w:rPr>
                  </m:ctrlPr>
                </m:fPr>
                <m:num>
                  <m:r>
                    <m:rPr>
                      <m:sty m:val="p"/>
                    </m:rPr>
                    <w:rPr>
                      <w:rFonts w:hint="eastAsia" w:ascii="DejaVu Math TeX Gyre" w:hAnsi="DejaVu Math TeX Gyre"/>
                    </w:rPr>
                    <m:t>本期</m:t>
                  </m:r>
                  <m:r>
                    <m:rPr>
                      <m:sty m:val="p"/>
                    </m:rPr>
                    <w:rPr>
                      <w:rFonts w:ascii="DejaVu Math TeX Gyre" w:hAnsi="DejaVu Math TeX Gyre"/>
                    </w:rPr>
                    <m:t>能源消费总量</m:t>
                  </m:r>
                  <m:r>
                    <m:rPr>
                      <m:sty m:val="p"/>
                    </m:rPr>
                    <w:rPr>
                      <w:rFonts w:hint="eastAsia" w:ascii="DejaVu Math TeX Gyre" w:hAnsi="DejaVu Math TeX Gyre"/>
                    </w:rPr>
                    <m:t>发展速度</m:t>
                  </m:r>
                  <m:ctrlPr>
                    <w:rPr>
                      <w:rFonts w:ascii="Cambria Math" w:hAnsi="Cambria Math"/>
                    </w:rPr>
                  </m:ctrlPr>
                </m:num>
                <m:den>
                  <m:r>
                    <m:rPr>
                      <m:sty m:val="p"/>
                    </m:rPr>
                    <w:rPr>
                      <w:rFonts w:hint="eastAsia" w:ascii="DejaVu Math TeX Gyre" w:hAnsi="DejaVu Math TeX Gyre"/>
                    </w:rPr>
                    <m:t>本期</m:t>
                  </m:r>
                  <m:r>
                    <m:rPr>
                      <m:sty m:val="p"/>
                    </m:rPr>
                    <w:rPr>
                      <w:rFonts w:ascii="DejaVu Math TeX Gyre" w:hAnsi="DejaVu Math TeX Gyre"/>
                    </w:rPr>
                    <m:t>GDP</m:t>
                  </m:r>
                  <m:r>
                    <m:rPr>
                      <m:sty m:val="p"/>
                    </m:rPr>
                    <w:rPr>
                      <w:rFonts w:hint="eastAsia" w:ascii="DejaVu Math TeX Gyre" w:hAnsi="DejaVu Math TeX Gyre"/>
                    </w:rPr>
                    <m:t>发展</m:t>
                  </m:r>
                  <m:r>
                    <m:rPr>
                      <m:sty m:val="p"/>
                    </m:rPr>
                    <w:rPr>
                      <w:rFonts w:ascii="DejaVu Math TeX Gyre" w:hAnsi="DejaVu Math TeX Gyre"/>
                    </w:rPr>
                    <m:t>速度</m:t>
                  </m:r>
                  <m:ctrlPr>
                    <w:rPr>
                      <w:rFonts w:ascii="Cambria Math" w:hAnsi="Cambria Math"/>
                    </w:rPr>
                  </m:ctrlPr>
                </m:den>
              </m:f>
              <m:r>
                <m:rPr/>
                <w:rPr>
                  <w:rFonts w:ascii="DejaVu Math TeX Gyre" w:hAnsi="DejaVu Math TeX Gyre"/>
                </w:rPr>
                <m:t>−1</m:t>
              </m:r>
              <m:ctrlPr>
                <w:rPr>
                  <w:rFonts w:ascii="Cambria Math" w:hAnsi="Cambria Math"/>
                  <w:i/>
                </w:rPr>
              </m:ctrlPr>
            </m:e>
          </m:d>
          <m:r>
            <m:rPr/>
            <w:rPr>
              <w:rFonts w:ascii="DejaVu Math TeX Gyre" w:hAnsi="DejaVu Math TeX Gyre"/>
            </w:rPr>
            <m:t>×100%</m:t>
          </m:r>
        </m:oMath>
      </m:oMathPara>
    </w:p>
    <w:p>
      <w:pPr>
        <w:pStyle w:val="10"/>
        <w:adjustRightInd w:val="0"/>
        <w:snapToGrid w:val="0"/>
        <w:ind w:firstLine="411" w:firstLineChars="196"/>
        <w:rPr>
          <w:rFonts w:hAnsi="宋体" w:cs="宋体"/>
          <w:kern w:val="0"/>
        </w:rPr>
      </w:pPr>
      <w:r>
        <w:rPr>
          <w:rFonts w:hAnsi="宋体" w:cs="宋体"/>
          <w:kern w:val="0"/>
        </w:rPr>
        <w:t>计算能源消费总量发展速度和地区生产总值发展速度时，两年的能源消费总量和地区生产总值均使用2位小数；计算单位地区生产总值能耗上升或下降（±%）时，两个发展速度均使用1位小数；单位地区生产总值能耗上升或下降（±%）保留1位小数</w:t>
      </w:r>
      <w:r>
        <w:rPr>
          <w:rFonts w:hint="eastAsia" w:hAnsi="宋体" w:cs="宋体"/>
          <w:kern w:val="0"/>
        </w:rPr>
        <w:t>对外提供；</w:t>
      </w:r>
      <w:r>
        <w:rPr>
          <w:rFonts w:hAnsi="宋体" w:cs="宋体"/>
          <w:kern w:val="0"/>
        </w:rPr>
        <w:t>规模以上工业单位增加值能耗和单位地区生产总值电耗</w:t>
      </w:r>
      <w:r>
        <w:rPr>
          <w:rFonts w:hint="eastAsia" w:hAnsi="宋体" w:cs="宋体"/>
          <w:kern w:val="0"/>
        </w:rPr>
        <w:t>上升或下降（±%）同上。</w:t>
      </w:r>
    </w:p>
    <w:p>
      <w:pPr>
        <w:pStyle w:val="10"/>
        <w:adjustRightInd w:val="0"/>
        <w:spacing w:line="360" w:lineRule="auto"/>
        <w:ind w:firstLine="411" w:firstLineChars="196"/>
        <w:rPr>
          <w:rFonts w:hAnsi="宋体" w:cs="宋体"/>
          <w:kern w:val="0"/>
        </w:rPr>
      </w:pPr>
      <w:r>
        <w:rPr>
          <w:rFonts w:hAnsi="宋体" w:cs="宋体"/>
          <w:kern w:val="0"/>
        </w:rPr>
        <w:t>2.相关基础资料</w:t>
      </w:r>
    </w:p>
    <w:p>
      <w:pPr>
        <w:pStyle w:val="10"/>
        <w:adjustRightInd w:val="0"/>
        <w:spacing w:line="360" w:lineRule="auto"/>
        <w:ind w:firstLine="411" w:firstLineChars="196"/>
        <w:rPr>
          <w:rFonts w:hAnsi="宋体" w:cs="宋体"/>
          <w:kern w:val="0"/>
        </w:rPr>
      </w:pPr>
      <w:r>
        <w:rPr>
          <w:rFonts w:hint="eastAsia"/>
          <w:kern w:val="0"/>
        </w:rPr>
        <w:t>（略）</w:t>
      </w:r>
      <w:r>
        <w:rPr>
          <w:shd w:val="clear" w:color="auto" w:fill="FFFFFF"/>
        </w:rPr>
        <w:br w:type="page"/>
      </w:r>
    </w:p>
    <w:p>
      <w:pPr>
        <w:ind w:right="-38"/>
        <w:jc w:val="center"/>
        <w:rPr>
          <w:rFonts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rPr>
        <w:t>（五）附表</w:t>
      </w:r>
    </w:p>
    <w:p>
      <w:pPr>
        <w:autoSpaceDE w:val="0"/>
        <w:autoSpaceDN w:val="0"/>
        <w:adjustRightInd w:val="0"/>
        <w:jc w:val="center"/>
        <w:rPr>
          <w:shd w:val="clear" w:color="auto" w:fill="FFFFFF"/>
        </w:rPr>
      </w:pPr>
    </w:p>
    <w:p>
      <w:pPr>
        <w:autoSpaceDE w:val="0"/>
        <w:autoSpaceDN w:val="0"/>
        <w:adjustRightInd w:val="0"/>
        <w:jc w:val="center"/>
        <w:rPr>
          <w:rFonts w:ascii="黑体" w:hAnsi="宋体" w:eastAsia="黑体"/>
          <w:b/>
          <w:sz w:val="24"/>
        </w:rPr>
      </w:pPr>
      <w:r>
        <w:rPr>
          <w:rFonts w:hint="eastAsia" w:ascii="黑体" w:hAnsi="宋体" w:eastAsia="黑体"/>
          <w:bCs/>
          <w:sz w:val="24"/>
        </w:rPr>
        <w:t>附表一：各种能源折标准煤参考系数</w:t>
      </w:r>
    </w:p>
    <w:p>
      <w:pPr>
        <w:autoSpaceDE w:val="0"/>
        <w:autoSpaceDN w:val="0"/>
        <w:adjustRightInd w:val="0"/>
        <w:jc w:val="center"/>
        <w:rPr>
          <w:rFonts w:ascii="黑体" w:hAnsi="宋体" w:eastAsia="黑体"/>
          <w:sz w:val="15"/>
          <w:szCs w:val="15"/>
        </w:rPr>
      </w:pPr>
    </w:p>
    <w:tbl>
      <w:tblPr>
        <w:tblStyle w:val="21"/>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060"/>
        <w:gridCol w:w="3402"/>
        <w:gridCol w:w="3037"/>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50" w:hRule="atLeast"/>
          <w:jc w:val="center"/>
        </w:trPr>
        <w:tc>
          <w:tcPr>
            <w:tcW w:w="3060" w:type="dxa"/>
            <w:tcBorders>
              <w:bottom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能源名称</w:t>
            </w:r>
          </w:p>
        </w:tc>
        <w:tc>
          <w:tcPr>
            <w:tcW w:w="3402" w:type="dxa"/>
            <w:tcBorders>
              <w:bottom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平均低位发热量</w:t>
            </w:r>
          </w:p>
        </w:tc>
        <w:tc>
          <w:tcPr>
            <w:tcW w:w="3037" w:type="dxa"/>
            <w:tcBorders>
              <w:bottom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参考折标准煤系数</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single" w:color="auto" w:sz="2" w:space="0"/>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原煤</w:t>
            </w:r>
          </w:p>
        </w:tc>
        <w:tc>
          <w:tcPr>
            <w:tcW w:w="3402" w:type="dxa"/>
            <w:tcBorders>
              <w:top w:val="single" w:color="auto" w:sz="2" w:space="0"/>
              <w:bottom w:val="nil"/>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pacing w:val="8"/>
                <w:sz w:val="18"/>
                <w:szCs w:val="18"/>
              </w:rPr>
              <w:t>－</w:t>
            </w:r>
          </w:p>
        </w:tc>
        <w:tc>
          <w:tcPr>
            <w:tcW w:w="3037" w:type="dxa"/>
            <w:tcBorders>
              <w:top w:val="single" w:color="auto" w:sz="2" w:space="0"/>
              <w:bottom w:val="nil"/>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pacing w:val="8"/>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其中：1.无烟煤</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约6000千卡/千克以上</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0.9428千克标准煤/千克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2.炼焦烟煤</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约6000千卡/千克以上</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0.9千克标准煤/千克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3.一般烟煤</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约4500-5500千卡/千克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0.7143千克标准煤/千克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4.褐煤</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约2500-3500千卡/千克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0.4286千克标准煤/千克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洗精煤（用于炼焦）</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约6000千卡/千克以上</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0.9千克标准煤/千克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其他洗煤</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 2500-6000千卡/千克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0.4643-0.9千克标准煤/千克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煤制品</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约3000-5000千卡/千克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0.5286千克标准煤/千克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焦炭</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约6800千卡/千克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0.9714千克标准煤/千克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焦炉煤气</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约4000-4300千卡/立方米</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0.5714-0.6143千克标准煤/立方米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发生炉煤气</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约1250千卡/立方米</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0.1786千克标准煤/立方米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重油催化裂解煤气</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约4600千卡/立方米</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0.6571千克标准煤/立方米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重油热裂解煤气</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约8500千卡/立方米</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1.2143千克标准煤/立方米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焦炭制气</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约3900千卡/立方米</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0.5571千克标准煤/立方米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压力气化煤气</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约3600千卡/立方米</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0.5143千克标准煤/立方米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水煤气</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约2500千卡/立方米</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0.3571千克标准煤/立方米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天然气</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约7700-9300千卡/立方米</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1.10-1.33千克标准煤/立方米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液化天然气</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约12300千卡/千克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1.7572千克标准煤/千克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煤层气</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约7700千卡/立方米</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11吨标准煤/万立方米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原油</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约10000千卡/千克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1.4286千克标准煤/千克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汽油</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约10300千卡/千克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1.4714千克标准煤/千克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煤油</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约10300千卡/千克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1.4714千克标准煤/千克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柴油</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约10200千卡/千克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1.4571千克标准煤/千克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燃料油</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约10000千卡/千克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1.4286千克标准煤/千克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液化石油气</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约12000千卡/千克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1.7143千克标准煤/千克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炼厂干气</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约11000千卡/千克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1.5714千克标准煤/千克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石脑油</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约10500千卡/千克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1.5千克标准煤/千克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润滑油</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约9900千卡/千克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1.4143 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石蜡</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约9550千卡/千克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1.3648千克标准煤/千克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溶剂油</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约10270千卡/千克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1.4672千克标准煤/千克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石油焦</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约7640千卡/千克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1.0918千克标准煤/千克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石油沥青</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约9310千卡/千克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1.3307千克标准煤/千克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其他石油制品</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约9800千卡/千克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煤焦油</w:t>
            </w:r>
          </w:p>
        </w:tc>
        <w:tc>
          <w:tcPr>
            <w:tcW w:w="3402"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约8000千卡/千克</w:t>
            </w:r>
          </w:p>
        </w:tc>
        <w:tc>
          <w:tcPr>
            <w:tcW w:w="3037"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1.1429千克标准煤/千克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3060" w:type="dxa"/>
            <w:tcBorders>
              <w:top w:val="nil"/>
              <w:bottom w:val="single" w:color="auto" w:sz="8"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粗苯</w:t>
            </w:r>
          </w:p>
        </w:tc>
        <w:tc>
          <w:tcPr>
            <w:tcW w:w="3402" w:type="dxa"/>
            <w:tcBorders>
              <w:top w:val="nil"/>
              <w:bottom w:val="single" w:color="auto" w:sz="8"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约10000千卡/千克</w:t>
            </w:r>
          </w:p>
        </w:tc>
        <w:tc>
          <w:tcPr>
            <w:tcW w:w="3037" w:type="dxa"/>
            <w:tcBorders>
              <w:top w:val="nil"/>
              <w:bottom w:val="single" w:color="auto" w:sz="8"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1.4286千克标准煤/千克</w:t>
            </w:r>
          </w:p>
        </w:tc>
      </w:tr>
    </w:tbl>
    <w:p>
      <w:pPr>
        <w:autoSpaceDE w:val="0"/>
        <w:autoSpaceDN w:val="0"/>
        <w:adjustRightInd w:val="0"/>
        <w:spacing w:after="120" w:afterLines="50" w:line="400" w:lineRule="exact"/>
        <w:jc w:val="center"/>
        <w:rPr>
          <w:sz w:val="30"/>
          <w:szCs w:val="30"/>
        </w:rPr>
      </w:pPr>
      <w:r>
        <w:rPr>
          <w:sz w:val="30"/>
          <w:szCs w:val="30"/>
        </w:rPr>
        <w:br w:type="page"/>
      </w:r>
    </w:p>
    <w:tbl>
      <w:tblPr>
        <w:tblStyle w:val="21"/>
        <w:tblW w:w="0" w:type="auto"/>
        <w:tblInd w:w="93"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060"/>
        <w:gridCol w:w="3275"/>
        <w:gridCol w:w="3075"/>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3060" w:type="dxa"/>
            <w:tcBorders>
              <w:bottom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能源名称</w:t>
            </w:r>
          </w:p>
        </w:tc>
        <w:tc>
          <w:tcPr>
            <w:tcW w:w="3275" w:type="dxa"/>
            <w:tcBorders>
              <w:bottom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平均低位发热量</w:t>
            </w:r>
          </w:p>
        </w:tc>
        <w:tc>
          <w:tcPr>
            <w:tcW w:w="3075" w:type="dxa"/>
            <w:tcBorders>
              <w:bottom w:val="single" w:color="auto" w:sz="2" w:space="0"/>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参考折标准煤系数</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single" w:color="auto" w:sz="2" w:space="0"/>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热力（当量)</w:t>
            </w:r>
          </w:p>
        </w:tc>
        <w:tc>
          <w:tcPr>
            <w:tcW w:w="3275" w:type="dxa"/>
            <w:tcBorders>
              <w:top w:val="single" w:color="auto" w:sz="2" w:space="0"/>
              <w:bottom w:val="nil"/>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pacing w:val="8"/>
                <w:sz w:val="18"/>
                <w:szCs w:val="18"/>
              </w:rPr>
              <w:t>－</w:t>
            </w:r>
          </w:p>
        </w:tc>
        <w:tc>
          <w:tcPr>
            <w:tcW w:w="3075" w:type="dxa"/>
            <w:tcBorders>
              <w:top w:val="single" w:color="auto" w:sz="2" w:space="0"/>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0.0341千克标准煤/百万焦耳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电力（当量)</w:t>
            </w:r>
          </w:p>
        </w:tc>
        <w:tc>
          <w:tcPr>
            <w:tcW w:w="32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860千卡/千瓦时</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0.1229千克标准煤/千瓦时</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高炉煤气</w:t>
            </w:r>
          </w:p>
        </w:tc>
        <w:tc>
          <w:tcPr>
            <w:tcW w:w="32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约900千卡/立方米</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1.286吨标准煤/万立方米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转炉煤气</w:t>
            </w:r>
          </w:p>
        </w:tc>
        <w:tc>
          <w:tcPr>
            <w:tcW w:w="32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约1900千卡/立方米</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2.714吨标准煤/万立方米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煤矸石（用于燃料）</w:t>
            </w:r>
          </w:p>
        </w:tc>
        <w:tc>
          <w:tcPr>
            <w:tcW w:w="32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约2000千卡/千克</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0.2857千克标准煤/千克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城市生活垃圾（用于燃料）</w:t>
            </w:r>
          </w:p>
        </w:tc>
        <w:tc>
          <w:tcPr>
            <w:tcW w:w="32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约1900千卡/千克</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0.2714千克标准煤/千克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余热余压</w:t>
            </w:r>
          </w:p>
        </w:tc>
        <w:tc>
          <w:tcPr>
            <w:tcW w:w="3275" w:type="dxa"/>
            <w:tcBorders>
              <w:top w:val="nil"/>
              <w:bottom w:val="nil"/>
            </w:tcBorders>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pacing w:val="8"/>
                <w:sz w:val="18"/>
                <w:szCs w:val="18"/>
              </w:rPr>
              <w:t>－</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0.0341吨标准煤/百万千焦</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工业废料（用于燃料）</w:t>
            </w:r>
          </w:p>
        </w:tc>
        <w:tc>
          <w:tcPr>
            <w:tcW w:w="32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约3000千卡/千克</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0.4285千克标准煤/千克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燃料甲醇</w:t>
            </w:r>
          </w:p>
        </w:tc>
        <w:tc>
          <w:tcPr>
            <w:tcW w:w="32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约5426千卡/千克</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0.7751千克标准煤/千克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生物乙醇</w:t>
            </w:r>
          </w:p>
        </w:tc>
        <w:tc>
          <w:tcPr>
            <w:tcW w:w="32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约6500千卡/千克</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0.9286千克标准煤/千克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生物柴油</w:t>
            </w:r>
          </w:p>
        </w:tc>
        <w:tc>
          <w:tcPr>
            <w:tcW w:w="32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约10200千卡/千克</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1.4571千克标准煤/千克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vMerge w:val="restart"/>
            <w:tcBorders>
              <w:top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氢气</w:t>
            </w:r>
          </w:p>
        </w:tc>
        <w:tc>
          <w:tcPr>
            <w:tcW w:w="3275" w:type="dxa"/>
            <w:vMerge w:val="restart"/>
            <w:tcBorders>
              <w:top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约142000千焦耳/千克</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4.8512千克标准煤/千克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vMerge w:val="continue"/>
            <w:tcBorders>
              <w:bottom w:val="nil"/>
            </w:tcBorders>
            <w:noWrap/>
            <w:vAlign w:val="center"/>
          </w:tcPr>
          <w:p>
            <w:pPr>
              <w:widowControl/>
              <w:rPr>
                <w:rFonts w:asciiTheme="minorEastAsia" w:hAnsiTheme="minorEastAsia" w:eastAsiaTheme="minorEastAsia" w:cstheme="minorEastAsia"/>
                <w:kern w:val="0"/>
                <w:sz w:val="18"/>
                <w:szCs w:val="18"/>
              </w:rPr>
            </w:pPr>
          </w:p>
        </w:tc>
        <w:tc>
          <w:tcPr>
            <w:tcW w:w="3275" w:type="dxa"/>
            <w:vMerge w:val="continue"/>
            <w:tcBorders>
              <w:bottom w:val="nil"/>
            </w:tcBorders>
            <w:noWrap/>
            <w:vAlign w:val="center"/>
          </w:tcPr>
          <w:p>
            <w:pPr>
              <w:widowControl/>
              <w:rPr>
                <w:rFonts w:asciiTheme="minorEastAsia" w:hAnsiTheme="minorEastAsia" w:eastAsiaTheme="minorEastAsia" w:cstheme="minorEastAsia"/>
                <w:kern w:val="0"/>
                <w:sz w:val="18"/>
                <w:szCs w:val="18"/>
              </w:rPr>
            </w:pP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0.4361千克标准煤/立方米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沼气</w:t>
            </w:r>
          </w:p>
        </w:tc>
        <w:tc>
          <w:tcPr>
            <w:tcW w:w="32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约5500—5800千卡/立方米</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0.7857-0.8286千克标准煤/立方米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蔗渣（干）</w:t>
            </w:r>
          </w:p>
        </w:tc>
        <w:tc>
          <w:tcPr>
            <w:tcW w:w="32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约3500千卡/千克</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0.5000千克标准煤/千克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树皮</w:t>
            </w:r>
          </w:p>
        </w:tc>
        <w:tc>
          <w:tcPr>
            <w:tcW w:w="32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约2700千卡/千克</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0.3857千克标准煤/千克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玉米棒</w:t>
            </w:r>
          </w:p>
        </w:tc>
        <w:tc>
          <w:tcPr>
            <w:tcW w:w="32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约4600千卡/千克</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0.6571千克标准煤/千克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薪柴（干）</w:t>
            </w:r>
          </w:p>
        </w:tc>
        <w:tc>
          <w:tcPr>
            <w:tcW w:w="32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约3000千卡/千克</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0.4286千克标准煤/千克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稻壳</w:t>
            </w:r>
          </w:p>
        </w:tc>
        <w:tc>
          <w:tcPr>
            <w:tcW w:w="32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约3200千卡/千克</w:t>
            </w:r>
          </w:p>
        </w:tc>
        <w:tc>
          <w:tcPr>
            <w:tcW w:w="3075" w:type="dxa"/>
            <w:tcBorders>
              <w:top w:val="nil"/>
              <w:bottom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0.4571千克标准煤/千克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5" w:hRule="atLeast"/>
        </w:trPr>
        <w:tc>
          <w:tcPr>
            <w:tcW w:w="3060" w:type="dxa"/>
            <w:tcBorders>
              <w:top w:val="nil"/>
              <w:bottom w:val="single" w:color="auto" w:sz="8"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锯末刨花</w:t>
            </w:r>
          </w:p>
        </w:tc>
        <w:tc>
          <w:tcPr>
            <w:tcW w:w="3275" w:type="dxa"/>
            <w:tcBorders>
              <w:top w:val="nil"/>
              <w:bottom w:val="single" w:color="auto" w:sz="8"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约2700千卡/千克</w:t>
            </w:r>
          </w:p>
        </w:tc>
        <w:tc>
          <w:tcPr>
            <w:tcW w:w="3075" w:type="dxa"/>
            <w:tcBorders>
              <w:top w:val="nil"/>
              <w:bottom w:val="single" w:color="auto" w:sz="8" w:space="0"/>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0.3857千克标准煤/千克</w:t>
            </w:r>
          </w:p>
        </w:tc>
      </w:tr>
    </w:tbl>
    <w:p>
      <w:pPr>
        <w:autoSpaceDE w:val="0"/>
        <w:autoSpaceDN w:val="0"/>
        <w:adjustRightInd w:val="0"/>
        <w:jc w:val="center"/>
        <w:rPr>
          <w:rFonts w:ascii="黑体" w:hAnsi="宋体" w:eastAsia="黑体"/>
          <w:sz w:val="11"/>
          <w:szCs w:val="11"/>
        </w:rPr>
      </w:pPr>
    </w:p>
    <w:p>
      <w:pPr>
        <w:autoSpaceDE w:val="0"/>
        <w:autoSpaceDN w:val="0"/>
        <w:adjustRightInd w:val="0"/>
        <w:jc w:val="center"/>
        <w:rPr>
          <w:rFonts w:ascii="黑体" w:hAnsi="宋体" w:eastAsia="黑体"/>
          <w:sz w:val="13"/>
          <w:szCs w:val="13"/>
        </w:rPr>
      </w:pPr>
    </w:p>
    <w:p>
      <w:pPr>
        <w:autoSpaceDE w:val="0"/>
        <w:autoSpaceDN w:val="0"/>
        <w:adjustRightInd w:val="0"/>
        <w:spacing w:line="360" w:lineRule="auto"/>
        <w:jc w:val="left"/>
        <w:rPr>
          <w:rFonts w:ascii="宋体" w:hAnsi="宋体"/>
          <w:sz w:val="18"/>
          <w:szCs w:val="18"/>
        </w:rPr>
      </w:pPr>
      <w:r>
        <w:rPr>
          <w:rFonts w:hint="eastAsia" w:ascii="宋体" w:hAnsi="宋体"/>
          <w:sz w:val="18"/>
          <w:szCs w:val="18"/>
        </w:rPr>
        <w:t>注：此表平均低位发热量用千卡表示，如需换算成焦耳，只需乘4.1816即可。</w:t>
      </w:r>
    </w:p>
    <w:p>
      <w:pPr>
        <w:spacing w:line="360" w:lineRule="exact"/>
        <w:ind w:right="69" w:rightChars="33"/>
        <w:rPr>
          <w:rFonts w:ascii="黑体" w:hAnsi="宋体" w:eastAsia="黑体"/>
          <w:b/>
          <w:sz w:val="28"/>
          <w:szCs w:val="28"/>
        </w:rPr>
      </w:pPr>
      <w:r>
        <w:rPr>
          <w:rFonts w:ascii="黑体" w:hAnsi="宋体" w:eastAsia="黑体"/>
          <w:b/>
          <w:sz w:val="28"/>
          <w:szCs w:val="28"/>
        </w:rPr>
        <w:br w:type="page"/>
      </w:r>
    </w:p>
    <w:p>
      <w:pPr>
        <w:snapToGrid w:val="0"/>
        <w:spacing w:before="480" w:beforeLines="200" w:after="240" w:afterLines="100"/>
        <w:jc w:val="center"/>
        <w:outlineLvl w:val="1"/>
        <w:rPr>
          <w:rFonts w:eastAsia="黑体"/>
          <w:sz w:val="24"/>
          <w:szCs w:val="24"/>
        </w:rPr>
      </w:pPr>
      <w:r>
        <w:rPr>
          <w:rFonts w:hint="eastAsia" w:eastAsia="黑体"/>
          <w:sz w:val="24"/>
          <w:szCs w:val="24"/>
        </w:rPr>
        <w:t>附表二：热焓表（饱和蒸汽或过热蒸汽）</w:t>
      </w:r>
    </w:p>
    <w:p>
      <w:pPr>
        <w:rPr>
          <w:sz w:val="18"/>
          <w:szCs w:val="18"/>
        </w:rPr>
      </w:pPr>
    </w:p>
    <w:p>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1.饱和蒸汽压力—焓表（按压力排列）</w:t>
      </w:r>
    </w:p>
    <w:p>
      <w:pPr>
        <w:widowControl/>
        <w:jc w:val="center"/>
        <w:rPr>
          <w:kern w:val="0"/>
          <w:sz w:val="18"/>
          <w:szCs w:val="18"/>
        </w:rPr>
      </w:pPr>
    </w:p>
    <w:tbl>
      <w:tblPr>
        <w:tblStyle w:val="21"/>
        <w:tblW w:w="9512"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1673"/>
        <w:gridCol w:w="1673"/>
        <w:gridCol w:w="273"/>
        <w:gridCol w:w="1637"/>
        <w:gridCol w:w="1548"/>
        <w:gridCol w:w="1439"/>
      </w:tblGrid>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压力MPa</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温度℃</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焓KJ / kg</w:t>
            </w:r>
          </w:p>
        </w:tc>
        <w:tc>
          <w:tcPr>
            <w:tcW w:w="273" w:type="dxa"/>
            <w:vMerge w:val="restart"/>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压力MPa</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温度℃</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焓KJ / kg</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0.001</w:t>
            </w:r>
          </w:p>
        </w:tc>
        <w:tc>
          <w:tcPr>
            <w:tcW w:w="1673"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6.98</w:t>
            </w:r>
          </w:p>
        </w:tc>
        <w:tc>
          <w:tcPr>
            <w:tcW w:w="1673"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2513.8</w:t>
            </w:r>
          </w:p>
        </w:tc>
        <w:tc>
          <w:tcPr>
            <w:tcW w:w="273" w:type="dxa"/>
            <w:vMerge w:val="continue"/>
            <w:shd w:val="clear" w:color="auto" w:fill="E6E6E6"/>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179.88</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2777.0</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0.002</w:t>
            </w:r>
          </w:p>
        </w:tc>
        <w:tc>
          <w:tcPr>
            <w:tcW w:w="1673"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17.51</w:t>
            </w:r>
          </w:p>
        </w:tc>
        <w:tc>
          <w:tcPr>
            <w:tcW w:w="1673"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2533.2</w:t>
            </w:r>
          </w:p>
        </w:tc>
        <w:tc>
          <w:tcPr>
            <w:tcW w:w="273" w:type="dxa"/>
            <w:vMerge w:val="continue"/>
            <w:shd w:val="clear" w:color="auto" w:fill="E6E6E6"/>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184.06</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2780.4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0.003</w:t>
            </w:r>
          </w:p>
        </w:tc>
        <w:tc>
          <w:tcPr>
            <w:tcW w:w="1673"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24.10</w:t>
            </w:r>
          </w:p>
        </w:tc>
        <w:tc>
          <w:tcPr>
            <w:tcW w:w="1673"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2545.2</w:t>
            </w:r>
          </w:p>
        </w:tc>
        <w:tc>
          <w:tcPr>
            <w:tcW w:w="273" w:type="dxa"/>
            <w:vMerge w:val="continue"/>
            <w:shd w:val="clear" w:color="auto" w:fill="E6E6E6"/>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187.96</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2783.4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0.004</w:t>
            </w:r>
          </w:p>
        </w:tc>
        <w:tc>
          <w:tcPr>
            <w:tcW w:w="1673"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28.98</w:t>
            </w:r>
          </w:p>
        </w:tc>
        <w:tc>
          <w:tcPr>
            <w:tcW w:w="1673"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2554.1</w:t>
            </w:r>
          </w:p>
        </w:tc>
        <w:tc>
          <w:tcPr>
            <w:tcW w:w="273" w:type="dxa"/>
            <w:vMerge w:val="continue"/>
            <w:shd w:val="clear" w:color="auto" w:fill="E6E6E6"/>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1.3</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191.60</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2786.0</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0.005</w:t>
            </w:r>
          </w:p>
        </w:tc>
        <w:tc>
          <w:tcPr>
            <w:tcW w:w="1673"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32.90</w:t>
            </w:r>
          </w:p>
        </w:tc>
        <w:tc>
          <w:tcPr>
            <w:tcW w:w="1673" w:type="dxa"/>
            <w:shd w:val="clear" w:color="auto" w:fill="auto"/>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2561.2</w:t>
            </w:r>
          </w:p>
        </w:tc>
        <w:tc>
          <w:tcPr>
            <w:tcW w:w="273" w:type="dxa"/>
            <w:vMerge w:val="continue"/>
            <w:shd w:val="clear" w:color="auto" w:fill="E6E6E6"/>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195.04</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2788.4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0.006</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36.18</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2567.1</w:t>
            </w:r>
          </w:p>
        </w:tc>
        <w:tc>
          <w:tcPr>
            <w:tcW w:w="273" w:type="dxa"/>
            <w:vMerge w:val="restart"/>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1.5</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198.28</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2790.4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0.007</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39.02</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2572.2</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1.6</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201.37</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2792.2</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0.008</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41.53</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2576.7</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204.30</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2793.8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0.009</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43.79</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2580.8</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1.5</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207.10</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2795.1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0.010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45.83</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2584.4</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1.9</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209.79</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2796.4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0.015</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54.00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2598.9</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212.37</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2797.4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0.020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60.09</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2609.6</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2.2</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217.24</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2799.1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0.025</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64.99</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2618.1</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2.4</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221.78</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2800.4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0.030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69.12</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2625.3</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226.03</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2801.2</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0.040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75.89</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2636.8</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2.8</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230.04</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2801.7</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0.050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81.35</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2645.0</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233.84</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2801.9</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0.060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85.95</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2653.6</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3.5</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242.54</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2801.3</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0.070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89.96</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2660.2</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250.33</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2799.4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0.080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93.51</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2666.0</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263.92</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2792.8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0.090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96.71</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2671.1</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275.56</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2783.3</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0.100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99.63</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2675.7</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285.80</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2771.4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0.120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104.81</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2683.8</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8.0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294.98</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2757.5</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0.140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109.32</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2690.8</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9.0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303.31</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2741.8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0.160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113.32</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2696.8</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310.96</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2724.4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0.180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116.93</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2702.1</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318.04</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2705.4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0.200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120.23</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2706.9</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324.64</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2684.8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0.250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127.43</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2717.2</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13.0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330.81</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2662.4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0.300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133.54</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2725.5</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336.63</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2638.3</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0.350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138.88</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2732.5</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15.0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342.12</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2611.6</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0.400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143.62</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2738.5</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16.0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347.32</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2582.7</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0.450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147.92</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2743.8</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17.0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352.26</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2550.8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0.500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151.85</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2748.5</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18.0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356.96</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2514.4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0.600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158.84</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2756.4</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19.0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361.44</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2470.1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0.700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164.96</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2762.9</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20.0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365.71</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2413.9</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0.800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170.42</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2768.4</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21.0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369.79</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2340.2</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12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0.900</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175.36</w:t>
            </w:r>
          </w:p>
        </w:tc>
        <w:tc>
          <w:tcPr>
            <w:tcW w:w="1673"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2773.0</w:t>
            </w:r>
          </w:p>
        </w:tc>
        <w:tc>
          <w:tcPr>
            <w:tcW w:w="273"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63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22.0</w:t>
            </w:r>
          </w:p>
        </w:tc>
        <w:tc>
          <w:tcPr>
            <w:tcW w:w="1548"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373.68</w:t>
            </w:r>
          </w:p>
        </w:tc>
        <w:tc>
          <w:tcPr>
            <w:tcW w:w="143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2192.5</w:t>
            </w:r>
          </w:p>
        </w:tc>
      </w:tr>
    </w:tbl>
    <w:p>
      <w:pPr>
        <w:widowControl/>
        <w:jc w:val="center"/>
        <w:rPr>
          <w:kern w:val="0"/>
          <w:sz w:val="18"/>
          <w:szCs w:val="18"/>
        </w:rPr>
      </w:pPr>
    </w:p>
    <w:p>
      <w:pPr>
        <w:rPr>
          <w:sz w:val="18"/>
          <w:szCs w:val="18"/>
        </w:rPr>
      </w:pPr>
    </w:p>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2.饱和蒸汽温度—焓表（按温度排列）</w:t>
      </w:r>
    </w:p>
    <w:p>
      <w:pPr>
        <w:rPr>
          <w:sz w:val="18"/>
          <w:szCs w:val="18"/>
        </w:rPr>
      </w:pPr>
    </w:p>
    <w:tbl>
      <w:tblPr>
        <w:tblStyle w:val="21"/>
        <w:tblW w:w="9479"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1770"/>
        <w:gridCol w:w="1626"/>
        <w:gridCol w:w="324"/>
        <w:gridCol w:w="1301"/>
        <w:gridCol w:w="1769"/>
        <w:gridCol w:w="1422"/>
      </w:tblGrid>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温度℃</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压力MPa</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焓KJ / kg</w:t>
            </w:r>
          </w:p>
        </w:tc>
        <w:tc>
          <w:tcPr>
            <w:tcW w:w="324" w:type="dxa"/>
            <w:vMerge w:val="restart"/>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温度℃</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压力MPa</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焓KJ / kg</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0.000611</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2501.0</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0.047</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2643.8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0.01</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0.000611</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2501.0</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85</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0.058</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2652.1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0.000657</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2502.8</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0.070</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2660.3</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0.000705</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2504.7</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95</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0.085</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2668.4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0.000758</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2506.5</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0.101</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2676.3</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0.000813</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2508.3</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0.143</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2691.8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0.000872</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2510.2</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0.199</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2706.6</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0.000935</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2512.0</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130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0.270</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2720.7</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0.001001</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2513.9</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0.361</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2734.0</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0.001072</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2515.7</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0.476</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2746.3</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0.001147</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2517.5</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0.618</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2757.7</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0.001227</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2519.4</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0.792</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2768.0</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0.001312</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2521.2</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180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1.003</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2777.1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0.001402</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2523.0</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190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1.255</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2784.9</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13</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0.001497</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2524.9</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200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1.555</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2791.4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0.001597</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2526.7</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210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1.908</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2796.4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0.001704</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2528.6</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220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2.320</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2799.9</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0.001817</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2530.4</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230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2.798</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2801.7</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0.001936</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2532.2</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240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3.348</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2801.6</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18</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0.002063</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2534.0</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3.978</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2799.5</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19</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0.002196</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2535.9</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4.694</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2795.2</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20</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0.002337</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2537.7</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5.505</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2788.3</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22</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0.002642</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2541.4</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6.419</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2778.6</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24</w:t>
            </w:r>
          </w:p>
        </w:tc>
        <w:tc>
          <w:tcPr>
            <w:tcW w:w="1770"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0.002982</w:t>
            </w:r>
          </w:p>
        </w:tc>
        <w:tc>
          <w:tcPr>
            <w:tcW w:w="1626"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2545.0</w:t>
            </w:r>
          </w:p>
        </w:tc>
        <w:tc>
          <w:tcPr>
            <w:tcW w:w="324" w:type="dxa"/>
            <w:vMerge w:val="continue"/>
            <w:noWrap/>
            <w:vAlign w:val="center"/>
          </w:tcPr>
          <w:p>
            <w:pPr>
              <w:widowControl/>
              <w:jc w:val="center"/>
              <w:rPr>
                <w:rFonts w:asciiTheme="minorEastAsia" w:hAnsiTheme="minorEastAsia" w:eastAsiaTheme="minorEastAsia" w:cstheme="minorEastAsia"/>
                <w:sz w:val="18"/>
                <w:szCs w:val="18"/>
              </w:rPr>
            </w:pPr>
          </w:p>
        </w:tc>
        <w:tc>
          <w:tcPr>
            <w:tcW w:w="1301" w:type="dxa"/>
            <w:noWrap/>
            <w:vAlign w:val="center"/>
          </w:tcPr>
          <w:p>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290</w:t>
            </w:r>
          </w:p>
        </w:tc>
        <w:tc>
          <w:tcPr>
            <w:tcW w:w="1769"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7.445</w:t>
            </w:r>
          </w:p>
        </w:tc>
        <w:tc>
          <w:tcPr>
            <w:tcW w:w="1422"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2765.4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26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w:t>
            </w:r>
          </w:p>
        </w:tc>
        <w:tc>
          <w:tcPr>
            <w:tcW w:w="1770"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0.003360</w:t>
            </w:r>
          </w:p>
        </w:tc>
        <w:tc>
          <w:tcPr>
            <w:tcW w:w="1626"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2543.6</w:t>
            </w:r>
          </w:p>
        </w:tc>
        <w:tc>
          <w:tcPr>
            <w:tcW w:w="324"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301"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300</w:t>
            </w:r>
          </w:p>
        </w:tc>
        <w:tc>
          <w:tcPr>
            <w:tcW w:w="17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8.592</w:t>
            </w:r>
          </w:p>
        </w:tc>
        <w:tc>
          <w:tcPr>
            <w:tcW w:w="1422"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2748.4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26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28</w:t>
            </w:r>
          </w:p>
        </w:tc>
        <w:tc>
          <w:tcPr>
            <w:tcW w:w="1770"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0.003779</w:t>
            </w:r>
          </w:p>
        </w:tc>
        <w:tc>
          <w:tcPr>
            <w:tcW w:w="1626"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2552.3</w:t>
            </w:r>
          </w:p>
        </w:tc>
        <w:tc>
          <w:tcPr>
            <w:tcW w:w="324"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301"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310</w:t>
            </w:r>
          </w:p>
        </w:tc>
        <w:tc>
          <w:tcPr>
            <w:tcW w:w="17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9.870</w:t>
            </w:r>
          </w:p>
        </w:tc>
        <w:tc>
          <w:tcPr>
            <w:tcW w:w="1422"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2726.8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26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30</w:t>
            </w:r>
          </w:p>
        </w:tc>
        <w:tc>
          <w:tcPr>
            <w:tcW w:w="1770"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0.004242</w:t>
            </w:r>
          </w:p>
        </w:tc>
        <w:tc>
          <w:tcPr>
            <w:tcW w:w="1626"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2555.9</w:t>
            </w:r>
          </w:p>
        </w:tc>
        <w:tc>
          <w:tcPr>
            <w:tcW w:w="324"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301"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320</w:t>
            </w:r>
          </w:p>
        </w:tc>
        <w:tc>
          <w:tcPr>
            <w:tcW w:w="17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11.290</w:t>
            </w:r>
          </w:p>
        </w:tc>
        <w:tc>
          <w:tcPr>
            <w:tcW w:w="1422"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2699.6</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26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35</w:t>
            </w:r>
          </w:p>
        </w:tc>
        <w:tc>
          <w:tcPr>
            <w:tcW w:w="1770"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0.005622</w:t>
            </w:r>
          </w:p>
        </w:tc>
        <w:tc>
          <w:tcPr>
            <w:tcW w:w="1626"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2565.0</w:t>
            </w:r>
          </w:p>
        </w:tc>
        <w:tc>
          <w:tcPr>
            <w:tcW w:w="324"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301"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330</w:t>
            </w:r>
          </w:p>
        </w:tc>
        <w:tc>
          <w:tcPr>
            <w:tcW w:w="17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12.865</w:t>
            </w:r>
          </w:p>
        </w:tc>
        <w:tc>
          <w:tcPr>
            <w:tcW w:w="1422"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2665.5</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26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40</w:t>
            </w:r>
          </w:p>
        </w:tc>
        <w:tc>
          <w:tcPr>
            <w:tcW w:w="1770"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0.007375</w:t>
            </w:r>
          </w:p>
        </w:tc>
        <w:tc>
          <w:tcPr>
            <w:tcW w:w="1626"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2574.0</w:t>
            </w:r>
          </w:p>
        </w:tc>
        <w:tc>
          <w:tcPr>
            <w:tcW w:w="324"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301"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340</w:t>
            </w:r>
          </w:p>
        </w:tc>
        <w:tc>
          <w:tcPr>
            <w:tcW w:w="17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14.608</w:t>
            </w:r>
          </w:p>
        </w:tc>
        <w:tc>
          <w:tcPr>
            <w:tcW w:w="1422"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2622.3</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26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45</w:t>
            </w:r>
          </w:p>
        </w:tc>
        <w:tc>
          <w:tcPr>
            <w:tcW w:w="1770"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0.009582</w:t>
            </w:r>
          </w:p>
        </w:tc>
        <w:tc>
          <w:tcPr>
            <w:tcW w:w="1626"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2582.9</w:t>
            </w:r>
          </w:p>
        </w:tc>
        <w:tc>
          <w:tcPr>
            <w:tcW w:w="324"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301"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350</w:t>
            </w:r>
          </w:p>
        </w:tc>
        <w:tc>
          <w:tcPr>
            <w:tcW w:w="17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16.537</w:t>
            </w:r>
          </w:p>
        </w:tc>
        <w:tc>
          <w:tcPr>
            <w:tcW w:w="1422"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2566.1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26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50</w:t>
            </w:r>
          </w:p>
        </w:tc>
        <w:tc>
          <w:tcPr>
            <w:tcW w:w="1770"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0.012335</w:t>
            </w:r>
          </w:p>
        </w:tc>
        <w:tc>
          <w:tcPr>
            <w:tcW w:w="1626"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2591.8</w:t>
            </w:r>
          </w:p>
        </w:tc>
        <w:tc>
          <w:tcPr>
            <w:tcW w:w="324"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301"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360</w:t>
            </w:r>
          </w:p>
        </w:tc>
        <w:tc>
          <w:tcPr>
            <w:tcW w:w="17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18.674</w:t>
            </w:r>
          </w:p>
        </w:tc>
        <w:tc>
          <w:tcPr>
            <w:tcW w:w="1422"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2485.7</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26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55</w:t>
            </w:r>
          </w:p>
        </w:tc>
        <w:tc>
          <w:tcPr>
            <w:tcW w:w="1770"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0.015740</w:t>
            </w:r>
          </w:p>
        </w:tc>
        <w:tc>
          <w:tcPr>
            <w:tcW w:w="1626"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2600.7</w:t>
            </w:r>
          </w:p>
        </w:tc>
        <w:tc>
          <w:tcPr>
            <w:tcW w:w="324"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301"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370</w:t>
            </w:r>
          </w:p>
        </w:tc>
        <w:tc>
          <w:tcPr>
            <w:tcW w:w="17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21.053</w:t>
            </w:r>
          </w:p>
        </w:tc>
        <w:tc>
          <w:tcPr>
            <w:tcW w:w="1422"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2335.7</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26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60</w:t>
            </w:r>
          </w:p>
        </w:tc>
        <w:tc>
          <w:tcPr>
            <w:tcW w:w="1770"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0.019919</w:t>
            </w:r>
          </w:p>
        </w:tc>
        <w:tc>
          <w:tcPr>
            <w:tcW w:w="1626"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2609.5</w:t>
            </w:r>
          </w:p>
        </w:tc>
        <w:tc>
          <w:tcPr>
            <w:tcW w:w="324"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301"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371</w:t>
            </w:r>
          </w:p>
        </w:tc>
        <w:tc>
          <w:tcPr>
            <w:tcW w:w="17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21.306</w:t>
            </w:r>
          </w:p>
        </w:tc>
        <w:tc>
          <w:tcPr>
            <w:tcW w:w="1422"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2310.7</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26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65</w:t>
            </w:r>
          </w:p>
        </w:tc>
        <w:tc>
          <w:tcPr>
            <w:tcW w:w="1770"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0.025008</w:t>
            </w:r>
          </w:p>
        </w:tc>
        <w:tc>
          <w:tcPr>
            <w:tcW w:w="1626"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2618.2</w:t>
            </w:r>
          </w:p>
        </w:tc>
        <w:tc>
          <w:tcPr>
            <w:tcW w:w="324"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301"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372</w:t>
            </w:r>
          </w:p>
        </w:tc>
        <w:tc>
          <w:tcPr>
            <w:tcW w:w="17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21.562</w:t>
            </w:r>
          </w:p>
        </w:tc>
        <w:tc>
          <w:tcPr>
            <w:tcW w:w="1422"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2280.1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26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70</w:t>
            </w:r>
          </w:p>
        </w:tc>
        <w:tc>
          <w:tcPr>
            <w:tcW w:w="1770"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0.031161</w:t>
            </w:r>
          </w:p>
        </w:tc>
        <w:tc>
          <w:tcPr>
            <w:tcW w:w="1626"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2626.8</w:t>
            </w:r>
          </w:p>
        </w:tc>
        <w:tc>
          <w:tcPr>
            <w:tcW w:w="324"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301"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373</w:t>
            </w:r>
          </w:p>
        </w:tc>
        <w:tc>
          <w:tcPr>
            <w:tcW w:w="17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21.821</w:t>
            </w:r>
          </w:p>
        </w:tc>
        <w:tc>
          <w:tcPr>
            <w:tcW w:w="1422"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2238.3</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267"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75</w:t>
            </w:r>
          </w:p>
        </w:tc>
        <w:tc>
          <w:tcPr>
            <w:tcW w:w="1770"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0.038548</w:t>
            </w:r>
          </w:p>
        </w:tc>
        <w:tc>
          <w:tcPr>
            <w:tcW w:w="1626"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2635.3</w:t>
            </w:r>
          </w:p>
        </w:tc>
        <w:tc>
          <w:tcPr>
            <w:tcW w:w="324" w:type="dxa"/>
            <w:vMerge w:val="continue"/>
            <w:noWrap/>
            <w:vAlign w:val="center"/>
          </w:tcPr>
          <w:p>
            <w:pPr>
              <w:widowControl/>
              <w:jc w:val="center"/>
              <w:rPr>
                <w:rFonts w:asciiTheme="minorEastAsia" w:hAnsiTheme="minorEastAsia" w:eastAsiaTheme="minorEastAsia" w:cstheme="minorEastAsia"/>
                <w:kern w:val="0"/>
                <w:sz w:val="18"/>
                <w:szCs w:val="18"/>
              </w:rPr>
            </w:pPr>
          </w:p>
        </w:tc>
        <w:tc>
          <w:tcPr>
            <w:tcW w:w="1301"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374</w:t>
            </w:r>
          </w:p>
        </w:tc>
        <w:tc>
          <w:tcPr>
            <w:tcW w:w="1769"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22.084</w:t>
            </w:r>
          </w:p>
        </w:tc>
        <w:tc>
          <w:tcPr>
            <w:tcW w:w="1422" w:type="dxa"/>
            <w:noWrap/>
            <w:vAlign w:val="center"/>
          </w:tcPr>
          <w:p>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2150.7</w:t>
            </w:r>
          </w:p>
        </w:tc>
      </w:tr>
    </w:tbl>
    <w:p>
      <w:pPr>
        <w:rPr>
          <w:sz w:val="18"/>
          <w:szCs w:val="18"/>
        </w:rPr>
      </w:pPr>
    </w:p>
    <w:p>
      <w:pPr>
        <w:keepNext w:val="0"/>
        <w:keepLines w:val="0"/>
        <w:pageBreakBefore w:val="0"/>
        <w:widowControl w:val="0"/>
        <w:kinsoku/>
        <w:wordWrap/>
        <w:overflowPunct/>
        <w:topLinePunct w:val="0"/>
        <w:autoSpaceDE/>
        <w:autoSpaceDN/>
        <w:bidi w:val="0"/>
        <w:adjustRightInd/>
        <w:snapToGrid/>
        <w:spacing w:before="144" w:beforeLines="50"/>
        <w:textAlignment w:val="auto"/>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3.过热蒸汽温度、压力—焓表(一)</w:t>
      </w:r>
    </w:p>
    <w:p>
      <w:pPr>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焓KJ / kg</w:t>
      </w:r>
    </w:p>
    <w:tbl>
      <w:tblPr>
        <w:tblStyle w:val="21"/>
        <w:tblW w:w="9457"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1434"/>
        <w:gridCol w:w="1434"/>
        <w:gridCol w:w="1434"/>
        <w:gridCol w:w="1434"/>
        <w:gridCol w:w="1434"/>
        <w:gridCol w:w="1174"/>
      </w:tblGrid>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1113" w:type="dxa"/>
            <w:vMerge w:val="restart"/>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T （℃）</w:t>
            </w:r>
          </w:p>
        </w:tc>
        <w:tc>
          <w:tcPr>
            <w:tcW w:w="8344" w:type="dxa"/>
            <w:gridSpan w:val="6"/>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MPa</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1113" w:type="dxa"/>
            <w:vMerge w:val="continue"/>
            <w:noWrap/>
            <w:vAlign w:val="center"/>
          </w:tcPr>
          <w:p>
            <w:pPr>
              <w:widowControl/>
              <w:jc w:val="center"/>
              <w:rPr>
                <w:rFonts w:asciiTheme="minorEastAsia" w:hAnsiTheme="minorEastAsia" w:eastAsiaTheme="minorEastAsia" w:cstheme="minorEastAsia"/>
                <w:sz w:val="18"/>
                <w:szCs w:val="18"/>
              </w:rPr>
            </w:pP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0.01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5.0</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42.1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42.5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43.0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44.9</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46.9</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83.9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84.3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84.8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86.7</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88.6</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167.4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167.5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167.9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168.3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170.1</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171.9</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2611.3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251.2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251.2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251.9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253.6</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255.3</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2649.3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335.0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335.3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335.7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337.3</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338.8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2687.3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2676.5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419.4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419.7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421.2</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422.7</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2725.4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2716.8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503.9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504.3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505.7</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507.1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2763.6</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2756.6</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589.2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589.5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590.8</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592.1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2802.0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2796.2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2767.3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675.7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676.9</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678.0</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2840.6</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2835.7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2812.1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2777.3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764.1</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765.2</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2879.3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2875.2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2855.5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2827.5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853.0</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853.8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2918.3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2914.7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2898.0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2874.9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943.9</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944.4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2957.4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2954.3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2939.9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2920.5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2823.0</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1037.8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2996.8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2994.1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2981.5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2964.8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2885.5</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1135.0</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3036.5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3034.0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3022.9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3008.3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2941.8</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2857.0</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3076.3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3074.1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3064.2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3051.3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2994.2</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2925.4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86"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3177.0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3175.3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3167.6</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3157.7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3115.7</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3069.2</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3279.4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3278.0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3217.8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3264.0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3231.6</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3196.9</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3320.9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3319.7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3313.8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3306.6</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3276.9</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3245.4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3362.5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3361.4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3355.9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3349.3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3321.9</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3293.2</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86"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450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3383.3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3382.2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3377.1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3370.7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3344.4</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3316.8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3404.4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3403.3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3398.3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3392.1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3366.8</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3340.4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3446.7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3445.6</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3440.9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3435.1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3411.6</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3387.2</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3488.9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3487.9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3483.7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3478.3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3456.4</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3433.8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86"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3531.8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3530.9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3526.9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3521.9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3501.3</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3480.1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3574.7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3573.9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3570.1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3565.4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3546.2</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3526.4</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550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3593.2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3595.4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3591.7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3587.2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3568.6</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3549.6</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3618.0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3617.2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3613.6</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3609.2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3591.2</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3572.8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86"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3661.6</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3660.9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3657.5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3653.3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3636.3</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3619.1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13"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3705.2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3704.5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3701.4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3697.4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3681.5</w:t>
            </w:r>
          </w:p>
        </w:tc>
        <w:tc>
          <w:tcPr>
            <w:tcW w:w="117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3665.4</w:t>
            </w:r>
          </w:p>
        </w:tc>
      </w:tr>
    </w:tbl>
    <w:p>
      <w:pPr>
        <w:jc w:val="center"/>
        <w:rPr>
          <w:sz w:val="18"/>
          <w:szCs w:val="18"/>
        </w:rPr>
      </w:pPr>
    </w:p>
    <w:p>
      <w:pPr>
        <w:pStyle w:val="7"/>
      </w:pPr>
    </w:p>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4.过热蒸汽温度、压力—焓表(二)</w:t>
      </w:r>
    </w:p>
    <w:p>
      <w:pPr>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焓KJ / kg</w:t>
      </w:r>
    </w:p>
    <w:tbl>
      <w:tblPr>
        <w:tblStyle w:val="21"/>
        <w:tblW w:w="9515"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434"/>
        <w:gridCol w:w="1434"/>
        <w:gridCol w:w="1434"/>
        <w:gridCol w:w="1434"/>
        <w:gridCol w:w="1434"/>
        <w:gridCol w:w="1438"/>
      </w:tblGrid>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93" w:hRule="atLeast"/>
          <w:jc w:val="center"/>
        </w:trPr>
        <w:tc>
          <w:tcPr>
            <w:tcW w:w="907" w:type="dxa"/>
            <w:vMerge w:val="restart"/>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T （℃）</w:t>
            </w:r>
          </w:p>
        </w:tc>
        <w:tc>
          <w:tcPr>
            <w:tcW w:w="8608" w:type="dxa"/>
            <w:gridSpan w:val="6"/>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MPa</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907" w:type="dxa"/>
            <w:vMerge w:val="continue"/>
            <w:noWrap/>
            <w:vAlign w:val="center"/>
          </w:tcPr>
          <w:p>
            <w:pPr>
              <w:widowControl/>
              <w:jc w:val="center"/>
              <w:rPr>
                <w:rFonts w:asciiTheme="minorEastAsia" w:hAnsiTheme="minorEastAsia" w:eastAsiaTheme="minorEastAsia" w:cstheme="minorEastAsia"/>
                <w:sz w:val="18"/>
                <w:szCs w:val="18"/>
              </w:rPr>
            </w:pP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7.10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20.1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25.1</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30.0</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48.80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51.7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55.6</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61.3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66.1</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70.8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90.40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93.2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97.0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102.5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107.1</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111.7</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173.60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176.3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179.8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185.1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189.4</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193.8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256.90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259.4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262.8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267.8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272.0</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276.1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340.40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342.8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350.8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354.8</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358.7</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424.20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426.5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429.5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434.0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437.8</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441.6</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508.50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510.6</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513.5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517.7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521.3</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524.9</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593.40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595.4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598.0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602.0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605.4</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603.1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679.20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681.0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683.4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687.1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690.2</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693.3</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766.20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767.8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769.9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773.1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775.9</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778.7</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854.63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855.9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857.7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860.4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862.8</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856.2</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945.00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946.0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947.2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949.3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951.2</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953.1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1038.00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1038.4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1039.1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1040.3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1041.5</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1024.8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1134.70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1134.3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1134.1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1134.0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1134.3</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1134.8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1236.70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1235.2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1233.5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1231.6</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1230.5</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1229.9</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2839.20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1343.7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1339.5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1334.6</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1331.5</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1329.0</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3017.00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2924.2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2753.5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1648.4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1626.4</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1611.3</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3159.70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3098.5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3004.0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2820.1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2583.2</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2159.1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3211.02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3156.0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3072.7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2917.0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2730.8</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2424.7</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3262.34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3213.5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3141.4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3014.0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2878.3</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2690.3</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450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3288.00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3242.2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3175.8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3062.4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2952.1</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2823.1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3312.44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3268.6</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3205.2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3098.0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2994.7</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2875.3</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3361.32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3321.3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3264.1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3169.1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3079.8</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2979.6</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3410.20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3374.1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3323.0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3240.2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3165.0</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3083.9</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3458.60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3425.1</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3378.4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3303.7</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3237.0</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3166.1</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3506.40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3475.4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3432.5</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3364.6</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3304.7</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3241.7</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550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3530.20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3500.4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3459.2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3394.3</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3337.3</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3277.7</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3554.10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3525.4</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3485.8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3423.6</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3369.2</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3312.6</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580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3601.60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3574.9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3538.2</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3480.9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3431.2</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3379.8</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7"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3649.00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3624.0</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3589.8</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3536.9</w:t>
            </w:r>
          </w:p>
        </w:tc>
        <w:tc>
          <w:tcPr>
            <w:tcW w:w="1434"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3491.2</w:t>
            </w:r>
          </w:p>
        </w:tc>
        <w:tc>
          <w:tcPr>
            <w:tcW w:w="1438" w:type="dxa"/>
            <w:noWrap/>
            <w:vAlign w:val="center"/>
          </w:tcPr>
          <w:p>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3444.2</w:t>
            </w:r>
          </w:p>
        </w:tc>
      </w:tr>
    </w:tbl>
    <w:p>
      <w:pPr>
        <w:autoSpaceDE w:val="0"/>
        <w:autoSpaceDN w:val="0"/>
        <w:adjustRightInd w:val="0"/>
        <w:spacing w:line="360" w:lineRule="auto"/>
        <w:jc w:val="left"/>
        <w:rPr>
          <w:rFonts w:asciiTheme="minorEastAsia" w:hAnsiTheme="minorEastAsia" w:eastAsiaTheme="minorEastAsia" w:cstheme="minorEastAsia"/>
          <w:b/>
          <w:sz w:val="24"/>
        </w:rPr>
      </w:pPr>
    </w:p>
    <w:p>
      <w:pPr>
        <w:adjustRightInd w:val="0"/>
        <w:snapToGrid w:val="0"/>
        <w:ind w:left="1080" w:hanging="1080" w:hangingChars="600"/>
        <w:jc w:val="center"/>
        <w:rPr>
          <w:rFonts w:ascii="宋体" w:hAnsi="宋体"/>
          <w:sz w:val="18"/>
          <w:szCs w:val="18"/>
        </w:rPr>
        <w:sectPr>
          <w:headerReference r:id="rId9" w:type="default"/>
          <w:headerReference r:id="rId10" w:type="even"/>
          <w:pgSz w:w="11906" w:h="16838"/>
          <w:pgMar w:top="1417" w:right="1247" w:bottom="1247" w:left="1247" w:header="851" w:footer="992" w:gutter="0"/>
          <w:pgBorders>
            <w:top w:val="none" w:sz="0" w:space="0"/>
            <w:left w:val="none" w:sz="0" w:space="0"/>
            <w:bottom w:val="none" w:sz="0" w:space="0"/>
            <w:right w:val="none" w:sz="0" w:space="0"/>
          </w:pgBorders>
          <w:pgNumType w:fmt="numberInDash"/>
          <w:cols w:space="0" w:num="1"/>
          <w:docGrid w:linePitch="286" w:charSpace="0"/>
        </w:sectPr>
      </w:pPr>
    </w:p>
    <w:p>
      <w:pPr>
        <w:ind w:right="-38"/>
        <w:jc w:val="center"/>
        <w:rPr>
          <w:rFonts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lang w:eastAsia="zh-CN"/>
        </w:rPr>
        <w:t>（</w:t>
      </w:r>
      <w:r>
        <w:rPr>
          <w:rFonts w:hint="eastAsia" w:asciiTheme="minorEastAsia" w:hAnsiTheme="minorEastAsia" w:eastAsiaTheme="minorEastAsia" w:cstheme="minorEastAsia"/>
          <w:b/>
          <w:bCs w:val="0"/>
          <w:sz w:val="32"/>
          <w:szCs w:val="32"/>
        </w:rPr>
        <w:t>六</w:t>
      </w:r>
      <w:r>
        <w:rPr>
          <w:rFonts w:hint="eastAsia" w:asciiTheme="minorEastAsia" w:hAnsiTheme="minorEastAsia" w:eastAsiaTheme="minorEastAsia" w:cstheme="minorEastAsia"/>
          <w:b/>
          <w:bCs w:val="0"/>
          <w:sz w:val="32"/>
          <w:szCs w:val="32"/>
          <w:lang w:eastAsia="zh-CN"/>
        </w:rPr>
        <w:t>）</w:t>
      </w:r>
      <w:r>
        <w:rPr>
          <w:rFonts w:hint="eastAsia" w:asciiTheme="minorEastAsia" w:hAnsiTheme="minorEastAsia" w:eastAsiaTheme="minorEastAsia" w:cstheme="minorEastAsia"/>
          <w:b/>
          <w:bCs w:val="0"/>
          <w:sz w:val="32"/>
          <w:szCs w:val="32"/>
        </w:rPr>
        <w:t>审核要求</w:t>
      </w:r>
    </w:p>
    <w:p>
      <w:pPr>
        <w:jc w:val="center"/>
        <w:rPr>
          <w:rFonts w:ascii="黑体" w:hAnsi="宋体" w:eastAsia="黑体"/>
          <w:sz w:val="24"/>
        </w:rPr>
      </w:pPr>
    </w:p>
    <w:p>
      <w:pPr>
        <w:spacing w:line="312"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能源购进、消费与库存（205-1表）</w:t>
      </w:r>
    </w:p>
    <w:p>
      <w:pPr>
        <w:pStyle w:val="10"/>
        <w:adjustRightInd w:val="0"/>
        <w:snapToGrid w:val="0"/>
        <w:spacing w:line="312" w:lineRule="auto"/>
        <w:ind w:firstLine="411" w:firstLineChars="196"/>
        <w:rPr>
          <w:rFonts w:hAnsi="宋体" w:cs="宋体"/>
          <w:kern w:val="0"/>
        </w:rPr>
      </w:pPr>
      <w:r>
        <w:rPr>
          <w:rFonts w:hint="eastAsia" w:hAnsi="宋体" w:cs="宋体"/>
          <w:kern w:val="0"/>
        </w:rPr>
        <w:t>1.</w:t>
      </w:r>
      <w:r>
        <w:rPr>
          <w:rFonts w:hAnsi="宋体" w:cs="宋体"/>
          <w:kern w:val="0"/>
        </w:rPr>
        <w:t>所有指标值不应该为负</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2.主表指标为累计指标（采用折标系数除外），本月应大于等于上月；</w:t>
      </w:r>
    </w:p>
    <w:p>
      <w:pPr>
        <w:pStyle w:val="10"/>
        <w:adjustRightInd w:val="0"/>
        <w:snapToGrid w:val="0"/>
        <w:spacing w:line="312" w:lineRule="auto"/>
        <w:ind w:firstLine="411" w:firstLineChars="196"/>
        <w:rPr>
          <w:rFonts w:hAnsi="宋体" w:cs="宋体"/>
          <w:kern w:val="0"/>
        </w:rPr>
      </w:pPr>
      <w:r>
        <w:rPr>
          <w:rFonts w:hAnsi="宋体" w:cs="宋体"/>
          <w:kern w:val="0"/>
        </w:rPr>
        <w:t>3.“1-</w:t>
      </w:r>
      <w:r>
        <w:rPr>
          <w:rFonts w:hint="eastAsia" w:hAnsi="宋体" w:cs="宋体"/>
          <w:kern w:val="0"/>
        </w:rPr>
        <w:t>本月</w:t>
      </w:r>
      <w:r>
        <w:rPr>
          <w:rFonts w:hAnsi="宋体" w:cs="宋体"/>
          <w:kern w:val="0"/>
        </w:rPr>
        <w:t>工业生产消费</w:t>
      </w:r>
      <w:r>
        <w:rPr>
          <w:rFonts w:hint="eastAsia" w:hAnsi="宋体" w:cs="宋体"/>
          <w:kern w:val="0"/>
        </w:rPr>
        <w:t>量</w:t>
      </w:r>
      <w:r>
        <w:rPr>
          <w:rFonts w:hAnsi="宋体" w:cs="宋体"/>
          <w:kern w:val="0"/>
        </w:rPr>
        <w:t>”（第5列）应大于等于“用于原材料”（第6列）</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Ansi="宋体" w:cs="宋体"/>
          <w:kern w:val="0"/>
        </w:rPr>
        <w:t>4.“1</w:t>
      </w:r>
      <w:r>
        <w:rPr>
          <w:rFonts w:hint="eastAsia" w:hAnsi="宋体" w:cs="宋体"/>
          <w:kern w:val="0"/>
        </w:rPr>
        <w:t>-</w:t>
      </w:r>
      <w:r>
        <w:rPr>
          <w:rFonts w:hAnsi="宋体" w:cs="宋体"/>
          <w:kern w:val="0"/>
        </w:rPr>
        <w:t>本月工业生产消费量”（第5列）应大于等于“运输工具消费”（第7列）</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5.</w:t>
      </w:r>
      <w:r>
        <w:rPr>
          <w:rFonts w:hAnsi="宋体" w:cs="宋体"/>
          <w:kern w:val="0"/>
        </w:rPr>
        <w:t>“1</w:t>
      </w:r>
      <w:r>
        <w:rPr>
          <w:rFonts w:hint="eastAsia" w:hAnsi="宋体" w:cs="宋体"/>
          <w:kern w:val="0"/>
        </w:rPr>
        <w:t>-</w:t>
      </w:r>
      <w:r>
        <w:rPr>
          <w:rFonts w:hAnsi="宋体" w:cs="宋体"/>
          <w:kern w:val="0"/>
        </w:rPr>
        <w:t>本月购进量”（第2列）应大于等于“购自省外”（第3列）</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6.“</w:t>
      </w:r>
      <w:r>
        <w:rPr>
          <w:rFonts w:hAnsi="宋体" w:cs="宋体"/>
          <w:kern w:val="0"/>
        </w:rPr>
        <w:t>原煤”（第1行）应该等于各煤品（第2-5行）对应指标值之和</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7.</w:t>
      </w:r>
      <w:r>
        <w:rPr>
          <w:rFonts w:hAnsi="宋体" w:cs="宋体"/>
          <w:kern w:val="0"/>
        </w:rPr>
        <w:t>如果没有产量，则（年初库存量＋1</w:t>
      </w:r>
      <w:r>
        <w:rPr>
          <w:rFonts w:hint="eastAsia" w:hAnsi="宋体" w:cs="宋体"/>
          <w:kern w:val="0"/>
        </w:rPr>
        <w:t>-</w:t>
      </w:r>
      <w:r>
        <w:rPr>
          <w:rFonts w:hAnsi="宋体" w:cs="宋体"/>
          <w:kern w:val="0"/>
        </w:rPr>
        <w:t>本月购进量－1</w:t>
      </w:r>
      <w:r>
        <w:rPr>
          <w:rFonts w:hint="eastAsia" w:hAnsi="宋体" w:cs="宋体"/>
          <w:kern w:val="0"/>
        </w:rPr>
        <w:t>-</w:t>
      </w:r>
      <w:r>
        <w:rPr>
          <w:rFonts w:hAnsi="宋体" w:cs="宋体"/>
          <w:kern w:val="0"/>
        </w:rPr>
        <w:t>本月消费量）应约等于期末库存量</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8.</w:t>
      </w:r>
      <w:r>
        <w:rPr>
          <w:rFonts w:hAnsi="宋体" w:cs="宋体"/>
          <w:kern w:val="0"/>
        </w:rPr>
        <w:t>上年同期填报了火力发电投入，那么上年同期也应填报</w:t>
      </w:r>
      <w:r>
        <w:rPr>
          <w:rFonts w:hint="eastAsia" w:hAnsi="宋体" w:cs="宋体"/>
          <w:kern w:val="0"/>
        </w:rPr>
        <w:t>火力发电</w:t>
      </w:r>
      <w:r>
        <w:rPr>
          <w:rFonts w:hAnsi="宋体" w:cs="宋体"/>
          <w:kern w:val="0"/>
        </w:rPr>
        <w:t>产出</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9.</w:t>
      </w:r>
      <w:r>
        <w:rPr>
          <w:rFonts w:hAnsi="宋体" w:cs="宋体"/>
          <w:kern w:val="0"/>
        </w:rPr>
        <w:t>上年同期填报了</w:t>
      </w:r>
      <w:r>
        <w:rPr>
          <w:rFonts w:hint="eastAsia" w:hAnsi="宋体" w:cs="宋体"/>
          <w:kern w:val="0"/>
        </w:rPr>
        <w:t>火力发电</w:t>
      </w:r>
      <w:r>
        <w:rPr>
          <w:rFonts w:hAnsi="宋体" w:cs="宋体"/>
          <w:kern w:val="0"/>
        </w:rPr>
        <w:t>产出，那么上年同期也应填报火力发电投入</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10.补充资料除上年同期“综合能源消费量当月（42）”“用于原材料的原煤采用折标系数（43）”和本期“综合能源消费量当月（49）”“用于原材料的原煤采用折标系数</w:t>
      </w:r>
      <w:r>
        <w:rPr>
          <w:rFonts w:hAnsi="宋体" w:cs="宋体"/>
          <w:kern w:val="0"/>
        </w:rPr>
        <w:t>(50)</w:t>
      </w:r>
      <w:r>
        <w:rPr>
          <w:rFonts w:hint="eastAsia" w:hAnsi="宋体" w:cs="宋体"/>
          <w:kern w:val="0"/>
        </w:rPr>
        <w:t>”外，其他指标为累计指标，本月应大于等于上月。</w:t>
      </w:r>
    </w:p>
    <w:p>
      <w:pPr>
        <w:spacing w:line="312" w:lineRule="auto"/>
        <w:rPr>
          <w:rFonts w:ascii="黑体" w:hAnsi="宋体" w:eastAsia="黑体"/>
          <w:sz w:val="24"/>
        </w:rPr>
      </w:pPr>
    </w:p>
    <w:p>
      <w:pPr>
        <w:spacing w:line="312"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能源加工转换与回收利用（205-2表）</w:t>
      </w:r>
    </w:p>
    <w:p>
      <w:pPr>
        <w:pStyle w:val="10"/>
        <w:numPr>
          <w:ilvl w:val="0"/>
          <w:numId w:val="4"/>
        </w:numPr>
        <w:adjustRightInd w:val="0"/>
        <w:snapToGrid w:val="0"/>
        <w:spacing w:line="312" w:lineRule="auto"/>
        <w:ind w:firstLine="411" w:firstLineChars="196"/>
        <w:rPr>
          <w:rFonts w:hAnsi="宋体" w:cs="宋体"/>
          <w:kern w:val="0"/>
        </w:rPr>
      </w:pPr>
      <w:r>
        <w:rPr>
          <w:rFonts w:hAnsi="宋体" w:cs="宋体"/>
          <w:kern w:val="0"/>
        </w:rPr>
        <w:t>所有指标值不应该为负</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2.所有指标为累计指标，本月应大于等于上月；</w:t>
      </w:r>
    </w:p>
    <w:p>
      <w:pPr>
        <w:pStyle w:val="10"/>
        <w:adjustRightInd w:val="0"/>
        <w:snapToGrid w:val="0"/>
        <w:spacing w:line="312" w:lineRule="auto"/>
        <w:ind w:firstLine="411" w:firstLineChars="196"/>
        <w:rPr>
          <w:rFonts w:hAnsi="宋体" w:cs="宋体"/>
          <w:kern w:val="0"/>
        </w:rPr>
      </w:pPr>
      <w:r>
        <w:rPr>
          <w:rFonts w:hint="eastAsia" w:hAnsi="宋体" w:cs="宋体"/>
          <w:kern w:val="0"/>
        </w:rPr>
        <w:t>3.“</w:t>
      </w:r>
      <w:r>
        <w:rPr>
          <w:rFonts w:hAnsi="宋体" w:cs="宋体"/>
          <w:kern w:val="0"/>
        </w:rPr>
        <w:t>原煤”（第1行）应该等于各煤品（第2-5行）对应指标值之和</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4.</w:t>
      </w:r>
      <w:r>
        <w:rPr>
          <w:rFonts w:hAnsi="宋体" w:cs="宋体"/>
          <w:kern w:val="0"/>
        </w:rPr>
        <w:t>工业生产消费量应大于等于加工转换投入合计</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5.各能源品种</w:t>
      </w:r>
      <w:r>
        <w:rPr>
          <w:rFonts w:hAnsi="宋体" w:cs="宋体"/>
          <w:kern w:val="0"/>
        </w:rPr>
        <w:t>加工转换产出量应与205-6表填报的本年1-本月生产量一致</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6.各种加工转换方式有投入量必有产出量，反之亦然；</w:t>
      </w:r>
    </w:p>
    <w:p>
      <w:pPr>
        <w:pStyle w:val="10"/>
        <w:adjustRightInd w:val="0"/>
        <w:snapToGrid w:val="0"/>
        <w:spacing w:line="312" w:lineRule="auto"/>
        <w:ind w:firstLine="411" w:firstLineChars="196"/>
        <w:rPr>
          <w:rFonts w:hAnsi="宋体" w:cs="宋体"/>
          <w:kern w:val="0"/>
        </w:rPr>
      </w:pPr>
      <w:r>
        <w:rPr>
          <w:rFonts w:hint="eastAsia" w:hAnsi="宋体" w:cs="宋体"/>
          <w:kern w:val="0"/>
        </w:rPr>
        <w:t>7.火力发电、供热和炼油累计和当月加工转换效率不应超过100%。</w:t>
      </w:r>
    </w:p>
    <w:p>
      <w:pPr>
        <w:pStyle w:val="10"/>
        <w:adjustRightInd w:val="0"/>
        <w:snapToGrid w:val="0"/>
        <w:spacing w:line="312" w:lineRule="auto"/>
        <w:ind w:firstLine="411" w:firstLineChars="196"/>
        <w:rPr>
          <w:rFonts w:hAnsi="宋体" w:cs="宋体"/>
          <w:kern w:val="0"/>
        </w:rPr>
      </w:pPr>
    </w:p>
    <w:p>
      <w:pPr>
        <w:spacing w:line="312"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主要耗能工业企业单位产品能源消费情况（205-3表）</w:t>
      </w:r>
    </w:p>
    <w:p>
      <w:pPr>
        <w:pStyle w:val="10"/>
        <w:adjustRightInd w:val="0"/>
        <w:snapToGrid w:val="0"/>
        <w:spacing w:line="312" w:lineRule="auto"/>
        <w:ind w:firstLine="411" w:firstLineChars="196"/>
        <w:rPr>
          <w:rFonts w:hAnsi="宋体" w:cs="宋体"/>
          <w:kern w:val="0"/>
        </w:rPr>
      </w:pPr>
      <w:r>
        <w:rPr>
          <w:rFonts w:hint="eastAsia" w:hAnsi="宋体" w:cs="宋体"/>
          <w:kern w:val="0"/>
        </w:rPr>
        <w:t>1.</w:t>
      </w:r>
      <w:r>
        <w:rPr>
          <w:rFonts w:hAnsi="宋体" w:cs="宋体"/>
          <w:kern w:val="0"/>
        </w:rPr>
        <w:t>本期</w:t>
      </w:r>
      <w:r>
        <w:rPr>
          <w:rFonts w:hint="eastAsia" w:hAnsi="宋体" w:cs="宋体"/>
          <w:kern w:val="0"/>
        </w:rPr>
        <w:t>和上年同期</w:t>
      </w:r>
      <w:r>
        <w:rPr>
          <w:rFonts w:hAnsi="宋体" w:cs="宋体"/>
          <w:kern w:val="0"/>
        </w:rPr>
        <w:t>指标值、子项值、母项值不应是负数</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2.</w:t>
      </w:r>
      <w:r>
        <w:rPr>
          <w:rFonts w:hAnsi="宋体" w:cs="宋体"/>
          <w:kern w:val="0"/>
        </w:rPr>
        <w:t>填报电耗指标则必须填报对应的能耗指标</w:t>
      </w:r>
      <w:r>
        <w:rPr>
          <w:rFonts w:hint="eastAsia" w:hAnsi="宋体" w:cs="宋体"/>
          <w:kern w:val="0"/>
        </w:rPr>
        <w:t>，反之亦然；</w:t>
      </w:r>
    </w:p>
    <w:p>
      <w:pPr>
        <w:pStyle w:val="10"/>
        <w:adjustRightInd w:val="0"/>
        <w:snapToGrid w:val="0"/>
        <w:spacing w:line="312" w:lineRule="auto"/>
        <w:ind w:firstLine="411" w:firstLineChars="196"/>
        <w:rPr>
          <w:rFonts w:hAnsi="宋体" w:cs="宋体"/>
          <w:kern w:val="0"/>
        </w:rPr>
      </w:pPr>
      <w:r>
        <w:rPr>
          <w:rFonts w:hint="eastAsia" w:hAnsi="宋体" w:cs="宋体"/>
          <w:kern w:val="0"/>
        </w:rPr>
        <w:t>3.</w:t>
      </w:r>
      <w:r>
        <w:rPr>
          <w:rFonts w:hAnsi="宋体" w:cs="宋体"/>
          <w:kern w:val="0"/>
        </w:rPr>
        <w:t>全年数据应大于等于半年数据（因为是累计数）</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4.</w:t>
      </w:r>
      <w:r>
        <w:rPr>
          <w:rFonts w:hAnsi="宋体" w:cs="宋体"/>
          <w:kern w:val="0"/>
        </w:rPr>
        <w:t>企业的电耗应该小于综合能耗</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5.母项值产品产量应与生产月报产量数据相等。如：</w:t>
      </w:r>
      <w:r>
        <w:rPr>
          <w:rFonts w:hAnsi="宋体" w:cs="宋体"/>
          <w:kern w:val="0"/>
        </w:rPr>
        <w:t>本期母项火力发电量跟生产月报的火力发电量不等</w:t>
      </w:r>
      <w:r>
        <w:rPr>
          <w:rFonts w:hint="eastAsia" w:hAnsi="宋体" w:cs="宋体"/>
          <w:kern w:val="0"/>
        </w:rPr>
        <w:t>；</w:t>
      </w:r>
      <w:r>
        <w:rPr>
          <w:rFonts w:hAnsi="宋体" w:cs="宋体"/>
          <w:kern w:val="0"/>
        </w:rPr>
        <w:t>本期母项水泥产量跟生产月报的水泥产量</w:t>
      </w:r>
      <w:r>
        <w:rPr>
          <w:rFonts w:hint="eastAsia" w:hAnsi="宋体" w:cs="宋体"/>
          <w:kern w:val="0"/>
        </w:rPr>
        <w:t>相</w:t>
      </w:r>
      <w:r>
        <w:rPr>
          <w:rFonts w:hAnsi="宋体" w:cs="宋体"/>
          <w:kern w:val="0"/>
        </w:rPr>
        <w:t>等</w:t>
      </w:r>
      <w:r>
        <w:rPr>
          <w:rFonts w:hint="eastAsia" w:hAnsi="宋体" w:cs="宋体"/>
          <w:kern w:val="0"/>
        </w:rPr>
        <w:t>。</w:t>
      </w:r>
    </w:p>
    <w:p>
      <w:pPr>
        <w:spacing w:line="312" w:lineRule="auto"/>
        <w:rPr>
          <w:rFonts w:ascii="黑体" w:hAnsi="宋体" w:eastAsia="黑体"/>
          <w:sz w:val="24"/>
        </w:rPr>
      </w:pPr>
    </w:p>
    <w:p>
      <w:pPr>
        <w:spacing w:line="312"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工业企业用水情况（205-4表）</w:t>
      </w:r>
    </w:p>
    <w:p>
      <w:pPr>
        <w:pStyle w:val="10"/>
        <w:adjustRightInd w:val="0"/>
        <w:snapToGrid w:val="0"/>
        <w:spacing w:line="312" w:lineRule="auto"/>
        <w:ind w:firstLine="411" w:firstLineChars="196"/>
        <w:rPr>
          <w:rFonts w:hAnsi="宋体" w:cs="宋体"/>
          <w:kern w:val="0"/>
        </w:rPr>
      </w:pPr>
      <w:r>
        <w:rPr>
          <w:rFonts w:hint="eastAsia" w:hAnsi="宋体" w:cs="宋体"/>
          <w:kern w:val="0"/>
        </w:rPr>
        <w:t>1.所有</w:t>
      </w:r>
      <w:r>
        <w:rPr>
          <w:rFonts w:hAnsi="宋体" w:cs="宋体"/>
          <w:kern w:val="0"/>
        </w:rPr>
        <w:t>指标不能为负数</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2.</w:t>
      </w:r>
      <w:r>
        <w:rPr>
          <w:rFonts w:hAnsi="宋体" w:cs="宋体"/>
          <w:kern w:val="0"/>
        </w:rPr>
        <w:t>全年数据应大于等于半年数据（因为是累计数）</w:t>
      </w:r>
      <w:r>
        <w:rPr>
          <w:rFonts w:hint="eastAsia" w:hAnsi="宋体" w:cs="宋体"/>
          <w:kern w:val="0"/>
        </w:rPr>
        <w:t>；</w:t>
      </w:r>
    </w:p>
    <w:p>
      <w:pPr>
        <w:pStyle w:val="10"/>
        <w:adjustRightInd w:val="0"/>
        <w:snapToGrid w:val="0"/>
        <w:spacing w:line="312" w:lineRule="auto"/>
        <w:ind w:firstLine="388" w:firstLineChars="196"/>
        <w:rPr>
          <w:rFonts w:hAnsi="宋体" w:cs="宋体"/>
          <w:spacing w:val="-6"/>
          <w:kern w:val="0"/>
        </w:rPr>
      </w:pPr>
      <w:r>
        <w:rPr>
          <w:rFonts w:hint="eastAsia" w:hAnsi="宋体" w:cs="宋体"/>
          <w:spacing w:val="-6"/>
          <w:kern w:val="0"/>
        </w:rPr>
        <w:t>3.</w:t>
      </w:r>
      <w:r>
        <w:rPr>
          <w:rFonts w:hAnsi="宋体" w:cs="宋体"/>
          <w:spacing w:val="-6"/>
          <w:kern w:val="0"/>
        </w:rPr>
        <w:t>若重复用水量（本期、上年同期）大于零，则企业用水量(即净取水量本期、上年同期）应大于零</w:t>
      </w:r>
      <w:r>
        <w:rPr>
          <w:rFonts w:hint="eastAsia" w:hAnsi="宋体" w:cs="宋体"/>
          <w:spacing w:val="-6"/>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4.</w:t>
      </w:r>
      <w:r>
        <w:rPr>
          <w:rFonts w:hAnsi="宋体" w:cs="宋体"/>
          <w:kern w:val="0"/>
        </w:rPr>
        <w:t>若工业总产值大于零，则企业用水量应大于零</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5.</w:t>
      </w:r>
      <w:r>
        <w:rPr>
          <w:rFonts w:hAnsi="宋体" w:cs="宋体"/>
          <w:kern w:val="0"/>
        </w:rPr>
        <w:t>没有取水量</w:t>
      </w:r>
      <w:r>
        <w:rPr>
          <w:rFonts w:hint="eastAsia" w:hAnsi="宋体" w:cs="宋体"/>
          <w:kern w:val="0"/>
        </w:rPr>
        <w:t>，</w:t>
      </w:r>
      <w:r>
        <w:rPr>
          <w:rFonts w:hAnsi="宋体" w:cs="宋体"/>
          <w:kern w:val="0"/>
        </w:rPr>
        <w:t>不应有重复用水量</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6.</w:t>
      </w:r>
      <w:r>
        <w:rPr>
          <w:rFonts w:hAnsi="宋体" w:cs="宋体"/>
          <w:kern w:val="0"/>
        </w:rPr>
        <w:t>地表淡水取水量（本期、上年同期）应大于等于地表淡水外供水量</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7.</w:t>
      </w:r>
      <w:r>
        <w:rPr>
          <w:rFonts w:hAnsi="宋体" w:cs="宋体"/>
          <w:kern w:val="0"/>
        </w:rPr>
        <w:t>地下淡水取水量（本期、上年同期）应大于等于地下淡水外供水量</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8.</w:t>
      </w:r>
      <w:r>
        <w:rPr>
          <w:rFonts w:hAnsi="宋体" w:cs="宋体"/>
          <w:kern w:val="0"/>
        </w:rPr>
        <w:t>取水量合计（本期、上年同期）应大于等于外供水量合计</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9.</w:t>
      </w:r>
      <w:r>
        <w:rPr>
          <w:rFonts w:hAnsi="宋体" w:cs="宋体"/>
          <w:kern w:val="0"/>
        </w:rPr>
        <w:t>陆地苦咸水、矿井水、雨水不应有外供水量</w:t>
      </w:r>
      <w:r>
        <w:rPr>
          <w:rFonts w:hint="eastAsia" w:hAnsi="宋体" w:cs="宋体"/>
          <w:kern w:val="0"/>
        </w:rPr>
        <w:t>。</w:t>
      </w:r>
    </w:p>
    <w:p>
      <w:pPr>
        <w:pStyle w:val="10"/>
        <w:adjustRightInd w:val="0"/>
        <w:snapToGrid w:val="0"/>
        <w:spacing w:line="312" w:lineRule="auto"/>
        <w:ind w:firstLine="411" w:firstLineChars="196"/>
        <w:rPr>
          <w:rFonts w:hAnsi="宋体" w:cs="宋体"/>
          <w:kern w:val="0"/>
        </w:rPr>
      </w:pPr>
    </w:p>
    <w:p>
      <w:pPr>
        <w:spacing w:line="312"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非工业重点耗能单位能源消费情况（205-5表）</w:t>
      </w:r>
    </w:p>
    <w:p>
      <w:pPr>
        <w:pStyle w:val="10"/>
        <w:adjustRightInd w:val="0"/>
        <w:snapToGrid w:val="0"/>
        <w:spacing w:line="312" w:lineRule="auto"/>
        <w:ind w:firstLine="411" w:firstLineChars="196"/>
        <w:rPr>
          <w:rFonts w:hAnsi="宋体" w:cs="宋体"/>
          <w:kern w:val="0"/>
        </w:rPr>
      </w:pPr>
      <w:r>
        <w:rPr>
          <w:rFonts w:hint="eastAsia" w:hAnsi="宋体" w:cs="宋体"/>
          <w:kern w:val="0"/>
        </w:rPr>
        <w:t>1.</w:t>
      </w:r>
      <w:r>
        <w:rPr>
          <w:rFonts w:hAnsi="宋体" w:cs="宋体"/>
          <w:kern w:val="0"/>
        </w:rPr>
        <w:t>本表指标不能出现负数</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2.</w:t>
      </w:r>
      <w:r>
        <w:rPr>
          <w:rFonts w:hAnsi="宋体" w:cs="宋体"/>
          <w:kern w:val="0"/>
        </w:rPr>
        <w:t>本期</w:t>
      </w:r>
      <w:r>
        <w:rPr>
          <w:rFonts w:hint="eastAsia" w:hAnsi="宋体" w:cs="宋体"/>
          <w:kern w:val="0"/>
        </w:rPr>
        <w:t>各能源品种</w:t>
      </w:r>
      <w:r>
        <w:rPr>
          <w:rFonts w:hAnsi="宋体" w:cs="宋体"/>
          <w:kern w:val="0"/>
        </w:rPr>
        <w:t>消费量填数，则本期</w:t>
      </w:r>
      <w:r>
        <w:rPr>
          <w:rFonts w:hint="eastAsia" w:hAnsi="宋体" w:cs="宋体"/>
          <w:kern w:val="0"/>
        </w:rPr>
        <w:t>各能源品种</w:t>
      </w:r>
      <w:r>
        <w:rPr>
          <w:rFonts w:hAnsi="宋体" w:cs="宋体"/>
          <w:kern w:val="0"/>
        </w:rPr>
        <w:t>消费金额必填数</w:t>
      </w:r>
      <w:r>
        <w:rPr>
          <w:rFonts w:hint="eastAsia" w:hAnsi="宋体" w:cs="宋体"/>
          <w:kern w:val="0"/>
        </w:rPr>
        <w:t>，</w:t>
      </w:r>
      <w:r>
        <w:rPr>
          <w:rFonts w:hAnsi="宋体" w:cs="宋体"/>
          <w:kern w:val="0"/>
        </w:rPr>
        <w:t>反之亦然</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3.上年同期各能源品种</w:t>
      </w:r>
      <w:r>
        <w:rPr>
          <w:rFonts w:hAnsi="宋体" w:cs="宋体"/>
          <w:kern w:val="0"/>
        </w:rPr>
        <w:t>消费量填数，则</w:t>
      </w:r>
      <w:r>
        <w:rPr>
          <w:rFonts w:hint="eastAsia" w:hAnsi="宋体" w:cs="宋体"/>
          <w:kern w:val="0"/>
        </w:rPr>
        <w:t>上年同期各能源品种</w:t>
      </w:r>
      <w:r>
        <w:rPr>
          <w:rFonts w:hAnsi="宋体" w:cs="宋体"/>
          <w:kern w:val="0"/>
        </w:rPr>
        <w:t>消费金额必填数</w:t>
      </w:r>
      <w:r>
        <w:rPr>
          <w:rFonts w:hint="eastAsia" w:hAnsi="宋体" w:cs="宋体"/>
          <w:kern w:val="0"/>
        </w:rPr>
        <w:t>，</w:t>
      </w:r>
      <w:r>
        <w:rPr>
          <w:rFonts w:hAnsi="宋体" w:cs="宋体"/>
          <w:kern w:val="0"/>
        </w:rPr>
        <w:t>反之亦然</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4.</w:t>
      </w:r>
      <w:r>
        <w:rPr>
          <w:rFonts w:hAnsi="宋体" w:cs="宋体"/>
          <w:kern w:val="0"/>
        </w:rPr>
        <w:t>本季各指标应大于等于上季各指标</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5.</w:t>
      </w:r>
      <w:r>
        <w:rPr>
          <w:rFonts w:hAnsi="宋体" w:cs="宋体"/>
          <w:kern w:val="0"/>
        </w:rPr>
        <w:t>交通运输、仓储和邮政业企业必用天然气、液化石油气、汽油、煤油、柴油、燃料油中之一</w:t>
      </w:r>
      <w:r>
        <w:rPr>
          <w:rFonts w:hint="eastAsia" w:hAnsi="宋体" w:cs="宋体"/>
          <w:kern w:val="0"/>
        </w:rPr>
        <w:t>。</w:t>
      </w:r>
    </w:p>
    <w:p>
      <w:pPr>
        <w:pStyle w:val="7"/>
        <w:spacing w:line="312" w:lineRule="auto"/>
      </w:pPr>
    </w:p>
    <w:p>
      <w:pPr>
        <w:spacing w:line="312"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能源生产、销售与库存（205-6表）</w:t>
      </w:r>
    </w:p>
    <w:p>
      <w:pPr>
        <w:pStyle w:val="10"/>
        <w:adjustRightInd w:val="0"/>
        <w:snapToGrid w:val="0"/>
        <w:spacing w:line="312" w:lineRule="auto"/>
        <w:ind w:firstLine="411" w:firstLineChars="196"/>
        <w:rPr>
          <w:rFonts w:hAnsi="宋体" w:cs="宋体"/>
          <w:kern w:val="0"/>
        </w:rPr>
      </w:pPr>
      <w:r>
        <w:rPr>
          <w:rFonts w:hint="eastAsia" w:hAnsi="宋体" w:cs="宋体"/>
          <w:kern w:val="0"/>
        </w:rPr>
        <w:t>1.产品库存、</w:t>
      </w:r>
      <w:r>
        <w:rPr>
          <w:rFonts w:hAnsi="宋体" w:cs="宋体"/>
          <w:kern w:val="0"/>
        </w:rPr>
        <w:t>产品产量不能填报负值</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2.</w:t>
      </w:r>
      <w:r>
        <w:rPr>
          <w:rFonts w:hAnsi="宋体" w:cs="宋体"/>
          <w:kern w:val="0"/>
        </w:rPr>
        <w:t>火力发电量的各指标值应等于各分项发电量指标值之和</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3.</w:t>
      </w:r>
      <w:r>
        <w:rPr>
          <w:rFonts w:hAnsi="宋体" w:cs="宋体"/>
          <w:kern w:val="0"/>
        </w:rPr>
        <w:t>本月</w:t>
      </w:r>
      <w:r>
        <w:rPr>
          <w:rFonts w:hint="eastAsia" w:hAnsi="宋体" w:cs="宋体"/>
          <w:kern w:val="0"/>
        </w:rPr>
        <w:t>生</w:t>
      </w:r>
      <w:r>
        <w:rPr>
          <w:rFonts w:hAnsi="宋体" w:cs="宋体"/>
          <w:kern w:val="0"/>
        </w:rPr>
        <w:t>产量应小于等于1-本月产量</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4.</w:t>
      </w:r>
      <w:r>
        <w:rPr>
          <w:rFonts w:hAnsi="宋体" w:cs="宋体"/>
          <w:kern w:val="0"/>
        </w:rPr>
        <w:t>1-本月销售量大于等于1-本月销往省外销售量</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5.</w:t>
      </w:r>
      <w:r>
        <w:rPr>
          <w:rFonts w:hAnsi="宋体" w:cs="宋体"/>
          <w:kern w:val="0"/>
        </w:rPr>
        <w:t>本年1-本月产品</w:t>
      </w:r>
      <w:r>
        <w:rPr>
          <w:rFonts w:hint="eastAsia" w:hAnsi="宋体" w:cs="宋体"/>
          <w:kern w:val="0"/>
        </w:rPr>
        <w:t>生</w:t>
      </w:r>
      <w:r>
        <w:rPr>
          <w:rFonts w:hAnsi="宋体" w:cs="宋体"/>
          <w:kern w:val="0"/>
        </w:rPr>
        <w:t>产量应等于本月产品</w:t>
      </w:r>
      <w:r>
        <w:rPr>
          <w:rFonts w:hint="eastAsia" w:hAnsi="宋体" w:cs="宋体"/>
          <w:kern w:val="0"/>
        </w:rPr>
        <w:t>生</w:t>
      </w:r>
      <w:r>
        <w:rPr>
          <w:rFonts w:hAnsi="宋体" w:cs="宋体"/>
          <w:kern w:val="0"/>
        </w:rPr>
        <w:t>产量加上上月1-本月产品</w:t>
      </w:r>
      <w:r>
        <w:rPr>
          <w:rFonts w:hint="eastAsia" w:hAnsi="宋体" w:cs="宋体"/>
          <w:kern w:val="0"/>
        </w:rPr>
        <w:t>生</w:t>
      </w:r>
      <w:r>
        <w:rPr>
          <w:rFonts w:hAnsi="宋体" w:cs="宋体"/>
          <w:kern w:val="0"/>
        </w:rPr>
        <w:t>产量</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6.1-本月产品生产量、1-本月销售量、</w:t>
      </w:r>
      <w:r>
        <w:rPr>
          <w:rFonts w:hAnsi="宋体" w:cs="宋体"/>
          <w:kern w:val="0"/>
        </w:rPr>
        <w:t>1-本月销往省外销售量</w:t>
      </w:r>
      <w:r>
        <w:rPr>
          <w:rFonts w:hint="eastAsia" w:hAnsi="宋体" w:cs="宋体"/>
          <w:kern w:val="0"/>
        </w:rPr>
        <w:t>、1-本月</w:t>
      </w:r>
      <w:r>
        <w:rPr>
          <w:rFonts w:hAnsi="宋体" w:cs="宋体"/>
          <w:kern w:val="0"/>
        </w:rPr>
        <w:t>企业自用及其他为累计指标，本月应大于等于上月</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7.</w:t>
      </w:r>
      <w:r>
        <w:rPr>
          <w:rFonts w:hAnsi="宋体" w:cs="宋体"/>
          <w:kern w:val="0"/>
        </w:rPr>
        <w:t>火力发电</w:t>
      </w:r>
      <w:r>
        <w:rPr>
          <w:rFonts w:hint="eastAsia" w:hAnsi="宋体" w:cs="宋体"/>
          <w:kern w:val="0"/>
        </w:rPr>
        <w:t>量</w:t>
      </w:r>
      <w:r>
        <w:rPr>
          <w:rFonts w:hAnsi="宋体" w:cs="宋体"/>
          <w:kern w:val="0"/>
        </w:rPr>
        <w:t>本年1-本月</w:t>
      </w:r>
      <w:r>
        <w:rPr>
          <w:rFonts w:hint="eastAsia" w:hAnsi="宋体" w:cs="宋体"/>
          <w:kern w:val="0"/>
        </w:rPr>
        <w:t>生</w:t>
      </w:r>
      <w:r>
        <w:rPr>
          <w:rFonts w:hAnsi="宋体" w:cs="宋体"/>
          <w:kern w:val="0"/>
        </w:rPr>
        <w:t>产量应与205-2表电力加工转换产出相等</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8.</w:t>
      </w:r>
      <w:r>
        <w:rPr>
          <w:rFonts w:hAnsi="宋体" w:cs="宋体"/>
          <w:kern w:val="0"/>
        </w:rPr>
        <w:t>205-2表余热余压回收后未投入加工转换，则205-6表余热余压供热量应等于205-2表余热余压回收利用量</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9.</w:t>
      </w:r>
      <w:r>
        <w:rPr>
          <w:rFonts w:hAnsi="宋体" w:cs="宋体"/>
          <w:kern w:val="0"/>
        </w:rPr>
        <w:t>氢气的本年1-本月生产量应大于等于205-2表填报的加工转换产出量+回收利用量</w:t>
      </w:r>
      <w:r>
        <w:rPr>
          <w:rFonts w:hint="eastAsia" w:hAnsi="宋体" w:cs="宋体"/>
          <w:kern w:val="0"/>
        </w:rPr>
        <w:t>。</w:t>
      </w:r>
    </w:p>
    <w:p>
      <w:pPr>
        <w:pStyle w:val="7"/>
        <w:spacing w:line="312" w:lineRule="auto"/>
        <w:ind w:firstLine="0" w:firstLineChars="0"/>
      </w:pPr>
    </w:p>
    <w:p>
      <w:pPr>
        <w:spacing w:line="312" w:lineRule="auto"/>
        <w:jc w:val="center"/>
        <w:rPr>
          <w:rFonts w:hint="default" w:ascii="Times New Roman" w:hAnsi="Times New Roman" w:eastAsia="黑体" w:cs="Times New Roman"/>
          <w:sz w:val="24"/>
        </w:rPr>
      </w:pPr>
      <w:r>
        <w:rPr>
          <w:rFonts w:hint="default" w:ascii="Times New Roman" w:hAnsi="Times New Roman" w:eastAsia="黑体" w:cs="Times New Roman"/>
          <w:sz w:val="24"/>
        </w:rPr>
        <w:t>重点能源商品经销情况（205-7表）</w:t>
      </w:r>
    </w:p>
    <w:p>
      <w:pPr>
        <w:pStyle w:val="10"/>
        <w:adjustRightInd w:val="0"/>
        <w:snapToGrid w:val="0"/>
        <w:spacing w:line="312" w:lineRule="auto"/>
        <w:ind w:firstLine="411" w:firstLineChars="196"/>
        <w:rPr>
          <w:rFonts w:hAnsi="宋体" w:cs="宋体"/>
          <w:kern w:val="0"/>
        </w:rPr>
      </w:pPr>
      <w:r>
        <w:rPr>
          <w:rFonts w:hint="eastAsia" w:hAnsi="宋体" w:cs="宋体"/>
          <w:kern w:val="0"/>
        </w:rPr>
        <w:t>1.</w:t>
      </w:r>
      <w:r>
        <w:rPr>
          <w:rFonts w:hAnsi="宋体" w:cs="宋体"/>
          <w:kern w:val="0"/>
        </w:rPr>
        <w:t>指标值不能为负值</w:t>
      </w:r>
      <w:r>
        <w:rPr>
          <w:rFonts w:hint="eastAsia" w:hAnsi="宋体" w:cs="宋体"/>
          <w:kern w:val="0"/>
        </w:rPr>
        <w:t>；</w:t>
      </w:r>
    </w:p>
    <w:p>
      <w:pPr>
        <w:pStyle w:val="10"/>
        <w:adjustRightInd w:val="0"/>
        <w:snapToGrid w:val="0"/>
        <w:spacing w:line="312" w:lineRule="auto"/>
        <w:ind w:firstLine="411" w:firstLineChars="196"/>
        <w:rPr>
          <w:rFonts w:hAnsi="宋体" w:cs="宋体"/>
          <w:kern w:val="0"/>
        </w:rPr>
      </w:pPr>
      <w:r>
        <w:rPr>
          <w:rFonts w:hint="eastAsia" w:hAnsi="宋体" w:cs="宋体"/>
          <w:kern w:val="0"/>
        </w:rPr>
        <w:t>2.1-本月</w:t>
      </w:r>
      <w:r>
        <w:rPr>
          <w:rFonts w:hAnsi="宋体" w:cs="宋体"/>
          <w:kern w:val="0"/>
        </w:rPr>
        <w:t>商品购进量</w:t>
      </w:r>
      <w:r>
        <w:rPr>
          <w:rFonts w:hint="eastAsia" w:hAnsi="宋体" w:cs="宋体"/>
          <w:kern w:val="0"/>
        </w:rPr>
        <w:t>、1-本月商品销售量为累计指标，本月应大于等于上月；</w:t>
      </w:r>
    </w:p>
    <w:p>
      <w:pPr>
        <w:pStyle w:val="10"/>
        <w:adjustRightInd w:val="0"/>
        <w:snapToGrid w:val="0"/>
        <w:spacing w:line="312" w:lineRule="auto"/>
        <w:ind w:firstLine="411" w:firstLineChars="196"/>
        <w:rPr>
          <w:rFonts w:hAnsi="宋体" w:cs="宋体"/>
          <w:kern w:val="0"/>
        </w:rPr>
      </w:pPr>
      <w:r>
        <w:rPr>
          <w:rFonts w:hint="eastAsia" w:hAnsi="宋体" w:cs="宋体"/>
          <w:kern w:val="0"/>
        </w:rPr>
        <w:t>3.1-本月</w:t>
      </w:r>
      <w:r>
        <w:rPr>
          <w:rFonts w:hAnsi="宋体" w:cs="宋体"/>
          <w:kern w:val="0"/>
        </w:rPr>
        <w:t>商品购进量</w:t>
      </w:r>
      <w:r>
        <w:rPr>
          <w:rFonts w:hint="eastAsia" w:hAnsi="宋体" w:cs="宋体"/>
          <w:kern w:val="0"/>
        </w:rPr>
        <w:t>、1-本月商品销售量</w:t>
      </w:r>
      <w:r>
        <w:rPr>
          <w:rFonts w:hAnsi="宋体" w:cs="宋体"/>
          <w:kern w:val="0"/>
        </w:rPr>
        <w:t>应大于等于</w:t>
      </w:r>
      <w:r>
        <w:rPr>
          <w:rFonts w:hint="eastAsia" w:hAnsi="宋体" w:cs="宋体"/>
          <w:kern w:val="0"/>
        </w:rPr>
        <w:t>其中</w:t>
      </w:r>
      <w:r>
        <w:rPr>
          <w:rFonts w:hAnsi="宋体" w:cs="宋体"/>
          <w:kern w:val="0"/>
        </w:rPr>
        <w:t>购自省外量</w:t>
      </w:r>
      <w:r>
        <w:rPr>
          <w:rFonts w:hint="eastAsia" w:hAnsi="宋体" w:cs="宋体"/>
          <w:kern w:val="0"/>
        </w:rPr>
        <w:t>和销往省外量；</w:t>
      </w:r>
    </w:p>
    <w:p>
      <w:pPr>
        <w:pStyle w:val="10"/>
        <w:adjustRightInd w:val="0"/>
        <w:snapToGrid w:val="0"/>
        <w:spacing w:line="312" w:lineRule="auto"/>
        <w:ind w:firstLine="411" w:firstLineChars="196"/>
        <w:rPr>
          <w:rFonts w:hAnsi="宋体" w:cs="宋体"/>
          <w:kern w:val="0"/>
        </w:rPr>
      </w:pPr>
      <w:r>
        <w:rPr>
          <w:rFonts w:hint="eastAsia" w:hAnsi="宋体" w:cs="宋体"/>
          <w:kern w:val="0"/>
        </w:rPr>
        <w:t>4.</w:t>
      </w:r>
      <w:r>
        <w:rPr>
          <w:rFonts w:hAnsi="宋体" w:cs="宋体"/>
          <w:kern w:val="0"/>
        </w:rPr>
        <w:t>年初库存</w:t>
      </w:r>
      <w:r>
        <w:rPr>
          <w:rFonts w:hint="eastAsia" w:hAnsi="宋体" w:cs="宋体"/>
          <w:kern w:val="0"/>
        </w:rPr>
        <w:t>+</w:t>
      </w:r>
      <w:r>
        <w:rPr>
          <w:rFonts w:hAnsi="宋体" w:cs="宋体"/>
          <w:kern w:val="0"/>
        </w:rPr>
        <w:t>1-本月购进量应等于期末库存+1-本月销售量+1-本月损耗量及其他</w:t>
      </w:r>
      <w:r>
        <w:rPr>
          <w:rFonts w:hint="eastAsia" w:hAnsi="宋体" w:cs="宋体"/>
          <w:kern w:val="0"/>
        </w:rPr>
        <w:t>；</w:t>
      </w:r>
    </w:p>
    <w:p>
      <w:pPr>
        <w:pStyle w:val="10"/>
        <w:adjustRightInd w:val="0"/>
        <w:snapToGrid w:val="0"/>
        <w:spacing w:line="312" w:lineRule="auto"/>
        <w:ind w:firstLine="411" w:firstLineChars="196"/>
        <w:rPr>
          <w:rFonts w:hint="eastAsia" w:hAnsi="宋体" w:cs="宋体"/>
          <w:kern w:val="0"/>
        </w:rPr>
      </w:pPr>
      <w:r>
        <w:rPr>
          <w:rFonts w:hint="eastAsia" w:hAnsi="宋体" w:cs="宋体"/>
          <w:kern w:val="0"/>
        </w:rPr>
        <w:t>5.</w:t>
      </w:r>
      <w:r>
        <w:rPr>
          <w:rFonts w:hAnsi="宋体" w:cs="宋体"/>
          <w:kern w:val="0"/>
        </w:rPr>
        <w:t>当月购进量</w:t>
      </w:r>
      <w:r>
        <w:rPr>
          <w:rFonts w:hint="eastAsia" w:hAnsi="宋体" w:cs="宋体"/>
          <w:kern w:val="0"/>
        </w:rPr>
        <w:t>-</w:t>
      </w:r>
      <w:r>
        <w:rPr>
          <w:rFonts w:hAnsi="宋体" w:cs="宋体"/>
          <w:kern w:val="0"/>
        </w:rPr>
        <w:t>当月销售量-当月损耗量及其他应等于本月与上月库存变动量</w:t>
      </w:r>
      <w:r>
        <w:rPr>
          <w:rFonts w:hint="eastAsia" w:hAnsi="宋体" w:cs="宋体"/>
          <w:kern w:val="0"/>
        </w:rPr>
        <w:t>。</w:t>
      </w:r>
    </w:p>
    <w:p>
      <w:pPr>
        <w:rPr>
          <w:rFonts w:hint="eastAsia" w:asciiTheme="minorEastAsia" w:hAnsiTheme="minorEastAsia" w:eastAsiaTheme="minorEastAsia" w:cstheme="minorEastAsia"/>
          <w:b/>
          <w:bCs w:val="0"/>
          <w:sz w:val="32"/>
          <w:szCs w:val="32"/>
          <w:lang w:eastAsia="zh-CN"/>
        </w:rPr>
      </w:pPr>
      <w:r>
        <w:rPr>
          <w:rFonts w:hint="eastAsia" w:asciiTheme="minorEastAsia" w:hAnsiTheme="minorEastAsia" w:eastAsiaTheme="minorEastAsia" w:cstheme="minorEastAsia"/>
          <w:b/>
          <w:bCs w:val="0"/>
          <w:sz w:val="32"/>
          <w:szCs w:val="32"/>
          <w:lang w:eastAsia="zh-CN"/>
        </w:rPr>
        <w:br w:type="page"/>
      </w:r>
    </w:p>
    <w:p>
      <w:pPr>
        <w:ind w:right="-38"/>
        <w:jc w:val="center"/>
        <w:rPr>
          <w:rFonts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lang w:eastAsia="zh-CN"/>
        </w:rPr>
        <w:t>（</w:t>
      </w:r>
      <w:r>
        <w:rPr>
          <w:rFonts w:hint="eastAsia" w:asciiTheme="minorEastAsia" w:hAnsiTheme="minorEastAsia" w:eastAsiaTheme="minorEastAsia" w:cstheme="minorEastAsia"/>
          <w:b/>
          <w:bCs w:val="0"/>
          <w:sz w:val="32"/>
          <w:szCs w:val="32"/>
        </w:rPr>
        <w:t>七</w:t>
      </w:r>
      <w:r>
        <w:rPr>
          <w:rFonts w:hint="eastAsia" w:asciiTheme="minorEastAsia" w:hAnsiTheme="minorEastAsia" w:eastAsiaTheme="minorEastAsia" w:cstheme="minorEastAsia"/>
          <w:b/>
          <w:bCs w:val="0"/>
          <w:sz w:val="32"/>
          <w:szCs w:val="32"/>
          <w:lang w:eastAsia="zh-CN"/>
        </w:rPr>
        <w:t>）</w:t>
      </w:r>
      <w:r>
        <w:rPr>
          <w:rFonts w:hint="eastAsia" w:asciiTheme="minorEastAsia" w:hAnsiTheme="minorEastAsia" w:eastAsiaTheme="minorEastAsia" w:cstheme="minorEastAsia"/>
          <w:b/>
          <w:bCs w:val="0"/>
          <w:sz w:val="32"/>
          <w:szCs w:val="32"/>
        </w:rPr>
        <w:t>常见问题解答</w:t>
      </w:r>
    </w:p>
    <w:p>
      <w:pPr>
        <w:spacing w:line="312" w:lineRule="auto"/>
        <w:jc w:val="center"/>
        <w:rPr>
          <w:rFonts w:ascii="宋体" w:hAnsi="宋体" w:cs="宋体"/>
          <w:szCs w:val="21"/>
        </w:rPr>
      </w:pPr>
    </w:p>
    <w:p>
      <w:pPr>
        <w:numPr>
          <w:ilvl w:val="0"/>
          <w:numId w:val="5"/>
        </w:numPr>
        <w:snapToGrid w:val="0"/>
        <w:spacing w:line="312" w:lineRule="auto"/>
        <w:ind w:firstLine="421" w:firstLineChars="200"/>
        <w:rPr>
          <w:rFonts w:ascii="宋体" w:hAnsi="宋体" w:cs="宋体"/>
          <w:b/>
          <w:szCs w:val="21"/>
        </w:rPr>
      </w:pPr>
      <w:r>
        <w:rPr>
          <w:rFonts w:hint="eastAsia" w:ascii="宋体" w:hAnsi="宋体" w:cs="宋体"/>
          <w:b/>
          <w:szCs w:val="21"/>
        </w:rPr>
        <w:t>原煤细项品种如何确定？</w:t>
      </w:r>
    </w:p>
    <w:p>
      <w:pPr>
        <w:pStyle w:val="10"/>
        <w:adjustRightInd w:val="0"/>
        <w:snapToGrid w:val="0"/>
        <w:spacing w:line="312" w:lineRule="auto"/>
        <w:ind w:firstLine="411" w:firstLineChars="196"/>
        <w:rPr>
          <w:rFonts w:hAnsi="宋体" w:cs="宋体"/>
          <w:kern w:val="0"/>
        </w:rPr>
      </w:pPr>
      <w:r>
        <w:rPr>
          <w:rFonts w:hint="eastAsia" w:hAnsi="宋体" w:cs="宋体"/>
          <w:kern w:val="0"/>
        </w:rPr>
        <w:t>原煤细项品种很多，部分比较难甄别，确定的方法主要有以下几种：</w:t>
      </w:r>
    </w:p>
    <w:p>
      <w:pPr>
        <w:pStyle w:val="10"/>
        <w:adjustRightInd w:val="0"/>
        <w:snapToGrid w:val="0"/>
        <w:spacing w:line="312" w:lineRule="auto"/>
        <w:ind w:firstLine="411" w:firstLineChars="196"/>
        <w:rPr>
          <w:rFonts w:hAnsi="宋体" w:cs="宋体"/>
          <w:kern w:val="0"/>
        </w:rPr>
      </w:pPr>
      <w:r>
        <w:rPr>
          <w:rFonts w:hint="eastAsia" w:hAnsi="宋体" w:cs="宋体"/>
          <w:kern w:val="0"/>
        </w:rPr>
        <w:t>①根据发票上煤的名称；</w:t>
      </w:r>
    </w:p>
    <w:p>
      <w:pPr>
        <w:pStyle w:val="10"/>
        <w:adjustRightInd w:val="0"/>
        <w:snapToGrid w:val="0"/>
        <w:spacing w:line="312" w:lineRule="auto"/>
        <w:ind w:firstLine="411" w:firstLineChars="196"/>
        <w:rPr>
          <w:rFonts w:hAnsi="宋体" w:cs="宋体"/>
          <w:kern w:val="0"/>
        </w:rPr>
      </w:pPr>
      <w:r>
        <w:rPr>
          <w:rFonts w:hint="eastAsia" w:hAnsi="宋体" w:cs="宋体"/>
          <w:kern w:val="0"/>
        </w:rPr>
        <w:t>②根据自测热值（发票中的热值）选择最接近的；</w:t>
      </w:r>
    </w:p>
    <w:p>
      <w:pPr>
        <w:pStyle w:val="10"/>
        <w:adjustRightInd w:val="0"/>
        <w:snapToGrid w:val="0"/>
        <w:spacing w:line="312" w:lineRule="auto"/>
        <w:ind w:firstLine="411" w:firstLineChars="196"/>
        <w:rPr>
          <w:rFonts w:hAnsi="宋体" w:cs="宋体"/>
          <w:kern w:val="0"/>
        </w:rPr>
      </w:pPr>
      <w:r>
        <w:rPr>
          <w:rFonts w:hint="eastAsia" w:hAnsi="宋体" w:cs="宋体"/>
          <w:kern w:val="0"/>
        </w:rPr>
        <w:t>③询问使用部门、采购部门或供应部门；</w:t>
      </w:r>
    </w:p>
    <w:p>
      <w:pPr>
        <w:pStyle w:val="10"/>
        <w:adjustRightInd w:val="0"/>
        <w:snapToGrid w:val="0"/>
        <w:spacing w:line="312" w:lineRule="auto"/>
        <w:ind w:firstLine="411" w:firstLineChars="196"/>
        <w:rPr>
          <w:rFonts w:hAnsi="宋体" w:cs="宋体"/>
          <w:kern w:val="0"/>
        </w:rPr>
      </w:pPr>
      <w:r>
        <w:rPr>
          <w:rFonts w:hint="eastAsia" w:hAnsi="宋体" w:cs="宋体"/>
          <w:kern w:val="0"/>
        </w:rPr>
        <w:t>④作为锅炉燃料使用的大部分是烟煤。</w:t>
      </w:r>
    </w:p>
    <w:p>
      <w:pPr>
        <w:numPr>
          <w:ilvl w:val="0"/>
          <w:numId w:val="5"/>
        </w:numPr>
        <w:snapToGrid w:val="0"/>
        <w:spacing w:line="312" w:lineRule="auto"/>
        <w:ind w:firstLine="421" w:firstLineChars="200"/>
        <w:rPr>
          <w:rFonts w:ascii="宋体" w:hAnsi="宋体" w:cs="宋体"/>
          <w:b/>
          <w:szCs w:val="21"/>
        </w:rPr>
      </w:pPr>
      <w:r>
        <w:rPr>
          <w:rFonts w:hint="eastAsia" w:ascii="宋体" w:hAnsi="宋体" w:cs="宋体"/>
          <w:b/>
          <w:szCs w:val="21"/>
        </w:rPr>
        <w:t>如何计算原煤折标系数？</w:t>
      </w:r>
    </w:p>
    <w:p>
      <w:pPr>
        <w:pStyle w:val="10"/>
        <w:adjustRightInd w:val="0"/>
        <w:snapToGrid w:val="0"/>
        <w:spacing w:line="312" w:lineRule="auto"/>
        <w:ind w:firstLine="411" w:firstLineChars="196"/>
        <w:rPr>
          <w:rFonts w:hAnsi="宋体" w:cs="宋体"/>
          <w:kern w:val="0"/>
        </w:rPr>
      </w:pPr>
      <w:r>
        <w:rPr>
          <w:rFonts w:hint="eastAsia" w:hAnsi="宋体" w:cs="宋体"/>
          <w:kern w:val="0"/>
        </w:rPr>
        <w:fldChar w:fldCharType="begin"/>
      </w:r>
      <w:r>
        <w:rPr>
          <w:rFonts w:hint="eastAsia" w:hAnsi="宋体" w:cs="宋体"/>
          <w:kern w:val="0"/>
        </w:rPr>
        <w:instrText xml:space="preserve"> = 1 \* GB3 </w:instrText>
      </w:r>
      <w:r>
        <w:rPr>
          <w:rFonts w:hint="eastAsia" w:hAnsi="宋体" w:cs="宋体"/>
          <w:kern w:val="0"/>
        </w:rPr>
        <w:fldChar w:fldCharType="separate"/>
      </w:r>
      <w:r>
        <w:rPr>
          <w:rFonts w:hint="eastAsia" w:hAnsi="宋体" w:cs="宋体"/>
          <w:kern w:val="0"/>
        </w:rPr>
        <w:t>①</w:t>
      </w:r>
      <w:r>
        <w:rPr>
          <w:rFonts w:hint="eastAsia" w:hAnsi="宋体" w:cs="宋体"/>
          <w:kern w:val="0"/>
        </w:rPr>
        <w:fldChar w:fldCharType="end"/>
      </w:r>
      <w:r>
        <w:rPr>
          <w:rFonts w:hint="eastAsia" w:hAnsi="宋体" w:cs="宋体"/>
          <w:kern w:val="0"/>
        </w:rPr>
        <w:t>无烟煤、炼焦烟煤、一般烟煤、褐煤的折标系数需采用累计的工业生产消费量和所采用的折标系</w:t>
      </w:r>
      <w:r>
        <w:rPr>
          <w:rFonts w:hint="eastAsia" w:hAnsi="宋体" w:cs="宋体"/>
          <w:spacing w:val="-6"/>
          <w:kern w:val="0"/>
        </w:rPr>
        <w:t>数加权平均法计算，不能使用当月值填报。原煤实测热值按照检测报告中的收到基（湿基）低位热值计算。</w:t>
      </w:r>
    </w:p>
    <w:p>
      <w:pPr>
        <w:pStyle w:val="10"/>
        <w:adjustRightInd w:val="0"/>
        <w:snapToGrid w:val="0"/>
        <w:spacing w:line="312" w:lineRule="auto"/>
        <w:ind w:firstLine="411" w:firstLineChars="196"/>
        <w:rPr>
          <w:rFonts w:hAnsi="宋体" w:cs="宋体"/>
          <w:kern w:val="0"/>
        </w:rPr>
      </w:pPr>
      <w:r>
        <w:rPr>
          <w:rFonts w:hint="eastAsia" w:hAnsi="宋体" w:cs="宋体"/>
          <w:kern w:val="0"/>
        </w:rPr>
        <w:fldChar w:fldCharType="begin"/>
      </w:r>
      <w:r>
        <w:rPr>
          <w:rFonts w:hint="eastAsia" w:hAnsi="宋体" w:cs="宋体"/>
          <w:kern w:val="0"/>
        </w:rPr>
        <w:instrText xml:space="preserve"> = 2 \* GB3 </w:instrText>
      </w:r>
      <w:r>
        <w:rPr>
          <w:rFonts w:hint="eastAsia" w:hAnsi="宋体" w:cs="宋体"/>
          <w:kern w:val="0"/>
        </w:rPr>
        <w:fldChar w:fldCharType="separate"/>
      </w:r>
      <w:r>
        <w:rPr>
          <w:rFonts w:hint="eastAsia" w:hAnsi="宋体" w:cs="宋体"/>
          <w:kern w:val="0"/>
        </w:rPr>
        <w:t>②</w:t>
      </w:r>
      <w:r>
        <w:rPr>
          <w:rFonts w:hint="eastAsia" w:hAnsi="宋体" w:cs="宋体"/>
          <w:kern w:val="0"/>
        </w:rPr>
        <w:fldChar w:fldCharType="end"/>
      </w:r>
      <w:r>
        <w:rPr>
          <w:rFonts w:hint="eastAsia" w:hAnsi="宋体" w:cs="宋体"/>
          <w:kern w:val="0"/>
        </w:rPr>
        <w:t>原煤合计项的折标系数根据无烟煤、炼焦烟煤、一般烟煤和褐煤填报的热值，使用对工业生产消费量加权。</w:t>
      </w:r>
    </w:p>
    <w:p>
      <w:pPr>
        <w:pStyle w:val="10"/>
        <w:adjustRightInd w:val="0"/>
        <w:snapToGrid w:val="0"/>
        <w:spacing w:line="312" w:lineRule="auto"/>
        <w:ind w:firstLine="411" w:firstLineChars="196"/>
        <w:rPr>
          <w:rFonts w:hAnsi="宋体" w:cs="宋体"/>
          <w:kern w:val="0"/>
        </w:rPr>
      </w:pPr>
      <w:r>
        <w:rPr>
          <w:rFonts w:hint="eastAsia" w:hAnsi="宋体" w:cs="宋体"/>
          <w:kern w:val="0"/>
        </w:rPr>
        <w:fldChar w:fldCharType="begin"/>
      </w:r>
      <w:r>
        <w:rPr>
          <w:rFonts w:hint="eastAsia" w:hAnsi="宋体" w:cs="宋体"/>
          <w:kern w:val="0"/>
        </w:rPr>
        <w:instrText xml:space="preserve"> = 3 \* GB3 </w:instrText>
      </w:r>
      <w:r>
        <w:rPr>
          <w:rFonts w:hint="eastAsia" w:hAnsi="宋体" w:cs="宋体"/>
          <w:kern w:val="0"/>
        </w:rPr>
        <w:fldChar w:fldCharType="separate"/>
      </w:r>
      <w:r>
        <w:rPr>
          <w:rFonts w:hint="eastAsia" w:hAnsi="宋体" w:cs="宋体"/>
          <w:kern w:val="0"/>
        </w:rPr>
        <w:t>③</w:t>
      </w:r>
      <w:r>
        <w:rPr>
          <w:rFonts w:hint="eastAsia" w:hAnsi="宋体" w:cs="宋体"/>
          <w:kern w:val="0"/>
        </w:rPr>
        <w:fldChar w:fldCharType="end"/>
      </w:r>
      <w:r>
        <w:rPr>
          <w:rFonts w:hint="eastAsia" w:hAnsi="宋体" w:cs="宋体"/>
          <w:kern w:val="0"/>
        </w:rPr>
        <w:t>原煤折标系数原则上按照规定均需填报实测折标系数。年综合能源消费量超过1万吨标准煤的企业，所填能源品种的折标系数均需采用实测值平均的方法计算合计项的折标系数。（2021年12月国家统计局能源司《关于进一步做好能源消费统计有关工作的通知》规定）</w:t>
      </w:r>
    </w:p>
    <w:p>
      <w:pPr>
        <w:numPr>
          <w:ilvl w:val="0"/>
          <w:numId w:val="5"/>
        </w:numPr>
        <w:snapToGrid w:val="0"/>
        <w:spacing w:line="312" w:lineRule="auto"/>
        <w:ind w:firstLine="421" w:firstLineChars="200"/>
        <w:rPr>
          <w:rFonts w:ascii="宋体" w:hAnsi="宋体" w:cs="宋体"/>
          <w:b/>
          <w:szCs w:val="21"/>
        </w:rPr>
      </w:pPr>
      <w:r>
        <w:rPr>
          <w:rFonts w:hint="eastAsia" w:ascii="宋体" w:hAnsi="宋体" w:cs="宋体"/>
          <w:b/>
          <w:szCs w:val="21"/>
        </w:rPr>
        <w:t>工业企业原煤运输损失、厂内损失以及库存盘盈盘亏怎么填报？</w:t>
      </w:r>
    </w:p>
    <w:p>
      <w:pPr>
        <w:pStyle w:val="10"/>
        <w:adjustRightInd w:val="0"/>
        <w:snapToGrid w:val="0"/>
        <w:spacing w:line="312" w:lineRule="auto"/>
        <w:ind w:firstLine="411" w:firstLineChars="196"/>
        <w:rPr>
          <w:rFonts w:hAnsi="宋体" w:cs="宋体"/>
          <w:kern w:val="0"/>
        </w:rPr>
      </w:pPr>
      <w:r>
        <w:rPr>
          <w:rFonts w:hint="eastAsia" w:hAnsi="宋体" w:cs="宋体"/>
          <w:kern w:val="0"/>
        </w:rPr>
        <w:fldChar w:fldCharType="begin"/>
      </w:r>
      <w:r>
        <w:rPr>
          <w:rFonts w:hint="eastAsia" w:hAnsi="宋体" w:cs="宋体"/>
          <w:kern w:val="0"/>
        </w:rPr>
        <w:instrText xml:space="preserve"> = 1 \* GB3 </w:instrText>
      </w:r>
      <w:r>
        <w:rPr>
          <w:rFonts w:hint="eastAsia" w:hAnsi="宋体" w:cs="宋体"/>
          <w:kern w:val="0"/>
        </w:rPr>
        <w:fldChar w:fldCharType="separate"/>
      </w:r>
      <w:r>
        <w:rPr>
          <w:rFonts w:hint="eastAsia" w:hAnsi="宋体" w:cs="宋体"/>
          <w:kern w:val="0"/>
        </w:rPr>
        <w:t>①</w:t>
      </w:r>
      <w:r>
        <w:rPr>
          <w:rFonts w:hint="eastAsia" w:hAnsi="宋体" w:cs="宋体"/>
          <w:kern w:val="0"/>
        </w:rPr>
        <w:fldChar w:fldCharType="end"/>
      </w:r>
      <w:r>
        <w:rPr>
          <w:rFonts w:hint="eastAsia" w:hAnsi="宋体" w:cs="宋体"/>
          <w:kern w:val="0"/>
        </w:rPr>
        <w:t>原煤在厂外的运输损失不应计入能源消费。</w:t>
      </w:r>
    </w:p>
    <w:p>
      <w:pPr>
        <w:pStyle w:val="10"/>
        <w:adjustRightInd w:val="0"/>
        <w:snapToGrid w:val="0"/>
        <w:spacing w:line="312" w:lineRule="auto"/>
        <w:ind w:firstLine="411" w:firstLineChars="196"/>
        <w:rPr>
          <w:rFonts w:hAnsi="宋体" w:cs="宋体"/>
          <w:kern w:val="0"/>
        </w:rPr>
      </w:pPr>
      <w:r>
        <w:rPr>
          <w:rFonts w:hint="eastAsia" w:hAnsi="宋体" w:cs="宋体"/>
          <w:kern w:val="0"/>
        </w:rPr>
        <w:fldChar w:fldCharType="begin"/>
      </w:r>
      <w:r>
        <w:rPr>
          <w:rFonts w:hint="eastAsia" w:hAnsi="宋体" w:cs="宋体"/>
          <w:kern w:val="0"/>
        </w:rPr>
        <w:instrText xml:space="preserve"> = 2 \* GB3 </w:instrText>
      </w:r>
      <w:r>
        <w:rPr>
          <w:rFonts w:hint="eastAsia" w:hAnsi="宋体" w:cs="宋体"/>
          <w:kern w:val="0"/>
        </w:rPr>
        <w:fldChar w:fldCharType="separate"/>
      </w:r>
      <w:r>
        <w:rPr>
          <w:rFonts w:hint="eastAsia" w:hAnsi="宋体" w:cs="宋体"/>
          <w:kern w:val="0"/>
        </w:rPr>
        <w:t>②</w:t>
      </w:r>
      <w:r>
        <w:rPr>
          <w:rFonts w:hint="eastAsia" w:hAnsi="宋体" w:cs="宋体"/>
          <w:kern w:val="0"/>
        </w:rPr>
        <w:fldChar w:fldCharType="end"/>
      </w:r>
      <w:r>
        <w:rPr>
          <w:rFonts w:hint="eastAsia" w:hAnsi="宋体" w:cs="宋体"/>
          <w:kern w:val="0"/>
        </w:rPr>
        <w:t>原煤在厂内的损失应计入能源消费。</w:t>
      </w:r>
    </w:p>
    <w:p>
      <w:pPr>
        <w:pStyle w:val="10"/>
        <w:adjustRightInd w:val="0"/>
        <w:snapToGrid w:val="0"/>
        <w:spacing w:line="312" w:lineRule="auto"/>
        <w:ind w:firstLine="411" w:firstLineChars="196"/>
        <w:rPr>
          <w:rFonts w:hAnsi="宋体" w:cs="宋体"/>
          <w:color w:val="auto"/>
          <w:kern w:val="0"/>
        </w:rPr>
      </w:pPr>
      <w:r>
        <w:rPr>
          <w:rFonts w:hint="eastAsia" w:hAnsi="宋体" w:cs="宋体"/>
          <w:kern w:val="0"/>
        </w:rPr>
        <w:fldChar w:fldCharType="begin"/>
      </w:r>
      <w:r>
        <w:rPr>
          <w:rFonts w:hint="eastAsia" w:hAnsi="宋体" w:cs="宋体"/>
          <w:kern w:val="0"/>
        </w:rPr>
        <w:instrText xml:space="preserve"> = 3 \* GB3 </w:instrText>
      </w:r>
      <w:r>
        <w:rPr>
          <w:rFonts w:hint="eastAsia" w:hAnsi="宋体" w:cs="宋体"/>
          <w:kern w:val="0"/>
        </w:rPr>
        <w:fldChar w:fldCharType="separate"/>
      </w:r>
      <w:r>
        <w:rPr>
          <w:rFonts w:hint="eastAsia" w:hAnsi="宋体" w:cs="宋体"/>
          <w:kern w:val="0"/>
        </w:rPr>
        <w:t>③</w:t>
      </w:r>
      <w:r>
        <w:rPr>
          <w:rFonts w:hint="eastAsia" w:hAnsi="宋体" w:cs="宋体"/>
          <w:kern w:val="0"/>
        </w:rPr>
        <w:fldChar w:fldCharType="end"/>
      </w:r>
      <w:r>
        <w:rPr>
          <w:rFonts w:hint="eastAsia" w:hAnsi="宋体" w:cs="宋体"/>
          <w:kern w:val="0"/>
        </w:rPr>
        <w:t>库存盘点时，</w:t>
      </w:r>
      <w:r>
        <w:rPr>
          <w:rFonts w:hint="eastAsia" w:hAnsi="宋体" w:cs="宋体"/>
          <w:color w:val="auto"/>
          <w:kern w:val="0"/>
        </w:rPr>
        <w:t>按照实际数量原则，应以盘点数量为准来调整</w:t>
      </w:r>
      <w:r>
        <w:rPr>
          <w:rFonts w:hint="eastAsia" w:hAnsi="宋体" w:cs="宋体"/>
          <w:color w:val="auto"/>
          <w:kern w:val="0"/>
          <w:lang w:eastAsia="zh-CN"/>
        </w:rPr>
        <w:t>账面</w:t>
      </w:r>
      <w:r>
        <w:rPr>
          <w:rFonts w:hint="eastAsia" w:hAnsi="宋体" w:cs="宋体"/>
          <w:color w:val="auto"/>
          <w:kern w:val="0"/>
        </w:rPr>
        <w:t>数字，差额作盘盈或盘亏处理。库存的盘盈盘亏均不计入能源消费。</w:t>
      </w:r>
    </w:p>
    <w:p>
      <w:pPr>
        <w:numPr>
          <w:ilvl w:val="0"/>
          <w:numId w:val="5"/>
        </w:numPr>
        <w:snapToGrid w:val="0"/>
        <w:spacing w:line="312" w:lineRule="auto"/>
        <w:ind w:firstLine="421" w:firstLineChars="200"/>
        <w:rPr>
          <w:rFonts w:ascii="宋体" w:hAnsi="宋体" w:cs="宋体"/>
          <w:b/>
          <w:color w:val="auto"/>
          <w:szCs w:val="21"/>
        </w:rPr>
      </w:pPr>
      <w:r>
        <w:rPr>
          <w:rFonts w:hint="eastAsia" w:ascii="宋体" w:hAnsi="宋体" w:cs="宋体"/>
          <w:b/>
          <w:color w:val="auto"/>
          <w:szCs w:val="21"/>
        </w:rPr>
        <w:t>如何界定企业工业生产消费和非工业生产消费？</w:t>
      </w:r>
    </w:p>
    <w:p>
      <w:pPr>
        <w:pStyle w:val="10"/>
        <w:adjustRightInd w:val="0"/>
        <w:snapToGrid w:val="0"/>
        <w:spacing w:line="360" w:lineRule="auto"/>
        <w:ind w:firstLine="411" w:firstLineChars="196"/>
        <w:rPr>
          <w:rFonts w:hint="eastAsia" w:hAnsi="宋体" w:cs="宋体"/>
          <w:color w:val="auto"/>
          <w:kern w:val="0"/>
          <w:lang w:val="en-US" w:eastAsia="zh-CN"/>
        </w:rPr>
      </w:pPr>
      <w:r>
        <w:rPr>
          <w:rFonts w:hint="eastAsia" w:hAnsi="宋体" w:cs="宋体"/>
          <w:color w:val="auto"/>
          <w:kern w:val="0"/>
          <w:lang w:val="en-US" w:eastAsia="zh-CN"/>
        </w:rPr>
        <w:t>以下属于工业生产能源消费：企业所属车辆将工业生产所必需的原材料或半成品运输到厂区、在不同厂区之间进行物料调拨、将产成品运输给收货方等工业生产活动所消费的油品、电力等；辅助工业生产的能源消费，包括企业机关（厂部、企业管理办公楼）消费的能源、天然气输配装置消费的能源等。</w:t>
      </w:r>
    </w:p>
    <w:p>
      <w:pPr>
        <w:pStyle w:val="10"/>
        <w:adjustRightInd w:val="0"/>
        <w:snapToGrid w:val="0"/>
        <w:spacing w:line="360" w:lineRule="auto"/>
        <w:ind w:firstLine="411" w:firstLineChars="196"/>
        <w:rPr>
          <w:rFonts w:hint="eastAsia" w:hAnsi="宋体" w:cs="宋体"/>
          <w:color w:val="auto"/>
          <w:kern w:val="0"/>
          <w:lang w:val="en-US" w:eastAsia="zh-CN"/>
        </w:rPr>
      </w:pPr>
      <w:r>
        <w:rPr>
          <w:rFonts w:hint="eastAsia" w:hAnsi="宋体" w:cs="宋体"/>
          <w:color w:val="auto"/>
          <w:kern w:val="0"/>
          <w:lang w:val="en-US" w:eastAsia="zh-CN"/>
        </w:rPr>
        <w:t>以下属于非工业生产能源消费：企业所属车辆用于上下班通勤、出差或调研等非工业生产活动所消费的油品、电力等；企业所属食堂、宿舍、医院、学校等非工业生产单位用能；企业非生产区的劳动保护用能。</w:t>
      </w:r>
    </w:p>
    <w:p>
      <w:pPr>
        <w:pStyle w:val="10"/>
        <w:adjustRightInd w:val="0"/>
        <w:snapToGrid w:val="0"/>
        <w:spacing w:line="360" w:lineRule="auto"/>
        <w:ind w:firstLine="411" w:firstLineChars="196"/>
        <w:rPr>
          <w:rFonts w:hint="eastAsia" w:hAnsi="宋体" w:cs="宋体"/>
          <w:color w:val="auto"/>
          <w:kern w:val="0"/>
          <w:lang w:val="en-US" w:eastAsia="zh-CN"/>
        </w:rPr>
      </w:pPr>
      <w:r>
        <w:rPr>
          <w:rFonts w:hint="eastAsia" w:hAnsi="宋体" w:cs="宋体"/>
          <w:color w:val="auto"/>
          <w:kern w:val="0"/>
          <w:lang w:val="en-US" w:eastAsia="zh-CN"/>
        </w:rPr>
        <w:t>对于非工业生产能源消费，如果没有准确计量、数据不可核查，则填入工业生产能源消费量中；待后续有准确计量、数据可核查后，可不填报。</w:t>
      </w:r>
    </w:p>
    <w:p>
      <w:pPr>
        <w:numPr>
          <w:ilvl w:val="0"/>
          <w:numId w:val="5"/>
        </w:numPr>
        <w:snapToGrid w:val="0"/>
        <w:spacing w:line="312" w:lineRule="auto"/>
        <w:ind w:firstLine="421" w:firstLineChars="200"/>
        <w:rPr>
          <w:rFonts w:ascii="宋体" w:hAnsi="宋体" w:cs="宋体"/>
          <w:b/>
          <w:szCs w:val="21"/>
        </w:rPr>
      </w:pPr>
      <w:r>
        <w:rPr>
          <w:rFonts w:hint="eastAsia" w:ascii="宋体" w:hAnsi="宋体" w:cs="宋体"/>
          <w:b/>
          <w:szCs w:val="21"/>
        </w:rPr>
        <w:t>企业生产氢气，如何填报加工转换和回收利用表？</w:t>
      </w:r>
    </w:p>
    <w:p>
      <w:pPr>
        <w:pStyle w:val="10"/>
        <w:adjustRightInd w:val="0"/>
        <w:snapToGrid w:val="0"/>
        <w:spacing w:line="312" w:lineRule="auto"/>
        <w:ind w:firstLine="411" w:firstLineChars="196"/>
        <w:rPr>
          <w:rFonts w:hAnsi="宋体" w:cs="宋体"/>
          <w:kern w:val="0"/>
        </w:rPr>
      </w:pPr>
      <w:r>
        <w:rPr>
          <w:rFonts w:hint="eastAsia" w:hAnsi="宋体" w:cs="宋体"/>
          <w:kern w:val="0"/>
        </w:rPr>
        <w:t>氢气的来源比较复杂，应区别填报。</w:t>
      </w:r>
    </w:p>
    <w:p>
      <w:pPr>
        <w:pStyle w:val="10"/>
        <w:adjustRightInd w:val="0"/>
        <w:snapToGrid w:val="0"/>
        <w:spacing w:line="312" w:lineRule="auto"/>
        <w:ind w:firstLine="411" w:firstLineChars="196"/>
        <w:rPr>
          <w:rFonts w:hAnsi="宋体" w:cs="宋体"/>
          <w:kern w:val="0"/>
        </w:rPr>
      </w:pPr>
      <w:r>
        <w:rPr>
          <w:rFonts w:hint="eastAsia" w:hAnsi="宋体" w:cs="宋体"/>
          <w:kern w:val="0"/>
        </w:rPr>
        <w:fldChar w:fldCharType="begin"/>
      </w:r>
      <w:r>
        <w:rPr>
          <w:rFonts w:hint="eastAsia" w:hAnsi="宋体" w:cs="宋体"/>
          <w:kern w:val="0"/>
        </w:rPr>
        <w:instrText xml:space="preserve"> = 1 \* GB3 </w:instrText>
      </w:r>
      <w:r>
        <w:rPr>
          <w:rFonts w:hint="eastAsia" w:hAnsi="宋体" w:cs="宋体"/>
          <w:kern w:val="0"/>
        </w:rPr>
        <w:fldChar w:fldCharType="separate"/>
      </w:r>
      <w:r>
        <w:rPr>
          <w:rFonts w:hint="eastAsia" w:hAnsi="宋体" w:cs="宋体"/>
          <w:kern w:val="0"/>
        </w:rPr>
        <w:t>①</w:t>
      </w:r>
      <w:r>
        <w:rPr>
          <w:rFonts w:hint="eastAsia" w:hAnsi="宋体" w:cs="宋体"/>
          <w:kern w:val="0"/>
        </w:rPr>
        <w:fldChar w:fldCharType="end"/>
      </w:r>
      <w:r>
        <w:rPr>
          <w:rFonts w:hint="eastAsia" w:hAnsi="宋体" w:cs="宋体"/>
          <w:kern w:val="0"/>
        </w:rPr>
        <w:t>天然气制氢</w:t>
      </w:r>
    </w:p>
    <w:p>
      <w:pPr>
        <w:pStyle w:val="10"/>
        <w:adjustRightInd w:val="0"/>
        <w:snapToGrid w:val="0"/>
        <w:spacing w:line="312" w:lineRule="auto"/>
        <w:ind w:firstLine="411" w:firstLineChars="196"/>
        <w:rPr>
          <w:rFonts w:hAnsi="宋体" w:cs="宋体"/>
          <w:kern w:val="0"/>
        </w:rPr>
      </w:pPr>
      <w:r>
        <w:rPr>
          <w:rFonts w:hint="eastAsia" w:hAnsi="宋体" w:cs="宋体"/>
          <w:kern w:val="0"/>
        </w:rPr>
        <w:t>填报205-2表制气过程，投入天然气，产出氢气。</w:t>
      </w:r>
    </w:p>
    <w:p>
      <w:pPr>
        <w:pStyle w:val="10"/>
        <w:adjustRightInd w:val="0"/>
        <w:snapToGrid w:val="0"/>
        <w:spacing w:line="312" w:lineRule="auto"/>
        <w:ind w:firstLine="411" w:firstLineChars="196"/>
        <w:rPr>
          <w:rFonts w:hAnsi="宋体" w:cs="宋体"/>
          <w:kern w:val="0"/>
        </w:rPr>
      </w:pPr>
      <w:r>
        <w:rPr>
          <w:rFonts w:hint="eastAsia" w:hAnsi="宋体" w:cs="宋体"/>
          <w:kern w:val="0"/>
        </w:rPr>
        <w:t>②煤制氢</w:t>
      </w:r>
    </w:p>
    <w:p>
      <w:pPr>
        <w:pStyle w:val="10"/>
        <w:adjustRightInd w:val="0"/>
        <w:snapToGrid w:val="0"/>
        <w:spacing w:line="312" w:lineRule="auto"/>
        <w:ind w:firstLine="411" w:firstLineChars="196"/>
        <w:rPr>
          <w:rFonts w:hAnsi="宋体" w:cs="宋体"/>
          <w:kern w:val="0"/>
        </w:rPr>
      </w:pPr>
      <w:r>
        <w:rPr>
          <w:rFonts w:hint="eastAsia" w:hAnsi="宋体" w:cs="宋体"/>
          <w:kern w:val="0"/>
        </w:rPr>
        <w:t>填报205-2表制气过程，投入原煤，产出氢气。</w:t>
      </w:r>
    </w:p>
    <w:p>
      <w:pPr>
        <w:pStyle w:val="10"/>
        <w:adjustRightInd w:val="0"/>
        <w:snapToGrid w:val="0"/>
        <w:spacing w:line="312" w:lineRule="auto"/>
        <w:ind w:firstLine="411" w:firstLineChars="196"/>
        <w:rPr>
          <w:rFonts w:hAnsi="宋体" w:cs="宋体"/>
          <w:kern w:val="0"/>
        </w:rPr>
      </w:pPr>
      <w:r>
        <w:rPr>
          <w:rFonts w:hint="eastAsia" w:hAnsi="宋体" w:cs="宋体"/>
          <w:kern w:val="0"/>
        </w:rPr>
        <w:t>③混合气体分离制氢</w:t>
      </w:r>
    </w:p>
    <w:p>
      <w:pPr>
        <w:pStyle w:val="10"/>
        <w:adjustRightInd w:val="0"/>
        <w:snapToGrid w:val="0"/>
        <w:spacing w:line="312" w:lineRule="auto"/>
        <w:ind w:firstLine="411" w:firstLineChars="196"/>
        <w:rPr>
          <w:rFonts w:hAnsi="宋体" w:cs="宋体"/>
          <w:kern w:val="0"/>
        </w:rPr>
      </w:pPr>
      <w:r>
        <w:rPr>
          <w:rFonts w:hint="eastAsia" w:hAnsi="宋体" w:cs="宋体"/>
          <w:kern w:val="0"/>
        </w:rPr>
        <w:t>根据气体沸点不同利用混合气提纯生产氢气属于能源加工。填报205-2表制气过程，投入焦炉煤气、其他煤气等，产出氢气。</w:t>
      </w:r>
    </w:p>
    <w:p>
      <w:pPr>
        <w:pStyle w:val="10"/>
        <w:adjustRightInd w:val="0"/>
        <w:snapToGrid w:val="0"/>
        <w:spacing w:line="312" w:lineRule="auto"/>
        <w:ind w:firstLine="411" w:firstLineChars="196"/>
        <w:rPr>
          <w:rFonts w:hAnsi="宋体" w:cs="宋体"/>
          <w:kern w:val="0"/>
        </w:rPr>
      </w:pPr>
      <w:r>
        <w:rPr>
          <w:rFonts w:hint="eastAsia" w:hAnsi="宋体" w:cs="宋体"/>
          <w:kern w:val="0"/>
        </w:rPr>
        <w:fldChar w:fldCharType="begin"/>
      </w:r>
      <w:r>
        <w:rPr>
          <w:rFonts w:hint="eastAsia" w:hAnsi="宋体" w:cs="宋体"/>
          <w:kern w:val="0"/>
        </w:rPr>
        <w:instrText xml:space="preserve"> = 4 \* GB3 </w:instrText>
      </w:r>
      <w:r>
        <w:rPr>
          <w:rFonts w:hint="eastAsia" w:hAnsi="宋体" w:cs="宋体"/>
          <w:kern w:val="0"/>
        </w:rPr>
        <w:fldChar w:fldCharType="separate"/>
      </w:r>
      <w:r>
        <w:rPr>
          <w:rFonts w:hint="eastAsia" w:hAnsi="宋体" w:cs="宋体"/>
          <w:kern w:val="0"/>
        </w:rPr>
        <w:t>④</w:t>
      </w:r>
      <w:r>
        <w:rPr>
          <w:rFonts w:hint="eastAsia" w:hAnsi="宋体" w:cs="宋体"/>
          <w:kern w:val="0"/>
        </w:rPr>
        <w:fldChar w:fldCharType="end"/>
      </w:r>
      <w:r>
        <w:rPr>
          <w:rFonts w:hint="eastAsia" w:hAnsi="宋体" w:cs="宋体"/>
          <w:kern w:val="0"/>
        </w:rPr>
        <w:t>电解水生产氢气</w:t>
      </w:r>
    </w:p>
    <w:p>
      <w:pPr>
        <w:pStyle w:val="10"/>
        <w:adjustRightInd w:val="0"/>
        <w:snapToGrid w:val="0"/>
        <w:spacing w:line="312" w:lineRule="auto"/>
        <w:ind w:firstLine="411" w:firstLineChars="196"/>
        <w:rPr>
          <w:rFonts w:hAnsi="宋体" w:cs="宋体"/>
          <w:kern w:val="0"/>
        </w:rPr>
      </w:pPr>
      <w:r>
        <w:rPr>
          <w:rFonts w:hint="eastAsia" w:hAnsi="宋体" w:cs="宋体"/>
          <w:kern w:val="0"/>
        </w:rPr>
        <w:t>填报205-1表电力的工业生产消费量和205-2表氢气回收利用。</w:t>
      </w:r>
    </w:p>
    <w:p>
      <w:pPr>
        <w:pStyle w:val="10"/>
        <w:adjustRightInd w:val="0"/>
        <w:snapToGrid w:val="0"/>
        <w:spacing w:line="312" w:lineRule="auto"/>
        <w:ind w:firstLine="411" w:firstLineChars="196"/>
        <w:rPr>
          <w:rFonts w:hAnsi="宋体" w:cs="宋体"/>
          <w:kern w:val="0"/>
        </w:rPr>
      </w:pPr>
      <w:r>
        <w:rPr>
          <w:rFonts w:hint="eastAsia" w:hAnsi="宋体" w:cs="宋体"/>
          <w:kern w:val="0"/>
        </w:rPr>
        <w:t>⑤石油化工原料制氢</w:t>
      </w:r>
    </w:p>
    <w:p>
      <w:pPr>
        <w:pStyle w:val="10"/>
        <w:adjustRightInd w:val="0"/>
        <w:snapToGrid w:val="0"/>
        <w:spacing w:line="312" w:lineRule="auto"/>
        <w:ind w:firstLine="411" w:firstLineChars="196"/>
        <w:rPr>
          <w:rFonts w:hAnsi="宋体" w:cs="宋体"/>
          <w:kern w:val="0"/>
        </w:rPr>
      </w:pPr>
      <w:r>
        <w:rPr>
          <w:rFonts w:hint="eastAsia" w:hAnsi="宋体" w:cs="宋体"/>
          <w:kern w:val="0"/>
        </w:rPr>
        <w:t>原则上填报氢气回收利用。</w:t>
      </w:r>
    </w:p>
    <w:p>
      <w:pPr>
        <w:pStyle w:val="10"/>
        <w:adjustRightInd w:val="0"/>
        <w:snapToGrid w:val="0"/>
        <w:spacing w:line="312" w:lineRule="auto"/>
        <w:ind w:firstLine="411" w:firstLineChars="196"/>
        <w:rPr>
          <w:rFonts w:hAnsi="宋体" w:cs="宋体"/>
          <w:kern w:val="0"/>
          <w:sz w:val="18"/>
          <w:szCs w:val="18"/>
        </w:rPr>
      </w:pPr>
      <w:r>
        <w:rPr>
          <w:rFonts w:hint="eastAsia" w:hAnsi="宋体" w:cs="宋体"/>
          <w:kern w:val="0"/>
        </w:rPr>
        <w:t>但是如果回收的氢气全部再利用，或炼化产出的中间产品氢气无法计量，则可不填报</w:t>
      </w:r>
      <w:r>
        <w:rPr>
          <w:rFonts w:hint="eastAsia" w:hAnsi="宋体" w:cs="宋体"/>
          <w:kern w:val="0"/>
          <w:sz w:val="18"/>
          <w:szCs w:val="18"/>
        </w:rPr>
        <w:t>。</w:t>
      </w:r>
    </w:p>
    <w:p>
      <w:pPr>
        <w:pStyle w:val="10"/>
        <w:adjustRightInd w:val="0"/>
        <w:snapToGrid w:val="0"/>
        <w:spacing w:line="312" w:lineRule="auto"/>
        <w:ind w:firstLine="411" w:firstLineChars="196"/>
        <w:rPr>
          <w:rFonts w:hAnsi="宋体" w:cs="宋体"/>
          <w:kern w:val="0"/>
        </w:rPr>
      </w:pPr>
      <w:r>
        <w:rPr>
          <w:rFonts w:hint="eastAsia" w:hAnsi="宋体" w:cs="宋体"/>
          <w:kern w:val="0"/>
        </w:rPr>
        <w:fldChar w:fldCharType="begin"/>
      </w:r>
      <w:r>
        <w:rPr>
          <w:rFonts w:hint="eastAsia" w:hAnsi="宋体" w:cs="宋体"/>
          <w:kern w:val="0"/>
        </w:rPr>
        <w:instrText xml:space="preserve"> = 6 \* GB3 \* MERGEFORMAT </w:instrText>
      </w:r>
      <w:r>
        <w:rPr>
          <w:rFonts w:hint="eastAsia" w:hAnsi="宋体" w:cs="宋体"/>
          <w:kern w:val="0"/>
        </w:rPr>
        <w:fldChar w:fldCharType="separate"/>
      </w:r>
      <w:r>
        <w:rPr>
          <w:rFonts w:hint="eastAsia" w:hAnsi="宋体" w:cs="宋体"/>
          <w:kern w:val="0"/>
        </w:rPr>
        <w:t>⑥</w:t>
      </w:r>
      <w:r>
        <w:rPr>
          <w:rFonts w:hint="eastAsia" w:hAnsi="宋体" w:cs="宋体"/>
          <w:kern w:val="0"/>
        </w:rPr>
        <w:fldChar w:fldCharType="end"/>
      </w:r>
      <w:r>
        <w:rPr>
          <w:rFonts w:hint="eastAsia" w:hAnsi="宋体" w:cs="宋体"/>
          <w:kern w:val="0"/>
        </w:rPr>
        <w:t>甲醇裂解制氢</w:t>
      </w:r>
    </w:p>
    <w:p>
      <w:pPr>
        <w:pStyle w:val="10"/>
        <w:adjustRightInd w:val="0"/>
        <w:snapToGrid w:val="0"/>
        <w:spacing w:line="312" w:lineRule="auto"/>
        <w:ind w:firstLine="411" w:firstLineChars="196"/>
        <w:rPr>
          <w:rFonts w:hint="eastAsia" w:hAnsi="宋体" w:cs="宋体"/>
          <w:kern w:val="0"/>
        </w:rPr>
      </w:pPr>
      <w:r>
        <w:rPr>
          <w:rFonts w:hint="eastAsia" w:hAnsi="宋体" w:cs="宋体"/>
          <w:kern w:val="0"/>
        </w:rPr>
        <w:t>填报氢气回收利用，不填报能源加工转换投入和产出。</w:t>
      </w:r>
    </w:p>
    <w:p>
      <w:pPr>
        <w:pStyle w:val="11"/>
      </w:pPr>
    </w:p>
    <w:p>
      <w:pPr>
        <w:numPr>
          <w:ilvl w:val="0"/>
          <w:numId w:val="5"/>
        </w:numPr>
        <w:snapToGrid w:val="0"/>
        <w:spacing w:line="312" w:lineRule="auto"/>
        <w:ind w:firstLine="421" w:firstLineChars="200"/>
        <w:rPr>
          <w:rFonts w:ascii="宋体" w:hAnsi="宋体" w:cs="宋体"/>
          <w:b/>
          <w:szCs w:val="21"/>
        </w:rPr>
      </w:pPr>
      <w:r>
        <w:rPr>
          <w:rFonts w:hint="eastAsia" w:ascii="宋体" w:hAnsi="宋体" w:cs="宋体"/>
          <w:b/>
          <w:szCs w:val="21"/>
        </w:rPr>
        <w:t>企业消费的石油制品是否都要填报？</w:t>
      </w:r>
    </w:p>
    <w:p>
      <w:pPr>
        <w:snapToGrid w:val="0"/>
        <w:spacing w:line="312" w:lineRule="auto"/>
        <w:ind w:firstLine="420" w:firstLineChars="200"/>
        <w:textAlignment w:val="center"/>
        <w:rPr>
          <w:rFonts w:ascii="宋体" w:hAnsi="宋体" w:cs="宋体"/>
          <w:szCs w:val="21"/>
        </w:rPr>
      </w:pPr>
      <w:r>
        <w:rPr>
          <w:rFonts w:hint="eastAsia" w:ascii="宋体" w:hAnsi="宋体" w:cs="宋体"/>
          <w:szCs w:val="21"/>
        </w:rPr>
        <w:t>石油制品均需要填报能源消费。对于纯化工企业使用石油制品(包括用于原材料),也需填报能源消费。</w:t>
      </w:r>
    </w:p>
    <w:p>
      <w:pPr>
        <w:numPr>
          <w:ilvl w:val="0"/>
          <w:numId w:val="5"/>
        </w:numPr>
        <w:snapToGrid w:val="0"/>
        <w:spacing w:line="312" w:lineRule="auto"/>
        <w:ind w:firstLine="421" w:firstLineChars="200"/>
        <w:textAlignment w:val="center"/>
        <w:outlineLvl w:val="0"/>
        <w:rPr>
          <w:rFonts w:ascii="宋体" w:hAnsi="宋体" w:cs="宋体"/>
          <w:b/>
          <w:szCs w:val="21"/>
        </w:rPr>
      </w:pPr>
      <w:r>
        <w:rPr>
          <w:rFonts w:hint="eastAsia" w:ascii="宋体" w:hAnsi="宋体" w:cs="宋体"/>
          <w:b/>
          <w:szCs w:val="21"/>
        </w:rPr>
        <w:t>石油制品的加工转换产出如何填报？</w:t>
      </w:r>
    </w:p>
    <w:p>
      <w:pPr>
        <w:pStyle w:val="10"/>
        <w:adjustRightInd w:val="0"/>
        <w:snapToGrid w:val="0"/>
        <w:spacing w:line="312" w:lineRule="auto"/>
        <w:ind w:firstLine="411" w:firstLineChars="196"/>
        <w:rPr>
          <w:rFonts w:hAnsi="宋体" w:cs="宋体"/>
          <w:kern w:val="0"/>
        </w:rPr>
      </w:pPr>
      <w:r>
        <w:rPr>
          <w:rFonts w:hint="eastAsia" w:hAnsi="宋体" w:cs="宋体"/>
          <w:kern w:val="0"/>
        </w:rPr>
        <w:t>石油制品（包括烯烃和芳烃）的加工转换产出主要分三种情况。</w:t>
      </w:r>
    </w:p>
    <w:p>
      <w:pPr>
        <w:pStyle w:val="10"/>
        <w:adjustRightInd w:val="0"/>
        <w:snapToGrid w:val="0"/>
        <w:spacing w:line="312" w:lineRule="auto"/>
        <w:ind w:firstLine="411" w:firstLineChars="196"/>
        <w:rPr>
          <w:rFonts w:hAnsi="宋体" w:cs="宋体"/>
          <w:kern w:val="0"/>
        </w:rPr>
      </w:pPr>
      <w:r>
        <w:rPr>
          <w:rFonts w:hint="eastAsia" w:hAnsi="宋体" w:cs="宋体"/>
          <w:kern w:val="0"/>
        </w:rPr>
        <w:t>1．纯炼油企业需要填报加工转换表，石油制品作为加工转换产出填报。</w:t>
      </w:r>
    </w:p>
    <w:p>
      <w:pPr>
        <w:pStyle w:val="10"/>
        <w:adjustRightInd w:val="0"/>
        <w:snapToGrid w:val="0"/>
        <w:spacing w:line="312" w:lineRule="auto"/>
        <w:ind w:firstLine="411" w:firstLineChars="196"/>
        <w:rPr>
          <w:rFonts w:hAnsi="宋体" w:cs="宋体"/>
          <w:kern w:val="0"/>
        </w:rPr>
      </w:pPr>
      <w:r>
        <w:rPr>
          <w:rFonts w:hint="eastAsia" w:hAnsi="宋体" w:cs="宋体"/>
          <w:kern w:val="0"/>
        </w:rPr>
        <w:t>2．纯化工企业是不能填报加工转换表的。</w:t>
      </w:r>
    </w:p>
    <w:p>
      <w:pPr>
        <w:pStyle w:val="10"/>
        <w:adjustRightInd w:val="0"/>
        <w:snapToGrid w:val="0"/>
        <w:spacing w:line="312" w:lineRule="auto"/>
        <w:ind w:firstLine="411" w:firstLineChars="196"/>
        <w:rPr>
          <w:rFonts w:hAnsi="宋体" w:cs="宋体"/>
          <w:kern w:val="0"/>
        </w:rPr>
      </w:pPr>
      <w:r>
        <w:rPr>
          <w:rFonts w:hint="eastAsia" w:hAnsi="宋体" w:cs="宋体"/>
          <w:kern w:val="0"/>
        </w:rPr>
        <w:t>3．炼化一体化企业，需要严格按照炼油、化工装置进行界定。出自炼油装置的产品可算做加工转换产出填报，出自化工装置的产品则不能填报加工转换表。</w:t>
      </w:r>
    </w:p>
    <w:p>
      <w:pPr>
        <w:numPr>
          <w:ilvl w:val="0"/>
          <w:numId w:val="5"/>
        </w:numPr>
        <w:snapToGrid w:val="0"/>
        <w:spacing w:line="312" w:lineRule="auto"/>
        <w:ind w:firstLine="421" w:firstLineChars="200"/>
        <w:textAlignment w:val="center"/>
        <w:outlineLvl w:val="0"/>
        <w:rPr>
          <w:rFonts w:ascii="宋体" w:hAnsi="宋体" w:cs="宋体"/>
          <w:b/>
          <w:szCs w:val="21"/>
        </w:rPr>
      </w:pPr>
      <w:r>
        <w:rPr>
          <w:rFonts w:hint="eastAsia" w:ascii="宋体" w:hAnsi="宋体" w:cs="宋体"/>
          <w:b/>
          <w:szCs w:val="21"/>
        </w:rPr>
        <w:t>油品调和如何填报加工转换和消费？</w:t>
      </w:r>
    </w:p>
    <w:p>
      <w:pPr>
        <w:pStyle w:val="10"/>
        <w:adjustRightInd w:val="0"/>
        <w:snapToGrid w:val="0"/>
        <w:spacing w:line="312" w:lineRule="auto"/>
        <w:ind w:firstLine="411" w:firstLineChars="196"/>
        <w:rPr>
          <w:rFonts w:hAnsi="宋体" w:cs="宋体"/>
          <w:kern w:val="0"/>
        </w:rPr>
      </w:pPr>
      <w:r>
        <w:rPr>
          <w:rFonts w:hint="eastAsia" w:hAnsi="宋体" w:cs="宋体"/>
          <w:kern w:val="0"/>
        </w:rPr>
        <w:t>润滑油、溶剂油、石油沥青等经简单调和产出同品种油品，不应作为加工转换过程，不填报加工转换投入及产出，其能源消费量只统计加工过程中的损失部分(如果没有损失，则消费量为“0”)。</w:t>
      </w:r>
    </w:p>
    <w:p>
      <w:pPr>
        <w:numPr>
          <w:ilvl w:val="0"/>
          <w:numId w:val="5"/>
        </w:numPr>
        <w:snapToGrid w:val="0"/>
        <w:spacing w:line="312" w:lineRule="auto"/>
        <w:ind w:firstLine="421" w:firstLineChars="200"/>
        <w:textAlignment w:val="center"/>
        <w:outlineLvl w:val="0"/>
        <w:rPr>
          <w:rFonts w:ascii="宋体" w:hAnsi="宋体" w:cs="宋体"/>
          <w:b/>
          <w:szCs w:val="21"/>
        </w:rPr>
      </w:pPr>
      <w:r>
        <w:rPr>
          <w:rFonts w:hint="eastAsia" w:ascii="宋体" w:hAnsi="宋体" w:cs="宋体"/>
          <w:b/>
          <w:szCs w:val="21"/>
        </w:rPr>
        <w:t>润滑油的加工转换产出如何填报？</w:t>
      </w:r>
    </w:p>
    <w:p>
      <w:pPr>
        <w:pStyle w:val="10"/>
        <w:adjustRightInd w:val="0"/>
        <w:snapToGrid w:val="0"/>
        <w:spacing w:line="312" w:lineRule="auto"/>
        <w:ind w:firstLine="411" w:firstLineChars="196"/>
        <w:rPr>
          <w:rFonts w:hAnsi="宋体" w:cs="宋体"/>
          <w:kern w:val="0"/>
        </w:rPr>
      </w:pPr>
      <w:r>
        <w:rPr>
          <w:rFonts w:hint="eastAsia" w:hAnsi="宋体" w:cs="宋体"/>
          <w:kern w:val="0"/>
        </w:rPr>
        <w:fldChar w:fldCharType="begin"/>
      </w:r>
      <w:r>
        <w:rPr>
          <w:rFonts w:hint="eastAsia" w:hAnsi="宋体" w:cs="宋体"/>
          <w:kern w:val="0"/>
        </w:rPr>
        <w:instrText xml:space="preserve"> = 1 \* GB3 </w:instrText>
      </w:r>
      <w:r>
        <w:rPr>
          <w:rFonts w:hint="eastAsia" w:hAnsi="宋体" w:cs="宋体"/>
          <w:kern w:val="0"/>
        </w:rPr>
        <w:fldChar w:fldCharType="separate"/>
      </w:r>
      <w:r>
        <w:rPr>
          <w:rFonts w:hint="eastAsia" w:hAnsi="宋体" w:cs="宋体"/>
          <w:kern w:val="0"/>
        </w:rPr>
        <w:t>①</w:t>
      </w:r>
      <w:r>
        <w:rPr>
          <w:rFonts w:hint="eastAsia" w:hAnsi="宋体" w:cs="宋体"/>
          <w:kern w:val="0"/>
        </w:rPr>
        <w:fldChar w:fldCharType="end"/>
      </w:r>
      <w:r>
        <w:rPr>
          <w:rFonts w:hint="eastAsia" w:hAnsi="宋体" w:cs="宋体"/>
          <w:kern w:val="0"/>
        </w:rPr>
        <w:t>投入原油进行加工转换生产“润滑油”,加工转换产出填报“润滑油”；</w:t>
      </w:r>
    </w:p>
    <w:p>
      <w:pPr>
        <w:pStyle w:val="10"/>
        <w:adjustRightInd w:val="0"/>
        <w:snapToGrid w:val="0"/>
        <w:spacing w:line="312" w:lineRule="auto"/>
        <w:ind w:firstLine="411" w:firstLineChars="196"/>
        <w:rPr>
          <w:rFonts w:hAnsi="宋体" w:cs="宋体"/>
          <w:kern w:val="0"/>
        </w:rPr>
      </w:pPr>
      <w:r>
        <w:rPr>
          <w:rFonts w:hint="eastAsia" w:hAnsi="宋体" w:cs="宋体"/>
          <w:kern w:val="0"/>
        </w:rPr>
        <w:fldChar w:fldCharType="begin"/>
      </w:r>
      <w:r>
        <w:rPr>
          <w:rFonts w:hint="eastAsia" w:hAnsi="宋体" w:cs="宋体"/>
          <w:kern w:val="0"/>
        </w:rPr>
        <w:instrText xml:space="preserve"> = 2 \* GB3 </w:instrText>
      </w:r>
      <w:r>
        <w:rPr>
          <w:rFonts w:hint="eastAsia" w:hAnsi="宋体" w:cs="宋体"/>
          <w:kern w:val="0"/>
        </w:rPr>
        <w:fldChar w:fldCharType="separate"/>
      </w:r>
      <w:r>
        <w:rPr>
          <w:rFonts w:hint="eastAsia" w:hAnsi="宋体" w:cs="宋体"/>
          <w:kern w:val="0"/>
        </w:rPr>
        <w:t>②</w:t>
      </w:r>
      <w:r>
        <w:rPr>
          <w:rFonts w:hint="eastAsia" w:hAnsi="宋体" w:cs="宋体"/>
          <w:kern w:val="0"/>
        </w:rPr>
        <w:fldChar w:fldCharType="end"/>
      </w:r>
      <w:r>
        <w:rPr>
          <w:rFonts w:hint="eastAsia" w:hAnsi="宋体" w:cs="宋体"/>
          <w:kern w:val="0"/>
        </w:rPr>
        <w:t>投入原油进行加工转换生产“润滑油基础油”,加工转换产出填报“其他石油制品”；</w:t>
      </w:r>
    </w:p>
    <w:p>
      <w:pPr>
        <w:pStyle w:val="10"/>
        <w:adjustRightInd w:val="0"/>
        <w:snapToGrid w:val="0"/>
        <w:spacing w:line="312" w:lineRule="auto"/>
        <w:ind w:firstLine="411" w:firstLineChars="196"/>
        <w:rPr>
          <w:rFonts w:hAnsi="宋体" w:cs="宋体"/>
          <w:kern w:val="0"/>
        </w:rPr>
      </w:pPr>
      <w:r>
        <w:rPr>
          <w:rFonts w:hint="eastAsia" w:hAnsi="宋体" w:cs="宋体"/>
          <w:kern w:val="0"/>
        </w:rPr>
        <w:fldChar w:fldCharType="begin"/>
      </w:r>
      <w:r>
        <w:rPr>
          <w:rFonts w:hint="eastAsia" w:hAnsi="宋体" w:cs="宋体"/>
          <w:kern w:val="0"/>
        </w:rPr>
        <w:instrText xml:space="preserve"> = 3 \* GB3 </w:instrText>
      </w:r>
      <w:r>
        <w:rPr>
          <w:rFonts w:hint="eastAsia" w:hAnsi="宋体" w:cs="宋体"/>
          <w:kern w:val="0"/>
        </w:rPr>
        <w:fldChar w:fldCharType="separate"/>
      </w:r>
      <w:r>
        <w:rPr>
          <w:rFonts w:hint="eastAsia" w:hAnsi="宋体" w:cs="宋体"/>
          <w:kern w:val="0"/>
        </w:rPr>
        <w:t>③</w:t>
      </w:r>
      <w:r>
        <w:rPr>
          <w:rFonts w:hint="eastAsia" w:hAnsi="宋体" w:cs="宋体"/>
          <w:kern w:val="0"/>
        </w:rPr>
        <w:fldChar w:fldCharType="end"/>
      </w:r>
      <w:r>
        <w:rPr>
          <w:rFonts w:hint="eastAsia" w:hAnsi="宋体" w:cs="宋体"/>
          <w:kern w:val="0"/>
        </w:rPr>
        <w:t>利用“润滑油基础油”生产“润滑油”，不属于能源加工转换过程，不填报加工转换产出。</w:t>
      </w:r>
    </w:p>
    <w:p>
      <w:pPr>
        <w:numPr>
          <w:ilvl w:val="0"/>
          <w:numId w:val="5"/>
        </w:numPr>
        <w:snapToGrid w:val="0"/>
        <w:spacing w:line="312" w:lineRule="auto"/>
        <w:ind w:firstLine="421" w:firstLineChars="200"/>
        <w:textAlignment w:val="center"/>
        <w:outlineLvl w:val="0"/>
        <w:rPr>
          <w:rFonts w:ascii="宋体" w:hAnsi="宋体" w:cs="宋体"/>
          <w:b/>
          <w:szCs w:val="21"/>
        </w:rPr>
      </w:pPr>
      <w:r>
        <w:rPr>
          <w:rFonts w:hint="eastAsia" w:ascii="宋体" w:hAnsi="宋体" w:cs="宋体"/>
          <w:b/>
          <w:szCs w:val="21"/>
        </w:rPr>
        <w:t>电力的填报容易出现</w:t>
      </w:r>
      <w:r>
        <w:rPr>
          <w:rFonts w:hint="eastAsia" w:ascii="宋体" w:hAnsi="宋体" w:cs="宋体"/>
          <w:b/>
          <w:szCs w:val="21"/>
          <w:lang w:eastAsia="zh-CN"/>
        </w:rPr>
        <w:t>哪</w:t>
      </w:r>
      <w:r>
        <w:rPr>
          <w:rFonts w:hint="eastAsia" w:ascii="宋体" w:hAnsi="宋体" w:cs="宋体"/>
          <w:b/>
          <w:szCs w:val="21"/>
        </w:rPr>
        <w:t>些错误？</w:t>
      </w:r>
    </w:p>
    <w:p>
      <w:pPr>
        <w:pStyle w:val="10"/>
        <w:adjustRightInd w:val="0"/>
        <w:snapToGrid w:val="0"/>
        <w:spacing w:line="312" w:lineRule="auto"/>
        <w:ind w:firstLine="411" w:firstLineChars="196"/>
        <w:rPr>
          <w:rFonts w:hAnsi="宋体" w:cs="宋体"/>
          <w:kern w:val="0"/>
        </w:rPr>
      </w:pPr>
      <w:r>
        <w:rPr>
          <w:rFonts w:hint="eastAsia" w:hAnsi="宋体" w:cs="宋体"/>
          <w:kern w:val="0"/>
        </w:rPr>
        <w:t>企业在填报电力消费品种时容易出现下面几种错误：</w:t>
      </w:r>
    </w:p>
    <w:p>
      <w:pPr>
        <w:pStyle w:val="10"/>
        <w:adjustRightInd w:val="0"/>
        <w:snapToGrid w:val="0"/>
        <w:spacing w:line="312" w:lineRule="auto"/>
        <w:ind w:firstLine="420" w:firstLineChars="200"/>
        <w:rPr>
          <w:rFonts w:hAnsi="宋体" w:cs="宋体"/>
          <w:kern w:val="0"/>
        </w:rPr>
      </w:pPr>
      <w:r>
        <w:rPr>
          <w:rFonts w:hint="eastAsia" w:hAnsi="宋体" w:cs="宋体"/>
          <w:kern w:val="0"/>
        </w:rPr>
        <w:fldChar w:fldCharType="begin"/>
      </w:r>
      <w:r>
        <w:rPr>
          <w:rFonts w:hint="eastAsia" w:hAnsi="宋体" w:cs="宋体"/>
          <w:kern w:val="0"/>
        </w:rPr>
        <w:instrText xml:space="preserve"> = 1 \* GB3 </w:instrText>
      </w:r>
      <w:r>
        <w:rPr>
          <w:rFonts w:hint="eastAsia" w:hAnsi="宋体" w:cs="宋体"/>
          <w:kern w:val="0"/>
        </w:rPr>
        <w:fldChar w:fldCharType="separate"/>
      </w:r>
      <w:r>
        <w:rPr>
          <w:rFonts w:hint="eastAsia" w:hAnsi="宋体" w:cs="宋体"/>
          <w:kern w:val="0"/>
        </w:rPr>
        <w:t>①</w:t>
      </w:r>
      <w:r>
        <w:rPr>
          <w:rFonts w:hint="eastAsia" w:hAnsi="宋体" w:cs="宋体"/>
          <w:kern w:val="0"/>
        </w:rPr>
        <w:fldChar w:fldCharType="end"/>
      </w:r>
      <w:r>
        <w:rPr>
          <w:rFonts w:hint="eastAsia" w:hAnsi="宋体" w:cs="宋体"/>
          <w:kern w:val="0"/>
        </w:rPr>
        <w:t>电力单位填错。205-1表的填报单位是万千瓦时，企业电力发票是千瓦时，企业直接将发票上的用电量填入，未进行单位转化，造成填报放大一万倍；</w:t>
      </w:r>
    </w:p>
    <w:p>
      <w:pPr>
        <w:pStyle w:val="10"/>
        <w:adjustRightInd w:val="0"/>
        <w:snapToGrid w:val="0"/>
        <w:spacing w:line="312" w:lineRule="auto"/>
        <w:ind w:firstLine="420" w:firstLineChars="200"/>
        <w:rPr>
          <w:rFonts w:hAnsi="宋体" w:cs="宋体"/>
          <w:kern w:val="0"/>
        </w:rPr>
      </w:pPr>
      <w:r>
        <w:rPr>
          <w:rFonts w:hint="eastAsia" w:hAnsi="宋体" w:cs="宋体"/>
          <w:kern w:val="0"/>
        </w:rPr>
        <w:fldChar w:fldCharType="begin"/>
      </w:r>
      <w:r>
        <w:rPr>
          <w:rFonts w:hint="eastAsia" w:hAnsi="宋体" w:cs="宋体"/>
          <w:kern w:val="0"/>
        </w:rPr>
        <w:instrText xml:space="preserve"> = 2 \* GB3 </w:instrText>
      </w:r>
      <w:r>
        <w:rPr>
          <w:rFonts w:hint="eastAsia" w:hAnsi="宋体" w:cs="宋体"/>
          <w:kern w:val="0"/>
        </w:rPr>
        <w:fldChar w:fldCharType="separate"/>
      </w:r>
      <w:r>
        <w:rPr>
          <w:rFonts w:hint="eastAsia" w:hAnsi="宋体" w:cs="宋体"/>
          <w:kern w:val="0"/>
        </w:rPr>
        <w:t>②</w:t>
      </w:r>
      <w:r>
        <w:rPr>
          <w:rFonts w:hint="eastAsia" w:hAnsi="宋体" w:cs="宋体"/>
          <w:kern w:val="0"/>
        </w:rPr>
        <w:fldChar w:fldCharType="end"/>
      </w:r>
      <w:r>
        <w:rPr>
          <w:rFonts w:hint="eastAsia" w:hAnsi="宋体" w:cs="宋体"/>
          <w:kern w:val="0"/>
        </w:rPr>
        <w:t>电力单位理解错。个别企业统计员误把“千瓦时”理解为“千度”，简单按此折算后填报，造成填报放大十倍。</w:t>
      </w:r>
    </w:p>
    <w:p>
      <w:pPr>
        <w:pStyle w:val="10"/>
        <w:adjustRightInd w:val="0"/>
        <w:snapToGrid w:val="0"/>
        <w:spacing w:line="312" w:lineRule="auto"/>
        <w:ind w:firstLine="411" w:firstLineChars="196"/>
        <w:rPr>
          <w:rFonts w:hAnsi="宋体" w:cs="宋体"/>
          <w:kern w:val="0"/>
        </w:rPr>
      </w:pPr>
      <w:r>
        <w:rPr>
          <w:rFonts w:hint="eastAsia" w:hAnsi="宋体" w:cs="宋体"/>
          <w:kern w:val="0"/>
        </w:rPr>
        <w:fldChar w:fldCharType="begin"/>
      </w:r>
      <w:r>
        <w:rPr>
          <w:rFonts w:hint="eastAsia" w:hAnsi="宋体" w:cs="宋体"/>
          <w:kern w:val="0"/>
        </w:rPr>
        <w:instrText xml:space="preserve"> = 3 \* GB3 </w:instrText>
      </w:r>
      <w:r>
        <w:rPr>
          <w:rFonts w:hint="eastAsia" w:hAnsi="宋体" w:cs="宋体"/>
          <w:kern w:val="0"/>
        </w:rPr>
        <w:fldChar w:fldCharType="separate"/>
      </w:r>
      <w:r>
        <w:rPr>
          <w:rFonts w:hint="eastAsia" w:hAnsi="宋体" w:cs="宋体"/>
          <w:kern w:val="0"/>
        </w:rPr>
        <w:t>③</w:t>
      </w:r>
      <w:r>
        <w:rPr>
          <w:rFonts w:hint="eastAsia" w:hAnsi="宋体" w:cs="宋体"/>
          <w:kern w:val="0"/>
        </w:rPr>
        <w:fldChar w:fldCharType="end"/>
      </w:r>
      <w:r>
        <w:rPr>
          <w:rFonts w:hint="eastAsia" w:hAnsi="宋体" w:cs="宋体"/>
          <w:kern w:val="0"/>
        </w:rPr>
        <w:t>将电力发票上的金额当作用电量直接填入；</w:t>
      </w:r>
    </w:p>
    <w:p>
      <w:pPr>
        <w:pStyle w:val="10"/>
        <w:adjustRightInd w:val="0"/>
        <w:snapToGrid w:val="0"/>
        <w:spacing w:line="312" w:lineRule="auto"/>
        <w:ind w:firstLine="420" w:firstLineChars="200"/>
        <w:rPr>
          <w:rFonts w:hAnsi="宋体" w:cs="宋体"/>
          <w:kern w:val="0"/>
        </w:rPr>
      </w:pPr>
      <w:r>
        <w:rPr>
          <w:rFonts w:hint="eastAsia" w:hAnsi="宋体" w:cs="宋体"/>
          <w:kern w:val="0"/>
        </w:rPr>
        <w:fldChar w:fldCharType="begin"/>
      </w:r>
      <w:r>
        <w:rPr>
          <w:rFonts w:hint="eastAsia" w:hAnsi="宋体" w:cs="宋体"/>
          <w:kern w:val="0"/>
        </w:rPr>
        <w:instrText xml:space="preserve"> = 4 \* GB3 </w:instrText>
      </w:r>
      <w:r>
        <w:rPr>
          <w:rFonts w:hint="eastAsia" w:hAnsi="宋体" w:cs="宋体"/>
          <w:kern w:val="0"/>
        </w:rPr>
        <w:fldChar w:fldCharType="separate"/>
      </w:r>
      <w:r>
        <w:rPr>
          <w:rFonts w:hint="eastAsia" w:hAnsi="宋体" w:cs="宋体"/>
          <w:kern w:val="0"/>
        </w:rPr>
        <w:t>④</w:t>
      </w:r>
      <w:r>
        <w:rPr>
          <w:rFonts w:hint="eastAsia" w:hAnsi="宋体" w:cs="宋体"/>
          <w:kern w:val="0"/>
        </w:rPr>
        <w:fldChar w:fldCharType="end"/>
      </w:r>
      <w:r>
        <w:rPr>
          <w:rFonts w:hint="eastAsia" w:hAnsi="宋体" w:cs="宋体"/>
          <w:kern w:val="0"/>
        </w:rPr>
        <w:t>错月报数。比如把202</w:t>
      </w:r>
      <w:r>
        <w:rPr>
          <w:rFonts w:hint="eastAsia" w:hAnsi="宋体" w:cs="宋体"/>
          <w:kern w:val="0"/>
          <w:lang w:val="en-US" w:eastAsia="zh-CN"/>
        </w:rPr>
        <w:t>3</w:t>
      </w:r>
      <w:r>
        <w:rPr>
          <w:rFonts w:hint="eastAsia" w:hAnsi="宋体" w:cs="宋体"/>
          <w:kern w:val="0"/>
        </w:rPr>
        <w:t>年12月至202</w:t>
      </w:r>
      <w:r>
        <w:rPr>
          <w:rFonts w:hint="eastAsia" w:hAnsi="宋体" w:cs="宋体"/>
          <w:kern w:val="0"/>
          <w:lang w:val="en-US" w:eastAsia="zh-CN"/>
        </w:rPr>
        <w:t>4</w:t>
      </w:r>
      <w:r>
        <w:rPr>
          <w:rFonts w:hint="eastAsia" w:hAnsi="宋体" w:cs="宋体"/>
          <w:kern w:val="0"/>
        </w:rPr>
        <w:t>年1-11月电力发票数据当作202</w:t>
      </w:r>
      <w:r>
        <w:rPr>
          <w:rFonts w:hint="eastAsia" w:hAnsi="宋体" w:cs="宋体"/>
          <w:kern w:val="0"/>
          <w:lang w:val="en-US" w:eastAsia="zh-CN"/>
        </w:rPr>
        <w:t>4</w:t>
      </w:r>
      <w:r>
        <w:rPr>
          <w:rFonts w:hint="eastAsia" w:hAnsi="宋体" w:cs="宋体"/>
          <w:kern w:val="0"/>
        </w:rPr>
        <w:t>年1-12月数据上报。</w:t>
      </w:r>
    </w:p>
    <w:p>
      <w:pPr>
        <w:pStyle w:val="10"/>
        <w:adjustRightInd w:val="0"/>
        <w:snapToGrid w:val="0"/>
        <w:spacing w:line="312" w:lineRule="auto"/>
        <w:ind w:firstLine="420" w:firstLineChars="200"/>
        <w:rPr>
          <w:rFonts w:hAnsi="宋体" w:cs="宋体"/>
          <w:kern w:val="0"/>
        </w:rPr>
      </w:pPr>
      <w:r>
        <w:rPr>
          <w:rFonts w:hint="eastAsia" w:hAnsi="宋体" w:cs="宋体"/>
          <w:kern w:val="0"/>
        </w:rPr>
        <w:fldChar w:fldCharType="begin"/>
      </w:r>
      <w:r>
        <w:rPr>
          <w:rFonts w:hint="eastAsia" w:hAnsi="宋体" w:cs="宋体"/>
          <w:kern w:val="0"/>
        </w:rPr>
        <w:instrText xml:space="preserve"> = 5 \* GB3 </w:instrText>
      </w:r>
      <w:r>
        <w:rPr>
          <w:rFonts w:hint="eastAsia" w:hAnsi="宋体" w:cs="宋体"/>
          <w:kern w:val="0"/>
        </w:rPr>
        <w:fldChar w:fldCharType="separate"/>
      </w:r>
      <w:r>
        <w:rPr>
          <w:rFonts w:hint="eastAsia" w:hAnsi="宋体" w:cs="宋体"/>
          <w:kern w:val="0"/>
        </w:rPr>
        <w:t>⑤</w:t>
      </w:r>
      <w:r>
        <w:rPr>
          <w:rFonts w:hint="eastAsia" w:hAnsi="宋体" w:cs="宋体"/>
          <w:kern w:val="0"/>
        </w:rPr>
        <w:fldChar w:fldCharType="end"/>
      </w:r>
      <w:r>
        <w:rPr>
          <w:rFonts w:hint="eastAsia" w:hAnsi="宋体" w:cs="宋体"/>
          <w:kern w:val="0"/>
        </w:rPr>
        <w:t>多个企业公用电表，没有按分摊数正确填报等。</w:t>
      </w:r>
    </w:p>
    <w:p>
      <w:pPr>
        <w:pStyle w:val="8"/>
        <w:numPr>
          <w:ilvl w:val="0"/>
          <w:numId w:val="5"/>
        </w:numPr>
        <w:snapToGrid w:val="0"/>
        <w:spacing w:line="312" w:lineRule="auto"/>
        <w:ind w:firstLine="421" w:firstLineChars="200"/>
        <w:jc w:val="both"/>
        <w:textAlignment w:val="center"/>
        <w:rPr>
          <w:rFonts w:ascii="宋体" w:hAnsi="宋体" w:cs="宋体"/>
          <w:b/>
          <w:szCs w:val="21"/>
        </w:rPr>
      </w:pPr>
      <w:r>
        <w:rPr>
          <w:rFonts w:hint="eastAsia" w:ascii="宋体" w:hAnsi="宋体" w:cs="宋体"/>
          <w:b/>
          <w:szCs w:val="21"/>
        </w:rPr>
        <w:t>如何准确填报电力数据？</w:t>
      </w:r>
    </w:p>
    <w:p>
      <w:pPr>
        <w:pStyle w:val="10"/>
        <w:adjustRightInd w:val="0"/>
        <w:snapToGrid w:val="0"/>
        <w:spacing w:line="312" w:lineRule="auto"/>
        <w:ind w:firstLine="420" w:firstLineChars="200"/>
        <w:rPr>
          <w:rFonts w:hAnsi="宋体" w:cs="宋体"/>
          <w:kern w:val="0"/>
        </w:rPr>
      </w:pPr>
      <w:r>
        <w:rPr>
          <w:rFonts w:hint="eastAsia" w:hAnsi="宋体" w:cs="宋体"/>
          <w:kern w:val="0"/>
        </w:rPr>
        <w:t>为提高电力数据上报准确性，如下办法供参考：</w:t>
      </w:r>
    </w:p>
    <w:p>
      <w:pPr>
        <w:pStyle w:val="10"/>
        <w:adjustRightInd w:val="0"/>
        <w:snapToGrid w:val="0"/>
        <w:spacing w:line="312" w:lineRule="auto"/>
        <w:ind w:firstLine="420" w:firstLineChars="200"/>
        <w:rPr>
          <w:rFonts w:hAnsi="宋体" w:cs="宋体"/>
          <w:kern w:val="0"/>
        </w:rPr>
      </w:pPr>
      <w:r>
        <w:rPr>
          <w:rFonts w:hint="eastAsia" w:hAnsi="宋体" w:cs="宋体"/>
          <w:kern w:val="0"/>
        </w:rPr>
        <w:t>一是企业统计员在手机关注南网在线微信公众号或下载南网在线APP，一般情况下，月初基本可以查到企业当月用电数；</w:t>
      </w:r>
    </w:p>
    <w:p>
      <w:pPr>
        <w:pStyle w:val="10"/>
        <w:adjustRightInd w:val="0"/>
        <w:snapToGrid w:val="0"/>
        <w:spacing w:line="312" w:lineRule="auto"/>
        <w:ind w:firstLine="420" w:firstLineChars="200"/>
        <w:rPr>
          <w:rFonts w:hAnsi="宋体" w:cs="宋体"/>
          <w:kern w:val="0"/>
        </w:rPr>
      </w:pPr>
      <w:r>
        <w:rPr>
          <w:rFonts w:hint="eastAsia" w:hAnsi="宋体" w:cs="宋体"/>
          <w:kern w:val="0"/>
        </w:rPr>
        <w:t>二是使用企业抄表数据推算；</w:t>
      </w:r>
    </w:p>
    <w:p>
      <w:pPr>
        <w:pStyle w:val="10"/>
        <w:adjustRightInd w:val="0"/>
        <w:snapToGrid w:val="0"/>
        <w:spacing w:line="312" w:lineRule="auto"/>
        <w:ind w:firstLine="420" w:firstLineChars="200"/>
        <w:rPr>
          <w:rFonts w:hAnsi="宋体" w:cs="宋体"/>
          <w:kern w:val="0"/>
        </w:rPr>
      </w:pPr>
      <w:r>
        <w:rPr>
          <w:rFonts w:hint="eastAsia" w:hAnsi="宋体" w:cs="宋体"/>
          <w:kern w:val="0"/>
        </w:rPr>
        <w:t>三是依据上月或去年同月用电情况、本月企业生产经营情况推算本月用电，推算误差应在下个月及时修正。</w:t>
      </w:r>
    </w:p>
    <w:p>
      <w:pPr>
        <w:numPr>
          <w:ilvl w:val="0"/>
          <w:numId w:val="5"/>
        </w:numPr>
        <w:snapToGrid w:val="0"/>
        <w:spacing w:line="312" w:lineRule="auto"/>
        <w:ind w:firstLine="421" w:firstLineChars="200"/>
        <w:textAlignment w:val="center"/>
        <w:outlineLvl w:val="0"/>
        <w:rPr>
          <w:rFonts w:ascii="宋体" w:hAnsi="宋体" w:cs="宋体"/>
          <w:b/>
          <w:szCs w:val="21"/>
        </w:rPr>
      </w:pPr>
      <w:r>
        <w:rPr>
          <w:rFonts w:hint="eastAsia" w:ascii="宋体" w:hAnsi="宋体" w:cs="宋体"/>
          <w:b/>
          <w:szCs w:val="21"/>
        </w:rPr>
        <w:t>生物燃料如何填报消费量？</w:t>
      </w:r>
    </w:p>
    <w:p>
      <w:pPr>
        <w:pStyle w:val="10"/>
        <w:adjustRightInd w:val="0"/>
        <w:snapToGrid w:val="0"/>
        <w:spacing w:line="312" w:lineRule="auto"/>
        <w:ind w:firstLine="420" w:firstLineChars="200"/>
        <w:rPr>
          <w:rFonts w:hAnsi="宋体" w:cs="宋体"/>
          <w:kern w:val="0"/>
        </w:rPr>
      </w:pPr>
      <w:r>
        <w:rPr>
          <w:rFonts w:hint="eastAsia" w:hAnsi="宋体" w:cs="宋体"/>
          <w:kern w:val="0"/>
        </w:rPr>
        <w:t>泛指由生物质组成或萃取的固体、液体或气体燃料。如沼气、薪柴、生物乙醇、生物柴油等。根据调查，树皮、棉花秆、玉米秆、玉米穗、花生壳、桃壳、向日葵花盘、稻谷壳、锥栗壳等农林废弃物，生物质水解后产生的糠醛渣，农业或工业生产加工产生的蔗渣、黑液、废板材、木屑、板材边角料，农林废弃物再利用加工而成的木质成型燃料（如用木屑生产的木煤）、生物颗粒等也属于生物燃料。</w:t>
      </w:r>
    </w:p>
    <w:p>
      <w:pPr>
        <w:pStyle w:val="10"/>
        <w:adjustRightInd w:val="0"/>
        <w:snapToGrid w:val="0"/>
        <w:spacing w:line="312" w:lineRule="auto"/>
        <w:ind w:firstLine="420" w:firstLineChars="200"/>
        <w:rPr>
          <w:rFonts w:hAnsi="宋体" w:cs="宋体"/>
          <w:kern w:val="0"/>
        </w:rPr>
      </w:pPr>
      <w:r>
        <w:rPr>
          <w:rFonts w:hint="eastAsia" w:hAnsi="宋体" w:cs="宋体"/>
          <w:kern w:val="0"/>
        </w:rPr>
        <w:t>秸秆等生物质能制作固体或气体生物燃料，不填报加工转换表，只填报生产中消耗的电力等能源品种，同时产出的生物燃料需填报在“能源生产、销售与库存” （205-6）表中的“固体生物燃料”“气体生物燃料”。</w:t>
      </w:r>
    </w:p>
    <w:p>
      <w:pPr>
        <w:pStyle w:val="10"/>
        <w:adjustRightInd w:val="0"/>
        <w:snapToGrid w:val="0"/>
        <w:spacing w:line="312" w:lineRule="auto"/>
        <w:ind w:firstLine="420" w:firstLineChars="200"/>
        <w:rPr>
          <w:rFonts w:hAnsi="宋体" w:cs="宋体"/>
          <w:kern w:val="0"/>
        </w:rPr>
      </w:pPr>
      <w:r>
        <w:rPr>
          <w:rFonts w:hint="eastAsia" w:hAnsi="宋体" w:cs="宋体"/>
          <w:kern w:val="0"/>
        </w:rPr>
        <w:t>205-1表“生物燃料”的填报单位是吨标准煤（已折标），但企业购买发票或原始凭证中，生物燃料多以实物量“吨”为单位结算，企业在填报时应注意单位换算，不能直接把“吨”按“吨标准煤”填报。</w:t>
      </w:r>
    </w:p>
    <w:p>
      <w:pPr>
        <w:numPr>
          <w:ilvl w:val="0"/>
          <w:numId w:val="5"/>
        </w:numPr>
        <w:snapToGrid w:val="0"/>
        <w:spacing w:line="312" w:lineRule="auto"/>
        <w:ind w:firstLine="421" w:firstLineChars="200"/>
        <w:textAlignment w:val="center"/>
        <w:outlineLvl w:val="0"/>
        <w:rPr>
          <w:rFonts w:ascii="宋体" w:hAnsi="宋体" w:cs="宋体"/>
          <w:b/>
          <w:szCs w:val="21"/>
        </w:rPr>
      </w:pPr>
      <w:r>
        <w:rPr>
          <w:rFonts w:hint="eastAsia" w:ascii="宋体" w:hAnsi="宋体" w:cs="宋体"/>
          <w:b/>
          <w:szCs w:val="21"/>
        </w:rPr>
        <w:t>如何填报能源购进量和购自省外量？</w:t>
      </w:r>
    </w:p>
    <w:p>
      <w:pPr>
        <w:pStyle w:val="10"/>
        <w:adjustRightInd w:val="0"/>
        <w:snapToGrid w:val="0"/>
        <w:spacing w:line="312" w:lineRule="auto"/>
        <w:ind w:firstLine="420" w:firstLineChars="200"/>
        <w:rPr>
          <w:rFonts w:hAnsi="宋体" w:cs="宋体"/>
          <w:kern w:val="0"/>
        </w:rPr>
      </w:pPr>
      <w:r>
        <w:rPr>
          <w:rFonts w:hint="eastAsia" w:hAnsi="宋体" w:cs="宋体"/>
          <w:kern w:val="0"/>
        </w:rPr>
        <w:t>能源购进量指使用企业（单位）在报告期购进的各种能源数量。包括购进用于消费或转卖的能源。</w:t>
      </w:r>
    </w:p>
    <w:p>
      <w:pPr>
        <w:pStyle w:val="10"/>
        <w:adjustRightInd w:val="0"/>
        <w:snapToGrid w:val="0"/>
        <w:spacing w:line="312" w:lineRule="auto"/>
        <w:ind w:firstLine="420" w:firstLineChars="200"/>
        <w:rPr>
          <w:rFonts w:hAnsi="宋体" w:cs="宋体"/>
          <w:kern w:val="0"/>
        </w:rPr>
      </w:pPr>
      <w:r>
        <w:rPr>
          <w:rFonts w:hint="eastAsia" w:hAnsi="宋体" w:cs="宋体"/>
          <w:kern w:val="0"/>
        </w:rPr>
        <w:t>购自省外填报原则与购进量相同，购自省外指标容易漏填。如果增值税专用发票上销货单位纳税人识别号的省级代码非44，就要填报购自省外量。购自省外包含从国外进口。最容易错填的是原煤。我省不生产原煤，原煤均来自省外或国外，多从黄骅港、天津港、京唐港、秦皇岛港、曹妃甸港等地运输过来，很多企业想当然地填报购自省外。在填报该指标时一定要根据直接供货商是否为省外来判断。</w:t>
      </w:r>
    </w:p>
    <w:p>
      <w:pPr>
        <w:pStyle w:val="10"/>
        <w:adjustRightInd w:val="0"/>
        <w:snapToGrid w:val="0"/>
        <w:spacing w:line="312" w:lineRule="auto"/>
        <w:ind w:firstLine="420" w:firstLineChars="200"/>
        <w:rPr>
          <w:rFonts w:hAnsi="宋体" w:cs="宋体"/>
          <w:kern w:val="0"/>
        </w:rPr>
      </w:pPr>
      <w:r>
        <w:rPr>
          <w:rFonts w:hint="eastAsia" w:hAnsi="宋体" w:cs="宋体"/>
          <w:kern w:val="0"/>
        </w:rPr>
        <w:t>例如：企业的原煤直接供货商为国家能源集团销售集团（原神华销售集团有限公司）华南分公司（注册在珠海）的、中石化国际事业华南有限公司（注册在湛江）的，是不能填报购自省外的。</w:t>
      </w:r>
    </w:p>
    <w:p>
      <w:pPr>
        <w:pStyle w:val="10"/>
        <w:adjustRightInd w:val="0"/>
        <w:snapToGrid w:val="0"/>
        <w:spacing w:line="312" w:lineRule="auto"/>
        <w:ind w:firstLine="420" w:firstLineChars="200"/>
        <w:rPr>
          <w:rFonts w:hAnsi="宋体" w:cs="宋体"/>
          <w:kern w:val="0"/>
        </w:rPr>
      </w:pPr>
      <w:r>
        <w:rPr>
          <w:rFonts w:hint="eastAsia" w:hAnsi="宋体" w:cs="宋体"/>
          <w:kern w:val="0"/>
        </w:rPr>
        <w:t>部分企业购进金额指标未按照发票如实填写或弄错计量单位，导致出现购进单价超出合理区间的情况。</w:t>
      </w:r>
    </w:p>
    <w:p>
      <w:pPr>
        <w:numPr>
          <w:ilvl w:val="0"/>
          <w:numId w:val="5"/>
        </w:numPr>
        <w:snapToGrid w:val="0"/>
        <w:spacing w:line="312" w:lineRule="auto"/>
        <w:ind w:firstLine="421" w:firstLineChars="200"/>
        <w:textAlignment w:val="center"/>
        <w:outlineLvl w:val="0"/>
        <w:rPr>
          <w:rFonts w:ascii="宋体" w:hAnsi="宋体" w:cs="宋体"/>
          <w:b/>
          <w:szCs w:val="21"/>
        </w:rPr>
      </w:pPr>
      <w:r>
        <w:rPr>
          <w:rFonts w:hint="eastAsia" w:ascii="宋体" w:hAnsi="宋体" w:cs="宋体"/>
          <w:b/>
          <w:szCs w:val="21"/>
        </w:rPr>
        <w:t>作为原材料的能源如何填报？</w:t>
      </w:r>
    </w:p>
    <w:p>
      <w:pPr>
        <w:pStyle w:val="10"/>
        <w:adjustRightInd w:val="0"/>
        <w:snapToGrid w:val="0"/>
        <w:spacing w:line="312" w:lineRule="auto"/>
        <w:ind w:firstLine="420" w:firstLineChars="200"/>
        <w:rPr>
          <w:rFonts w:hAnsi="宋体" w:cs="宋体"/>
          <w:kern w:val="0"/>
        </w:rPr>
      </w:pPr>
      <w:r>
        <w:rPr>
          <w:rFonts w:hint="eastAsia" w:hAnsi="宋体" w:cs="宋体"/>
          <w:kern w:val="0"/>
        </w:rPr>
        <w:t>用于燃烧发电、供热、加热、烘烤等均不能算作原材料消费，而只有作为产品重要原料、组成部分，用于生产其他非能源产品时，才作为原材料消费，如生产甲醇、合成氨、乙烯等。作为原材料消费时既要填报工业生产消费量，也要填报其中用于原材料项。</w:t>
      </w:r>
    </w:p>
    <w:p>
      <w:pPr>
        <w:pStyle w:val="10"/>
        <w:adjustRightInd w:val="0"/>
        <w:snapToGrid w:val="0"/>
        <w:spacing w:line="312" w:lineRule="auto"/>
        <w:ind w:firstLine="420" w:firstLineChars="200"/>
        <w:rPr>
          <w:rFonts w:hAnsi="宋体" w:cs="宋体"/>
          <w:kern w:val="0"/>
        </w:rPr>
      </w:pPr>
      <w:r>
        <w:rPr>
          <w:rFonts w:hint="eastAsia" w:hAnsi="宋体" w:cs="宋体"/>
          <w:kern w:val="0"/>
        </w:rPr>
        <w:t>部分能源品种（原煤、天然气、汽油、柴油、其他燃料等）容易误填用于原材料消费。</w:t>
      </w:r>
    </w:p>
    <w:p>
      <w:pPr>
        <w:numPr>
          <w:ilvl w:val="0"/>
          <w:numId w:val="5"/>
        </w:numPr>
        <w:snapToGrid w:val="0"/>
        <w:spacing w:line="312" w:lineRule="auto"/>
        <w:ind w:left="0" w:firstLine="421" w:firstLineChars="200"/>
        <w:textAlignment w:val="center"/>
        <w:outlineLvl w:val="0"/>
        <w:rPr>
          <w:rFonts w:ascii="宋体" w:hAnsi="宋体" w:cs="宋体"/>
          <w:b/>
          <w:bCs/>
          <w:szCs w:val="21"/>
        </w:rPr>
      </w:pPr>
      <w:r>
        <w:rPr>
          <w:rFonts w:hint="eastAsia" w:ascii="宋体" w:hAnsi="宋体" w:cs="宋体"/>
          <w:b/>
          <w:bCs/>
          <w:szCs w:val="21"/>
        </w:rPr>
        <w:t>耗能工质是否计入企业能源消费量中？</w:t>
      </w:r>
    </w:p>
    <w:p>
      <w:pPr>
        <w:snapToGrid w:val="0"/>
        <w:spacing w:line="312" w:lineRule="auto"/>
        <w:ind w:firstLine="420" w:firstLineChars="200"/>
        <w:jc w:val="left"/>
        <w:rPr>
          <w:rFonts w:ascii="宋体" w:hAnsi="宋体" w:cs="宋体"/>
          <w:szCs w:val="21"/>
        </w:rPr>
      </w:pPr>
      <w:r>
        <w:rPr>
          <w:rFonts w:hint="eastAsia" w:ascii="宋体" w:hAnsi="宋体" w:cs="宋体"/>
          <w:szCs w:val="21"/>
        </w:rPr>
        <w:t>耗能工质是企业在生产过程中所消耗的那种不作原料使用，也不进入产品，制取时又需要消耗能源的工作物质。耗能工质（如水、氧气、压缩空气、氮气、氩气等），不论是外购的还是自产自用的，均不统计在能源消费量中</w:t>
      </w:r>
      <w:r>
        <w:rPr>
          <w:szCs w:val="21"/>
        </w:rPr>
        <w:t>（计算单位产品能耗时是否包括耗能工质，视统计指标的具体规定而定）。</w:t>
      </w:r>
    </w:p>
    <w:p>
      <w:pPr>
        <w:numPr>
          <w:ilvl w:val="0"/>
          <w:numId w:val="5"/>
        </w:numPr>
        <w:snapToGrid w:val="0"/>
        <w:spacing w:line="312" w:lineRule="auto"/>
        <w:ind w:firstLine="421" w:firstLineChars="200"/>
        <w:textAlignment w:val="center"/>
        <w:outlineLvl w:val="0"/>
        <w:rPr>
          <w:rFonts w:ascii="宋体" w:hAnsi="宋体" w:cs="宋体"/>
          <w:b/>
          <w:szCs w:val="21"/>
        </w:rPr>
      </w:pPr>
      <w:r>
        <w:rPr>
          <w:rFonts w:hint="eastAsia" w:ascii="宋体" w:hAnsi="宋体" w:cs="宋体"/>
          <w:b/>
          <w:szCs w:val="21"/>
        </w:rPr>
        <w:t>加工转换效率易出现</w:t>
      </w:r>
      <w:r>
        <w:rPr>
          <w:rFonts w:hint="eastAsia" w:ascii="宋体" w:hAnsi="宋体" w:cs="宋体"/>
          <w:b/>
          <w:szCs w:val="21"/>
          <w:lang w:eastAsia="zh-CN"/>
        </w:rPr>
        <w:t>哪</w:t>
      </w:r>
      <w:r>
        <w:rPr>
          <w:rFonts w:hint="eastAsia" w:ascii="宋体" w:hAnsi="宋体" w:cs="宋体"/>
          <w:b/>
          <w:szCs w:val="21"/>
        </w:rPr>
        <w:t>些错误？</w:t>
      </w:r>
    </w:p>
    <w:p>
      <w:pPr>
        <w:pStyle w:val="10"/>
        <w:adjustRightInd w:val="0"/>
        <w:snapToGrid w:val="0"/>
        <w:spacing w:line="312" w:lineRule="auto"/>
        <w:ind w:firstLine="420" w:firstLineChars="200"/>
        <w:rPr>
          <w:rFonts w:hAnsi="宋体" w:cs="宋体"/>
          <w:kern w:val="0"/>
        </w:rPr>
      </w:pPr>
      <w:r>
        <w:rPr>
          <w:rFonts w:hint="eastAsia" w:hAnsi="宋体" w:cs="宋体"/>
          <w:kern w:val="0"/>
        </w:rPr>
        <w:t>热电联产企业易出现投入量分劈错误，从而导致火力发电或供热转换效率不合理（过高或过低）。</w:t>
      </w:r>
    </w:p>
    <w:p>
      <w:pPr>
        <w:pStyle w:val="10"/>
        <w:adjustRightInd w:val="0"/>
        <w:snapToGrid w:val="0"/>
        <w:spacing w:line="312" w:lineRule="auto"/>
        <w:rPr>
          <w:rFonts w:hAnsi="宋体" w:cs="宋体"/>
          <w:color w:val="000000"/>
        </w:rPr>
      </w:pPr>
      <w:r>
        <w:rPr>
          <w:rFonts w:hint="eastAsia" w:hAnsi="宋体" w:cs="宋体"/>
          <w:kern w:val="0"/>
        </w:rPr>
        <w:t>个别企业出现加工转换效率（如炼油）超100%的不合理情况。</w:t>
      </w:r>
    </w:p>
    <w:p>
      <w:pPr>
        <w:pStyle w:val="10"/>
        <w:numPr>
          <w:ilvl w:val="0"/>
          <w:numId w:val="5"/>
        </w:numPr>
        <w:adjustRightInd w:val="0"/>
        <w:snapToGrid w:val="0"/>
        <w:spacing w:line="312" w:lineRule="auto"/>
        <w:ind w:firstLine="421" w:firstLineChars="200"/>
        <w:rPr>
          <w:rFonts w:hAnsi="宋体" w:cs="宋体"/>
          <w:b/>
          <w:bCs/>
          <w:kern w:val="0"/>
        </w:rPr>
      </w:pPr>
      <w:r>
        <w:rPr>
          <w:rFonts w:hint="eastAsia" w:hAnsi="宋体" w:cs="宋体"/>
          <w:b/>
          <w:bCs/>
          <w:kern w:val="0"/>
        </w:rPr>
        <w:t>井水与矿井水如何区分？</w:t>
      </w:r>
    </w:p>
    <w:p>
      <w:pPr>
        <w:pStyle w:val="10"/>
        <w:adjustRightInd w:val="0"/>
        <w:snapToGrid w:val="0"/>
        <w:spacing w:line="312" w:lineRule="auto"/>
        <w:ind w:firstLine="420" w:firstLineChars="200"/>
        <w:rPr>
          <w:rFonts w:hAnsi="宋体" w:cs="宋体"/>
        </w:rPr>
      </w:pPr>
      <w:r>
        <w:rPr>
          <w:rFonts w:hint="eastAsia" w:hAnsi="宋体" w:cs="宋体"/>
          <w:kern w:val="0"/>
        </w:rPr>
        <w:t>井水与矿井水，名字很接近，但性质不同。井水为地下淡水，不能错填为矿井水。矿井水指在采矿过程中，由于矿床开采破坏了地下水原始赋存状态而产生导水裂隙，使周围水沿着原有的和新的裂隙渗入井下采掘空间进而形成的矿井涌水。</w:t>
      </w:r>
    </w:p>
    <w:p>
      <w:pPr>
        <w:numPr>
          <w:ilvl w:val="0"/>
          <w:numId w:val="5"/>
        </w:numPr>
        <w:snapToGrid w:val="0"/>
        <w:spacing w:line="312" w:lineRule="auto"/>
        <w:ind w:firstLine="421" w:firstLineChars="200"/>
        <w:jc w:val="left"/>
        <w:rPr>
          <w:rFonts w:ascii="宋体" w:hAnsi="宋体" w:cs="宋体"/>
          <w:b/>
          <w:szCs w:val="21"/>
        </w:rPr>
      </w:pPr>
      <w:r>
        <w:rPr>
          <w:rFonts w:hint="eastAsia" w:ascii="宋体" w:hAnsi="宋体" w:cs="宋体"/>
          <w:b/>
          <w:szCs w:val="21"/>
        </w:rPr>
        <w:t>怎样才是再生水取水量？</w:t>
      </w:r>
    </w:p>
    <w:p>
      <w:pPr>
        <w:snapToGrid w:val="0"/>
        <w:spacing w:line="312" w:lineRule="auto"/>
        <w:jc w:val="left"/>
        <w:rPr>
          <w:rFonts w:ascii="宋体" w:hAnsi="宋体" w:cs="宋体"/>
          <w:szCs w:val="21"/>
        </w:rPr>
      </w:pPr>
      <w:r>
        <w:rPr>
          <w:rFonts w:hint="eastAsia" w:ascii="宋体" w:hAnsi="宋体" w:cs="宋体"/>
          <w:szCs w:val="21"/>
        </w:rPr>
        <w:t xml:space="preserve">    必须是用于最终消费的才填报再生水的取水量。</w:t>
      </w:r>
    </w:p>
    <w:p>
      <w:pPr>
        <w:snapToGrid w:val="0"/>
        <w:spacing w:line="312" w:lineRule="auto"/>
        <w:jc w:val="left"/>
        <w:rPr>
          <w:rFonts w:ascii="宋体" w:hAnsi="宋体" w:cs="宋体"/>
          <w:szCs w:val="21"/>
        </w:rPr>
      </w:pPr>
      <w:r>
        <w:rPr>
          <w:rFonts w:hint="eastAsia" w:ascii="宋体" w:hAnsi="宋体" w:cs="宋体"/>
          <w:szCs w:val="21"/>
        </w:rPr>
        <w:t xml:space="preserve">    同时，再生水不填报外供量。</w:t>
      </w:r>
    </w:p>
    <w:p>
      <w:pPr>
        <w:numPr>
          <w:ilvl w:val="0"/>
          <w:numId w:val="5"/>
        </w:numPr>
        <w:snapToGrid w:val="0"/>
        <w:spacing w:line="312" w:lineRule="auto"/>
        <w:ind w:firstLine="421" w:firstLineChars="200"/>
        <w:jc w:val="left"/>
        <w:rPr>
          <w:rFonts w:ascii="宋体" w:hAnsi="宋体" w:cs="宋体"/>
          <w:b/>
          <w:szCs w:val="21"/>
        </w:rPr>
      </w:pPr>
      <w:r>
        <w:rPr>
          <w:rFonts w:hint="eastAsia" w:ascii="宋体" w:hAnsi="宋体" w:cs="宋体"/>
          <w:b/>
          <w:szCs w:val="21"/>
        </w:rPr>
        <w:t>自来水生产企业外供水怎么填报？</w:t>
      </w:r>
    </w:p>
    <w:p>
      <w:pPr>
        <w:pStyle w:val="10"/>
        <w:adjustRightInd w:val="0"/>
        <w:snapToGrid w:val="0"/>
        <w:spacing w:line="312" w:lineRule="auto"/>
        <w:ind w:firstLine="420" w:firstLineChars="200"/>
        <w:rPr>
          <w:rFonts w:hAnsi="宋体" w:cs="宋体"/>
          <w:kern w:val="0"/>
        </w:rPr>
      </w:pPr>
      <w:r>
        <w:rPr>
          <w:rFonts w:hint="eastAsia" w:hAnsi="宋体" w:cs="宋体"/>
          <w:kern w:val="0"/>
        </w:rPr>
        <w:t>自来水生产企业外供水量应以离厂水量为准，应包括管道漏损量。其外供水量占取水量的比重一般不应低于85%。</w:t>
      </w:r>
    </w:p>
    <w:p>
      <w:pPr>
        <w:pStyle w:val="10"/>
        <w:adjustRightInd w:val="0"/>
        <w:snapToGrid w:val="0"/>
        <w:spacing w:line="312" w:lineRule="auto"/>
        <w:ind w:firstLine="420" w:firstLineChars="200"/>
        <w:rPr>
          <w:rFonts w:hAnsi="宋体" w:cs="宋体"/>
        </w:rPr>
      </w:pPr>
      <w:r>
        <w:rPr>
          <w:rFonts w:hint="eastAsia" w:hAnsi="宋体" w:cs="宋体"/>
          <w:kern w:val="0"/>
        </w:rPr>
        <w:t>要注意其外供水量与工业B204-1表的自来水生产量之间的对比审核。</w:t>
      </w:r>
    </w:p>
    <w:p>
      <w:pPr>
        <w:numPr>
          <w:ilvl w:val="0"/>
          <w:numId w:val="5"/>
        </w:numPr>
        <w:snapToGrid w:val="0"/>
        <w:spacing w:line="312" w:lineRule="auto"/>
        <w:ind w:firstLine="421" w:firstLineChars="200"/>
        <w:jc w:val="left"/>
        <w:rPr>
          <w:rFonts w:ascii="宋体" w:hAnsi="宋体" w:cs="宋体"/>
          <w:b/>
          <w:szCs w:val="21"/>
        </w:rPr>
      </w:pPr>
      <w:r>
        <w:rPr>
          <w:rFonts w:hint="eastAsia" w:ascii="宋体" w:hAnsi="宋体" w:cs="宋体"/>
          <w:b/>
          <w:szCs w:val="21"/>
        </w:rPr>
        <w:t>直流冷却水怎么填报？</w:t>
      </w:r>
    </w:p>
    <w:p>
      <w:pPr>
        <w:snapToGrid w:val="0"/>
        <w:spacing w:line="312" w:lineRule="auto"/>
        <w:jc w:val="left"/>
        <w:rPr>
          <w:rFonts w:ascii="宋体" w:hAnsi="宋体" w:cs="宋体"/>
          <w:szCs w:val="21"/>
        </w:rPr>
      </w:pPr>
      <w:r>
        <w:rPr>
          <w:rFonts w:hint="eastAsia" w:ascii="宋体" w:hAnsi="宋体" w:cs="宋体"/>
          <w:szCs w:val="21"/>
        </w:rPr>
        <w:t xml:space="preserve">    多见于火（核）电企业。</w:t>
      </w:r>
    </w:p>
    <w:p>
      <w:pPr>
        <w:snapToGrid w:val="0"/>
        <w:spacing w:line="312" w:lineRule="auto"/>
        <w:jc w:val="left"/>
        <w:rPr>
          <w:rFonts w:ascii="宋体" w:hAnsi="宋体" w:cs="宋体"/>
          <w:szCs w:val="21"/>
        </w:rPr>
      </w:pPr>
      <w:r>
        <w:rPr>
          <w:rFonts w:hint="eastAsia" w:ascii="宋体" w:hAnsi="宋体" w:cs="宋体"/>
          <w:szCs w:val="21"/>
        </w:rPr>
        <w:t xml:space="preserve">    直流冷却水不填报取水量、外供水量、外排水量。</w:t>
      </w:r>
    </w:p>
    <w:p>
      <w:pPr>
        <w:snapToGrid w:val="0"/>
        <w:spacing w:line="312" w:lineRule="auto"/>
        <w:jc w:val="left"/>
        <w:rPr>
          <w:rFonts w:ascii="宋体" w:hAnsi="宋体" w:cs="宋体"/>
          <w:szCs w:val="21"/>
        </w:rPr>
      </w:pPr>
      <w:r>
        <w:rPr>
          <w:rFonts w:hint="eastAsia" w:ascii="宋体" w:hAnsi="宋体" w:cs="宋体"/>
          <w:szCs w:val="21"/>
        </w:rPr>
        <w:t xml:space="preserve">    企业从直流冷却水系统中取水用做其他用途的部分，应计入取水量。</w:t>
      </w:r>
    </w:p>
    <w:p>
      <w:pPr>
        <w:numPr>
          <w:ilvl w:val="0"/>
          <w:numId w:val="5"/>
        </w:numPr>
        <w:snapToGrid w:val="0"/>
        <w:spacing w:line="312" w:lineRule="auto"/>
        <w:ind w:firstLine="421" w:firstLineChars="200"/>
        <w:jc w:val="left"/>
        <w:rPr>
          <w:rFonts w:ascii="宋体" w:hAnsi="宋体" w:cs="宋体"/>
          <w:b/>
          <w:szCs w:val="21"/>
        </w:rPr>
      </w:pPr>
      <w:r>
        <w:rPr>
          <w:rFonts w:hint="eastAsia" w:ascii="宋体" w:hAnsi="宋体" w:cs="宋体"/>
          <w:b/>
          <w:szCs w:val="21"/>
        </w:rPr>
        <w:t>重复用水如何填报？</w:t>
      </w:r>
    </w:p>
    <w:p>
      <w:pPr>
        <w:snapToGrid w:val="0"/>
        <w:spacing w:line="312" w:lineRule="auto"/>
        <w:jc w:val="left"/>
        <w:rPr>
          <w:rFonts w:ascii="宋体" w:hAnsi="宋体" w:cs="宋体"/>
          <w:szCs w:val="21"/>
        </w:rPr>
      </w:pPr>
      <w:r>
        <w:rPr>
          <w:rFonts w:hint="eastAsia" w:ascii="宋体" w:hAnsi="宋体" w:cs="宋体"/>
          <w:szCs w:val="21"/>
        </w:rPr>
        <w:t xml:space="preserve">    重复用水主要表现为三种情况：</w:t>
      </w:r>
    </w:p>
    <w:p>
      <w:pPr>
        <w:snapToGrid w:val="0"/>
        <w:spacing w:line="312" w:lineRule="auto"/>
        <w:ind w:firstLine="420" w:firstLineChars="200"/>
        <w:jc w:val="left"/>
        <w:rPr>
          <w:rFonts w:ascii="宋体" w:hAnsi="宋体" w:cs="宋体"/>
          <w:color w:val="000000"/>
          <w:szCs w:val="21"/>
        </w:rPr>
      </w:pPr>
      <w:r>
        <w:rPr>
          <w:rFonts w:hint="eastAsia" w:ascii="宋体" w:hAnsi="宋体" w:cs="宋体"/>
          <w:color w:val="000000"/>
          <w:szCs w:val="21"/>
        </w:rPr>
        <w:t>1.循环水：指在确定的用水单元或系统内，生产过程中已用过、再循环用于同一过程的水。循环水量循环使用一次计算一次。</w:t>
      </w:r>
    </w:p>
    <w:p>
      <w:pPr>
        <w:snapToGrid w:val="0"/>
        <w:spacing w:line="312" w:lineRule="auto"/>
        <w:ind w:firstLine="420" w:firstLineChars="200"/>
        <w:jc w:val="left"/>
        <w:rPr>
          <w:rFonts w:ascii="宋体" w:hAnsi="宋体" w:cs="宋体"/>
          <w:color w:val="000000"/>
          <w:szCs w:val="21"/>
        </w:rPr>
      </w:pPr>
      <w:r>
        <w:rPr>
          <w:rFonts w:hint="eastAsia" w:ascii="宋体" w:hAnsi="宋体" w:cs="宋体"/>
          <w:color w:val="000000"/>
          <w:szCs w:val="21"/>
        </w:rPr>
        <w:t>2.串联水：指在确定的用水单元或系统，由生产过程中产生的或使用后、再用于另一单元或系统的水。串联水量重复使用一次计算一次。</w:t>
      </w:r>
    </w:p>
    <w:p>
      <w:pPr>
        <w:snapToGrid w:val="0"/>
        <w:spacing w:line="312" w:lineRule="auto"/>
        <w:ind w:firstLine="420" w:firstLineChars="200"/>
        <w:jc w:val="left"/>
        <w:rPr>
          <w:rFonts w:ascii="宋体" w:hAnsi="宋体" w:cs="宋体"/>
          <w:szCs w:val="21"/>
        </w:rPr>
      </w:pPr>
      <w:r>
        <w:rPr>
          <w:rFonts w:hint="eastAsia" w:ascii="宋体" w:hAnsi="宋体" w:cs="宋体"/>
          <w:color w:val="000000"/>
          <w:szCs w:val="21"/>
        </w:rPr>
        <w:t>3.回用水：指企业产生的，没有排放而是直接或经处理后再利用于某一用水单元或系统的水。回用水量回用一次计算一次。</w:t>
      </w:r>
    </w:p>
    <w:p>
      <w:pPr>
        <w:numPr>
          <w:ilvl w:val="0"/>
          <w:numId w:val="5"/>
        </w:numPr>
        <w:snapToGrid w:val="0"/>
        <w:spacing w:line="312" w:lineRule="auto"/>
        <w:ind w:firstLine="421" w:firstLineChars="200"/>
        <w:jc w:val="left"/>
        <w:rPr>
          <w:rFonts w:ascii="宋体" w:hAnsi="宋体" w:cs="宋体"/>
          <w:b/>
          <w:szCs w:val="21"/>
        </w:rPr>
      </w:pPr>
      <w:r>
        <w:rPr>
          <w:rFonts w:hint="eastAsia" w:ascii="宋体" w:hAnsi="宋体" w:cs="宋体"/>
          <w:b/>
          <w:szCs w:val="21"/>
        </w:rPr>
        <w:t>工业企业用水情况表中其它水包括</w:t>
      </w:r>
      <w:r>
        <w:rPr>
          <w:rFonts w:hint="eastAsia" w:ascii="宋体" w:hAnsi="宋体" w:cs="宋体"/>
          <w:b/>
          <w:szCs w:val="21"/>
          <w:lang w:eastAsia="zh-CN"/>
        </w:rPr>
        <w:t>哪</w:t>
      </w:r>
      <w:r>
        <w:rPr>
          <w:rFonts w:hint="eastAsia" w:ascii="宋体" w:hAnsi="宋体" w:cs="宋体"/>
          <w:b/>
          <w:szCs w:val="21"/>
        </w:rPr>
        <w:t>些水？</w:t>
      </w:r>
    </w:p>
    <w:p>
      <w:pPr>
        <w:snapToGrid w:val="0"/>
        <w:spacing w:line="312" w:lineRule="auto"/>
        <w:ind w:firstLine="420" w:firstLineChars="200"/>
        <w:jc w:val="left"/>
        <w:rPr>
          <w:rFonts w:ascii="宋体" w:hAnsi="宋体" w:cs="宋体"/>
          <w:szCs w:val="21"/>
        </w:rPr>
      </w:pPr>
      <w:r>
        <w:rPr>
          <w:rFonts w:hint="eastAsia" w:ascii="宋体" w:hAnsi="宋体" w:cs="宋体"/>
          <w:szCs w:val="21"/>
        </w:rPr>
        <w:t>其它水指报表中前9个水资源品种没有涵盖的，或者界定不清的水及水的产品。包括：软化水、除盐水、蒸汽（需折算成同等质量的水）、蒸汽冷凝水、管道供应的热水、瓶（桶）装纯净水、矿泉水、经过初步处理未达到自来水标准的水。</w:t>
      </w:r>
    </w:p>
    <w:p>
      <w:pPr>
        <w:snapToGrid w:val="0"/>
        <w:spacing w:line="312" w:lineRule="auto"/>
        <w:ind w:firstLine="420" w:firstLineChars="200"/>
        <w:jc w:val="left"/>
        <w:rPr>
          <w:rFonts w:ascii="宋体" w:hAnsi="宋体" w:cs="宋体"/>
          <w:szCs w:val="21"/>
        </w:rPr>
      </w:pPr>
      <w:r>
        <w:rPr>
          <w:rFonts w:hint="eastAsia" w:ascii="宋体" w:hAnsi="宋体" w:cs="宋体"/>
          <w:szCs w:val="21"/>
        </w:rPr>
        <w:t>不包括：北方地区城镇热力网内循环的热水；地热水、碳酸饮料、茶饮料、果汁饮料、酒类、污（废）水。</w:t>
      </w:r>
    </w:p>
    <w:p>
      <w:pPr>
        <w:numPr>
          <w:ilvl w:val="0"/>
          <w:numId w:val="5"/>
        </w:numPr>
        <w:snapToGrid w:val="0"/>
        <w:spacing w:line="312" w:lineRule="auto"/>
        <w:ind w:firstLine="421" w:firstLineChars="200"/>
        <w:rPr>
          <w:rFonts w:ascii="宋体" w:hAnsi="宋体" w:cs="宋体"/>
          <w:b/>
          <w:color w:val="000000"/>
          <w:szCs w:val="21"/>
        </w:rPr>
      </w:pPr>
      <w:r>
        <w:rPr>
          <w:rFonts w:hint="eastAsia" w:ascii="宋体" w:hAnsi="宋体" w:cs="宋体"/>
          <w:b/>
          <w:color w:val="000000"/>
          <w:szCs w:val="21"/>
        </w:rPr>
        <w:t>企业能耗不在本地区怎么统计？</w:t>
      </w:r>
    </w:p>
    <w:p>
      <w:pPr>
        <w:snapToGrid w:val="0"/>
        <w:spacing w:line="312" w:lineRule="auto"/>
        <w:ind w:firstLine="420" w:firstLineChars="200"/>
        <w:rPr>
          <w:rFonts w:ascii="宋体" w:hAnsi="宋体" w:cs="宋体"/>
          <w:color w:val="000000"/>
          <w:szCs w:val="21"/>
        </w:rPr>
      </w:pPr>
      <w:r>
        <w:rPr>
          <w:rFonts w:hint="eastAsia" w:ascii="宋体" w:hAnsi="宋体" w:cs="宋体"/>
          <w:color w:val="000000"/>
          <w:szCs w:val="21"/>
        </w:rPr>
        <w:t>工业、建筑业、交通运输业、批发零售业、住宿餐饮业、通信、银行等相关行业，出现能耗不在本地区消费情况，如大型建筑业企业，在全国各地都有工地；大型连锁企业，在外地有连锁企业分部；银行、移动公司在分地市有分行、分公司、子公司等。其能耗统计方法：</w:t>
      </w:r>
      <w:r>
        <w:rPr>
          <w:rFonts w:hint="eastAsia" w:ascii="宋体" w:hAnsi="宋体" w:cs="宋体"/>
          <w:color w:val="000000"/>
          <w:szCs w:val="21"/>
        </w:rPr>
        <w:cr/>
      </w:r>
      <w:r>
        <w:rPr>
          <w:rFonts w:hint="eastAsia" w:ascii="宋体" w:hAnsi="宋体" w:cs="宋体"/>
          <w:color w:val="000000"/>
          <w:szCs w:val="21"/>
        </w:rPr>
        <w:t xml:space="preserve">    若外地单位为法人单位或视同法人单位，则能耗遵循在地统计原则，不应在总公司进行统计；统计时不能包括同级或下属法人及其它任何单位的消费量。</w:t>
      </w:r>
      <w:r>
        <w:rPr>
          <w:rFonts w:hint="eastAsia" w:ascii="宋体" w:hAnsi="宋体" w:cs="宋体"/>
          <w:color w:val="000000"/>
          <w:szCs w:val="21"/>
        </w:rPr>
        <w:cr/>
      </w:r>
      <w:r>
        <w:rPr>
          <w:rFonts w:hint="eastAsia" w:ascii="宋体" w:hAnsi="宋体" w:cs="宋体"/>
          <w:color w:val="000000"/>
          <w:szCs w:val="21"/>
        </w:rPr>
        <w:t xml:space="preserve">    若外地单位为产业活动单位，由其归属法人单位进行统计，能耗统计口径与产值统计口径一致。</w:t>
      </w:r>
    </w:p>
    <w:p>
      <w:pPr>
        <w:snapToGrid w:val="0"/>
        <w:spacing w:line="312" w:lineRule="auto"/>
        <w:ind w:firstLine="421" w:firstLineChars="200"/>
        <w:rPr>
          <w:rFonts w:ascii="宋体" w:hAnsi="宋体" w:cs="宋体"/>
          <w:b/>
          <w:color w:val="000000"/>
          <w:szCs w:val="21"/>
        </w:rPr>
      </w:pPr>
      <w:r>
        <w:rPr>
          <w:rFonts w:hint="eastAsia" w:ascii="宋体" w:hAnsi="宋体" w:cs="宋体"/>
          <w:b/>
          <w:color w:val="000000"/>
          <w:szCs w:val="21"/>
        </w:rPr>
        <w:t>24. 外包工程能耗怎么统计？</w:t>
      </w:r>
    </w:p>
    <w:p>
      <w:pPr>
        <w:snapToGrid w:val="0"/>
        <w:spacing w:line="312" w:lineRule="auto"/>
        <w:ind w:firstLine="420" w:firstLineChars="200"/>
        <w:rPr>
          <w:rFonts w:ascii="宋体" w:hAnsi="宋体" w:cs="宋体"/>
          <w:color w:val="000000"/>
          <w:szCs w:val="21"/>
        </w:rPr>
      </w:pPr>
      <w:r>
        <w:rPr>
          <w:rFonts w:hint="eastAsia" w:ascii="宋体" w:hAnsi="宋体" w:cs="宋体"/>
          <w:color w:val="000000"/>
          <w:szCs w:val="21"/>
        </w:rPr>
        <w:t>如某单位将某项工程外包给别的单位，按照谁消费谁统计的原则，能耗应由外单位统计。</w:t>
      </w:r>
    </w:p>
    <w:p>
      <w:pPr>
        <w:snapToGrid w:val="0"/>
        <w:spacing w:line="312" w:lineRule="auto"/>
        <w:ind w:firstLine="421" w:firstLineChars="200"/>
        <w:rPr>
          <w:rFonts w:ascii="宋体" w:hAnsi="宋体" w:cs="宋体"/>
          <w:b/>
          <w:color w:val="000000"/>
          <w:szCs w:val="21"/>
        </w:rPr>
      </w:pPr>
      <w:r>
        <w:rPr>
          <w:rFonts w:hint="eastAsia" w:ascii="宋体" w:hAnsi="宋体" w:cs="宋体"/>
          <w:b/>
          <w:color w:val="000000"/>
          <w:szCs w:val="21"/>
        </w:rPr>
        <w:t>25. 企事业单位用油怎么统计？</w:t>
      </w:r>
    </w:p>
    <w:p>
      <w:pPr>
        <w:snapToGrid w:val="0"/>
        <w:spacing w:line="312" w:lineRule="auto"/>
        <w:ind w:firstLine="420" w:firstLineChars="200"/>
        <w:rPr>
          <w:rFonts w:ascii="宋体" w:hAnsi="宋体" w:cs="宋体"/>
          <w:color w:val="000000"/>
          <w:szCs w:val="21"/>
        </w:rPr>
      </w:pPr>
      <w:r>
        <w:rPr>
          <w:rFonts w:hint="eastAsia" w:ascii="宋体" w:hAnsi="宋体" w:cs="宋体"/>
          <w:color w:val="000000"/>
          <w:szCs w:val="21"/>
        </w:rPr>
        <w:t>若车辆属于企事业单位，用于维持企事业单位正常生产运转的用油，则计算在企事业单位能源消费中。下列情况不计算在企事业单位的能源消费内：</w:t>
      </w:r>
      <w:r>
        <w:rPr>
          <w:rFonts w:hint="eastAsia" w:ascii="宋体" w:hAnsi="宋体" w:cs="宋体"/>
          <w:color w:val="000000"/>
          <w:szCs w:val="21"/>
        </w:rPr>
        <w:cr/>
      </w:r>
      <w:r>
        <w:rPr>
          <w:rFonts w:hint="eastAsia" w:ascii="宋体" w:hAnsi="宋体" w:cs="宋体"/>
          <w:color w:val="000000"/>
          <w:szCs w:val="21"/>
        </w:rPr>
        <w:t xml:space="preserve">    （1）购买加油卡发给员工相应油量；</w:t>
      </w:r>
      <w:r>
        <w:rPr>
          <w:rFonts w:hint="eastAsia" w:ascii="宋体" w:hAnsi="宋体" w:cs="宋体"/>
          <w:color w:val="000000"/>
          <w:szCs w:val="21"/>
        </w:rPr>
        <w:cr/>
      </w:r>
      <w:r>
        <w:rPr>
          <w:rFonts w:hint="eastAsia" w:ascii="宋体" w:hAnsi="宋体" w:cs="宋体"/>
          <w:color w:val="000000"/>
          <w:szCs w:val="21"/>
        </w:rPr>
        <w:t xml:space="preserve">    （2）员工打车报销车费相应用油量；</w:t>
      </w:r>
      <w:r>
        <w:rPr>
          <w:rFonts w:hint="eastAsia" w:ascii="宋体" w:hAnsi="宋体" w:cs="宋体"/>
          <w:color w:val="000000"/>
          <w:szCs w:val="21"/>
        </w:rPr>
        <w:cr/>
      </w:r>
      <w:r>
        <w:rPr>
          <w:rFonts w:hint="eastAsia" w:ascii="宋体" w:hAnsi="宋体" w:cs="宋体"/>
          <w:color w:val="000000"/>
          <w:szCs w:val="21"/>
        </w:rPr>
        <w:t xml:space="preserve">    （3）单位给员工发的固定用油金额相应油量。</w:t>
      </w:r>
    </w:p>
    <w:p>
      <w:pPr>
        <w:snapToGrid w:val="0"/>
        <w:spacing w:line="312" w:lineRule="auto"/>
        <w:ind w:firstLine="421" w:firstLineChars="200"/>
        <w:rPr>
          <w:rFonts w:ascii="宋体" w:hAnsi="宋体" w:cs="宋体"/>
          <w:b/>
          <w:color w:val="000000"/>
          <w:szCs w:val="21"/>
        </w:rPr>
      </w:pPr>
      <w:r>
        <w:rPr>
          <w:rFonts w:hint="eastAsia" w:ascii="宋体" w:hAnsi="宋体" w:cs="宋体"/>
          <w:b/>
          <w:color w:val="000000"/>
          <w:szCs w:val="21"/>
        </w:rPr>
        <w:t>26. 水运企业能耗怎么统计？</w:t>
      </w:r>
    </w:p>
    <w:p>
      <w:pPr>
        <w:snapToGrid w:val="0"/>
        <w:spacing w:line="312" w:lineRule="auto"/>
        <w:ind w:firstLine="420" w:firstLineChars="200"/>
        <w:rPr>
          <w:rFonts w:ascii="宋体" w:hAnsi="宋体" w:cs="宋体"/>
          <w:color w:val="000000"/>
          <w:szCs w:val="21"/>
        </w:rPr>
      </w:pPr>
      <w:r>
        <w:rPr>
          <w:rFonts w:hint="eastAsia" w:ascii="宋体" w:hAnsi="宋体" w:cs="宋体"/>
          <w:color w:val="000000"/>
          <w:szCs w:val="21"/>
        </w:rPr>
        <w:t>水上运输企业将船舶租给承租方，相关船舶的能源消费应按照谁消费谁统计的原则来统计。</w:t>
      </w:r>
    </w:p>
    <w:p>
      <w:pPr>
        <w:snapToGrid w:val="0"/>
        <w:spacing w:line="312" w:lineRule="auto"/>
        <w:ind w:firstLine="420" w:firstLineChars="200"/>
        <w:rPr>
          <w:rFonts w:ascii="宋体" w:hAnsi="宋体" w:cs="宋体"/>
          <w:color w:val="000000"/>
          <w:szCs w:val="21"/>
        </w:rPr>
      </w:pPr>
      <w:r>
        <w:rPr>
          <w:rFonts w:hint="eastAsia" w:ascii="宋体" w:hAnsi="宋体" w:cs="宋体"/>
          <w:color w:val="000000"/>
          <w:szCs w:val="21"/>
        </w:rPr>
        <w:t>简单而言，光租和期租两种形式的能源消费统计在承租方，程租形式的能源消费统计在水上运输企业。</w:t>
      </w:r>
    </w:p>
    <w:p>
      <w:pPr>
        <w:numPr>
          <w:ilvl w:val="0"/>
          <w:numId w:val="6"/>
        </w:numPr>
        <w:snapToGrid w:val="0"/>
        <w:spacing w:line="312" w:lineRule="auto"/>
        <w:ind w:firstLine="421" w:firstLineChars="200"/>
        <w:rPr>
          <w:rFonts w:ascii="宋体" w:hAnsi="宋体" w:cs="宋体"/>
          <w:b/>
          <w:color w:val="000000"/>
          <w:szCs w:val="21"/>
        </w:rPr>
      </w:pPr>
      <w:r>
        <w:rPr>
          <w:rFonts w:hint="eastAsia" w:ascii="宋体" w:hAnsi="宋体" w:cs="宋体"/>
          <w:b/>
          <w:color w:val="000000"/>
          <w:szCs w:val="21"/>
        </w:rPr>
        <w:t>商场能耗如何统计？</w:t>
      </w:r>
    </w:p>
    <w:p>
      <w:pPr>
        <w:snapToGrid w:val="0"/>
        <w:spacing w:line="312" w:lineRule="auto"/>
        <w:ind w:firstLine="420" w:firstLineChars="200"/>
        <w:rPr>
          <w:rFonts w:hint="eastAsia" w:ascii="宋体" w:hAnsi="宋体" w:cs="宋体"/>
          <w:color w:val="000000"/>
          <w:szCs w:val="21"/>
        </w:rPr>
      </w:pPr>
      <w:r>
        <w:rPr>
          <w:rFonts w:hint="eastAsia" w:ascii="宋体" w:hAnsi="宋体" w:cs="宋体"/>
          <w:color w:val="000000"/>
          <w:szCs w:val="21"/>
        </w:rPr>
        <w:t>大型商场中，部分品牌销售商在其店内销售商品。</w:t>
      </w:r>
      <w:r>
        <w:rPr>
          <w:rFonts w:hint="eastAsia" w:ascii="宋体" w:hAnsi="宋体" w:cs="宋体"/>
          <w:color w:val="000000"/>
          <w:szCs w:val="21"/>
        </w:rPr>
        <w:cr/>
      </w:r>
      <w:r>
        <w:rPr>
          <w:rFonts w:hint="eastAsia" w:ascii="宋体" w:hAnsi="宋体" w:cs="宋体"/>
          <w:color w:val="000000"/>
          <w:szCs w:val="21"/>
        </w:rPr>
        <w:t xml:space="preserve">    （1）若销售商自己支付所使用电力的电费，则该部分电力消费应算在销售商能源消费中；</w:t>
      </w:r>
      <w:r>
        <w:rPr>
          <w:rFonts w:hint="eastAsia" w:ascii="宋体" w:hAnsi="宋体" w:cs="宋体"/>
          <w:color w:val="000000"/>
          <w:szCs w:val="21"/>
        </w:rPr>
        <w:cr/>
      </w:r>
      <w:r>
        <w:rPr>
          <w:rFonts w:hint="eastAsia" w:ascii="宋体" w:hAnsi="宋体" w:cs="宋体"/>
          <w:color w:val="000000"/>
          <w:szCs w:val="21"/>
        </w:rPr>
        <w:t xml:space="preserve">    （2）若销售商向商场交管理费用，内含电费，而商场将电费单据交给销售商，则该部分电力消费也应算在销售商能源消费中；</w:t>
      </w:r>
      <w:r>
        <w:rPr>
          <w:rFonts w:hint="eastAsia" w:ascii="宋体" w:hAnsi="宋体" w:cs="宋体"/>
          <w:color w:val="000000"/>
          <w:szCs w:val="21"/>
        </w:rPr>
        <w:cr/>
      </w:r>
      <w:r>
        <w:rPr>
          <w:rFonts w:hint="eastAsia" w:ascii="宋体" w:hAnsi="宋体" w:cs="宋体"/>
          <w:color w:val="000000"/>
          <w:szCs w:val="21"/>
        </w:rPr>
        <w:t xml:space="preserve">    （3）若商场未将电费单据交给销售商，则该部分电力消费应算在商场能源消费中。</w:t>
      </w:r>
    </w:p>
    <w:p>
      <w:pPr>
        <w:pStyle w:val="2"/>
      </w:pPr>
    </w:p>
    <w:p>
      <w:pPr>
        <w:numPr>
          <w:ilvl w:val="0"/>
          <w:numId w:val="6"/>
        </w:numPr>
        <w:snapToGrid w:val="0"/>
        <w:spacing w:line="312" w:lineRule="auto"/>
        <w:ind w:firstLine="421" w:firstLineChars="200"/>
        <w:rPr>
          <w:rFonts w:ascii="宋体" w:hAnsi="宋体" w:cs="宋体"/>
          <w:b/>
          <w:color w:val="000000"/>
          <w:szCs w:val="21"/>
        </w:rPr>
      </w:pPr>
      <w:r>
        <w:rPr>
          <w:rFonts w:hint="eastAsia" w:ascii="宋体" w:hAnsi="宋体" w:cs="宋体"/>
          <w:b/>
          <w:color w:val="000000"/>
          <w:szCs w:val="21"/>
        </w:rPr>
        <w:t>非工业耗能企业有加工转换如何填报？</w:t>
      </w:r>
    </w:p>
    <w:p>
      <w:pPr>
        <w:snapToGrid w:val="0"/>
        <w:spacing w:line="312" w:lineRule="auto"/>
        <w:ind w:firstLine="420" w:firstLineChars="200"/>
        <w:rPr>
          <w:rFonts w:ascii="宋体" w:hAnsi="宋体" w:cs="宋体"/>
          <w:color w:val="000000"/>
          <w:szCs w:val="21"/>
        </w:rPr>
      </w:pPr>
      <w:r>
        <w:rPr>
          <w:rFonts w:hint="eastAsia" w:ascii="宋体" w:hAnsi="宋体" w:cs="宋体"/>
          <w:color w:val="000000"/>
          <w:szCs w:val="21"/>
        </w:rPr>
        <w:t>有加工转换的非工业耗能单位（极少情况），只统计首次投入使用的能源消费量。如柴油发电，只统计柴油消费量，发出的电力，不管是本单位消费，还是给别的单位消费，都不统计在本单位的电力消费量内，但外购的电力应统计在本单位的电力消费量内。</w:t>
      </w:r>
    </w:p>
    <w:p>
      <w:pPr>
        <w:numPr>
          <w:ilvl w:val="0"/>
          <w:numId w:val="6"/>
        </w:numPr>
        <w:snapToGrid w:val="0"/>
        <w:spacing w:line="312" w:lineRule="auto"/>
        <w:ind w:firstLine="421" w:firstLineChars="200"/>
        <w:rPr>
          <w:rFonts w:ascii="宋体" w:hAnsi="宋体" w:cs="宋体"/>
          <w:b/>
          <w:bCs/>
          <w:szCs w:val="21"/>
        </w:rPr>
      </w:pPr>
      <w:r>
        <w:rPr>
          <w:rFonts w:hint="eastAsia" w:ascii="宋体" w:hAnsi="宋体" w:cs="宋体"/>
          <w:b/>
          <w:bCs/>
          <w:szCs w:val="21"/>
        </w:rPr>
        <w:t>润滑油生产企业如何填报能源产品产量？</w:t>
      </w:r>
    </w:p>
    <w:p>
      <w:pPr>
        <w:snapToGrid w:val="0"/>
        <w:spacing w:line="312" w:lineRule="auto"/>
        <w:ind w:firstLine="420"/>
        <w:rPr>
          <w:rFonts w:ascii="宋体" w:hAnsi="宋体" w:cs="宋体"/>
          <w:szCs w:val="21"/>
        </w:rPr>
      </w:pPr>
      <w:r>
        <w:rPr>
          <w:rFonts w:hint="eastAsia" w:ascii="宋体" w:hAnsi="宋体" w:cs="宋体"/>
          <w:szCs w:val="21"/>
        </w:rPr>
        <w:t>请确认是不是基础油调剂生产的润滑油！</w:t>
      </w:r>
    </w:p>
    <w:p>
      <w:pPr>
        <w:snapToGrid w:val="0"/>
        <w:spacing w:line="312" w:lineRule="auto"/>
        <w:ind w:firstLine="420"/>
        <w:rPr>
          <w:rFonts w:ascii="宋体" w:hAnsi="宋体" w:cs="宋体"/>
          <w:color w:val="000000"/>
          <w:szCs w:val="21"/>
        </w:rPr>
      </w:pPr>
      <w:r>
        <w:rPr>
          <w:rFonts w:hint="eastAsia" w:ascii="宋体" w:hAnsi="宋体" w:cs="宋体"/>
          <w:kern w:val="0"/>
        </w:rPr>
        <w:fldChar w:fldCharType="begin"/>
      </w:r>
      <w:r>
        <w:rPr>
          <w:rFonts w:hint="eastAsia" w:ascii="宋体" w:hAnsi="宋体" w:cs="宋体"/>
          <w:kern w:val="0"/>
        </w:rPr>
        <w:instrText xml:space="preserve"> = 1 \* GB3 </w:instrText>
      </w:r>
      <w:r>
        <w:rPr>
          <w:rFonts w:hint="eastAsia" w:ascii="宋体" w:hAnsi="宋体" w:cs="宋体"/>
          <w:kern w:val="0"/>
        </w:rPr>
        <w:fldChar w:fldCharType="separate"/>
      </w:r>
      <w:r>
        <w:rPr>
          <w:rFonts w:hint="eastAsia" w:ascii="宋体" w:hAnsi="宋体" w:cs="宋体"/>
          <w:kern w:val="0"/>
        </w:rPr>
        <w:t>①</w:t>
      </w:r>
      <w:r>
        <w:rPr>
          <w:rFonts w:hint="eastAsia" w:ascii="宋体" w:hAnsi="宋体" w:cs="宋体"/>
          <w:kern w:val="0"/>
        </w:rPr>
        <w:fldChar w:fldCharType="end"/>
      </w:r>
      <w:r>
        <w:rPr>
          <w:rFonts w:hint="eastAsia" w:ascii="宋体" w:hAnsi="宋体" w:cs="宋体"/>
          <w:color w:val="000000"/>
          <w:szCs w:val="21"/>
        </w:rPr>
        <w:t>投入原油进行加工转换生产“润滑油基础油”，填报“其他石油制品”产量。</w:t>
      </w:r>
    </w:p>
    <w:p>
      <w:pPr>
        <w:snapToGrid w:val="0"/>
        <w:spacing w:line="312" w:lineRule="auto"/>
        <w:ind w:firstLine="420"/>
        <w:rPr>
          <w:rFonts w:ascii="宋体" w:hAnsi="宋体" w:cs="宋体"/>
          <w:color w:val="000000"/>
          <w:szCs w:val="21"/>
        </w:rPr>
      </w:pPr>
      <w:r>
        <w:rPr>
          <w:rFonts w:hint="eastAsia" w:ascii="宋体" w:hAnsi="宋体" w:cs="宋体"/>
          <w:kern w:val="0"/>
          <w:szCs w:val="21"/>
        </w:rPr>
        <w:fldChar w:fldCharType="begin"/>
      </w:r>
      <w:r>
        <w:rPr>
          <w:rFonts w:hint="eastAsia" w:ascii="宋体" w:hAnsi="宋体" w:cs="宋体"/>
          <w:kern w:val="0"/>
          <w:szCs w:val="21"/>
        </w:rPr>
        <w:instrText xml:space="preserve"> = 2 \* GB3 </w:instrText>
      </w:r>
      <w:r>
        <w:rPr>
          <w:rFonts w:hint="eastAsia" w:ascii="宋体" w:hAnsi="宋体" w:cs="宋体"/>
          <w:kern w:val="0"/>
          <w:szCs w:val="21"/>
        </w:rPr>
        <w:fldChar w:fldCharType="separate"/>
      </w:r>
      <w:r>
        <w:rPr>
          <w:rFonts w:hint="eastAsia" w:ascii="宋体" w:hAnsi="宋体" w:cs="宋体"/>
          <w:kern w:val="0"/>
          <w:szCs w:val="21"/>
        </w:rPr>
        <w:t>②</w:t>
      </w:r>
      <w:r>
        <w:rPr>
          <w:rFonts w:hint="eastAsia" w:ascii="宋体" w:hAnsi="宋体" w:cs="宋体"/>
          <w:kern w:val="0"/>
          <w:szCs w:val="21"/>
        </w:rPr>
        <w:fldChar w:fldCharType="end"/>
      </w:r>
      <w:r>
        <w:rPr>
          <w:rFonts w:hint="eastAsia" w:ascii="宋体" w:hAnsi="宋体" w:cs="宋体"/>
          <w:color w:val="000000"/>
          <w:szCs w:val="21"/>
        </w:rPr>
        <w:t>投入原油进行加工转换生产“润滑油”，填报“润滑油”产量。</w:t>
      </w:r>
    </w:p>
    <w:p>
      <w:pPr>
        <w:snapToGrid w:val="0"/>
        <w:spacing w:line="312" w:lineRule="auto"/>
        <w:ind w:firstLine="420"/>
        <w:rPr>
          <w:rFonts w:ascii="宋体" w:hAnsi="宋体" w:cs="宋体"/>
          <w:color w:val="000000"/>
          <w:szCs w:val="21"/>
        </w:rPr>
      </w:pPr>
      <w:r>
        <w:rPr>
          <w:rFonts w:hint="eastAsia" w:ascii="宋体" w:hAnsi="宋体" w:cs="宋体"/>
          <w:color w:val="000000"/>
          <w:szCs w:val="21"/>
        </w:rPr>
        <w:fldChar w:fldCharType="begin"/>
      </w:r>
      <w:r>
        <w:rPr>
          <w:rFonts w:hint="eastAsia" w:ascii="宋体" w:hAnsi="宋体" w:cs="宋体"/>
          <w:color w:val="000000"/>
          <w:szCs w:val="21"/>
        </w:rPr>
        <w:instrText xml:space="preserve"> = 3 \* GB3 </w:instrText>
      </w:r>
      <w:r>
        <w:rPr>
          <w:rFonts w:hint="eastAsia" w:ascii="宋体" w:hAnsi="宋体" w:cs="宋体"/>
          <w:color w:val="000000"/>
          <w:szCs w:val="21"/>
        </w:rPr>
        <w:fldChar w:fldCharType="separate"/>
      </w:r>
      <w:r>
        <w:rPr>
          <w:rFonts w:hint="eastAsia" w:ascii="宋体" w:hAnsi="宋体" w:cs="宋体"/>
          <w:color w:val="000000"/>
          <w:szCs w:val="21"/>
        </w:rPr>
        <w:t>③</w:t>
      </w:r>
      <w:r>
        <w:rPr>
          <w:rFonts w:hint="eastAsia" w:ascii="宋体" w:hAnsi="宋体" w:cs="宋体"/>
          <w:color w:val="000000"/>
          <w:szCs w:val="21"/>
        </w:rPr>
        <w:fldChar w:fldCharType="end"/>
      </w:r>
      <w:r>
        <w:rPr>
          <w:rFonts w:hint="eastAsia" w:ascii="宋体" w:hAnsi="宋体" w:cs="宋体"/>
          <w:color w:val="000000"/>
          <w:szCs w:val="21"/>
        </w:rPr>
        <w:t>购入“润滑油基础油”生产“润滑油”，填报“润滑油”产量。</w:t>
      </w:r>
    </w:p>
    <w:p>
      <w:pPr>
        <w:snapToGrid w:val="0"/>
        <w:spacing w:line="312" w:lineRule="auto"/>
        <w:ind w:firstLine="420"/>
        <w:rPr>
          <w:rFonts w:ascii="宋体" w:hAnsi="宋体" w:cs="宋体"/>
          <w:color w:val="000000"/>
          <w:szCs w:val="21"/>
        </w:rPr>
      </w:pPr>
      <w:r>
        <w:rPr>
          <w:rFonts w:hint="eastAsia" w:ascii="宋体" w:hAnsi="宋体" w:cs="宋体"/>
          <w:color w:val="000000"/>
          <w:szCs w:val="21"/>
        </w:rPr>
        <w:fldChar w:fldCharType="begin"/>
      </w:r>
      <w:r>
        <w:rPr>
          <w:rFonts w:hint="eastAsia" w:ascii="宋体" w:hAnsi="宋体" w:cs="宋体"/>
          <w:color w:val="000000"/>
          <w:szCs w:val="21"/>
        </w:rPr>
        <w:instrText xml:space="preserve"> = 4 \* GB3 \* MERGEFORMAT </w:instrText>
      </w:r>
      <w:r>
        <w:rPr>
          <w:rFonts w:hint="eastAsia" w:ascii="宋体" w:hAnsi="宋体" w:cs="宋体"/>
          <w:color w:val="000000"/>
          <w:szCs w:val="21"/>
        </w:rPr>
        <w:fldChar w:fldCharType="separate"/>
      </w:r>
      <w:r>
        <w:rPr>
          <w:rFonts w:hint="eastAsia" w:ascii="宋体" w:hAnsi="宋体" w:cs="宋体"/>
          <w:color w:val="000000"/>
          <w:szCs w:val="21"/>
        </w:rPr>
        <w:t>④</w:t>
      </w:r>
      <w:r>
        <w:rPr>
          <w:rFonts w:hint="eastAsia" w:ascii="宋体" w:hAnsi="宋体" w:cs="宋体"/>
          <w:color w:val="000000"/>
          <w:szCs w:val="21"/>
        </w:rPr>
        <w:fldChar w:fldCharType="end"/>
      </w:r>
      <w:r>
        <w:rPr>
          <w:rFonts w:hint="eastAsia" w:ascii="宋体" w:hAnsi="宋体" w:cs="宋体"/>
          <w:color w:val="000000"/>
          <w:szCs w:val="21"/>
        </w:rPr>
        <w:t>购入“成品润滑油”调剂成其他型号润滑油，则不再填报“润滑油”产量。</w:t>
      </w:r>
    </w:p>
    <w:p>
      <w:pPr>
        <w:numPr>
          <w:ilvl w:val="0"/>
          <w:numId w:val="6"/>
        </w:numPr>
        <w:snapToGrid w:val="0"/>
        <w:spacing w:line="312" w:lineRule="auto"/>
        <w:ind w:firstLine="421" w:firstLineChars="200"/>
        <w:rPr>
          <w:rFonts w:ascii="宋体" w:hAnsi="宋体" w:cs="宋体"/>
          <w:b/>
          <w:bCs/>
          <w:szCs w:val="21"/>
        </w:rPr>
      </w:pPr>
      <w:r>
        <w:rPr>
          <w:rFonts w:hint="eastAsia" w:ascii="宋体" w:hAnsi="宋体" w:cs="宋体"/>
          <w:b/>
          <w:bCs/>
          <w:szCs w:val="21"/>
        </w:rPr>
        <w:t>余热余压如何填报？</w:t>
      </w:r>
    </w:p>
    <w:p>
      <w:pPr>
        <w:snapToGrid w:val="0"/>
        <w:spacing w:line="312" w:lineRule="auto"/>
        <w:ind w:firstLine="420" w:firstLineChars="200"/>
        <w:textAlignment w:val="center"/>
        <w:outlineLvl w:val="1"/>
        <w:rPr>
          <w:rFonts w:ascii="宋体" w:hAnsi="宋体" w:cs="宋体"/>
          <w:szCs w:val="21"/>
        </w:rPr>
      </w:pPr>
      <w:r>
        <w:rPr>
          <w:rFonts w:hint="eastAsia" w:ascii="宋体" w:hAnsi="宋体" w:cs="宋体"/>
          <w:szCs w:val="21"/>
        </w:rPr>
        <w:t>企业回收生产过程中释放的余热，并利用回收的余热通过汽轮机转变为机械能带动发电机发电的，填报余热、余压、余气发电量。</w:t>
      </w:r>
    </w:p>
    <w:p>
      <w:pPr>
        <w:pStyle w:val="10"/>
        <w:adjustRightInd w:val="0"/>
        <w:snapToGrid w:val="0"/>
        <w:spacing w:line="312" w:lineRule="auto"/>
        <w:ind w:firstLine="420" w:firstLineChars="200"/>
        <w:textAlignment w:val="center"/>
        <w:rPr>
          <w:rFonts w:hAnsi="宋体" w:cs="宋体"/>
        </w:rPr>
      </w:pPr>
      <w:r>
        <w:rPr>
          <w:rFonts w:hint="eastAsia" w:hAnsi="宋体" w:cs="宋体"/>
        </w:rPr>
        <w:t xml:space="preserve">企业回收利用生产过程中释放出来的高温气、高温产品余热和放热化学反应产生的相关热力进行供热的，应填报余热余压供热； </w:t>
      </w:r>
    </w:p>
    <w:p>
      <w:pPr>
        <w:snapToGrid w:val="0"/>
        <w:spacing w:line="312" w:lineRule="auto"/>
        <w:rPr>
          <w:rFonts w:ascii="宋体" w:hAnsi="宋体" w:cs="宋体"/>
          <w:b/>
          <w:bCs/>
          <w:szCs w:val="21"/>
        </w:rPr>
      </w:pPr>
      <w:r>
        <w:rPr>
          <w:rFonts w:hint="eastAsia" w:ascii="宋体" w:hAnsi="宋体" w:cs="宋体"/>
          <w:szCs w:val="21"/>
        </w:rPr>
        <w:t xml:space="preserve">    如果余热余压回收后未投入加工转换，则205-6表余热余压供热量应等于205-2表余热余压回收利用。</w:t>
      </w:r>
    </w:p>
    <w:p>
      <w:pPr>
        <w:numPr>
          <w:ilvl w:val="0"/>
          <w:numId w:val="6"/>
        </w:numPr>
        <w:snapToGrid w:val="0"/>
        <w:spacing w:line="312" w:lineRule="auto"/>
        <w:ind w:firstLine="421" w:firstLineChars="200"/>
        <w:rPr>
          <w:rFonts w:ascii="宋体" w:hAnsi="宋体" w:cs="宋体"/>
          <w:b/>
          <w:bCs/>
          <w:szCs w:val="21"/>
        </w:rPr>
      </w:pPr>
      <w:r>
        <w:rPr>
          <w:rFonts w:hint="eastAsia" w:ascii="宋体" w:hAnsi="宋体" w:cs="宋体"/>
          <w:b/>
          <w:bCs/>
          <w:szCs w:val="21"/>
        </w:rPr>
        <w:t>原油加工要注意什么？</w:t>
      </w:r>
    </w:p>
    <w:p>
      <w:pPr>
        <w:snapToGrid w:val="0"/>
        <w:spacing w:line="312" w:lineRule="auto"/>
        <w:rPr>
          <w:rFonts w:ascii="宋体" w:hAnsi="宋体" w:cs="宋体"/>
          <w:szCs w:val="21"/>
        </w:rPr>
      </w:pPr>
      <w:r>
        <w:rPr>
          <w:rFonts w:hint="eastAsia" w:ascii="宋体" w:hAnsi="宋体" w:cs="宋体"/>
          <w:szCs w:val="21"/>
        </w:rPr>
        <w:t xml:space="preserve">    205-6表原油加工量应与205-2表原油加工转换投入量要一致。</w:t>
      </w:r>
    </w:p>
    <w:p>
      <w:pPr>
        <w:snapToGrid w:val="0"/>
        <w:spacing w:line="312" w:lineRule="auto"/>
        <w:rPr>
          <w:rFonts w:ascii="宋体" w:hAnsi="宋体" w:cs="宋体"/>
          <w:b/>
          <w:bCs/>
          <w:szCs w:val="21"/>
        </w:rPr>
      </w:pPr>
      <w:r>
        <w:rPr>
          <w:rFonts w:hint="eastAsia" w:ascii="宋体" w:hAnsi="宋体" w:cs="宋体"/>
          <w:szCs w:val="21"/>
        </w:rPr>
        <w:t xml:space="preserve">    205-6表填报了原油加工量的产品产量，则汽油、煤油、柴油、润滑油、燃料油、石脑油、溶剂油、石蜡、石油焦、石油沥青、燃料气、其他石油制品中至少有一项要填报产品产量。</w:t>
      </w:r>
    </w:p>
    <w:p>
      <w:pPr>
        <w:numPr>
          <w:ilvl w:val="0"/>
          <w:numId w:val="6"/>
        </w:numPr>
        <w:snapToGrid w:val="0"/>
        <w:spacing w:line="312" w:lineRule="auto"/>
        <w:ind w:firstLine="421" w:firstLineChars="200"/>
        <w:rPr>
          <w:rFonts w:ascii="宋体" w:hAnsi="宋体" w:cs="宋体"/>
          <w:b/>
          <w:bCs/>
          <w:szCs w:val="21"/>
        </w:rPr>
      </w:pPr>
      <w:r>
        <w:rPr>
          <w:rFonts w:hint="eastAsia" w:ascii="宋体" w:hAnsi="宋体" w:cs="宋体"/>
          <w:b/>
          <w:bCs/>
          <w:szCs w:val="21"/>
        </w:rPr>
        <w:t>火电发电量要注意什么？</w:t>
      </w:r>
    </w:p>
    <w:p>
      <w:pPr>
        <w:snapToGrid w:val="0"/>
        <w:spacing w:line="312" w:lineRule="auto"/>
        <w:rPr>
          <w:rFonts w:ascii="宋体" w:hAnsi="宋体" w:cs="宋体"/>
          <w:b/>
          <w:bCs/>
          <w:szCs w:val="21"/>
        </w:rPr>
      </w:pPr>
      <w:r>
        <w:rPr>
          <w:rFonts w:hint="eastAsia" w:ascii="宋体" w:hAnsi="宋体" w:cs="宋体"/>
          <w:szCs w:val="21"/>
        </w:rPr>
        <w:t xml:space="preserve">    205-6表火力发电量应与205-2表电力加工转换产出一致。</w:t>
      </w:r>
    </w:p>
    <w:p>
      <w:pPr>
        <w:numPr>
          <w:ilvl w:val="0"/>
          <w:numId w:val="6"/>
        </w:numPr>
        <w:snapToGrid w:val="0"/>
        <w:spacing w:line="312" w:lineRule="auto"/>
        <w:ind w:firstLine="421" w:firstLineChars="200"/>
        <w:rPr>
          <w:rFonts w:ascii="宋体" w:hAnsi="宋体" w:cs="宋体"/>
          <w:b/>
          <w:bCs/>
          <w:szCs w:val="21"/>
        </w:rPr>
      </w:pPr>
      <w:r>
        <w:rPr>
          <w:rFonts w:hint="eastAsia" w:ascii="宋体" w:hAnsi="宋体" w:cs="宋体"/>
          <w:b/>
          <w:bCs/>
          <w:szCs w:val="21"/>
        </w:rPr>
        <w:t>205-6表与205-2表关联填报需注意什么问题？</w:t>
      </w:r>
    </w:p>
    <w:p>
      <w:pPr>
        <w:snapToGrid w:val="0"/>
        <w:spacing w:line="312" w:lineRule="auto"/>
        <w:ind w:firstLine="420" w:firstLineChars="200"/>
        <w:rPr>
          <w:rFonts w:ascii="宋体" w:hAnsi="宋体" w:cs="宋体"/>
          <w:color w:val="000000"/>
          <w:szCs w:val="21"/>
        </w:rPr>
      </w:pPr>
      <w:r>
        <w:rPr>
          <w:rFonts w:hint="eastAsia" w:ascii="宋体" w:hAnsi="宋体" w:cs="宋体"/>
          <w:color w:val="000000"/>
          <w:szCs w:val="21"/>
        </w:rPr>
        <w:t>下列品种的205-6表的产量和205-2表的加工转换产出要一致：</w:t>
      </w:r>
    </w:p>
    <w:p>
      <w:pPr>
        <w:snapToGrid w:val="0"/>
        <w:spacing w:line="312" w:lineRule="auto"/>
        <w:ind w:firstLine="420" w:firstLineChars="200"/>
        <w:rPr>
          <w:rFonts w:ascii="宋体" w:hAnsi="宋体" w:cs="宋体"/>
          <w:color w:val="000000"/>
          <w:szCs w:val="21"/>
        </w:rPr>
      </w:pPr>
      <w:r>
        <w:rPr>
          <w:rFonts w:hint="eastAsia" w:ascii="宋体" w:hAnsi="宋体" w:cs="宋体"/>
          <w:color w:val="000000"/>
          <w:szCs w:val="21"/>
        </w:rPr>
        <w:t>型煤及其他煤制品（煤制品）、焦炭、液化天然气、汽油、煤油、柴油、燃料油、液化石油气、炼厂干气、石脑油、石蜡、溶剂油、石油焦、石油沥青、焦炉煤气。</w:t>
      </w:r>
    </w:p>
    <w:p>
      <w:pPr>
        <w:snapToGrid w:val="0"/>
        <w:spacing w:line="312" w:lineRule="auto"/>
        <w:ind w:firstLine="420" w:firstLineChars="200"/>
        <w:rPr>
          <w:rFonts w:ascii="宋体" w:hAnsi="宋体" w:cs="宋体"/>
          <w:color w:val="000000"/>
          <w:szCs w:val="21"/>
        </w:rPr>
      </w:pPr>
      <w:r>
        <w:rPr>
          <w:rFonts w:hint="eastAsia" w:ascii="宋体" w:hAnsi="宋体" w:cs="宋体"/>
          <w:color w:val="000000"/>
          <w:szCs w:val="21"/>
        </w:rPr>
        <w:t>同时，生物质能供热生产量、化石燃料供热生产量、废料燃烧供热生产量之和应等于205-2表热力加工转换产出。</w:t>
      </w:r>
    </w:p>
    <w:p>
      <w:pPr>
        <w:numPr>
          <w:ilvl w:val="0"/>
          <w:numId w:val="7"/>
        </w:numPr>
        <w:snapToGrid w:val="0"/>
        <w:spacing w:line="312" w:lineRule="auto"/>
        <w:rPr>
          <w:rFonts w:ascii="宋体" w:hAnsi="宋体" w:cs="宋体"/>
          <w:b/>
          <w:bCs/>
          <w:szCs w:val="21"/>
        </w:rPr>
      </w:pPr>
      <w:r>
        <w:rPr>
          <w:rFonts w:hint="eastAsia" w:ascii="宋体" w:hAnsi="宋体" w:cs="宋体"/>
          <w:b/>
          <w:bCs/>
          <w:szCs w:val="21"/>
        </w:rPr>
        <w:t>委托加工企业能源生产量和销售量如何填报？</w:t>
      </w:r>
    </w:p>
    <w:p>
      <w:pPr>
        <w:snapToGrid w:val="0"/>
        <w:spacing w:line="312" w:lineRule="auto"/>
        <w:ind w:firstLine="420" w:firstLineChars="200"/>
        <w:textAlignment w:val="center"/>
        <w:outlineLvl w:val="1"/>
        <w:rPr>
          <w:rFonts w:ascii="宋体" w:hAnsi="宋体" w:cs="宋体"/>
          <w:szCs w:val="21"/>
        </w:rPr>
      </w:pPr>
      <w:r>
        <w:rPr>
          <w:rFonts w:hint="eastAsia" w:ascii="宋体" w:hAnsi="宋体" w:cs="宋体"/>
          <w:szCs w:val="21"/>
        </w:rPr>
        <w:t>假设A企业委托B企业加工产品，B企业为实际加工方。生产量、销售量的填报要求如下：</w:t>
      </w:r>
    </w:p>
    <w:p>
      <w:pPr>
        <w:pStyle w:val="10"/>
        <w:adjustRightInd w:val="0"/>
        <w:snapToGrid w:val="0"/>
        <w:spacing w:line="312" w:lineRule="auto"/>
        <w:ind w:firstLine="420" w:firstLineChars="200"/>
        <w:textAlignment w:val="center"/>
        <w:rPr>
          <w:rFonts w:hAnsi="宋体" w:cs="宋体"/>
        </w:rPr>
      </w:pPr>
      <w:r>
        <w:rPr>
          <w:rFonts w:hint="eastAsia" w:hAnsi="宋体" w:cs="宋体"/>
        </w:rPr>
        <w:t>1.若A企业与B企业同时结算原材料与制成品费用，B企业不收取加工费，则该模式为自备原材料生产。由A企业填报原材料销售量和制成品购进量（205-1表），B企业填报原材料购进量（205-1表）、制成品产量和制成品销售量。</w:t>
      </w:r>
    </w:p>
    <w:p>
      <w:pPr>
        <w:pStyle w:val="10"/>
        <w:adjustRightInd w:val="0"/>
        <w:snapToGrid w:val="0"/>
        <w:spacing w:line="312" w:lineRule="auto"/>
        <w:ind w:firstLine="420" w:firstLineChars="200"/>
        <w:textAlignment w:val="center"/>
        <w:rPr>
          <w:rFonts w:hAnsi="宋体" w:cs="宋体"/>
        </w:rPr>
      </w:pPr>
      <w:r>
        <w:rPr>
          <w:rFonts w:hint="eastAsia" w:hAnsi="宋体" w:cs="宋体"/>
        </w:rPr>
        <w:t>2.若A企业与B企业不结算原材料与制成品费用，两企业间有委托加工合同或B企业收取服务费、节能费等名目的费用，同时B企业提供部分制成品给A企业，其余制成品外售给C企业，则该模式视为来料加工。由A企业填报全部的制成品产量，B企业填报外售给C企业的制成品销售量。若触发生产量与销售量关联审核公式（C00001），企业填写详细、合理的说明即可。</w:t>
      </w:r>
    </w:p>
    <w:p>
      <w:pPr>
        <w:pStyle w:val="10"/>
        <w:adjustRightInd w:val="0"/>
        <w:snapToGrid w:val="0"/>
        <w:spacing w:line="312" w:lineRule="auto"/>
        <w:ind w:firstLine="420" w:firstLineChars="200"/>
        <w:textAlignment w:val="center"/>
        <w:rPr>
          <w:rFonts w:hAnsi="宋体" w:cs="宋体"/>
        </w:rPr>
      </w:pPr>
      <w:r>
        <w:rPr>
          <w:rFonts w:hint="eastAsia" w:hAnsi="宋体" w:cs="宋体"/>
        </w:rPr>
        <w:t>3.若A企业与B企业不结算原材料费用，但结算制成品费用，该模式</w:t>
      </w:r>
      <w:r>
        <w:rPr>
          <w:rFonts w:hint="eastAsia" w:hAnsi="宋体" w:cs="宋体"/>
          <w:em w:val="dot"/>
        </w:rPr>
        <w:t>不视为</w:t>
      </w:r>
      <w:r>
        <w:rPr>
          <w:rFonts w:hint="eastAsia" w:hAnsi="宋体" w:cs="宋体"/>
        </w:rPr>
        <w:t>来料加工。此时，205-1表由A企业按实际结算金额和数量填报制成品购进金额和购进量，205-6表由B企业填报制成品产量和制成品销售量。</w:t>
      </w:r>
    </w:p>
    <w:p>
      <w:pPr>
        <w:numPr>
          <w:ilvl w:val="0"/>
          <w:numId w:val="7"/>
        </w:numPr>
        <w:snapToGrid w:val="0"/>
        <w:spacing w:line="312" w:lineRule="auto"/>
        <w:rPr>
          <w:rFonts w:ascii="宋体" w:hAnsi="宋体" w:cs="宋体"/>
          <w:b/>
          <w:bCs/>
          <w:szCs w:val="21"/>
        </w:rPr>
      </w:pPr>
      <w:r>
        <w:rPr>
          <w:rFonts w:hint="eastAsia" w:ascii="宋体" w:hAnsi="宋体" w:cs="宋体"/>
          <w:b/>
          <w:bCs/>
          <w:szCs w:val="21"/>
        </w:rPr>
        <w:t>能源经销企业出现盘盈怎么处理？</w:t>
      </w:r>
    </w:p>
    <w:p>
      <w:pPr>
        <w:snapToGrid w:val="0"/>
        <w:spacing w:line="312" w:lineRule="auto"/>
        <w:ind w:firstLine="420" w:firstLineChars="200"/>
        <w:rPr>
          <w:rFonts w:ascii="宋体" w:hAnsi="宋体" w:cs="宋体"/>
          <w:szCs w:val="21"/>
        </w:rPr>
      </w:pPr>
      <w:r>
        <w:rPr>
          <w:rFonts w:hint="eastAsia" w:ascii="宋体" w:hAnsi="宋体" w:cs="宋体"/>
          <w:szCs w:val="21"/>
        </w:rPr>
        <w:t>能源商品盘盈量是指企业清点库存时，发现实存数大于账簿结存量的差额，或有物无账的商品。这些盘盈量应填入“损耗量及其他”中，并以负数表示。</w:t>
      </w:r>
    </w:p>
    <w:p>
      <w:pPr>
        <w:numPr>
          <w:ilvl w:val="0"/>
          <w:numId w:val="7"/>
        </w:numPr>
        <w:snapToGrid w:val="0"/>
        <w:spacing w:line="312" w:lineRule="auto"/>
        <w:rPr>
          <w:rFonts w:ascii="宋体" w:hAnsi="宋体" w:cs="宋体"/>
          <w:b/>
          <w:bCs/>
          <w:szCs w:val="21"/>
        </w:rPr>
      </w:pPr>
      <w:r>
        <w:rPr>
          <w:rFonts w:hint="eastAsia" w:ascii="宋体" w:hAnsi="宋体" w:cs="宋体"/>
          <w:b/>
          <w:bCs/>
          <w:szCs w:val="21"/>
        </w:rPr>
        <w:t>加油站是否需要独立填报重点能源商品经销情况？</w:t>
      </w:r>
    </w:p>
    <w:p>
      <w:pPr>
        <w:snapToGrid w:val="0"/>
        <w:spacing w:line="312" w:lineRule="auto"/>
        <w:ind w:firstLine="420" w:firstLineChars="200"/>
      </w:pPr>
      <w:r>
        <w:rPr>
          <w:rFonts w:hint="eastAsia" w:ascii="宋体" w:hAnsi="宋体" w:cs="宋体"/>
          <w:szCs w:val="21"/>
        </w:rPr>
        <w:t>因数据已由省公司统一填报，中石油、中石化、中海油、中油碧辟、中化石油下属的加油站均不需要填报205-7表，避免出现重复填报。其他新增加油站如无购自和销往省外量且销售量规模不大，也不需要布置205-7表。</w:t>
      </w:r>
    </w:p>
    <w:p>
      <w:pPr>
        <w:numPr>
          <w:ilvl w:val="0"/>
          <w:numId w:val="7"/>
        </w:numPr>
        <w:snapToGrid w:val="0"/>
        <w:spacing w:line="312" w:lineRule="auto"/>
        <w:rPr>
          <w:rFonts w:ascii="宋体" w:hAnsi="宋体" w:cs="宋体"/>
          <w:b/>
          <w:bCs/>
          <w:szCs w:val="21"/>
        </w:rPr>
      </w:pPr>
      <w:r>
        <w:rPr>
          <w:rFonts w:hint="eastAsia" w:ascii="宋体" w:hAnsi="宋体" w:cs="宋体"/>
          <w:b/>
          <w:bCs/>
          <w:szCs w:val="21"/>
        </w:rPr>
        <w:t>热水（蒸汽）吨如何折算成百万千焦？</w:t>
      </w:r>
    </w:p>
    <w:p>
      <w:pPr>
        <w:snapToGrid w:val="0"/>
        <w:spacing w:line="312" w:lineRule="auto"/>
        <w:ind w:firstLine="420" w:firstLineChars="200"/>
        <w:rPr>
          <w:rFonts w:ascii="宋体" w:hAnsi="宋体" w:cs="宋体"/>
          <w:szCs w:val="21"/>
        </w:rPr>
      </w:pPr>
      <w:r>
        <w:rPr>
          <w:rFonts w:hint="eastAsia" w:ascii="宋体" w:hAnsi="宋体" w:cs="宋体"/>
          <w:szCs w:val="21"/>
        </w:rPr>
        <w:t>蒸汽包括饱和蒸汽和过热蒸汽，饱和蒸汽一般用于设备加热或者换热，过热蒸汽，一般用于热电厂驱动汽轮机产生电力。蒸汽和热水的热力计算，与锅炉出口蒸汽、热水的温度和压力有关，可通过查阅热焓表计算。若企业无准确的温度和压力计量，饱和蒸汽每吨所含热值可参考以下数据：</w:t>
      </w:r>
    </w:p>
    <w:p>
      <w:pPr>
        <w:snapToGrid w:val="0"/>
        <w:spacing w:line="312" w:lineRule="auto"/>
        <w:ind w:firstLine="420" w:firstLineChars="200"/>
        <w:rPr>
          <w:rFonts w:ascii="宋体" w:hAnsi="宋体" w:cs="宋体"/>
          <w:szCs w:val="21"/>
        </w:rPr>
      </w:pPr>
      <w:r>
        <w:rPr>
          <w:rFonts w:hint="eastAsia" w:ascii="宋体" w:hAnsi="宋体" w:cs="宋体"/>
          <w:szCs w:val="21"/>
        </w:rPr>
        <w:t>压力1-2.5千克/平方厘米，温度127℃以下，每吨蒸汽含2.5926百万千焦热值；</w:t>
      </w:r>
    </w:p>
    <w:p>
      <w:pPr>
        <w:snapToGrid w:val="0"/>
        <w:spacing w:line="312" w:lineRule="auto"/>
        <w:ind w:firstLine="420" w:firstLineChars="200"/>
        <w:rPr>
          <w:rFonts w:ascii="宋体" w:hAnsi="宋体" w:cs="宋体"/>
          <w:szCs w:val="21"/>
        </w:rPr>
      </w:pPr>
      <w:r>
        <w:rPr>
          <w:rFonts w:hint="eastAsia" w:ascii="宋体" w:hAnsi="宋体" w:cs="宋体"/>
          <w:szCs w:val="21"/>
        </w:rPr>
        <w:t>压力3-7千克/平方厘米，温度135-165℃，每吨蒸汽含2.6344百万千焦热值；</w:t>
      </w:r>
    </w:p>
    <w:p>
      <w:pPr>
        <w:snapToGrid w:val="0"/>
        <w:spacing w:line="312" w:lineRule="auto"/>
        <w:ind w:firstLine="420" w:firstLineChars="200"/>
        <w:rPr>
          <w:rFonts w:ascii="宋体" w:hAnsi="宋体" w:cs="宋体"/>
          <w:szCs w:val="21"/>
        </w:rPr>
      </w:pPr>
      <w:r>
        <w:rPr>
          <w:rFonts w:hint="eastAsia" w:ascii="宋体" w:hAnsi="宋体" w:cs="宋体"/>
          <w:szCs w:val="21"/>
        </w:rPr>
        <w:t>压力8千克/平方厘米，温度170℃以上，每吨蒸汽含2.6762百万千焦热值。</w:t>
      </w:r>
    </w:p>
    <w:p>
      <w:pPr>
        <w:pStyle w:val="7"/>
        <w:numPr>
          <w:ilvl w:val="255"/>
          <w:numId w:val="0"/>
        </w:numPr>
        <w:ind w:right="-38"/>
        <w:jc w:val="center"/>
        <w:rPr>
          <w:rFonts w:ascii="黑体" w:hAnsi="宋体" w:eastAsia="黑体"/>
          <w:b/>
          <w:sz w:val="28"/>
          <w:szCs w:val="28"/>
        </w:rPr>
      </w:pPr>
    </w:p>
    <w:p>
      <w:pPr>
        <w:rPr>
          <w:rFonts w:ascii="黑体" w:hAnsi="宋体" w:eastAsia="黑体"/>
          <w:b/>
          <w:sz w:val="28"/>
          <w:szCs w:val="28"/>
        </w:rPr>
      </w:pPr>
      <w:r>
        <w:rPr>
          <w:rFonts w:hint="eastAsia" w:ascii="黑体" w:hAnsi="宋体" w:eastAsia="黑体"/>
          <w:b/>
          <w:sz w:val="28"/>
          <w:szCs w:val="28"/>
        </w:rPr>
        <w:br w:type="page"/>
      </w:r>
    </w:p>
    <w:p>
      <w:pPr>
        <w:ind w:right="-38"/>
        <w:jc w:val="center"/>
        <w:rPr>
          <w:rFonts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lang w:eastAsia="zh-CN"/>
        </w:rPr>
        <w:t>（</w:t>
      </w:r>
      <w:r>
        <w:rPr>
          <w:rFonts w:hint="eastAsia" w:asciiTheme="minorEastAsia" w:hAnsiTheme="minorEastAsia" w:eastAsiaTheme="minorEastAsia" w:cstheme="minorEastAsia"/>
          <w:b/>
          <w:bCs w:val="0"/>
          <w:sz w:val="32"/>
          <w:szCs w:val="32"/>
        </w:rPr>
        <w:t>八</w:t>
      </w:r>
      <w:r>
        <w:rPr>
          <w:rFonts w:hint="eastAsia" w:asciiTheme="minorEastAsia" w:hAnsiTheme="minorEastAsia" w:eastAsiaTheme="minorEastAsia" w:cstheme="minorEastAsia"/>
          <w:b/>
          <w:bCs w:val="0"/>
          <w:sz w:val="32"/>
          <w:szCs w:val="32"/>
          <w:lang w:eastAsia="zh-CN"/>
        </w:rPr>
        <w:t>）</w:t>
      </w:r>
      <w:r>
        <w:rPr>
          <w:rFonts w:hint="eastAsia" w:asciiTheme="minorEastAsia" w:hAnsiTheme="minorEastAsia" w:eastAsiaTheme="minorEastAsia" w:cstheme="minorEastAsia"/>
          <w:b/>
          <w:bCs w:val="0"/>
          <w:sz w:val="32"/>
          <w:szCs w:val="32"/>
        </w:rPr>
        <w:t>填报要求</w:t>
      </w:r>
    </w:p>
    <w:p>
      <w:pPr>
        <w:pStyle w:val="7"/>
        <w:jc w:val="center"/>
      </w:pPr>
    </w:p>
    <w:p>
      <w:pPr>
        <w:pStyle w:val="7"/>
        <w:ind w:firstLine="0" w:firstLineChars="0"/>
      </w:pPr>
    </w:p>
    <w:p>
      <w:pPr>
        <w:pStyle w:val="10"/>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center"/>
        <w:rPr>
          <w:rFonts w:hAnsi="宋体" w:cs="宋体"/>
        </w:rPr>
      </w:pPr>
      <w:r>
        <w:rPr>
          <w:rFonts w:hint="eastAsia" w:hAnsi="宋体" w:cs="宋体"/>
        </w:rPr>
        <w:t>能源统计报表的填报是否规范、统一，直接影响到能源统计数据的质量，为此，各调查单位在填报统计报表、网上提交统计数据前必须认真阅读本制度，并按下列规定进行填报：</w:t>
      </w:r>
    </w:p>
    <w:p>
      <w:pPr>
        <w:pStyle w:val="10"/>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center"/>
        <w:rPr>
          <w:rFonts w:hAnsi="宋体" w:cs="宋体"/>
        </w:rPr>
      </w:pPr>
      <w:r>
        <w:rPr>
          <w:rFonts w:hint="eastAsia" w:hAnsi="宋体" w:cs="宋体"/>
        </w:rPr>
        <w:t xml:space="preserve">1.各调查单位要严格遵守报表制度规定的统计数据报送时间，遇节假日一律不顺延； </w:t>
      </w:r>
    </w:p>
    <w:p>
      <w:pPr>
        <w:pStyle w:val="10"/>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center"/>
        <w:rPr>
          <w:rFonts w:hAnsi="宋体" w:cs="宋体"/>
        </w:rPr>
      </w:pPr>
      <w:r>
        <w:rPr>
          <w:rFonts w:hint="eastAsia" w:hAnsi="宋体" w:cs="宋体"/>
        </w:rPr>
        <w:t xml:space="preserve">2.录入统计报表时，要注意指标的计量单位，不得自行更改计量单位。统计表中所有价值量指标均以人民币计算，凡以外币形式计算的价值量指标，均以报告期末的汇率折合成人民币填报； </w:t>
      </w:r>
    </w:p>
    <w:p>
      <w:pPr>
        <w:pStyle w:val="10"/>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center"/>
        <w:rPr>
          <w:rFonts w:hAnsi="宋体" w:cs="宋体"/>
        </w:rPr>
      </w:pPr>
      <w:r>
        <w:rPr>
          <w:rFonts w:hint="eastAsia" w:hAnsi="宋体" w:cs="宋体"/>
        </w:rPr>
        <w:t>2.统计表中的分类、目录和代码均属全市统一标准，各调查单位必须严格执行。</w:t>
      </w:r>
    </w:p>
    <w:p>
      <w:pPr>
        <w:pStyle w:val="10"/>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center"/>
        <w:rPr>
          <w:rFonts w:hAnsi="宋体" w:cs="宋体"/>
        </w:rPr>
      </w:pPr>
      <w:r>
        <w:rPr>
          <w:rFonts w:hint="eastAsia" w:hAnsi="宋体" w:cs="宋体"/>
        </w:rPr>
        <w:t>3.所有数字指标，除“折标系数”“单位工业增加值能耗”和“单位地区生产总值能耗”取四位小数外，其他指标一律保留两位小数；</w:t>
      </w:r>
    </w:p>
    <w:p>
      <w:pPr>
        <w:pStyle w:val="10"/>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center"/>
        <w:rPr>
          <w:rFonts w:hAnsi="宋体" w:cs="宋体"/>
        </w:rPr>
      </w:pPr>
      <w:r>
        <w:rPr>
          <w:rFonts w:hint="eastAsia" w:hAnsi="宋体" w:cs="宋体"/>
        </w:rPr>
        <w:t>4.各调查单位使用统计</w:t>
      </w:r>
      <w:r>
        <w:rPr>
          <w:rFonts w:hint="eastAsia" w:hAnsi="宋体" w:cs="宋体"/>
          <w:lang w:eastAsia="zh-CN"/>
        </w:rPr>
        <w:t>云</w:t>
      </w:r>
      <w:r>
        <w:rPr>
          <w:rFonts w:hint="eastAsia" w:hAnsi="宋体" w:cs="宋体"/>
        </w:rPr>
        <w:t>联网</w:t>
      </w:r>
      <w:r>
        <w:rPr>
          <w:rFonts w:hint="eastAsia" w:hAnsi="宋体" w:cs="宋体"/>
          <w:lang w:eastAsia="zh-CN"/>
        </w:rPr>
        <w:t>直报系统</w:t>
      </w:r>
      <w:r>
        <w:rPr>
          <w:rFonts w:hint="eastAsia" w:hAnsi="宋体" w:cs="宋体"/>
        </w:rPr>
        <w:t>录入数据后，必须通过</w:t>
      </w:r>
      <w:r>
        <w:rPr>
          <w:rFonts w:hint="eastAsia" w:hAnsi="宋体" w:cs="宋体"/>
          <w:lang w:eastAsia="zh-CN"/>
        </w:rPr>
        <w:t>系统</w:t>
      </w:r>
      <w:r>
        <w:rPr>
          <w:rFonts w:hint="eastAsia" w:hAnsi="宋体" w:cs="宋体"/>
        </w:rPr>
        <w:t>审核，对统计报表中的每一个指标都要做到逐一严格审查和核对；</w:t>
      </w:r>
    </w:p>
    <w:p>
      <w:pPr>
        <w:pStyle w:val="10"/>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center"/>
        <w:rPr>
          <w:rFonts w:hAnsi="宋体"/>
          <w:sz w:val="18"/>
          <w:szCs w:val="18"/>
        </w:rPr>
        <w:sectPr>
          <w:pgSz w:w="11906" w:h="16838"/>
          <w:pgMar w:top="1417" w:right="1247" w:bottom="1247" w:left="1247" w:header="851" w:footer="992" w:gutter="0"/>
          <w:pgBorders>
            <w:top w:val="none" w:sz="0" w:space="0"/>
            <w:left w:val="none" w:sz="0" w:space="0"/>
            <w:bottom w:val="none" w:sz="0" w:space="0"/>
            <w:right w:val="none" w:sz="0" w:space="0"/>
          </w:pgBorders>
          <w:pgNumType w:fmt="numberInDash"/>
          <w:cols w:space="0" w:num="1"/>
          <w:docGrid w:linePitch="286" w:charSpace="0"/>
        </w:sectPr>
      </w:pPr>
      <w:r>
        <w:rPr>
          <w:rFonts w:hint="eastAsia" w:hAnsi="宋体" w:cs="宋体"/>
        </w:rPr>
        <w:t>5.各调查单位对</w:t>
      </w:r>
      <w:r>
        <w:rPr>
          <w:rFonts w:hint="eastAsia" w:hAnsi="宋体" w:cs="宋体"/>
          <w:lang w:eastAsia="zh-CN"/>
        </w:rPr>
        <w:t>系统审核</w:t>
      </w:r>
      <w:r>
        <w:rPr>
          <w:rFonts w:hint="eastAsia" w:hAnsi="宋体" w:cs="宋体"/>
        </w:rPr>
        <w:t>出的警告性问题和数据倒退问题，都必须加以核查及说明。</w:t>
      </w:r>
    </w:p>
    <w:p>
      <w:pPr>
        <w:keepNext w:val="0"/>
        <w:keepLines w:val="0"/>
        <w:pageBreakBefore w:val="0"/>
        <w:widowControl w:val="0"/>
        <w:kinsoku/>
        <w:wordWrap/>
        <w:overflowPunct/>
        <w:topLinePunct w:val="0"/>
        <w:autoSpaceDE/>
        <w:autoSpaceDN/>
        <w:bidi w:val="0"/>
        <w:adjustRightInd/>
        <w:snapToGrid/>
        <w:spacing w:after="144" w:afterLines="50"/>
        <w:ind w:right="-40"/>
        <w:jc w:val="center"/>
        <w:textAlignment w:val="auto"/>
        <w:rPr>
          <w:rFonts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rPr>
        <w:t>（九）能源联网直报企业数据来源参考表</w:t>
      </w:r>
    </w:p>
    <w:p>
      <w:pPr>
        <w:adjustRightInd w:val="0"/>
        <w:spacing w:line="240" w:lineRule="atLeast"/>
        <w:ind w:left="1084" w:hanging="1264" w:hangingChars="600"/>
        <w:jc w:val="center"/>
        <w:rPr>
          <w:rFonts w:ascii="黑体" w:hAnsi="宋体" w:eastAsia="黑体"/>
          <w:b/>
          <w:sz w:val="21"/>
          <w:szCs w:val="21"/>
        </w:rPr>
      </w:pPr>
    </w:p>
    <w:p>
      <w:pPr>
        <w:adjustRightInd w:val="0"/>
        <w:snapToGrid w:val="0"/>
        <w:spacing w:line="240" w:lineRule="atLeast"/>
        <w:ind w:left="1446" w:hanging="1440" w:hangingChars="600"/>
        <w:jc w:val="center"/>
        <w:rPr>
          <w:rFonts w:hint="default" w:ascii="Times New Roman" w:hAnsi="Times New Roman" w:eastAsia="黑体" w:cs="Times New Roman"/>
          <w:b w:val="0"/>
          <w:bCs/>
          <w:sz w:val="24"/>
        </w:rPr>
      </w:pPr>
      <w:r>
        <w:rPr>
          <w:rFonts w:hint="default" w:ascii="Times New Roman" w:hAnsi="Times New Roman" w:eastAsia="黑体" w:cs="Times New Roman"/>
          <w:b w:val="0"/>
          <w:bCs/>
          <w:sz w:val="24"/>
        </w:rPr>
        <w:t>1.能源购进</w:t>
      </w:r>
      <w:r>
        <w:rPr>
          <w:rFonts w:hint="eastAsia" w:eastAsia="黑体" w:cs="Times New Roman"/>
          <w:b w:val="0"/>
          <w:bCs/>
          <w:sz w:val="24"/>
          <w:lang w:eastAsia="zh-CN"/>
        </w:rPr>
        <w:t>、</w:t>
      </w:r>
      <w:r>
        <w:rPr>
          <w:rFonts w:hint="default" w:ascii="Times New Roman" w:hAnsi="Times New Roman" w:eastAsia="黑体" w:cs="Times New Roman"/>
          <w:b w:val="0"/>
          <w:bCs/>
          <w:sz w:val="24"/>
        </w:rPr>
        <w:t>消费与库存（205-1表）数据来源参考表</w:t>
      </w:r>
    </w:p>
    <w:p>
      <w:pPr>
        <w:adjustRightInd w:val="0"/>
        <w:snapToGrid w:val="0"/>
        <w:spacing w:line="240" w:lineRule="atLeast"/>
        <w:ind w:left="964" w:hanging="963" w:hangingChars="600"/>
        <w:jc w:val="center"/>
        <w:rPr>
          <w:rFonts w:ascii="黑体" w:hAnsi="宋体" w:eastAsia="黑体"/>
          <w:b/>
          <w:sz w:val="16"/>
          <w:szCs w:val="16"/>
        </w:rPr>
      </w:pPr>
    </w:p>
    <w:tbl>
      <w:tblPr>
        <w:tblStyle w:val="21"/>
        <w:tblW w:w="0" w:type="auto"/>
        <w:jc w:val="center"/>
        <w:tblLayout w:type="fixed"/>
        <w:tblCellMar>
          <w:top w:w="0" w:type="dxa"/>
          <w:left w:w="108" w:type="dxa"/>
          <w:bottom w:w="0" w:type="dxa"/>
          <w:right w:w="108" w:type="dxa"/>
        </w:tblCellMar>
      </w:tblPr>
      <w:tblGrid>
        <w:gridCol w:w="1167"/>
        <w:gridCol w:w="3012"/>
        <w:gridCol w:w="2763"/>
        <w:gridCol w:w="2802"/>
      </w:tblGrid>
      <w:tr>
        <w:tblPrEx>
          <w:tblCellMar>
            <w:top w:w="0" w:type="dxa"/>
            <w:left w:w="108" w:type="dxa"/>
            <w:bottom w:w="0" w:type="dxa"/>
            <w:right w:w="108" w:type="dxa"/>
          </w:tblCellMar>
        </w:tblPrEx>
        <w:trPr>
          <w:trHeight w:val="696" w:hRule="atLeast"/>
          <w:jc w:val="center"/>
        </w:trPr>
        <w:tc>
          <w:tcPr>
            <w:tcW w:w="1167" w:type="dxa"/>
            <w:tcBorders>
              <w:top w:val="single" w:color="auto" w:sz="8" w:space="0"/>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统计指标</w:t>
            </w:r>
          </w:p>
        </w:tc>
        <w:tc>
          <w:tcPr>
            <w:tcW w:w="3012" w:type="dxa"/>
            <w:tcBorders>
              <w:top w:val="single" w:color="auto" w:sz="8" w:space="0"/>
              <w:left w:val="nil"/>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数据来源</w:t>
            </w:r>
          </w:p>
        </w:tc>
        <w:tc>
          <w:tcPr>
            <w:tcW w:w="2763" w:type="dxa"/>
            <w:tcBorders>
              <w:top w:val="single" w:color="auto" w:sz="8" w:space="0"/>
              <w:left w:val="nil"/>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计算方法</w:t>
            </w:r>
          </w:p>
        </w:tc>
        <w:tc>
          <w:tcPr>
            <w:tcW w:w="2802" w:type="dxa"/>
            <w:tcBorders>
              <w:top w:val="single" w:color="auto" w:sz="8" w:space="0"/>
              <w:left w:val="nil"/>
              <w:bottom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注意事项</w:t>
            </w:r>
          </w:p>
        </w:tc>
      </w:tr>
      <w:tr>
        <w:tblPrEx>
          <w:tblCellMar>
            <w:top w:w="0" w:type="dxa"/>
            <w:left w:w="108" w:type="dxa"/>
            <w:bottom w:w="0" w:type="dxa"/>
            <w:right w:w="108" w:type="dxa"/>
          </w:tblCellMar>
        </w:tblPrEx>
        <w:trPr>
          <w:trHeight w:val="864" w:hRule="atLeast"/>
          <w:jc w:val="center"/>
        </w:trPr>
        <w:tc>
          <w:tcPr>
            <w:tcW w:w="1167" w:type="dxa"/>
            <w:tcBorders>
              <w:top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库存量</w:t>
            </w:r>
          </w:p>
        </w:tc>
        <w:tc>
          <w:tcPr>
            <w:tcW w:w="3012" w:type="dxa"/>
            <w:tcBorders>
              <w:top w:val="nil"/>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根据企业仓储部门提供的用于企业消费的在填报目录中的各能源品种库存数据填报</w:t>
            </w:r>
          </w:p>
        </w:tc>
        <w:tc>
          <w:tcPr>
            <w:tcW w:w="2763" w:type="dxa"/>
            <w:tcBorders>
              <w:top w:val="nil"/>
              <w:left w:val="single" w:color="auto" w:sz="4" w:space="0"/>
              <w:bottom w:val="single" w:color="000000"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　</w:t>
            </w:r>
          </w:p>
        </w:tc>
        <w:tc>
          <w:tcPr>
            <w:tcW w:w="2802" w:type="dxa"/>
            <w:tcBorders>
              <w:top w:val="nil"/>
              <w:left w:val="single" w:color="auto" w:sz="4" w:space="0"/>
              <w:bottom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205-1表的库存量数据为企业用于自身消费能源库存数量，以及企业购买后用于转卖的能源商品库存数量。</w:t>
            </w:r>
          </w:p>
        </w:tc>
      </w:tr>
      <w:tr>
        <w:tblPrEx>
          <w:tblCellMar>
            <w:top w:w="0" w:type="dxa"/>
            <w:left w:w="108" w:type="dxa"/>
            <w:bottom w:w="0" w:type="dxa"/>
            <w:right w:w="108" w:type="dxa"/>
          </w:tblCellMar>
        </w:tblPrEx>
        <w:trPr>
          <w:trHeight w:val="864" w:hRule="atLeast"/>
          <w:jc w:val="center"/>
        </w:trPr>
        <w:tc>
          <w:tcPr>
            <w:tcW w:w="1167" w:type="dxa"/>
            <w:tcBorders>
              <w:top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购进量</w:t>
            </w:r>
          </w:p>
        </w:tc>
        <w:tc>
          <w:tcPr>
            <w:tcW w:w="3012" w:type="dxa"/>
            <w:tcBorders>
              <w:top w:val="nil"/>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根据企业财务部门发票记录的在填报目录中的各能源品种的购买量、进仓单等填报</w:t>
            </w:r>
          </w:p>
        </w:tc>
        <w:tc>
          <w:tcPr>
            <w:tcW w:w="2763" w:type="dxa"/>
            <w:tcBorders>
              <w:top w:val="nil"/>
              <w:left w:val="single" w:color="auto" w:sz="4" w:space="0"/>
              <w:bottom w:val="single" w:color="000000" w:sz="4" w:space="0"/>
              <w:right w:val="single" w:color="auto" w:sz="4" w:space="0"/>
            </w:tcBorders>
            <w:noWrap/>
            <w:vAlign w:val="center"/>
          </w:tcPr>
          <w:p>
            <w:pPr>
              <w:widowControl/>
              <w:rPr>
                <w:rFonts w:ascii="宋体" w:hAnsi="宋体" w:cs="宋体"/>
                <w:kern w:val="0"/>
                <w:sz w:val="18"/>
                <w:szCs w:val="18"/>
              </w:rPr>
            </w:pPr>
          </w:p>
        </w:tc>
        <w:tc>
          <w:tcPr>
            <w:tcW w:w="2802" w:type="dxa"/>
            <w:tcBorders>
              <w:top w:val="nil"/>
              <w:left w:val="single" w:color="auto" w:sz="4" w:space="0"/>
              <w:bottom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购进量指已实际到达本单位，经过验收、检验，且办理完入库手续的。但在未办理完入库手续前已经投入使用的，要计算在购进量中，使用多少，计算多少。</w:t>
            </w:r>
          </w:p>
        </w:tc>
      </w:tr>
      <w:tr>
        <w:tblPrEx>
          <w:tblCellMar>
            <w:top w:w="0" w:type="dxa"/>
            <w:left w:w="108" w:type="dxa"/>
            <w:bottom w:w="0" w:type="dxa"/>
            <w:right w:w="108" w:type="dxa"/>
          </w:tblCellMar>
        </w:tblPrEx>
        <w:trPr>
          <w:trHeight w:val="864" w:hRule="atLeast"/>
          <w:jc w:val="center"/>
        </w:trPr>
        <w:tc>
          <w:tcPr>
            <w:tcW w:w="1167" w:type="dxa"/>
            <w:tcBorders>
              <w:top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 xml:space="preserve"> 其中：</w:t>
            </w:r>
          </w:p>
          <w:p>
            <w:pPr>
              <w:widowControl/>
              <w:jc w:val="center"/>
              <w:rPr>
                <w:rFonts w:ascii="宋体" w:hAnsi="宋体" w:cs="宋体"/>
                <w:kern w:val="0"/>
                <w:sz w:val="18"/>
                <w:szCs w:val="18"/>
              </w:rPr>
            </w:pPr>
            <w:r>
              <w:rPr>
                <w:rFonts w:hint="eastAsia" w:ascii="宋体" w:hAnsi="宋体" w:cs="宋体"/>
                <w:kern w:val="0"/>
                <w:sz w:val="18"/>
                <w:szCs w:val="18"/>
              </w:rPr>
              <w:t>购自</w:t>
            </w:r>
          </w:p>
          <w:p>
            <w:pPr>
              <w:widowControl/>
              <w:jc w:val="center"/>
              <w:rPr>
                <w:rFonts w:ascii="宋体" w:hAnsi="宋体" w:cs="宋体"/>
                <w:kern w:val="0"/>
                <w:sz w:val="18"/>
                <w:szCs w:val="18"/>
              </w:rPr>
            </w:pPr>
            <w:r>
              <w:rPr>
                <w:rFonts w:hint="eastAsia" w:ascii="宋体" w:hAnsi="宋体" w:cs="宋体"/>
                <w:kern w:val="0"/>
                <w:sz w:val="18"/>
                <w:szCs w:val="18"/>
              </w:rPr>
              <w:t>省外</w:t>
            </w:r>
          </w:p>
        </w:tc>
        <w:tc>
          <w:tcPr>
            <w:tcW w:w="3012" w:type="dxa"/>
            <w:tcBorders>
              <w:top w:val="nil"/>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根据企业财务部门能源购进发票上购自省外的发生额填报</w:t>
            </w:r>
          </w:p>
        </w:tc>
        <w:tc>
          <w:tcPr>
            <w:tcW w:w="2763" w:type="dxa"/>
            <w:tcBorders>
              <w:top w:val="nil"/>
              <w:left w:val="single" w:color="auto" w:sz="4" w:space="0"/>
              <w:bottom w:val="single" w:color="000000"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　</w:t>
            </w:r>
          </w:p>
        </w:tc>
        <w:tc>
          <w:tcPr>
            <w:tcW w:w="2802" w:type="dxa"/>
            <w:tcBorders>
              <w:top w:val="nil"/>
              <w:left w:val="single" w:color="auto" w:sz="4" w:space="0"/>
              <w:bottom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企业能源产品是否购自省外严格按照增值税发票上购买方和销售方纳税人识别码中表示省级区划的代码是否一致区分，若不一致则为购自省外。</w:t>
            </w:r>
          </w:p>
        </w:tc>
      </w:tr>
      <w:tr>
        <w:tblPrEx>
          <w:tblCellMar>
            <w:top w:w="0" w:type="dxa"/>
            <w:left w:w="108" w:type="dxa"/>
            <w:bottom w:w="0" w:type="dxa"/>
            <w:right w:w="108" w:type="dxa"/>
          </w:tblCellMar>
        </w:tblPrEx>
        <w:trPr>
          <w:trHeight w:val="626" w:hRule="atLeast"/>
          <w:jc w:val="center"/>
        </w:trPr>
        <w:tc>
          <w:tcPr>
            <w:tcW w:w="1167" w:type="dxa"/>
            <w:tcBorders>
              <w:top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购进金额</w:t>
            </w:r>
          </w:p>
        </w:tc>
        <w:tc>
          <w:tcPr>
            <w:tcW w:w="3012" w:type="dxa"/>
            <w:tcBorders>
              <w:top w:val="nil"/>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根据企业财务部门能源购进发票上的金额填报</w:t>
            </w:r>
          </w:p>
        </w:tc>
        <w:tc>
          <w:tcPr>
            <w:tcW w:w="2763" w:type="dxa"/>
            <w:tcBorders>
              <w:top w:val="nil"/>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p>
        </w:tc>
        <w:tc>
          <w:tcPr>
            <w:tcW w:w="2802" w:type="dxa"/>
            <w:tcBorders>
              <w:top w:val="nil"/>
              <w:left w:val="single" w:color="auto" w:sz="4" w:space="0"/>
              <w:bottom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购进金额含增值税，但不包括运输、装卸费用。</w:t>
            </w:r>
          </w:p>
        </w:tc>
      </w:tr>
      <w:tr>
        <w:tblPrEx>
          <w:tblCellMar>
            <w:top w:w="0" w:type="dxa"/>
            <w:left w:w="108" w:type="dxa"/>
            <w:bottom w:w="0" w:type="dxa"/>
            <w:right w:w="108" w:type="dxa"/>
          </w:tblCellMar>
        </w:tblPrEx>
        <w:trPr>
          <w:trHeight w:val="2110" w:hRule="atLeast"/>
          <w:jc w:val="center"/>
        </w:trPr>
        <w:tc>
          <w:tcPr>
            <w:tcW w:w="1167" w:type="dxa"/>
            <w:tcBorders>
              <w:top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工业</w:t>
            </w:r>
          </w:p>
          <w:p>
            <w:pPr>
              <w:widowControl/>
              <w:jc w:val="center"/>
              <w:rPr>
                <w:rFonts w:ascii="宋体" w:hAnsi="宋体" w:cs="宋体"/>
                <w:kern w:val="0"/>
                <w:sz w:val="18"/>
                <w:szCs w:val="18"/>
              </w:rPr>
            </w:pPr>
            <w:r>
              <w:rPr>
                <w:rFonts w:hint="eastAsia" w:ascii="宋体" w:hAnsi="宋体" w:cs="宋体"/>
                <w:kern w:val="0"/>
                <w:sz w:val="18"/>
                <w:szCs w:val="18"/>
              </w:rPr>
              <w:t>生产</w:t>
            </w:r>
          </w:p>
          <w:p>
            <w:pPr>
              <w:widowControl/>
              <w:jc w:val="center"/>
              <w:rPr>
                <w:rFonts w:ascii="宋体" w:hAnsi="宋体" w:cs="宋体"/>
                <w:kern w:val="0"/>
                <w:sz w:val="18"/>
                <w:szCs w:val="18"/>
              </w:rPr>
            </w:pPr>
            <w:r>
              <w:rPr>
                <w:rFonts w:hint="eastAsia" w:ascii="宋体" w:hAnsi="宋体" w:cs="宋体"/>
                <w:kern w:val="0"/>
                <w:sz w:val="18"/>
                <w:szCs w:val="18"/>
              </w:rPr>
              <w:t>消费量</w:t>
            </w:r>
          </w:p>
        </w:tc>
        <w:tc>
          <w:tcPr>
            <w:tcW w:w="3012" w:type="dxa"/>
            <w:tcBorders>
              <w:top w:val="single" w:color="auto" w:sz="4" w:space="0"/>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根据企业能源消费计量部门统计的各生产部门能源消费量计量仪器读数、财务部门增值税发票数额或生产部门的领料单、出库单等数据填报（包括煤炭、汽油、天然气、生物燃料等39个品种）</w:t>
            </w:r>
          </w:p>
        </w:tc>
        <w:tc>
          <w:tcPr>
            <w:tcW w:w="2763" w:type="dxa"/>
            <w:tcBorders>
              <w:top w:val="single" w:color="auto" w:sz="4" w:space="0"/>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根据电表或燃气表读数计算数据计算电力或燃气消费量;若根据开票数填报且开票日期非月底：</w:t>
            </w:r>
            <w:r>
              <w:rPr>
                <w:rFonts w:hint="eastAsia" w:ascii="宋体" w:hAnsi="宋体" w:cs="宋体"/>
                <w:kern w:val="0"/>
                <w:sz w:val="18"/>
                <w:szCs w:val="18"/>
              </w:rPr>
              <w:br w:type="textWrapping"/>
            </w:r>
            <w:r>
              <w:rPr>
                <w:rFonts w:hint="eastAsia" w:ascii="宋体" w:hAnsi="宋体" w:cs="宋体"/>
                <w:kern w:val="0"/>
                <w:sz w:val="18"/>
                <w:szCs w:val="18"/>
              </w:rPr>
              <w:t>消费量=最近开票时点前消费的累计数+（日均消费量×开票期至月底天数），日均消费量根据最近一期增值税发票记录的消费量/天数取得。　</w:t>
            </w:r>
          </w:p>
        </w:tc>
        <w:tc>
          <w:tcPr>
            <w:tcW w:w="2802" w:type="dxa"/>
            <w:tcBorders>
              <w:top w:val="single" w:color="auto" w:sz="4" w:space="0"/>
              <w:left w:val="single" w:color="auto" w:sz="4" w:space="0"/>
              <w:bottom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能源消费量为自然月数据，增值税发票非自然月月底开具的，应先按照计算方法处理，并根据下一期发票数进行调整。其中用电量可使用南方电网APP或微信小程序查询自然月消费量。</w:t>
            </w:r>
          </w:p>
        </w:tc>
      </w:tr>
      <w:tr>
        <w:tblPrEx>
          <w:tblCellMar>
            <w:top w:w="0" w:type="dxa"/>
            <w:left w:w="108" w:type="dxa"/>
            <w:bottom w:w="0" w:type="dxa"/>
            <w:right w:w="108" w:type="dxa"/>
          </w:tblCellMar>
        </w:tblPrEx>
        <w:trPr>
          <w:trHeight w:val="1559" w:hRule="atLeast"/>
          <w:jc w:val="center"/>
        </w:trPr>
        <w:tc>
          <w:tcPr>
            <w:tcW w:w="1167" w:type="dxa"/>
            <w:tcBorders>
              <w:top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 xml:space="preserve"> 其中：</w:t>
            </w:r>
          </w:p>
          <w:p>
            <w:pPr>
              <w:widowControl/>
              <w:jc w:val="center"/>
              <w:rPr>
                <w:rFonts w:ascii="宋体" w:hAnsi="宋体" w:cs="宋体"/>
                <w:kern w:val="0"/>
                <w:sz w:val="18"/>
                <w:szCs w:val="18"/>
              </w:rPr>
            </w:pPr>
            <w:r>
              <w:rPr>
                <w:rFonts w:hint="eastAsia" w:ascii="宋体" w:hAnsi="宋体" w:cs="宋体"/>
                <w:kern w:val="0"/>
                <w:sz w:val="18"/>
                <w:szCs w:val="18"/>
              </w:rPr>
              <w:t>用于</w:t>
            </w:r>
          </w:p>
          <w:p>
            <w:pPr>
              <w:widowControl/>
              <w:jc w:val="center"/>
              <w:rPr>
                <w:rFonts w:ascii="宋体" w:hAnsi="宋体" w:cs="宋体"/>
                <w:kern w:val="0"/>
                <w:sz w:val="18"/>
                <w:szCs w:val="18"/>
              </w:rPr>
            </w:pPr>
            <w:r>
              <w:rPr>
                <w:rFonts w:hint="eastAsia" w:ascii="宋体" w:hAnsi="宋体" w:cs="宋体"/>
                <w:kern w:val="0"/>
                <w:sz w:val="18"/>
                <w:szCs w:val="18"/>
              </w:rPr>
              <w:t xml:space="preserve"> 原材料</w:t>
            </w:r>
          </w:p>
        </w:tc>
        <w:tc>
          <w:tcPr>
            <w:tcW w:w="3012" w:type="dxa"/>
            <w:tcBorders>
              <w:top w:val="single" w:color="auto" w:sz="4" w:space="0"/>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根据企业生产部门领取的能源中用作生产另外一种产品（非能源产品）的原料或作为辅助材料使用的数量填报</w:t>
            </w:r>
          </w:p>
        </w:tc>
        <w:tc>
          <w:tcPr>
            <w:tcW w:w="2763" w:type="dxa"/>
            <w:tcBorders>
              <w:top w:val="single" w:color="auto" w:sz="4" w:space="0"/>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p>
        </w:tc>
        <w:tc>
          <w:tcPr>
            <w:tcW w:w="2802" w:type="dxa"/>
            <w:tcBorders>
              <w:top w:val="single" w:color="auto" w:sz="4" w:space="0"/>
              <w:left w:val="single" w:color="auto" w:sz="4" w:space="0"/>
              <w:bottom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用作原材料时，投入的是能源，产出的主要产品是能源范畴以外的产品，包括产出的某种产品在广义上可以用作能源（比如可以燃烧以提供热量），但通常意义上不作能源使用的产品。</w:t>
            </w:r>
          </w:p>
        </w:tc>
      </w:tr>
      <w:tr>
        <w:tblPrEx>
          <w:tblCellMar>
            <w:top w:w="0" w:type="dxa"/>
            <w:left w:w="108" w:type="dxa"/>
            <w:bottom w:w="0" w:type="dxa"/>
            <w:right w:w="108" w:type="dxa"/>
          </w:tblCellMar>
        </w:tblPrEx>
        <w:trPr>
          <w:trHeight w:val="864" w:hRule="atLeast"/>
          <w:jc w:val="center"/>
        </w:trPr>
        <w:tc>
          <w:tcPr>
            <w:tcW w:w="1167" w:type="dxa"/>
            <w:tcBorders>
              <w:top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其中：</w:t>
            </w:r>
          </w:p>
          <w:p>
            <w:pPr>
              <w:widowControl/>
              <w:jc w:val="center"/>
              <w:rPr>
                <w:rFonts w:ascii="宋体" w:hAnsi="宋体" w:cs="宋体"/>
                <w:kern w:val="0"/>
                <w:sz w:val="18"/>
                <w:szCs w:val="18"/>
              </w:rPr>
            </w:pPr>
            <w:r>
              <w:rPr>
                <w:rFonts w:hint="eastAsia" w:ascii="宋体" w:hAnsi="宋体" w:cs="宋体"/>
                <w:kern w:val="0"/>
                <w:sz w:val="18"/>
                <w:szCs w:val="18"/>
              </w:rPr>
              <w:t>运输工</w:t>
            </w:r>
          </w:p>
          <w:p>
            <w:pPr>
              <w:widowControl/>
              <w:jc w:val="center"/>
              <w:rPr>
                <w:rFonts w:ascii="宋体" w:hAnsi="宋体" w:cs="宋体"/>
                <w:kern w:val="0"/>
                <w:sz w:val="18"/>
                <w:szCs w:val="18"/>
              </w:rPr>
            </w:pPr>
            <w:r>
              <w:rPr>
                <w:rFonts w:hint="eastAsia" w:ascii="宋体" w:hAnsi="宋体" w:cs="宋体"/>
                <w:kern w:val="0"/>
                <w:sz w:val="18"/>
                <w:szCs w:val="18"/>
              </w:rPr>
              <w:t>具消费</w:t>
            </w:r>
          </w:p>
        </w:tc>
        <w:tc>
          <w:tcPr>
            <w:tcW w:w="3012" w:type="dxa"/>
            <w:tcBorders>
              <w:top w:val="single" w:color="auto" w:sz="4" w:space="0"/>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根据企业财务部门或生产部门提供的用于工业生产的运输工具消费的油品、天然气等品种的发票累计数额填报</w:t>
            </w:r>
          </w:p>
        </w:tc>
        <w:tc>
          <w:tcPr>
            <w:tcW w:w="2763" w:type="dxa"/>
            <w:tcBorders>
              <w:top w:val="single" w:color="auto" w:sz="4" w:space="0"/>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　</w:t>
            </w:r>
          </w:p>
        </w:tc>
        <w:tc>
          <w:tcPr>
            <w:tcW w:w="2802" w:type="dxa"/>
            <w:tcBorders>
              <w:top w:val="single" w:color="auto" w:sz="4" w:space="0"/>
              <w:left w:val="single" w:color="auto" w:sz="4" w:space="0"/>
              <w:bottom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254" w:hRule="atLeast"/>
          <w:jc w:val="center"/>
        </w:trPr>
        <w:tc>
          <w:tcPr>
            <w:tcW w:w="1167" w:type="dxa"/>
            <w:tcBorders>
              <w:top w:val="single" w:color="auto" w:sz="4" w:space="0"/>
              <w:bottom w:val="single" w:color="auto" w:sz="8"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折标系数</w:t>
            </w:r>
          </w:p>
        </w:tc>
        <w:tc>
          <w:tcPr>
            <w:tcW w:w="3012" w:type="dxa"/>
            <w:tcBorders>
              <w:top w:val="single" w:color="auto" w:sz="4" w:space="0"/>
              <w:left w:val="single" w:color="auto" w:sz="4" w:space="0"/>
              <w:bottom w:val="single" w:color="auto" w:sz="8"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根据企业计量部门出具的能源品种实测热值或销售合同中的热值规定填报</w:t>
            </w:r>
          </w:p>
        </w:tc>
        <w:tc>
          <w:tcPr>
            <w:tcW w:w="2763" w:type="dxa"/>
            <w:tcBorders>
              <w:top w:val="single" w:color="auto" w:sz="4" w:space="0"/>
              <w:left w:val="single" w:color="auto" w:sz="4" w:space="0"/>
              <w:bottom w:val="single" w:color="auto" w:sz="8"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　</w:t>
            </w:r>
          </w:p>
        </w:tc>
        <w:tc>
          <w:tcPr>
            <w:tcW w:w="2802" w:type="dxa"/>
            <w:tcBorders>
              <w:top w:val="single" w:color="auto" w:sz="4" w:space="0"/>
              <w:left w:val="single" w:color="auto" w:sz="4" w:space="0"/>
              <w:bottom w:val="single" w:color="auto" w:sz="8" w:space="0"/>
            </w:tcBorders>
            <w:noWrap/>
            <w:vAlign w:val="center"/>
          </w:tcPr>
          <w:p>
            <w:pPr>
              <w:widowControl/>
              <w:rPr>
                <w:rFonts w:ascii="宋体" w:hAnsi="宋体" w:cs="宋体"/>
                <w:kern w:val="0"/>
                <w:sz w:val="18"/>
                <w:szCs w:val="18"/>
              </w:rPr>
            </w:pPr>
            <w:r>
              <w:rPr>
                <w:rFonts w:hint="eastAsia" w:ascii="宋体" w:hAnsi="宋体" w:cs="宋体"/>
                <w:kern w:val="0"/>
                <w:sz w:val="18"/>
                <w:szCs w:val="18"/>
              </w:rPr>
              <w:t>1.企业有内部检测或第三方检测报告的，按实测折标系数填报；没有的按参考折标系数填报；电力、生物燃料和其他燃料折标系数为固定值，不得修改。</w:t>
            </w:r>
            <w:r>
              <w:rPr>
                <w:rFonts w:hint="eastAsia" w:ascii="宋体" w:hAnsi="宋体" w:cs="宋体"/>
                <w:kern w:val="0"/>
                <w:sz w:val="18"/>
                <w:szCs w:val="18"/>
              </w:rPr>
              <w:br w:type="textWrapping"/>
            </w:r>
            <w:r>
              <w:rPr>
                <w:rFonts w:hint="eastAsia" w:ascii="宋体" w:hAnsi="宋体" w:cs="宋体"/>
                <w:kern w:val="0"/>
                <w:sz w:val="18"/>
                <w:szCs w:val="18"/>
              </w:rPr>
              <w:t>2.企业购买热力使用，且销售发票上热力计量单位为吨的，应根据热力的压强、温度和热焓表折算成热值填报，或向销售方了解单位热力所含热值填报。</w:t>
            </w:r>
          </w:p>
        </w:tc>
      </w:tr>
    </w:tbl>
    <w:p>
      <w:pPr>
        <w:ind w:left="1446" w:firstLine="2168" w:firstLineChars="900"/>
        <w:jc w:val="left"/>
        <w:rPr>
          <w:rFonts w:ascii="黑体" w:hAnsi="宋体" w:eastAsia="黑体"/>
          <w:b/>
          <w:sz w:val="24"/>
        </w:rPr>
      </w:pPr>
    </w:p>
    <w:p>
      <w:pPr>
        <w:rPr>
          <w:rFonts w:hint="eastAsia" w:ascii="黑体" w:hAnsi="宋体" w:eastAsia="黑体"/>
          <w:b/>
          <w:sz w:val="24"/>
        </w:rPr>
      </w:pPr>
      <w:r>
        <w:rPr>
          <w:rFonts w:hint="eastAsia" w:ascii="黑体" w:hAnsi="宋体" w:eastAsia="黑体"/>
          <w:b/>
          <w:sz w:val="24"/>
        </w:rPr>
        <w:t xml:space="preserve">            </w:t>
      </w:r>
    </w:p>
    <w:p>
      <w:pPr>
        <w:rPr>
          <w:rFonts w:hint="eastAsia" w:ascii="黑体" w:hAnsi="宋体" w:eastAsia="黑体"/>
          <w:b/>
          <w:sz w:val="24"/>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sz w:val="24"/>
        </w:rPr>
      </w:pPr>
      <w:r>
        <w:rPr>
          <w:rFonts w:hint="default" w:ascii="Times New Roman" w:hAnsi="Times New Roman" w:eastAsia="黑体" w:cs="Times New Roman"/>
          <w:b w:val="0"/>
          <w:bCs/>
          <w:sz w:val="24"/>
        </w:rPr>
        <w:t>2.能源加工转换与回收利用（205-2表）数据来源参考表</w:t>
      </w:r>
    </w:p>
    <w:p>
      <w:pPr>
        <w:adjustRightInd w:val="0"/>
        <w:spacing w:after="120" w:afterLines="50" w:line="160" w:lineRule="exact"/>
        <w:ind w:left="964" w:hanging="963" w:hangingChars="600"/>
        <w:jc w:val="center"/>
        <w:rPr>
          <w:rFonts w:ascii="黑体" w:hAnsi="宋体" w:eastAsia="黑体"/>
          <w:b/>
          <w:sz w:val="16"/>
          <w:szCs w:val="16"/>
        </w:rPr>
      </w:pPr>
    </w:p>
    <w:tbl>
      <w:tblPr>
        <w:tblStyle w:val="21"/>
        <w:tblW w:w="0" w:type="auto"/>
        <w:jc w:val="center"/>
        <w:tblLayout w:type="fixed"/>
        <w:tblCellMar>
          <w:top w:w="0" w:type="dxa"/>
          <w:left w:w="108" w:type="dxa"/>
          <w:bottom w:w="0" w:type="dxa"/>
          <w:right w:w="108" w:type="dxa"/>
        </w:tblCellMar>
      </w:tblPr>
      <w:tblGrid>
        <w:gridCol w:w="1167"/>
        <w:gridCol w:w="3012"/>
        <w:gridCol w:w="2763"/>
        <w:gridCol w:w="2802"/>
      </w:tblGrid>
      <w:tr>
        <w:tblPrEx>
          <w:tblCellMar>
            <w:top w:w="0" w:type="dxa"/>
            <w:left w:w="108" w:type="dxa"/>
            <w:bottom w:w="0" w:type="dxa"/>
            <w:right w:w="108" w:type="dxa"/>
          </w:tblCellMar>
        </w:tblPrEx>
        <w:trPr>
          <w:trHeight w:val="696" w:hRule="atLeast"/>
          <w:jc w:val="center"/>
        </w:trPr>
        <w:tc>
          <w:tcPr>
            <w:tcW w:w="1167" w:type="dxa"/>
            <w:tcBorders>
              <w:top w:val="single" w:color="auto" w:sz="8" w:space="0"/>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统计指标</w:t>
            </w:r>
          </w:p>
        </w:tc>
        <w:tc>
          <w:tcPr>
            <w:tcW w:w="3012" w:type="dxa"/>
            <w:tcBorders>
              <w:top w:val="single" w:color="auto" w:sz="8" w:space="0"/>
              <w:left w:val="nil"/>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数据来源</w:t>
            </w:r>
          </w:p>
        </w:tc>
        <w:tc>
          <w:tcPr>
            <w:tcW w:w="2763" w:type="dxa"/>
            <w:tcBorders>
              <w:top w:val="single" w:color="auto" w:sz="8" w:space="0"/>
              <w:left w:val="nil"/>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计算方法</w:t>
            </w:r>
          </w:p>
        </w:tc>
        <w:tc>
          <w:tcPr>
            <w:tcW w:w="2802" w:type="dxa"/>
            <w:tcBorders>
              <w:top w:val="single" w:color="auto" w:sz="8" w:space="0"/>
              <w:left w:val="nil"/>
              <w:bottom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注意事项</w:t>
            </w:r>
          </w:p>
        </w:tc>
      </w:tr>
      <w:tr>
        <w:tblPrEx>
          <w:tblCellMar>
            <w:top w:w="0" w:type="dxa"/>
            <w:left w:w="108" w:type="dxa"/>
            <w:bottom w:w="0" w:type="dxa"/>
            <w:right w:w="108" w:type="dxa"/>
          </w:tblCellMar>
        </w:tblPrEx>
        <w:trPr>
          <w:trHeight w:val="1020" w:hRule="atLeast"/>
          <w:jc w:val="center"/>
        </w:trPr>
        <w:tc>
          <w:tcPr>
            <w:tcW w:w="1167" w:type="dxa"/>
            <w:tcBorders>
              <w:top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加工转换</w:t>
            </w:r>
          </w:p>
          <w:p>
            <w:pPr>
              <w:widowControl/>
              <w:jc w:val="center"/>
              <w:rPr>
                <w:rFonts w:ascii="宋体" w:hAnsi="宋体" w:cs="宋体"/>
                <w:kern w:val="0"/>
                <w:sz w:val="18"/>
                <w:szCs w:val="18"/>
              </w:rPr>
            </w:pPr>
            <w:r>
              <w:rPr>
                <w:rFonts w:hint="eastAsia" w:ascii="宋体" w:hAnsi="宋体" w:cs="宋体"/>
                <w:kern w:val="0"/>
                <w:sz w:val="18"/>
                <w:szCs w:val="18"/>
              </w:rPr>
              <w:t>投入合计</w:t>
            </w:r>
          </w:p>
        </w:tc>
        <w:tc>
          <w:tcPr>
            <w:tcW w:w="3012" w:type="dxa"/>
            <w:tcBorders>
              <w:top w:val="nil"/>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根据企业生产部门统计的以生产二次能源产品为目的而投入能源加工转换生产装置的能源（一般为一次能源）的数量填报</w:t>
            </w:r>
          </w:p>
        </w:tc>
        <w:tc>
          <w:tcPr>
            <w:tcW w:w="2763" w:type="dxa"/>
            <w:tcBorders>
              <w:top w:val="nil"/>
              <w:left w:val="single" w:color="auto" w:sz="4" w:space="0"/>
              <w:bottom w:val="single" w:color="000000"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　</w:t>
            </w:r>
          </w:p>
        </w:tc>
        <w:tc>
          <w:tcPr>
            <w:tcW w:w="2802" w:type="dxa"/>
            <w:tcBorders>
              <w:top w:val="nil"/>
              <w:left w:val="single" w:color="auto" w:sz="4" w:space="0"/>
              <w:bottom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应与用于原材料的能源区分：能源用作加工转换，投入的是能源，产出的主要产品还是能源。</w:t>
            </w:r>
          </w:p>
        </w:tc>
      </w:tr>
      <w:tr>
        <w:tblPrEx>
          <w:tblCellMar>
            <w:top w:w="0" w:type="dxa"/>
            <w:left w:w="108" w:type="dxa"/>
            <w:bottom w:w="0" w:type="dxa"/>
            <w:right w:w="108" w:type="dxa"/>
          </w:tblCellMar>
        </w:tblPrEx>
        <w:trPr>
          <w:trHeight w:val="1020" w:hRule="atLeast"/>
          <w:jc w:val="center"/>
        </w:trPr>
        <w:tc>
          <w:tcPr>
            <w:tcW w:w="1167" w:type="dxa"/>
            <w:tcBorders>
              <w:top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能源加工</w:t>
            </w:r>
          </w:p>
          <w:p>
            <w:pPr>
              <w:widowControl/>
              <w:jc w:val="center"/>
              <w:rPr>
                <w:rFonts w:ascii="宋体" w:hAnsi="宋体" w:cs="宋体"/>
                <w:kern w:val="0"/>
                <w:sz w:val="18"/>
                <w:szCs w:val="18"/>
              </w:rPr>
            </w:pPr>
            <w:r>
              <w:rPr>
                <w:rFonts w:hint="eastAsia" w:ascii="宋体" w:hAnsi="宋体" w:cs="宋体"/>
                <w:kern w:val="0"/>
                <w:sz w:val="18"/>
                <w:szCs w:val="18"/>
              </w:rPr>
              <w:t>转换产出</w:t>
            </w:r>
          </w:p>
        </w:tc>
        <w:tc>
          <w:tcPr>
            <w:tcW w:w="3012" w:type="dxa"/>
            <w:tcBorders>
              <w:top w:val="nil"/>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根据企业生产部门统计的产出量（包括汽油、煤油、柴油、发电量等39个品种）填报</w:t>
            </w:r>
          </w:p>
        </w:tc>
        <w:tc>
          <w:tcPr>
            <w:tcW w:w="2763" w:type="dxa"/>
            <w:tcBorders>
              <w:top w:val="nil"/>
              <w:left w:val="single" w:color="auto" w:sz="4" w:space="0"/>
              <w:bottom w:val="single" w:color="000000"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　</w:t>
            </w:r>
          </w:p>
        </w:tc>
        <w:tc>
          <w:tcPr>
            <w:tcW w:w="2802" w:type="dxa"/>
            <w:tcBorders>
              <w:top w:val="nil"/>
              <w:left w:val="single" w:color="auto" w:sz="4" w:space="0"/>
              <w:bottom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1020" w:hRule="atLeast"/>
          <w:jc w:val="center"/>
        </w:trPr>
        <w:tc>
          <w:tcPr>
            <w:tcW w:w="1167" w:type="dxa"/>
            <w:tcBorders>
              <w:top w:val="nil"/>
              <w:bottom w:val="single" w:color="auto" w:sz="8"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回收利用</w:t>
            </w:r>
          </w:p>
        </w:tc>
        <w:tc>
          <w:tcPr>
            <w:tcW w:w="3012" w:type="dxa"/>
            <w:tcBorders>
              <w:top w:val="nil"/>
              <w:left w:val="single" w:color="auto" w:sz="4" w:space="0"/>
              <w:bottom w:val="single" w:color="auto" w:sz="8"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根据生产部门计量的回收利用的有关能源品种（包括焦炉煤气、高炉煤气、转炉煤气、发生炉煤气和余热余压）、氢气数量填报</w:t>
            </w:r>
          </w:p>
        </w:tc>
        <w:tc>
          <w:tcPr>
            <w:tcW w:w="2763" w:type="dxa"/>
            <w:tcBorders>
              <w:top w:val="nil"/>
              <w:left w:val="single" w:color="auto" w:sz="4" w:space="0"/>
              <w:bottom w:val="single" w:color="auto" w:sz="8"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　</w:t>
            </w:r>
          </w:p>
        </w:tc>
        <w:tc>
          <w:tcPr>
            <w:tcW w:w="2802" w:type="dxa"/>
            <w:tcBorders>
              <w:top w:val="nil"/>
              <w:left w:val="single" w:color="auto" w:sz="4" w:space="0"/>
              <w:bottom w:val="single" w:color="auto" w:sz="8" w:space="0"/>
            </w:tcBorders>
            <w:noWrap/>
            <w:vAlign w:val="center"/>
          </w:tcPr>
          <w:p>
            <w:pPr>
              <w:widowControl/>
              <w:rPr>
                <w:rFonts w:ascii="宋体" w:hAnsi="宋体" w:cs="宋体"/>
                <w:kern w:val="0"/>
                <w:sz w:val="18"/>
                <w:szCs w:val="18"/>
              </w:rPr>
            </w:pPr>
            <w:r>
              <w:rPr>
                <w:rFonts w:hint="eastAsia" w:ascii="宋体" w:hAnsi="宋体" w:cs="宋体"/>
                <w:kern w:val="0"/>
                <w:sz w:val="18"/>
                <w:szCs w:val="18"/>
              </w:rPr>
              <w:t>回收能利用量，只在报表中的高炉煤气、转炉煤气、余热余压和氢气目录中填报。</w:t>
            </w:r>
          </w:p>
        </w:tc>
      </w:tr>
    </w:tbl>
    <w:p>
      <w:pPr>
        <w:pStyle w:val="2"/>
      </w:pPr>
    </w:p>
    <w:p>
      <w:pPr>
        <w:adjustRightInd w:val="0"/>
        <w:spacing w:line="400" w:lineRule="exact"/>
        <w:ind w:left="1446" w:hanging="1440" w:hangingChars="600"/>
        <w:jc w:val="center"/>
        <w:rPr>
          <w:rFonts w:hint="default" w:ascii="Times New Roman" w:hAnsi="Times New Roman" w:eastAsia="黑体" w:cs="Times New Roman"/>
          <w:b w:val="0"/>
          <w:bCs/>
          <w:sz w:val="24"/>
        </w:rPr>
      </w:pPr>
      <w:r>
        <w:rPr>
          <w:rFonts w:hint="default" w:ascii="Times New Roman" w:hAnsi="Times New Roman" w:eastAsia="黑体" w:cs="Times New Roman"/>
          <w:b w:val="0"/>
          <w:bCs/>
          <w:sz w:val="24"/>
        </w:rPr>
        <w:t>3.工业企业用水情况（205-4表）数据来源参考表</w:t>
      </w:r>
    </w:p>
    <w:p>
      <w:pPr>
        <w:adjustRightInd w:val="0"/>
        <w:snapToGrid w:val="0"/>
        <w:spacing w:after="120" w:afterLines="50" w:line="160" w:lineRule="exact"/>
        <w:ind w:left="1446" w:hanging="1445" w:hangingChars="600"/>
        <w:jc w:val="center"/>
        <w:rPr>
          <w:rFonts w:ascii="黑体" w:hAnsi="宋体" w:eastAsia="黑体"/>
          <w:b/>
          <w:sz w:val="24"/>
        </w:rPr>
      </w:pPr>
    </w:p>
    <w:tbl>
      <w:tblPr>
        <w:tblStyle w:val="21"/>
        <w:tblW w:w="0" w:type="auto"/>
        <w:jc w:val="center"/>
        <w:tblLayout w:type="fixed"/>
        <w:tblCellMar>
          <w:top w:w="0" w:type="dxa"/>
          <w:left w:w="108" w:type="dxa"/>
          <w:bottom w:w="0" w:type="dxa"/>
          <w:right w:w="108" w:type="dxa"/>
        </w:tblCellMar>
      </w:tblPr>
      <w:tblGrid>
        <w:gridCol w:w="1167"/>
        <w:gridCol w:w="2820"/>
        <w:gridCol w:w="2955"/>
        <w:gridCol w:w="2802"/>
      </w:tblGrid>
      <w:tr>
        <w:tblPrEx>
          <w:tblCellMar>
            <w:top w:w="0" w:type="dxa"/>
            <w:left w:w="108" w:type="dxa"/>
            <w:bottom w:w="0" w:type="dxa"/>
            <w:right w:w="108" w:type="dxa"/>
          </w:tblCellMar>
        </w:tblPrEx>
        <w:trPr>
          <w:trHeight w:val="696" w:hRule="atLeast"/>
          <w:jc w:val="center"/>
        </w:trPr>
        <w:tc>
          <w:tcPr>
            <w:tcW w:w="1167" w:type="dxa"/>
            <w:tcBorders>
              <w:top w:val="single" w:color="auto" w:sz="8" w:space="0"/>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统计指标</w:t>
            </w:r>
          </w:p>
        </w:tc>
        <w:tc>
          <w:tcPr>
            <w:tcW w:w="2820" w:type="dxa"/>
            <w:tcBorders>
              <w:top w:val="single" w:color="auto" w:sz="8" w:space="0"/>
              <w:left w:val="nil"/>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数据来源</w:t>
            </w:r>
          </w:p>
        </w:tc>
        <w:tc>
          <w:tcPr>
            <w:tcW w:w="2955" w:type="dxa"/>
            <w:tcBorders>
              <w:top w:val="single" w:color="auto" w:sz="8" w:space="0"/>
              <w:left w:val="nil"/>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计算方法</w:t>
            </w:r>
          </w:p>
        </w:tc>
        <w:tc>
          <w:tcPr>
            <w:tcW w:w="2802" w:type="dxa"/>
            <w:tcBorders>
              <w:top w:val="single" w:color="auto" w:sz="8" w:space="0"/>
              <w:left w:val="nil"/>
              <w:bottom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注意事项</w:t>
            </w:r>
          </w:p>
        </w:tc>
      </w:tr>
      <w:tr>
        <w:tblPrEx>
          <w:tblCellMar>
            <w:top w:w="0" w:type="dxa"/>
            <w:left w:w="108" w:type="dxa"/>
            <w:bottom w:w="0" w:type="dxa"/>
            <w:right w:w="108" w:type="dxa"/>
          </w:tblCellMar>
        </w:tblPrEx>
        <w:trPr>
          <w:trHeight w:val="1859" w:hRule="atLeast"/>
          <w:jc w:val="center"/>
        </w:trPr>
        <w:tc>
          <w:tcPr>
            <w:tcW w:w="1167" w:type="dxa"/>
            <w:tcBorders>
              <w:top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取水量</w:t>
            </w:r>
          </w:p>
        </w:tc>
        <w:tc>
          <w:tcPr>
            <w:tcW w:w="2820" w:type="dxa"/>
            <w:tcBorders>
              <w:top w:val="single" w:color="auto" w:sz="4" w:space="0"/>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根据企业安装的取水装置流量计读数，水表读数，或自来水公司开具发票记录的企业用水量（包括地表淡水、地下淡水、自来水等10个品种）填报</w:t>
            </w:r>
          </w:p>
        </w:tc>
        <w:tc>
          <w:tcPr>
            <w:tcW w:w="2955" w:type="dxa"/>
            <w:tcBorders>
              <w:top w:val="nil"/>
              <w:left w:val="single" w:color="auto" w:sz="4" w:space="0"/>
              <w:bottom w:val="single" w:color="000000"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按照自来水公司开具增值税发票填报自来水消费量的，若开票期为月中：消费量=最近开票时点前消费的累计数+（日均自来水消费量×开票期至月底天数），日均消费量根据最近一期增值税发票记录的消费量/天数取得。</w:t>
            </w:r>
          </w:p>
        </w:tc>
        <w:tc>
          <w:tcPr>
            <w:tcW w:w="2802" w:type="dxa"/>
            <w:tcBorders>
              <w:top w:val="nil"/>
              <w:left w:val="single" w:color="auto" w:sz="4" w:space="0"/>
              <w:bottom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1.企业办公使用的桶装水按照每桶的容量和桶数折算成吨计算。</w:t>
            </w:r>
          </w:p>
          <w:p>
            <w:pPr>
              <w:widowControl/>
              <w:rPr>
                <w:rFonts w:hint="eastAsia" w:ascii="宋体" w:hAnsi="宋体" w:cs="宋体"/>
                <w:kern w:val="0"/>
                <w:sz w:val="18"/>
                <w:szCs w:val="18"/>
              </w:rPr>
            </w:pPr>
            <w:r>
              <w:rPr>
                <w:rFonts w:hint="eastAsia" w:ascii="宋体" w:hAnsi="宋体" w:cs="宋体"/>
                <w:kern w:val="0"/>
                <w:sz w:val="18"/>
                <w:szCs w:val="18"/>
              </w:rPr>
              <w:t>2.有污水处理设备的企业取水量不包括污水和自用的再生水（中水）。</w:t>
            </w:r>
          </w:p>
          <w:p>
            <w:pPr>
              <w:pStyle w:val="2"/>
              <w:keepNext w:val="0"/>
              <w:keepLines w:val="0"/>
              <w:pageBreakBefore w:val="0"/>
              <w:widowControl w:val="0"/>
              <w:kinsoku/>
              <w:wordWrap/>
              <w:overflowPunct/>
              <w:topLinePunct w:val="0"/>
              <w:autoSpaceDE/>
              <w:autoSpaceDN/>
              <w:bidi w:val="0"/>
              <w:adjustRightInd w:val="0"/>
              <w:snapToGrid w:val="0"/>
              <w:spacing w:line="240" w:lineRule="auto"/>
              <w:jc w:val="both"/>
              <w:textAlignment w:val="auto"/>
            </w:pPr>
            <w:r>
              <w:rPr>
                <w:rFonts w:hint="eastAsia" w:ascii="宋体" w:hAnsi="宋体" w:eastAsia="宋体" w:cs="宋体"/>
                <w:kern w:val="0"/>
                <w:sz w:val="18"/>
                <w:szCs w:val="18"/>
                <w:lang w:val="en-US" w:eastAsia="zh-CN" w:bidi="ar-SA"/>
              </w:rPr>
              <w:t>3.不包括为转供给其他企业、居民等而取的自来水。</w:t>
            </w:r>
          </w:p>
        </w:tc>
      </w:tr>
      <w:tr>
        <w:tblPrEx>
          <w:tblCellMar>
            <w:top w:w="0" w:type="dxa"/>
            <w:left w:w="108" w:type="dxa"/>
            <w:bottom w:w="0" w:type="dxa"/>
            <w:right w:w="108" w:type="dxa"/>
          </w:tblCellMar>
        </w:tblPrEx>
        <w:trPr>
          <w:trHeight w:val="1467" w:hRule="atLeast"/>
          <w:jc w:val="center"/>
        </w:trPr>
        <w:tc>
          <w:tcPr>
            <w:tcW w:w="1167" w:type="dxa"/>
            <w:tcBorders>
              <w:top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外供水量</w:t>
            </w:r>
          </w:p>
        </w:tc>
        <w:tc>
          <w:tcPr>
            <w:tcW w:w="2820" w:type="dxa"/>
            <w:tcBorders>
              <w:top w:val="single" w:color="auto" w:sz="4" w:space="0"/>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根据企业外供给其他单位的水或水产品（包括地表淡水、地下淡水、自来水等10个品种）的量填报，数据来自水或水产品的销售量</w:t>
            </w:r>
          </w:p>
        </w:tc>
        <w:tc>
          <w:tcPr>
            <w:tcW w:w="2955" w:type="dxa"/>
            <w:tcBorders>
              <w:top w:val="nil"/>
              <w:left w:val="single" w:color="auto" w:sz="4" w:space="0"/>
              <w:bottom w:val="single" w:color="000000"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　</w:t>
            </w:r>
          </w:p>
        </w:tc>
        <w:tc>
          <w:tcPr>
            <w:tcW w:w="2802" w:type="dxa"/>
            <w:tcBorders>
              <w:top w:val="nil"/>
              <w:left w:val="single" w:color="auto" w:sz="4" w:space="0"/>
              <w:bottom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不包括直流冷却水量、再生水（中水）、未利用直接排放的矿井水和雨水量、进入城镇污水管网和直接排到自然环境中的水量。不包括取来直接转供给其他企业、居民等的自来水。</w:t>
            </w:r>
          </w:p>
        </w:tc>
      </w:tr>
      <w:tr>
        <w:tblPrEx>
          <w:tblCellMar>
            <w:top w:w="0" w:type="dxa"/>
            <w:left w:w="108" w:type="dxa"/>
            <w:bottom w:w="0" w:type="dxa"/>
            <w:right w:w="108" w:type="dxa"/>
          </w:tblCellMar>
        </w:tblPrEx>
        <w:trPr>
          <w:trHeight w:val="3352" w:hRule="atLeast"/>
          <w:jc w:val="center"/>
        </w:trPr>
        <w:tc>
          <w:tcPr>
            <w:tcW w:w="1167" w:type="dxa"/>
            <w:tcBorders>
              <w:top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外排水量</w:t>
            </w:r>
          </w:p>
        </w:tc>
        <w:tc>
          <w:tcPr>
            <w:tcW w:w="2820" w:type="dxa"/>
            <w:tcBorders>
              <w:top w:val="nil"/>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根据企业生产过程和生产活动之后，经过企业厂区、办公区所有排水口排到企业外部的水量填报</w:t>
            </w:r>
          </w:p>
        </w:tc>
        <w:tc>
          <w:tcPr>
            <w:tcW w:w="2955" w:type="dxa"/>
            <w:tcBorders>
              <w:top w:val="nil"/>
              <w:left w:val="single" w:color="auto" w:sz="4" w:space="0"/>
              <w:bottom w:val="single" w:color="000000"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外排水量常用计算方法：</w:t>
            </w:r>
            <w:r>
              <w:rPr>
                <w:rFonts w:hint="eastAsia" w:ascii="宋体" w:hAnsi="宋体" w:cs="宋体"/>
                <w:kern w:val="0"/>
                <w:sz w:val="18"/>
                <w:szCs w:val="18"/>
              </w:rPr>
              <w:br w:type="textWrapping"/>
            </w:r>
            <w:r>
              <w:rPr>
                <w:rFonts w:hint="eastAsia" w:ascii="宋体" w:hAnsi="宋体" w:cs="宋体"/>
                <w:kern w:val="0"/>
                <w:sz w:val="18"/>
                <w:szCs w:val="18"/>
              </w:rPr>
              <w:t>1.实测法</w:t>
            </w:r>
            <w:r>
              <w:rPr>
                <w:rFonts w:hint="eastAsia" w:ascii="宋体" w:hAnsi="宋体" w:cs="宋体"/>
                <w:kern w:val="0"/>
                <w:sz w:val="18"/>
                <w:szCs w:val="18"/>
              </w:rPr>
              <w:br w:type="textWrapping"/>
            </w:r>
            <w:r>
              <w:rPr>
                <w:rFonts w:hint="eastAsia" w:ascii="宋体" w:hAnsi="宋体" w:cs="宋体"/>
                <w:kern w:val="0"/>
                <w:sz w:val="18"/>
                <w:szCs w:val="18"/>
              </w:rPr>
              <w:t>企业排水口有计量装置，按照计量装置的计量数据计算外排水量。</w:t>
            </w:r>
            <w:r>
              <w:rPr>
                <w:rFonts w:hint="eastAsia" w:ascii="宋体" w:hAnsi="宋体" w:cs="宋体"/>
                <w:kern w:val="0"/>
                <w:sz w:val="18"/>
                <w:szCs w:val="18"/>
              </w:rPr>
              <w:br w:type="textWrapping"/>
            </w:r>
            <w:r>
              <w:rPr>
                <w:rFonts w:hint="eastAsia" w:ascii="宋体" w:hAnsi="宋体" w:cs="宋体"/>
                <w:kern w:val="0"/>
                <w:sz w:val="18"/>
                <w:szCs w:val="18"/>
              </w:rPr>
              <w:t>2.排放系数法</w:t>
            </w:r>
            <w:r>
              <w:rPr>
                <w:rFonts w:hint="eastAsia" w:ascii="宋体" w:hAnsi="宋体" w:cs="宋体"/>
                <w:kern w:val="0"/>
                <w:sz w:val="18"/>
                <w:szCs w:val="18"/>
              </w:rPr>
              <w:br w:type="textWrapping"/>
            </w:r>
            <w:r>
              <w:rPr>
                <w:rFonts w:hint="eastAsia" w:ascii="宋体" w:hAnsi="宋体" w:cs="宋体"/>
                <w:kern w:val="0"/>
                <w:sz w:val="18"/>
                <w:szCs w:val="18"/>
              </w:rPr>
              <w:t>外排水量＝（取水量合计－外供水量合计）×排放系数。</w:t>
            </w:r>
          </w:p>
          <w:p>
            <w:pPr>
              <w:widowControl/>
              <w:rPr>
                <w:rFonts w:ascii="宋体" w:hAnsi="宋体" w:cs="宋体"/>
                <w:kern w:val="0"/>
                <w:sz w:val="18"/>
                <w:szCs w:val="18"/>
              </w:rPr>
            </w:pPr>
            <w:r>
              <w:rPr>
                <w:rFonts w:hint="eastAsia" w:ascii="宋体" w:hAnsi="宋体" w:cs="宋体"/>
                <w:kern w:val="0"/>
                <w:sz w:val="18"/>
                <w:szCs w:val="18"/>
              </w:rPr>
              <w:t>不同类型的工业企业排放系数数值有所不同，一般在0.6至0.9范围内取值。</w:t>
            </w:r>
            <w:r>
              <w:rPr>
                <w:rFonts w:hint="eastAsia" w:ascii="宋体" w:hAnsi="宋体" w:cs="宋体"/>
                <w:kern w:val="0"/>
                <w:sz w:val="18"/>
                <w:szCs w:val="18"/>
              </w:rPr>
              <w:br w:type="textWrapping"/>
            </w:r>
            <w:r>
              <w:rPr>
                <w:rFonts w:hint="eastAsia" w:ascii="宋体" w:hAnsi="宋体" w:cs="宋体"/>
                <w:kern w:val="0"/>
                <w:sz w:val="18"/>
                <w:szCs w:val="18"/>
              </w:rPr>
              <w:t>若企业排水口有计量装置，则按照实测法计算外排水量。</w:t>
            </w:r>
          </w:p>
        </w:tc>
        <w:tc>
          <w:tcPr>
            <w:tcW w:w="2802" w:type="dxa"/>
            <w:tcBorders>
              <w:top w:val="nil"/>
              <w:left w:val="single" w:color="auto" w:sz="4" w:space="0"/>
              <w:bottom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1.外排水量不包括外供水量、直流冷却水量、未利用就直接排放的矿井水量。</w:t>
            </w:r>
            <w:r>
              <w:rPr>
                <w:rFonts w:hint="eastAsia" w:ascii="宋体" w:hAnsi="宋体" w:cs="宋体"/>
                <w:kern w:val="0"/>
                <w:sz w:val="18"/>
                <w:szCs w:val="18"/>
              </w:rPr>
              <w:br w:type="textWrapping"/>
            </w:r>
            <w:r>
              <w:rPr>
                <w:rFonts w:hint="eastAsia" w:ascii="宋体" w:hAnsi="宋体" w:cs="宋体"/>
                <w:kern w:val="0"/>
                <w:sz w:val="18"/>
                <w:szCs w:val="18"/>
              </w:rPr>
              <w:t>2.外排水量应小于企业取水量，用水量大于零则外排水量应大于零。</w:t>
            </w:r>
          </w:p>
        </w:tc>
      </w:tr>
    </w:tbl>
    <w:p>
      <w:r>
        <w:br w:type="page"/>
      </w:r>
    </w:p>
    <w:tbl>
      <w:tblPr>
        <w:tblStyle w:val="21"/>
        <w:tblW w:w="0" w:type="auto"/>
        <w:jc w:val="center"/>
        <w:tblLayout w:type="fixed"/>
        <w:tblCellMar>
          <w:top w:w="0" w:type="dxa"/>
          <w:left w:w="108" w:type="dxa"/>
          <w:bottom w:w="0" w:type="dxa"/>
          <w:right w:w="108" w:type="dxa"/>
        </w:tblCellMar>
      </w:tblPr>
      <w:tblGrid>
        <w:gridCol w:w="1167"/>
        <w:gridCol w:w="3012"/>
        <w:gridCol w:w="2763"/>
        <w:gridCol w:w="2802"/>
      </w:tblGrid>
      <w:tr>
        <w:tblPrEx>
          <w:tblCellMar>
            <w:top w:w="0" w:type="dxa"/>
            <w:left w:w="108" w:type="dxa"/>
            <w:bottom w:w="0" w:type="dxa"/>
            <w:right w:w="108" w:type="dxa"/>
          </w:tblCellMar>
        </w:tblPrEx>
        <w:trPr>
          <w:trHeight w:val="1520" w:hRule="atLeast"/>
          <w:jc w:val="center"/>
        </w:trPr>
        <w:tc>
          <w:tcPr>
            <w:tcW w:w="1167" w:type="dxa"/>
            <w:tcBorders>
              <w:top w:val="single" w:color="auto" w:sz="8"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重复</w:t>
            </w:r>
          </w:p>
          <w:p>
            <w:pPr>
              <w:widowControl/>
              <w:jc w:val="center"/>
              <w:rPr>
                <w:rFonts w:ascii="宋体" w:hAnsi="宋体" w:cs="宋体"/>
                <w:kern w:val="0"/>
                <w:sz w:val="18"/>
                <w:szCs w:val="18"/>
              </w:rPr>
            </w:pPr>
            <w:r>
              <w:rPr>
                <w:rFonts w:hint="eastAsia" w:ascii="宋体" w:hAnsi="宋体" w:cs="宋体"/>
                <w:kern w:val="0"/>
                <w:sz w:val="18"/>
                <w:szCs w:val="18"/>
              </w:rPr>
              <w:t>用水量</w:t>
            </w:r>
          </w:p>
        </w:tc>
        <w:tc>
          <w:tcPr>
            <w:tcW w:w="3012" w:type="dxa"/>
            <w:tcBorders>
              <w:top w:val="single" w:color="auto" w:sz="8" w:space="0"/>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根据企业流量仪器计量的,在确定的用水单元或系统内，所有未经处理和处理后又重复使用的水量填报</w:t>
            </w:r>
          </w:p>
        </w:tc>
        <w:tc>
          <w:tcPr>
            <w:tcW w:w="2763" w:type="dxa"/>
            <w:tcBorders>
              <w:top w:val="single" w:color="auto" w:sz="8" w:space="0"/>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重复用水量包括循环水、串联水和回用水，其中循环水量循环使用一次计算一次，根据循环水泵的流量乘以工作时间计算；串联水量重复使用一次计算一次；回用水量回用一次计算一次。</w:t>
            </w:r>
          </w:p>
        </w:tc>
        <w:tc>
          <w:tcPr>
            <w:tcW w:w="2802" w:type="dxa"/>
            <w:tcBorders>
              <w:top w:val="single" w:color="auto" w:sz="8" w:space="0"/>
              <w:left w:val="single" w:color="auto" w:sz="4" w:space="0"/>
              <w:bottom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1084" w:hRule="atLeast"/>
          <w:jc w:val="center"/>
        </w:trPr>
        <w:tc>
          <w:tcPr>
            <w:tcW w:w="1167" w:type="dxa"/>
            <w:tcBorders>
              <w:top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直流冷却</w:t>
            </w:r>
          </w:p>
          <w:p>
            <w:pPr>
              <w:widowControl/>
              <w:jc w:val="center"/>
              <w:rPr>
                <w:rFonts w:ascii="宋体" w:hAnsi="宋体" w:cs="宋体"/>
                <w:kern w:val="0"/>
                <w:sz w:val="18"/>
                <w:szCs w:val="18"/>
              </w:rPr>
            </w:pPr>
            <w:r>
              <w:rPr>
                <w:rFonts w:hint="eastAsia" w:ascii="宋体" w:hAnsi="宋体" w:cs="宋体"/>
                <w:kern w:val="0"/>
                <w:sz w:val="18"/>
                <w:szCs w:val="18"/>
              </w:rPr>
              <w:t>水量</w:t>
            </w:r>
          </w:p>
        </w:tc>
        <w:tc>
          <w:tcPr>
            <w:tcW w:w="3012" w:type="dxa"/>
            <w:tcBorders>
              <w:top w:val="single" w:color="auto" w:sz="4" w:space="0"/>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根据企业安装的流量仪记录的取自河流、水库、湖泊、海洋，经一次使用后，直接排放回河流、水库、湖泊、海洋的冷却水量填报</w:t>
            </w:r>
          </w:p>
        </w:tc>
        <w:tc>
          <w:tcPr>
            <w:tcW w:w="2763" w:type="dxa"/>
            <w:tcBorders>
              <w:top w:val="single" w:color="auto" w:sz="4" w:space="0"/>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　</w:t>
            </w:r>
          </w:p>
        </w:tc>
        <w:tc>
          <w:tcPr>
            <w:tcW w:w="2802" w:type="dxa"/>
            <w:tcBorders>
              <w:top w:val="single" w:color="auto" w:sz="4" w:space="0"/>
              <w:left w:val="single" w:color="auto" w:sz="4" w:space="0"/>
              <w:bottom w:val="single" w:color="auto" w:sz="4" w:space="0"/>
            </w:tcBorders>
            <w:noWrap/>
            <w:vAlign w:val="center"/>
          </w:tcPr>
          <w:p>
            <w:pPr>
              <w:widowControl/>
              <w:rPr>
                <w:rFonts w:ascii="宋体" w:hAnsi="宋体" w:cs="宋体"/>
                <w:color w:val="auto"/>
                <w:kern w:val="0"/>
                <w:sz w:val="18"/>
                <w:szCs w:val="18"/>
              </w:rPr>
            </w:pPr>
            <w:r>
              <w:rPr>
                <w:rFonts w:hint="eastAsia" w:ascii="宋体" w:hAnsi="宋体" w:cs="宋体"/>
                <w:color w:val="auto"/>
                <w:kern w:val="0"/>
                <w:sz w:val="18"/>
                <w:szCs w:val="18"/>
              </w:rPr>
              <w:t>直流冷却水不填报取水量、外供水量、外排水量。</w:t>
            </w:r>
          </w:p>
        </w:tc>
      </w:tr>
      <w:tr>
        <w:tblPrEx>
          <w:tblCellMar>
            <w:top w:w="0" w:type="dxa"/>
            <w:left w:w="108" w:type="dxa"/>
            <w:bottom w:w="0" w:type="dxa"/>
            <w:right w:w="108" w:type="dxa"/>
          </w:tblCellMar>
        </w:tblPrEx>
        <w:trPr>
          <w:trHeight w:val="1136" w:hRule="atLeast"/>
          <w:jc w:val="center"/>
        </w:trPr>
        <w:tc>
          <w:tcPr>
            <w:tcW w:w="1167" w:type="dxa"/>
            <w:tcBorders>
              <w:top w:val="single" w:color="auto" w:sz="4" w:space="0"/>
              <w:bottom w:val="single" w:color="auto" w:sz="8"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污水</w:t>
            </w:r>
          </w:p>
          <w:p>
            <w:pPr>
              <w:widowControl/>
              <w:jc w:val="center"/>
              <w:rPr>
                <w:rFonts w:ascii="宋体" w:hAnsi="宋体" w:cs="宋体"/>
                <w:kern w:val="0"/>
                <w:sz w:val="18"/>
                <w:szCs w:val="18"/>
              </w:rPr>
            </w:pPr>
            <w:r>
              <w:rPr>
                <w:rFonts w:hint="eastAsia" w:ascii="宋体" w:hAnsi="宋体" w:cs="宋体"/>
                <w:kern w:val="0"/>
                <w:sz w:val="18"/>
                <w:szCs w:val="18"/>
              </w:rPr>
              <w:t>处理量</w:t>
            </w:r>
          </w:p>
        </w:tc>
        <w:tc>
          <w:tcPr>
            <w:tcW w:w="3012" w:type="dxa"/>
            <w:tcBorders>
              <w:top w:val="single" w:color="auto" w:sz="4" w:space="0"/>
              <w:left w:val="single" w:color="auto" w:sz="4" w:space="0"/>
              <w:bottom w:val="single" w:color="auto" w:sz="8"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根据污水处理设备污水进水量计量仪器计量数据填报</w:t>
            </w:r>
          </w:p>
        </w:tc>
        <w:tc>
          <w:tcPr>
            <w:tcW w:w="2763" w:type="dxa"/>
            <w:tcBorders>
              <w:top w:val="single" w:color="auto" w:sz="4" w:space="0"/>
              <w:left w:val="single" w:color="auto" w:sz="4" w:space="0"/>
              <w:bottom w:val="single" w:color="auto" w:sz="8"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　</w:t>
            </w:r>
          </w:p>
        </w:tc>
        <w:tc>
          <w:tcPr>
            <w:tcW w:w="2802" w:type="dxa"/>
            <w:tcBorders>
              <w:top w:val="single" w:color="auto" w:sz="4" w:space="0"/>
              <w:left w:val="single" w:color="auto" w:sz="4" w:space="0"/>
              <w:bottom w:val="single" w:color="auto" w:sz="8" w:space="0"/>
            </w:tcBorders>
            <w:noWrap/>
            <w:vAlign w:val="center"/>
          </w:tcPr>
          <w:p>
            <w:pPr>
              <w:widowControl/>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eastAsia="zh-CN"/>
              </w:rPr>
              <w:t>包括物理处理量、生物处理量</w:t>
            </w:r>
            <w:r>
              <w:rPr>
                <w:rFonts w:hint="eastAsia" w:ascii="宋体" w:hAnsi="宋体" w:cs="宋体"/>
                <w:color w:val="auto"/>
                <w:kern w:val="0"/>
                <w:sz w:val="18"/>
                <w:szCs w:val="18"/>
                <w:lang w:val="en-US" w:eastAsia="zh-CN"/>
              </w:rPr>
              <w:t>和化学处理量。统计污水处理量时，应包括取自企业外部和本企业产生的污（废）水。</w:t>
            </w:r>
          </w:p>
        </w:tc>
      </w:tr>
    </w:tbl>
    <w:p>
      <w:pPr>
        <w:pStyle w:val="2"/>
      </w:pPr>
    </w:p>
    <w:p>
      <w:pPr>
        <w:adjustRightInd w:val="0"/>
        <w:spacing w:line="400" w:lineRule="exact"/>
        <w:ind w:left="1446" w:hanging="1440" w:hangingChars="600"/>
        <w:jc w:val="center"/>
        <w:rPr>
          <w:rFonts w:hint="default" w:ascii="Times New Roman" w:hAnsi="Times New Roman" w:eastAsia="黑体" w:cs="Times New Roman"/>
          <w:b w:val="0"/>
          <w:bCs/>
          <w:sz w:val="24"/>
        </w:rPr>
      </w:pPr>
      <w:r>
        <w:rPr>
          <w:rFonts w:hint="default" w:ascii="Times New Roman" w:hAnsi="Times New Roman" w:eastAsia="黑体" w:cs="Times New Roman"/>
          <w:b w:val="0"/>
          <w:bCs/>
          <w:sz w:val="24"/>
        </w:rPr>
        <w:t>4</w:t>
      </w:r>
      <w:r>
        <w:rPr>
          <w:rFonts w:hint="default" w:ascii="Times New Roman" w:hAnsi="Times New Roman" w:eastAsia="黑体" w:cs="Times New Roman"/>
          <w:b w:val="0"/>
          <w:bCs/>
          <w:sz w:val="24"/>
          <w:lang w:val="en-US" w:eastAsia="zh-CN"/>
        </w:rPr>
        <w:t>.</w:t>
      </w:r>
      <w:r>
        <w:rPr>
          <w:rFonts w:hint="default" w:ascii="Times New Roman" w:hAnsi="Times New Roman" w:eastAsia="黑体" w:cs="Times New Roman"/>
          <w:b w:val="0"/>
          <w:bCs/>
          <w:sz w:val="24"/>
        </w:rPr>
        <w:t>非工业重点耗能单位能源消费情况（205-5表）数据来源参考表</w:t>
      </w:r>
    </w:p>
    <w:p>
      <w:pPr>
        <w:pStyle w:val="9"/>
        <w:spacing w:line="300" w:lineRule="exact"/>
        <w:ind w:right="-40" w:firstLine="0" w:firstLineChars="0"/>
      </w:pPr>
    </w:p>
    <w:tbl>
      <w:tblPr>
        <w:tblStyle w:val="21"/>
        <w:tblW w:w="0" w:type="auto"/>
        <w:jc w:val="center"/>
        <w:tblLayout w:type="fixed"/>
        <w:tblCellMar>
          <w:top w:w="0" w:type="dxa"/>
          <w:left w:w="108" w:type="dxa"/>
          <w:bottom w:w="0" w:type="dxa"/>
          <w:right w:w="108" w:type="dxa"/>
        </w:tblCellMar>
      </w:tblPr>
      <w:tblGrid>
        <w:gridCol w:w="1167"/>
        <w:gridCol w:w="3012"/>
        <w:gridCol w:w="2763"/>
        <w:gridCol w:w="2802"/>
      </w:tblGrid>
      <w:tr>
        <w:tblPrEx>
          <w:tblCellMar>
            <w:top w:w="0" w:type="dxa"/>
            <w:left w:w="108" w:type="dxa"/>
            <w:bottom w:w="0" w:type="dxa"/>
            <w:right w:w="108" w:type="dxa"/>
          </w:tblCellMar>
        </w:tblPrEx>
        <w:trPr>
          <w:trHeight w:val="696" w:hRule="atLeast"/>
          <w:jc w:val="center"/>
        </w:trPr>
        <w:tc>
          <w:tcPr>
            <w:tcW w:w="1167" w:type="dxa"/>
            <w:tcBorders>
              <w:top w:val="single" w:color="auto" w:sz="8" w:space="0"/>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统计指标</w:t>
            </w:r>
          </w:p>
        </w:tc>
        <w:tc>
          <w:tcPr>
            <w:tcW w:w="3012" w:type="dxa"/>
            <w:tcBorders>
              <w:top w:val="single" w:color="auto" w:sz="8" w:space="0"/>
              <w:left w:val="nil"/>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数据来源</w:t>
            </w:r>
          </w:p>
        </w:tc>
        <w:tc>
          <w:tcPr>
            <w:tcW w:w="2763" w:type="dxa"/>
            <w:tcBorders>
              <w:top w:val="single" w:color="auto" w:sz="8" w:space="0"/>
              <w:left w:val="nil"/>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计算方法</w:t>
            </w:r>
          </w:p>
        </w:tc>
        <w:tc>
          <w:tcPr>
            <w:tcW w:w="2802" w:type="dxa"/>
            <w:tcBorders>
              <w:top w:val="single" w:color="auto" w:sz="8" w:space="0"/>
              <w:left w:val="nil"/>
              <w:bottom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注意事项</w:t>
            </w:r>
          </w:p>
        </w:tc>
      </w:tr>
      <w:tr>
        <w:tblPrEx>
          <w:tblCellMar>
            <w:top w:w="0" w:type="dxa"/>
            <w:left w:w="108" w:type="dxa"/>
            <w:bottom w:w="0" w:type="dxa"/>
            <w:right w:w="108" w:type="dxa"/>
          </w:tblCellMar>
        </w:tblPrEx>
        <w:trPr>
          <w:trHeight w:val="2388" w:hRule="atLeast"/>
          <w:jc w:val="center"/>
        </w:trPr>
        <w:tc>
          <w:tcPr>
            <w:tcW w:w="1167" w:type="dxa"/>
            <w:tcBorders>
              <w:top w:val="nil"/>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消费量</w:t>
            </w:r>
          </w:p>
        </w:tc>
        <w:tc>
          <w:tcPr>
            <w:tcW w:w="3012" w:type="dxa"/>
            <w:tcBorders>
              <w:top w:val="nil"/>
              <w:left w:val="single" w:color="auto" w:sz="4" w:space="0"/>
              <w:bottom w:val="single" w:color="auto"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根据企业财务部门能源商品（包括电力、汽油、天然气等11个能源品种）消费发票上的发生额填报</w:t>
            </w:r>
          </w:p>
        </w:tc>
        <w:tc>
          <w:tcPr>
            <w:tcW w:w="2763" w:type="dxa"/>
            <w:tcBorders>
              <w:top w:val="nil"/>
              <w:left w:val="single" w:color="auto" w:sz="4" w:space="0"/>
              <w:bottom w:val="single" w:color="000000" w:sz="4"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根据供电局或燃气公司开具增值税发票填报消费量的，若开票非月底：</w:t>
            </w:r>
            <w:r>
              <w:rPr>
                <w:rFonts w:hint="eastAsia" w:ascii="宋体" w:hAnsi="宋体" w:cs="宋体"/>
                <w:kern w:val="0"/>
                <w:sz w:val="18"/>
                <w:szCs w:val="18"/>
              </w:rPr>
              <w:br w:type="textWrapping"/>
            </w:r>
            <w:r>
              <w:rPr>
                <w:rFonts w:hint="eastAsia" w:ascii="宋体" w:hAnsi="宋体" w:cs="宋体"/>
                <w:kern w:val="0"/>
                <w:sz w:val="18"/>
                <w:szCs w:val="18"/>
              </w:rPr>
              <w:t>消费量=最近开票时点前消费的累计数+（日均消费量×开票期至月底天数），日均消费量根据最近一期增值税发票记录的消费量/天数取得。</w:t>
            </w:r>
          </w:p>
        </w:tc>
        <w:tc>
          <w:tcPr>
            <w:tcW w:w="2802" w:type="dxa"/>
            <w:tcBorders>
              <w:top w:val="nil"/>
              <w:left w:val="single" w:color="auto" w:sz="4" w:space="0"/>
              <w:bottom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1.能源消费量为自然月数据，增值税发票非自然月月底开具的，应先按照计算方法处理，并根据下一期发票数进行调整。</w:t>
            </w:r>
          </w:p>
          <w:p>
            <w:pPr>
              <w:widowControl/>
              <w:rPr>
                <w:rFonts w:ascii="宋体" w:hAnsi="宋体" w:cs="宋体"/>
                <w:kern w:val="0"/>
                <w:sz w:val="18"/>
                <w:szCs w:val="18"/>
              </w:rPr>
            </w:pPr>
            <w:r>
              <w:rPr>
                <w:rFonts w:hint="eastAsia" w:ascii="宋体" w:hAnsi="宋体" w:cs="宋体"/>
                <w:kern w:val="0"/>
                <w:sz w:val="18"/>
                <w:szCs w:val="18"/>
              </w:rPr>
              <w:t>2. 出租车等交通运输企业无固定加油场所，加油量和加油金额无法统计的，可根据车辆的行驶总里程数/车辆的每公里油耗计算后填报。</w:t>
            </w:r>
          </w:p>
        </w:tc>
      </w:tr>
      <w:tr>
        <w:tblPrEx>
          <w:tblCellMar>
            <w:top w:w="0" w:type="dxa"/>
            <w:left w:w="108" w:type="dxa"/>
            <w:bottom w:w="0" w:type="dxa"/>
            <w:right w:w="108" w:type="dxa"/>
          </w:tblCellMar>
        </w:tblPrEx>
        <w:trPr>
          <w:trHeight w:val="1412" w:hRule="atLeast"/>
          <w:jc w:val="center"/>
        </w:trPr>
        <w:tc>
          <w:tcPr>
            <w:tcW w:w="1167" w:type="dxa"/>
            <w:tcBorders>
              <w:top w:val="nil"/>
              <w:bottom w:val="single" w:color="auto" w:sz="8"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消费金额</w:t>
            </w:r>
          </w:p>
        </w:tc>
        <w:tc>
          <w:tcPr>
            <w:tcW w:w="3012" w:type="dxa"/>
            <w:tcBorders>
              <w:top w:val="nil"/>
              <w:left w:val="single" w:color="auto" w:sz="4" w:space="0"/>
              <w:bottom w:val="single" w:color="auto" w:sz="8"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根据企业财务报表中各能源品种发生（包括电力、汽油、天然气等11个品种）费用、或财务部门能源购买发票中记录的金额填报</w:t>
            </w:r>
          </w:p>
        </w:tc>
        <w:tc>
          <w:tcPr>
            <w:tcW w:w="2763" w:type="dxa"/>
            <w:tcBorders>
              <w:top w:val="nil"/>
              <w:left w:val="single" w:color="auto" w:sz="4" w:space="0"/>
              <w:bottom w:val="single" w:color="auto" w:sz="8" w:space="0"/>
              <w:right w:val="single" w:color="auto" w:sz="4" w:space="0"/>
            </w:tcBorders>
            <w:noWrap/>
            <w:vAlign w:val="center"/>
          </w:tcPr>
          <w:p>
            <w:pPr>
              <w:widowControl/>
              <w:rPr>
                <w:rFonts w:ascii="宋体" w:hAnsi="宋体" w:cs="宋体"/>
                <w:kern w:val="0"/>
                <w:sz w:val="18"/>
                <w:szCs w:val="18"/>
              </w:rPr>
            </w:pPr>
            <w:r>
              <w:rPr>
                <w:rFonts w:hint="eastAsia" w:ascii="宋体" w:hAnsi="宋体" w:cs="宋体"/>
                <w:kern w:val="0"/>
                <w:sz w:val="18"/>
                <w:szCs w:val="18"/>
              </w:rPr>
              <w:t>　</w:t>
            </w:r>
          </w:p>
        </w:tc>
        <w:tc>
          <w:tcPr>
            <w:tcW w:w="2802" w:type="dxa"/>
            <w:tcBorders>
              <w:top w:val="nil"/>
              <w:left w:val="single" w:color="auto" w:sz="4" w:space="0"/>
              <w:bottom w:val="single" w:color="auto" w:sz="8" w:space="0"/>
            </w:tcBorders>
            <w:noWrap/>
            <w:vAlign w:val="center"/>
          </w:tcPr>
          <w:p>
            <w:pPr>
              <w:widowControl/>
              <w:rPr>
                <w:rFonts w:ascii="宋体" w:hAnsi="宋体" w:cs="宋体"/>
                <w:kern w:val="0"/>
                <w:sz w:val="18"/>
                <w:szCs w:val="18"/>
              </w:rPr>
            </w:pPr>
            <w:r>
              <w:rPr>
                <w:rFonts w:hint="eastAsia" w:ascii="宋体" w:hAnsi="宋体" w:cs="宋体"/>
                <w:kern w:val="0"/>
                <w:sz w:val="18"/>
                <w:szCs w:val="18"/>
              </w:rPr>
              <w:t>消费金额应与消费量相对应，企业一次购进能源多期消费的，按当期消费量对应的消费金额填报。</w:t>
            </w:r>
          </w:p>
        </w:tc>
      </w:tr>
    </w:tbl>
    <w:p>
      <w:pPr>
        <w:pStyle w:val="2"/>
      </w:pPr>
    </w:p>
    <w:p>
      <w:pPr>
        <w:adjustRightInd w:val="0"/>
        <w:spacing w:line="400" w:lineRule="exact"/>
        <w:ind w:left="1446" w:hanging="1440" w:hangingChars="600"/>
        <w:jc w:val="center"/>
        <w:rPr>
          <w:rFonts w:hint="default" w:ascii="Times New Roman" w:hAnsi="Times New Roman" w:eastAsia="黑体" w:cs="Times New Roman"/>
          <w:b w:val="0"/>
          <w:bCs/>
          <w:sz w:val="24"/>
        </w:rPr>
      </w:pPr>
      <w:r>
        <w:rPr>
          <w:rFonts w:hint="default" w:ascii="Times New Roman" w:hAnsi="Times New Roman" w:eastAsia="黑体" w:cs="Times New Roman"/>
          <w:b w:val="0"/>
          <w:bCs/>
          <w:sz w:val="24"/>
        </w:rPr>
        <w:t>5</w:t>
      </w:r>
      <w:r>
        <w:rPr>
          <w:rFonts w:hint="default" w:ascii="Times New Roman" w:hAnsi="Times New Roman" w:eastAsia="黑体" w:cs="Times New Roman"/>
          <w:b w:val="0"/>
          <w:bCs/>
          <w:sz w:val="24"/>
          <w:lang w:val="en-US" w:eastAsia="zh-CN"/>
        </w:rPr>
        <w:t>.</w:t>
      </w:r>
      <w:r>
        <w:rPr>
          <w:rFonts w:hint="default" w:ascii="Times New Roman" w:hAnsi="Times New Roman" w:eastAsia="黑体" w:cs="Times New Roman"/>
          <w:b w:val="0"/>
          <w:bCs/>
          <w:sz w:val="24"/>
        </w:rPr>
        <w:t>能源生产</w:t>
      </w:r>
      <w:r>
        <w:rPr>
          <w:rFonts w:hint="eastAsia" w:eastAsia="黑体" w:cs="Times New Roman"/>
          <w:b w:val="0"/>
          <w:bCs/>
          <w:sz w:val="24"/>
          <w:lang w:eastAsia="zh-CN"/>
        </w:rPr>
        <w:t>、</w:t>
      </w:r>
      <w:r>
        <w:rPr>
          <w:rFonts w:hint="default" w:ascii="Times New Roman" w:hAnsi="Times New Roman" w:eastAsia="黑体" w:cs="Times New Roman"/>
          <w:b w:val="0"/>
          <w:bCs/>
          <w:sz w:val="24"/>
        </w:rPr>
        <w:t>销售与库存（205-6表）数据来源参考表</w:t>
      </w:r>
    </w:p>
    <w:p>
      <w:pPr>
        <w:adjustRightInd w:val="0"/>
        <w:snapToGrid w:val="0"/>
        <w:spacing w:after="120" w:afterLines="50" w:line="160" w:lineRule="exact"/>
        <w:ind w:left="1446" w:hanging="1445" w:hangingChars="600"/>
        <w:jc w:val="center"/>
        <w:rPr>
          <w:rFonts w:ascii="黑体" w:hAnsi="宋体" w:eastAsia="黑体"/>
          <w:b/>
          <w:sz w:val="24"/>
        </w:rPr>
      </w:pPr>
    </w:p>
    <w:tbl>
      <w:tblPr>
        <w:tblStyle w:val="21"/>
        <w:tblW w:w="0" w:type="auto"/>
        <w:jc w:val="center"/>
        <w:tblLayout w:type="fixed"/>
        <w:tblCellMar>
          <w:top w:w="0" w:type="dxa"/>
          <w:left w:w="108" w:type="dxa"/>
          <w:bottom w:w="0" w:type="dxa"/>
          <w:right w:w="108" w:type="dxa"/>
        </w:tblCellMar>
      </w:tblPr>
      <w:tblGrid>
        <w:gridCol w:w="1167"/>
        <w:gridCol w:w="3012"/>
        <w:gridCol w:w="2763"/>
        <w:gridCol w:w="2802"/>
      </w:tblGrid>
      <w:tr>
        <w:tblPrEx>
          <w:tblCellMar>
            <w:top w:w="0" w:type="dxa"/>
            <w:left w:w="108" w:type="dxa"/>
            <w:bottom w:w="0" w:type="dxa"/>
            <w:right w:w="108" w:type="dxa"/>
          </w:tblCellMar>
        </w:tblPrEx>
        <w:trPr>
          <w:trHeight w:val="696" w:hRule="atLeast"/>
          <w:jc w:val="center"/>
        </w:trPr>
        <w:tc>
          <w:tcPr>
            <w:tcW w:w="1167" w:type="dxa"/>
            <w:tcBorders>
              <w:top w:val="single" w:color="auto" w:sz="8" w:space="0"/>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统计指标</w:t>
            </w:r>
          </w:p>
        </w:tc>
        <w:tc>
          <w:tcPr>
            <w:tcW w:w="3012" w:type="dxa"/>
            <w:tcBorders>
              <w:top w:val="single" w:color="auto" w:sz="8" w:space="0"/>
              <w:left w:val="nil"/>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数据来源</w:t>
            </w:r>
          </w:p>
        </w:tc>
        <w:tc>
          <w:tcPr>
            <w:tcW w:w="2763" w:type="dxa"/>
            <w:tcBorders>
              <w:top w:val="single" w:color="auto" w:sz="8" w:space="0"/>
              <w:left w:val="nil"/>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计算方法</w:t>
            </w:r>
          </w:p>
        </w:tc>
        <w:tc>
          <w:tcPr>
            <w:tcW w:w="2802" w:type="dxa"/>
            <w:tcBorders>
              <w:top w:val="single" w:color="auto" w:sz="8" w:space="0"/>
              <w:left w:val="nil"/>
              <w:bottom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注意事项</w:t>
            </w:r>
          </w:p>
        </w:tc>
      </w:tr>
      <w:tr>
        <w:tblPrEx>
          <w:tblCellMar>
            <w:top w:w="0" w:type="dxa"/>
            <w:left w:w="108" w:type="dxa"/>
            <w:bottom w:w="0" w:type="dxa"/>
            <w:right w:w="108" w:type="dxa"/>
          </w:tblCellMar>
        </w:tblPrEx>
        <w:trPr>
          <w:trHeight w:val="1128" w:hRule="atLeast"/>
          <w:jc w:val="center"/>
        </w:trPr>
        <w:tc>
          <w:tcPr>
            <w:tcW w:w="1167" w:type="dxa"/>
            <w:tcBorders>
              <w:top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产成品</w:t>
            </w:r>
          </w:p>
          <w:p>
            <w:pPr>
              <w:widowControl/>
              <w:jc w:val="center"/>
              <w:rPr>
                <w:rFonts w:ascii="宋体" w:hAnsi="宋体" w:cs="宋体"/>
                <w:kern w:val="0"/>
                <w:sz w:val="18"/>
                <w:szCs w:val="18"/>
              </w:rPr>
            </w:pPr>
            <w:r>
              <w:rPr>
                <w:rFonts w:hint="eastAsia" w:ascii="宋体" w:hAnsi="宋体" w:cs="宋体"/>
                <w:kern w:val="0"/>
                <w:sz w:val="18"/>
                <w:szCs w:val="18"/>
              </w:rPr>
              <w:t>库存量</w:t>
            </w:r>
          </w:p>
        </w:tc>
        <w:tc>
          <w:tcPr>
            <w:tcW w:w="3012"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根据企业仓储部门提供的仓库中暂未售出的能源产品（包括汽油、煤油、柴油、发电量等27个能源品种）的实物数量填报</w:t>
            </w:r>
          </w:p>
        </w:tc>
        <w:tc>
          <w:tcPr>
            <w:tcW w:w="2763" w:type="dxa"/>
            <w:tcBorders>
              <w:top w:val="nil"/>
              <w:left w:val="single" w:color="auto" w:sz="4" w:space="0"/>
              <w:bottom w:val="single" w:color="000000"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2802" w:type="dxa"/>
            <w:tcBorders>
              <w:top w:val="nil"/>
              <w:left w:val="single" w:color="auto" w:sz="4" w:space="0"/>
              <w:bottom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此指标为期初、期末时点数。</w:t>
            </w:r>
          </w:p>
        </w:tc>
      </w:tr>
      <w:tr>
        <w:tblPrEx>
          <w:tblCellMar>
            <w:top w:w="0" w:type="dxa"/>
            <w:left w:w="108" w:type="dxa"/>
            <w:bottom w:w="0" w:type="dxa"/>
            <w:right w:w="108" w:type="dxa"/>
          </w:tblCellMar>
        </w:tblPrEx>
        <w:trPr>
          <w:trHeight w:val="864" w:hRule="atLeast"/>
          <w:jc w:val="center"/>
        </w:trPr>
        <w:tc>
          <w:tcPr>
            <w:tcW w:w="1167" w:type="dxa"/>
            <w:tcBorders>
              <w:top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生产量</w:t>
            </w:r>
          </w:p>
        </w:tc>
        <w:tc>
          <w:tcPr>
            <w:tcW w:w="3012"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根据企业生产部门计量的报告期内生产的符合产品质量要求的各能源品种（包括汽油、煤油、柴油、发电量等27个能源品种）实物数量填报</w:t>
            </w:r>
          </w:p>
        </w:tc>
        <w:tc>
          <w:tcPr>
            <w:tcW w:w="2763" w:type="dxa"/>
            <w:tcBorders>
              <w:top w:val="nil"/>
              <w:left w:val="single" w:color="auto" w:sz="4" w:space="0"/>
              <w:bottom w:val="single" w:color="000000" w:sz="4"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802" w:type="dxa"/>
            <w:tcBorders>
              <w:top w:val="nil"/>
              <w:left w:val="single" w:color="auto" w:sz="4" w:space="0"/>
              <w:bottom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bl>
    <w:p/>
    <w:tbl>
      <w:tblPr>
        <w:tblStyle w:val="21"/>
        <w:tblW w:w="0" w:type="auto"/>
        <w:jc w:val="center"/>
        <w:tblLayout w:type="fixed"/>
        <w:tblCellMar>
          <w:top w:w="0" w:type="dxa"/>
          <w:left w:w="108" w:type="dxa"/>
          <w:bottom w:w="0" w:type="dxa"/>
          <w:right w:w="108" w:type="dxa"/>
        </w:tblCellMar>
      </w:tblPr>
      <w:tblGrid>
        <w:gridCol w:w="1167"/>
        <w:gridCol w:w="3012"/>
        <w:gridCol w:w="2763"/>
        <w:gridCol w:w="2802"/>
      </w:tblGrid>
      <w:tr>
        <w:tblPrEx>
          <w:tblCellMar>
            <w:top w:w="0" w:type="dxa"/>
            <w:left w:w="108" w:type="dxa"/>
            <w:bottom w:w="0" w:type="dxa"/>
            <w:right w:w="108" w:type="dxa"/>
          </w:tblCellMar>
        </w:tblPrEx>
        <w:trPr>
          <w:trHeight w:val="1460" w:hRule="atLeast"/>
          <w:jc w:val="center"/>
        </w:trPr>
        <w:tc>
          <w:tcPr>
            <w:tcW w:w="1167" w:type="dxa"/>
            <w:tcBorders>
              <w:top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销售量</w:t>
            </w:r>
          </w:p>
        </w:tc>
        <w:tc>
          <w:tcPr>
            <w:tcW w:w="301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根据报告期内工业企业开具销售发票记录的由本企业生产的符合规定的质量标准或订货合同规定的技术条件的能源产品（包括汽油、煤油、柴油、发电量等27个能源品种）的实物数量填报</w:t>
            </w:r>
          </w:p>
        </w:tc>
        <w:tc>
          <w:tcPr>
            <w:tcW w:w="2763" w:type="dxa"/>
            <w:tcBorders>
              <w:top w:val="single" w:color="auto" w:sz="4" w:space="0"/>
              <w:left w:val="single" w:color="auto" w:sz="4" w:space="0"/>
              <w:bottom w:val="single" w:color="000000" w:sz="4"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802" w:type="dxa"/>
            <w:tcBorders>
              <w:top w:val="single" w:color="auto" w:sz="4" w:space="0"/>
              <w:left w:val="single" w:color="auto" w:sz="4" w:space="0"/>
              <w:bottom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产品销售量以产品销售实现为核算原则，即在产品已发出，货款已经收到或者得到了收取货款的凭据时作为销售实现，统计产品销售量。</w:t>
            </w:r>
          </w:p>
        </w:tc>
      </w:tr>
      <w:tr>
        <w:tblPrEx>
          <w:tblCellMar>
            <w:top w:w="0" w:type="dxa"/>
            <w:left w:w="108" w:type="dxa"/>
            <w:bottom w:w="0" w:type="dxa"/>
            <w:right w:w="108" w:type="dxa"/>
          </w:tblCellMar>
        </w:tblPrEx>
        <w:trPr>
          <w:trHeight w:val="1538" w:hRule="atLeast"/>
          <w:jc w:val="center"/>
        </w:trPr>
        <w:tc>
          <w:tcPr>
            <w:tcW w:w="1167" w:type="dxa"/>
            <w:tcBorders>
              <w:top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其中：</w:t>
            </w:r>
          </w:p>
          <w:p>
            <w:pPr>
              <w:widowControl/>
              <w:jc w:val="center"/>
              <w:rPr>
                <w:rFonts w:ascii="宋体" w:hAnsi="宋体" w:cs="宋体"/>
                <w:kern w:val="0"/>
                <w:sz w:val="18"/>
                <w:szCs w:val="18"/>
              </w:rPr>
            </w:pPr>
            <w:r>
              <w:rPr>
                <w:rFonts w:hint="eastAsia" w:ascii="宋体" w:hAnsi="宋体" w:cs="宋体"/>
                <w:kern w:val="0"/>
                <w:sz w:val="18"/>
                <w:szCs w:val="18"/>
              </w:rPr>
              <w:t>销往省外</w:t>
            </w:r>
          </w:p>
        </w:tc>
        <w:tc>
          <w:tcPr>
            <w:tcW w:w="301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根据报告期内企业财务部门提供的商品销售量中销往省外部分量填报</w:t>
            </w:r>
          </w:p>
        </w:tc>
        <w:tc>
          <w:tcPr>
            <w:tcW w:w="276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802" w:type="dxa"/>
            <w:tcBorders>
              <w:top w:val="single" w:color="auto" w:sz="4" w:space="0"/>
              <w:left w:val="single" w:color="auto" w:sz="4" w:space="0"/>
              <w:bottom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企业能源产品是否销往省外严格按照增值税发票上购买方和销售方纳税人识别码中表示省级区划的代码是否一致区分，若不一致则为购自省外；销往省外包含出口量。</w:t>
            </w:r>
          </w:p>
        </w:tc>
      </w:tr>
      <w:tr>
        <w:tblPrEx>
          <w:tblCellMar>
            <w:top w:w="0" w:type="dxa"/>
            <w:left w:w="108" w:type="dxa"/>
            <w:bottom w:w="0" w:type="dxa"/>
            <w:right w:w="108" w:type="dxa"/>
          </w:tblCellMar>
        </w:tblPrEx>
        <w:trPr>
          <w:trHeight w:val="1023" w:hRule="atLeast"/>
          <w:jc w:val="center"/>
        </w:trPr>
        <w:tc>
          <w:tcPr>
            <w:tcW w:w="1167" w:type="dxa"/>
            <w:tcBorders>
              <w:top w:val="single" w:color="auto" w:sz="4" w:space="0"/>
              <w:bottom w:val="single" w:color="auto" w:sz="8"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企业自用</w:t>
            </w:r>
          </w:p>
          <w:p>
            <w:pPr>
              <w:widowControl/>
              <w:jc w:val="center"/>
              <w:rPr>
                <w:rFonts w:ascii="宋体" w:hAnsi="宋体" w:cs="宋体"/>
                <w:kern w:val="0"/>
                <w:sz w:val="18"/>
                <w:szCs w:val="18"/>
              </w:rPr>
            </w:pPr>
            <w:r>
              <w:rPr>
                <w:rFonts w:hint="eastAsia" w:ascii="宋体" w:hAnsi="宋体" w:cs="宋体"/>
                <w:kern w:val="0"/>
                <w:sz w:val="18"/>
                <w:szCs w:val="18"/>
              </w:rPr>
              <w:t>及其他</w:t>
            </w:r>
          </w:p>
        </w:tc>
        <w:tc>
          <w:tcPr>
            <w:tcW w:w="3012" w:type="dxa"/>
            <w:tcBorders>
              <w:top w:val="single" w:color="auto" w:sz="4" w:space="0"/>
              <w:left w:val="single" w:color="auto" w:sz="4" w:space="0"/>
              <w:bottom w:val="single" w:color="auto" w:sz="8"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根据企业仓储、生产和财务部门统计的自用量及用于展览、捐赠、借出以及报废等方面的产品数量和盘盈盘亏的数量填报</w:t>
            </w:r>
          </w:p>
        </w:tc>
        <w:tc>
          <w:tcPr>
            <w:tcW w:w="2763" w:type="dxa"/>
            <w:tcBorders>
              <w:top w:val="single" w:color="auto" w:sz="4" w:space="0"/>
              <w:left w:val="single" w:color="auto" w:sz="4" w:space="0"/>
              <w:bottom w:val="single" w:color="auto" w:sz="8"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802" w:type="dxa"/>
            <w:tcBorders>
              <w:top w:val="single" w:color="auto" w:sz="4" w:space="0"/>
              <w:left w:val="single" w:color="auto" w:sz="4" w:space="0"/>
              <w:bottom w:val="single" w:color="auto" w:sz="8" w:space="0"/>
            </w:tcBorders>
            <w:noWrap/>
            <w:vAlign w:val="center"/>
          </w:tcPr>
          <w:p>
            <w:pPr>
              <w:widowControl/>
              <w:jc w:val="left"/>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rPr>
              <w:t>企业自用</w:t>
            </w:r>
            <w:r>
              <w:rPr>
                <w:rFonts w:hint="eastAsia" w:ascii="宋体" w:hAnsi="宋体" w:cs="宋体"/>
                <w:color w:val="auto"/>
                <w:kern w:val="0"/>
                <w:sz w:val="18"/>
                <w:szCs w:val="18"/>
                <w:lang w:eastAsia="zh-CN"/>
              </w:rPr>
              <w:t>及其他为企业生产量的一部分，企业外购用于消费的，不在“企业自用及其他”填报</w:t>
            </w:r>
            <w:r>
              <w:rPr>
                <w:rFonts w:hint="eastAsia" w:ascii="宋体" w:hAnsi="宋体" w:cs="宋体"/>
                <w:color w:val="auto"/>
                <w:kern w:val="0"/>
                <w:sz w:val="18"/>
                <w:szCs w:val="18"/>
              </w:rPr>
              <w:t>。</w:t>
            </w:r>
            <w:r>
              <w:rPr>
                <w:rFonts w:hint="eastAsia" w:ascii="宋体" w:hAnsi="宋体" w:cs="宋体"/>
                <w:color w:val="auto"/>
                <w:kern w:val="0"/>
                <w:sz w:val="18"/>
                <w:szCs w:val="18"/>
                <w:lang w:eastAsia="zh-CN"/>
              </w:rPr>
              <w:t>对于电力、热力等无库存的能源品种，生产量</w:t>
            </w:r>
            <w:r>
              <w:rPr>
                <w:rFonts w:hint="eastAsia" w:ascii="宋体" w:hAnsi="宋体" w:cs="宋体"/>
                <w:color w:val="auto"/>
                <w:kern w:val="0"/>
                <w:sz w:val="18"/>
                <w:szCs w:val="18"/>
                <w:lang w:val="en-US" w:eastAsia="zh-CN"/>
              </w:rPr>
              <w:t>=销售量+企业自用及其他。</w:t>
            </w:r>
          </w:p>
        </w:tc>
      </w:tr>
    </w:tbl>
    <w:p>
      <w:pPr>
        <w:adjustRightInd w:val="0"/>
        <w:spacing w:line="400" w:lineRule="exact"/>
        <w:rPr>
          <w:rFonts w:ascii="黑体" w:hAnsi="宋体" w:eastAsia="黑体"/>
          <w:b/>
          <w:sz w:val="24"/>
        </w:rPr>
      </w:pPr>
    </w:p>
    <w:p>
      <w:pPr>
        <w:adjustRightInd w:val="0"/>
        <w:spacing w:line="400" w:lineRule="exact"/>
        <w:ind w:left="1446" w:hanging="1440" w:hangingChars="600"/>
        <w:jc w:val="center"/>
        <w:rPr>
          <w:rFonts w:hint="default" w:ascii="Times New Roman" w:hAnsi="Times New Roman" w:eastAsia="黑体" w:cs="Times New Roman"/>
          <w:b w:val="0"/>
          <w:bCs/>
          <w:sz w:val="24"/>
        </w:rPr>
      </w:pPr>
      <w:r>
        <w:rPr>
          <w:rFonts w:hint="default" w:ascii="Times New Roman" w:hAnsi="Times New Roman" w:eastAsia="黑体" w:cs="Times New Roman"/>
          <w:b w:val="0"/>
          <w:bCs/>
          <w:sz w:val="24"/>
        </w:rPr>
        <w:t>6</w:t>
      </w:r>
      <w:r>
        <w:rPr>
          <w:rFonts w:hint="default" w:ascii="Times New Roman" w:hAnsi="Times New Roman" w:eastAsia="黑体" w:cs="Times New Roman"/>
          <w:b w:val="0"/>
          <w:bCs/>
          <w:sz w:val="24"/>
          <w:lang w:val="en-US" w:eastAsia="zh-CN"/>
        </w:rPr>
        <w:t>.</w:t>
      </w:r>
      <w:r>
        <w:rPr>
          <w:rFonts w:hint="default" w:ascii="Times New Roman" w:hAnsi="Times New Roman" w:eastAsia="黑体" w:cs="Times New Roman"/>
          <w:b w:val="0"/>
          <w:bCs/>
          <w:sz w:val="24"/>
        </w:rPr>
        <w:t>重点能源商品经销情况（205-7表）数据来源参考表</w:t>
      </w:r>
    </w:p>
    <w:p>
      <w:pPr>
        <w:adjustRightInd w:val="0"/>
        <w:snapToGrid w:val="0"/>
        <w:spacing w:after="120" w:afterLines="50" w:line="160" w:lineRule="exact"/>
        <w:ind w:left="1446" w:hanging="1445" w:hangingChars="600"/>
        <w:jc w:val="center"/>
        <w:rPr>
          <w:rFonts w:ascii="黑体" w:hAnsi="宋体" w:eastAsia="黑体"/>
          <w:b/>
          <w:sz w:val="24"/>
        </w:rPr>
      </w:pPr>
    </w:p>
    <w:tbl>
      <w:tblPr>
        <w:tblStyle w:val="21"/>
        <w:tblW w:w="0" w:type="auto"/>
        <w:jc w:val="center"/>
        <w:tblLayout w:type="fixed"/>
        <w:tblCellMar>
          <w:top w:w="0" w:type="dxa"/>
          <w:left w:w="108" w:type="dxa"/>
          <w:bottom w:w="0" w:type="dxa"/>
          <w:right w:w="108" w:type="dxa"/>
        </w:tblCellMar>
      </w:tblPr>
      <w:tblGrid>
        <w:gridCol w:w="1167"/>
        <w:gridCol w:w="3012"/>
        <w:gridCol w:w="2763"/>
        <w:gridCol w:w="2802"/>
      </w:tblGrid>
      <w:tr>
        <w:tblPrEx>
          <w:tblCellMar>
            <w:top w:w="0" w:type="dxa"/>
            <w:left w:w="108" w:type="dxa"/>
            <w:bottom w:w="0" w:type="dxa"/>
            <w:right w:w="108" w:type="dxa"/>
          </w:tblCellMar>
        </w:tblPrEx>
        <w:trPr>
          <w:trHeight w:val="696" w:hRule="atLeast"/>
          <w:jc w:val="center"/>
        </w:trPr>
        <w:tc>
          <w:tcPr>
            <w:tcW w:w="1167" w:type="dxa"/>
            <w:tcBorders>
              <w:top w:val="single" w:color="auto" w:sz="8" w:space="0"/>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统计指标</w:t>
            </w:r>
          </w:p>
        </w:tc>
        <w:tc>
          <w:tcPr>
            <w:tcW w:w="3012" w:type="dxa"/>
            <w:tcBorders>
              <w:top w:val="single" w:color="auto" w:sz="8" w:space="0"/>
              <w:left w:val="nil"/>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数据来源</w:t>
            </w:r>
          </w:p>
        </w:tc>
        <w:tc>
          <w:tcPr>
            <w:tcW w:w="2763" w:type="dxa"/>
            <w:tcBorders>
              <w:top w:val="single" w:color="auto" w:sz="8" w:space="0"/>
              <w:left w:val="nil"/>
              <w:bottom w:val="single" w:color="auto" w:sz="4" w:space="0"/>
              <w:right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计算方法</w:t>
            </w:r>
          </w:p>
        </w:tc>
        <w:tc>
          <w:tcPr>
            <w:tcW w:w="2802" w:type="dxa"/>
            <w:tcBorders>
              <w:top w:val="single" w:color="auto" w:sz="8" w:space="0"/>
              <w:left w:val="nil"/>
              <w:bottom w:val="single" w:color="auto" w:sz="4" w:space="0"/>
            </w:tcBorders>
            <w:noWrap/>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注意事项</w:t>
            </w:r>
          </w:p>
        </w:tc>
      </w:tr>
      <w:tr>
        <w:tblPrEx>
          <w:tblCellMar>
            <w:top w:w="0" w:type="dxa"/>
            <w:left w:w="108" w:type="dxa"/>
            <w:bottom w:w="0" w:type="dxa"/>
            <w:right w:w="108" w:type="dxa"/>
          </w:tblCellMar>
        </w:tblPrEx>
        <w:trPr>
          <w:trHeight w:val="810" w:hRule="atLeast"/>
          <w:jc w:val="center"/>
        </w:trPr>
        <w:tc>
          <w:tcPr>
            <w:tcW w:w="1167" w:type="dxa"/>
            <w:tcBorders>
              <w:top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库存量</w:t>
            </w:r>
          </w:p>
        </w:tc>
        <w:tc>
          <w:tcPr>
            <w:tcW w:w="3012"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根据企业仓储部门提供的能源（包括原煤、汽油、天然气等17个品种）库存数据填报</w:t>
            </w:r>
          </w:p>
        </w:tc>
        <w:tc>
          <w:tcPr>
            <w:tcW w:w="2763"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18"/>
                <w:szCs w:val="18"/>
              </w:rPr>
            </w:pPr>
          </w:p>
        </w:tc>
        <w:tc>
          <w:tcPr>
            <w:tcW w:w="2802" w:type="dxa"/>
            <w:tcBorders>
              <w:top w:val="nil"/>
              <w:left w:val="single" w:color="auto" w:sz="4" w:space="0"/>
              <w:bottom w:val="single" w:color="auto" w:sz="4" w:space="0"/>
            </w:tcBorders>
            <w:noWrap/>
            <w:vAlign w:val="center"/>
          </w:tcPr>
          <w:p>
            <w:pPr>
              <w:jc w:val="left"/>
              <w:rPr>
                <w:rFonts w:ascii="宋体" w:hAnsi="宋体" w:cs="宋体"/>
                <w:kern w:val="0"/>
                <w:sz w:val="18"/>
                <w:szCs w:val="18"/>
              </w:rPr>
            </w:pPr>
            <w:r>
              <w:rPr>
                <w:rFonts w:hint="eastAsia" w:ascii="宋体" w:hAnsi="宋体" w:cs="宋体"/>
                <w:kern w:val="0"/>
                <w:sz w:val="18"/>
                <w:szCs w:val="18"/>
              </w:rPr>
              <w:t>库存量为企业购进后用于销售的能源商品库存数量。</w:t>
            </w:r>
          </w:p>
        </w:tc>
      </w:tr>
      <w:tr>
        <w:tblPrEx>
          <w:tblCellMar>
            <w:top w:w="0" w:type="dxa"/>
            <w:left w:w="108" w:type="dxa"/>
            <w:bottom w:w="0" w:type="dxa"/>
            <w:right w:w="108" w:type="dxa"/>
          </w:tblCellMar>
        </w:tblPrEx>
        <w:trPr>
          <w:trHeight w:val="1380" w:hRule="atLeast"/>
          <w:jc w:val="center"/>
        </w:trPr>
        <w:tc>
          <w:tcPr>
            <w:tcW w:w="1167" w:type="dxa"/>
            <w:tcBorders>
              <w:top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商品</w:t>
            </w:r>
          </w:p>
          <w:p>
            <w:pPr>
              <w:jc w:val="center"/>
              <w:rPr>
                <w:rFonts w:ascii="宋体" w:hAnsi="宋体" w:cs="宋体"/>
                <w:kern w:val="0"/>
                <w:sz w:val="18"/>
                <w:szCs w:val="18"/>
              </w:rPr>
            </w:pPr>
            <w:r>
              <w:rPr>
                <w:rFonts w:hint="eastAsia" w:ascii="宋体" w:hAnsi="宋体" w:cs="宋体"/>
                <w:kern w:val="0"/>
                <w:sz w:val="18"/>
                <w:szCs w:val="18"/>
              </w:rPr>
              <w:t>购进量</w:t>
            </w:r>
          </w:p>
        </w:tc>
        <w:tc>
          <w:tcPr>
            <w:tcW w:w="3012" w:type="dxa"/>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kern w:val="0"/>
                <w:sz w:val="18"/>
                <w:szCs w:val="18"/>
              </w:rPr>
            </w:pPr>
            <w:r>
              <w:rPr>
                <w:rFonts w:hint="eastAsia" w:ascii="宋体" w:hAnsi="宋体" w:cs="宋体"/>
                <w:kern w:val="0"/>
                <w:sz w:val="18"/>
                <w:szCs w:val="18"/>
              </w:rPr>
              <w:t>根据单位财务部门发票记录的从本单位以外的单位或个人购买和调入的商品（包括原煤、液化石油气、汽油、柴油等17个能源品种）数量填报，或根据企业成本费用表填报</w:t>
            </w:r>
          </w:p>
        </w:tc>
        <w:tc>
          <w:tcPr>
            <w:tcW w:w="2763" w:type="dxa"/>
            <w:tcBorders>
              <w:top w:val="single" w:color="auto" w:sz="4" w:space="0"/>
              <w:left w:val="single" w:color="auto" w:sz="4" w:space="0"/>
              <w:bottom w:val="single" w:color="000000" w:sz="4" w:space="0"/>
              <w:right w:val="single" w:color="auto" w:sz="4" w:space="0"/>
            </w:tcBorders>
            <w:noWrap/>
            <w:vAlign w:val="center"/>
          </w:tcPr>
          <w:p>
            <w:pPr>
              <w:widowControl/>
              <w:jc w:val="left"/>
              <w:rPr>
                <w:rFonts w:ascii="宋体" w:hAnsi="宋体" w:cs="宋体"/>
                <w:kern w:val="0"/>
                <w:sz w:val="18"/>
                <w:szCs w:val="18"/>
              </w:rPr>
            </w:pPr>
          </w:p>
        </w:tc>
        <w:tc>
          <w:tcPr>
            <w:tcW w:w="2802" w:type="dxa"/>
            <w:tcBorders>
              <w:top w:val="single" w:color="auto" w:sz="4" w:space="0"/>
              <w:left w:val="single" w:color="auto" w:sz="4" w:space="0"/>
              <w:bottom w:val="single" w:color="auto" w:sz="4" w:space="0"/>
            </w:tcBorders>
            <w:noWrap/>
            <w:vAlign w:val="center"/>
          </w:tcPr>
          <w:p>
            <w:pPr>
              <w:jc w:val="left"/>
              <w:rPr>
                <w:rFonts w:ascii="宋体" w:hAnsi="宋体" w:cs="宋体"/>
                <w:kern w:val="0"/>
                <w:sz w:val="18"/>
                <w:szCs w:val="18"/>
              </w:rPr>
            </w:pPr>
            <w:r>
              <w:rPr>
                <w:rFonts w:hint="eastAsia" w:ascii="宋体" w:hAnsi="宋体" w:cs="宋体"/>
                <w:kern w:val="0"/>
                <w:sz w:val="18"/>
                <w:szCs w:val="18"/>
              </w:rPr>
              <w:t>购进的各种能源商品，不论是否进入本单位仓库，凡是通过本单位结算货款的，都统计在商品购进量中。</w:t>
            </w:r>
          </w:p>
        </w:tc>
      </w:tr>
      <w:tr>
        <w:tblPrEx>
          <w:tblCellMar>
            <w:top w:w="0" w:type="dxa"/>
            <w:left w:w="108" w:type="dxa"/>
            <w:bottom w:w="0" w:type="dxa"/>
            <w:right w:w="108" w:type="dxa"/>
          </w:tblCellMar>
        </w:tblPrEx>
        <w:trPr>
          <w:trHeight w:val="1277" w:hRule="atLeast"/>
          <w:jc w:val="center"/>
        </w:trPr>
        <w:tc>
          <w:tcPr>
            <w:tcW w:w="1167" w:type="dxa"/>
            <w:tcBorders>
              <w:top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其中：</w:t>
            </w:r>
          </w:p>
          <w:p>
            <w:pPr>
              <w:widowControl/>
              <w:jc w:val="center"/>
              <w:rPr>
                <w:rFonts w:ascii="宋体" w:hAnsi="宋体" w:cs="宋体"/>
                <w:kern w:val="0"/>
                <w:sz w:val="18"/>
                <w:szCs w:val="18"/>
              </w:rPr>
            </w:pPr>
            <w:r>
              <w:rPr>
                <w:rFonts w:hint="eastAsia" w:ascii="宋体" w:hAnsi="宋体" w:cs="宋体"/>
                <w:kern w:val="0"/>
                <w:sz w:val="18"/>
                <w:szCs w:val="18"/>
              </w:rPr>
              <w:t xml:space="preserve">购自省外 </w:t>
            </w:r>
          </w:p>
        </w:tc>
        <w:tc>
          <w:tcPr>
            <w:tcW w:w="3012"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根据企业财务部门能源购进发票上购自省外的发生额填报</w:t>
            </w:r>
          </w:p>
        </w:tc>
        <w:tc>
          <w:tcPr>
            <w:tcW w:w="2763" w:type="dxa"/>
            <w:tcBorders>
              <w:top w:val="nil"/>
              <w:left w:val="single" w:color="auto" w:sz="4" w:space="0"/>
              <w:bottom w:val="single" w:color="000000"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2802" w:type="dxa"/>
            <w:tcBorders>
              <w:top w:val="nil"/>
              <w:left w:val="single" w:color="auto" w:sz="4" w:space="0"/>
              <w:bottom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企业能源产品是否购自省外严格按照增值税发票上购买方和销售方纳税人识别码中表示省级区划的代码是否一致区分，若不一致则为购自省外。</w:t>
            </w:r>
          </w:p>
        </w:tc>
      </w:tr>
      <w:tr>
        <w:tblPrEx>
          <w:tblCellMar>
            <w:top w:w="0" w:type="dxa"/>
            <w:left w:w="108" w:type="dxa"/>
            <w:bottom w:w="0" w:type="dxa"/>
            <w:right w:w="108" w:type="dxa"/>
          </w:tblCellMar>
        </w:tblPrEx>
        <w:trPr>
          <w:trHeight w:val="1197" w:hRule="atLeast"/>
          <w:jc w:val="center"/>
        </w:trPr>
        <w:tc>
          <w:tcPr>
            <w:tcW w:w="1167" w:type="dxa"/>
            <w:tcBorders>
              <w:top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商品</w:t>
            </w:r>
          </w:p>
          <w:p>
            <w:pPr>
              <w:widowControl/>
              <w:jc w:val="center"/>
              <w:rPr>
                <w:rFonts w:ascii="宋体" w:hAnsi="宋体" w:cs="宋体"/>
                <w:kern w:val="0"/>
                <w:sz w:val="18"/>
                <w:szCs w:val="18"/>
              </w:rPr>
            </w:pPr>
            <w:r>
              <w:rPr>
                <w:rFonts w:hint="eastAsia" w:ascii="宋体" w:hAnsi="宋体" w:cs="宋体"/>
                <w:kern w:val="0"/>
                <w:sz w:val="18"/>
                <w:szCs w:val="18"/>
              </w:rPr>
              <w:t>销售量</w:t>
            </w:r>
          </w:p>
        </w:tc>
        <w:tc>
          <w:tcPr>
            <w:tcW w:w="3012"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根据企业已开具正式发票记录的销售和调出给本单位以外的单位或个人的商品（包括原煤、液化石油气、汽油、柴油等17个品种）数量填报</w:t>
            </w:r>
          </w:p>
        </w:tc>
        <w:tc>
          <w:tcPr>
            <w:tcW w:w="2763" w:type="dxa"/>
            <w:tcBorders>
              <w:top w:val="nil"/>
              <w:left w:val="single" w:color="auto" w:sz="4" w:space="0"/>
              <w:bottom w:val="single" w:color="000000" w:sz="4"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802" w:type="dxa"/>
            <w:tcBorders>
              <w:top w:val="nil"/>
              <w:left w:val="single" w:color="auto" w:sz="4" w:space="0"/>
              <w:bottom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企业所售各种商品，凡是收到货款或取得收款凭证的，都统计在商品销售量中。</w:t>
            </w:r>
          </w:p>
        </w:tc>
      </w:tr>
      <w:tr>
        <w:tblPrEx>
          <w:tblCellMar>
            <w:top w:w="0" w:type="dxa"/>
            <w:left w:w="108" w:type="dxa"/>
            <w:bottom w:w="0" w:type="dxa"/>
            <w:right w:w="108" w:type="dxa"/>
          </w:tblCellMar>
        </w:tblPrEx>
        <w:trPr>
          <w:trHeight w:val="1460" w:hRule="atLeast"/>
          <w:jc w:val="center"/>
        </w:trPr>
        <w:tc>
          <w:tcPr>
            <w:tcW w:w="1167" w:type="dxa"/>
            <w:tcBorders>
              <w:top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其中：</w:t>
            </w:r>
          </w:p>
          <w:p>
            <w:pPr>
              <w:widowControl/>
              <w:jc w:val="center"/>
              <w:rPr>
                <w:rFonts w:ascii="宋体" w:hAnsi="宋体" w:cs="宋体"/>
                <w:kern w:val="0"/>
                <w:sz w:val="18"/>
                <w:szCs w:val="18"/>
              </w:rPr>
            </w:pPr>
            <w:r>
              <w:rPr>
                <w:rFonts w:hint="eastAsia" w:ascii="宋体" w:hAnsi="宋体" w:cs="宋体"/>
                <w:kern w:val="0"/>
                <w:sz w:val="18"/>
                <w:szCs w:val="18"/>
              </w:rPr>
              <w:t>销往省外</w:t>
            </w:r>
          </w:p>
        </w:tc>
        <w:tc>
          <w:tcPr>
            <w:tcW w:w="301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根据报告期内企业财务部门提供的商品销售量中销往省外部分量填报</w:t>
            </w:r>
          </w:p>
        </w:tc>
        <w:tc>
          <w:tcPr>
            <w:tcW w:w="276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802" w:type="dxa"/>
            <w:tcBorders>
              <w:top w:val="single" w:color="auto" w:sz="4" w:space="0"/>
              <w:left w:val="single" w:color="auto" w:sz="4" w:space="0"/>
              <w:bottom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企业能源产品是否销往省外严格按照增值税发票上购买方和销售方纳税人识别码中表示省级区划的代码是否一致区分，若不一致则为购自省外；销往省外包含出口量。</w:t>
            </w:r>
          </w:p>
        </w:tc>
      </w:tr>
      <w:tr>
        <w:tblPrEx>
          <w:tblCellMar>
            <w:top w:w="0" w:type="dxa"/>
            <w:left w:w="108" w:type="dxa"/>
            <w:bottom w:w="0" w:type="dxa"/>
            <w:right w:w="108" w:type="dxa"/>
          </w:tblCellMar>
        </w:tblPrEx>
        <w:trPr>
          <w:trHeight w:val="1297" w:hRule="atLeast"/>
          <w:jc w:val="center"/>
        </w:trPr>
        <w:tc>
          <w:tcPr>
            <w:tcW w:w="1167" w:type="dxa"/>
            <w:tcBorders>
              <w:top w:val="single" w:color="auto" w:sz="4" w:space="0"/>
              <w:bottom w:val="single" w:color="auto" w:sz="8"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损耗量</w:t>
            </w:r>
          </w:p>
          <w:p>
            <w:pPr>
              <w:widowControl/>
              <w:jc w:val="center"/>
              <w:rPr>
                <w:rFonts w:ascii="宋体" w:hAnsi="宋体" w:cs="宋体"/>
                <w:kern w:val="0"/>
                <w:sz w:val="18"/>
                <w:szCs w:val="18"/>
              </w:rPr>
            </w:pPr>
            <w:r>
              <w:rPr>
                <w:rFonts w:hint="eastAsia" w:ascii="宋体" w:hAnsi="宋体" w:cs="宋体"/>
                <w:kern w:val="0"/>
                <w:sz w:val="18"/>
                <w:szCs w:val="18"/>
              </w:rPr>
              <w:t>及其他</w:t>
            </w:r>
          </w:p>
        </w:tc>
        <w:tc>
          <w:tcPr>
            <w:tcW w:w="3012" w:type="dxa"/>
            <w:tcBorders>
              <w:top w:val="single" w:color="auto" w:sz="4" w:space="0"/>
              <w:left w:val="single" w:color="auto" w:sz="4" w:space="0"/>
              <w:bottom w:val="single" w:color="auto" w:sz="8" w:space="0"/>
              <w:right w:val="single" w:color="auto" w:sz="4"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根据企业财务、仓储等部门统计的商品在库存或运输过程中由于各种原因产生的损耗，及盘盈盘亏数量及用于展览、捐赠、借出以及报废等方面的产品数量填报</w:t>
            </w:r>
          </w:p>
        </w:tc>
        <w:tc>
          <w:tcPr>
            <w:tcW w:w="2763" w:type="dxa"/>
            <w:tcBorders>
              <w:top w:val="single" w:color="auto" w:sz="4" w:space="0"/>
              <w:left w:val="single" w:color="auto" w:sz="4" w:space="0"/>
              <w:bottom w:val="single" w:color="auto" w:sz="8" w:space="0"/>
              <w:right w:val="single" w:color="auto" w:sz="4" w:space="0"/>
            </w:tcBorders>
            <w:noWrap/>
            <w:vAlign w:val="center"/>
          </w:tcPr>
          <w:p>
            <w:pPr>
              <w:widowControl/>
              <w:rPr>
                <w:rFonts w:ascii="宋体" w:hAnsi="宋体" w:cs="宋体"/>
                <w:kern w:val="0"/>
                <w:sz w:val="18"/>
                <w:szCs w:val="18"/>
              </w:rPr>
            </w:pPr>
          </w:p>
        </w:tc>
        <w:tc>
          <w:tcPr>
            <w:tcW w:w="2802" w:type="dxa"/>
            <w:tcBorders>
              <w:top w:val="single" w:color="auto" w:sz="4" w:space="0"/>
              <w:left w:val="single" w:color="auto" w:sz="4" w:space="0"/>
              <w:bottom w:val="single" w:color="auto" w:sz="8" w:space="0"/>
            </w:tcBorders>
            <w:noWrap/>
            <w:vAlign w:val="center"/>
          </w:tcPr>
          <w:p>
            <w:pPr>
              <w:widowControl/>
              <w:jc w:val="left"/>
              <w:rPr>
                <w:rFonts w:ascii="宋体" w:hAnsi="宋体" w:cs="宋体"/>
                <w:kern w:val="0"/>
                <w:sz w:val="18"/>
                <w:szCs w:val="18"/>
              </w:rPr>
            </w:pPr>
            <w:r>
              <w:rPr>
                <w:rFonts w:hint="eastAsia" w:ascii="宋体" w:hAnsi="宋体" w:cs="宋体"/>
                <w:kern w:val="0"/>
                <w:sz w:val="18"/>
                <w:szCs w:val="18"/>
              </w:rPr>
              <w:t>经核实后企业盘亏数量填报正数，盘盈数量可填报负数。</w:t>
            </w:r>
          </w:p>
        </w:tc>
      </w:tr>
    </w:tbl>
    <w:p/>
    <w:sectPr>
      <w:pgSz w:w="11906" w:h="16838"/>
      <w:pgMar w:top="1417" w:right="1247" w:bottom="1247" w:left="1247" w:header="851" w:footer="992" w:gutter="0"/>
      <w:pgBorders>
        <w:top w:val="none" w:sz="0" w:space="0"/>
        <w:left w:val="none" w:sz="0" w:space="0"/>
        <w:bottom w:val="none" w:sz="0" w:space="0"/>
        <w:right w:val="none" w:sz="0" w:space="0"/>
      </w:pgBorders>
      <w:pgNumType w:fmt="numberInDash"/>
      <w:cols w:space="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Arial Unicode MS">
    <w:altName w:val="DejaVu Sans"/>
    <w:panose1 w:val="020B0604020202020204"/>
    <w:charset w:val="86"/>
    <w:family w:val="swiss"/>
    <w:pitch w:val="default"/>
    <w:sig w:usb0="00000000" w:usb1="00000000" w:usb2="0000003F" w:usb3="00000000" w:csb0="603F01FF" w:csb1="FFFF0000"/>
  </w:font>
  <w:font w:name="汉仪书宋一简">
    <w:altName w:val="方正书宋_GBK"/>
    <w:panose1 w:val="02010609000101010101"/>
    <w:charset w:val="86"/>
    <w:family w:val="auto"/>
    <w:pitch w:val="default"/>
    <w:sig w:usb0="00000000" w:usb1="00000000" w:usb2="00000002"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Verdana">
    <w:altName w:val="Noto Naskh Arabic"/>
    <w:panose1 w:val="020B0604030504040204"/>
    <w:charset w:val="00"/>
    <w:family w:val="swiss"/>
    <w:pitch w:val="default"/>
    <w:sig w:usb0="00000000" w:usb1="00000000" w:usb2="00000010" w:usb3="00000000" w:csb0="2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仿宋简体">
    <w:altName w:val="方正仿宋_GBK"/>
    <w:panose1 w:val="03000509000000000000"/>
    <w:charset w:val="86"/>
    <w:family w:val="script"/>
    <w:pitch w:val="default"/>
    <w:sig w:usb0="00000000" w:usb1="00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华文仿宋">
    <w:altName w:val="汉仪仿宋简"/>
    <w:panose1 w:val="02010600040101010101"/>
    <w:charset w:val="86"/>
    <w:family w:val="auto"/>
    <w:pitch w:val="default"/>
    <w:sig w:usb0="00000000" w:usb1="00000000" w:usb2="00000000" w:usb3="00000000" w:csb0="0004009F" w:csb1="DFD70000"/>
  </w:font>
  <w:font w:name="7">
    <w:altName w:val="Quicksand Light"/>
    <w:panose1 w:val="00000000000000000000"/>
    <w:charset w:val="00"/>
    <w:family w:val="auto"/>
    <w:pitch w:val="default"/>
    <w:sig w:usb0="00000000" w:usb1="00000000" w:usb2="00000000" w:usb3="00000000" w:csb0="00000000" w:csb1="00000000"/>
  </w:font>
  <w:font w:name="Times New Roman)">
    <w:altName w:val="DejaVu Sans"/>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Cambria Math">
    <w:altName w:val="DejaVu Math TeX Gyre"/>
    <w:panose1 w:val="02040503050406030204"/>
    <w:charset w:val="00"/>
    <w:family w:val="roman"/>
    <w:pitch w:val="default"/>
    <w:sig w:usb0="00000000" w:usb1="00000000" w:usb2="02000000" w:usb3="00000000" w:csb0="2000019F"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汉仪仿宋简">
    <w:panose1 w:val="02010600000101010101"/>
    <w:charset w:val="86"/>
    <w:family w:val="auto"/>
    <w:pitch w:val="default"/>
    <w:sig w:usb0="00000001" w:usb1="080E0800" w:usb2="00000002" w:usb3="00000000" w:csb0="00040000" w:csb1="00000000"/>
  </w:font>
  <w:font w:name="汉仪中宋简">
    <w:panose1 w:val="02010600000101010101"/>
    <w:charset w:val="86"/>
    <w:family w:val="auto"/>
    <w:pitch w:val="default"/>
    <w:sig w:usb0="00000001" w:usb1="080E0800" w:usb2="00000002"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Quicksand Light">
    <w:panose1 w:val="00000400000000000000"/>
    <w:charset w:val="00"/>
    <w:family w:val="auto"/>
    <w:pitch w:val="default"/>
    <w:sig w:usb0="2000000F" w:usb1="00000001" w:usb2="00000000" w:usb3="00000000" w:csb0="20000193" w:csb1="00000000"/>
  </w:font>
  <w:font w:name="Noto Sans Syriac Eastern">
    <w:panose1 w:val="02040503050306020203"/>
    <w:charset w:val="86"/>
    <w:family w:val="auto"/>
    <w:pitch w:val="default"/>
    <w:sig w:usb0="00000000" w:usb1="00000000" w:usb2="00000080" w:usb3="00000000" w:csb0="203E0161" w:csb1="D7FF0000"/>
  </w:font>
  <w:font w:name="Noto Naskh Arabic">
    <w:panose1 w:val="020B0502040504020204"/>
    <w:charset w:val="00"/>
    <w:family w:val="auto"/>
    <w:pitch w:val="default"/>
    <w:sig w:usb0="80002003" w:usb1="80002000" w:usb2="00000008" w:usb3="00000000" w:csb0="00000041" w:csb1="000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16"/>
      </w:pPr>
      <w:r>
        <w:rPr>
          <w:rStyle w:val="27"/>
        </w:rPr>
        <w:footnoteRef/>
      </w:r>
      <w:r>
        <w:rPr>
          <w:rFonts w:hint="eastAsia"/>
        </w:rPr>
        <w:t>注</w:t>
      </w:r>
      <w:r>
        <w:t>：</w:t>
      </w:r>
      <w:r>
        <w:rPr>
          <w:rFonts w:hint="eastAsia"/>
        </w:rPr>
        <w:t>标</w:t>
      </w:r>
      <w:r>
        <w:rPr>
          <w:rFonts w:hint="eastAsia" w:ascii="宋体" w:hAnsi="宋体"/>
        </w:rPr>
        <w:t>★的为“能源购进、消费与库存”（205-1表）中包含</w:t>
      </w:r>
      <w:r>
        <w:rPr>
          <w:rFonts w:ascii="宋体" w:hAnsi="宋体"/>
        </w:rPr>
        <w:t>的</w:t>
      </w:r>
      <w:r>
        <w:rPr>
          <w:rFonts w:hint="eastAsia" w:ascii="宋体" w:hAnsi="宋体"/>
        </w:rPr>
        <w:t>指标</w:t>
      </w:r>
      <w:r>
        <w:rPr>
          <w:rFonts w:ascii="宋体" w:hAnsi="宋体"/>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p>
    <w:pPr>
      <w:pStyle w:val="1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tabs>
        <w:tab w:val="center" w:pos="5005"/>
        <w:tab w:val="right" w:pos="9891"/>
      </w:tabs>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tabs>
        <w:tab w:val="center" w:pos="5005"/>
        <w:tab w:val="right" w:pos="9891"/>
      </w:tabs>
      <w:jc w:val="left"/>
    </w:pPr>
    <w:r>
      <w:rPr>
        <w:rFonts w:hint="eastAsia" w:cs="宋体"/>
      </w:rPr>
      <w:tab/>
    </w:r>
    <w:r>
      <w:rPr>
        <w:rFonts w:hint="eastAsia" w:cs="宋体"/>
      </w:rPr>
      <w:tab/>
    </w:r>
    <w:r>
      <w:rPr>
        <w:rFonts w:hint="eastAsia" w:cs="宋体"/>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5005"/>
        <w:tab w:val="right" w:pos="9891"/>
      </w:tabs>
      <w:jc w:val="center"/>
    </w:pPr>
    <w:r>
      <w:rPr>
        <w:rFonts w:hint="eastAsia" w:cs="宋体"/>
      </w:rPr>
      <w:t>能源统计报表制度</w:t>
    </w: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15"/>
                            <w:pBdr>
                              <w:bottom w:val="none" w:color="auto" w:sz="0" w:space="0"/>
                            </w:pBdr>
                          </w:pPr>
                          <w:r>
                            <w:rPr>
                              <w:rFonts w:hint="eastAsia"/>
                              <w:color w:val="auto"/>
                            </w:rPr>
                            <w:fldChar w:fldCharType="begin"/>
                          </w:r>
                          <w:r>
                            <w:rPr>
                              <w:rFonts w:hint="eastAsia"/>
                              <w:color w:val="auto"/>
                            </w:rPr>
                            <w:instrText xml:space="preserve"> PAGE  \* MERGEFORMAT </w:instrText>
                          </w:r>
                          <w:r>
                            <w:rPr>
                              <w:rFonts w:hint="eastAsia"/>
                              <w:color w:val="auto"/>
                            </w:rPr>
                            <w:fldChar w:fldCharType="separate"/>
                          </w:r>
                          <w:r>
                            <w:rPr>
                              <w:color w:val="auto"/>
                            </w:rPr>
                            <w:t>- 5 -</w:t>
                          </w:r>
                          <w:r>
                            <w:rPr>
                              <w:rFonts w:hint="eastAsia"/>
                              <w:color w:val="auto"/>
                            </w:rPr>
                            <w:fldChar w:fldCharType="end"/>
                          </w:r>
                        </w:p>
                      </w:txbxContent>
                    </wps:txbx>
                    <wps:bodyPr wrap="none" lIns="0" tIns="0" rIns="0" bIns="0" upright="false">
                      <a:spAutoFit/>
                    </wps:bodyPr>
                  </wps:wsp>
                </a:graphicData>
              </a:graphic>
            </wp:anchor>
          </w:drawing>
        </mc:Choice>
        <mc:Fallback>
          <w:pict>
            <v:shape id="文本框 31"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M6pebnPAAAABQEAAA8AAAAAAAAAAQAgAAAAOAAAAGRycy9kb3du&#10;cmV2LnhtbFBLAQIUABQAAAAIAIdO4kBUYYUQuQEAAGIDAAAOAAAAAAAAAAEAIAAAADQBAABkcnMv&#10;ZTJvRG9jLnhtbFBLBQYAAAAABgAGAFkBAABfBQAAAAA=&#10;">
              <v:fill on="f" focussize="0,0"/>
              <v:stroke on="f"/>
              <v:imagedata o:title=""/>
              <o:lock v:ext="edit" aspectratio="f"/>
              <v:textbox inset="0mm,0mm,0mm,0mm" style="mso-fit-shape-to-text:t;">
                <w:txbxContent>
                  <w:p>
                    <w:pPr>
                      <w:pStyle w:val="15"/>
                      <w:pBdr>
                        <w:bottom w:val="none" w:color="auto" w:sz="0" w:space="0"/>
                      </w:pBdr>
                    </w:pPr>
                    <w:r>
                      <w:rPr>
                        <w:rFonts w:hint="eastAsia"/>
                        <w:color w:val="auto"/>
                      </w:rPr>
                      <w:fldChar w:fldCharType="begin"/>
                    </w:r>
                    <w:r>
                      <w:rPr>
                        <w:rFonts w:hint="eastAsia"/>
                        <w:color w:val="auto"/>
                      </w:rPr>
                      <w:instrText xml:space="preserve"> PAGE  \* MERGEFORMAT </w:instrText>
                    </w:r>
                    <w:r>
                      <w:rPr>
                        <w:rFonts w:hint="eastAsia"/>
                        <w:color w:val="auto"/>
                      </w:rPr>
                      <w:fldChar w:fldCharType="separate"/>
                    </w:r>
                    <w:r>
                      <w:rPr>
                        <w:color w:val="auto"/>
                      </w:rPr>
                      <w:t>- 5 -</w:t>
                    </w:r>
                    <w:r>
                      <w:rPr>
                        <w:rFonts w:hint="eastAsia"/>
                        <w:color w:val="auto"/>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rFonts w:hint="eastAsia" w:cs="宋体"/>
      </w:rPr>
      <w:t>能源统计报表制度</w:t>
    </w: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15"/>
                            <w:pBdr>
                              <w:bottom w:val="none" w:color="auto" w:sz="0" w:space="0"/>
                            </w:pBdr>
                          </w:pPr>
                          <w:r>
                            <w:rPr>
                              <w:rFonts w:hint="eastAsia"/>
                            </w:rPr>
                            <w:fldChar w:fldCharType="begin"/>
                          </w:r>
                          <w:r>
                            <w:rPr>
                              <w:rFonts w:hint="eastAsia"/>
                            </w:rPr>
                            <w:instrText xml:space="preserve"> PAGE  \* MERGEFORMAT </w:instrText>
                          </w:r>
                          <w:r>
                            <w:rPr>
                              <w:rFonts w:hint="eastAsia"/>
                            </w:rPr>
                            <w:fldChar w:fldCharType="separate"/>
                          </w:r>
                          <w:r>
                            <w:t>- 75 -</w:t>
                          </w:r>
                          <w:r>
                            <w:rPr>
                              <w:rFonts w:hint="eastAsia"/>
                            </w:rPr>
                            <w:fldChar w:fldCharType="end"/>
                          </w:r>
                        </w:p>
                      </w:txbxContent>
                    </wps:txbx>
                    <wps:bodyPr wrap="none" lIns="0" tIns="0" rIns="0" bIns="0" upright="false">
                      <a:spAutoFit/>
                    </wps:bodyPr>
                  </wps:wsp>
                </a:graphicData>
              </a:graphic>
            </wp:anchor>
          </w:drawing>
        </mc:Choice>
        <mc:Fallback>
          <w:pict>
            <v:shape id="文本框 31"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M6pebnPAAAABQEAAA8AAAAAAAAAAQAgAAAAOAAAAGRycy9kb3du&#10;cmV2LnhtbFBLAQIUABQAAAAIAIdO4kCRQFk8uQEAAGEDAAAOAAAAAAAAAAEAIAAAADQBAABkcnMv&#10;ZTJvRG9jLnhtbFBLBQYAAAAABgAGAFkBAABfBQAAAAA=&#10;">
              <v:fill on="f" focussize="0,0"/>
              <v:stroke on="f"/>
              <v:imagedata o:title=""/>
              <o:lock v:ext="edit" aspectratio="f"/>
              <v:textbox inset="0mm,0mm,0mm,0mm" style="mso-fit-shape-to-text:t;">
                <w:txbxContent>
                  <w:p>
                    <w:pPr>
                      <w:pStyle w:val="15"/>
                      <w:pBdr>
                        <w:bottom w:val="none" w:color="auto" w:sz="0" w:space="0"/>
                      </w:pBdr>
                    </w:pPr>
                    <w:r>
                      <w:rPr>
                        <w:rFonts w:hint="eastAsia"/>
                      </w:rPr>
                      <w:fldChar w:fldCharType="begin"/>
                    </w:r>
                    <w:r>
                      <w:rPr>
                        <w:rFonts w:hint="eastAsia"/>
                      </w:rPr>
                      <w:instrText xml:space="preserve"> PAGE  \* MERGEFORMAT </w:instrText>
                    </w:r>
                    <w:r>
                      <w:rPr>
                        <w:rFonts w:hint="eastAsia"/>
                      </w:rPr>
                      <w:fldChar w:fldCharType="separate"/>
                    </w:r>
                    <w:r>
                      <w:t>- 75 -</w:t>
                    </w:r>
                    <w:r>
                      <w:rPr>
                        <w:rFonts w:hint="eastAsia"/>
                      </w:rPr>
                      <w:fldChar w:fldCharType="end"/>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rFonts w:hint="eastAsia" w:cs="宋体"/>
      </w:rPr>
      <w:t>能源统计报表制度</w: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15"/>
                            <w:pBdr>
                              <w:bottom w:val="none" w:color="auto" w:sz="0" w:space="0"/>
                            </w:pBdr>
                          </w:pPr>
                          <w:r>
                            <w:rPr>
                              <w:rFonts w:hint="eastAsia"/>
                            </w:rPr>
                            <w:fldChar w:fldCharType="begin"/>
                          </w:r>
                          <w:r>
                            <w:rPr>
                              <w:rFonts w:hint="eastAsia"/>
                            </w:rPr>
                            <w:instrText xml:space="preserve"> PAGE  \* MERGEFORMAT </w:instrText>
                          </w:r>
                          <w:r>
                            <w:rPr>
                              <w:rFonts w:hint="eastAsia"/>
                            </w:rPr>
                            <w:fldChar w:fldCharType="separate"/>
                          </w:r>
                          <w:r>
                            <w:t>- 112 -</w:t>
                          </w:r>
                          <w:r>
                            <w:rPr>
                              <w:rFonts w:hint="eastAsia"/>
                            </w:rPr>
                            <w:fldChar w:fldCharType="end"/>
                          </w:r>
                        </w:p>
                      </w:txbxContent>
                    </wps:txbx>
                    <wps:bodyPr wrap="none" lIns="0" tIns="0" rIns="0" bIns="0" upright="false">
                      <a:spAutoFit/>
                    </wps:bodyPr>
                  </wps:wsp>
                </a:graphicData>
              </a:graphic>
            </wp:anchor>
          </w:drawing>
        </mc:Choice>
        <mc:Fallback>
          <w:pict>
            <v:shape id="文本框 3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DOqXm5zwAAAAUBAAAPAAAAAAAAAAEAIAAAADgAAABkcnMvZG93&#10;bnJldi54bWxQSwECFAAUAAAACACHTuJA06e+MroBAABhAwAADgAAAAAAAAABACAAAAA0AQAAZHJz&#10;L2Uyb0RvYy54bWxQSwUGAAAAAAYABgBZAQAAYAUAAAAA&#10;">
              <v:fill on="f" focussize="0,0"/>
              <v:stroke on="f"/>
              <v:imagedata o:title=""/>
              <o:lock v:ext="edit" aspectratio="f"/>
              <v:textbox inset="0mm,0mm,0mm,0mm" style="mso-fit-shape-to-text:t;">
                <w:txbxContent>
                  <w:p>
                    <w:pPr>
                      <w:pStyle w:val="15"/>
                      <w:pBdr>
                        <w:bottom w:val="none" w:color="auto" w:sz="0" w:space="0"/>
                      </w:pBdr>
                    </w:pPr>
                    <w:r>
                      <w:rPr>
                        <w:rFonts w:hint="eastAsia"/>
                      </w:rPr>
                      <w:fldChar w:fldCharType="begin"/>
                    </w:r>
                    <w:r>
                      <w:rPr>
                        <w:rFonts w:hint="eastAsia"/>
                      </w:rPr>
                      <w:instrText xml:space="preserve"> PAGE  \* MERGEFORMAT </w:instrText>
                    </w:r>
                    <w:r>
                      <w:rPr>
                        <w:rFonts w:hint="eastAsia"/>
                      </w:rPr>
                      <w:fldChar w:fldCharType="separate"/>
                    </w:r>
                    <w:r>
                      <w:t>- 112 -</w:t>
                    </w:r>
                    <w:r>
                      <w:rPr>
                        <w:rFonts w:hint="eastAsia"/>
                      </w:rPr>
                      <w:fldChar w:fldCharType="end"/>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rFonts w:hint="eastAsia" w:cs="宋体"/>
      </w:rPr>
      <w:t>能源统计报表制度</w: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15"/>
                            <w:pBdr>
                              <w:bottom w:val="none" w:color="auto" w:sz="0" w:space="0"/>
                            </w:pBdr>
                          </w:pPr>
                          <w:r>
                            <w:rPr>
                              <w:rFonts w:hint="eastAsia"/>
                            </w:rPr>
                            <w:fldChar w:fldCharType="begin"/>
                          </w:r>
                          <w:r>
                            <w:rPr>
                              <w:rFonts w:hint="eastAsia"/>
                            </w:rPr>
                            <w:instrText xml:space="preserve"> PAGE  \* MERGEFORMAT </w:instrText>
                          </w:r>
                          <w:r>
                            <w:rPr>
                              <w:rFonts w:hint="eastAsia"/>
                            </w:rPr>
                            <w:fldChar w:fldCharType="separate"/>
                          </w:r>
                          <w:r>
                            <w:t>- 106 -</w:t>
                          </w:r>
                          <w:r>
                            <w:rPr>
                              <w:rFonts w:hint="eastAsia"/>
                            </w:rPr>
                            <w:fldChar w:fldCharType="end"/>
                          </w:r>
                        </w:p>
                      </w:txbxContent>
                    </wps:txbx>
                    <wps:bodyPr wrap="none" lIns="0" tIns="0" rIns="0" bIns="0" upright="false">
                      <a:spAutoFit/>
                    </wps:bodyPr>
                  </wps:wsp>
                </a:graphicData>
              </a:graphic>
            </wp:anchor>
          </w:drawing>
        </mc:Choice>
        <mc:Fallback>
          <w:pict>
            <v:shape id="文本框 3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DOqXm5zwAAAAUBAAAPAAAAAAAAAAEAIAAAADgAAABkcnMvZG93&#10;bnJldi54bWxQSwECFAAUAAAACACHTuJAPiXlg7oBAABiAwAADgAAAAAAAAABACAAAAA0AQAAZHJz&#10;L2Uyb0RvYy54bWxQSwUGAAAAAAYABgBZAQAAYAUAAAAA&#10;">
              <v:fill on="f" focussize="0,0"/>
              <v:stroke on="f"/>
              <v:imagedata o:title=""/>
              <o:lock v:ext="edit" aspectratio="f"/>
              <v:textbox inset="0mm,0mm,0mm,0mm" style="mso-fit-shape-to-text:t;">
                <w:txbxContent>
                  <w:p>
                    <w:pPr>
                      <w:pStyle w:val="15"/>
                      <w:pBdr>
                        <w:bottom w:val="none" w:color="auto" w:sz="0" w:space="0"/>
                      </w:pBdr>
                    </w:pPr>
                    <w:r>
                      <w:rPr>
                        <w:rFonts w:hint="eastAsia"/>
                      </w:rPr>
                      <w:fldChar w:fldCharType="begin"/>
                    </w:r>
                    <w:r>
                      <w:rPr>
                        <w:rFonts w:hint="eastAsia"/>
                      </w:rPr>
                      <w:instrText xml:space="preserve"> PAGE  \* MERGEFORMAT </w:instrText>
                    </w:r>
                    <w:r>
                      <w:rPr>
                        <w:rFonts w:hint="eastAsia"/>
                      </w:rPr>
                      <w:fldChar w:fldCharType="separate"/>
                    </w:r>
                    <w:r>
                      <w:t>- 106 -</w:t>
                    </w:r>
                    <w:r>
                      <w:rPr>
                        <w:rFonts w:hint="eastAsia"/>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07ED3"/>
    <w:multiLevelType w:val="singleLevel"/>
    <w:tmpl w:val="91F07ED3"/>
    <w:lvl w:ilvl="0" w:tentative="0">
      <w:start w:val="2"/>
      <w:numFmt w:val="chineseCounting"/>
      <w:suff w:val="nothing"/>
      <w:lvlText w:val="%1、"/>
      <w:lvlJc w:val="left"/>
      <w:rPr>
        <w:rFonts w:hint="eastAsia" w:ascii="黑体" w:hAnsi="黑体" w:eastAsia="黑体" w:cs="黑体"/>
        <w:b w:val="0"/>
        <w:bCs w:val="0"/>
      </w:rPr>
    </w:lvl>
  </w:abstractNum>
  <w:abstractNum w:abstractNumId="1">
    <w:nsid w:val="ABF45EFD"/>
    <w:multiLevelType w:val="singleLevel"/>
    <w:tmpl w:val="ABF45EFD"/>
    <w:lvl w:ilvl="0" w:tentative="0">
      <w:start w:val="4"/>
      <w:numFmt w:val="decimal"/>
      <w:lvlText w:val="%1."/>
      <w:lvlJc w:val="left"/>
      <w:pPr>
        <w:tabs>
          <w:tab w:val="left" w:pos="312"/>
        </w:tabs>
      </w:pPr>
    </w:lvl>
  </w:abstractNum>
  <w:abstractNum w:abstractNumId="2">
    <w:nsid w:val="B5CBE2AC"/>
    <w:multiLevelType w:val="singleLevel"/>
    <w:tmpl w:val="B5CBE2AC"/>
    <w:lvl w:ilvl="0" w:tentative="0">
      <w:start w:val="1"/>
      <w:numFmt w:val="decimal"/>
      <w:lvlText w:val="%1."/>
      <w:lvlJc w:val="left"/>
      <w:pPr>
        <w:tabs>
          <w:tab w:val="left" w:pos="312"/>
        </w:tabs>
      </w:pPr>
    </w:lvl>
  </w:abstractNum>
  <w:abstractNum w:abstractNumId="3">
    <w:nsid w:val="DCF392DD"/>
    <w:multiLevelType w:val="singleLevel"/>
    <w:tmpl w:val="DCF392DD"/>
    <w:lvl w:ilvl="0" w:tentative="0">
      <w:start w:val="27"/>
      <w:numFmt w:val="decimal"/>
      <w:suff w:val="space"/>
      <w:lvlText w:val="%1."/>
      <w:lvlJc w:val="left"/>
    </w:lvl>
  </w:abstractNum>
  <w:abstractNum w:abstractNumId="4">
    <w:nsid w:val="FCDF1DFD"/>
    <w:multiLevelType w:val="singleLevel"/>
    <w:tmpl w:val="FCDF1DFD"/>
    <w:lvl w:ilvl="0" w:tentative="0">
      <w:start w:val="34"/>
      <w:numFmt w:val="decimal"/>
      <w:suff w:val="space"/>
      <w:lvlText w:val="%1."/>
      <w:lvlJc w:val="left"/>
      <w:pPr>
        <w:ind w:left="421" w:firstLine="0"/>
      </w:pPr>
    </w:lvl>
  </w:abstractNum>
  <w:abstractNum w:abstractNumId="5">
    <w:nsid w:val="FD7F7E2E"/>
    <w:multiLevelType w:val="singleLevel"/>
    <w:tmpl w:val="FD7F7E2E"/>
    <w:lvl w:ilvl="0" w:tentative="0">
      <w:start w:val="1"/>
      <w:numFmt w:val="decimal"/>
      <w:suff w:val="space"/>
      <w:lvlText w:val="%1."/>
      <w:lvlJc w:val="left"/>
    </w:lvl>
  </w:abstractNum>
  <w:abstractNum w:abstractNumId="6">
    <w:nsid w:val="FFDE3162"/>
    <w:multiLevelType w:val="singleLevel"/>
    <w:tmpl w:val="FFDE3162"/>
    <w:lvl w:ilvl="0" w:tentative="0">
      <w:start w:val="1"/>
      <w:numFmt w:val="decimal"/>
      <w:pStyle w:val="11"/>
      <w:lvlText w:val="%1."/>
      <w:lvlJc w:val="left"/>
      <w:pPr>
        <w:tabs>
          <w:tab w:val="left" w:pos="2040"/>
        </w:tabs>
        <w:ind w:left="2040" w:hanging="360"/>
      </w:pPr>
    </w:lvl>
  </w:abstractNum>
  <w:num w:numId="1">
    <w:abstractNumId w:val="6"/>
  </w:num>
  <w:num w:numId="2">
    <w:abstractNumId w:val="0"/>
  </w:num>
  <w:num w:numId="3">
    <w:abstractNumId w:val="1"/>
  </w:num>
  <w:num w:numId="4">
    <w:abstractNumId w:val="2"/>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true"/>
  <w:bordersDoNotSurroundFooter w:val="true"/>
  <w:hideSpellingErrors/>
  <w:documentProtection w:enforcement="0"/>
  <w:defaultTabStop w:val="0"/>
  <w:drawingGridHorizontalSpacing w:val="210"/>
  <w:drawingGridVerticalSpacing w:val="-7946"/>
  <w:noPunctuationKerning w:val="true"/>
  <w:characterSpacingControl w:val="compressPunctuation"/>
  <w:hdrShapeDefaults>
    <o:shapelayout v:ext="edit">
      <o:idmap v:ext="edit" data="2"/>
    </o:shapelayout>
  </w:hdrShapeDefaults>
  <w:footnotePr>
    <w:footnote w:id="2"/>
    <w:footnote w:id="3"/>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mZTIzNTlkNzY0OWQ0NGE0ZDExNTZiMDRmZTYxOTMifQ=="/>
  </w:docVars>
  <w:rsids>
    <w:rsidRoot w:val="00EF2538"/>
    <w:rsid w:val="00001061"/>
    <w:rsid w:val="000023C9"/>
    <w:rsid w:val="00005EED"/>
    <w:rsid w:val="0000708E"/>
    <w:rsid w:val="00007117"/>
    <w:rsid w:val="0000759D"/>
    <w:rsid w:val="00007C5F"/>
    <w:rsid w:val="00011BE6"/>
    <w:rsid w:val="00012715"/>
    <w:rsid w:val="00013B48"/>
    <w:rsid w:val="00013DA6"/>
    <w:rsid w:val="000148B3"/>
    <w:rsid w:val="0001538E"/>
    <w:rsid w:val="0001569F"/>
    <w:rsid w:val="000159C2"/>
    <w:rsid w:val="00016C91"/>
    <w:rsid w:val="00017C4E"/>
    <w:rsid w:val="00021F3B"/>
    <w:rsid w:val="00022003"/>
    <w:rsid w:val="000221C4"/>
    <w:rsid w:val="0002331D"/>
    <w:rsid w:val="00026239"/>
    <w:rsid w:val="00031C70"/>
    <w:rsid w:val="00032633"/>
    <w:rsid w:val="00032E29"/>
    <w:rsid w:val="000336D2"/>
    <w:rsid w:val="00034241"/>
    <w:rsid w:val="00035845"/>
    <w:rsid w:val="00036B4F"/>
    <w:rsid w:val="0004051C"/>
    <w:rsid w:val="00040956"/>
    <w:rsid w:val="00040B98"/>
    <w:rsid w:val="00040E02"/>
    <w:rsid w:val="00041607"/>
    <w:rsid w:val="00042F6F"/>
    <w:rsid w:val="00044AF4"/>
    <w:rsid w:val="00045042"/>
    <w:rsid w:val="00045581"/>
    <w:rsid w:val="00046D24"/>
    <w:rsid w:val="0004741A"/>
    <w:rsid w:val="00047E2E"/>
    <w:rsid w:val="00050FC1"/>
    <w:rsid w:val="000517A9"/>
    <w:rsid w:val="00051992"/>
    <w:rsid w:val="00052616"/>
    <w:rsid w:val="000528E5"/>
    <w:rsid w:val="00054268"/>
    <w:rsid w:val="000543EF"/>
    <w:rsid w:val="00054F19"/>
    <w:rsid w:val="00056083"/>
    <w:rsid w:val="00060365"/>
    <w:rsid w:val="00060E7A"/>
    <w:rsid w:val="000626DD"/>
    <w:rsid w:val="00062DA7"/>
    <w:rsid w:val="00063DE8"/>
    <w:rsid w:val="0006718C"/>
    <w:rsid w:val="00067859"/>
    <w:rsid w:val="00071F2D"/>
    <w:rsid w:val="00071F3D"/>
    <w:rsid w:val="00072352"/>
    <w:rsid w:val="0007340C"/>
    <w:rsid w:val="00076603"/>
    <w:rsid w:val="00077083"/>
    <w:rsid w:val="00077E98"/>
    <w:rsid w:val="0008403E"/>
    <w:rsid w:val="00084490"/>
    <w:rsid w:val="000847DA"/>
    <w:rsid w:val="00086515"/>
    <w:rsid w:val="00086A86"/>
    <w:rsid w:val="00086AF0"/>
    <w:rsid w:val="00090333"/>
    <w:rsid w:val="00090A3F"/>
    <w:rsid w:val="00090EF6"/>
    <w:rsid w:val="00090F05"/>
    <w:rsid w:val="000947CD"/>
    <w:rsid w:val="00094A04"/>
    <w:rsid w:val="00095BF2"/>
    <w:rsid w:val="00096344"/>
    <w:rsid w:val="00097465"/>
    <w:rsid w:val="00097E3C"/>
    <w:rsid w:val="000A44E2"/>
    <w:rsid w:val="000A5A37"/>
    <w:rsid w:val="000A62BC"/>
    <w:rsid w:val="000A6C6F"/>
    <w:rsid w:val="000B05BB"/>
    <w:rsid w:val="000B09A7"/>
    <w:rsid w:val="000B2262"/>
    <w:rsid w:val="000B3787"/>
    <w:rsid w:val="000B380B"/>
    <w:rsid w:val="000B410D"/>
    <w:rsid w:val="000B6832"/>
    <w:rsid w:val="000B7BA2"/>
    <w:rsid w:val="000C18D1"/>
    <w:rsid w:val="000C259D"/>
    <w:rsid w:val="000C29EE"/>
    <w:rsid w:val="000C2AE2"/>
    <w:rsid w:val="000C4231"/>
    <w:rsid w:val="000C497E"/>
    <w:rsid w:val="000C4CD8"/>
    <w:rsid w:val="000C4D14"/>
    <w:rsid w:val="000C61DB"/>
    <w:rsid w:val="000C6513"/>
    <w:rsid w:val="000D048A"/>
    <w:rsid w:val="000D08C3"/>
    <w:rsid w:val="000D08F4"/>
    <w:rsid w:val="000D47F5"/>
    <w:rsid w:val="000D4BF7"/>
    <w:rsid w:val="000D502C"/>
    <w:rsid w:val="000D58E5"/>
    <w:rsid w:val="000D6545"/>
    <w:rsid w:val="000D65E6"/>
    <w:rsid w:val="000D6611"/>
    <w:rsid w:val="000E068A"/>
    <w:rsid w:val="000E0C41"/>
    <w:rsid w:val="000E2073"/>
    <w:rsid w:val="000E34F0"/>
    <w:rsid w:val="000E3538"/>
    <w:rsid w:val="000E448E"/>
    <w:rsid w:val="000E44D6"/>
    <w:rsid w:val="000E6558"/>
    <w:rsid w:val="000E69B4"/>
    <w:rsid w:val="000E7848"/>
    <w:rsid w:val="000E7B62"/>
    <w:rsid w:val="000E7DE9"/>
    <w:rsid w:val="000F114C"/>
    <w:rsid w:val="000F27D7"/>
    <w:rsid w:val="000F3078"/>
    <w:rsid w:val="000F436A"/>
    <w:rsid w:val="000F5007"/>
    <w:rsid w:val="00100D99"/>
    <w:rsid w:val="001011A2"/>
    <w:rsid w:val="00101DD0"/>
    <w:rsid w:val="00102708"/>
    <w:rsid w:val="00103492"/>
    <w:rsid w:val="001034AD"/>
    <w:rsid w:val="001043F4"/>
    <w:rsid w:val="00104B97"/>
    <w:rsid w:val="001050A2"/>
    <w:rsid w:val="00105E8B"/>
    <w:rsid w:val="001078FA"/>
    <w:rsid w:val="0011015E"/>
    <w:rsid w:val="0011036E"/>
    <w:rsid w:val="0011126E"/>
    <w:rsid w:val="00112404"/>
    <w:rsid w:val="001132F2"/>
    <w:rsid w:val="00114310"/>
    <w:rsid w:val="00115084"/>
    <w:rsid w:val="00115ADB"/>
    <w:rsid w:val="00122312"/>
    <w:rsid w:val="001225D4"/>
    <w:rsid w:val="001226B0"/>
    <w:rsid w:val="00122820"/>
    <w:rsid w:val="00122DA5"/>
    <w:rsid w:val="00123559"/>
    <w:rsid w:val="001237FA"/>
    <w:rsid w:val="00124386"/>
    <w:rsid w:val="001250E5"/>
    <w:rsid w:val="00125602"/>
    <w:rsid w:val="00125F7D"/>
    <w:rsid w:val="00126322"/>
    <w:rsid w:val="00126B40"/>
    <w:rsid w:val="00126CFF"/>
    <w:rsid w:val="00127A7B"/>
    <w:rsid w:val="001327B2"/>
    <w:rsid w:val="00133A4E"/>
    <w:rsid w:val="001342A0"/>
    <w:rsid w:val="00135102"/>
    <w:rsid w:val="00137DCE"/>
    <w:rsid w:val="001405E7"/>
    <w:rsid w:val="00141FA1"/>
    <w:rsid w:val="00143B57"/>
    <w:rsid w:val="00143D1A"/>
    <w:rsid w:val="00144359"/>
    <w:rsid w:val="00145466"/>
    <w:rsid w:val="001457AE"/>
    <w:rsid w:val="00145F25"/>
    <w:rsid w:val="00146F08"/>
    <w:rsid w:val="0015185D"/>
    <w:rsid w:val="00151CA9"/>
    <w:rsid w:val="001528BA"/>
    <w:rsid w:val="00152B93"/>
    <w:rsid w:val="001545C6"/>
    <w:rsid w:val="001547BD"/>
    <w:rsid w:val="00157A58"/>
    <w:rsid w:val="00160CB5"/>
    <w:rsid w:val="00160F9E"/>
    <w:rsid w:val="00162855"/>
    <w:rsid w:val="00162B47"/>
    <w:rsid w:val="00162B49"/>
    <w:rsid w:val="00164EF7"/>
    <w:rsid w:val="00167D8F"/>
    <w:rsid w:val="001718B6"/>
    <w:rsid w:val="00171EA2"/>
    <w:rsid w:val="001727E1"/>
    <w:rsid w:val="001732B9"/>
    <w:rsid w:val="001735EB"/>
    <w:rsid w:val="001741A4"/>
    <w:rsid w:val="00174D61"/>
    <w:rsid w:val="00175AA5"/>
    <w:rsid w:val="00176ED3"/>
    <w:rsid w:val="001802C4"/>
    <w:rsid w:val="00180896"/>
    <w:rsid w:val="001809E8"/>
    <w:rsid w:val="00181CEA"/>
    <w:rsid w:val="00182018"/>
    <w:rsid w:val="0018326F"/>
    <w:rsid w:val="001833E9"/>
    <w:rsid w:val="001835B7"/>
    <w:rsid w:val="001846A7"/>
    <w:rsid w:val="00184E36"/>
    <w:rsid w:val="00184F35"/>
    <w:rsid w:val="00186290"/>
    <w:rsid w:val="00187AE2"/>
    <w:rsid w:val="00192814"/>
    <w:rsid w:val="001930E5"/>
    <w:rsid w:val="00193509"/>
    <w:rsid w:val="00194A08"/>
    <w:rsid w:val="00194E22"/>
    <w:rsid w:val="00195518"/>
    <w:rsid w:val="001955D1"/>
    <w:rsid w:val="00195EFE"/>
    <w:rsid w:val="001960E4"/>
    <w:rsid w:val="001A0140"/>
    <w:rsid w:val="001A02F8"/>
    <w:rsid w:val="001A0437"/>
    <w:rsid w:val="001A46CF"/>
    <w:rsid w:val="001A5B87"/>
    <w:rsid w:val="001A75DB"/>
    <w:rsid w:val="001B4A60"/>
    <w:rsid w:val="001B4F19"/>
    <w:rsid w:val="001B5F94"/>
    <w:rsid w:val="001B63D1"/>
    <w:rsid w:val="001B66E7"/>
    <w:rsid w:val="001B6BAA"/>
    <w:rsid w:val="001B6DAB"/>
    <w:rsid w:val="001B6DD6"/>
    <w:rsid w:val="001C11B4"/>
    <w:rsid w:val="001C2626"/>
    <w:rsid w:val="001C2FB6"/>
    <w:rsid w:val="001C3275"/>
    <w:rsid w:val="001C3C21"/>
    <w:rsid w:val="001C4305"/>
    <w:rsid w:val="001C7014"/>
    <w:rsid w:val="001C70D4"/>
    <w:rsid w:val="001D1C80"/>
    <w:rsid w:val="001D2C2D"/>
    <w:rsid w:val="001D2C84"/>
    <w:rsid w:val="001D2E30"/>
    <w:rsid w:val="001D3F69"/>
    <w:rsid w:val="001D4622"/>
    <w:rsid w:val="001D6676"/>
    <w:rsid w:val="001D781A"/>
    <w:rsid w:val="001E0000"/>
    <w:rsid w:val="001E126D"/>
    <w:rsid w:val="001E14D7"/>
    <w:rsid w:val="001E1CF2"/>
    <w:rsid w:val="001E2A53"/>
    <w:rsid w:val="001E31A4"/>
    <w:rsid w:val="001E33F6"/>
    <w:rsid w:val="001E3BAB"/>
    <w:rsid w:val="001E4C9F"/>
    <w:rsid w:val="001E4DEF"/>
    <w:rsid w:val="001E56C1"/>
    <w:rsid w:val="001E576C"/>
    <w:rsid w:val="001E5F57"/>
    <w:rsid w:val="001E6691"/>
    <w:rsid w:val="001F15FC"/>
    <w:rsid w:val="001F1777"/>
    <w:rsid w:val="001F2371"/>
    <w:rsid w:val="001F2EA8"/>
    <w:rsid w:val="001F3ADE"/>
    <w:rsid w:val="001F49CD"/>
    <w:rsid w:val="001F4E0C"/>
    <w:rsid w:val="001F7544"/>
    <w:rsid w:val="00200368"/>
    <w:rsid w:val="0020063E"/>
    <w:rsid w:val="002008D2"/>
    <w:rsid w:val="00200CC8"/>
    <w:rsid w:val="00200F8D"/>
    <w:rsid w:val="00202FCF"/>
    <w:rsid w:val="002030BE"/>
    <w:rsid w:val="00203975"/>
    <w:rsid w:val="002045C3"/>
    <w:rsid w:val="0020720F"/>
    <w:rsid w:val="00207CA6"/>
    <w:rsid w:val="00213199"/>
    <w:rsid w:val="0021354D"/>
    <w:rsid w:val="00213CCB"/>
    <w:rsid w:val="00214410"/>
    <w:rsid w:val="002216BF"/>
    <w:rsid w:val="00221FF1"/>
    <w:rsid w:val="00222655"/>
    <w:rsid w:val="002232E2"/>
    <w:rsid w:val="002251F4"/>
    <w:rsid w:val="00225A6F"/>
    <w:rsid w:val="00226F9D"/>
    <w:rsid w:val="00230BF7"/>
    <w:rsid w:val="00230D7E"/>
    <w:rsid w:val="00231A21"/>
    <w:rsid w:val="0023200F"/>
    <w:rsid w:val="002328A4"/>
    <w:rsid w:val="0023787C"/>
    <w:rsid w:val="00240BE7"/>
    <w:rsid w:val="00242657"/>
    <w:rsid w:val="00242B28"/>
    <w:rsid w:val="0024477A"/>
    <w:rsid w:val="00244D13"/>
    <w:rsid w:val="002451B5"/>
    <w:rsid w:val="00245867"/>
    <w:rsid w:val="00245AE3"/>
    <w:rsid w:val="00247949"/>
    <w:rsid w:val="00247D41"/>
    <w:rsid w:val="00250103"/>
    <w:rsid w:val="00250526"/>
    <w:rsid w:val="00250F2D"/>
    <w:rsid w:val="00252AB4"/>
    <w:rsid w:val="00252BF3"/>
    <w:rsid w:val="00252D2C"/>
    <w:rsid w:val="002532EC"/>
    <w:rsid w:val="00255664"/>
    <w:rsid w:val="0025583B"/>
    <w:rsid w:val="0025691F"/>
    <w:rsid w:val="00261FFD"/>
    <w:rsid w:val="002621BE"/>
    <w:rsid w:val="00262BC8"/>
    <w:rsid w:val="0026577A"/>
    <w:rsid w:val="00265D87"/>
    <w:rsid w:val="002660AB"/>
    <w:rsid w:val="00266E93"/>
    <w:rsid w:val="0027054D"/>
    <w:rsid w:val="00271B9D"/>
    <w:rsid w:val="002732D3"/>
    <w:rsid w:val="002745A6"/>
    <w:rsid w:val="00274F3F"/>
    <w:rsid w:val="0028094A"/>
    <w:rsid w:val="002809C0"/>
    <w:rsid w:val="00281601"/>
    <w:rsid w:val="00281E84"/>
    <w:rsid w:val="002829B8"/>
    <w:rsid w:val="0028308F"/>
    <w:rsid w:val="00287092"/>
    <w:rsid w:val="00287514"/>
    <w:rsid w:val="00290654"/>
    <w:rsid w:val="00290B5E"/>
    <w:rsid w:val="00291AE6"/>
    <w:rsid w:val="00293189"/>
    <w:rsid w:val="00293A1B"/>
    <w:rsid w:val="002948BE"/>
    <w:rsid w:val="00295AC9"/>
    <w:rsid w:val="0029706C"/>
    <w:rsid w:val="002971BF"/>
    <w:rsid w:val="002A0FC7"/>
    <w:rsid w:val="002A18C2"/>
    <w:rsid w:val="002A36A7"/>
    <w:rsid w:val="002A38E9"/>
    <w:rsid w:val="002A3D2A"/>
    <w:rsid w:val="002A417C"/>
    <w:rsid w:val="002A484D"/>
    <w:rsid w:val="002A4AEE"/>
    <w:rsid w:val="002A56AC"/>
    <w:rsid w:val="002A5ED1"/>
    <w:rsid w:val="002A635C"/>
    <w:rsid w:val="002A69B0"/>
    <w:rsid w:val="002A6D8A"/>
    <w:rsid w:val="002A76AB"/>
    <w:rsid w:val="002A770F"/>
    <w:rsid w:val="002B01D1"/>
    <w:rsid w:val="002B1182"/>
    <w:rsid w:val="002B16E5"/>
    <w:rsid w:val="002B2296"/>
    <w:rsid w:val="002B2B21"/>
    <w:rsid w:val="002B2C28"/>
    <w:rsid w:val="002C1119"/>
    <w:rsid w:val="002C1414"/>
    <w:rsid w:val="002C1E28"/>
    <w:rsid w:val="002C2945"/>
    <w:rsid w:val="002C29F8"/>
    <w:rsid w:val="002C2B53"/>
    <w:rsid w:val="002C3468"/>
    <w:rsid w:val="002C34ED"/>
    <w:rsid w:val="002C3812"/>
    <w:rsid w:val="002C3D7C"/>
    <w:rsid w:val="002C5821"/>
    <w:rsid w:val="002D070F"/>
    <w:rsid w:val="002D0D71"/>
    <w:rsid w:val="002D0E44"/>
    <w:rsid w:val="002D1206"/>
    <w:rsid w:val="002D1997"/>
    <w:rsid w:val="002D5A0D"/>
    <w:rsid w:val="002D5F21"/>
    <w:rsid w:val="002D6D51"/>
    <w:rsid w:val="002D7660"/>
    <w:rsid w:val="002E11F4"/>
    <w:rsid w:val="002E1D00"/>
    <w:rsid w:val="002E46C9"/>
    <w:rsid w:val="002E4ECC"/>
    <w:rsid w:val="002E6F6E"/>
    <w:rsid w:val="002E716D"/>
    <w:rsid w:val="002E72CB"/>
    <w:rsid w:val="002F123C"/>
    <w:rsid w:val="002F1FFC"/>
    <w:rsid w:val="002F246F"/>
    <w:rsid w:val="002F3A99"/>
    <w:rsid w:val="002F4E1F"/>
    <w:rsid w:val="002F536A"/>
    <w:rsid w:val="002F60F3"/>
    <w:rsid w:val="002F6761"/>
    <w:rsid w:val="002F6A7B"/>
    <w:rsid w:val="002F70E1"/>
    <w:rsid w:val="002F75B4"/>
    <w:rsid w:val="003006FE"/>
    <w:rsid w:val="003019CD"/>
    <w:rsid w:val="003025D9"/>
    <w:rsid w:val="00303AFA"/>
    <w:rsid w:val="00304B94"/>
    <w:rsid w:val="003078C8"/>
    <w:rsid w:val="00310142"/>
    <w:rsid w:val="003105E2"/>
    <w:rsid w:val="00310776"/>
    <w:rsid w:val="003112A2"/>
    <w:rsid w:val="00311DA8"/>
    <w:rsid w:val="00312120"/>
    <w:rsid w:val="00312259"/>
    <w:rsid w:val="00313222"/>
    <w:rsid w:val="003163FB"/>
    <w:rsid w:val="0031644B"/>
    <w:rsid w:val="00320D41"/>
    <w:rsid w:val="00324301"/>
    <w:rsid w:val="00325906"/>
    <w:rsid w:val="00326233"/>
    <w:rsid w:val="0032631E"/>
    <w:rsid w:val="003265D9"/>
    <w:rsid w:val="003276AE"/>
    <w:rsid w:val="00330225"/>
    <w:rsid w:val="003313C0"/>
    <w:rsid w:val="003319A0"/>
    <w:rsid w:val="003334BB"/>
    <w:rsid w:val="00333DEC"/>
    <w:rsid w:val="003344C8"/>
    <w:rsid w:val="00334BBD"/>
    <w:rsid w:val="00334F2E"/>
    <w:rsid w:val="00335D2C"/>
    <w:rsid w:val="0033755B"/>
    <w:rsid w:val="00340537"/>
    <w:rsid w:val="00341F9E"/>
    <w:rsid w:val="0034428E"/>
    <w:rsid w:val="0034448C"/>
    <w:rsid w:val="00344A24"/>
    <w:rsid w:val="00344D6D"/>
    <w:rsid w:val="003464F3"/>
    <w:rsid w:val="003467AB"/>
    <w:rsid w:val="00347347"/>
    <w:rsid w:val="00350541"/>
    <w:rsid w:val="00350A40"/>
    <w:rsid w:val="00352F18"/>
    <w:rsid w:val="003537AA"/>
    <w:rsid w:val="00353B8A"/>
    <w:rsid w:val="00353FE7"/>
    <w:rsid w:val="003550F6"/>
    <w:rsid w:val="00355BE9"/>
    <w:rsid w:val="0035609C"/>
    <w:rsid w:val="00357068"/>
    <w:rsid w:val="0036219B"/>
    <w:rsid w:val="00362815"/>
    <w:rsid w:val="0036422F"/>
    <w:rsid w:val="00364609"/>
    <w:rsid w:val="003668BE"/>
    <w:rsid w:val="00367402"/>
    <w:rsid w:val="003678B0"/>
    <w:rsid w:val="00370444"/>
    <w:rsid w:val="003728B7"/>
    <w:rsid w:val="003728CA"/>
    <w:rsid w:val="0037331D"/>
    <w:rsid w:val="00374120"/>
    <w:rsid w:val="00376638"/>
    <w:rsid w:val="00377322"/>
    <w:rsid w:val="003774B0"/>
    <w:rsid w:val="003803BF"/>
    <w:rsid w:val="003807A6"/>
    <w:rsid w:val="003823C6"/>
    <w:rsid w:val="00382A2D"/>
    <w:rsid w:val="00382ADB"/>
    <w:rsid w:val="003840A4"/>
    <w:rsid w:val="0038531E"/>
    <w:rsid w:val="00387233"/>
    <w:rsid w:val="0039195A"/>
    <w:rsid w:val="00393513"/>
    <w:rsid w:val="00393AF3"/>
    <w:rsid w:val="00395059"/>
    <w:rsid w:val="00395218"/>
    <w:rsid w:val="00395246"/>
    <w:rsid w:val="003A0279"/>
    <w:rsid w:val="003A0362"/>
    <w:rsid w:val="003A0A01"/>
    <w:rsid w:val="003A0C2E"/>
    <w:rsid w:val="003A0E18"/>
    <w:rsid w:val="003A2AD5"/>
    <w:rsid w:val="003A2C10"/>
    <w:rsid w:val="003A33A0"/>
    <w:rsid w:val="003A5462"/>
    <w:rsid w:val="003A551B"/>
    <w:rsid w:val="003A5A80"/>
    <w:rsid w:val="003A5DE0"/>
    <w:rsid w:val="003A7609"/>
    <w:rsid w:val="003B1EC3"/>
    <w:rsid w:val="003B1F81"/>
    <w:rsid w:val="003B3122"/>
    <w:rsid w:val="003B32B6"/>
    <w:rsid w:val="003B3702"/>
    <w:rsid w:val="003B3F78"/>
    <w:rsid w:val="003B49AA"/>
    <w:rsid w:val="003B4EFF"/>
    <w:rsid w:val="003B4F41"/>
    <w:rsid w:val="003B53DF"/>
    <w:rsid w:val="003B679C"/>
    <w:rsid w:val="003B6C80"/>
    <w:rsid w:val="003B6F9C"/>
    <w:rsid w:val="003C104C"/>
    <w:rsid w:val="003C26C3"/>
    <w:rsid w:val="003C38A2"/>
    <w:rsid w:val="003C3A47"/>
    <w:rsid w:val="003C413F"/>
    <w:rsid w:val="003C7418"/>
    <w:rsid w:val="003C7539"/>
    <w:rsid w:val="003D1785"/>
    <w:rsid w:val="003D51E0"/>
    <w:rsid w:val="003D5211"/>
    <w:rsid w:val="003D637A"/>
    <w:rsid w:val="003D7811"/>
    <w:rsid w:val="003E14F6"/>
    <w:rsid w:val="003E1732"/>
    <w:rsid w:val="003E1A60"/>
    <w:rsid w:val="003E404A"/>
    <w:rsid w:val="003E43DE"/>
    <w:rsid w:val="003E5DA0"/>
    <w:rsid w:val="003E64B0"/>
    <w:rsid w:val="003E7E70"/>
    <w:rsid w:val="003F4F6C"/>
    <w:rsid w:val="003F5CDE"/>
    <w:rsid w:val="003F79EB"/>
    <w:rsid w:val="003F7E00"/>
    <w:rsid w:val="00400432"/>
    <w:rsid w:val="00401003"/>
    <w:rsid w:val="0040121E"/>
    <w:rsid w:val="00401D72"/>
    <w:rsid w:val="00403194"/>
    <w:rsid w:val="004035A1"/>
    <w:rsid w:val="00403F2C"/>
    <w:rsid w:val="004044A6"/>
    <w:rsid w:val="004057B4"/>
    <w:rsid w:val="00405ED3"/>
    <w:rsid w:val="00406D69"/>
    <w:rsid w:val="00407126"/>
    <w:rsid w:val="00407B92"/>
    <w:rsid w:val="0041049C"/>
    <w:rsid w:val="00410A82"/>
    <w:rsid w:val="0041140D"/>
    <w:rsid w:val="00412578"/>
    <w:rsid w:val="00413024"/>
    <w:rsid w:val="0041405D"/>
    <w:rsid w:val="00414B60"/>
    <w:rsid w:val="00414E26"/>
    <w:rsid w:val="00415191"/>
    <w:rsid w:val="00415835"/>
    <w:rsid w:val="00415886"/>
    <w:rsid w:val="004164B4"/>
    <w:rsid w:val="0041790E"/>
    <w:rsid w:val="00417A5A"/>
    <w:rsid w:val="004200B4"/>
    <w:rsid w:val="004212C2"/>
    <w:rsid w:val="00421D5B"/>
    <w:rsid w:val="004226E6"/>
    <w:rsid w:val="0042331C"/>
    <w:rsid w:val="004255FA"/>
    <w:rsid w:val="00426884"/>
    <w:rsid w:val="00431C01"/>
    <w:rsid w:val="00433DB4"/>
    <w:rsid w:val="0043430F"/>
    <w:rsid w:val="00434B37"/>
    <w:rsid w:val="004358AC"/>
    <w:rsid w:val="004360CD"/>
    <w:rsid w:val="00437113"/>
    <w:rsid w:val="00440E95"/>
    <w:rsid w:val="00442450"/>
    <w:rsid w:val="004428AE"/>
    <w:rsid w:val="00443486"/>
    <w:rsid w:val="00444731"/>
    <w:rsid w:val="00444EE2"/>
    <w:rsid w:val="0044516D"/>
    <w:rsid w:val="004461A5"/>
    <w:rsid w:val="00446788"/>
    <w:rsid w:val="004476F6"/>
    <w:rsid w:val="0045026C"/>
    <w:rsid w:val="00451DBE"/>
    <w:rsid w:val="00452361"/>
    <w:rsid w:val="00452800"/>
    <w:rsid w:val="00452989"/>
    <w:rsid w:val="00452C4F"/>
    <w:rsid w:val="00452CCF"/>
    <w:rsid w:val="0045408A"/>
    <w:rsid w:val="00455994"/>
    <w:rsid w:val="00455BC9"/>
    <w:rsid w:val="00455E79"/>
    <w:rsid w:val="00456391"/>
    <w:rsid w:val="00456551"/>
    <w:rsid w:val="004571F0"/>
    <w:rsid w:val="00457249"/>
    <w:rsid w:val="004601B1"/>
    <w:rsid w:val="00460E63"/>
    <w:rsid w:val="004633E3"/>
    <w:rsid w:val="004639DC"/>
    <w:rsid w:val="0046465D"/>
    <w:rsid w:val="00465987"/>
    <w:rsid w:val="00466118"/>
    <w:rsid w:val="004664A9"/>
    <w:rsid w:val="00466AB2"/>
    <w:rsid w:val="00470B31"/>
    <w:rsid w:val="004729AE"/>
    <w:rsid w:val="00473A8B"/>
    <w:rsid w:val="00473DD4"/>
    <w:rsid w:val="004742E8"/>
    <w:rsid w:val="00474942"/>
    <w:rsid w:val="00476366"/>
    <w:rsid w:val="00476CC1"/>
    <w:rsid w:val="00481C5A"/>
    <w:rsid w:val="004833DE"/>
    <w:rsid w:val="0048394A"/>
    <w:rsid w:val="0048407E"/>
    <w:rsid w:val="004846C4"/>
    <w:rsid w:val="00484F68"/>
    <w:rsid w:val="00485267"/>
    <w:rsid w:val="00486EF3"/>
    <w:rsid w:val="00487070"/>
    <w:rsid w:val="00487EF0"/>
    <w:rsid w:val="00491500"/>
    <w:rsid w:val="00491974"/>
    <w:rsid w:val="004919C0"/>
    <w:rsid w:val="004924CC"/>
    <w:rsid w:val="00493843"/>
    <w:rsid w:val="00493B15"/>
    <w:rsid w:val="00493F39"/>
    <w:rsid w:val="004A1052"/>
    <w:rsid w:val="004A215A"/>
    <w:rsid w:val="004A22CE"/>
    <w:rsid w:val="004A263B"/>
    <w:rsid w:val="004A2709"/>
    <w:rsid w:val="004A283D"/>
    <w:rsid w:val="004A326C"/>
    <w:rsid w:val="004A58A4"/>
    <w:rsid w:val="004A5EF5"/>
    <w:rsid w:val="004A6354"/>
    <w:rsid w:val="004A67F1"/>
    <w:rsid w:val="004A7035"/>
    <w:rsid w:val="004A73AC"/>
    <w:rsid w:val="004B0259"/>
    <w:rsid w:val="004B08A1"/>
    <w:rsid w:val="004B0AF1"/>
    <w:rsid w:val="004B21C0"/>
    <w:rsid w:val="004B2527"/>
    <w:rsid w:val="004B2C57"/>
    <w:rsid w:val="004B30F2"/>
    <w:rsid w:val="004B3316"/>
    <w:rsid w:val="004B3807"/>
    <w:rsid w:val="004B4C4B"/>
    <w:rsid w:val="004B6336"/>
    <w:rsid w:val="004B67E8"/>
    <w:rsid w:val="004B69F9"/>
    <w:rsid w:val="004C071D"/>
    <w:rsid w:val="004C0786"/>
    <w:rsid w:val="004C3FF6"/>
    <w:rsid w:val="004C4A2A"/>
    <w:rsid w:val="004C5581"/>
    <w:rsid w:val="004C6656"/>
    <w:rsid w:val="004C6FB3"/>
    <w:rsid w:val="004D0037"/>
    <w:rsid w:val="004D1592"/>
    <w:rsid w:val="004D21E9"/>
    <w:rsid w:val="004D2F74"/>
    <w:rsid w:val="004D3318"/>
    <w:rsid w:val="004D3FA8"/>
    <w:rsid w:val="004D41F1"/>
    <w:rsid w:val="004D44CA"/>
    <w:rsid w:val="004D4885"/>
    <w:rsid w:val="004E4CA3"/>
    <w:rsid w:val="004E5DAB"/>
    <w:rsid w:val="004E73AF"/>
    <w:rsid w:val="004E7B14"/>
    <w:rsid w:val="004F2BFD"/>
    <w:rsid w:val="004F58A8"/>
    <w:rsid w:val="004F5CB9"/>
    <w:rsid w:val="004F6200"/>
    <w:rsid w:val="00500A04"/>
    <w:rsid w:val="00500E8F"/>
    <w:rsid w:val="00502304"/>
    <w:rsid w:val="0050257C"/>
    <w:rsid w:val="005038DC"/>
    <w:rsid w:val="00503CBC"/>
    <w:rsid w:val="00503EBF"/>
    <w:rsid w:val="00504982"/>
    <w:rsid w:val="0050572B"/>
    <w:rsid w:val="0050578E"/>
    <w:rsid w:val="00505EA0"/>
    <w:rsid w:val="00506AB4"/>
    <w:rsid w:val="005078C7"/>
    <w:rsid w:val="00507F2B"/>
    <w:rsid w:val="005105ED"/>
    <w:rsid w:val="00510699"/>
    <w:rsid w:val="00511564"/>
    <w:rsid w:val="00511D39"/>
    <w:rsid w:val="00512289"/>
    <w:rsid w:val="00514EC0"/>
    <w:rsid w:val="00515BAA"/>
    <w:rsid w:val="005160E6"/>
    <w:rsid w:val="0052096C"/>
    <w:rsid w:val="00520C7B"/>
    <w:rsid w:val="0052247C"/>
    <w:rsid w:val="00522AD0"/>
    <w:rsid w:val="005255B0"/>
    <w:rsid w:val="00525F41"/>
    <w:rsid w:val="0053124E"/>
    <w:rsid w:val="00532499"/>
    <w:rsid w:val="00532598"/>
    <w:rsid w:val="005325D3"/>
    <w:rsid w:val="00532F12"/>
    <w:rsid w:val="0053311D"/>
    <w:rsid w:val="00536A16"/>
    <w:rsid w:val="005406AF"/>
    <w:rsid w:val="005419DE"/>
    <w:rsid w:val="00542504"/>
    <w:rsid w:val="00542765"/>
    <w:rsid w:val="0054332E"/>
    <w:rsid w:val="00543C3A"/>
    <w:rsid w:val="00543F56"/>
    <w:rsid w:val="005443A5"/>
    <w:rsid w:val="00544422"/>
    <w:rsid w:val="00544EAB"/>
    <w:rsid w:val="0054502A"/>
    <w:rsid w:val="005469B5"/>
    <w:rsid w:val="00547B8E"/>
    <w:rsid w:val="00547DE0"/>
    <w:rsid w:val="005517DA"/>
    <w:rsid w:val="00551A81"/>
    <w:rsid w:val="0055284C"/>
    <w:rsid w:val="00553744"/>
    <w:rsid w:val="00553A8B"/>
    <w:rsid w:val="00554259"/>
    <w:rsid w:val="005547D4"/>
    <w:rsid w:val="00554A7B"/>
    <w:rsid w:val="00554CE5"/>
    <w:rsid w:val="00555187"/>
    <w:rsid w:val="00555842"/>
    <w:rsid w:val="0056132A"/>
    <w:rsid w:val="00561537"/>
    <w:rsid w:val="00563BC9"/>
    <w:rsid w:val="0056437D"/>
    <w:rsid w:val="005719D6"/>
    <w:rsid w:val="005720E1"/>
    <w:rsid w:val="0057392F"/>
    <w:rsid w:val="00573DFB"/>
    <w:rsid w:val="00580CA3"/>
    <w:rsid w:val="00580F6D"/>
    <w:rsid w:val="005815EB"/>
    <w:rsid w:val="005822D0"/>
    <w:rsid w:val="005840BE"/>
    <w:rsid w:val="005877EB"/>
    <w:rsid w:val="00590739"/>
    <w:rsid w:val="005915B6"/>
    <w:rsid w:val="0059249B"/>
    <w:rsid w:val="00593115"/>
    <w:rsid w:val="005944AA"/>
    <w:rsid w:val="00594634"/>
    <w:rsid w:val="005950CF"/>
    <w:rsid w:val="00596352"/>
    <w:rsid w:val="00597C9E"/>
    <w:rsid w:val="005A0DD4"/>
    <w:rsid w:val="005A5BC3"/>
    <w:rsid w:val="005A77A1"/>
    <w:rsid w:val="005B0336"/>
    <w:rsid w:val="005B0613"/>
    <w:rsid w:val="005B0E94"/>
    <w:rsid w:val="005B142B"/>
    <w:rsid w:val="005B151B"/>
    <w:rsid w:val="005B1FEA"/>
    <w:rsid w:val="005B3327"/>
    <w:rsid w:val="005B3FD8"/>
    <w:rsid w:val="005B5343"/>
    <w:rsid w:val="005B5D45"/>
    <w:rsid w:val="005B603D"/>
    <w:rsid w:val="005B61A7"/>
    <w:rsid w:val="005B71A7"/>
    <w:rsid w:val="005B72AA"/>
    <w:rsid w:val="005B7D0D"/>
    <w:rsid w:val="005C2324"/>
    <w:rsid w:val="005C2977"/>
    <w:rsid w:val="005C3391"/>
    <w:rsid w:val="005C5A4E"/>
    <w:rsid w:val="005C5C60"/>
    <w:rsid w:val="005C69E0"/>
    <w:rsid w:val="005D0FBA"/>
    <w:rsid w:val="005D1E08"/>
    <w:rsid w:val="005D23FC"/>
    <w:rsid w:val="005D2405"/>
    <w:rsid w:val="005D32DF"/>
    <w:rsid w:val="005D4A03"/>
    <w:rsid w:val="005D503F"/>
    <w:rsid w:val="005D6421"/>
    <w:rsid w:val="005D7111"/>
    <w:rsid w:val="005D774F"/>
    <w:rsid w:val="005D7C47"/>
    <w:rsid w:val="005D7F0B"/>
    <w:rsid w:val="005E117A"/>
    <w:rsid w:val="005E11E3"/>
    <w:rsid w:val="005E23A3"/>
    <w:rsid w:val="005E2A50"/>
    <w:rsid w:val="005E390C"/>
    <w:rsid w:val="005E4379"/>
    <w:rsid w:val="005E44C6"/>
    <w:rsid w:val="005E5DE3"/>
    <w:rsid w:val="005E7AE5"/>
    <w:rsid w:val="005F4760"/>
    <w:rsid w:val="005F54F6"/>
    <w:rsid w:val="005F67D2"/>
    <w:rsid w:val="005F78A9"/>
    <w:rsid w:val="005F79EA"/>
    <w:rsid w:val="005F7E76"/>
    <w:rsid w:val="00600A36"/>
    <w:rsid w:val="0060364F"/>
    <w:rsid w:val="00604582"/>
    <w:rsid w:val="0060473A"/>
    <w:rsid w:val="00607FA9"/>
    <w:rsid w:val="00610685"/>
    <w:rsid w:val="006109C1"/>
    <w:rsid w:val="006124D6"/>
    <w:rsid w:val="00612884"/>
    <w:rsid w:val="0061345C"/>
    <w:rsid w:val="00613AEB"/>
    <w:rsid w:val="0061498B"/>
    <w:rsid w:val="00614BE0"/>
    <w:rsid w:val="00614FB3"/>
    <w:rsid w:val="00616DCA"/>
    <w:rsid w:val="00620A2A"/>
    <w:rsid w:val="00620A76"/>
    <w:rsid w:val="00620F6F"/>
    <w:rsid w:val="00620F86"/>
    <w:rsid w:val="00621464"/>
    <w:rsid w:val="00621EA1"/>
    <w:rsid w:val="0062276D"/>
    <w:rsid w:val="006234BD"/>
    <w:rsid w:val="00624543"/>
    <w:rsid w:val="0062507D"/>
    <w:rsid w:val="00625167"/>
    <w:rsid w:val="0062534D"/>
    <w:rsid w:val="006300CD"/>
    <w:rsid w:val="006303BE"/>
    <w:rsid w:val="00630A31"/>
    <w:rsid w:val="006314F7"/>
    <w:rsid w:val="00631583"/>
    <w:rsid w:val="006323AD"/>
    <w:rsid w:val="006327F3"/>
    <w:rsid w:val="00632975"/>
    <w:rsid w:val="00632C18"/>
    <w:rsid w:val="0063514E"/>
    <w:rsid w:val="00635FB3"/>
    <w:rsid w:val="006365BE"/>
    <w:rsid w:val="006365C9"/>
    <w:rsid w:val="00636F48"/>
    <w:rsid w:val="00637032"/>
    <w:rsid w:val="0063723E"/>
    <w:rsid w:val="0064042A"/>
    <w:rsid w:val="00640800"/>
    <w:rsid w:val="006428E5"/>
    <w:rsid w:val="00642CF5"/>
    <w:rsid w:val="00642EDF"/>
    <w:rsid w:val="0064455C"/>
    <w:rsid w:val="006450AC"/>
    <w:rsid w:val="00645934"/>
    <w:rsid w:val="006469EC"/>
    <w:rsid w:val="00646AF5"/>
    <w:rsid w:val="0064716F"/>
    <w:rsid w:val="00647591"/>
    <w:rsid w:val="00647BDA"/>
    <w:rsid w:val="00650BB9"/>
    <w:rsid w:val="00650D0B"/>
    <w:rsid w:val="006515A0"/>
    <w:rsid w:val="00651919"/>
    <w:rsid w:val="00652B15"/>
    <w:rsid w:val="00655AF7"/>
    <w:rsid w:val="006576B6"/>
    <w:rsid w:val="00661349"/>
    <w:rsid w:val="00661FEB"/>
    <w:rsid w:val="00662254"/>
    <w:rsid w:val="00662AF4"/>
    <w:rsid w:val="00663557"/>
    <w:rsid w:val="00664F63"/>
    <w:rsid w:val="0066595E"/>
    <w:rsid w:val="00666989"/>
    <w:rsid w:val="00666D91"/>
    <w:rsid w:val="00666FB7"/>
    <w:rsid w:val="00667103"/>
    <w:rsid w:val="006706D3"/>
    <w:rsid w:val="006706F9"/>
    <w:rsid w:val="0067192C"/>
    <w:rsid w:val="0067230C"/>
    <w:rsid w:val="00674248"/>
    <w:rsid w:val="00674380"/>
    <w:rsid w:val="00680769"/>
    <w:rsid w:val="00680E48"/>
    <w:rsid w:val="00682767"/>
    <w:rsid w:val="00684A8E"/>
    <w:rsid w:val="0068569A"/>
    <w:rsid w:val="00685802"/>
    <w:rsid w:val="006860A0"/>
    <w:rsid w:val="006904E0"/>
    <w:rsid w:val="00690E98"/>
    <w:rsid w:val="00692994"/>
    <w:rsid w:val="00692DBD"/>
    <w:rsid w:val="00694158"/>
    <w:rsid w:val="00695735"/>
    <w:rsid w:val="006973F0"/>
    <w:rsid w:val="006A0208"/>
    <w:rsid w:val="006A09B5"/>
    <w:rsid w:val="006A09F9"/>
    <w:rsid w:val="006A0C62"/>
    <w:rsid w:val="006A0E35"/>
    <w:rsid w:val="006A17F2"/>
    <w:rsid w:val="006A3D50"/>
    <w:rsid w:val="006A41A2"/>
    <w:rsid w:val="006A4AAC"/>
    <w:rsid w:val="006A5BAB"/>
    <w:rsid w:val="006A614D"/>
    <w:rsid w:val="006A7D5F"/>
    <w:rsid w:val="006B0AC3"/>
    <w:rsid w:val="006B10F4"/>
    <w:rsid w:val="006B200D"/>
    <w:rsid w:val="006B27F8"/>
    <w:rsid w:val="006B3FDA"/>
    <w:rsid w:val="006B4ED8"/>
    <w:rsid w:val="006B52B0"/>
    <w:rsid w:val="006B6319"/>
    <w:rsid w:val="006B658D"/>
    <w:rsid w:val="006B6DA4"/>
    <w:rsid w:val="006B73B3"/>
    <w:rsid w:val="006C120F"/>
    <w:rsid w:val="006C1C0D"/>
    <w:rsid w:val="006C1E92"/>
    <w:rsid w:val="006C2209"/>
    <w:rsid w:val="006C23CC"/>
    <w:rsid w:val="006C3F15"/>
    <w:rsid w:val="006C444E"/>
    <w:rsid w:val="006C5D91"/>
    <w:rsid w:val="006C6708"/>
    <w:rsid w:val="006C6BF5"/>
    <w:rsid w:val="006C6ECF"/>
    <w:rsid w:val="006C76D5"/>
    <w:rsid w:val="006D09D9"/>
    <w:rsid w:val="006D0A05"/>
    <w:rsid w:val="006D12D4"/>
    <w:rsid w:val="006D1754"/>
    <w:rsid w:val="006D2274"/>
    <w:rsid w:val="006D2BE8"/>
    <w:rsid w:val="006D3334"/>
    <w:rsid w:val="006D3B09"/>
    <w:rsid w:val="006D4835"/>
    <w:rsid w:val="006E208C"/>
    <w:rsid w:val="006E41CA"/>
    <w:rsid w:val="006E4992"/>
    <w:rsid w:val="006E5325"/>
    <w:rsid w:val="006E7722"/>
    <w:rsid w:val="006E7900"/>
    <w:rsid w:val="006E7F3C"/>
    <w:rsid w:val="006F0106"/>
    <w:rsid w:val="006F0204"/>
    <w:rsid w:val="006F08E2"/>
    <w:rsid w:val="006F269C"/>
    <w:rsid w:val="006F31D3"/>
    <w:rsid w:val="006F384B"/>
    <w:rsid w:val="006F486C"/>
    <w:rsid w:val="006F4D9B"/>
    <w:rsid w:val="006F559B"/>
    <w:rsid w:val="006F61BF"/>
    <w:rsid w:val="006F635A"/>
    <w:rsid w:val="00702E6A"/>
    <w:rsid w:val="00704038"/>
    <w:rsid w:val="00704E06"/>
    <w:rsid w:val="00705105"/>
    <w:rsid w:val="0070526F"/>
    <w:rsid w:val="00706D20"/>
    <w:rsid w:val="007076FF"/>
    <w:rsid w:val="00710A6E"/>
    <w:rsid w:val="00712291"/>
    <w:rsid w:val="00712B84"/>
    <w:rsid w:val="00712C23"/>
    <w:rsid w:val="007158EA"/>
    <w:rsid w:val="00721CC6"/>
    <w:rsid w:val="0072288A"/>
    <w:rsid w:val="0072406E"/>
    <w:rsid w:val="0072489E"/>
    <w:rsid w:val="00725203"/>
    <w:rsid w:val="007260D9"/>
    <w:rsid w:val="00732989"/>
    <w:rsid w:val="00734FE1"/>
    <w:rsid w:val="0073604A"/>
    <w:rsid w:val="00737A18"/>
    <w:rsid w:val="007430F0"/>
    <w:rsid w:val="00744096"/>
    <w:rsid w:val="007476C3"/>
    <w:rsid w:val="00747C80"/>
    <w:rsid w:val="0075333D"/>
    <w:rsid w:val="00755F29"/>
    <w:rsid w:val="007569A7"/>
    <w:rsid w:val="00756C35"/>
    <w:rsid w:val="00757E05"/>
    <w:rsid w:val="0076032B"/>
    <w:rsid w:val="007627B5"/>
    <w:rsid w:val="00762F79"/>
    <w:rsid w:val="00763B7C"/>
    <w:rsid w:val="00764D7C"/>
    <w:rsid w:val="00764E9B"/>
    <w:rsid w:val="00766081"/>
    <w:rsid w:val="0076703D"/>
    <w:rsid w:val="00773BBB"/>
    <w:rsid w:val="00774CAD"/>
    <w:rsid w:val="0077698C"/>
    <w:rsid w:val="00776CD9"/>
    <w:rsid w:val="00776F23"/>
    <w:rsid w:val="007805FD"/>
    <w:rsid w:val="00782AA3"/>
    <w:rsid w:val="00783CA7"/>
    <w:rsid w:val="00784306"/>
    <w:rsid w:val="00786FDD"/>
    <w:rsid w:val="0078786D"/>
    <w:rsid w:val="0079235A"/>
    <w:rsid w:val="0079315F"/>
    <w:rsid w:val="0079341D"/>
    <w:rsid w:val="0079441F"/>
    <w:rsid w:val="007945C0"/>
    <w:rsid w:val="007945EB"/>
    <w:rsid w:val="00795187"/>
    <w:rsid w:val="00795325"/>
    <w:rsid w:val="007953D4"/>
    <w:rsid w:val="007954CB"/>
    <w:rsid w:val="0079550E"/>
    <w:rsid w:val="007960B6"/>
    <w:rsid w:val="00797A39"/>
    <w:rsid w:val="00797AD2"/>
    <w:rsid w:val="007A0A9A"/>
    <w:rsid w:val="007A1391"/>
    <w:rsid w:val="007A174A"/>
    <w:rsid w:val="007A3E15"/>
    <w:rsid w:val="007A4E3A"/>
    <w:rsid w:val="007A57B0"/>
    <w:rsid w:val="007A6588"/>
    <w:rsid w:val="007B08A0"/>
    <w:rsid w:val="007B1B8E"/>
    <w:rsid w:val="007B558F"/>
    <w:rsid w:val="007B5A92"/>
    <w:rsid w:val="007B5B17"/>
    <w:rsid w:val="007B6998"/>
    <w:rsid w:val="007C05C5"/>
    <w:rsid w:val="007C0715"/>
    <w:rsid w:val="007C3D8F"/>
    <w:rsid w:val="007C45B4"/>
    <w:rsid w:val="007C472D"/>
    <w:rsid w:val="007C57E2"/>
    <w:rsid w:val="007C68E6"/>
    <w:rsid w:val="007C6CB5"/>
    <w:rsid w:val="007C7DD4"/>
    <w:rsid w:val="007D103A"/>
    <w:rsid w:val="007D172D"/>
    <w:rsid w:val="007D228A"/>
    <w:rsid w:val="007D541B"/>
    <w:rsid w:val="007D56DB"/>
    <w:rsid w:val="007D57D7"/>
    <w:rsid w:val="007D7E76"/>
    <w:rsid w:val="007E0713"/>
    <w:rsid w:val="007E0C2E"/>
    <w:rsid w:val="007E14E1"/>
    <w:rsid w:val="007E1D34"/>
    <w:rsid w:val="007E212E"/>
    <w:rsid w:val="007E35DE"/>
    <w:rsid w:val="007E4C20"/>
    <w:rsid w:val="007E5203"/>
    <w:rsid w:val="007E6876"/>
    <w:rsid w:val="007E763E"/>
    <w:rsid w:val="007F0D37"/>
    <w:rsid w:val="007F194E"/>
    <w:rsid w:val="007F3A40"/>
    <w:rsid w:val="007F3B1B"/>
    <w:rsid w:val="007F3DB5"/>
    <w:rsid w:val="007F541D"/>
    <w:rsid w:val="007F5691"/>
    <w:rsid w:val="007F5780"/>
    <w:rsid w:val="007F5E50"/>
    <w:rsid w:val="007F61BA"/>
    <w:rsid w:val="00800B9C"/>
    <w:rsid w:val="008019FF"/>
    <w:rsid w:val="00801C15"/>
    <w:rsid w:val="00802B79"/>
    <w:rsid w:val="00803648"/>
    <w:rsid w:val="008054E1"/>
    <w:rsid w:val="00806B1A"/>
    <w:rsid w:val="00813A81"/>
    <w:rsid w:val="00814D97"/>
    <w:rsid w:val="00817097"/>
    <w:rsid w:val="008178B7"/>
    <w:rsid w:val="00817C06"/>
    <w:rsid w:val="008204F0"/>
    <w:rsid w:val="0082273D"/>
    <w:rsid w:val="008232B7"/>
    <w:rsid w:val="00824571"/>
    <w:rsid w:val="00825F7B"/>
    <w:rsid w:val="00826582"/>
    <w:rsid w:val="00826862"/>
    <w:rsid w:val="00827160"/>
    <w:rsid w:val="0082757E"/>
    <w:rsid w:val="00827F7D"/>
    <w:rsid w:val="00830095"/>
    <w:rsid w:val="00830AFA"/>
    <w:rsid w:val="0083108F"/>
    <w:rsid w:val="0083262C"/>
    <w:rsid w:val="00832B1E"/>
    <w:rsid w:val="00832BD5"/>
    <w:rsid w:val="00833740"/>
    <w:rsid w:val="00833F2D"/>
    <w:rsid w:val="008341E5"/>
    <w:rsid w:val="00836300"/>
    <w:rsid w:val="00840169"/>
    <w:rsid w:val="008406FC"/>
    <w:rsid w:val="00840E7B"/>
    <w:rsid w:val="0084194C"/>
    <w:rsid w:val="00842F3F"/>
    <w:rsid w:val="00844010"/>
    <w:rsid w:val="00845802"/>
    <w:rsid w:val="00847791"/>
    <w:rsid w:val="00847ED1"/>
    <w:rsid w:val="00850DA3"/>
    <w:rsid w:val="00852353"/>
    <w:rsid w:val="00852C14"/>
    <w:rsid w:val="00852E95"/>
    <w:rsid w:val="008543F9"/>
    <w:rsid w:val="00854508"/>
    <w:rsid w:val="0085459D"/>
    <w:rsid w:val="00854ECF"/>
    <w:rsid w:val="00855542"/>
    <w:rsid w:val="00855775"/>
    <w:rsid w:val="0085606E"/>
    <w:rsid w:val="008569CC"/>
    <w:rsid w:val="00856D29"/>
    <w:rsid w:val="00857449"/>
    <w:rsid w:val="00857D45"/>
    <w:rsid w:val="00860DCB"/>
    <w:rsid w:val="00862B38"/>
    <w:rsid w:val="00866752"/>
    <w:rsid w:val="00866D27"/>
    <w:rsid w:val="008707B1"/>
    <w:rsid w:val="008720A3"/>
    <w:rsid w:val="008735B2"/>
    <w:rsid w:val="0087387F"/>
    <w:rsid w:val="00873A39"/>
    <w:rsid w:val="00874A19"/>
    <w:rsid w:val="0087655A"/>
    <w:rsid w:val="00876871"/>
    <w:rsid w:val="00877B4B"/>
    <w:rsid w:val="00877F27"/>
    <w:rsid w:val="008800E4"/>
    <w:rsid w:val="008801E4"/>
    <w:rsid w:val="0088168F"/>
    <w:rsid w:val="008822BD"/>
    <w:rsid w:val="00883475"/>
    <w:rsid w:val="008844D8"/>
    <w:rsid w:val="008844DD"/>
    <w:rsid w:val="00884A20"/>
    <w:rsid w:val="00884D4F"/>
    <w:rsid w:val="0088587F"/>
    <w:rsid w:val="00885B11"/>
    <w:rsid w:val="00886E5C"/>
    <w:rsid w:val="00890A54"/>
    <w:rsid w:val="00891690"/>
    <w:rsid w:val="00891D68"/>
    <w:rsid w:val="008955C1"/>
    <w:rsid w:val="0089639E"/>
    <w:rsid w:val="00896962"/>
    <w:rsid w:val="00897FD7"/>
    <w:rsid w:val="008A1723"/>
    <w:rsid w:val="008A17E1"/>
    <w:rsid w:val="008A1939"/>
    <w:rsid w:val="008A1946"/>
    <w:rsid w:val="008A2C65"/>
    <w:rsid w:val="008A5343"/>
    <w:rsid w:val="008A64D3"/>
    <w:rsid w:val="008A7967"/>
    <w:rsid w:val="008A7EAB"/>
    <w:rsid w:val="008B08EF"/>
    <w:rsid w:val="008B5A66"/>
    <w:rsid w:val="008B6068"/>
    <w:rsid w:val="008B6644"/>
    <w:rsid w:val="008B7502"/>
    <w:rsid w:val="008B7764"/>
    <w:rsid w:val="008C0AB5"/>
    <w:rsid w:val="008C1797"/>
    <w:rsid w:val="008C248E"/>
    <w:rsid w:val="008C4C36"/>
    <w:rsid w:val="008C522B"/>
    <w:rsid w:val="008C57D3"/>
    <w:rsid w:val="008C6606"/>
    <w:rsid w:val="008C7BA8"/>
    <w:rsid w:val="008D150A"/>
    <w:rsid w:val="008D157D"/>
    <w:rsid w:val="008D29C7"/>
    <w:rsid w:val="008D3E8C"/>
    <w:rsid w:val="008D48BC"/>
    <w:rsid w:val="008D4E96"/>
    <w:rsid w:val="008D5F0D"/>
    <w:rsid w:val="008D631D"/>
    <w:rsid w:val="008D70CB"/>
    <w:rsid w:val="008D70CF"/>
    <w:rsid w:val="008D73F1"/>
    <w:rsid w:val="008D7565"/>
    <w:rsid w:val="008E0DCB"/>
    <w:rsid w:val="008E2053"/>
    <w:rsid w:val="008E3258"/>
    <w:rsid w:val="008E4D31"/>
    <w:rsid w:val="008E5955"/>
    <w:rsid w:val="008E7DED"/>
    <w:rsid w:val="008F05BA"/>
    <w:rsid w:val="008F091B"/>
    <w:rsid w:val="008F1178"/>
    <w:rsid w:val="008F1879"/>
    <w:rsid w:val="008F19DD"/>
    <w:rsid w:val="008F2593"/>
    <w:rsid w:val="008F29D0"/>
    <w:rsid w:val="008F3AB0"/>
    <w:rsid w:val="008F499E"/>
    <w:rsid w:val="008F4DCB"/>
    <w:rsid w:val="008F6B1F"/>
    <w:rsid w:val="008F6B2F"/>
    <w:rsid w:val="008F7DCA"/>
    <w:rsid w:val="00901675"/>
    <w:rsid w:val="009019F2"/>
    <w:rsid w:val="00903DE3"/>
    <w:rsid w:val="009050C5"/>
    <w:rsid w:val="009053DD"/>
    <w:rsid w:val="009106A3"/>
    <w:rsid w:val="00910E72"/>
    <w:rsid w:val="00910E86"/>
    <w:rsid w:val="00911B50"/>
    <w:rsid w:val="00912C51"/>
    <w:rsid w:val="00912D1D"/>
    <w:rsid w:val="009130D6"/>
    <w:rsid w:val="00913778"/>
    <w:rsid w:val="00914A7D"/>
    <w:rsid w:val="00915A16"/>
    <w:rsid w:val="00915EA4"/>
    <w:rsid w:val="00923737"/>
    <w:rsid w:val="0092740E"/>
    <w:rsid w:val="009301A5"/>
    <w:rsid w:val="009332C0"/>
    <w:rsid w:val="009332C4"/>
    <w:rsid w:val="00933757"/>
    <w:rsid w:val="0093412D"/>
    <w:rsid w:val="009347FB"/>
    <w:rsid w:val="00934DF9"/>
    <w:rsid w:val="00935806"/>
    <w:rsid w:val="009359CF"/>
    <w:rsid w:val="0094094A"/>
    <w:rsid w:val="00940DEE"/>
    <w:rsid w:val="00942318"/>
    <w:rsid w:val="0094238D"/>
    <w:rsid w:val="00942451"/>
    <w:rsid w:val="00942BDD"/>
    <w:rsid w:val="009459CE"/>
    <w:rsid w:val="00945C9E"/>
    <w:rsid w:val="0094742C"/>
    <w:rsid w:val="00947B8F"/>
    <w:rsid w:val="00947C61"/>
    <w:rsid w:val="00947EE4"/>
    <w:rsid w:val="00953DF7"/>
    <w:rsid w:val="009548EC"/>
    <w:rsid w:val="00954DF2"/>
    <w:rsid w:val="0095778D"/>
    <w:rsid w:val="00957AFC"/>
    <w:rsid w:val="00957C43"/>
    <w:rsid w:val="00960D10"/>
    <w:rsid w:val="00961799"/>
    <w:rsid w:val="00964A5E"/>
    <w:rsid w:val="0096614B"/>
    <w:rsid w:val="00966B20"/>
    <w:rsid w:val="00967E82"/>
    <w:rsid w:val="009705E6"/>
    <w:rsid w:val="00972796"/>
    <w:rsid w:val="009753F4"/>
    <w:rsid w:val="00976538"/>
    <w:rsid w:val="00976BCE"/>
    <w:rsid w:val="00976F3D"/>
    <w:rsid w:val="00977B90"/>
    <w:rsid w:val="00980090"/>
    <w:rsid w:val="00980ADA"/>
    <w:rsid w:val="00980CDD"/>
    <w:rsid w:val="0098106F"/>
    <w:rsid w:val="00981B17"/>
    <w:rsid w:val="009822DA"/>
    <w:rsid w:val="00982F2F"/>
    <w:rsid w:val="00983218"/>
    <w:rsid w:val="00983A54"/>
    <w:rsid w:val="00983D62"/>
    <w:rsid w:val="009840E2"/>
    <w:rsid w:val="00984AD1"/>
    <w:rsid w:val="00984B24"/>
    <w:rsid w:val="00984E64"/>
    <w:rsid w:val="00985B94"/>
    <w:rsid w:val="00985CE9"/>
    <w:rsid w:val="0099134B"/>
    <w:rsid w:val="00991C09"/>
    <w:rsid w:val="00992145"/>
    <w:rsid w:val="00993BF2"/>
    <w:rsid w:val="00993E13"/>
    <w:rsid w:val="009A0F56"/>
    <w:rsid w:val="009A11E3"/>
    <w:rsid w:val="009A447B"/>
    <w:rsid w:val="009A49F0"/>
    <w:rsid w:val="009B00A3"/>
    <w:rsid w:val="009B169A"/>
    <w:rsid w:val="009B21C3"/>
    <w:rsid w:val="009B227A"/>
    <w:rsid w:val="009B2A31"/>
    <w:rsid w:val="009B49A6"/>
    <w:rsid w:val="009B6B8C"/>
    <w:rsid w:val="009C045C"/>
    <w:rsid w:val="009C06BC"/>
    <w:rsid w:val="009C07AF"/>
    <w:rsid w:val="009C0DB6"/>
    <w:rsid w:val="009C285E"/>
    <w:rsid w:val="009C3C44"/>
    <w:rsid w:val="009C5C45"/>
    <w:rsid w:val="009C7067"/>
    <w:rsid w:val="009C70CE"/>
    <w:rsid w:val="009C74C9"/>
    <w:rsid w:val="009D12E9"/>
    <w:rsid w:val="009D37AF"/>
    <w:rsid w:val="009D3C2B"/>
    <w:rsid w:val="009D4C7C"/>
    <w:rsid w:val="009D581E"/>
    <w:rsid w:val="009E04A1"/>
    <w:rsid w:val="009E0536"/>
    <w:rsid w:val="009E0A94"/>
    <w:rsid w:val="009E1701"/>
    <w:rsid w:val="009E28CA"/>
    <w:rsid w:val="009E2E90"/>
    <w:rsid w:val="009E356F"/>
    <w:rsid w:val="009E6961"/>
    <w:rsid w:val="009E6DE3"/>
    <w:rsid w:val="009E709A"/>
    <w:rsid w:val="009F124D"/>
    <w:rsid w:val="009F1638"/>
    <w:rsid w:val="009F175F"/>
    <w:rsid w:val="009F39FF"/>
    <w:rsid w:val="009F6C68"/>
    <w:rsid w:val="00A0058A"/>
    <w:rsid w:val="00A00ABA"/>
    <w:rsid w:val="00A00C90"/>
    <w:rsid w:val="00A01F28"/>
    <w:rsid w:val="00A0221C"/>
    <w:rsid w:val="00A02E7F"/>
    <w:rsid w:val="00A02FBA"/>
    <w:rsid w:val="00A03A43"/>
    <w:rsid w:val="00A03AE5"/>
    <w:rsid w:val="00A03B1C"/>
    <w:rsid w:val="00A0512A"/>
    <w:rsid w:val="00A108D0"/>
    <w:rsid w:val="00A11551"/>
    <w:rsid w:val="00A12436"/>
    <w:rsid w:val="00A127AE"/>
    <w:rsid w:val="00A1436A"/>
    <w:rsid w:val="00A146A0"/>
    <w:rsid w:val="00A14BEE"/>
    <w:rsid w:val="00A14E1E"/>
    <w:rsid w:val="00A176B1"/>
    <w:rsid w:val="00A208B2"/>
    <w:rsid w:val="00A20EE2"/>
    <w:rsid w:val="00A229D9"/>
    <w:rsid w:val="00A243A8"/>
    <w:rsid w:val="00A247FB"/>
    <w:rsid w:val="00A251CB"/>
    <w:rsid w:val="00A2634D"/>
    <w:rsid w:val="00A26350"/>
    <w:rsid w:val="00A26E58"/>
    <w:rsid w:val="00A307C4"/>
    <w:rsid w:val="00A32029"/>
    <w:rsid w:val="00A3397C"/>
    <w:rsid w:val="00A33F13"/>
    <w:rsid w:val="00A3400A"/>
    <w:rsid w:val="00A3415D"/>
    <w:rsid w:val="00A357C6"/>
    <w:rsid w:val="00A41147"/>
    <w:rsid w:val="00A411C9"/>
    <w:rsid w:val="00A416B7"/>
    <w:rsid w:val="00A42017"/>
    <w:rsid w:val="00A45C44"/>
    <w:rsid w:val="00A46406"/>
    <w:rsid w:val="00A47D35"/>
    <w:rsid w:val="00A50E64"/>
    <w:rsid w:val="00A513F7"/>
    <w:rsid w:val="00A5450C"/>
    <w:rsid w:val="00A5539F"/>
    <w:rsid w:val="00A55887"/>
    <w:rsid w:val="00A56476"/>
    <w:rsid w:val="00A60750"/>
    <w:rsid w:val="00A60910"/>
    <w:rsid w:val="00A60F6B"/>
    <w:rsid w:val="00A6137A"/>
    <w:rsid w:val="00A616F5"/>
    <w:rsid w:val="00A620C6"/>
    <w:rsid w:val="00A62C56"/>
    <w:rsid w:val="00A6354B"/>
    <w:rsid w:val="00A63989"/>
    <w:rsid w:val="00A63C4B"/>
    <w:rsid w:val="00A64A03"/>
    <w:rsid w:val="00A657AE"/>
    <w:rsid w:val="00A668FC"/>
    <w:rsid w:val="00A66CD7"/>
    <w:rsid w:val="00A672AD"/>
    <w:rsid w:val="00A67702"/>
    <w:rsid w:val="00A67AD8"/>
    <w:rsid w:val="00A70B86"/>
    <w:rsid w:val="00A7101D"/>
    <w:rsid w:val="00A714FD"/>
    <w:rsid w:val="00A72C6F"/>
    <w:rsid w:val="00A733A6"/>
    <w:rsid w:val="00A733D9"/>
    <w:rsid w:val="00A73986"/>
    <w:rsid w:val="00A7679A"/>
    <w:rsid w:val="00A77544"/>
    <w:rsid w:val="00A8179B"/>
    <w:rsid w:val="00A81EF0"/>
    <w:rsid w:val="00A8470B"/>
    <w:rsid w:val="00A84BCC"/>
    <w:rsid w:val="00A85C74"/>
    <w:rsid w:val="00A86F98"/>
    <w:rsid w:val="00A928FD"/>
    <w:rsid w:val="00A92FB0"/>
    <w:rsid w:val="00A938C0"/>
    <w:rsid w:val="00A93BE1"/>
    <w:rsid w:val="00A94671"/>
    <w:rsid w:val="00A95CC6"/>
    <w:rsid w:val="00A965A5"/>
    <w:rsid w:val="00A9711B"/>
    <w:rsid w:val="00A979DB"/>
    <w:rsid w:val="00A97FB3"/>
    <w:rsid w:val="00AA15FE"/>
    <w:rsid w:val="00AA2A18"/>
    <w:rsid w:val="00AA31AF"/>
    <w:rsid w:val="00AA5674"/>
    <w:rsid w:val="00AA7B1B"/>
    <w:rsid w:val="00AB1A7D"/>
    <w:rsid w:val="00AB251F"/>
    <w:rsid w:val="00AB4AA8"/>
    <w:rsid w:val="00AB65EF"/>
    <w:rsid w:val="00AB6B61"/>
    <w:rsid w:val="00AC0075"/>
    <w:rsid w:val="00AC0C3F"/>
    <w:rsid w:val="00AC1BB8"/>
    <w:rsid w:val="00AC516A"/>
    <w:rsid w:val="00AC6A3D"/>
    <w:rsid w:val="00AD023B"/>
    <w:rsid w:val="00AD0446"/>
    <w:rsid w:val="00AD0B7A"/>
    <w:rsid w:val="00AD1C21"/>
    <w:rsid w:val="00AD21CC"/>
    <w:rsid w:val="00AD24F9"/>
    <w:rsid w:val="00AD337C"/>
    <w:rsid w:val="00AD380B"/>
    <w:rsid w:val="00AD61B8"/>
    <w:rsid w:val="00AD74AF"/>
    <w:rsid w:val="00AD7816"/>
    <w:rsid w:val="00AE1069"/>
    <w:rsid w:val="00AE26EC"/>
    <w:rsid w:val="00AE2E1C"/>
    <w:rsid w:val="00AE3881"/>
    <w:rsid w:val="00AE3A19"/>
    <w:rsid w:val="00AE3DEE"/>
    <w:rsid w:val="00AE4835"/>
    <w:rsid w:val="00AE4A1C"/>
    <w:rsid w:val="00AE65A4"/>
    <w:rsid w:val="00AE7122"/>
    <w:rsid w:val="00AE71CD"/>
    <w:rsid w:val="00AE7A0B"/>
    <w:rsid w:val="00AE7A6A"/>
    <w:rsid w:val="00AF0151"/>
    <w:rsid w:val="00AF0308"/>
    <w:rsid w:val="00AF1830"/>
    <w:rsid w:val="00AF1E46"/>
    <w:rsid w:val="00AF21B5"/>
    <w:rsid w:val="00AF2899"/>
    <w:rsid w:val="00AF30C8"/>
    <w:rsid w:val="00AF4000"/>
    <w:rsid w:val="00AF6A26"/>
    <w:rsid w:val="00B00681"/>
    <w:rsid w:val="00B053F2"/>
    <w:rsid w:val="00B05B9C"/>
    <w:rsid w:val="00B05FB6"/>
    <w:rsid w:val="00B06B10"/>
    <w:rsid w:val="00B07ADE"/>
    <w:rsid w:val="00B105F7"/>
    <w:rsid w:val="00B11783"/>
    <w:rsid w:val="00B11A19"/>
    <w:rsid w:val="00B127DF"/>
    <w:rsid w:val="00B13248"/>
    <w:rsid w:val="00B13672"/>
    <w:rsid w:val="00B14485"/>
    <w:rsid w:val="00B15BF3"/>
    <w:rsid w:val="00B1737C"/>
    <w:rsid w:val="00B255D2"/>
    <w:rsid w:val="00B2632F"/>
    <w:rsid w:val="00B3194E"/>
    <w:rsid w:val="00B326F8"/>
    <w:rsid w:val="00B32FE4"/>
    <w:rsid w:val="00B33B12"/>
    <w:rsid w:val="00B34D79"/>
    <w:rsid w:val="00B34EEF"/>
    <w:rsid w:val="00B3524B"/>
    <w:rsid w:val="00B353B7"/>
    <w:rsid w:val="00B35E6D"/>
    <w:rsid w:val="00B36C4E"/>
    <w:rsid w:val="00B36E70"/>
    <w:rsid w:val="00B36FD9"/>
    <w:rsid w:val="00B37897"/>
    <w:rsid w:val="00B40B8C"/>
    <w:rsid w:val="00B41930"/>
    <w:rsid w:val="00B4225C"/>
    <w:rsid w:val="00B43AC7"/>
    <w:rsid w:val="00B4453B"/>
    <w:rsid w:val="00B44790"/>
    <w:rsid w:val="00B44A5A"/>
    <w:rsid w:val="00B45054"/>
    <w:rsid w:val="00B4558D"/>
    <w:rsid w:val="00B457FA"/>
    <w:rsid w:val="00B46573"/>
    <w:rsid w:val="00B47E2A"/>
    <w:rsid w:val="00B5072F"/>
    <w:rsid w:val="00B50DCA"/>
    <w:rsid w:val="00B51BC5"/>
    <w:rsid w:val="00B5357D"/>
    <w:rsid w:val="00B5450D"/>
    <w:rsid w:val="00B575A5"/>
    <w:rsid w:val="00B57B07"/>
    <w:rsid w:val="00B57C89"/>
    <w:rsid w:val="00B62753"/>
    <w:rsid w:val="00B62ECA"/>
    <w:rsid w:val="00B63191"/>
    <w:rsid w:val="00B644D7"/>
    <w:rsid w:val="00B64898"/>
    <w:rsid w:val="00B649E7"/>
    <w:rsid w:val="00B65188"/>
    <w:rsid w:val="00B653B1"/>
    <w:rsid w:val="00B6663E"/>
    <w:rsid w:val="00B66A6A"/>
    <w:rsid w:val="00B673DA"/>
    <w:rsid w:val="00B6743D"/>
    <w:rsid w:val="00B67DC2"/>
    <w:rsid w:val="00B710CA"/>
    <w:rsid w:val="00B7228E"/>
    <w:rsid w:val="00B724BC"/>
    <w:rsid w:val="00B72BE1"/>
    <w:rsid w:val="00B730DF"/>
    <w:rsid w:val="00B748C3"/>
    <w:rsid w:val="00B74D9F"/>
    <w:rsid w:val="00B7578C"/>
    <w:rsid w:val="00B75E9A"/>
    <w:rsid w:val="00B75F7E"/>
    <w:rsid w:val="00B773E8"/>
    <w:rsid w:val="00B77530"/>
    <w:rsid w:val="00B7775B"/>
    <w:rsid w:val="00B80E56"/>
    <w:rsid w:val="00B824B9"/>
    <w:rsid w:val="00B835E6"/>
    <w:rsid w:val="00B840A1"/>
    <w:rsid w:val="00B842A9"/>
    <w:rsid w:val="00B8509A"/>
    <w:rsid w:val="00B8537C"/>
    <w:rsid w:val="00B85FF1"/>
    <w:rsid w:val="00B900F7"/>
    <w:rsid w:val="00B9113D"/>
    <w:rsid w:val="00B914C5"/>
    <w:rsid w:val="00B92F9C"/>
    <w:rsid w:val="00B93E12"/>
    <w:rsid w:val="00B9494B"/>
    <w:rsid w:val="00B94A86"/>
    <w:rsid w:val="00B94B99"/>
    <w:rsid w:val="00B95169"/>
    <w:rsid w:val="00B9628B"/>
    <w:rsid w:val="00BA0857"/>
    <w:rsid w:val="00BA0A01"/>
    <w:rsid w:val="00BA0AAD"/>
    <w:rsid w:val="00BA1045"/>
    <w:rsid w:val="00BA16B9"/>
    <w:rsid w:val="00BA363B"/>
    <w:rsid w:val="00BA4565"/>
    <w:rsid w:val="00BA5C15"/>
    <w:rsid w:val="00BA6493"/>
    <w:rsid w:val="00BA6AFE"/>
    <w:rsid w:val="00BA76D4"/>
    <w:rsid w:val="00BA778A"/>
    <w:rsid w:val="00BA7BB2"/>
    <w:rsid w:val="00BA7CBE"/>
    <w:rsid w:val="00BB06BA"/>
    <w:rsid w:val="00BB1255"/>
    <w:rsid w:val="00BB12CD"/>
    <w:rsid w:val="00BB154E"/>
    <w:rsid w:val="00BB1B77"/>
    <w:rsid w:val="00BB1F3B"/>
    <w:rsid w:val="00BB587D"/>
    <w:rsid w:val="00BB5F4B"/>
    <w:rsid w:val="00BB799C"/>
    <w:rsid w:val="00BC2F57"/>
    <w:rsid w:val="00BC53DA"/>
    <w:rsid w:val="00BC748D"/>
    <w:rsid w:val="00BC7A2C"/>
    <w:rsid w:val="00BD20B5"/>
    <w:rsid w:val="00BD2F73"/>
    <w:rsid w:val="00BD39FE"/>
    <w:rsid w:val="00BD4649"/>
    <w:rsid w:val="00BD54B7"/>
    <w:rsid w:val="00BD77E7"/>
    <w:rsid w:val="00BE008C"/>
    <w:rsid w:val="00BE2299"/>
    <w:rsid w:val="00BE3486"/>
    <w:rsid w:val="00BE3E3C"/>
    <w:rsid w:val="00BE5AA9"/>
    <w:rsid w:val="00BE6337"/>
    <w:rsid w:val="00BE6C63"/>
    <w:rsid w:val="00BF0858"/>
    <w:rsid w:val="00BF107E"/>
    <w:rsid w:val="00BF1242"/>
    <w:rsid w:val="00BF1C3D"/>
    <w:rsid w:val="00BF337A"/>
    <w:rsid w:val="00BF78DC"/>
    <w:rsid w:val="00BF7E62"/>
    <w:rsid w:val="00C01A16"/>
    <w:rsid w:val="00C02A4D"/>
    <w:rsid w:val="00C0512A"/>
    <w:rsid w:val="00C10D3C"/>
    <w:rsid w:val="00C11821"/>
    <w:rsid w:val="00C135CE"/>
    <w:rsid w:val="00C14DCD"/>
    <w:rsid w:val="00C150C2"/>
    <w:rsid w:val="00C160BE"/>
    <w:rsid w:val="00C16F5E"/>
    <w:rsid w:val="00C17351"/>
    <w:rsid w:val="00C17858"/>
    <w:rsid w:val="00C178D4"/>
    <w:rsid w:val="00C20355"/>
    <w:rsid w:val="00C2064E"/>
    <w:rsid w:val="00C21257"/>
    <w:rsid w:val="00C21F11"/>
    <w:rsid w:val="00C21F8E"/>
    <w:rsid w:val="00C22458"/>
    <w:rsid w:val="00C22543"/>
    <w:rsid w:val="00C22B93"/>
    <w:rsid w:val="00C23270"/>
    <w:rsid w:val="00C24187"/>
    <w:rsid w:val="00C2453A"/>
    <w:rsid w:val="00C24D29"/>
    <w:rsid w:val="00C26194"/>
    <w:rsid w:val="00C26794"/>
    <w:rsid w:val="00C2788E"/>
    <w:rsid w:val="00C34B95"/>
    <w:rsid w:val="00C36139"/>
    <w:rsid w:val="00C37726"/>
    <w:rsid w:val="00C401F2"/>
    <w:rsid w:val="00C40311"/>
    <w:rsid w:val="00C40E5F"/>
    <w:rsid w:val="00C4128A"/>
    <w:rsid w:val="00C42967"/>
    <w:rsid w:val="00C44BA9"/>
    <w:rsid w:val="00C469F4"/>
    <w:rsid w:val="00C47204"/>
    <w:rsid w:val="00C47462"/>
    <w:rsid w:val="00C47F7E"/>
    <w:rsid w:val="00C50108"/>
    <w:rsid w:val="00C507E5"/>
    <w:rsid w:val="00C519FE"/>
    <w:rsid w:val="00C51D1F"/>
    <w:rsid w:val="00C5207C"/>
    <w:rsid w:val="00C54400"/>
    <w:rsid w:val="00C557A6"/>
    <w:rsid w:val="00C61053"/>
    <w:rsid w:val="00C61107"/>
    <w:rsid w:val="00C635C4"/>
    <w:rsid w:val="00C63BFC"/>
    <w:rsid w:val="00C6511E"/>
    <w:rsid w:val="00C65413"/>
    <w:rsid w:val="00C65DA1"/>
    <w:rsid w:val="00C66339"/>
    <w:rsid w:val="00C700B2"/>
    <w:rsid w:val="00C707A6"/>
    <w:rsid w:val="00C748F7"/>
    <w:rsid w:val="00C7617D"/>
    <w:rsid w:val="00C76230"/>
    <w:rsid w:val="00C77375"/>
    <w:rsid w:val="00C80825"/>
    <w:rsid w:val="00C80FB0"/>
    <w:rsid w:val="00C83AF8"/>
    <w:rsid w:val="00C86501"/>
    <w:rsid w:val="00C872B4"/>
    <w:rsid w:val="00C8734B"/>
    <w:rsid w:val="00C877DB"/>
    <w:rsid w:val="00C87BBA"/>
    <w:rsid w:val="00C906F1"/>
    <w:rsid w:val="00C93023"/>
    <w:rsid w:val="00C948A1"/>
    <w:rsid w:val="00C94E07"/>
    <w:rsid w:val="00C96652"/>
    <w:rsid w:val="00C96746"/>
    <w:rsid w:val="00CA0431"/>
    <w:rsid w:val="00CA1AEC"/>
    <w:rsid w:val="00CA25A9"/>
    <w:rsid w:val="00CA40D5"/>
    <w:rsid w:val="00CA51C0"/>
    <w:rsid w:val="00CA639B"/>
    <w:rsid w:val="00CA64A8"/>
    <w:rsid w:val="00CA6CC1"/>
    <w:rsid w:val="00CA73F0"/>
    <w:rsid w:val="00CB2AB8"/>
    <w:rsid w:val="00CB37FF"/>
    <w:rsid w:val="00CB6063"/>
    <w:rsid w:val="00CB6707"/>
    <w:rsid w:val="00CB73AF"/>
    <w:rsid w:val="00CC1D29"/>
    <w:rsid w:val="00CC30DB"/>
    <w:rsid w:val="00CC35E3"/>
    <w:rsid w:val="00CC360C"/>
    <w:rsid w:val="00CC4EED"/>
    <w:rsid w:val="00CC50B3"/>
    <w:rsid w:val="00CC5264"/>
    <w:rsid w:val="00CC656A"/>
    <w:rsid w:val="00CD1E1F"/>
    <w:rsid w:val="00CD2A1D"/>
    <w:rsid w:val="00CD3B7C"/>
    <w:rsid w:val="00CD45ED"/>
    <w:rsid w:val="00CD469D"/>
    <w:rsid w:val="00CD5878"/>
    <w:rsid w:val="00CD5D18"/>
    <w:rsid w:val="00CD66B1"/>
    <w:rsid w:val="00CD6AD1"/>
    <w:rsid w:val="00CD7526"/>
    <w:rsid w:val="00CD7A5C"/>
    <w:rsid w:val="00CE0EC5"/>
    <w:rsid w:val="00CE1B9A"/>
    <w:rsid w:val="00CE1E69"/>
    <w:rsid w:val="00CE4F4E"/>
    <w:rsid w:val="00CE5253"/>
    <w:rsid w:val="00CE6646"/>
    <w:rsid w:val="00CE72E9"/>
    <w:rsid w:val="00CE7995"/>
    <w:rsid w:val="00CE7C61"/>
    <w:rsid w:val="00CE7DD9"/>
    <w:rsid w:val="00CF0368"/>
    <w:rsid w:val="00CF12A0"/>
    <w:rsid w:val="00CF1C13"/>
    <w:rsid w:val="00CF36F9"/>
    <w:rsid w:val="00CF3CD7"/>
    <w:rsid w:val="00CF40C5"/>
    <w:rsid w:val="00CF5145"/>
    <w:rsid w:val="00CF58D4"/>
    <w:rsid w:val="00CF602D"/>
    <w:rsid w:val="00CF6346"/>
    <w:rsid w:val="00CF703E"/>
    <w:rsid w:val="00CF786E"/>
    <w:rsid w:val="00D0217C"/>
    <w:rsid w:val="00D02217"/>
    <w:rsid w:val="00D02A52"/>
    <w:rsid w:val="00D043F8"/>
    <w:rsid w:val="00D046E2"/>
    <w:rsid w:val="00D05A30"/>
    <w:rsid w:val="00D06750"/>
    <w:rsid w:val="00D06DC7"/>
    <w:rsid w:val="00D07756"/>
    <w:rsid w:val="00D10052"/>
    <w:rsid w:val="00D11252"/>
    <w:rsid w:val="00D139D5"/>
    <w:rsid w:val="00D1415B"/>
    <w:rsid w:val="00D14F04"/>
    <w:rsid w:val="00D15261"/>
    <w:rsid w:val="00D164CE"/>
    <w:rsid w:val="00D166CE"/>
    <w:rsid w:val="00D23027"/>
    <w:rsid w:val="00D2378B"/>
    <w:rsid w:val="00D24232"/>
    <w:rsid w:val="00D242B6"/>
    <w:rsid w:val="00D24DFB"/>
    <w:rsid w:val="00D2554A"/>
    <w:rsid w:val="00D25FF3"/>
    <w:rsid w:val="00D268E3"/>
    <w:rsid w:val="00D302A9"/>
    <w:rsid w:val="00D31A15"/>
    <w:rsid w:val="00D32E35"/>
    <w:rsid w:val="00D335EE"/>
    <w:rsid w:val="00D339C1"/>
    <w:rsid w:val="00D34C0A"/>
    <w:rsid w:val="00D359EF"/>
    <w:rsid w:val="00D360FC"/>
    <w:rsid w:val="00D364DF"/>
    <w:rsid w:val="00D377F7"/>
    <w:rsid w:val="00D40AFF"/>
    <w:rsid w:val="00D40FE8"/>
    <w:rsid w:val="00D41338"/>
    <w:rsid w:val="00D4172E"/>
    <w:rsid w:val="00D41BCA"/>
    <w:rsid w:val="00D42369"/>
    <w:rsid w:val="00D427FA"/>
    <w:rsid w:val="00D43629"/>
    <w:rsid w:val="00D44748"/>
    <w:rsid w:val="00D44DC7"/>
    <w:rsid w:val="00D44DF7"/>
    <w:rsid w:val="00D453B4"/>
    <w:rsid w:val="00D461C2"/>
    <w:rsid w:val="00D4699A"/>
    <w:rsid w:val="00D46BDE"/>
    <w:rsid w:val="00D47345"/>
    <w:rsid w:val="00D47FDE"/>
    <w:rsid w:val="00D501AC"/>
    <w:rsid w:val="00D5090C"/>
    <w:rsid w:val="00D50E27"/>
    <w:rsid w:val="00D516EB"/>
    <w:rsid w:val="00D52CAD"/>
    <w:rsid w:val="00D53716"/>
    <w:rsid w:val="00D559F6"/>
    <w:rsid w:val="00D56782"/>
    <w:rsid w:val="00D57651"/>
    <w:rsid w:val="00D6071E"/>
    <w:rsid w:val="00D6173E"/>
    <w:rsid w:val="00D62CE8"/>
    <w:rsid w:val="00D62FAB"/>
    <w:rsid w:val="00D63BDA"/>
    <w:rsid w:val="00D63CA9"/>
    <w:rsid w:val="00D64572"/>
    <w:rsid w:val="00D66638"/>
    <w:rsid w:val="00D66C54"/>
    <w:rsid w:val="00D71691"/>
    <w:rsid w:val="00D72BDA"/>
    <w:rsid w:val="00D72ED0"/>
    <w:rsid w:val="00D7466F"/>
    <w:rsid w:val="00D75100"/>
    <w:rsid w:val="00D75492"/>
    <w:rsid w:val="00D75EB6"/>
    <w:rsid w:val="00D76102"/>
    <w:rsid w:val="00D76C23"/>
    <w:rsid w:val="00D776E2"/>
    <w:rsid w:val="00D80107"/>
    <w:rsid w:val="00D80C7C"/>
    <w:rsid w:val="00D83771"/>
    <w:rsid w:val="00D86516"/>
    <w:rsid w:val="00D8728A"/>
    <w:rsid w:val="00D90302"/>
    <w:rsid w:val="00D90D92"/>
    <w:rsid w:val="00D910F7"/>
    <w:rsid w:val="00D916BD"/>
    <w:rsid w:val="00D9176E"/>
    <w:rsid w:val="00D92CDC"/>
    <w:rsid w:val="00D93168"/>
    <w:rsid w:val="00D9565F"/>
    <w:rsid w:val="00D95872"/>
    <w:rsid w:val="00D95965"/>
    <w:rsid w:val="00D95D5F"/>
    <w:rsid w:val="00D961CD"/>
    <w:rsid w:val="00D9668A"/>
    <w:rsid w:val="00D971CB"/>
    <w:rsid w:val="00D97B90"/>
    <w:rsid w:val="00DA0806"/>
    <w:rsid w:val="00DA4506"/>
    <w:rsid w:val="00DA4665"/>
    <w:rsid w:val="00DA6563"/>
    <w:rsid w:val="00DA771D"/>
    <w:rsid w:val="00DA7E20"/>
    <w:rsid w:val="00DA7FD2"/>
    <w:rsid w:val="00DB007E"/>
    <w:rsid w:val="00DB00E3"/>
    <w:rsid w:val="00DB1073"/>
    <w:rsid w:val="00DB25B4"/>
    <w:rsid w:val="00DB2B70"/>
    <w:rsid w:val="00DB3E15"/>
    <w:rsid w:val="00DB41A9"/>
    <w:rsid w:val="00DB45B0"/>
    <w:rsid w:val="00DB488A"/>
    <w:rsid w:val="00DB4B47"/>
    <w:rsid w:val="00DB502C"/>
    <w:rsid w:val="00DB7D12"/>
    <w:rsid w:val="00DC0376"/>
    <w:rsid w:val="00DC1092"/>
    <w:rsid w:val="00DC1B06"/>
    <w:rsid w:val="00DC5423"/>
    <w:rsid w:val="00DC677D"/>
    <w:rsid w:val="00DC68EA"/>
    <w:rsid w:val="00DC7070"/>
    <w:rsid w:val="00DC7A9A"/>
    <w:rsid w:val="00DD1B85"/>
    <w:rsid w:val="00DD371A"/>
    <w:rsid w:val="00DD45BA"/>
    <w:rsid w:val="00DD4BBA"/>
    <w:rsid w:val="00DD50D2"/>
    <w:rsid w:val="00DD54DC"/>
    <w:rsid w:val="00DD7532"/>
    <w:rsid w:val="00DD7C9E"/>
    <w:rsid w:val="00DE006E"/>
    <w:rsid w:val="00DE1DE5"/>
    <w:rsid w:val="00DE4885"/>
    <w:rsid w:val="00DE6237"/>
    <w:rsid w:val="00DE6DE4"/>
    <w:rsid w:val="00DE7DCF"/>
    <w:rsid w:val="00DF11AF"/>
    <w:rsid w:val="00DF2616"/>
    <w:rsid w:val="00DF2B14"/>
    <w:rsid w:val="00DF3220"/>
    <w:rsid w:val="00DF38CC"/>
    <w:rsid w:val="00DF3DB5"/>
    <w:rsid w:val="00DF499F"/>
    <w:rsid w:val="00DF551A"/>
    <w:rsid w:val="00DF55A3"/>
    <w:rsid w:val="00DF6AEA"/>
    <w:rsid w:val="00DF71A7"/>
    <w:rsid w:val="00DF755C"/>
    <w:rsid w:val="00DF770D"/>
    <w:rsid w:val="00E00452"/>
    <w:rsid w:val="00E01BCE"/>
    <w:rsid w:val="00E02287"/>
    <w:rsid w:val="00E0393E"/>
    <w:rsid w:val="00E058F6"/>
    <w:rsid w:val="00E0601E"/>
    <w:rsid w:val="00E10808"/>
    <w:rsid w:val="00E11FEE"/>
    <w:rsid w:val="00E12A6F"/>
    <w:rsid w:val="00E13129"/>
    <w:rsid w:val="00E14233"/>
    <w:rsid w:val="00E147FA"/>
    <w:rsid w:val="00E175B6"/>
    <w:rsid w:val="00E17DFC"/>
    <w:rsid w:val="00E20DB4"/>
    <w:rsid w:val="00E20DDC"/>
    <w:rsid w:val="00E22B76"/>
    <w:rsid w:val="00E23350"/>
    <w:rsid w:val="00E23A7B"/>
    <w:rsid w:val="00E26CF4"/>
    <w:rsid w:val="00E27AC1"/>
    <w:rsid w:val="00E30612"/>
    <w:rsid w:val="00E309B2"/>
    <w:rsid w:val="00E3110B"/>
    <w:rsid w:val="00E32BAB"/>
    <w:rsid w:val="00E3304D"/>
    <w:rsid w:val="00E335B6"/>
    <w:rsid w:val="00E3427C"/>
    <w:rsid w:val="00E354E8"/>
    <w:rsid w:val="00E35966"/>
    <w:rsid w:val="00E359F5"/>
    <w:rsid w:val="00E36F64"/>
    <w:rsid w:val="00E4031F"/>
    <w:rsid w:val="00E4041A"/>
    <w:rsid w:val="00E4263C"/>
    <w:rsid w:val="00E43E98"/>
    <w:rsid w:val="00E446AB"/>
    <w:rsid w:val="00E456CF"/>
    <w:rsid w:val="00E45EE4"/>
    <w:rsid w:val="00E4603D"/>
    <w:rsid w:val="00E467E8"/>
    <w:rsid w:val="00E47AC9"/>
    <w:rsid w:val="00E50337"/>
    <w:rsid w:val="00E506BE"/>
    <w:rsid w:val="00E50F1F"/>
    <w:rsid w:val="00E511F0"/>
    <w:rsid w:val="00E52178"/>
    <w:rsid w:val="00E52BD8"/>
    <w:rsid w:val="00E53087"/>
    <w:rsid w:val="00E5478E"/>
    <w:rsid w:val="00E55628"/>
    <w:rsid w:val="00E556E5"/>
    <w:rsid w:val="00E55F9A"/>
    <w:rsid w:val="00E56173"/>
    <w:rsid w:val="00E5713C"/>
    <w:rsid w:val="00E57C44"/>
    <w:rsid w:val="00E607D8"/>
    <w:rsid w:val="00E61C49"/>
    <w:rsid w:val="00E621A3"/>
    <w:rsid w:val="00E622A3"/>
    <w:rsid w:val="00E63483"/>
    <w:rsid w:val="00E634E8"/>
    <w:rsid w:val="00E63A08"/>
    <w:rsid w:val="00E643F3"/>
    <w:rsid w:val="00E644BE"/>
    <w:rsid w:val="00E64A93"/>
    <w:rsid w:val="00E65246"/>
    <w:rsid w:val="00E65AE0"/>
    <w:rsid w:val="00E65BDF"/>
    <w:rsid w:val="00E66FA3"/>
    <w:rsid w:val="00E6704C"/>
    <w:rsid w:val="00E67AE8"/>
    <w:rsid w:val="00E67E3F"/>
    <w:rsid w:val="00E70ED8"/>
    <w:rsid w:val="00E71E75"/>
    <w:rsid w:val="00E727D2"/>
    <w:rsid w:val="00E7399A"/>
    <w:rsid w:val="00E74A61"/>
    <w:rsid w:val="00E74E36"/>
    <w:rsid w:val="00E74F8B"/>
    <w:rsid w:val="00E75CD9"/>
    <w:rsid w:val="00E762D7"/>
    <w:rsid w:val="00E76F39"/>
    <w:rsid w:val="00E77532"/>
    <w:rsid w:val="00E7757A"/>
    <w:rsid w:val="00E80942"/>
    <w:rsid w:val="00E80F85"/>
    <w:rsid w:val="00E812DC"/>
    <w:rsid w:val="00E81F6C"/>
    <w:rsid w:val="00E8227B"/>
    <w:rsid w:val="00E8299F"/>
    <w:rsid w:val="00E82CB3"/>
    <w:rsid w:val="00E83810"/>
    <w:rsid w:val="00E85CAF"/>
    <w:rsid w:val="00E86B99"/>
    <w:rsid w:val="00E86C23"/>
    <w:rsid w:val="00E90204"/>
    <w:rsid w:val="00E92B30"/>
    <w:rsid w:val="00E92C74"/>
    <w:rsid w:val="00E93241"/>
    <w:rsid w:val="00E93385"/>
    <w:rsid w:val="00E933CF"/>
    <w:rsid w:val="00E93E5C"/>
    <w:rsid w:val="00E964A8"/>
    <w:rsid w:val="00E97465"/>
    <w:rsid w:val="00E97706"/>
    <w:rsid w:val="00EA01C6"/>
    <w:rsid w:val="00EA03DC"/>
    <w:rsid w:val="00EA0A6C"/>
    <w:rsid w:val="00EA0BCA"/>
    <w:rsid w:val="00EA1121"/>
    <w:rsid w:val="00EA2758"/>
    <w:rsid w:val="00EA2DC6"/>
    <w:rsid w:val="00EA3B41"/>
    <w:rsid w:val="00EA3F48"/>
    <w:rsid w:val="00EA4653"/>
    <w:rsid w:val="00EA46AB"/>
    <w:rsid w:val="00EA4B3A"/>
    <w:rsid w:val="00EA6D08"/>
    <w:rsid w:val="00EA748F"/>
    <w:rsid w:val="00EA7CF3"/>
    <w:rsid w:val="00EB0D7C"/>
    <w:rsid w:val="00EB59E0"/>
    <w:rsid w:val="00EB7577"/>
    <w:rsid w:val="00EC1D91"/>
    <w:rsid w:val="00EC236D"/>
    <w:rsid w:val="00EC35A7"/>
    <w:rsid w:val="00EC366A"/>
    <w:rsid w:val="00EC3B0A"/>
    <w:rsid w:val="00EC60C8"/>
    <w:rsid w:val="00EC69E2"/>
    <w:rsid w:val="00EC7D26"/>
    <w:rsid w:val="00EC7E5F"/>
    <w:rsid w:val="00ED27E2"/>
    <w:rsid w:val="00ED31A1"/>
    <w:rsid w:val="00ED656B"/>
    <w:rsid w:val="00ED67E3"/>
    <w:rsid w:val="00ED7829"/>
    <w:rsid w:val="00EE04C2"/>
    <w:rsid w:val="00EE0C20"/>
    <w:rsid w:val="00EE1B90"/>
    <w:rsid w:val="00EE270F"/>
    <w:rsid w:val="00EE2864"/>
    <w:rsid w:val="00EE303C"/>
    <w:rsid w:val="00EE480F"/>
    <w:rsid w:val="00EE4A61"/>
    <w:rsid w:val="00EE73AA"/>
    <w:rsid w:val="00EF0FAE"/>
    <w:rsid w:val="00EF143B"/>
    <w:rsid w:val="00EF18D0"/>
    <w:rsid w:val="00EF22BB"/>
    <w:rsid w:val="00EF2538"/>
    <w:rsid w:val="00EF2C7A"/>
    <w:rsid w:val="00EF2E15"/>
    <w:rsid w:val="00EF4AD2"/>
    <w:rsid w:val="00EF4F1F"/>
    <w:rsid w:val="00EF6CD8"/>
    <w:rsid w:val="00F0092B"/>
    <w:rsid w:val="00F0123D"/>
    <w:rsid w:val="00F0150C"/>
    <w:rsid w:val="00F0319A"/>
    <w:rsid w:val="00F0381F"/>
    <w:rsid w:val="00F06B24"/>
    <w:rsid w:val="00F10B6A"/>
    <w:rsid w:val="00F14AEE"/>
    <w:rsid w:val="00F15171"/>
    <w:rsid w:val="00F174B2"/>
    <w:rsid w:val="00F2036E"/>
    <w:rsid w:val="00F20E26"/>
    <w:rsid w:val="00F21C81"/>
    <w:rsid w:val="00F24B15"/>
    <w:rsid w:val="00F250E1"/>
    <w:rsid w:val="00F262EF"/>
    <w:rsid w:val="00F303C2"/>
    <w:rsid w:val="00F31E2F"/>
    <w:rsid w:val="00F3219F"/>
    <w:rsid w:val="00F3346E"/>
    <w:rsid w:val="00F34076"/>
    <w:rsid w:val="00F352F8"/>
    <w:rsid w:val="00F3606C"/>
    <w:rsid w:val="00F3687D"/>
    <w:rsid w:val="00F40471"/>
    <w:rsid w:val="00F4092D"/>
    <w:rsid w:val="00F40B2C"/>
    <w:rsid w:val="00F40C2D"/>
    <w:rsid w:val="00F41903"/>
    <w:rsid w:val="00F41A6C"/>
    <w:rsid w:val="00F4244C"/>
    <w:rsid w:val="00F43094"/>
    <w:rsid w:val="00F43162"/>
    <w:rsid w:val="00F43829"/>
    <w:rsid w:val="00F458B3"/>
    <w:rsid w:val="00F45BA1"/>
    <w:rsid w:val="00F45CE9"/>
    <w:rsid w:val="00F4689C"/>
    <w:rsid w:val="00F468CC"/>
    <w:rsid w:val="00F50568"/>
    <w:rsid w:val="00F5270A"/>
    <w:rsid w:val="00F52FCC"/>
    <w:rsid w:val="00F55490"/>
    <w:rsid w:val="00F56507"/>
    <w:rsid w:val="00F57457"/>
    <w:rsid w:val="00F60681"/>
    <w:rsid w:val="00F6086E"/>
    <w:rsid w:val="00F61192"/>
    <w:rsid w:val="00F617B8"/>
    <w:rsid w:val="00F6276F"/>
    <w:rsid w:val="00F6523F"/>
    <w:rsid w:val="00F65BF1"/>
    <w:rsid w:val="00F65D9D"/>
    <w:rsid w:val="00F65EBB"/>
    <w:rsid w:val="00F6604F"/>
    <w:rsid w:val="00F67702"/>
    <w:rsid w:val="00F70181"/>
    <w:rsid w:val="00F703CA"/>
    <w:rsid w:val="00F71C11"/>
    <w:rsid w:val="00F72E11"/>
    <w:rsid w:val="00F73A17"/>
    <w:rsid w:val="00F7603A"/>
    <w:rsid w:val="00F76801"/>
    <w:rsid w:val="00F768CA"/>
    <w:rsid w:val="00F76955"/>
    <w:rsid w:val="00F77031"/>
    <w:rsid w:val="00F81742"/>
    <w:rsid w:val="00F8515D"/>
    <w:rsid w:val="00F87167"/>
    <w:rsid w:val="00F877E3"/>
    <w:rsid w:val="00F9049F"/>
    <w:rsid w:val="00F91258"/>
    <w:rsid w:val="00F9226E"/>
    <w:rsid w:val="00F9281D"/>
    <w:rsid w:val="00F92AA6"/>
    <w:rsid w:val="00F94C7F"/>
    <w:rsid w:val="00F959DD"/>
    <w:rsid w:val="00F9633B"/>
    <w:rsid w:val="00F96393"/>
    <w:rsid w:val="00F978D1"/>
    <w:rsid w:val="00F97F22"/>
    <w:rsid w:val="00FA1148"/>
    <w:rsid w:val="00FA3D0F"/>
    <w:rsid w:val="00FA4BA1"/>
    <w:rsid w:val="00FA5223"/>
    <w:rsid w:val="00FA5463"/>
    <w:rsid w:val="00FA563B"/>
    <w:rsid w:val="00FA5810"/>
    <w:rsid w:val="00FA645E"/>
    <w:rsid w:val="00FB03CF"/>
    <w:rsid w:val="00FB43F4"/>
    <w:rsid w:val="00FB7082"/>
    <w:rsid w:val="00FC155E"/>
    <w:rsid w:val="00FC1A22"/>
    <w:rsid w:val="00FC2062"/>
    <w:rsid w:val="00FC25E9"/>
    <w:rsid w:val="00FC3300"/>
    <w:rsid w:val="00FC37D8"/>
    <w:rsid w:val="00FC51A8"/>
    <w:rsid w:val="00FC676F"/>
    <w:rsid w:val="00FC6B7C"/>
    <w:rsid w:val="00FD134D"/>
    <w:rsid w:val="00FD1E12"/>
    <w:rsid w:val="00FD2349"/>
    <w:rsid w:val="00FD2842"/>
    <w:rsid w:val="00FD2A03"/>
    <w:rsid w:val="00FD30B0"/>
    <w:rsid w:val="00FD3DA9"/>
    <w:rsid w:val="00FD4E41"/>
    <w:rsid w:val="00FD4E4B"/>
    <w:rsid w:val="00FE4ABF"/>
    <w:rsid w:val="00FE5A5D"/>
    <w:rsid w:val="00FE631B"/>
    <w:rsid w:val="00FE7625"/>
    <w:rsid w:val="00FF0309"/>
    <w:rsid w:val="00FF15A0"/>
    <w:rsid w:val="00FF1AFA"/>
    <w:rsid w:val="00FF2472"/>
    <w:rsid w:val="00FF3B73"/>
    <w:rsid w:val="00FF43B5"/>
    <w:rsid w:val="00FF5F09"/>
    <w:rsid w:val="00FF6734"/>
    <w:rsid w:val="00FF760A"/>
    <w:rsid w:val="00FF794E"/>
    <w:rsid w:val="00FF7C70"/>
    <w:rsid w:val="01A41C3C"/>
    <w:rsid w:val="02DD0969"/>
    <w:rsid w:val="07CB2B57"/>
    <w:rsid w:val="0AC25160"/>
    <w:rsid w:val="0B7B47AF"/>
    <w:rsid w:val="0BB1711D"/>
    <w:rsid w:val="153019E9"/>
    <w:rsid w:val="17C50CC5"/>
    <w:rsid w:val="19F6D5F0"/>
    <w:rsid w:val="1DBB63B3"/>
    <w:rsid w:val="1DE96766"/>
    <w:rsid w:val="1EDF6A8D"/>
    <w:rsid w:val="1F2F481C"/>
    <w:rsid w:val="22652463"/>
    <w:rsid w:val="22CC39BD"/>
    <w:rsid w:val="23FFBEAF"/>
    <w:rsid w:val="24A15AE7"/>
    <w:rsid w:val="27FC36D6"/>
    <w:rsid w:val="291A4341"/>
    <w:rsid w:val="29D7FAD7"/>
    <w:rsid w:val="2A9C59DC"/>
    <w:rsid w:val="2AE866F8"/>
    <w:rsid w:val="2AEF82C2"/>
    <w:rsid w:val="2B87AA27"/>
    <w:rsid w:val="2E204734"/>
    <w:rsid w:val="31F5E373"/>
    <w:rsid w:val="3218679E"/>
    <w:rsid w:val="32E43FA1"/>
    <w:rsid w:val="33FDBE02"/>
    <w:rsid w:val="34102BE8"/>
    <w:rsid w:val="34D519A8"/>
    <w:rsid w:val="34F551BD"/>
    <w:rsid w:val="35E26CE1"/>
    <w:rsid w:val="35FBDB96"/>
    <w:rsid w:val="362EA03E"/>
    <w:rsid w:val="365DC812"/>
    <w:rsid w:val="3703701F"/>
    <w:rsid w:val="379245B6"/>
    <w:rsid w:val="37BF8B3B"/>
    <w:rsid w:val="37FC049A"/>
    <w:rsid w:val="39CF6631"/>
    <w:rsid w:val="3BAF47F8"/>
    <w:rsid w:val="3BFDD69A"/>
    <w:rsid w:val="3CEF1651"/>
    <w:rsid w:val="3DCB02EE"/>
    <w:rsid w:val="3DEF84D3"/>
    <w:rsid w:val="3E333973"/>
    <w:rsid w:val="3E764706"/>
    <w:rsid w:val="3E9EE4F7"/>
    <w:rsid w:val="3EDFEED9"/>
    <w:rsid w:val="3FA9BC22"/>
    <w:rsid w:val="3FBF718C"/>
    <w:rsid w:val="3FBFC32C"/>
    <w:rsid w:val="3FBFFAD2"/>
    <w:rsid w:val="3FCF5BEA"/>
    <w:rsid w:val="3FFE7E73"/>
    <w:rsid w:val="3FFE9444"/>
    <w:rsid w:val="3FFF3A14"/>
    <w:rsid w:val="3FFF9DA3"/>
    <w:rsid w:val="3FFFB1D9"/>
    <w:rsid w:val="406F2417"/>
    <w:rsid w:val="42D36341"/>
    <w:rsid w:val="45E02985"/>
    <w:rsid w:val="45F35567"/>
    <w:rsid w:val="475D5EB9"/>
    <w:rsid w:val="48160885"/>
    <w:rsid w:val="48303D01"/>
    <w:rsid w:val="48AF3163"/>
    <w:rsid w:val="4995041B"/>
    <w:rsid w:val="49950E78"/>
    <w:rsid w:val="4BBEA4E7"/>
    <w:rsid w:val="4BBF728C"/>
    <w:rsid w:val="4D31681F"/>
    <w:rsid w:val="4DA1415D"/>
    <w:rsid w:val="4F5C1431"/>
    <w:rsid w:val="4F703A02"/>
    <w:rsid w:val="4F74994A"/>
    <w:rsid w:val="4FDF38A7"/>
    <w:rsid w:val="51C7F614"/>
    <w:rsid w:val="51FF194E"/>
    <w:rsid w:val="52E7C96E"/>
    <w:rsid w:val="55BBE22C"/>
    <w:rsid w:val="55FF5CF9"/>
    <w:rsid w:val="567D7D1E"/>
    <w:rsid w:val="56FF3E7A"/>
    <w:rsid w:val="57CFE19E"/>
    <w:rsid w:val="58F71636"/>
    <w:rsid w:val="59FF0B5E"/>
    <w:rsid w:val="5BBD1D9F"/>
    <w:rsid w:val="5BDD9735"/>
    <w:rsid w:val="5DD99E9C"/>
    <w:rsid w:val="5DECCDAF"/>
    <w:rsid w:val="5E7F4EB4"/>
    <w:rsid w:val="5F6F8A85"/>
    <w:rsid w:val="5F730D79"/>
    <w:rsid w:val="5F7F53E2"/>
    <w:rsid w:val="5FBADB27"/>
    <w:rsid w:val="5FEF4B5A"/>
    <w:rsid w:val="5FF1ADDD"/>
    <w:rsid w:val="5FFF655E"/>
    <w:rsid w:val="5FFFD315"/>
    <w:rsid w:val="619F138A"/>
    <w:rsid w:val="64C22CED"/>
    <w:rsid w:val="67602741"/>
    <w:rsid w:val="677F8727"/>
    <w:rsid w:val="679FFBB2"/>
    <w:rsid w:val="67E1C561"/>
    <w:rsid w:val="67FF2AAC"/>
    <w:rsid w:val="683A7CB6"/>
    <w:rsid w:val="6B3FA182"/>
    <w:rsid w:val="6B8E9C99"/>
    <w:rsid w:val="6BBCD030"/>
    <w:rsid w:val="6BDE505C"/>
    <w:rsid w:val="6C7E7D8F"/>
    <w:rsid w:val="6D6E89F8"/>
    <w:rsid w:val="6DD75DAE"/>
    <w:rsid w:val="6DEBE592"/>
    <w:rsid w:val="6DF7E5B9"/>
    <w:rsid w:val="6DFC79A1"/>
    <w:rsid w:val="6E9FC5E0"/>
    <w:rsid w:val="6EB955C1"/>
    <w:rsid w:val="6EFE2B69"/>
    <w:rsid w:val="6EFF9683"/>
    <w:rsid w:val="6F2F7C60"/>
    <w:rsid w:val="6F7DF048"/>
    <w:rsid w:val="6F7EB6EB"/>
    <w:rsid w:val="6FDEBA87"/>
    <w:rsid w:val="6FF7298A"/>
    <w:rsid w:val="6FF7A98F"/>
    <w:rsid w:val="6FFB9F8F"/>
    <w:rsid w:val="6FFED644"/>
    <w:rsid w:val="6FFF5A3C"/>
    <w:rsid w:val="7079578A"/>
    <w:rsid w:val="710A155E"/>
    <w:rsid w:val="71AAEE4E"/>
    <w:rsid w:val="72F70E1C"/>
    <w:rsid w:val="72FD0BA8"/>
    <w:rsid w:val="72FE1D87"/>
    <w:rsid w:val="739B5C12"/>
    <w:rsid w:val="73DE540B"/>
    <w:rsid w:val="73E6E945"/>
    <w:rsid w:val="73FD8AB1"/>
    <w:rsid w:val="74B12517"/>
    <w:rsid w:val="75BECAEF"/>
    <w:rsid w:val="75E3CB2F"/>
    <w:rsid w:val="75FFE899"/>
    <w:rsid w:val="76117B06"/>
    <w:rsid w:val="761C5254"/>
    <w:rsid w:val="767F8186"/>
    <w:rsid w:val="76A6082D"/>
    <w:rsid w:val="76FB5597"/>
    <w:rsid w:val="772F3375"/>
    <w:rsid w:val="779CCD1A"/>
    <w:rsid w:val="77B6037D"/>
    <w:rsid w:val="77BF1C84"/>
    <w:rsid w:val="77DEF40E"/>
    <w:rsid w:val="77DF8D5B"/>
    <w:rsid w:val="77F6008F"/>
    <w:rsid w:val="77F9D257"/>
    <w:rsid w:val="77FFBCB1"/>
    <w:rsid w:val="77FFBD3F"/>
    <w:rsid w:val="77FFC245"/>
    <w:rsid w:val="78C6FC1C"/>
    <w:rsid w:val="79DD4357"/>
    <w:rsid w:val="7AE77DFE"/>
    <w:rsid w:val="7AEC944A"/>
    <w:rsid w:val="7AF13706"/>
    <w:rsid w:val="7AF797A6"/>
    <w:rsid w:val="7B5EAD68"/>
    <w:rsid w:val="7B73975F"/>
    <w:rsid w:val="7B7A9B9A"/>
    <w:rsid w:val="7B7CDAAB"/>
    <w:rsid w:val="7B99D940"/>
    <w:rsid w:val="7BFE3A98"/>
    <w:rsid w:val="7BFE6663"/>
    <w:rsid w:val="7C742BDE"/>
    <w:rsid w:val="7C9769CE"/>
    <w:rsid w:val="7CE5D004"/>
    <w:rsid w:val="7CF3A040"/>
    <w:rsid w:val="7D1F3F17"/>
    <w:rsid w:val="7D54FE67"/>
    <w:rsid w:val="7D7B5371"/>
    <w:rsid w:val="7DB6604A"/>
    <w:rsid w:val="7DD17082"/>
    <w:rsid w:val="7DF7706F"/>
    <w:rsid w:val="7DF7BFB8"/>
    <w:rsid w:val="7DFF3333"/>
    <w:rsid w:val="7EB5AC69"/>
    <w:rsid w:val="7EBF7BA4"/>
    <w:rsid w:val="7EF8D9D8"/>
    <w:rsid w:val="7EFD6F41"/>
    <w:rsid w:val="7F7AF9B2"/>
    <w:rsid w:val="7F8D3975"/>
    <w:rsid w:val="7F975F53"/>
    <w:rsid w:val="7FAB4FB7"/>
    <w:rsid w:val="7FACFE6E"/>
    <w:rsid w:val="7FB06E4E"/>
    <w:rsid w:val="7FB9F987"/>
    <w:rsid w:val="7FBF54DF"/>
    <w:rsid w:val="7FDC81C1"/>
    <w:rsid w:val="7FDDF82A"/>
    <w:rsid w:val="7FDE0B13"/>
    <w:rsid w:val="7FEF67BF"/>
    <w:rsid w:val="7FF297CF"/>
    <w:rsid w:val="7FF535F3"/>
    <w:rsid w:val="7FF5A7E9"/>
    <w:rsid w:val="7FF74F41"/>
    <w:rsid w:val="7FF9C7EA"/>
    <w:rsid w:val="7FFD4A67"/>
    <w:rsid w:val="7FFDC3C0"/>
    <w:rsid w:val="7FFF8742"/>
    <w:rsid w:val="92DB828C"/>
    <w:rsid w:val="94AF1C69"/>
    <w:rsid w:val="96F114A4"/>
    <w:rsid w:val="97FBECD2"/>
    <w:rsid w:val="99DBE9F4"/>
    <w:rsid w:val="99FF4682"/>
    <w:rsid w:val="A3EF0933"/>
    <w:rsid w:val="A9B3417F"/>
    <w:rsid w:val="AEBF7CD0"/>
    <w:rsid w:val="AEFFC9B3"/>
    <w:rsid w:val="AFDF3F29"/>
    <w:rsid w:val="B279F8C1"/>
    <w:rsid w:val="B2CFE1A2"/>
    <w:rsid w:val="B5442638"/>
    <w:rsid w:val="B7E664DB"/>
    <w:rsid w:val="B7FA1DBB"/>
    <w:rsid w:val="BB6F4290"/>
    <w:rsid w:val="BBDB9AC2"/>
    <w:rsid w:val="BBFB2491"/>
    <w:rsid w:val="BD62AECF"/>
    <w:rsid w:val="BDB89BB1"/>
    <w:rsid w:val="BDFF5239"/>
    <w:rsid w:val="BE586259"/>
    <w:rsid w:val="BEDF7DB3"/>
    <w:rsid w:val="BEFF8B75"/>
    <w:rsid w:val="BF47C4A4"/>
    <w:rsid w:val="BF774954"/>
    <w:rsid w:val="BFB7D0E4"/>
    <w:rsid w:val="BFE1C0E0"/>
    <w:rsid w:val="BFE78EF8"/>
    <w:rsid w:val="BFED0360"/>
    <w:rsid w:val="BFFF5338"/>
    <w:rsid w:val="C5FEE44E"/>
    <w:rsid w:val="C67F0868"/>
    <w:rsid w:val="CB7D6125"/>
    <w:rsid w:val="CDBFC249"/>
    <w:rsid w:val="CFBE2D2D"/>
    <w:rsid w:val="CFCE7019"/>
    <w:rsid w:val="CFFDBD03"/>
    <w:rsid w:val="D1FFEEC6"/>
    <w:rsid w:val="D2AC889E"/>
    <w:rsid w:val="D94DB044"/>
    <w:rsid w:val="D97A7C47"/>
    <w:rsid w:val="DADDADF7"/>
    <w:rsid w:val="DB55861F"/>
    <w:rsid w:val="DB5FFAD6"/>
    <w:rsid w:val="DBF85CF5"/>
    <w:rsid w:val="DBFBB875"/>
    <w:rsid w:val="DDBF44E3"/>
    <w:rsid w:val="DDE5416B"/>
    <w:rsid w:val="DDFBB1DA"/>
    <w:rsid w:val="DE6D76E6"/>
    <w:rsid w:val="DED72BB2"/>
    <w:rsid w:val="DEDF6789"/>
    <w:rsid w:val="DF1B47C8"/>
    <w:rsid w:val="DF3DF8B0"/>
    <w:rsid w:val="DF5FC8FF"/>
    <w:rsid w:val="DF756957"/>
    <w:rsid w:val="DF77DA9C"/>
    <w:rsid w:val="DFD1F3CB"/>
    <w:rsid w:val="DFE505D3"/>
    <w:rsid w:val="DFFFAA83"/>
    <w:rsid w:val="DFFFEBE5"/>
    <w:rsid w:val="E77FE624"/>
    <w:rsid w:val="E7BE4343"/>
    <w:rsid w:val="E7F72BCD"/>
    <w:rsid w:val="EB6F15C3"/>
    <w:rsid w:val="EB7DA5B5"/>
    <w:rsid w:val="EBBBC733"/>
    <w:rsid w:val="EBDD2846"/>
    <w:rsid w:val="ECADD695"/>
    <w:rsid w:val="EDDF4260"/>
    <w:rsid w:val="EDF7DA31"/>
    <w:rsid w:val="EE7D66A1"/>
    <w:rsid w:val="EF6A63A5"/>
    <w:rsid w:val="EF7D36D6"/>
    <w:rsid w:val="EFEF45E6"/>
    <w:rsid w:val="F1FBE508"/>
    <w:rsid w:val="F3DEA04A"/>
    <w:rsid w:val="F3FB8B15"/>
    <w:rsid w:val="F3FD495A"/>
    <w:rsid w:val="F3FD5A22"/>
    <w:rsid w:val="F49F7114"/>
    <w:rsid w:val="F4BDB102"/>
    <w:rsid w:val="F5FF9A1B"/>
    <w:rsid w:val="F5FFC33A"/>
    <w:rsid w:val="F6D960A5"/>
    <w:rsid w:val="F7761CA2"/>
    <w:rsid w:val="F77E4D55"/>
    <w:rsid w:val="F7BD2B54"/>
    <w:rsid w:val="F7D99232"/>
    <w:rsid w:val="F7EEA6EC"/>
    <w:rsid w:val="F7F60D58"/>
    <w:rsid w:val="F8F52EB4"/>
    <w:rsid w:val="F9D071FA"/>
    <w:rsid w:val="F9DBBE9B"/>
    <w:rsid w:val="FA2F47B9"/>
    <w:rsid w:val="FAE54A5A"/>
    <w:rsid w:val="FAFDEB7C"/>
    <w:rsid w:val="FAFF4822"/>
    <w:rsid w:val="FB0377E3"/>
    <w:rsid w:val="FB0F9C23"/>
    <w:rsid w:val="FB47F22F"/>
    <w:rsid w:val="FB7DD960"/>
    <w:rsid w:val="FB9F8767"/>
    <w:rsid w:val="FBDFC1B5"/>
    <w:rsid w:val="FBECB8CC"/>
    <w:rsid w:val="FBFF93EB"/>
    <w:rsid w:val="FC9C81C2"/>
    <w:rsid w:val="FCB6FD1A"/>
    <w:rsid w:val="FCD2D724"/>
    <w:rsid w:val="FD3F6CC2"/>
    <w:rsid w:val="FD5F2CBB"/>
    <w:rsid w:val="FDB41FCF"/>
    <w:rsid w:val="FDBD078F"/>
    <w:rsid w:val="FDBF4BD9"/>
    <w:rsid w:val="FDD7A529"/>
    <w:rsid w:val="FDEF2BCF"/>
    <w:rsid w:val="FDEF4E14"/>
    <w:rsid w:val="FDFF7A4E"/>
    <w:rsid w:val="FDFFE81F"/>
    <w:rsid w:val="FE7D67A1"/>
    <w:rsid w:val="FE7F4815"/>
    <w:rsid w:val="FE9E4481"/>
    <w:rsid w:val="FE9E7E5B"/>
    <w:rsid w:val="FEBBC30D"/>
    <w:rsid w:val="FEDD916F"/>
    <w:rsid w:val="FEFA7CB2"/>
    <w:rsid w:val="FEFEA74A"/>
    <w:rsid w:val="FF3F4C69"/>
    <w:rsid w:val="FF671161"/>
    <w:rsid w:val="FF6FFF64"/>
    <w:rsid w:val="FF7BD5C3"/>
    <w:rsid w:val="FF9F9536"/>
    <w:rsid w:val="FFC6D92F"/>
    <w:rsid w:val="FFCA444A"/>
    <w:rsid w:val="FFCF77D3"/>
    <w:rsid w:val="FFDD0AD9"/>
    <w:rsid w:val="FFEF34C1"/>
    <w:rsid w:val="FFEF556D"/>
    <w:rsid w:val="FFEFD917"/>
    <w:rsid w:val="FFF3AEA5"/>
    <w:rsid w:val="FFF7C927"/>
    <w:rsid w:val="FFF7D773"/>
    <w:rsid w:val="FFF7F941"/>
    <w:rsid w:val="FFFBD864"/>
    <w:rsid w:val="FFFE0F8E"/>
    <w:rsid w:val="FFFE162C"/>
    <w:rsid w:val="FFFE96EC"/>
    <w:rsid w:val="FFFF6F42"/>
    <w:rsid w:val="FFFF74A2"/>
    <w:rsid w:val="FFFF7553"/>
    <w:rsid w:val="FFFFC8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adjustRightInd w:val="0"/>
      <w:spacing w:line="360" w:lineRule="exact"/>
      <w:jc w:val="center"/>
    </w:pPr>
    <w:rPr>
      <w:rFonts w:ascii="宋体" w:hAnsi="宋体"/>
      <w:sz w:val="32"/>
      <w:szCs w:val="32"/>
    </w:rPr>
  </w:style>
  <w:style w:type="paragraph" w:styleId="3">
    <w:name w:val="Title"/>
    <w:basedOn w:val="1"/>
    <w:next w:val="1"/>
    <w:qFormat/>
    <w:uiPriority w:val="0"/>
    <w:pPr>
      <w:widowControl/>
      <w:spacing w:before="240" w:after="60"/>
      <w:jc w:val="center"/>
      <w:outlineLvl w:val="0"/>
    </w:pPr>
    <w:rPr>
      <w:rFonts w:ascii="Cambria" w:hAnsi="Cambria"/>
      <w:b/>
      <w:bCs/>
      <w:sz w:val="32"/>
      <w:szCs w:val="32"/>
    </w:rPr>
  </w:style>
  <w:style w:type="paragraph" w:styleId="7">
    <w:name w:val="Normal Indent"/>
    <w:basedOn w:val="1"/>
    <w:next w:val="1"/>
    <w:qFormat/>
    <w:uiPriority w:val="0"/>
    <w:pPr>
      <w:ind w:firstLine="420" w:firstLineChars="200"/>
    </w:pPr>
    <w:rPr>
      <w:szCs w:val="20"/>
    </w:rPr>
  </w:style>
  <w:style w:type="paragraph" w:styleId="8">
    <w:name w:val="annotation text"/>
    <w:basedOn w:val="1"/>
    <w:unhideWhenUsed/>
    <w:qFormat/>
    <w:uiPriority w:val="99"/>
    <w:pPr>
      <w:jc w:val="left"/>
    </w:pPr>
    <w:rPr>
      <w:rFonts w:ascii="Calibri" w:hAnsi="Calibri"/>
      <w:szCs w:val="22"/>
    </w:rPr>
  </w:style>
  <w:style w:type="paragraph" w:styleId="9">
    <w:name w:val="Body Text Indent"/>
    <w:basedOn w:val="1"/>
    <w:next w:val="1"/>
    <w:qFormat/>
    <w:uiPriority w:val="0"/>
    <w:pPr>
      <w:ind w:right="-38" w:firstLine="403" w:firstLineChars="192"/>
    </w:pPr>
    <w:rPr>
      <w:rFonts w:ascii="宋体" w:hAnsi="宋体"/>
    </w:rPr>
  </w:style>
  <w:style w:type="paragraph" w:styleId="10">
    <w:name w:val="Plain Text"/>
    <w:basedOn w:val="1"/>
    <w:next w:val="11"/>
    <w:link w:val="29"/>
    <w:qFormat/>
    <w:uiPriority w:val="0"/>
    <w:rPr>
      <w:rFonts w:ascii="宋体" w:hAnsi="Courier New" w:cs="Courier New"/>
      <w:szCs w:val="21"/>
    </w:rPr>
  </w:style>
  <w:style w:type="paragraph" w:styleId="11">
    <w:name w:val="List Number 5"/>
    <w:basedOn w:val="1"/>
    <w:qFormat/>
    <w:uiPriority w:val="0"/>
    <w:pPr>
      <w:numPr>
        <w:ilvl w:val="0"/>
        <w:numId w:val="1"/>
      </w:numPr>
    </w:pPr>
  </w:style>
  <w:style w:type="paragraph" w:styleId="12">
    <w:name w:val="Body Text Indent 2"/>
    <w:basedOn w:val="1"/>
    <w:qFormat/>
    <w:uiPriority w:val="0"/>
    <w:pPr>
      <w:tabs>
        <w:tab w:val="left" w:pos="4320"/>
      </w:tabs>
      <w:ind w:left="8446" w:leftChars="1284" w:hanging="5750"/>
    </w:pPr>
    <w:rPr>
      <w:rFonts w:ascii="宋体"/>
      <w:sz w:val="28"/>
    </w:rPr>
  </w:style>
  <w:style w:type="paragraph" w:styleId="13">
    <w:name w:val="Balloon Text"/>
    <w:basedOn w:val="1"/>
    <w:link w:val="30"/>
    <w:semiHidden/>
    <w:qFormat/>
    <w:uiPriority w:val="0"/>
    <w:rPr>
      <w:sz w:val="18"/>
      <w:szCs w:val="18"/>
    </w:rPr>
  </w:style>
  <w:style w:type="paragraph" w:styleId="14">
    <w:name w:val="footer"/>
    <w:basedOn w:val="1"/>
    <w:link w:val="31"/>
    <w:qFormat/>
    <w:uiPriority w:val="0"/>
    <w:pPr>
      <w:tabs>
        <w:tab w:val="center" w:pos="4153"/>
        <w:tab w:val="right" w:pos="8306"/>
      </w:tabs>
      <w:snapToGrid w:val="0"/>
      <w:jc w:val="left"/>
    </w:pPr>
    <w:rPr>
      <w:sz w:val="18"/>
      <w:szCs w:val="18"/>
    </w:rPr>
  </w:style>
  <w:style w:type="paragraph" w:styleId="15">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6">
    <w:name w:val="footnote text"/>
    <w:basedOn w:val="1"/>
    <w:link w:val="33"/>
    <w:qFormat/>
    <w:uiPriority w:val="0"/>
    <w:pPr>
      <w:snapToGrid w:val="0"/>
      <w:jc w:val="left"/>
    </w:pPr>
    <w:rPr>
      <w:sz w:val="18"/>
      <w:szCs w:val="18"/>
    </w:rPr>
  </w:style>
  <w:style w:type="paragraph" w:styleId="17">
    <w:name w:val="Body Text Indent 3"/>
    <w:basedOn w:val="1"/>
    <w:qFormat/>
    <w:uiPriority w:val="0"/>
    <w:pPr>
      <w:autoSpaceDE w:val="0"/>
      <w:autoSpaceDN w:val="0"/>
      <w:adjustRightInd w:val="0"/>
      <w:spacing w:line="360" w:lineRule="auto"/>
      <w:ind w:firstLine="420" w:firstLineChars="200"/>
    </w:pPr>
    <w:rPr>
      <w:rFonts w:ascii="宋体" w:hAnsi="宋体"/>
    </w:rPr>
  </w:style>
  <w:style w:type="paragraph" w:styleId="18">
    <w:name w:val="Body Text 2"/>
    <w:basedOn w:val="1"/>
    <w:qFormat/>
    <w:uiPriority w:val="0"/>
    <w:pPr>
      <w:widowControl/>
      <w:jc w:val="left"/>
    </w:pPr>
    <w:rPr>
      <w:rFonts w:ascii="Arial" w:hAnsi="Arial"/>
      <w:color w:val="0000FF"/>
      <w:szCs w:val="28"/>
    </w:rPr>
  </w:style>
  <w:style w:type="paragraph" w:styleId="19">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20">
    <w:name w:val="Body Text First Indent 2"/>
    <w:basedOn w:val="9"/>
    <w:next w:val="1"/>
    <w:qFormat/>
    <w:uiPriority w:val="0"/>
    <w:pPr>
      <w:ind w:left="200" w:leftChars="200" w:firstLine="200" w:firstLineChars="200"/>
    </w:pPr>
    <w:rPr>
      <w:rFonts w:ascii="Calibri" w:hAnsi="Calibri"/>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qFormat/>
    <w:uiPriority w:val="0"/>
    <w:rPr>
      <w:b/>
      <w:bCs/>
    </w:rPr>
  </w:style>
  <w:style w:type="character" w:styleId="25">
    <w:name w:val="page number"/>
    <w:basedOn w:val="23"/>
    <w:qFormat/>
    <w:uiPriority w:val="0"/>
  </w:style>
  <w:style w:type="character" w:styleId="26">
    <w:name w:val="Hyperlink"/>
    <w:qFormat/>
    <w:uiPriority w:val="0"/>
    <w:rPr>
      <w:color w:val="0000FF"/>
      <w:u w:val="single"/>
    </w:rPr>
  </w:style>
  <w:style w:type="character" w:styleId="27">
    <w:name w:val="footnote reference"/>
    <w:qFormat/>
    <w:uiPriority w:val="0"/>
    <w:rPr>
      <w:vertAlign w:val="superscript"/>
    </w:rPr>
  </w:style>
  <w:style w:type="character" w:customStyle="1" w:styleId="28">
    <w:name w:val="标题 1 Char"/>
    <w:link w:val="4"/>
    <w:qFormat/>
    <w:uiPriority w:val="0"/>
    <w:rPr>
      <w:rFonts w:eastAsia="宋体"/>
      <w:b/>
      <w:bCs/>
      <w:kern w:val="44"/>
      <w:sz w:val="44"/>
      <w:szCs w:val="44"/>
      <w:lang w:bidi="ar-SA"/>
    </w:rPr>
  </w:style>
  <w:style w:type="character" w:customStyle="1" w:styleId="29">
    <w:name w:val="纯文本 Char"/>
    <w:link w:val="10"/>
    <w:qFormat/>
    <w:uiPriority w:val="0"/>
    <w:rPr>
      <w:rFonts w:ascii="宋体" w:hAnsi="Courier New" w:eastAsia="宋体" w:cs="Courier New"/>
      <w:kern w:val="2"/>
      <w:sz w:val="21"/>
      <w:szCs w:val="21"/>
      <w:lang w:val="en-US" w:eastAsia="zh-CN" w:bidi="ar-SA"/>
    </w:rPr>
  </w:style>
  <w:style w:type="character" w:customStyle="1" w:styleId="30">
    <w:name w:val="批注框文本 Char"/>
    <w:link w:val="13"/>
    <w:qFormat/>
    <w:uiPriority w:val="0"/>
    <w:rPr>
      <w:rFonts w:eastAsia="宋体"/>
      <w:kern w:val="2"/>
      <w:sz w:val="18"/>
      <w:szCs w:val="18"/>
      <w:lang w:val="en-US" w:eastAsia="zh-CN" w:bidi="ar-SA"/>
    </w:rPr>
  </w:style>
  <w:style w:type="character" w:customStyle="1" w:styleId="31">
    <w:name w:val="页脚 Char"/>
    <w:link w:val="14"/>
    <w:qFormat/>
    <w:uiPriority w:val="0"/>
    <w:rPr>
      <w:rFonts w:eastAsia="宋体"/>
      <w:kern w:val="2"/>
      <w:sz w:val="18"/>
      <w:szCs w:val="18"/>
      <w:lang w:val="en-US" w:eastAsia="zh-CN" w:bidi="ar-SA"/>
    </w:rPr>
  </w:style>
  <w:style w:type="character" w:customStyle="1" w:styleId="32">
    <w:name w:val="页眉 Char1"/>
    <w:link w:val="15"/>
    <w:qFormat/>
    <w:uiPriority w:val="99"/>
    <w:rPr>
      <w:rFonts w:eastAsia="宋体"/>
      <w:kern w:val="2"/>
      <w:sz w:val="18"/>
      <w:szCs w:val="18"/>
      <w:lang w:val="en-US" w:eastAsia="zh-CN" w:bidi="ar-SA"/>
    </w:rPr>
  </w:style>
  <w:style w:type="character" w:customStyle="1" w:styleId="33">
    <w:name w:val="脚注文本 Char"/>
    <w:link w:val="16"/>
    <w:qFormat/>
    <w:uiPriority w:val="0"/>
    <w:rPr>
      <w:kern w:val="2"/>
      <w:sz w:val="18"/>
      <w:szCs w:val="18"/>
      <w:lang w:bidi="ar-SA"/>
    </w:rPr>
  </w:style>
  <w:style w:type="character" w:customStyle="1" w:styleId="34">
    <w:name w:val="Char Char3"/>
    <w:qFormat/>
    <w:uiPriority w:val="0"/>
    <w:rPr>
      <w:rFonts w:eastAsia="宋体"/>
      <w:kern w:val="2"/>
      <w:sz w:val="18"/>
      <w:szCs w:val="18"/>
      <w:lang w:val="en-US" w:eastAsia="zh-CN" w:bidi="ar-SA"/>
    </w:rPr>
  </w:style>
  <w:style w:type="paragraph" w:customStyle="1" w:styleId="35">
    <w:name w:val="内文文字"/>
    <w:qFormat/>
    <w:uiPriority w:val="0"/>
    <w:pPr>
      <w:widowControl w:val="0"/>
      <w:autoSpaceDE w:val="0"/>
      <w:autoSpaceDN w:val="0"/>
      <w:adjustRightInd w:val="0"/>
      <w:spacing w:line="290" w:lineRule="atLeast"/>
      <w:ind w:firstLine="397"/>
      <w:jc w:val="both"/>
    </w:pPr>
    <w:rPr>
      <w:rFonts w:hint="eastAsia" w:ascii="汉仪书宋一简" w:hAnsi="Times New Roman" w:eastAsia="汉仪书宋一简" w:cs="Times New Roman"/>
      <w:color w:val="000000"/>
      <w:sz w:val="18"/>
      <w:lang w:val="en-US" w:eastAsia="zh-CN" w:bidi="ar-SA"/>
    </w:rPr>
  </w:style>
  <w:style w:type="paragraph" w:customStyle="1" w:styleId="36">
    <w:name w:val="Char"/>
    <w:basedOn w:val="1"/>
    <w:qFormat/>
    <w:uiPriority w:val="0"/>
    <w:pPr>
      <w:spacing w:line="360" w:lineRule="auto"/>
      <w:jc w:val="left"/>
    </w:pPr>
    <w:rPr>
      <w:rFonts w:ascii="宋体" w:hAnsi="宋体" w:eastAsia="仿宋_GB2312" w:cs="宋体"/>
      <w:sz w:val="24"/>
    </w:rPr>
  </w:style>
  <w:style w:type="paragraph" w:customStyle="1" w:styleId="37">
    <w:name w:val="p0"/>
    <w:basedOn w:val="1"/>
    <w:qFormat/>
    <w:uiPriority w:val="0"/>
    <w:pPr>
      <w:widowControl/>
    </w:pPr>
    <w:rPr>
      <w:rFonts w:ascii="Calibri" w:hAnsi="Calibri" w:cs="宋体"/>
      <w:kern w:val="0"/>
      <w:szCs w:val="21"/>
    </w:rPr>
  </w:style>
  <w:style w:type="paragraph" w:customStyle="1" w:styleId="38">
    <w:name w:val="列出段落1"/>
    <w:basedOn w:val="1"/>
    <w:qFormat/>
    <w:uiPriority w:val="0"/>
    <w:pPr>
      <w:ind w:firstLine="420" w:firstLineChars="200"/>
    </w:pPr>
    <w:rPr>
      <w:rFonts w:ascii="Calibri" w:hAnsi="Calibri"/>
      <w:szCs w:val="22"/>
    </w:rPr>
  </w:style>
  <w:style w:type="paragraph" w:customStyle="1" w:styleId="39">
    <w:name w:val="Char Char Char Char"/>
    <w:basedOn w:val="1"/>
    <w:qFormat/>
    <w:uiPriority w:val="0"/>
    <w:pPr>
      <w:autoSpaceDE w:val="0"/>
      <w:autoSpaceDN w:val="0"/>
    </w:pPr>
    <w:rPr>
      <w:rFonts w:ascii="Tahoma" w:hAnsi="Tahoma"/>
      <w:sz w:val="24"/>
      <w:szCs w:val="20"/>
    </w:rPr>
  </w:style>
  <w:style w:type="paragraph" w:customStyle="1" w:styleId="40">
    <w:name w:val="默认段落字体 Para Char Char"/>
    <w:basedOn w:val="1"/>
    <w:qFormat/>
    <w:uiPriority w:val="0"/>
  </w:style>
  <w:style w:type="paragraph" w:customStyle="1" w:styleId="41">
    <w:name w:val="Char Char Char Char Char Char Char Char Char Char Char Char1 Char Char Char Char"/>
    <w:basedOn w:val="1"/>
    <w:qFormat/>
    <w:uiPriority w:val="0"/>
    <w:pPr>
      <w:tabs>
        <w:tab w:val="left" w:pos="432"/>
      </w:tabs>
      <w:spacing w:line="400" w:lineRule="exact"/>
      <w:ind w:left="432" w:hanging="432"/>
    </w:pPr>
  </w:style>
  <w:style w:type="paragraph" w:customStyle="1" w:styleId="42">
    <w:name w:val="Char Char Char Char1"/>
    <w:basedOn w:val="1"/>
    <w:qFormat/>
    <w:uiPriority w:val="0"/>
    <w:pPr>
      <w:autoSpaceDE w:val="0"/>
      <w:autoSpaceDN w:val="0"/>
    </w:pPr>
    <w:rPr>
      <w:rFonts w:ascii="Tahoma" w:hAnsi="Tahoma"/>
      <w:sz w:val="24"/>
      <w:szCs w:val="20"/>
    </w:rPr>
  </w:style>
  <w:style w:type="paragraph" w:customStyle="1" w:styleId="43">
    <w:name w:val="Char Char8"/>
    <w:basedOn w:val="1"/>
    <w:qFormat/>
    <w:uiPriority w:val="0"/>
    <w:pPr>
      <w:autoSpaceDE w:val="0"/>
      <w:autoSpaceDN w:val="0"/>
    </w:pPr>
    <w:rPr>
      <w:rFonts w:ascii="Tahoma" w:hAnsi="Tahoma"/>
      <w:sz w:val="24"/>
      <w:szCs w:val="20"/>
    </w:rPr>
  </w:style>
  <w:style w:type="paragraph" w:customStyle="1" w:styleId="44">
    <w:name w:val="Char Char11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45">
    <w:name w:val="页眉 Char"/>
    <w:qFormat/>
    <w:uiPriority w:val="0"/>
    <w:rPr>
      <w:kern w:val="1"/>
      <w:sz w:val="18"/>
      <w:lang w:eastAsia="ar-SA"/>
    </w:rPr>
  </w:style>
  <w:style w:type="paragraph" w:customStyle="1" w:styleId="46">
    <w:name w:val="Char1 Char Char Char Char Char Char"/>
    <w:basedOn w:val="1"/>
    <w:qFormat/>
    <w:uiPriority w:val="0"/>
    <w:pPr>
      <w:autoSpaceDE w:val="0"/>
      <w:autoSpaceDN w:val="0"/>
    </w:pPr>
    <w:rPr>
      <w:rFonts w:ascii="Calibri" w:hAnsi="Calibri" w:eastAsia="仿宋_GB2312"/>
      <w:sz w:val="30"/>
      <w:szCs w:val="20"/>
    </w:rPr>
  </w:style>
  <w:style w:type="character" w:customStyle="1" w:styleId="47">
    <w:name w:val="font01"/>
    <w:basedOn w:val="23"/>
    <w:qFormat/>
    <w:uiPriority w:val="0"/>
    <w:rPr>
      <w:rFonts w:hint="default" w:ascii="Times New Roman" w:hAnsi="Times New Roman" w:cs="Times New Roman"/>
      <w:color w:val="000000"/>
      <w:sz w:val="24"/>
      <w:szCs w:val="24"/>
      <w:u w:val="none"/>
    </w:rPr>
  </w:style>
  <w:style w:type="character" w:customStyle="1" w:styleId="48">
    <w:name w:val="font41"/>
    <w:basedOn w:val="23"/>
    <w:qFormat/>
    <w:uiPriority w:val="0"/>
    <w:rPr>
      <w:rFonts w:hint="eastAsia" w:ascii="宋体" w:hAnsi="宋体" w:eastAsia="宋体" w:cs="宋体"/>
      <w:color w:val="000000"/>
      <w:sz w:val="24"/>
      <w:szCs w:val="24"/>
      <w:u w:val="none"/>
    </w:rPr>
  </w:style>
  <w:style w:type="character" w:customStyle="1" w:styleId="49">
    <w:name w:val="font21"/>
    <w:basedOn w:val="23"/>
    <w:qFormat/>
    <w:uiPriority w:val="0"/>
    <w:rPr>
      <w:rFonts w:hint="eastAsia" w:ascii="方正书宋_GBK" w:hAnsi="方正书宋_GBK" w:eastAsia="方正书宋_GBK" w:cs="方正书宋_GBK"/>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112</Pages>
  <Words>99652</Words>
  <Characters>111124</Characters>
  <Lines>945</Lines>
  <Paragraphs>266</Paragraphs>
  <TotalTime>47</TotalTime>
  <ScaleCrop>false</ScaleCrop>
  <LinksUpToDate>false</LinksUpToDate>
  <CharactersWithSpaces>117677</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2023-12-27T19:31:00Z</dcterms:created>
  <dc:creator>Ming</dc:creator>
  <cp:lastModifiedBy>huawei</cp:lastModifiedBy>
  <cp:lastPrinted>2026-02-27T16:45:00Z</cp:lastPrinted>
  <dcterms:modified xsi:type="dcterms:W3CDTF">2026-05-27T10:07:02Z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06AB7007121D732EF83E156AE43382D1</vt:lpwstr>
  </property>
  <property fmtid="{D5CDD505-2E9C-101B-9397-08002B2CF9AE}" pid="4" name="KSOTemplateDocerSaveRecord">
    <vt:lpwstr>eyJoZGlkIjoiYzY3NjZlYTVkZWRkYWU0MDE3MDk4NDVmNGU5YWM5ZWEiLCJ1c2VySWQiOiI1NjE4MzM5NzYifQ==</vt:lpwstr>
  </property>
</Properties>
</file>