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W w:w="0" w:type="auto"/>
        <w:tblInd w:w="0" w:type="dxa"/>
        <w:tblLayout w:type="autofit"/>
        <w:tblCellMar>
          <w:top w:w="0" w:type="dxa"/>
          <w:left w:w="108" w:type="dxa"/>
          <w:bottom w:w="0" w:type="dxa"/>
          <w:right w:w="108" w:type="dxa"/>
        </w:tblCellMar>
      </w:tblPr>
      <w:tblGrid>
        <w:gridCol w:w="9628"/>
      </w:tblGrid>
      <w:tr>
        <w:tblPrEx>
          <w:tblCellMar>
            <w:top w:w="0" w:type="dxa"/>
            <w:left w:w="108" w:type="dxa"/>
            <w:bottom w:w="0" w:type="dxa"/>
            <w:right w:w="108" w:type="dxa"/>
          </w:tblCellMar>
        </w:tblPrEx>
        <w:trPr>
          <w:trHeight w:val="2835" w:hRule="exact"/>
        </w:trPr>
        <w:tc>
          <w:tcPr>
            <w:tcW w:w="9628" w:type="dxa"/>
            <w:noWrap w:val="0"/>
            <w:vAlign w:val="top"/>
          </w:tcPr>
          <w:p>
            <w:pPr>
              <w:keepNext w:val="0"/>
              <w:keepLines w:val="0"/>
              <w:suppressLineNumbers w:val="0"/>
              <w:spacing w:before="0" w:beforeAutospacing="0" w:after="0" w:afterAutospacing="0"/>
              <w:ind w:left="0" w:right="0"/>
              <w:rPr>
                <w:rFonts w:hint="eastAsia"/>
                <w:color w:val="auto"/>
              </w:rPr>
            </w:pPr>
          </w:p>
        </w:tc>
      </w:tr>
    </w:tbl>
    <w:p>
      <w:pPr>
        <w:spacing w:line="1000" w:lineRule="exact"/>
        <w:jc w:val="center"/>
        <w:rPr>
          <w:rFonts w:hint="eastAsia"/>
          <w:color w:val="auto"/>
          <w:sz w:val="84"/>
          <w:szCs w:val="84"/>
        </w:rPr>
      </w:pPr>
      <w:r>
        <w:rPr>
          <w:color w:val="auto"/>
          <w:sz w:val="84"/>
          <w:szCs w:val="84"/>
        </w:rPr>
        <w:fldChar w:fldCharType="begin"/>
      </w:r>
      <w:r>
        <w:rPr>
          <w:color w:val="auto"/>
          <w:sz w:val="84"/>
          <w:szCs w:val="84"/>
        </w:rPr>
        <w:instrText xml:space="preserve"> </w:instrText>
      </w:r>
      <w:r>
        <w:rPr>
          <w:rFonts w:hint="eastAsia"/>
          <w:color w:val="auto"/>
          <w:sz w:val="84"/>
          <w:szCs w:val="84"/>
        </w:rPr>
        <w:instrText xml:space="preserve">eq \o\ac(</w:instrText>
      </w:r>
      <w:r>
        <w:rPr>
          <w:rFonts w:hint="eastAsia" w:ascii="宋体"/>
          <w:color w:val="auto"/>
          <w:position w:val="-16"/>
          <w:sz w:val="127"/>
          <w:szCs w:val="84"/>
        </w:rPr>
        <w:instrText xml:space="preserve">○</w:instrText>
      </w:r>
      <w:r>
        <w:rPr>
          <w:rFonts w:hint="eastAsia"/>
          <w:color w:val="auto"/>
          <w:sz w:val="84"/>
          <w:szCs w:val="84"/>
        </w:rPr>
        <w:instrText xml:space="preserve">,H)</w:instrText>
      </w:r>
      <w:r>
        <w:rPr>
          <w:color w:val="auto"/>
          <w:sz w:val="84"/>
          <w:szCs w:val="84"/>
        </w:rPr>
        <w:fldChar w:fldCharType="end"/>
      </w:r>
      <w:r>
        <w:rPr>
          <w:rFonts w:hint="eastAsia"/>
          <w:color w:val="auto"/>
          <w:w w:val="90"/>
          <w:sz w:val="84"/>
          <w:szCs w:val="84"/>
        </w:rPr>
        <w:t>固定资产投资统计</w:t>
      </w:r>
      <w:r>
        <w:rPr>
          <w:color w:val="auto"/>
          <w:w w:val="90"/>
          <w:sz w:val="84"/>
          <w:szCs w:val="84"/>
        </w:rPr>
        <w:br w:type="textWrapping"/>
      </w:r>
      <w:r>
        <w:rPr>
          <w:rFonts w:hint="eastAsia"/>
          <w:color w:val="auto"/>
          <w:w w:val="90"/>
          <w:sz w:val="84"/>
          <w:szCs w:val="84"/>
        </w:rPr>
        <w:t>报表制度</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_GB2312" w:hAnsi="宋体" w:eastAsia="楷体_GB2312" w:cs="楷体_GB2312"/>
          <w:color w:val="auto"/>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_GB2312" w:hAnsi="宋体" w:eastAsia="楷体_GB2312" w:cs="楷体_GB2312"/>
          <w:color w:val="auto"/>
          <w:sz w:val="32"/>
          <w:szCs w:val="32"/>
        </w:rPr>
      </w:pPr>
      <w:r>
        <w:rPr>
          <w:rFonts w:hint="eastAsia" w:ascii="楷体_GB2312" w:hAnsi="宋体" w:eastAsia="楷体_GB2312" w:cs="楷体_GB2312"/>
          <w:color w:val="auto"/>
          <w:sz w:val="32"/>
          <w:szCs w:val="32"/>
        </w:rPr>
        <w:t>（202</w:t>
      </w:r>
      <w:r>
        <w:rPr>
          <w:rFonts w:hint="eastAsia" w:ascii="楷体_GB2312" w:hAnsi="宋体" w:eastAsia="楷体_GB2312" w:cs="楷体_GB2312"/>
          <w:color w:val="auto"/>
          <w:sz w:val="32"/>
          <w:szCs w:val="32"/>
          <w:lang w:val="en-US" w:eastAsia="zh-CN"/>
        </w:rPr>
        <w:t>5</w:t>
      </w:r>
      <w:r>
        <w:rPr>
          <w:rFonts w:hint="eastAsia" w:ascii="楷体_GB2312" w:hAnsi="宋体" w:eastAsia="楷体_GB2312" w:cs="楷体_GB2312"/>
          <w:color w:val="auto"/>
          <w:sz w:val="32"/>
          <w:szCs w:val="32"/>
        </w:rPr>
        <w:t>年统计年报和202</w:t>
      </w:r>
      <w:r>
        <w:rPr>
          <w:rFonts w:hint="eastAsia" w:ascii="楷体_GB2312" w:hAnsi="宋体" w:eastAsia="楷体_GB2312" w:cs="楷体_GB2312"/>
          <w:color w:val="auto"/>
          <w:sz w:val="32"/>
          <w:szCs w:val="32"/>
          <w:lang w:val="en-US" w:eastAsia="zh-CN"/>
        </w:rPr>
        <w:t>6</w:t>
      </w:r>
      <w:r>
        <w:rPr>
          <w:rFonts w:hint="eastAsia" w:ascii="楷体_GB2312" w:hAnsi="宋体" w:eastAsia="楷体_GB2312" w:cs="楷体_GB2312"/>
          <w:color w:val="auto"/>
          <w:sz w:val="32"/>
          <w:szCs w:val="32"/>
        </w:rPr>
        <w:t>年定期统计报表）</w:t>
      </w: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rFonts w:hint="eastAsia"/>
          <w:color w:val="auto"/>
        </w:rPr>
      </w:pPr>
    </w:p>
    <w:p>
      <w:pPr>
        <w:rPr>
          <w:rFonts w:hint="eastAsia"/>
          <w:color w:val="auto"/>
        </w:rPr>
      </w:pPr>
    </w:p>
    <w:p>
      <w:pPr>
        <w:jc w:val="center"/>
        <w:rPr>
          <w:rFonts w:hint="eastAsia" w:ascii="楷体_GB2312" w:eastAsia="楷体_GB2312"/>
          <w:color w:val="auto"/>
          <w:sz w:val="32"/>
          <w:szCs w:val="32"/>
        </w:rPr>
      </w:pPr>
      <w:r>
        <w:rPr>
          <w:rFonts w:hint="eastAsia" w:ascii="楷体_GB2312" w:eastAsia="楷体_GB2312"/>
          <w:color w:val="auto"/>
          <w:sz w:val="32"/>
          <w:szCs w:val="32"/>
        </w:rPr>
        <w:t>国家统计局制定</w:t>
      </w:r>
    </w:p>
    <w:p>
      <w:pPr>
        <w:jc w:val="center"/>
        <w:rPr>
          <w:rFonts w:hint="eastAsia" w:ascii="楷体_GB2312" w:hAnsi="宋体" w:eastAsia="楷体_GB2312" w:cs="楷体_GB2312"/>
          <w:color w:val="auto"/>
          <w:kern w:val="0"/>
          <w:sz w:val="32"/>
          <w:szCs w:val="32"/>
          <w:lang w:eastAsia="zh-CN"/>
        </w:rPr>
      </w:pPr>
      <w:r>
        <w:rPr>
          <w:rFonts w:hint="eastAsia" w:ascii="楷体_GB2312" w:hAnsi="宋体" w:eastAsia="楷体_GB2312" w:cs="楷体_GB2312"/>
          <w:color w:val="auto"/>
          <w:kern w:val="0"/>
          <w:sz w:val="32"/>
          <w:szCs w:val="32"/>
          <w:lang w:eastAsia="zh-CN"/>
        </w:rPr>
        <w:t>广州市统计局补充、印制</w:t>
      </w:r>
    </w:p>
    <w:p>
      <w:pPr>
        <w:autoSpaceDE w:val="0"/>
        <w:autoSpaceDN w:val="0"/>
        <w:adjustRightInd w:val="0"/>
        <w:ind w:firstLine="0" w:firstLineChars="0"/>
        <w:jc w:val="center"/>
        <w:rPr>
          <w:rFonts w:hint="eastAsia" w:ascii="楷体_GB2312" w:hAnsi="宋体" w:eastAsia="楷体_GB2312" w:cs="Times New Roman"/>
          <w:color w:val="auto"/>
          <w:kern w:val="0"/>
          <w:sz w:val="32"/>
          <w:szCs w:val="32"/>
        </w:rPr>
      </w:pPr>
      <w:r>
        <w:rPr>
          <w:rFonts w:ascii="楷体_GB2312" w:hAnsi="宋体" w:eastAsia="楷体_GB2312" w:cs="楷体_GB2312"/>
          <w:color w:val="auto"/>
          <w:kern w:val="0"/>
          <w:sz w:val="32"/>
          <w:szCs w:val="32"/>
        </w:rPr>
        <w:t>20</w:t>
      </w:r>
      <w:r>
        <w:rPr>
          <w:rFonts w:hint="eastAsia" w:ascii="楷体_GB2312" w:hAnsi="宋体" w:eastAsia="楷体_GB2312" w:cs="楷体_GB2312"/>
          <w:color w:val="auto"/>
          <w:kern w:val="0"/>
          <w:sz w:val="32"/>
          <w:szCs w:val="32"/>
          <w:lang w:val="en-US" w:eastAsia="zh-CN"/>
        </w:rPr>
        <w:t>25</w:t>
      </w:r>
      <w:r>
        <w:rPr>
          <w:rFonts w:hint="eastAsia" w:ascii="楷体_GB2312" w:hAnsi="宋体" w:eastAsia="楷体_GB2312" w:cs="楷体_GB2312"/>
          <w:color w:val="auto"/>
          <w:kern w:val="0"/>
          <w:sz w:val="32"/>
          <w:szCs w:val="32"/>
        </w:rPr>
        <w:t>年</w:t>
      </w:r>
      <w:r>
        <w:rPr>
          <w:rFonts w:ascii="楷体_GB2312" w:hAnsi="宋体" w:eastAsia="楷体_GB2312" w:cs="楷体_GB2312"/>
          <w:color w:val="auto"/>
          <w:kern w:val="0"/>
          <w:sz w:val="32"/>
          <w:szCs w:val="32"/>
        </w:rPr>
        <w:t>1</w:t>
      </w:r>
      <w:r>
        <w:rPr>
          <w:rFonts w:hint="eastAsia" w:ascii="楷体_GB2312" w:hAnsi="宋体" w:eastAsia="楷体_GB2312" w:cs="楷体_GB2312"/>
          <w:color w:val="auto"/>
          <w:kern w:val="0"/>
          <w:sz w:val="32"/>
          <w:szCs w:val="32"/>
          <w:lang w:val="en-US" w:eastAsia="zh-CN"/>
        </w:rPr>
        <w:t>2</w:t>
      </w:r>
      <w:r>
        <w:rPr>
          <w:rFonts w:hint="eastAsia" w:ascii="楷体_GB2312" w:hAnsi="宋体" w:eastAsia="楷体_GB2312" w:cs="楷体_GB2312"/>
          <w:color w:val="auto"/>
          <w:kern w:val="0"/>
          <w:sz w:val="32"/>
          <w:szCs w:val="32"/>
        </w:rPr>
        <w:t>月</w:t>
      </w:r>
    </w:p>
    <w:p>
      <w:pPr>
        <w:ind w:firstLine="420" w:firstLineChars="200"/>
        <w:rPr>
          <w:rFonts w:ascii="宋体" w:hAnsi="宋体" w:eastAsia="黑体"/>
          <w:color w:val="auto"/>
        </w:rPr>
        <w:sectPr>
          <w:headerReference r:id="rId5" w:type="first"/>
          <w:headerReference r:id="rId3" w:type="default"/>
          <w:headerReference r:id="rId4" w:type="even"/>
          <w:footerReference r:id="rId6" w:type="even"/>
          <w:pgSz w:w="11906" w:h="16838"/>
          <w:pgMar w:top="1418" w:right="1247" w:bottom="1247" w:left="1247" w:header="851" w:footer="851" w:gutter="0"/>
          <w:pgBorders>
            <w:top w:val="none" w:sz="0" w:space="0"/>
            <w:left w:val="none" w:sz="0" w:space="0"/>
            <w:bottom w:val="none" w:sz="0" w:space="0"/>
            <w:right w:val="none" w:sz="0" w:space="0"/>
          </w:pgBorders>
          <w:cols w:space="720" w:num="1"/>
          <w:docGrid w:type="linesAndChar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楷体_GB2312" w:hAnsi="宋体" w:eastAsia="楷体_GB2312" w:cs="Times New Roman"/>
          <w:color w:val="auto"/>
          <w:spacing w:val="-8"/>
          <w:sz w:val="44"/>
          <w:szCs w:val="44"/>
          <w:lang w:val="en-US"/>
        </w:rPr>
      </w:pPr>
      <w:r>
        <w:rPr>
          <w:rFonts w:ascii="宋体" w:hAnsi="宋体" w:eastAsia="黑体"/>
          <w:color w:val="auto"/>
        </w:rPr>
        <w:br w:type="page"/>
      </w:r>
      <w:r>
        <w:rPr>
          <w:rFonts w:hint="eastAsia" w:ascii="方正小标宋_GBK" w:hAnsi="方正小标宋_GBK" w:eastAsia="方正小标宋_GBK" w:cs="方正小标宋_GBK"/>
          <w:color w:val="auto"/>
          <w:sz w:val="44"/>
          <w:szCs w:val="44"/>
          <w:highlight w:val="none"/>
          <w:lang w:val="en-US" w:eastAsia="zh-CN"/>
        </w:rPr>
        <w:t xml:space="preserve">  </w:t>
      </w:r>
    </w:p>
    <w:p>
      <w:pPr>
        <w:spacing w:line="360" w:lineRule="exact"/>
        <w:jc w:val="center"/>
        <w:rPr>
          <w:rFonts w:hint="eastAsia" w:ascii="楷体_GB2312" w:hAnsi="宋体" w:eastAsia="楷体_GB2312" w:cs="Times New Roman"/>
          <w:color w:val="auto"/>
          <w:spacing w:val="-8"/>
          <w:sz w:val="32"/>
          <w:szCs w:val="32"/>
        </w:rPr>
      </w:pPr>
    </w:p>
    <w:p>
      <w:pPr>
        <w:spacing w:line="480" w:lineRule="exact"/>
        <w:ind w:firstLine="561"/>
        <w:rPr>
          <w:rFonts w:ascii="Times New Roman" w:hAnsi="Times New Roman" w:eastAsia="宋体" w:cs="Times New Roman"/>
          <w:color w:val="auto"/>
          <w:spacing w:val="-8"/>
          <w:sz w:val="28"/>
        </w:rPr>
      </w:pPr>
    </w:p>
    <w:p>
      <w:pPr>
        <w:spacing w:line="480" w:lineRule="exact"/>
        <w:ind w:firstLine="561"/>
        <w:rPr>
          <w:rFonts w:ascii="Times New Roman" w:hAnsi="Times New Roman" w:eastAsia="宋体" w:cs="Times New Roman"/>
          <w:color w:val="auto"/>
          <w:spacing w:val="-8"/>
          <w:sz w:val="28"/>
        </w:rPr>
      </w:pPr>
    </w:p>
    <w:p>
      <w:pPr>
        <w:spacing w:line="480" w:lineRule="exact"/>
        <w:ind w:firstLine="561"/>
        <w:rPr>
          <w:rFonts w:ascii="Times New Roman" w:hAnsi="Times New Roman" w:eastAsia="宋体" w:cs="Times New Roman"/>
          <w:color w:val="auto"/>
          <w:spacing w:val="-8"/>
          <w:sz w:val="28"/>
        </w:rPr>
      </w:pPr>
    </w:p>
    <w:p>
      <w:pPr>
        <w:spacing w:line="480" w:lineRule="exact"/>
        <w:ind w:firstLine="561"/>
        <w:rPr>
          <w:rFonts w:ascii="Times New Roman" w:hAnsi="Times New Roman" w:eastAsia="宋体" w:cs="Times New Roman"/>
          <w:color w:val="auto"/>
          <w:spacing w:val="-8"/>
          <w:sz w:val="28"/>
        </w:rPr>
      </w:pPr>
    </w:p>
    <w:p>
      <w:pPr>
        <w:spacing w:line="480" w:lineRule="exact"/>
        <w:ind w:firstLine="561"/>
        <w:rPr>
          <w:rFonts w:ascii="Times New Roman" w:hAnsi="Times New Roman" w:eastAsia="宋体" w:cs="Times New Roman"/>
          <w:color w:val="auto"/>
          <w:spacing w:val="-8"/>
          <w:sz w:val="28"/>
        </w:rPr>
      </w:pPr>
    </w:p>
    <w:p>
      <w:pPr>
        <w:spacing w:line="480" w:lineRule="exact"/>
        <w:ind w:firstLine="561"/>
        <w:rPr>
          <w:rFonts w:ascii="Times New Roman" w:hAnsi="Times New Roman" w:eastAsia="宋体" w:cs="Times New Roman"/>
          <w:color w:val="auto"/>
          <w:spacing w:val="-8"/>
          <w:sz w:val="28"/>
        </w:rPr>
      </w:pPr>
    </w:p>
    <w:p>
      <w:pPr>
        <w:spacing w:line="360" w:lineRule="exact"/>
        <w:rPr>
          <w:rFonts w:ascii="Times New Roman" w:hAnsi="Times New Roman" w:eastAsia="宋体" w:cs="Times New Roman"/>
          <w:color w:val="auto"/>
          <w:spacing w:val="-8"/>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ascii="Times New Roman" w:hAnsi="Times New Roman" w:eastAsia="宋体" w:cs="Times New Roman"/>
          <w:color w:val="auto"/>
          <w:sz w:val="28"/>
        </w:rPr>
      </w:pPr>
    </w:p>
    <w:p>
      <w:pPr>
        <w:spacing w:line="360" w:lineRule="exact"/>
        <w:rPr>
          <w:rFonts w:hint="eastAsia" w:ascii="Times New Roman" w:hAnsi="Times New Roman" w:eastAsia="宋体" w:cs="Times New Roman"/>
          <w:color w:val="auto"/>
          <w:sz w:val="28"/>
        </w:rPr>
      </w:pPr>
    </w:p>
    <w:p>
      <w:pPr>
        <w:keepNext w:val="0"/>
        <w:keepLines w:val="0"/>
        <w:widowControl/>
        <w:suppressLineNumbers w:val="0"/>
        <w:jc w:val="left"/>
        <w:rPr>
          <w:rFonts w:hint="default"/>
          <w:color w:val="auto"/>
          <w:lang w:val="en-US"/>
        </w:rPr>
      </w:pPr>
      <w:r>
        <w:rPr>
          <w:rFonts w:ascii="宋体" w:hAnsi="宋体" w:eastAsia="宋体" w:cs="宋体"/>
          <w:color w:val="auto"/>
          <w:kern w:val="0"/>
          <w:sz w:val="24"/>
          <w:szCs w:val="24"/>
          <w:lang w:val="en-US" w:eastAsia="zh-CN" w:bidi="ar"/>
        </w:rPr>
        <w:t>本制度由</w:t>
      </w:r>
      <w:r>
        <w:rPr>
          <w:rFonts w:hint="eastAsia" w:ascii="宋体" w:hAnsi="宋体" w:eastAsia="宋体" w:cs="宋体"/>
          <w:color w:val="auto"/>
          <w:kern w:val="0"/>
          <w:sz w:val="24"/>
          <w:szCs w:val="24"/>
          <w:lang w:val="en-US" w:eastAsia="zh-CN" w:bidi="ar"/>
        </w:rPr>
        <w:t>广州市</w:t>
      </w:r>
      <w:r>
        <w:rPr>
          <w:rFonts w:ascii="宋体" w:hAnsi="宋体" w:eastAsia="宋体" w:cs="宋体"/>
          <w:color w:val="auto"/>
          <w:kern w:val="0"/>
          <w:sz w:val="24"/>
          <w:szCs w:val="24"/>
          <w:lang w:val="en-US" w:eastAsia="zh-CN" w:bidi="ar"/>
        </w:rPr>
        <w:t>统计局负责解释</w:t>
      </w:r>
      <w:r>
        <w:rPr>
          <w:rFonts w:hint="eastAsia" w:ascii="宋体" w:hAnsi="宋体" w:cs="宋体"/>
          <w:color w:val="auto"/>
          <w:kern w:val="0"/>
          <w:sz w:val="24"/>
          <w:szCs w:val="24"/>
          <w:lang w:val="en-US" w:eastAsia="zh-CN" w:bidi="ar"/>
        </w:rPr>
        <w:t>。</w:t>
      </w:r>
    </w:p>
    <w:p>
      <w:pPr>
        <w:adjustRightInd w:val="0"/>
        <w:snapToGrid w:val="0"/>
        <w:spacing w:beforeLines="0" w:afterLines="0"/>
        <w:ind w:firstLine="210" w:firstLineChars="100"/>
        <w:jc w:val="left"/>
        <w:rPr>
          <w:rFonts w:hint="default" w:ascii="华文中宋" w:hAnsi="华文中宋" w:eastAsia="华文中宋" w:cs="Times New Roman"/>
          <w:b/>
          <w:color w:val="auto"/>
          <w:sz w:val="44"/>
          <w:szCs w:val="44"/>
          <w:lang w:val="en-US"/>
        </w:rPr>
      </w:pPr>
      <w:r>
        <w:rPr>
          <w:rFonts w:ascii="宋体" w:hAnsi="宋体" w:eastAsia="黑体"/>
          <w:color w:val="auto"/>
        </w:rPr>
        <w:br w:type="page"/>
      </w:r>
      <w:r>
        <w:rPr>
          <w:rFonts w:hint="eastAsia" w:ascii="方正小标宋_GBK" w:hAnsi="方正小标宋_GBK" w:eastAsia="方正小标宋_GBK" w:cs="方正小标宋_GBK"/>
          <w:color w:val="auto"/>
          <w:sz w:val="44"/>
          <w:szCs w:val="44"/>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beforeLines="0" w:afterLines="0"/>
        <w:ind w:firstLine="0" w:firstLineChars="0"/>
        <w:jc w:val="center"/>
        <w:textAlignment w:val="auto"/>
        <w:rPr>
          <w:rFonts w:hint="eastAsia" w:ascii="华文中宋" w:hAnsi="华文中宋" w:eastAsia="华文中宋" w:cs="Times New Roman"/>
          <w:b/>
          <w:color w:val="auto"/>
          <w:sz w:val="40"/>
          <w:szCs w:val="24"/>
        </w:rPr>
      </w:pPr>
      <w:r>
        <w:rPr>
          <w:rFonts w:hint="eastAsia" w:ascii="华文中宋" w:hAnsi="华文中宋" w:eastAsia="华文中宋" w:cs="Times New Roman"/>
          <w:b/>
          <w:color w:val="auto"/>
          <w:sz w:val="44"/>
          <w:szCs w:val="44"/>
        </w:rPr>
        <w:t>广州市统计信用告知书</w:t>
      </w:r>
    </w:p>
    <w:p>
      <w:pPr>
        <w:pStyle w:val="9"/>
        <w:spacing w:beforeLines="0" w:afterLines="0"/>
        <w:rPr>
          <w:rFonts w:hint="default" w:ascii="Times New Roman" w:hAnsi="Times New Roman" w:eastAsia="宋体" w:cs="Times New Roman"/>
          <w:color w:val="auto"/>
          <w:sz w:val="20"/>
          <w:szCs w:val="24"/>
        </w:rPr>
      </w:pPr>
    </w:p>
    <w:p>
      <w:pPr>
        <w:adjustRightInd w:val="0"/>
        <w:snapToGrid w:val="0"/>
        <w:spacing w:beforeLines="0" w:afterLines="0" w:line="600" w:lineRule="exact"/>
        <w:ind w:firstLine="600" w:firstLineChars="200"/>
        <w:rPr>
          <w:rFonts w:hint="eastAsia" w:ascii="仿宋_GB2312" w:hAnsi="仿宋_GB2312" w:eastAsia="仿宋_GB2312" w:cs="仿宋_GB2312"/>
          <w:color w:val="auto"/>
          <w:sz w:val="30"/>
          <w:szCs w:val="30"/>
          <w:lang w:val="zh-CN"/>
        </w:rPr>
      </w:pPr>
      <w:r>
        <w:rPr>
          <w:rFonts w:hint="eastAsia" w:ascii="仿宋_GB2312" w:hAnsi="仿宋_GB2312" w:eastAsia="仿宋_GB2312" w:cs="仿宋_GB2312"/>
          <w:color w:val="auto"/>
          <w:sz w:val="30"/>
          <w:szCs w:val="30"/>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hint="eastAsia" w:ascii="仿宋_GB2312" w:hAnsi="仿宋_GB2312" w:eastAsia="仿宋_GB2312" w:cs="仿宋_GB2312"/>
          <w:color w:val="auto"/>
          <w:sz w:val="30"/>
          <w:szCs w:val="30"/>
        </w:rPr>
        <w:t>统计严重失信行为的，</w:t>
      </w:r>
      <w:r>
        <w:rPr>
          <w:rFonts w:hint="eastAsia" w:ascii="仿宋_GB2312" w:hAnsi="仿宋_GB2312" w:eastAsia="仿宋_GB2312" w:cs="仿宋_GB2312"/>
          <w:color w:val="auto"/>
          <w:sz w:val="30"/>
          <w:szCs w:val="30"/>
          <w:lang w:val="zh-CN"/>
        </w:rPr>
        <w:t>依据《</w:t>
      </w:r>
      <w:r>
        <w:rPr>
          <w:rFonts w:hint="eastAsia" w:ascii="仿宋_GB2312" w:hAnsi="仿宋_GB2312" w:eastAsia="仿宋_GB2312" w:cs="仿宋_GB2312"/>
          <w:color w:val="auto"/>
          <w:sz w:val="30"/>
          <w:szCs w:val="30"/>
        </w:rPr>
        <w:t>统计严重失信</w:t>
      </w:r>
      <w:r>
        <w:rPr>
          <w:rFonts w:hint="eastAsia" w:ascii="仿宋_GB2312" w:hAnsi="仿宋_GB2312" w:eastAsia="仿宋_GB2312" w:cs="仿宋_GB2312"/>
          <w:color w:val="auto"/>
          <w:sz w:val="30"/>
          <w:szCs w:val="30"/>
          <w:lang w:val="zh-CN"/>
        </w:rPr>
        <w:t>企业信用管理办法》的规定认定为统计严重失信企业。</w:t>
      </w:r>
    </w:p>
    <w:p>
      <w:pPr>
        <w:adjustRightInd w:val="0"/>
        <w:snapToGrid w:val="0"/>
        <w:spacing w:beforeLines="0" w:afterLines="0" w:line="600" w:lineRule="exact"/>
        <w:ind w:firstLine="600" w:firstLineChars="200"/>
        <w:rPr>
          <w:rFonts w:hint="eastAsia" w:ascii="仿宋_GB2312" w:hAnsi="仿宋_GB2312" w:eastAsia="仿宋_GB2312" w:cs="仿宋_GB2312"/>
          <w:color w:val="auto"/>
          <w:sz w:val="30"/>
          <w:szCs w:val="30"/>
          <w:lang w:val="zh-CN"/>
        </w:rPr>
      </w:pPr>
      <w:r>
        <w:rPr>
          <w:rFonts w:hint="eastAsia" w:ascii="仿宋_GB2312" w:hAnsi="仿宋_GB2312" w:eastAsia="仿宋_GB2312" w:cs="仿宋_GB2312"/>
          <w:color w:val="auto"/>
          <w:sz w:val="30"/>
          <w:szCs w:val="30"/>
          <w:lang w:val="zh-CN"/>
        </w:rPr>
        <w:t>统计严重失信信息将通过广州市统计局门户网站公开，</w:t>
      </w:r>
      <w:r>
        <w:rPr>
          <w:rFonts w:hint="eastAsia" w:ascii="仿宋_GB2312" w:hAnsi="仿宋_GB2312" w:eastAsia="仿宋_GB2312" w:cs="仿宋_GB2312"/>
          <w:color w:val="auto"/>
          <w:sz w:val="30"/>
          <w:szCs w:val="30"/>
        </w:rPr>
        <w:t>并</w:t>
      </w:r>
      <w:r>
        <w:rPr>
          <w:rFonts w:hint="eastAsia" w:ascii="仿宋_GB2312" w:hAnsi="仿宋_GB2312" w:eastAsia="仿宋_GB2312" w:cs="仿宋_GB2312"/>
          <w:color w:val="auto"/>
          <w:sz w:val="30"/>
          <w:szCs w:val="30"/>
          <w:lang w:val="zh-CN"/>
        </w:rPr>
        <w:t>推送到上一级统计机构，</w:t>
      </w:r>
      <w:r>
        <w:rPr>
          <w:rFonts w:hint="eastAsia" w:ascii="仿宋_GB2312" w:hAnsi="仿宋_GB2312" w:eastAsia="仿宋_GB2312" w:cs="仿宋_GB2312"/>
          <w:color w:val="auto"/>
          <w:sz w:val="30"/>
          <w:szCs w:val="30"/>
        </w:rPr>
        <w:t>最终由</w:t>
      </w:r>
      <w:r>
        <w:rPr>
          <w:rFonts w:hint="eastAsia" w:ascii="仿宋_GB2312" w:hAnsi="仿宋_GB2312" w:eastAsia="仿宋_GB2312" w:cs="仿宋_GB2312"/>
          <w:color w:val="auto"/>
          <w:sz w:val="30"/>
          <w:szCs w:val="30"/>
          <w:lang w:val="zh-CN"/>
        </w:rPr>
        <w:t>国家统计局推送至全国信用信息共享平台和国家企业信用信息公示系统，并在“信用中国”网站等公示。</w:t>
      </w:r>
      <w:r>
        <w:rPr>
          <w:rFonts w:hint="eastAsia" w:ascii="仿宋_GB2312" w:hAnsi="Times New Roman" w:eastAsia="仿宋_GB2312" w:cs="Times New Roman"/>
          <w:color w:val="auto"/>
          <w:sz w:val="30"/>
          <w:szCs w:val="30"/>
        </w:rPr>
        <w:t>公示信息包括企业名称、地址、统一社会信用代码、法定代表人或者负责人、统计违法行为、依法处理</w:t>
      </w:r>
      <w:r>
        <w:rPr>
          <w:rFonts w:hint="eastAsia" w:ascii="仿宋_GB2312" w:hAnsi="Times New Roman" w:eastAsia="仿宋_GB2312" w:cs="Times New Roman"/>
          <w:color w:val="auto"/>
          <w:sz w:val="30"/>
          <w:szCs w:val="24"/>
        </w:rPr>
        <w:t>情</w:t>
      </w:r>
      <w:r>
        <w:rPr>
          <w:rFonts w:hint="eastAsia" w:ascii="仿宋_GB2312" w:hAnsi="Times New Roman" w:eastAsia="仿宋_GB2312" w:cs="Times New Roman"/>
          <w:color w:val="auto"/>
          <w:sz w:val="30"/>
          <w:szCs w:val="30"/>
        </w:rPr>
        <w:t>况等。</w:t>
      </w:r>
    </w:p>
    <w:p>
      <w:pPr>
        <w:tabs>
          <w:tab w:val="left" w:pos="9030"/>
        </w:tabs>
        <w:adjustRightInd w:val="0"/>
        <w:snapToGrid w:val="0"/>
        <w:spacing w:beforeLines="0" w:afterLines="0" w:line="600" w:lineRule="exact"/>
        <w:ind w:firstLine="600" w:firstLineChars="200"/>
        <w:rPr>
          <w:rFonts w:hint="eastAsia" w:ascii="仿宋_GB2312" w:hAnsi="仿宋_GB2312" w:eastAsia="仿宋_GB2312" w:cs="仿宋_GB2312"/>
          <w:color w:val="auto"/>
          <w:sz w:val="30"/>
          <w:szCs w:val="30"/>
          <w:lang w:val="zh-CN"/>
        </w:rPr>
      </w:pPr>
      <w:r>
        <w:rPr>
          <w:rFonts w:hint="default" w:ascii="仿宋_GB2312" w:hAnsi="仿宋_GB2312" w:eastAsia="仿宋_GB2312" w:cs="仿宋_GB2312"/>
          <w:color w:val="auto"/>
          <w:sz w:val="30"/>
          <w:szCs w:val="30"/>
          <w:lang w:val="zh-CN"/>
        </w:rPr>
        <mc:AlternateContent>
          <mc:Choice Requires="wpg">
            <w:drawing>
              <wp:anchor distT="0" distB="0" distL="114300" distR="114300" simplePos="0" relativeHeight="251660288" behindDoc="0" locked="0" layoutInCell="1" allowOverlap="1">
                <wp:simplePos x="0" y="0"/>
                <wp:positionH relativeFrom="page">
                  <wp:posOffset>4388485</wp:posOffset>
                </wp:positionH>
                <wp:positionV relativeFrom="paragraph">
                  <wp:posOffset>728980</wp:posOffset>
                </wp:positionV>
                <wp:extent cx="1520190" cy="1548130"/>
                <wp:effectExtent l="36830" t="4445" r="43180" b="28575"/>
                <wp:wrapNone/>
                <wp:docPr id="7" name="组合 7"/>
                <wp:cNvGraphicFramePr/>
                <a:graphic xmlns:a="http://schemas.openxmlformats.org/drawingml/2006/main">
                  <a:graphicData uri="http://schemas.microsoft.com/office/word/2010/wordprocessingGroup">
                    <wpg:wgp>
                      <wpg:cNvGrpSpPr/>
                      <wpg:grpSpPr>
                        <a:xfrm>
                          <a:off x="0" y="0"/>
                          <a:ext cx="1520190" cy="1548130"/>
                          <a:chOff x="6911" y="1148"/>
                          <a:chExt cx="2394" cy="2438"/>
                        </a:xfrm>
                      </wpg:grpSpPr>
                      <pic:pic xmlns:pic="http://schemas.openxmlformats.org/drawingml/2006/picture">
                        <pic:nvPicPr>
                          <pic:cNvPr id="5" name="图片 4"/>
                          <pic:cNvPicPr>
                            <a:picLocks noChangeAspect="true"/>
                          </pic:cNvPicPr>
                        </pic:nvPicPr>
                        <pic:blipFill>
                          <a:blip r:embed="rId11"/>
                          <a:stretch>
                            <a:fillRect/>
                          </a:stretch>
                        </pic:blipFill>
                        <pic:spPr>
                          <a:xfrm>
                            <a:off x="6911" y="1148"/>
                            <a:ext cx="2394" cy="2438"/>
                          </a:xfrm>
                          <a:prstGeom prst="rect">
                            <a:avLst/>
                          </a:prstGeom>
                          <a:noFill/>
                          <a:ln>
                            <a:noFill/>
                          </a:ln>
                        </pic:spPr>
                      </pic:pic>
                      <wps:wsp>
                        <wps:cNvPr id="2" name="文本框 2"/>
                        <wps:cNvSpPr txBox="true"/>
                        <wps:spPr>
                          <a:xfrm rot="2460000">
                            <a:off x="6911" y="1148"/>
                            <a:ext cx="2394" cy="2438"/>
                          </a:xfrm>
                          <a:prstGeom prst="rect">
                            <a:avLst/>
                          </a:prstGeom>
                          <a:noFill/>
                          <a:ln>
                            <a:noFill/>
                          </a:ln>
                        </wps:spPr>
                        <wps:txbx>
                          <w:txbxContent>
                            <w:p>
                              <w:pPr>
                                <w:spacing w:beforeLines="0" w:afterLines="0"/>
                                <w:rPr>
                                  <w:rFonts w:hint="default" w:ascii="Times New Roman" w:hAnsi="Times New Roman" w:eastAsia="宋体" w:cs="Times New Roman"/>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wps:txbx>
                        <wps:bodyPr lIns="0" tIns="0" rIns="0" bIns="0" upright="true"/>
                      </wps:wsp>
                    </wpg:wgp>
                  </a:graphicData>
                </a:graphic>
              </wp:anchor>
            </w:drawing>
          </mc:Choice>
          <mc:Fallback>
            <w:pict>
              <v:group id="_x0000_s1026" o:spid="_x0000_s1026" o:spt="203" style="position:absolute;left:0pt;margin-left:345.55pt;margin-top:57.4pt;height:121.9pt;width:119.7pt;mso-position-horizontal-relative:page;z-index:251660288;mso-width-relative:page;mso-height-relative:page;" coordorigin="6911,1148" coordsize="2394,2438" o:gfxdata="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">
                <o:lock v:ext="edit" aspectratio="f"/>
                <v:shape id="图片 4" o:spid="_x0000_s1026" o:spt="75" type="#_x0000_t75" style="position:absolute;left:6911;top:1148;height:2438;width:2394;" filled="f" o:preferrelative="t" stroked="f" coordsize="21600,21600" o:gfxdata="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9fKUb0AAADaAAAADwAAAAAAAAABACAAAAA4AAAAZHJzL2Rvd25yZXYu&#10;eG1sUEsBAhQAFAAAAAgAh07iQDMvBZ47AAAAOQAAABAAAAAAAAAAAQAgAAAAIgEAAGRycy9zaGFw&#10;ZXhtbC54bWxQSwUGAAAAAAYABgBbAQAAzAMAAAAA&#10;">
                  <v:fill on="f" focussize="0,0"/>
                  <v:stroke on="f"/>
                  <v:imagedata r:id="rId11" o:title=""/>
                  <o:lock v:ext="edit" aspectratio="t"/>
                </v:shape>
                <v:shape id="_x0000_s1026" o:spid="_x0000_s1026" o:spt="202" type="#_x0000_t202" style="position:absolute;left:6911;top:1148;height:2438;width:2394;rotation:2686976f;" filled="f" stroked="f" coordsize="21600,21600" o:gfxdata="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fe/2MLoAAADaAAAADwAAAAAAAAABACAAAAA4AAAAZHJzL2Rvd25yZXYueG1s&#10;UEsBAhQAFAAAAAgAh07iQDMvBZ47AAAAOQAAABAAAAAAAAAAAQAgAAAAHwEAAGRycy9zaGFwZXht&#10;bC54bWxQSwUGAAAAAAYABgBbAQAAyQMAAAAA&#10;">
                  <v:fill on="f" focussize="0,0"/>
                  <v:stroke on="f"/>
                  <v:imagedata o:title=""/>
                  <o:lock v:ext="edit" aspectratio="f"/>
                  <v:textbox inset="0mm,0mm,0mm,0mm">
                    <w:txbxContent>
                      <w:p>
                        <w:pPr>
                          <w:spacing w:beforeLines="0" w:afterLines="0"/>
                          <w:rPr>
                            <w:rFonts w:hint="default" w:ascii="Times New Roman" w:hAnsi="Times New Roman" w:eastAsia="宋体" w:cs="Times New Roman"/>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v:textbox>
                </v:shape>
              </v:group>
            </w:pict>
          </mc:Fallback>
        </mc:AlternateContent>
      </w:r>
      <w:r>
        <w:rPr>
          <w:rFonts w:hint="eastAsia" w:ascii="仿宋_GB2312" w:hAnsi="仿宋_GB2312" w:eastAsia="仿宋_GB2312" w:cs="仿宋_GB2312"/>
          <w:color w:val="auto"/>
          <w:sz w:val="30"/>
          <w:szCs w:val="30"/>
          <w:lang w:val="zh-CN"/>
        </w:rPr>
        <w:t>统计调查对象的理解、配合和支持是保证广州市统计工作顺利开展的关键！衷心感谢你单位对广州市统计工作的大力支持！</w:t>
      </w:r>
    </w:p>
    <w:p>
      <w:pPr>
        <w:pStyle w:val="9"/>
        <w:spacing w:before="10" w:beforeLines="0" w:afterLines="0"/>
        <w:rPr>
          <w:rFonts w:hint="default" w:ascii="Times New Roman" w:hAnsi="Times New Roman" w:eastAsia="宋体" w:cs="Times New Roman"/>
          <w:color w:val="auto"/>
          <w:sz w:val="13"/>
          <w:szCs w:val="24"/>
        </w:rPr>
      </w:pPr>
      <w:r>
        <w:rPr>
          <w:rFonts w:hint="default" w:ascii="Times New Roman" w:hAnsi="Times New Roman" w:eastAsia="宋体" w:cs="Times New Roman"/>
          <w:color w:val="auto"/>
          <w:sz w:val="20"/>
          <w:szCs w:val="24"/>
        </w:rPr>
        <w:drawing>
          <wp:anchor distT="0" distB="0" distL="114300" distR="114300" simplePos="0" relativeHeight="251659264" behindDoc="0" locked="0" layoutInCell="1" allowOverlap="1">
            <wp:simplePos x="0" y="0"/>
            <wp:positionH relativeFrom="page">
              <wp:posOffset>1355090</wp:posOffset>
            </wp:positionH>
            <wp:positionV relativeFrom="paragraph">
              <wp:posOffset>535940</wp:posOffset>
            </wp:positionV>
            <wp:extent cx="967105" cy="967105"/>
            <wp:effectExtent l="0" t="0" r="4445" b="4445"/>
            <wp:wrapTopAndBottom/>
            <wp:docPr id="4" name="image3.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image3.png"/>
                    <pic:cNvPicPr>
                      <a:picLocks noChangeAspect="true"/>
                    </pic:cNvPicPr>
                  </pic:nvPicPr>
                  <pic:blipFill>
                    <a:blip r:embed="rId12"/>
                    <a:stretch>
                      <a:fillRect/>
                    </a:stretch>
                  </pic:blipFill>
                  <pic:spPr>
                    <a:xfrm>
                      <a:off x="0" y="0"/>
                      <a:ext cx="967105" cy="967105"/>
                    </a:xfrm>
                    <a:prstGeom prst="rect">
                      <a:avLst/>
                    </a:prstGeom>
                    <a:noFill/>
                    <a:ln>
                      <a:noFill/>
                    </a:ln>
                  </pic:spPr>
                </pic:pic>
              </a:graphicData>
            </a:graphic>
          </wp:anchor>
        </w:drawing>
      </w:r>
    </w:p>
    <w:p>
      <w:pPr>
        <w:adjustRightInd w:val="0"/>
        <w:snapToGrid w:val="0"/>
        <w:spacing w:before="120" w:beforeLines="50" w:after="120" w:afterLines="50" w:line="420" w:lineRule="exact"/>
        <w:rPr>
          <w:rFonts w:hint="default"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请扫二维码，关注“广州统计”</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default" w:ascii="Times New Roman" w:hAnsi="Times New Roman" w:eastAsia="华文中宋" w:cs="Times New Roman"/>
          <w:b/>
          <w:bCs w:val="0"/>
          <w:color w:val="auto"/>
          <w:kern w:val="2"/>
          <w:sz w:val="30"/>
          <w:szCs w:val="30"/>
        </w:rPr>
      </w:pPr>
      <w:r>
        <w:rPr>
          <w:rFonts w:hint="eastAsia" w:ascii="华文中宋" w:hAnsi="华文中宋" w:eastAsia="华文中宋" w:cs="华文中宋"/>
          <w:b/>
          <w:bCs w:val="0"/>
          <w:color w:val="auto"/>
          <w:kern w:val="2"/>
          <w:sz w:val="30"/>
          <w:szCs w:val="30"/>
          <w:lang w:val="en-US" w:eastAsia="zh-CN" w:bidi="ar"/>
        </w:rPr>
        <w:t>《中华人民共和国统计法》的有关规定</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楷体_GB2312" w:hAnsi="Times New Roman" w:eastAsia="楷体_GB2312" w:cs="楷体_GB2312"/>
          <w:b/>
          <w:bCs w:val="0"/>
          <w:color w:val="auto"/>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第八条  </w:t>
      </w:r>
      <w:r>
        <w:rPr>
          <w:rFonts w:hint="eastAsia" w:ascii="宋体" w:hAnsi="宋体" w:eastAsia="宋体" w:cs="宋体"/>
          <w:color w:val="auto"/>
          <w:kern w:val="2"/>
          <w:sz w:val="21"/>
          <w:szCs w:val="21"/>
          <w:lang w:val="en-US" w:eastAsia="zh-CN" w:bidi="ar"/>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第十一条  </w:t>
      </w:r>
      <w:r>
        <w:rPr>
          <w:rFonts w:hint="eastAsia" w:ascii="宋体" w:hAnsi="宋体" w:eastAsia="宋体" w:cs="宋体"/>
          <w:color w:val="auto"/>
          <w:kern w:val="2"/>
          <w:sz w:val="21"/>
          <w:szCs w:val="21"/>
          <w:lang w:val="en-US" w:eastAsia="zh-CN" w:bidi="ar"/>
        </w:rPr>
        <w:t>统计机构和统计人员对在统计工作中知悉的国家秘密、工作秘密、商业秘密、个人隐私和个人信息，应当予以保密，不得泄露或者向他人非法提供。</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第二十四条  </w:t>
      </w:r>
      <w:r>
        <w:rPr>
          <w:rFonts w:hint="eastAsia" w:ascii="宋体" w:hAnsi="宋体" w:eastAsia="宋体" w:cs="宋体"/>
          <w:color w:val="auto"/>
          <w:kern w:val="2"/>
          <w:sz w:val="21"/>
          <w:szCs w:val="21"/>
          <w:lang w:val="en-US" w:eastAsia="zh-CN" w:bidi="ar"/>
        </w:rPr>
        <w:t>国家机关、企业事业单位和其他组织等统计调查对象，应当按照国家有关规定设置原始记录、统计台账，推动统计台账电子化、数字化、标准化，建立健全统计资料的审核、签署、报送、归档等管理制度。</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统计资料的审核、签署人员应当对其审核、签署的统计资料的真实性、准确性和完整性负责。</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第四十四条 </w:t>
      </w:r>
      <w:r>
        <w:rPr>
          <w:rFonts w:hint="eastAsia" w:ascii="宋体" w:hAnsi="宋体" w:eastAsia="宋体" w:cs="宋体"/>
          <w:color w:val="auto"/>
          <w:kern w:val="2"/>
          <w:sz w:val="21"/>
          <w:szCs w:val="21"/>
          <w:lang w:val="en-US" w:eastAsia="zh-CN" w:bidi="ar"/>
        </w:rPr>
        <w:t xml:space="preserve">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（一）拒绝提供统计资料或者经催报后仍未按时提供统计资料的；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（二）提供不真实或者不完整的统计资料的；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（三）拒绝答复或者不如实答复统计检查查询书的；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（四）拒绝、阻碍统计调查、统计检查的；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（五）转移、隐匿、篡改、毁弃或者拒绝提供原始记录和凭证、统计台账、统计调查表及其他相关证明和资料的。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企业事业单位或者其他组织有前款所列行为之一的，可以并处十万元以下的罚款；情节严重的，并处十万元以上五十万元以下的罚款。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个体工商户有本条第一款所列行为之一的，由县级以上人民政府统计机构责令改正，给予警告，可以并处一万元以下的罚款。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第四十五条</w:t>
      </w:r>
      <w:r>
        <w:rPr>
          <w:rFonts w:hint="eastAsia" w:ascii="宋体" w:hAnsi="宋体" w:cs="宋体"/>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企业事业单位或者其他组织有前款所列行为之一的，可以并处五万元以下的罚款。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个体工商户迟报统计资料的，由县级以上人民政府统计机构责令改正，给予警告，可以并处一千元以下的罚款。</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default" w:ascii="华文中宋" w:hAnsi="华文中宋" w:eastAsia="华文中宋" w:cs="华文中宋"/>
          <w:b/>
          <w:bCs w:val="0"/>
          <w:color w:val="auto"/>
          <w:kern w:val="2"/>
          <w:sz w:val="30"/>
          <w:szCs w:val="30"/>
          <w:lang w:val="en-US" w:eastAsia="zh-CN" w:bidi="ar"/>
        </w:rPr>
      </w:pPr>
      <w:r>
        <w:rPr>
          <w:rFonts w:hint="eastAsia" w:ascii="华文中宋" w:hAnsi="华文中宋" w:eastAsia="华文中宋" w:cs="华文中宋"/>
          <w:b/>
          <w:bCs w:val="0"/>
          <w:color w:val="auto"/>
          <w:kern w:val="2"/>
          <w:sz w:val="30"/>
          <w:szCs w:val="30"/>
          <w:lang w:val="en-US" w:eastAsia="zh-CN" w:bidi="ar"/>
        </w:rPr>
        <w:t>《中华人民共和国统计法实施条例》的有关规定</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楷体_GB2312" w:hAnsi="Times New Roman" w:eastAsia="楷体_GB2312" w:cs="楷体_GB2312"/>
          <w:b/>
          <w:bCs w:val="0"/>
          <w:color w:val="auto"/>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第四条第三款</w:t>
      </w:r>
      <w:r>
        <w:rPr>
          <w:rFonts w:hint="eastAsia" w:ascii="楷体_GB2312" w:hAnsi="Times New Roman" w:eastAsia="楷体_GB2312" w:cs="楷体_GB2312"/>
          <w:color w:val="auto"/>
          <w:kern w:val="2"/>
          <w:sz w:val="21"/>
          <w:szCs w:val="21"/>
          <w:lang w:val="en-US" w:eastAsia="zh-CN" w:bidi="ar"/>
        </w:rPr>
        <w:t xml:space="preserve"> </w:t>
      </w:r>
      <w:r>
        <w:rPr>
          <w:rFonts w:hint="default" w:ascii="Times New Roman" w:hAnsi="Times New Roman" w:eastAsia="宋体" w:cs="Times New Roman"/>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统计调查对象应当依照统计法和国家有关规定，真实、准确、完整、及时地提供统计资料，拒绝、抵制弄虚作假等违法行为。</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第十七条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统计调查对象使用网络提供统计资料的，按照国家有关规定执行。</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第二十三条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统计调查对象按照国家有关规定设置的原始记录和统计台账，应当至少保存</w:t>
      </w:r>
      <w:r>
        <w:rPr>
          <w:rFonts w:hint="default" w:ascii="Times New Roman" w:hAnsi="Times New Roman" w:eastAsia="宋体" w:cs="Times New Roman"/>
          <w:color w:val="auto"/>
          <w:kern w:val="2"/>
          <w:sz w:val="21"/>
          <w:szCs w:val="21"/>
          <w:lang w:val="en-US" w:eastAsia="zh-CN" w:bidi="ar"/>
        </w:rPr>
        <w:t>2</w:t>
      </w:r>
      <w:r>
        <w:rPr>
          <w:rFonts w:hint="eastAsia" w:ascii="宋体" w:hAnsi="宋体" w:eastAsia="宋体" w:cs="宋体"/>
          <w:color w:val="auto"/>
          <w:kern w:val="2"/>
          <w:sz w:val="21"/>
          <w:szCs w:val="21"/>
          <w:lang w:val="en-US" w:eastAsia="zh-CN" w:bidi="ar"/>
        </w:rPr>
        <w:t>年。</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 xml:space="preserve">第三十七条 </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任何单位和个人不得拒绝、阻碍对统计工作的监督检查和对统计违法行为的查处工作，不得包庇、纵容统计违法行为。</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方正小标宋_GBK" w:hAnsi="方正小标宋_GBK" w:eastAsia="方正小标宋_GBK" w:cs="方正小标宋_GBK"/>
          <w:color w:val="auto"/>
          <w:kern w:val="2"/>
          <w:sz w:val="36"/>
          <w:szCs w:val="36"/>
        </w:rPr>
      </w:pPr>
      <w:r>
        <w:rPr>
          <w:rFonts w:hint="eastAsia" w:ascii="楷体_GB2312" w:hAnsi="Times New Roman" w:eastAsia="楷体_GB2312" w:cs="楷体_GB2312"/>
          <w:b/>
          <w:bCs w:val="0"/>
          <w:color w:val="auto"/>
          <w:kern w:val="2"/>
          <w:sz w:val="21"/>
          <w:szCs w:val="21"/>
          <w:lang w:val="en-US" w:eastAsia="zh-CN" w:bidi="ar"/>
        </w:rPr>
        <w:t>第五十一条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统计违法行为涉嫌犯罪的，县级以上人民政府统计机构应当将案件移送司法机关处理。</w:t>
      </w:r>
    </w:p>
    <w:p>
      <w:pPr>
        <w:ind w:firstLine="600" w:firstLineChars="200"/>
        <w:rPr>
          <w:rFonts w:hint="eastAsia" w:ascii="宋体" w:hAnsi="宋体" w:eastAsia="黑体"/>
          <w:color w:val="auto"/>
        </w:rPr>
        <w:sectPr>
          <w:headerReference r:id="rId7" w:type="default"/>
          <w:type w:val="continuous"/>
          <w:pgSz w:w="11906" w:h="16838"/>
          <w:pgMar w:top="1418" w:right="1247" w:bottom="1247" w:left="1247" w:header="851" w:footer="851" w:gutter="0"/>
          <w:pgBorders>
            <w:top w:val="none" w:sz="0" w:space="0"/>
            <w:left w:val="none" w:sz="0" w:space="0"/>
            <w:bottom w:val="none" w:sz="0" w:space="0"/>
            <w:right w:val="none" w:sz="0" w:space="0"/>
          </w:pgBorders>
          <w:pgNumType w:start="1"/>
          <w:cols w:space="720" w:num="1"/>
          <w:docGrid w:type="linesAndChars" w:linePitch="312" w:charSpace="0"/>
        </w:sectPr>
      </w:pPr>
      <w:r>
        <w:rPr>
          <w:rFonts w:hint="eastAsia" w:hAnsi="华文中宋" w:eastAsia="华文中宋"/>
          <w:b/>
          <w:color w:val="auto"/>
          <w:sz w:val="30"/>
          <w:szCs w:val="30"/>
        </w:rPr>
        <w:br w:type="page"/>
      </w:r>
    </w:p>
    <w:p>
      <w:pPr>
        <w:keepNext w:val="0"/>
        <w:keepLines w:val="0"/>
        <w:pageBreakBefore w:val="0"/>
        <w:widowControl w:val="0"/>
        <w:kinsoku/>
        <w:wordWrap/>
        <w:overflowPunct/>
        <w:topLinePunct w:val="0"/>
        <w:autoSpaceDE/>
        <w:autoSpaceDN/>
        <w:bidi w:val="0"/>
        <w:adjustRightInd/>
        <w:snapToGrid w:val="0"/>
        <w:spacing w:before="313" w:beforeLines="100" w:after="624" w:afterLines="200"/>
        <w:jc w:val="center"/>
        <w:textAlignment w:val="auto"/>
        <w:outlineLvl w:val="0"/>
        <w:rPr>
          <w:rFonts w:eastAsia="黑体"/>
          <w:color w:val="auto"/>
          <w:sz w:val="32"/>
        </w:rPr>
      </w:pPr>
      <w:r>
        <w:rPr>
          <w:rFonts w:hint="eastAsia" w:eastAsia="黑体"/>
          <w:color w:val="auto"/>
          <w:sz w:val="32"/>
        </w:rPr>
        <w:t xml:space="preserve">目 </w:t>
      </w:r>
      <w:r>
        <w:rPr>
          <w:rFonts w:eastAsia="黑体"/>
          <w:color w:val="auto"/>
          <w:sz w:val="32"/>
        </w:rPr>
        <w:t xml:space="preserve">  </w:t>
      </w:r>
      <w:r>
        <w:rPr>
          <w:rFonts w:hint="eastAsia" w:eastAsia="黑体"/>
          <w:color w:val="auto"/>
          <w:sz w:val="32"/>
        </w:rPr>
        <w:t xml:space="preserve"> 录</w:t>
      </w:r>
    </w:p>
    <w:p>
      <w:pPr>
        <w:tabs>
          <w:tab w:val="right" w:leader="middleDot" w:pos="8820"/>
        </w:tabs>
        <w:snapToGrid w:val="0"/>
        <w:spacing w:line="360" w:lineRule="auto"/>
        <w:ind w:left="420" w:leftChars="200"/>
        <w:jc w:val="left"/>
        <w:rPr>
          <w:color w:val="auto"/>
        </w:rPr>
      </w:pPr>
      <w:r>
        <w:rPr>
          <w:rFonts w:hint="eastAsia"/>
          <w:bCs/>
          <w:color w:val="auto"/>
        </w:rPr>
        <w:t>一、</w:t>
      </w:r>
      <w:r>
        <w:rPr>
          <w:rFonts w:hint="eastAsia"/>
          <w:color w:val="auto"/>
        </w:rPr>
        <w:t>总说明</w:t>
      </w:r>
      <w:r>
        <w:rPr>
          <w:rFonts w:hint="eastAsia"/>
          <w:color w:val="auto"/>
        </w:rPr>
        <w:tab/>
      </w:r>
      <w:r>
        <w:rPr>
          <w:color w:val="auto"/>
        </w:rPr>
        <w:t>2</w:t>
      </w:r>
    </w:p>
    <w:p>
      <w:pPr>
        <w:tabs>
          <w:tab w:val="right" w:leader="middleDot" w:pos="8820"/>
        </w:tabs>
        <w:snapToGrid w:val="0"/>
        <w:spacing w:line="360" w:lineRule="auto"/>
        <w:ind w:left="420" w:leftChars="200"/>
        <w:jc w:val="left"/>
        <w:rPr>
          <w:rFonts w:hint="eastAsia"/>
          <w:color w:val="auto"/>
          <w:lang w:val="en-US" w:eastAsia="zh-CN"/>
        </w:rPr>
      </w:pPr>
      <w:r>
        <w:rPr>
          <w:rFonts w:hint="eastAsia"/>
          <w:color w:val="auto"/>
        </w:rPr>
        <w:t>二、报表目录</w:t>
      </w:r>
      <w:r>
        <w:rPr>
          <w:rFonts w:hint="eastAsia"/>
          <w:color w:val="auto"/>
        </w:rPr>
        <w:tab/>
      </w:r>
      <w:r>
        <w:rPr>
          <w:rFonts w:hint="eastAsia"/>
          <w:color w:val="auto"/>
          <w:lang w:val="en-US" w:eastAsia="zh-CN"/>
        </w:rPr>
        <w:t>5</w:t>
      </w:r>
    </w:p>
    <w:p>
      <w:pPr>
        <w:tabs>
          <w:tab w:val="right" w:leader="middleDot" w:pos="8820"/>
        </w:tabs>
        <w:snapToGrid w:val="0"/>
        <w:spacing w:line="360" w:lineRule="auto"/>
        <w:ind w:left="420" w:leftChars="200"/>
        <w:jc w:val="left"/>
        <w:rPr>
          <w:rFonts w:hint="eastAsia" w:eastAsia="宋体"/>
          <w:color w:val="auto"/>
          <w:lang w:val="en-US" w:eastAsia="zh-CN"/>
        </w:rPr>
      </w:pPr>
      <w:r>
        <w:rPr>
          <w:rFonts w:hint="eastAsia"/>
          <w:color w:val="auto"/>
        </w:rPr>
        <w:t>三、调查表式</w:t>
      </w:r>
      <w:r>
        <w:rPr>
          <w:rFonts w:hint="eastAsia"/>
          <w:color w:val="auto"/>
        </w:rPr>
        <w:tab/>
      </w:r>
      <w:r>
        <w:rPr>
          <w:rFonts w:hint="eastAsia"/>
          <w:color w:val="auto"/>
          <w:lang w:val="en-US" w:eastAsia="zh-CN"/>
        </w:rPr>
        <w:t>6</w:t>
      </w:r>
    </w:p>
    <w:p>
      <w:pPr>
        <w:tabs>
          <w:tab w:val="right" w:leader="middleDot" w:pos="8820"/>
        </w:tabs>
        <w:snapToGrid w:val="0"/>
        <w:spacing w:line="360" w:lineRule="auto"/>
        <w:ind w:left="840" w:leftChars="400"/>
        <w:jc w:val="left"/>
        <w:rPr>
          <w:rFonts w:hint="eastAsia" w:eastAsia="宋体"/>
          <w:color w:val="auto"/>
          <w:lang w:val="en-US" w:eastAsia="zh-CN"/>
        </w:rPr>
      </w:pPr>
      <w:r>
        <w:rPr>
          <w:rFonts w:hint="eastAsia"/>
          <w:color w:val="auto"/>
        </w:rPr>
        <w:t>（一）基层年报表式</w:t>
      </w:r>
      <w:r>
        <w:rPr>
          <w:rFonts w:hint="eastAsia"/>
          <w:color w:val="auto"/>
        </w:rPr>
        <w:tab/>
      </w:r>
      <w:r>
        <w:rPr>
          <w:rFonts w:hint="eastAsia"/>
          <w:color w:val="auto"/>
          <w:lang w:val="en-US" w:eastAsia="zh-CN"/>
        </w:rPr>
        <w:t>6</w:t>
      </w:r>
    </w:p>
    <w:p>
      <w:pPr>
        <w:tabs>
          <w:tab w:val="right" w:leader="middleDot" w:pos="8820"/>
        </w:tabs>
        <w:snapToGrid w:val="0"/>
        <w:spacing w:line="360" w:lineRule="auto"/>
        <w:ind w:left="840" w:leftChars="400" w:firstLine="210" w:firstLineChars="100"/>
        <w:jc w:val="left"/>
        <w:rPr>
          <w:rFonts w:hint="eastAsia" w:eastAsia="宋体"/>
          <w:color w:val="auto"/>
          <w:lang w:val="en-US" w:eastAsia="zh-CN"/>
        </w:rPr>
      </w:pPr>
      <w:r>
        <w:rPr>
          <w:rFonts w:hint="eastAsia"/>
          <w:color w:val="auto"/>
        </w:rPr>
        <w:t>1.一套表调查单位基本情况（</w:t>
      </w:r>
      <w:r>
        <w:rPr>
          <w:color w:val="auto"/>
        </w:rPr>
        <w:t>1</w:t>
      </w:r>
      <w:r>
        <w:rPr>
          <w:rFonts w:hint="eastAsia"/>
          <w:color w:val="auto"/>
        </w:rPr>
        <w:t>01</w:t>
      </w:r>
      <w:r>
        <w:rPr>
          <w:color w:val="auto"/>
        </w:rPr>
        <w:t>-1</w:t>
      </w:r>
      <w:r>
        <w:rPr>
          <w:rFonts w:hint="eastAsia"/>
          <w:color w:val="auto"/>
        </w:rPr>
        <w:t>表）</w:t>
      </w:r>
      <w:r>
        <w:rPr>
          <w:rFonts w:hint="eastAsia"/>
          <w:color w:val="auto"/>
        </w:rPr>
        <w:tab/>
      </w:r>
      <w:r>
        <w:rPr>
          <w:rFonts w:hint="eastAsia"/>
          <w:color w:val="auto"/>
          <w:lang w:val="en-US" w:eastAsia="zh-CN"/>
        </w:rPr>
        <w:t>6</w:t>
      </w:r>
    </w:p>
    <w:p>
      <w:pPr>
        <w:tabs>
          <w:tab w:val="right" w:leader="middleDot" w:pos="8820"/>
        </w:tabs>
        <w:snapToGrid w:val="0"/>
        <w:spacing w:line="360" w:lineRule="auto"/>
        <w:ind w:left="840" w:leftChars="400" w:firstLine="210" w:firstLineChars="100"/>
        <w:jc w:val="left"/>
        <w:rPr>
          <w:rFonts w:hint="default" w:eastAsia="宋体"/>
          <w:color w:val="auto"/>
          <w:lang w:val="en-US" w:eastAsia="zh-CN"/>
        </w:rPr>
      </w:pPr>
      <w:r>
        <w:rPr>
          <w:rFonts w:hint="eastAsia"/>
          <w:color w:val="auto"/>
        </w:rPr>
        <w:t>2.固定资产投资项目新增生产能力（或工程效益）情况（H108表）</w:t>
      </w:r>
      <w:r>
        <w:rPr>
          <w:rFonts w:hint="eastAsia"/>
          <w:color w:val="auto"/>
        </w:rPr>
        <w:tab/>
      </w:r>
      <w:r>
        <w:rPr>
          <w:rFonts w:hint="eastAsia"/>
          <w:color w:val="auto"/>
          <w:lang w:val="en-US" w:eastAsia="zh-CN"/>
        </w:rPr>
        <w:t>9</w:t>
      </w:r>
    </w:p>
    <w:p>
      <w:pPr>
        <w:tabs>
          <w:tab w:val="right" w:leader="middleDot" w:pos="8820"/>
        </w:tabs>
        <w:snapToGrid w:val="0"/>
        <w:spacing w:line="360" w:lineRule="auto"/>
        <w:ind w:left="840" w:leftChars="400"/>
        <w:jc w:val="left"/>
        <w:rPr>
          <w:rFonts w:hint="default" w:eastAsia="宋体"/>
          <w:color w:val="auto"/>
          <w:lang w:val="en-US" w:eastAsia="zh-CN"/>
        </w:rPr>
      </w:pPr>
      <w:r>
        <w:rPr>
          <w:rFonts w:hint="eastAsia"/>
          <w:color w:val="auto"/>
        </w:rPr>
        <w:t>（二）基层定报表式</w:t>
      </w:r>
      <w:r>
        <w:rPr>
          <w:color w:val="auto"/>
        </w:rPr>
        <w:tab/>
      </w:r>
      <w:r>
        <w:rPr>
          <w:rFonts w:hint="eastAsia"/>
          <w:color w:val="auto"/>
          <w:lang w:val="en-US" w:eastAsia="zh-CN"/>
        </w:rPr>
        <w:t>10</w:t>
      </w:r>
    </w:p>
    <w:p>
      <w:pPr>
        <w:tabs>
          <w:tab w:val="right" w:leader="middleDot" w:pos="8820"/>
        </w:tabs>
        <w:snapToGrid w:val="0"/>
        <w:spacing w:line="360" w:lineRule="auto"/>
        <w:ind w:left="840" w:leftChars="400" w:firstLine="225"/>
        <w:jc w:val="left"/>
        <w:rPr>
          <w:rFonts w:hint="default" w:eastAsia="宋体"/>
          <w:color w:val="auto"/>
          <w:lang w:val="en-US" w:eastAsia="zh-CN"/>
        </w:rPr>
      </w:pPr>
      <w:r>
        <w:rPr>
          <w:rFonts w:hint="eastAsia"/>
          <w:color w:val="auto"/>
        </w:rPr>
        <w:t>1.</w:t>
      </w:r>
      <w:r>
        <w:rPr>
          <w:rFonts w:hint="eastAsia"/>
          <w:color w:val="auto"/>
          <w:lang w:eastAsia="zh-CN"/>
        </w:rPr>
        <w:t>一套表</w:t>
      </w:r>
      <w:r>
        <w:rPr>
          <w:rFonts w:hint="eastAsia"/>
          <w:color w:val="auto"/>
        </w:rPr>
        <w:t>调查单位基本情况（201-1表）</w:t>
      </w:r>
      <w:r>
        <w:rPr>
          <w:color w:val="auto"/>
        </w:rPr>
        <w:tab/>
      </w:r>
      <w:r>
        <w:rPr>
          <w:rFonts w:hint="eastAsia"/>
          <w:color w:val="auto"/>
          <w:lang w:val="en-US" w:eastAsia="zh-CN"/>
        </w:rPr>
        <w:t>10</w:t>
      </w:r>
    </w:p>
    <w:p>
      <w:pPr>
        <w:tabs>
          <w:tab w:val="right" w:leader="middleDot" w:pos="8820"/>
        </w:tabs>
        <w:snapToGrid w:val="0"/>
        <w:spacing w:line="360" w:lineRule="auto"/>
        <w:ind w:left="1470" w:leftChars="500" w:hanging="420" w:hangingChars="200"/>
        <w:jc w:val="left"/>
        <w:rPr>
          <w:rFonts w:hint="eastAsia" w:eastAsia="宋体"/>
          <w:color w:val="auto"/>
          <w:lang w:val="en-US" w:eastAsia="zh-CN"/>
        </w:rPr>
      </w:pPr>
      <w:r>
        <w:rPr>
          <w:rFonts w:hint="eastAsia"/>
          <w:color w:val="auto"/>
        </w:rPr>
        <w:t>2.固定资产投资项目情况（206表）</w:t>
      </w:r>
      <w:r>
        <w:rPr>
          <w:color w:val="auto"/>
        </w:rPr>
        <w:tab/>
      </w:r>
      <w:r>
        <w:rPr>
          <w:rFonts w:hint="eastAsia"/>
          <w:color w:val="auto"/>
        </w:rPr>
        <w:t>1</w:t>
      </w:r>
      <w:r>
        <w:rPr>
          <w:rFonts w:hint="eastAsia"/>
          <w:color w:val="auto"/>
          <w:lang w:val="en-US" w:eastAsia="zh-CN"/>
        </w:rPr>
        <w:t>2</w:t>
      </w:r>
    </w:p>
    <w:p>
      <w:pPr>
        <w:tabs>
          <w:tab w:val="right" w:leader="middleDot" w:pos="8820"/>
        </w:tabs>
        <w:snapToGrid w:val="0"/>
        <w:spacing w:line="360" w:lineRule="auto"/>
        <w:ind w:left="1470" w:leftChars="500" w:hanging="420" w:hangingChars="200"/>
        <w:jc w:val="left"/>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w:t>
      </w:r>
      <w:r>
        <w:rPr>
          <w:rFonts w:hint="eastAsia" w:ascii="Times New Roman" w:hAnsi="Times New Roman" w:cs="Times New Roman"/>
          <w:color w:val="auto"/>
          <w:lang w:eastAsia="zh-CN"/>
        </w:rPr>
        <w:t>保障性住房开发及经营情况</w:t>
      </w:r>
      <w:r>
        <w:rPr>
          <w:rFonts w:hint="eastAsia" w:ascii="Times New Roman" w:hAnsi="Times New Roman" w:cs="Times New Roman"/>
          <w:color w:val="auto"/>
        </w:rPr>
        <w:t>（</w:t>
      </w:r>
      <w:r>
        <w:rPr>
          <w:rFonts w:hint="default" w:ascii="Times New Roman" w:hAnsi="Times New Roman" w:cs="Times New Roman"/>
          <w:color w:val="auto"/>
          <w:lang w:val="en"/>
        </w:rPr>
        <w:t>X</w:t>
      </w:r>
      <w:r>
        <w:rPr>
          <w:rFonts w:hint="eastAsia" w:ascii="Times New Roman" w:hAnsi="Times New Roman" w:cs="Times New Roman"/>
          <w:color w:val="auto"/>
        </w:rPr>
        <w:t>20</w:t>
      </w:r>
      <w:r>
        <w:rPr>
          <w:rFonts w:hint="default" w:ascii="Times New Roman" w:hAnsi="Times New Roman" w:cs="Times New Roman"/>
          <w:color w:val="auto"/>
          <w:lang w:val="en"/>
        </w:rPr>
        <w:t>4</w:t>
      </w:r>
      <w:r>
        <w:rPr>
          <w:rFonts w:hint="eastAsia" w:ascii="Times New Roman" w:hAnsi="Times New Roman" w:cs="Times New Roman"/>
          <w:color w:val="auto"/>
          <w:lang w:val="en-US" w:eastAsia="zh-CN"/>
        </w:rPr>
        <w:t>-3</w:t>
      </w:r>
      <w:r>
        <w:rPr>
          <w:rFonts w:hint="eastAsia" w:ascii="Times New Roman" w:hAnsi="Times New Roman" w:cs="Times New Roman"/>
          <w:color w:val="auto"/>
        </w:rPr>
        <w:t>表）</w:t>
      </w:r>
      <w:r>
        <w:rPr>
          <w:color w:val="auto"/>
        </w:rPr>
        <w:tab/>
      </w:r>
      <w:r>
        <w:rPr>
          <w:rFonts w:hint="eastAsia"/>
          <w:color w:val="auto"/>
          <w:lang w:val="en-US" w:eastAsia="zh-CN"/>
        </w:rPr>
        <w:t>14</w:t>
      </w:r>
    </w:p>
    <w:p>
      <w:pPr>
        <w:tabs>
          <w:tab w:val="right" w:leader="middleDot" w:pos="8820"/>
        </w:tabs>
        <w:snapToGrid w:val="0"/>
        <w:spacing w:line="360" w:lineRule="auto"/>
        <w:ind w:left="1470" w:leftChars="500" w:hanging="420" w:hangingChars="200"/>
        <w:jc w:val="left"/>
        <w:rPr>
          <w:rFonts w:hint="eastAsia" w:eastAsia="宋体"/>
          <w:color w:val="auto"/>
          <w:lang w:val="en-US" w:eastAsia="zh-CN"/>
        </w:rPr>
      </w:pPr>
      <w:r>
        <w:rPr>
          <w:rFonts w:hint="eastAsia"/>
          <w:color w:val="auto"/>
          <w:lang w:val="en-US" w:eastAsia="zh-CN"/>
        </w:rPr>
        <w:t>4</w:t>
      </w:r>
      <w:r>
        <w:rPr>
          <w:rFonts w:hint="eastAsia"/>
          <w:color w:val="auto"/>
        </w:rPr>
        <w:t>.投资项目申请表（H202表）</w:t>
      </w:r>
      <w:r>
        <w:rPr>
          <w:color w:val="auto"/>
        </w:rPr>
        <w:tab/>
      </w:r>
      <w:r>
        <w:rPr>
          <w:rFonts w:hint="eastAsia"/>
          <w:color w:val="auto"/>
        </w:rPr>
        <w:t>1</w:t>
      </w:r>
      <w:r>
        <w:rPr>
          <w:rFonts w:hint="eastAsia"/>
          <w:color w:val="auto"/>
          <w:lang w:val="en-US" w:eastAsia="zh-CN"/>
        </w:rPr>
        <w:t>5</w:t>
      </w:r>
    </w:p>
    <w:p>
      <w:pPr>
        <w:tabs>
          <w:tab w:val="right" w:leader="middleDot" w:pos="8820"/>
        </w:tabs>
        <w:snapToGrid w:val="0"/>
        <w:spacing w:line="360" w:lineRule="auto"/>
        <w:ind w:left="420" w:leftChars="200"/>
        <w:jc w:val="left"/>
        <w:rPr>
          <w:rFonts w:hint="default" w:eastAsia="宋体"/>
          <w:bCs/>
          <w:color w:val="auto"/>
          <w:lang w:val="en-US" w:eastAsia="zh-CN"/>
        </w:rPr>
      </w:pPr>
      <w:r>
        <w:rPr>
          <w:rFonts w:hint="eastAsia"/>
          <w:bCs/>
          <w:color w:val="auto"/>
        </w:rPr>
        <w:t>四、附录</w:t>
      </w:r>
      <w:r>
        <w:rPr>
          <w:bCs/>
          <w:color w:val="auto"/>
        </w:rPr>
        <w:tab/>
      </w:r>
      <w:r>
        <w:rPr>
          <w:rFonts w:hint="eastAsia"/>
          <w:bCs/>
          <w:color w:val="auto"/>
          <w:lang w:val="en-US" w:eastAsia="zh-CN"/>
        </w:rPr>
        <w:t>17</w:t>
      </w:r>
    </w:p>
    <w:p>
      <w:pPr>
        <w:tabs>
          <w:tab w:val="right" w:leader="middleDot" w:pos="8820"/>
        </w:tabs>
        <w:snapToGrid w:val="0"/>
        <w:spacing w:line="360" w:lineRule="auto"/>
        <w:ind w:left="840" w:leftChars="400"/>
        <w:jc w:val="left"/>
        <w:rPr>
          <w:rFonts w:hint="default" w:eastAsia="宋体"/>
          <w:color w:val="auto"/>
          <w:lang w:val="en-US" w:eastAsia="zh-CN"/>
        </w:rPr>
      </w:pPr>
      <w:r>
        <w:rPr>
          <w:rFonts w:hint="eastAsia"/>
          <w:color w:val="auto"/>
        </w:rPr>
        <w:t>（一）修订说明</w:t>
      </w:r>
      <w:r>
        <w:rPr>
          <w:rFonts w:hint="eastAsia"/>
          <w:color w:val="auto"/>
        </w:rPr>
        <w:tab/>
      </w:r>
      <w:r>
        <w:rPr>
          <w:rFonts w:hint="eastAsia"/>
          <w:color w:val="auto"/>
          <w:lang w:val="en-US" w:eastAsia="zh-CN"/>
        </w:rPr>
        <w:t>17</w:t>
      </w:r>
    </w:p>
    <w:p>
      <w:pPr>
        <w:tabs>
          <w:tab w:val="right" w:leader="middleDot" w:pos="8820"/>
        </w:tabs>
        <w:snapToGrid w:val="0"/>
        <w:spacing w:line="360" w:lineRule="auto"/>
        <w:ind w:left="840" w:leftChars="400"/>
        <w:jc w:val="left"/>
        <w:rPr>
          <w:rFonts w:hint="default" w:eastAsia="宋体"/>
          <w:color w:val="auto"/>
          <w:lang w:val="en-US" w:eastAsia="zh-CN"/>
        </w:rPr>
      </w:pPr>
      <w:r>
        <w:rPr>
          <w:rFonts w:hint="eastAsia"/>
          <w:color w:val="auto"/>
        </w:rPr>
        <w:t>（二）新增生产能力(或工程效益)目录及代码</w:t>
      </w:r>
      <w:r>
        <w:rPr>
          <w:rFonts w:hint="eastAsia"/>
          <w:color w:val="auto"/>
        </w:rPr>
        <w:tab/>
      </w:r>
      <w:r>
        <w:rPr>
          <w:rFonts w:hint="eastAsia"/>
          <w:color w:val="auto"/>
          <w:lang w:val="en-US" w:eastAsia="zh-CN"/>
        </w:rPr>
        <w:t>18</w:t>
      </w:r>
    </w:p>
    <w:p>
      <w:pPr>
        <w:tabs>
          <w:tab w:val="right" w:leader="middleDot" w:pos="8820"/>
        </w:tabs>
        <w:snapToGrid w:val="0"/>
        <w:spacing w:line="360" w:lineRule="auto"/>
        <w:ind w:left="840" w:leftChars="400"/>
        <w:jc w:val="left"/>
        <w:rPr>
          <w:rFonts w:hint="eastAsia"/>
          <w:color w:val="auto"/>
          <w:lang w:val="en-US" w:eastAsia="zh-CN"/>
        </w:rPr>
      </w:pPr>
      <w:r>
        <w:rPr>
          <w:rFonts w:hint="eastAsia"/>
          <w:color w:val="auto"/>
        </w:rPr>
        <w:t>（三）市场主体登记注册类型与统计类别对照表</w:t>
      </w:r>
      <w:r>
        <w:rPr>
          <w:rFonts w:hint="eastAsia"/>
          <w:color w:val="auto"/>
        </w:rPr>
        <w:tab/>
      </w:r>
      <w:r>
        <w:rPr>
          <w:rFonts w:hint="eastAsia"/>
          <w:color w:val="auto"/>
          <w:lang w:val="en-US" w:eastAsia="zh-CN"/>
        </w:rPr>
        <w:t>20</w:t>
      </w:r>
    </w:p>
    <w:p>
      <w:pPr>
        <w:tabs>
          <w:tab w:val="right" w:leader="middleDot" w:pos="8820"/>
        </w:tabs>
        <w:snapToGrid w:val="0"/>
        <w:spacing w:line="360" w:lineRule="auto"/>
        <w:ind w:left="840" w:leftChars="400"/>
        <w:jc w:val="left"/>
        <w:rPr>
          <w:rFonts w:hint="eastAsia"/>
          <w:color w:val="auto"/>
          <w:lang w:val="en-US" w:eastAsia="zh-CN"/>
        </w:rPr>
      </w:pPr>
      <w:r>
        <w:rPr>
          <w:rFonts w:hint="eastAsia"/>
          <w:color w:val="auto"/>
        </w:rPr>
        <w:t>（</w:t>
      </w:r>
      <w:r>
        <w:rPr>
          <w:rFonts w:hint="eastAsia"/>
          <w:color w:val="auto"/>
          <w:lang w:eastAsia="zh-CN"/>
        </w:rPr>
        <w:t>四</w:t>
      </w:r>
      <w:r>
        <w:rPr>
          <w:rFonts w:hint="eastAsia"/>
          <w:color w:val="auto"/>
        </w:rPr>
        <w:t>）隶属关系、建设性质、控股情况、期末项目建设状态目录及代码</w:t>
      </w:r>
      <w:r>
        <w:rPr>
          <w:rFonts w:hint="eastAsia"/>
          <w:color w:val="auto"/>
        </w:rPr>
        <w:tab/>
      </w:r>
      <w:r>
        <w:rPr>
          <w:rFonts w:hint="eastAsia"/>
          <w:color w:val="auto"/>
          <w:lang w:val="en-US" w:eastAsia="zh-CN"/>
        </w:rPr>
        <w:t>24</w:t>
      </w:r>
    </w:p>
    <w:p>
      <w:pPr>
        <w:tabs>
          <w:tab w:val="right" w:leader="middleDot" w:pos="8820"/>
        </w:tabs>
        <w:snapToGrid w:val="0"/>
        <w:spacing w:line="360" w:lineRule="auto"/>
        <w:ind w:left="840" w:leftChars="400"/>
        <w:jc w:val="left"/>
        <w:rPr>
          <w:rFonts w:hint="eastAsia"/>
          <w:color w:val="auto"/>
          <w:lang w:val="en-US" w:eastAsia="zh-CN"/>
        </w:rPr>
      </w:pPr>
      <w:r>
        <w:rPr>
          <w:rFonts w:hint="eastAsia"/>
          <w:color w:val="auto"/>
        </w:rPr>
        <w:t>（</w:t>
      </w:r>
      <w:r>
        <w:rPr>
          <w:rFonts w:hint="eastAsia"/>
          <w:color w:val="auto"/>
          <w:lang w:eastAsia="zh-CN"/>
        </w:rPr>
        <w:t>五</w:t>
      </w:r>
      <w:r>
        <w:rPr>
          <w:rFonts w:hint="eastAsia"/>
          <w:color w:val="auto"/>
        </w:rPr>
        <w:t>）固定资产投资项目主要行业目录及代码（GB/T 4754-2017）</w:t>
      </w:r>
      <w:r>
        <w:rPr>
          <w:rFonts w:hint="eastAsia"/>
          <w:color w:val="auto"/>
        </w:rPr>
        <w:tab/>
      </w:r>
      <w:r>
        <w:rPr>
          <w:rFonts w:hint="eastAsia"/>
          <w:color w:val="auto"/>
          <w:lang w:val="en-US" w:eastAsia="zh-CN"/>
        </w:rPr>
        <w:t>25</w:t>
      </w:r>
    </w:p>
    <w:p>
      <w:pPr>
        <w:tabs>
          <w:tab w:val="right" w:leader="middleDot" w:pos="8820"/>
        </w:tabs>
        <w:snapToGrid w:val="0"/>
        <w:spacing w:line="360" w:lineRule="auto"/>
        <w:ind w:left="840" w:leftChars="400"/>
        <w:jc w:val="left"/>
        <w:rPr>
          <w:rFonts w:hint="default" w:eastAsia="宋体"/>
          <w:color w:val="auto"/>
          <w:lang w:val="en-US" w:eastAsia="zh-CN"/>
        </w:rPr>
      </w:pPr>
      <w:r>
        <w:rPr>
          <w:rFonts w:hint="eastAsia"/>
          <w:color w:val="auto"/>
        </w:rPr>
        <w:t>（</w:t>
      </w:r>
      <w:r>
        <w:rPr>
          <w:rFonts w:hint="eastAsia"/>
          <w:color w:val="auto"/>
          <w:lang w:eastAsia="zh-CN"/>
        </w:rPr>
        <w:t>六</w:t>
      </w:r>
      <w:r>
        <w:rPr>
          <w:rFonts w:hint="eastAsia"/>
          <w:color w:val="auto"/>
        </w:rPr>
        <w:t>）固定资产投资项目有关编码填写方法</w:t>
      </w:r>
      <w:r>
        <w:rPr>
          <w:rFonts w:hint="eastAsia"/>
          <w:color w:val="auto"/>
        </w:rPr>
        <w:tab/>
      </w:r>
      <w:r>
        <w:rPr>
          <w:rFonts w:hint="eastAsia"/>
          <w:color w:val="auto"/>
          <w:lang w:val="en-US" w:eastAsia="zh-CN"/>
        </w:rPr>
        <w:t>26</w:t>
      </w:r>
    </w:p>
    <w:p>
      <w:pPr>
        <w:tabs>
          <w:tab w:val="right" w:leader="middleDot" w:pos="8820"/>
        </w:tabs>
        <w:snapToGrid w:val="0"/>
        <w:spacing w:line="360" w:lineRule="auto"/>
        <w:ind w:left="840" w:leftChars="400"/>
        <w:jc w:val="left"/>
        <w:rPr>
          <w:rFonts w:hint="default" w:eastAsia="宋体"/>
          <w:color w:val="auto"/>
          <w:lang w:val="en-US" w:eastAsia="zh-CN"/>
        </w:rPr>
      </w:pPr>
      <w:r>
        <w:rPr>
          <w:rFonts w:hint="eastAsia"/>
          <w:color w:val="auto"/>
        </w:rPr>
        <w:t>（</w:t>
      </w:r>
      <w:r>
        <w:rPr>
          <w:rFonts w:hint="eastAsia"/>
          <w:color w:val="auto"/>
          <w:lang w:eastAsia="zh-CN"/>
        </w:rPr>
        <w:t>七</w:t>
      </w:r>
      <w:r>
        <w:rPr>
          <w:rFonts w:hint="eastAsia"/>
          <w:color w:val="auto"/>
        </w:rPr>
        <w:t>）指标解释及填写说明</w:t>
      </w:r>
      <w:r>
        <w:rPr>
          <w:rFonts w:hint="eastAsia"/>
          <w:color w:val="auto"/>
        </w:rPr>
        <w:tab/>
      </w:r>
      <w:r>
        <w:rPr>
          <w:rFonts w:hint="eastAsia"/>
          <w:color w:val="auto"/>
          <w:lang w:val="en-US" w:eastAsia="zh-CN"/>
        </w:rPr>
        <w:t>28</w:t>
      </w:r>
    </w:p>
    <w:p>
      <w:pPr>
        <w:tabs>
          <w:tab w:val="right" w:leader="middleDot" w:pos="8820"/>
        </w:tabs>
        <w:snapToGrid w:val="0"/>
        <w:spacing w:line="360" w:lineRule="auto"/>
        <w:ind w:left="840" w:leftChars="400"/>
        <w:jc w:val="left"/>
        <w:rPr>
          <w:rFonts w:hint="default" w:eastAsia="宋体"/>
          <w:color w:val="auto"/>
          <w:lang w:val="en-US" w:eastAsia="zh-CN"/>
        </w:rPr>
      </w:pPr>
      <w:r>
        <w:rPr>
          <w:rFonts w:hint="eastAsia"/>
          <w:color w:val="auto"/>
        </w:rPr>
        <w:t>（</w:t>
      </w:r>
      <w:r>
        <w:rPr>
          <w:rFonts w:hint="eastAsia"/>
          <w:color w:val="auto"/>
          <w:lang w:eastAsia="zh-CN"/>
        </w:rPr>
        <w:t>八</w:t>
      </w:r>
      <w:r>
        <w:rPr>
          <w:rFonts w:hint="eastAsia"/>
          <w:color w:val="auto"/>
        </w:rPr>
        <w:t>）填报要求</w:t>
      </w:r>
      <w:r>
        <w:rPr>
          <w:rFonts w:hint="eastAsia"/>
          <w:color w:val="auto"/>
        </w:rPr>
        <w:tab/>
      </w:r>
      <w:r>
        <w:rPr>
          <w:rFonts w:hint="eastAsia"/>
          <w:color w:val="auto"/>
          <w:lang w:val="en-US" w:eastAsia="zh-CN"/>
        </w:rPr>
        <w:t>54</w:t>
      </w:r>
    </w:p>
    <w:p>
      <w:pPr>
        <w:tabs>
          <w:tab w:val="center" w:leader="middleDot" w:pos="9000"/>
        </w:tabs>
        <w:spacing w:line="360" w:lineRule="exact"/>
        <w:rPr>
          <w:color w:val="auto"/>
          <w:szCs w:val="21"/>
        </w:rPr>
      </w:pPr>
    </w:p>
    <w:p>
      <w:pPr>
        <w:spacing w:line="360" w:lineRule="exact"/>
        <w:ind w:firstLine="424" w:firstLineChars="202"/>
        <w:rPr>
          <w:rFonts w:hint="eastAsia" w:ascii="宋体"/>
          <w:color w:val="auto"/>
        </w:rPr>
      </w:pPr>
      <w:r>
        <w:rPr>
          <w:rFonts w:ascii="宋体" w:hAnsi="宋体"/>
          <w:color w:val="auto"/>
        </w:rPr>
        <w:br w:type="page"/>
      </w:r>
    </w:p>
    <w:p>
      <w:pPr>
        <w:pStyle w:val="126"/>
        <w:spacing w:beforeLines="50" w:after="156" w:line="240" w:lineRule="auto"/>
        <w:rPr>
          <w:rFonts w:ascii="黑体" w:hAnsi="黑体" w:eastAsia="黑体"/>
          <w:color w:val="auto"/>
          <w:sz w:val="32"/>
          <w:szCs w:val="32"/>
        </w:rPr>
      </w:pPr>
      <w:r>
        <w:rPr>
          <w:rFonts w:hint="eastAsia" w:ascii="黑体" w:hAnsi="黑体" w:eastAsia="黑体"/>
          <w:color w:val="auto"/>
          <w:sz w:val="32"/>
          <w:szCs w:val="32"/>
        </w:rPr>
        <w:t>一、总 说 明</w:t>
      </w:r>
    </w:p>
    <w:p>
      <w:pPr>
        <w:tabs>
          <w:tab w:val="left" w:pos="12960"/>
        </w:tabs>
        <w:spacing w:line="360" w:lineRule="exact"/>
        <w:ind w:firstLine="308" w:firstLineChars="147"/>
        <w:rPr>
          <w:rFonts w:ascii="宋体" w:hAnsi="宋体" w:cs="宋体"/>
          <w:b/>
          <w:bCs/>
          <w:color w:val="auto"/>
          <w:szCs w:val="21"/>
        </w:rPr>
      </w:pPr>
      <w:r>
        <w:rPr>
          <w:rFonts w:hint="eastAsia" w:ascii="宋体" w:hAnsi="宋体" w:cs="宋体"/>
          <w:b/>
          <w:bCs/>
          <w:color w:val="auto"/>
          <w:szCs w:val="21"/>
        </w:rPr>
        <w:t>（一）制度制定的目的和依据</w:t>
      </w:r>
    </w:p>
    <w:p>
      <w:pPr>
        <w:pStyle w:val="127"/>
        <w:spacing w:line="360" w:lineRule="exact"/>
        <w:ind w:firstLine="420" w:firstLineChars="200"/>
        <w:rPr>
          <w:rFonts w:hAnsi="宋体"/>
          <w:color w:val="auto"/>
          <w:sz w:val="21"/>
          <w:szCs w:val="21"/>
        </w:rPr>
      </w:pPr>
      <w:r>
        <w:rPr>
          <w:rFonts w:hint="eastAsia" w:hAnsi="宋体"/>
          <w:color w:val="auto"/>
          <w:sz w:val="21"/>
          <w:szCs w:val="21"/>
        </w:rPr>
        <w:t>为了解全</w:t>
      </w:r>
      <w:r>
        <w:rPr>
          <w:rFonts w:hint="eastAsia" w:hAnsi="宋体"/>
          <w:color w:val="auto"/>
          <w:sz w:val="21"/>
          <w:szCs w:val="21"/>
          <w:highlight w:val="none"/>
          <w:lang w:val="en-US" w:eastAsia="zh-CN"/>
        </w:rPr>
        <w:t>市</w:t>
      </w:r>
      <w:r>
        <w:rPr>
          <w:rFonts w:hint="eastAsia" w:hAnsi="宋体"/>
          <w:color w:val="auto"/>
          <w:sz w:val="21"/>
          <w:szCs w:val="21"/>
        </w:rPr>
        <w:t>固定资产投资情况，为各级党委、政府制定政策和进行宏观管理提供依据,依照《中华人民共和国统计法》的规定以及国家、省统计局《固定资产投资统计报表制度》的要求，结合广州市实际，制定本制度。</w:t>
      </w:r>
    </w:p>
    <w:p>
      <w:pPr>
        <w:tabs>
          <w:tab w:val="left" w:pos="12960"/>
        </w:tabs>
        <w:spacing w:line="360" w:lineRule="exact"/>
        <w:ind w:firstLine="308" w:firstLineChars="147"/>
        <w:rPr>
          <w:rFonts w:ascii="宋体" w:hAnsi="宋体" w:cs="宋体"/>
          <w:b/>
          <w:bCs/>
          <w:color w:val="auto"/>
          <w:szCs w:val="21"/>
        </w:rPr>
      </w:pPr>
      <w:r>
        <w:rPr>
          <w:rFonts w:hint="eastAsia" w:ascii="宋体" w:hAnsi="宋体" w:cs="宋体"/>
          <w:b/>
          <w:bCs/>
          <w:color w:val="auto"/>
          <w:szCs w:val="21"/>
        </w:rPr>
        <w:t>（二）制度的性质</w:t>
      </w:r>
    </w:p>
    <w:p>
      <w:pPr>
        <w:tabs>
          <w:tab w:val="left" w:pos="12960"/>
        </w:tabs>
        <w:spacing w:line="360" w:lineRule="exact"/>
        <w:ind w:firstLine="420" w:firstLineChars="200"/>
        <w:rPr>
          <w:rFonts w:ascii="宋体" w:hAnsi="宋体"/>
          <w:color w:val="auto"/>
          <w:szCs w:val="21"/>
        </w:rPr>
      </w:pPr>
      <w:r>
        <w:rPr>
          <w:rFonts w:hint="eastAsia" w:ascii="宋体"/>
          <w:color w:val="auto"/>
        </w:rPr>
        <w:t>本报表制度属于国家统计调查制度的一部分。调查内容包括地方政府和业务主管部门共同的基本需要。地方、部门特殊需要的统计资料应通过地方统计调查和部门统计调查收集，避免与国家统计调查重复。</w:t>
      </w:r>
    </w:p>
    <w:p>
      <w:pPr>
        <w:tabs>
          <w:tab w:val="left" w:pos="12960"/>
        </w:tabs>
        <w:spacing w:line="360" w:lineRule="exact"/>
        <w:ind w:firstLine="308" w:firstLineChars="147"/>
        <w:rPr>
          <w:rFonts w:ascii="宋体" w:hAnsi="宋体" w:cs="宋体"/>
          <w:b/>
          <w:bCs/>
          <w:color w:val="auto"/>
          <w:szCs w:val="21"/>
        </w:rPr>
      </w:pPr>
      <w:r>
        <w:rPr>
          <w:rFonts w:hint="eastAsia" w:ascii="宋体" w:hAnsi="宋体" w:cs="宋体"/>
          <w:b/>
          <w:bCs/>
          <w:color w:val="auto"/>
          <w:szCs w:val="21"/>
        </w:rPr>
        <w:t>（三）填报范围</w:t>
      </w:r>
    </w:p>
    <w:p>
      <w:pPr>
        <w:tabs>
          <w:tab w:val="left" w:pos="12960"/>
        </w:tabs>
        <w:spacing w:line="360" w:lineRule="exact"/>
        <w:ind w:firstLine="388" w:firstLineChars="185"/>
        <w:rPr>
          <w:rFonts w:ascii="宋体" w:hAnsi="宋体" w:cs="宋体"/>
          <w:b/>
          <w:bCs/>
          <w:color w:val="auto"/>
          <w:szCs w:val="21"/>
        </w:rPr>
      </w:pPr>
      <w:r>
        <w:rPr>
          <w:rFonts w:hint="eastAsia" w:ascii="宋体" w:hAnsi="宋体" w:cs="宋体"/>
          <w:b/>
          <w:bCs/>
          <w:color w:val="auto"/>
          <w:szCs w:val="21"/>
        </w:rPr>
        <w:t>1.统计范围</w:t>
      </w:r>
    </w:p>
    <w:p>
      <w:pPr>
        <w:tabs>
          <w:tab w:val="left" w:pos="12960"/>
        </w:tabs>
        <w:spacing w:line="360" w:lineRule="exact"/>
        <w:ind w:firstLine="283" w:firstLineChars="135"/>
        <w:rPr>
          <w:rFonts w:ascii="宋体" w:hAnsi="宋体"/>
          <w:color w:val="auto"/>
          <w:szCs w:val="21"/>
        </w:rPr>
      </w:pPr>
      <w:r>
        <w:rPr>
          <w:rFonts w:hint="eastAsia" w:ascii="宋体" w:hAnsi="宋体"/>
          <w:color w:val="auto"/>
          <w:szCs w:val="21"/>
        </w:rPr>
        <w:t>（1）固定资产投资项目情况：</w:t>
      </w:r>
    </w:p>
    <w:p>
      <w:pPr>
        <w:tabs>
          <w:tab w:val="left" w:pos="12960"/>
        </w:tabs>
        <w:spacing w:line="360" w:lineRule="exact"/>
        <w:ind w:firstLine="420" w:firstLineChars="200"/>
        <w:rPr>
          <w:rFonts w:hint="eastAsia" w:ascii="宋体"/>
          <w:color w:val="auto"/>
        </w:rPr>
      </w:pPr>
      <w:r>
        <w:rPr>
          <w:rFonts w:hint="eastAsia" w:ascii="宋体"/>
          <w:color w:val="auto"/>
        </w:rPr>
        <w:t>各种登记注册</w:t>
      </w:r>
      <w:r>
        <w:rPr>
          <w:rFonts w:hint="eastAsia" w:ascii="宋体"/>
          <w:color w:val="auto"/>
          <w:lang w:eastAsia="zh-CN"/>
        </w:rPr>
        <w:t>类型</w:t>
      </w:r>
      <w:r>
        <w:rPr>
          <w:rFonts w:hint="eastAsia" w:ascii="宋体"/>
          <w:color w:val="auto"/>
        </w:rPr>
        <w:t>的法人单位、个体经营户、其他单位进行的计划总投资500万元及以上项目的投资情况，不包括农户投资。</w:t>
      </w:r>
    </w:p>
    <w:p>
      <w:pPr>
        <w:numPr>
          <w:ilvl w:val="0"/>
          <w:numId w:val="1"/>
        </w:numPr>
        <w:spacing w:line="360" w:lineRule="exact"/>
        <w:ind w:firstLine="315" w:firstLineChars="150"/>
        <w:rPr>
          <w:rFonts w:hint="eastAsia" w:ascii="宋体" w:hAnsi="宋体"/>
          <w:color w:val="auto"/>
          <w:szCs w:val="21"/>
        </w:rPr>
      </w:pPr>
      <w:r>
        <w:rPr>
          <w:rFonts w:hint="eastAsia" w:ascii="宋体" w:hAnsi="宋体"/>
          <w:color w:val="auto"/>
          <w:szCs w:val="21"/>
        </w:rPr>
        <w:t>固定资产投资项目新增生产能力（或工程效益）情况：</w:t>
      </w:r>
    </w:p>
    <w:p>
      <w:pPr>
        <w:numPr>
          <w:ilvl w:val="0"/>
          <w:numId w:val="0"/>
        </w:num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计划总投资500万元及以上固定资产投资项目建成后</w:t>
      </w:r>
      <w:r>
        <w:rPr>
          <w:rFonts w:hint="eastAsia" w:ascii="宋体"/>
          <w:color w:val="auto"/>
          <w:highlight w:val="none"/>
        </w:rPr>
        <w:t>新增生产能力（或工程效益）情况</w:t>
      </w:r>
      <w:r>
        <w:rPr>
          <w:rFonts w:hint="eastAsia" w:ascii="宋体" w:hAnsi="宋体"/>
          <w:color w:val="auto"/>
          <w:szCs w:val="21"/>
          <w:highlight w:val="none"/>
        </w:rPr>
        <w:t>。</w:t>
      </w:r>
    </w:p>
    <w:p>
      <w:pPr>
        <w:numPr>
          <w:ilvl w:val="0"/>
          <w:numId w:val="2"/>
        </w:numPr>
        <w:tabs>
          <w:tab w:val="left" w:pos="12960"/>
        </w:tabs>
        <w:spacing w:line="360" w:lineRule="exact"/>
        <w:ind w:firstLine="315" w:firstLineChars="150"/>
        <w:rPr>
          <w:rFonts w:hint="eastAsia" w:ascii="宋体" w:hAnsi="宋体"/>
          <w:color w:val="auto"/>
          <w:szCs w:val="21"/>
        </w:rPr>
      </w:pPr>
      <w:r>
        <w:rPr>
          <w:rFonts w:hint="eastAsia" w:ascii="宋体" w:hAnsi="宋体"/>
          <w:color w:val="auto"/>
          <w:szCs w:val="21"/>
        </w:rPr>
        <w:t>其他报表的统计范围详见“二、报表目录”中的规定。</w:t>
      </w:r>
    </w:p>
    <w:p>
      <w:pPr>
        <w:spacing w:line="360" w:lineRule="exact"/>
        <w:ind w:firstLine="417" w:firstLineChars="199"/>
        <w:rPr>
          <w:rFonts w:ascii="宋体" w:hAnsi="宋体" w:cs="宋体"/>
          <w:b/>
          <w:bCs/>
          <w:color w:val="auto"/>
          <w:szCs w:val="21"/>
        </w:rPr>
      </w:pPr>
      <w:r>
        <w:rPr>
          <w:rFonts w:hint="eastAsia" w:ascii="宋体" w:hAnsi="宋体" w:cs="宋体"/>
          <w:b/>
          <w:bCs/>
          <w:color w:val="auto"/>
          <w:szCs w:val="21"/>
        </w:rPr>
        <w:t>2.填报单位</w:t>
      </w:r>
    </w:p>
    <w:p>
      <w:pPr>
        <w:autoSpaceDE w:val="0"/>
        <w:autoSpaceDN w:val="0"/>
        <w:adjustRightInd w:val="0"/>
        <w:spacing w:line="360" w:lineRule="exact"/>
        <w:ind w:firstLine="315" w:firstLineChars="150"/>
        <w:rPr>
          <w:rFonts w:ascii="宋体" w:hAnsi="宋体"/>
          <w:color w:val="auto"/>
          <w:szCs w:val="21"/>
        </w:rPr>
      </w:pPr>
      <w:r>
        <w:rPr>
          <w:rFonts w:hint="eastAsia" w:ascii="宋体" w:hAnsi="宋体"/>
          <w:color w:val="auto"/>
          <w:szCs w:val="21"/>
        </w:rPr>
        <w:t>（1）固定资产投资项目情况表（206表），填报单位为：有计划总投资500万元及以上的固定资产</w:t>
      </w:r>
      <w:r>
        <w:rPr>
          <w:rFonts w:hint="eastAsia" w:ascii="宋体" w:hAnsi="宋体"/>
          <w:color w:val="auto"/>
          <w:szCs w:val="21"/>
          <w:lang w:eastAsia="zh-CN"/>
        </w:rPr>
        <w:t>投资</w:t>
      </w:r>
      <w:r>
        <w:rPr>
          <w:rFonts w:hint="eastAsia" w:ascii="宋体" w:hAnsi="宋体"/>
          <w:color w:val="auto"/>
          <w:szCs w:val="21"/>
        </w:rPr>
        <w:t>项目的法人单位或项目单位。</w:t>
      </w:r>
    </w:p>
    <w:p>
      <w:pPr>
        <w:autoSpaceDE w:val="0"/>
        <w:autoSpaceDN w:val="0"/>
        <w:adjustRightInd w:val="0"/>
        <w:spacing w:line="360" w:lineRule="exact"/>
        <w:ind w:firstLine="315" w:firstLineChars="150"/>
        <w:rPr>
          <w:rFonts w:hint="eastAsia" w:ascii="宋体" w:hAnsi="宋体"/>
          <w:color w:val="auto"/>
          <w:szCs w:val="21"/>
        </w:rPr>
      </w:pPr>
      <w:r>
        <w:rPr>
          <w:rFonts w:hint="eastAsia" w:ascii="宋体" w:hAnsi="宋体"/>
          <w:color w:val="auto"/>
          <w:szCs w:val="21"/>
        </w:rPr>
        <w:t>（2）</w:t>
      </w:r>
      <w:r>
        <w:rPr>
          <w:rFonts w:hint="eastAsia" w:ascii="宋体" w:hAnsi="宋体"/>
          <w:color w:val="auto"/>
        </w:rPr>
        <w:t>固定资产投资项目新增生产能力（或工程效益）情况表，填报单位：</w:t>
      </w:r>
      <w:r>
        <w:rPr>
          <w:rFonts w:hint="eastAsia" w:ascii="宋体" w:hAnsi="宋体"/>
          <w:color w:val="auto"/>
          <w:szCs w:val="21"/>
        </w:rPr>
        <w:t>计划总投资500万元及以上的固定资产投资项目中</w:t>
      </w:r>
      <w:r>
        <w:rPr>
          <w:rFonts w:hint="eastAsia" w:ascii="宋体" w:hAnsi="宋体"/>
          <w:color w:val="auto"/>
          <w:szCs w:val="21"/>
          <w:lang w:eastAsia="zh-CN"/>
        </w:rPr>
        <w:t>有</w:t>
      </w:r>
      <w:r>
        <w:rPr>
          <w:rFonts w:hint="eastAsia" w:ascii="宋体" w:hAnsi="宋体"/>
          <w:color w:val="auto"/>
          <w:szCs w:val="21"/>
        </w:rPr>
        <w:t>能力目录</w:t>
      </w:r>
      <w:r>
        <w:rPr>
          <w:rFonts w:hint="eastAsia" w:ascii="宋体" w:hAnsi="宋体"/>
          <w:color w:val="auto"/>
          <w:szCs w:val="21"/>
          <w:lang w:eastAsia="zh-CN"/>
        </w:rPr>
        <w:t>项目的</w:t>
      </w:r>
      <w:r>
        <w:rPr>
          <w:rFonts w:hint="eastAsia" w:ascii="宋体" w:hAnsi="宋体"/>
          <w:color w:val="auto"/>
          <w:szCs w:val="21"/>
        </w:rPr>
        <w:t>法人单位或项目单位。</w:t>
      </w:r>
    </w:p>
    <w:p>
      <w:pPr>
        <w:autoSpaceDE w:val="0"/>
        <w:autoSpaceDN w:val="0"/>
        <w:adjustRightInd w:val="0"/>
        <w:spacing w:line="360" w:lineRule="exact"/>
        <w:ind w:firstLine="315" w:firstLineChars="15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）两个及以上单位合资建设的项目，一般以主持项目的单位作为填报单位。</w:t>
      </w:r>
    </w:p>
    <w:p>
      <w:pPr>
        <w:tabs>
          <w:tab w:val="left" w:pos="12960"/>
        </w:tabs>
        <w:spacing w:line="360" w:lineRule="exact"/>
        <w:ind w:firstLine="308" w:firstLineChars="147"/>
        <w:rPr>
          <w:rFonts w:ascii="宋体" w:hAnsi="宋体" w:cs="宋体"/>
          <w:b/>
          <w:bCs/>
          <w:color w:val="auto"/>
          <w:szCs w:val="21"/>
        </w:rPr>
      </w:pPr>
      <w:r>
        <w:rPr>
          <w:rFonts w:hint="eastAsia" w:ascii="宋体" w:hAnsi="宋体" w:cs="宋体"/>
          <w:b/>
          <w:bCs/>
          <w:color w:val="auto"/>
          <w:szCs w:val="21"/>
        </w:rPr>
        <w:t>（四）调查内容</w:t>
      </w:r>
    </w:p>
    <w:p>
      <w:pPr>
        <w:spacing w:line="360" w:lineRule="exact"/>
        <w:ind w:firstLine="420" w:firstLineChars="200"/>
        <w:rPr>
          <w:rFonts w:ascii="宋体" w:hAnsi="宋体"/>
          <w:color w:val="auto"/>
          <w:szCs w:val="21"/>
        </w:rPr>
      </w:pPr>
      <w:r>
        <w:rPr>
          <w:rFonts w:hint="eastAsia" w:ascii="宋体" w:hAnsi="宋体"/>
          <w:color w:val="auto"/>
          <w:szCs w:val="21"/>
        </w:rPr>
        <w:t>固定资产投资统计调查内容主要包括固定资产投资项目和投资单位的基本情况、项目投资额、土地使用、资金实际到位和投资效益</w:t>
      </w:r>
      <w:r>
        <w:rPr>
          <w:rFonts w:hint="eastAsia" w:ascii="宋体"/>
          <w:color w:val="auto"/>
        </w:rPr>
        <w:t>等情况</w:t>
      </w:r>
      <w:r>
        <w:rPr>
          <w:rFonts w:hint="eastAsia" w:ascii="宋体" w:hAnsi="宋体"/>
          <w:color w:val="auto"/>
          <w:szCs w:val="21"/>
        </w:rPr>
        <w:t>。</w:t>
      </w:r>
    </w:p>
    <w:p>
      <w:pPr>
        <w:spacing w:line="360" w:lineRule="exact"/>
        <w:ind w:firstLine="420" w:firstLineChars="200"/>
        <w:rPr>
          <w:rFonts w:ascii="宋体" w:hAnsi="宋体"/>
          <w:color w:val="auto"/>
          <w:szCs w:val="21"/>
        </w:rPr>
      </w:pPr>
      <w:r>
        <w:rPr>
          <w:rFonts w:hint="eastAsia" w:ascii="宋体" w:hAnsi="宋体"/>
          <w:color w:val="auto"/>
        </w:rPr>
        <w:t>调查单位有义务向统计机构提供营业执照（证书）、利润表、纳税申报表和数据填报依据等相关资料。</w:t>
      </w:r>
    </w:p>
    <w:p>
      <w:pPr>
        <w:spacing w:line="360" w:lineRule="exact"/>
        <w:ind w:firstLine="420" w:firstLineChars="200"/>
        <w:rPr>
          <w:rFonts w:ascii="宋体" w:hAnsi="宋体" w:cs="宋体"/>
          <w:b/>
          <w:bCs/>
          <w:color w:val="auto"/>
          <w:szCs w:val="21"/>
        </w:rPr>
      </w:pPr>
      <w:r>
        <w:rPr>
          <w:rFonts w:hint="eastAsia" w:ascii="宋体" w:hAnsi="宋体" w:cs="宋体"/>
          <w:b/>
          <w:bCs/>
          <w:color w:val="auto"/>
          <w:szCs w:val="21"/>
        </w:rPr>
        <w:t>（五）数据采集及报表管理</w:t>
      </w:r>
    </w:p>
    <w:p>
      <w:pPr>
        <w:spacing w:line="360" w:lineRule="exact"/>
        <w:ind w:firstLine="388" w:firstLineChars="185"/>
        <w:rPr>
          <w:rFonts w:ascii="宋体" w:hAnsi="宋体"/>
          <w:b/>
          <w:color w:val="auto"/>
          <w:szCs w:val="21"/>
        </w:rPr>
      </w:pPr>
      <w:r>
        <w:rPr>
          <w:rFonts w:hint="eastAsia" w:ascii="宋体" w:hAnsi="宋体"/>
          <w:b/>
          <w:color w:val="auto"/>
          <w:szCs w:val="21"/>
          <w:lang w:val="en-US" w:eastAsia="zh-CN"/>
        </w:rPr>
        <w:t>1</w:t>
      </w:r>
      <w:r>
        <w:rPr>
          <w:rFonts w:hint="eastAsia" w:ascii="宋体" w:hAnsi="宋体"/>
          <w:b/>
          <w:color w:val="auto"/>
          <w:szCs w:val="21"/>
        </w:rPr>
        <w:t>.数据采集</w:t>
      </w:r>
    </w:p>
    <w:p>
      <w:pPr>
        <w:spacing w:line="360" w:lineRule="exact"/>
        <w:ind w:firstLine="420" w:firstLineChars="200"/>
        <w:rPr>
          <w:rFonts w:hint="eastAsia" w:ascii="宋体"/>
          <w:color w:val="auto"/>
        </w:rPr>
      </w:pPr>
      <w:r>
        <w:rPr>
          <w:rFonts w:hint="eastAsia" w:ascii="宋体" w:hAnsi="宋体"/>
          <w:color w:val="auto"/>
          <w:szCs w:val="21"/>
        </w:rPr>
        <w:t>(1)</w:t>
      </w:r>
      <w:r>
        <w:rPr>
          <w:rFonts w:hint="eastAsia" w:ascii="宋体"/>
          <w:color w:val="auto"/>
        </w:rPr>
        <w:t>固定资产投资项目情况，按照项目在地原则进行统计</w:t>
      </w:r>
      <w:r>
        <w:rPr>
          <w:rFonts w:hint="eastAsia" w:ascii="宋体" w:hAnsi="宋体"/>
          <w:color w:val="auto"/>
          <w:szCs w:val="28"/>
        </w:rPr>
        <w:t>。</w:t>
      </w:r>
      <w:r>
        <w:rPr>
          <w:rFonts w:hint="eastAsia" w:ascii="宋体" w:hAnsi="宋体"/>
          <w:color w:val="auto"/>
          <w:szCs w:val="21"/>
        </w:rPr>
        <w:t>采用“先入库，后有数”的管理模式，规范项目单位和项目入库管理，</w:t>
      </w:r>
      <w:r>
        <w:rPr>
          <w:rFonts w:hint="eastAsia" w:ascii="宋体"/>
          <w:color w:val="auto"/>
        </w:rPr>
        <w:t>投资专业负责报表统一布置、催报、审核、验收和汇总。</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规范项目单位和项目入库管理，项目入库材料包括：①营业执照复印件、组织机构代码证复印件或者三证合一证照复印件；②项目的立项文件或备案证或可研报告或其他证明材料；③项目施工许可证或与施工单位签订的施工合同；④项目现场施工照片</w:t>
      </w:r>
      <w:r>
        <w:rPr>
          <w:rFonts w:hint="eastAsia" w:ascii="宋体" w:hAnsi="宋体"/>
          <w:color w:val="auto"/>
          <w:szCs w:val="21"/>
          <w:highlight w:val="none"/>
          <w:lang w:eastAsia="zh-CN"/>
        </w:rPr>
        <w:t>或设备到位照片</w:t>
      </w:r>
      <w:r>
        <w:rPr>
          <w:rFonts w:hint="eastAsia" w:ascii="宋体" w:hAnsi="宋体"/>
          <w:color w:val="auto"/>
          <w:szCs w:val="21"/>
          <w:highlight w:val="none"/>
        </w:rPr>
        <w:t>；⑤设备购置项目则提供设备购置合同、发票或付款凭证等相关证明材料。</w:t>
      </w:r>
    </w:p>
    <w:p>
      <w:pPr>
        <w:spacing w:line="360" w:lineRule="exact"/>
        <w:ind w:firstLine="315" w:firstLineChars="150"/>
        <w:jc w:val="both"/>
        <w:rPr>
          <w:rFonts w:hint="eastAsia" w:ascii="宋体" w:hAnsi="宋体"/>
          <w:color w:val="auto"/>
          <w:szCs w:val="21"/>
        </w:rPr>
      </w:pPr>
      <w:r>
        <w:rPr>
          <w:rFonts w:hint="eastAsia" w:ascii="宋体" w:hAnsi="宋体"/>
          <w:color w:val="auto"/>
          <w:szCs w:val="21"/>
        </w:rPr>
        <w:t>（2）调查单位通过</w:t>
      </w:r>
      <w:r>
        <w:rPr>
          <w:rFonts w:hint="eastAsia" w:ascii="宋体"/>
          <w:color w:val="auto"/>
          <w:spacing w:val="4"/>
        </w:rPr>
        <w:t>统计云一套表直报系统</w:t>
      </w:r>
      <w:r>
        <w:rPr>
          <w:rFonts w:hint="eastAsia" w:ascii="宋体" w:hAnsi="宋体"/>
          <w:color w:val="auto"/>
          <w:szCs w:val="21"/>
          <w:lang w:eastAsia="zh-CN"/>
        </w:rPr>
        <w:t>（</w:t>
      </w:r>
      <w:r>
        <w:rPr>
          <w:rFonts w:hint="eastAsia" w:ascii="宋体" w:hAnsi="宋体" w:eastAsia="宋体" w:cs="宋体"/>
          <w:color w:val="auto"/>
          <w:sz w:val="24"/>
          <w:szCs w:val="24"/>
          <w:u w:val="none"/>
        </w:rPr>
        <w:t>https://tjylwzb.stats.gov.cn/survey/login?redirect=%2Findex</w:t>
      </w:r>
      <w:bookmarkStart w:id="0" w:name="_GoBack"/>
      <w:bookmarkEnd w:id="0"/>
      <w:r>
        <w:rPr>
          <w:rFonts w:hint="eastAsia" w:ascii="宋体" w:hAnsi="宋体"/>
          <w:color w:val="auto"/>
          <w:szCs w:val="21"/>
        </w:rPr>
        <w:t>）分别报送</w:t>
      </w:r>
      <w:r>
        <w:rPr>
          <w:rFonts w:hint="eastAsia" w:ascii="宋体" w:hAnsi="宋体"/>
          <w:color w:val="auto"/>
          <w:szCs w:val="21"/>
          <w:lang w:eastAsia="zh-CN"/>
        </w:rPr>
        <w:t>年报</w:t>
      </w:r>
      <w:r>
        <w:rPr>
          <w:rFonts w:hint="eastAsia" w:ascii="宋体" w:hAnsi="宋体"/>
          <w:color w:val="auto"/>
          <w:szCs w:val="21"/>
        </w:rPr>
        <w:t>和定报数据。</w:t>
      </w:r>
    </w:p>
    <w:p>
      <w:pPr>
        <w:spacing w:line="360" w:lineRule="exact"/>
        <w:ind w:firstLine="315" w:firstLineChars="150"/>
        <w:rPr>
          <w:rFonts w:ascii="宋体" w:hAnsi="宋体"/>
          <w:bCs/>
          <w:color w:val="auto"/>
          <w:szCs w:val="21"/>
        </w:rPr>
      </w:pPr>
      <w:r>
        <w:rPr>
          <w:rFonts w:hint="eastAsia" w:ascii="宋体" w:hAnsi="宋体"/>
          <w:color w:val="auto"/>
          <w:szCs w:val="21"/>
        </w:rPr>
        <w:t>（3）本制度报表中所有时期指标数据原则上按月(季、年)度日历天数统计上报，时点指标按月（季、年）末最后一天统计上报。</w:t>
      </w:r>
    </w:p>
    <w:p>
      <w:pPr>
        <w:spacing w:line="360" w:lineRule="exact"/>
        <w:ind w:firstLine="315" w:firstLineChars="150"/>
        <w:rPr>
          <w:rFonts w:hint="eastAsia" w:ascii="宋体" w:hAnsi="宋体"/>
          <w:color w:val="auto"/>
          <w:szCs w:val="21"/>
        </w:rPr>
      </w:pPr>
      <w:r>
        <w:rPr>
          <w:rFonts w:hint="eastAsia" w:ascii="宋体" w:hAnsi="宋体"/>
          <w:color w:val="auto"/>
          <w:szCs w:val="21"/>
        </w:rPr>
        <w:t>（4）本报表制度实行全国统一的统计分类标准和统一编码，各固定资产投资建设单位、各级统计部门和各级业务主管部门必须严格贯彻执行。</w:t>
      </w:r>
    </w:p>
    <w:p>
      <w:pPr>
        <w:spacing w:line="360" w:lineRule="exact"/>
        <w:ind w:firstLine="315" w:firstLineChars="150"/>
        <w:rPr>
          <w:rFonts w:ascii="宋体" w:hAnsi="宋体"/>
          <w:color w:val="auto"/>
          <w:szCs w:val="21"/>
        </w:rPr>
      </w:pPr>
      <w:r>
        <w:rPr>
          <w:rFonts w:hint="eastAsia" w:ascii="宋体" w:hAnsi="宋体"/>
          <w:color w:val="auto"/>
          <w:szCs w:val="21"/>
        </w:rPr>
        <w:t>（5）调查</w:t>
      </w:r>
      <w:r>
        <w:rPr>
          <w:rFonts w:ascii="宋体" w:hAnsi="宋体"/>
          <w:color w:val="auto"/>
          <w:szCs w:val="21"/>
        </w:rPr>
        <w:t>单位</w:t>
      </w:r>
      <w:r>
        <w:rPr>
          <w:rFonts w:hint="eastAsia" w:ascii="宋体" w:hAnsi="宋体"/>
          <w:color w:val="auto"/>
          <w:szCs w:val="21"/>
        </w:rPr>
        <w:t>不得‘打捆’和</w:t>
      </w:r>
      <w:r>
        <w:rPr>
          <w:rFonts w:ascii="宋体" w:hAnsi="宋体"/>
          <w:color w:val="auto"/>
          <w:szCs w:val="21"/>
        </w:rPr>
        <w:t>重复</w:t>
      </w:r>
      <w:r>
        <w:rPr>
          <w:rFonts w:hint="eastAsia" w:ascii="宋体" w:hAnsi="宋体"/>
          <w:color w:val="auto"/>
          <w:szCs w:val="21"/>
        </w:rPr>
        <w:t>报送</w:t>
      </w:r>
      <w:r>
        <w:rPr>
          <w:rFonts w:ascii="宋体" w:hAnsi="宋体"/>
          <w:color w:val="auto"/>
          <w:szCs w:val="21"/>
        </w:rPr>
        <w:t>统计</w:t>
      </w:r>
      <w:r>
        <w:rPr>
          <w:rFonts w:hint="eastAsia" w:ascii="宋体" w:hAnsi="宋体"/>
          <w:color w:val="auto"/>
          <w:szCs w:val="21"/>
        </w:rPr>
        <w:t>数据。</w:t>
      </w:r>
    </w:p>
    <w:p>
      <w:pPr>
        <w:spacing w:line="360" w:lineRule="exact"/>
        <w:ind w:firstLine="315" w:firstLineChars="150"/>
        <w:rPr>
          <w:rFonts w:ascii="宋体" w:hAnsi="宋体"/>
          <w:color w:val="auto"/>
          <w:szCs w:val="21"/>
        </w:rPr>
      </w:pPr>
      <w:r>
        <w:rPr>
          <w:rFonts w:hint="eastAsia" w:ascii="宋体" w:hAnsi="宋体"/>
          <w:color w:val="auto"/>
          <w:szCs w:val="21"/>
        </w:rPr>
        <w:t>（6）本制度报表的填报要求，详见附录中的“填报要求”。</w:t>
      </w:r>
    </w:p>
    <w:p>
      <w:pPr>
        <w:spacing w:line="360" w:lineRule="exact"/>
        <w:ind w:firstLine="411" w:firstLineChars="196"/>
        <w:rPr>
          <w:rFonts w:ascii="宋体" w:hAnsi="宋体"/>
          <w:b/>
          <w:color w:val="auto"/>
          <w:szCs w:val="21"/>
        </w:rPr>
      </w:pPr>
      <w:r>
        <w:rPr>
          <w:rFonts w:hint="eastAsia" w:ascii="宋体" w:hAnsi="宋体"/>
          <w:b/>
          <w:color w:val="auto"/>
          <w:szCs w:val="21"/>
          <w:lang w:val="en-US" w:eastAsia="zh-CN"/>
        </w:rPr>
        <w:t>2</w:t>
      </w:r>
      <w:r>
        <w:rPr>
          <w:rFonts w:hint="eastAsia" w:ascii="宋体" w:hAnsi="宋体"/>
          <w:b/>
          <w:color w:val="auto"/>
          <w:szCs w:val="21"/>
        </w:rPr>
        <w:t>.报表管理</w:t>
      </w:r>
    </w:p>
    <w:p>
      <w:pPr>
        <w:spacing w:line="360" w:lineRule="exact"/>
        <w:ind w:firstLine="315" w:firstLineChars="150"/>
        <w:rPr>
          <w:rFonts w:ascii="宋体" w:hAnsi="宋体"/>
          <w:color w:val="auto"/>
          <w:szCs w:val="21"/>
          <w:highlight w:val="yellow"/>
        </w:rPr>
      </w:pPr>
      <w:r>
        <w:rPr>
          <w:rFonts w:hint="eastAsia" w:ascii="宋体" w:hAnsi="宋体"/>
          <w:color w:val="auto"/>
          <w:szCs w:val="21"/>
          <w:highlight w:val="none"/>
        </w:rPr>
        <w:t>（1）</w:t>
      </w:r>
      <w:r>
        <w:rPr>
          <w:rFonts w:hint="eastAsia"/>
          <w:color w:val="auto"/>
          <w:highlight w:val="none"/>
        </w:rPr>
        <w:t>按照《统计法》的要求，为保障源头数据质量，做到数出有据，国家机关、企业事业单位和其他组织等统计调查对象，应当按照国家有关规定设置原始记录、统计台账，推动统计台账电子化、数字化、标准化，建立健全统计资料的审核、签署、报送、归档等管理制度。</w:t>
      </w:r>
    </w:p>
    <w:p>
      <w:pPr>
        <w:spacing w:line="360" w:lineRule="exact"/>
        <w:ind w:firstLine="315" w:firstLineChars="150"/>
        <w:rPr>
          <w:rFonts w:ascii="宋体" w:hAnsi="宋体"/>
          <w:color w:val="auto"/>
          <w:szCs w:val="21"/>
        </w:rPr>
      </w:pPr>
      <w:r>
        <w:rPr>
          <w:rFonts w:hint="eastAsia" w:ascii="宋体" w:hAnsi="宋体"/>
          <w:color w:val="auto"/>
          <w:szCs w:val="21"/>
        </w:rPr>
        <w:t>（2）定期报表保存期为3年，年报表保存期为长期。</w:t>
      </w:r>
    </w:p>
    <w:p>
      <w:pPr>
        <w:tabs>
          <w:tab w:val="left" w:pos="12960"/>
        </w:tabs>
        <w:spacing w:line="360" w:lineRule="exact"/>
        <w:ind w:firstLine="291" w:firstLineChars="139"/>
        <w:rPr>
          <w:rFonts w:hint="eastAsia" w:ascii="宋体" w:hAnsi="宋体" w:eastAsia="宋体" w:cs="宋体"/>
          <w:b/>
          <w:bCs/>
          <w:color w:val="auto"/>
          <w:szCs w:val="21"/>
          <w:lang w:eastAsia="zh-CN"/>
        </w:rPr>
      </w:pPr>
      <w:r>
        <w:rPr>
          <w:rFonts w:hint="eastAsia" w:ascii="宋体" w:hAnsi="宋体" w:cs="宋体"/>
          <w:b/>
          <w:bCs/>
          <w:color w:val="auto"/>
          <w:szCs w:val="21"/>
        </w:rPr>
        <w:t>（六）报表</w:t>
      </w:r>
      <w:r>
        <w:rPr>
          <w:rFonts w:hint="eastAsia" w:ascii="宋体" w:hAnsi="宋体" w:cs="宋体"/>
          <w:b/>
          <w:bCs/>
          <w:color w:val="auto"/>
          <w:szCs w:val="21"/>
          <w:lang w:eastAsia="zh-CN"/>
        </w:rPr>
        <w:t>报送要求</w:t>
      </w:r>
    </w:p>
    <w:p>
      <w:pPr>
        <w:spacing w:line="360" w:lineRule="exact"/>
        <w:ind w:firstLine="420" w:firstLineChars="200"/>
        <w:rPr>
          <w:rFonts w:ascii="宋体"/>
          <w:color w:val="auto"/>
        </w:rPr>
      </w:pPr>
      <w:r>
        <w:rPr>
          <w:rFonts w:hint="eastAsia" w:ascii="宋体"/>
          <w:color w:val="auto"/>
        </w:rPr>
        <w:t>本制度报表按报告期别分为统计年报和</w:t>
      </w:r>
      <w:r>
        <w:rPr>
          <w:rFonts w:hint="eastAsia" w:ascii="宋体"/>
          <w:color w:val="auto"/>
          <w:lang w:val="en-US" w:eastAsia="zh-CN"/>
        </w:rPr>
        <w:t>月</w:t>
      </w:r>
      <w:r>
        <w:rPr>
          <w:rFonts w:hint="eastAsia" w:ascii="宋体"/>
          <w:color w:val="auto"/>
        </w:rPr>
        <w:t>报。各项报表的报送时间、收表机关及报送方式应按规定执行。各填报单位必须按规定及时、准确、全面地填报，不得虚报、瞒报、拒报、迟报，不得伪造、篡改。</w:t>
      </w:r>
    </w:p>
    <w:p>
      <w:pPr>
        <w:spacing w:line="360" w:lineRule="exact"/>
        <w:ind w:firstLine="420" w:firstLineChars="200"/>
        <w:rPr>
          <w:rFonts w:hint="eastAsia" w:ascii="宋体"/>
          <w:color w:val="auto"/>
        </w:rPr>
      </w:pPr>
      <w:r>
        <w:rPr>
          <w:rFonts w:hint="eastAsia" w:ascii="宋体"/>
          <w:color w:val="auto"/>
        </w:rPr>
        <w:t>1.各</w:t>
      </w:r>
      <w:r>
        <w:rPr>
          <w:rFonts w:hint="eastAsia" w:ascii="宋体"/>
          <w:color w:val="auto"/>
          <w:lang w:eastAsia="zh-CN"/>
        </w:rPr>
        <w:t>行政区</w:t>
      </w:r>
      <w:r>
        <w:rPr>
          <w:rFonts w:hint="eastAsia" w:ascii="宋体"/>
          <w:color w:val="auto"/>
        </w:rPr>
        <w:t>统计局汇总辖区内全部投资项目（原则上不包含跨省区投资项目及军工、国防类建设项目）的数据资料，按照制度要求报送</w:t>
      </w:r>
      <w:r>
        <w:rPr>
          <w:rFonts w:hint="eastAsia" w:ascii="宋体"/>
          <w:color w:val="auto"/>
          <w:lang w:eastAsia="zh-CN"/>
        </w:rPr>
        <w:t>广州市</w:t>
      </w:r>
      <w:r>
        <w:rPr>
          <w:rFonts w:hint="eastAsia" w:ascii="宋体"/>
          <w:color w:val="auto"/>
        </w:rPr>
        <w:t>统计局。</w:t>
      </w:r>
    </w:p>
    <w:p>
      <w:pPr>
        <w:spacing w:line="360" w:lineRule="exact"/>
        <w:ind w:firstLine="420" w:firstLineChars="200"/>
        <w:rPr>
          <w:rFonts w:hint="eastAsia" w:ascii="宋体"/>
          <w:color w:val="auto"/>
        </w:rPr>
      </w:pPr>
      <w:r>
        <w:rPr>
          <w:rFonts w:hint="eastAsia" w:ascii="宋体"/>
          <w:color w:val="auto"/>
          <w:lang w:val="en-US" w:eastAsia="zh-CN"/>
        </w:rPr>
        <w:t>2</w:t>
      </w:r>
      <w:r>
        <w:rPr>
          <w:rFonts w:hint="eastAsia" w:ascii="宋体"/>
          <w:color w:val="auto"/>
        </w:rPr>
        <w:t>.军工、国防类建设项目原则上不填报基层表，由国家国防科工局、中央军委后勤保障部汇总综合数据报送国家统计局。</w:t>
      </w:r>
    </w:p>
    <w:p>
      <w:pPr>
        <w:spacing w:line="360" w:lineRule="exact"/>
        <w:ind w:firstLine="420" w:firstLineChars="200"/>
        <w:rPr>
          <w:rFonts w:ascii="宋体"/>
          <w:color w:val="auto"/>
        </w:rPr>
      </w:pPr>
      <w:r>
        <w:rPr>
          <w:rFonts w:hint="eastAsia" w:ascii="宋体"/>
          <w:color w:val="auto"/>
          <w:lang w:val="en-US" w:eastAsia="zh-CN"/>
        </w:rPr>
        <w:t>3</w:t>
      </w:r>
      <w:r>
        <w:rPr>
          <w:rFonts w:hint="eastAsia" w:ascii="宋体"/>
          <w:color w:val="auto"/>
        </w:rPr>
        <w:t>.各级投资专业与名录库管理部门共同负责四上企业外的其他有5000万元及以上在建项目法人单位基本情况的审核。</w:t>
      </w:r>
    </w:p>
    <w:p>
      <w:pPr>
        <w:spacing w:line="360" w:lineRule="exact"/>
        <w:ind w:firstLine="420" w:firstLineChars="200"/>
        <w:rPr>
          <w:rFonts w:hint="eastAsia" w:ascii="宋体"/>
          <w:color w:val="auto"/>
        </w:rPr>
      </w:pPr>
      <w:r>
        <w:rPr>
          <w:rFonts w:hint="eastAsia" w:ascii="宋体"/>
          <w:color w:val="auto"/>
          <w:lang w:val="en-US" w:eastAsia="zh-CN"/>
        </w:rPr>
        <w:t>4</w:t>
      </w:r>
      <w:r>
        <w:rPr>
          <w:rFonts w:ascii="宋体"/>
          <w:color w:val="auto"/>
        </w:rPr>
        <w:t>.</w:t>
      </w:r>
      <w:r>
        <w:rPr>
          <w:rFonts w:hint="eastAsia"/>
          <w:color w:val="auto"/>
        </w:rPr>
        <w:t>县级以上人民政府统计机构在查询或</w:t>
      </w:r>
      <w:r>
        <w:rPr>
          <w:rFonts w:hint="eastAsia" w:ascii="宋体"/>
          <w:color w:val="auto"/>
        </w:rPr>
        <w:t>核查统计数据时，核查对象应按时提供数据填报依据。</w:t>
      </w:r>
    </w:p>
    <w:p>
      <w:pPr>
        <w:rPr>
          <w:rFonts w:hint="eastAsia" w:ascii="宋体" w:hAnsi="宋体" w:cs="宋体"/>
          <w:b/>
          <w:bCs/>
          <w:color w:val="auto"/>
          <w:szCs w:val="21"/>
        </w:rPr>
      </w:pPr>
      <w:r>
        <w:rPr>
          <w:rFonts w:hint="eastAsia" w:ascii="宋体" w:hAnsi="宋体" w:cs="宋体"/>
          <w:b/>
          <w:bCs/>
          <w:color w:val="auto"/>
          <w:szCs w:val="21"/>
        </w:rPr>
        <w:br w:type="page"/>
      </w:r>
    </w:p>
    <w:p>
      <w:pPr>
        <w:spacing w:line="360" w:lineRule="atLeast"/>
        <w:ind w:firstLine="308" w:firstLineChars="147"/>
        <w:rPr>
          <w:rFonts w:ascii="宋体" w:hAnsi="宋体" w:cs="宋体"/>
          <w:b/>
          <w:bCs/>
          <w:color w:val="auto"/>
          <w:szCs w:val="21"/>
          <w:highlight w:val="yellow"/>
        </w:rPr>
      </w:pPr>
      <w:r>
        <w:rPr>
          <w:rFonts w:hint="eastAsia" w:ascii="宋体" w:hAnsi="宋体" w:cs="宋体"/>
          <w:b/>
          <w:bCs/>
          <w:color w:val="auto"/>
          <w:szCs w:val="21"/>
        </w:rPr>
        <w:t>（七）联系方式</w:t>
      </w:r>
    </w:p>
    <w:tbl>
      <w:tblPr>
        <w:tblStyle w:val="21"/>
        <w:tblW w:w="938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57" w:type="dxa"/>
          <w:left w:w="108" w:type="dxa"/>
          <w:bottom w:w="57" w:type="dxa"/>
          <w:right w:w="108" w:type="dxa"/>
        </w:tblCellMar>
      </w:tblPr>
      <w:tblGrid>
        <w:gridCol w:w="1153"/>
        <w:gridCol w:w="4094"/>
        <w:gridCol w:w="863"/>
        <w:gridCol w:w="1025"/>
        <w:gridCol w:w="224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340" w:hRule="atLeast"/>
          <w:tblHeader/>
          <w:jc w:val="center"/>
        </w:trPr>
        <w:tc>
          <w:tcPr>
            <w:tcW w:w="1153" w:type="dxa"/>
            <w:tcBorders>
              <w:top w:val="single" w:color="auto" w:sz="8" w:space="0"/>
              <w:bottom w:val="single" w:color="auto" w:sz="4" w:space="0"/>
            </w:tcBorders>
            <w:tcMar>
              <w:left w:w="28" w:type="dxa"/>
              <w:right w:w="28" w:type="dxa"/>
            </w:tcMar>
            <w:vAlign w:val="center"/>
          </w:tcPr>
          <w:p>
            <w:pPr>
              <w:keepNext w:val="0"/>
              <w:keepLines w:val="0"/>
              <w:suppressLineNumbers w:val="0"/>
              <w:snapToGrid w:val="0"/>
              <w:spacing w:before="0" w:beforeAutospacing="0" w:after="0" w:afterAutospacing="0" w:line="240" w:lineRule="exact"/>
              <w:ind w:left="126" w:leftChars="60" w:right="0"/>
              <w:jc w:val="center"/>
              <w:rPr>
                <w:rFonts w:hint="default" w:ascii="宋体" w:hAnsi="宋体"/>
                <w:color w:val="000000"/>
                <w:sz w:val="18"/>
                <w:szCs w:val="18"/>
              </w:rPr>
            </w:pPr>
            <w:r>
              <w:rPr>
                <w:rFonts w:hint="eastAsia" w:ascii="宋体" w:hAnsi="宋体"/>
                <w:color w:val="000000"/>
                <w:sz w:val="18"/>
                <w:szCs w:val="18"/>
              </w:rPr>
              <w:t>单位名称</w:t>
            </w:r>
          </w:p>
        </w:tc>
        <w:tc>
          <w:tcPr>
            <w:tcW w:w="4094" w:type="dxa"/>
            <w:tcBorders>
              <w:top w:val="single" w:color="auto" w:sz="8" w:space="0"/>
              <w:bottom w:val="single" w:color="auto" w:sz="4" w:space="0"/>
            </w:tcBorders>
            <w:vAlign w:val="center"/>
          </w:tcPr>
          <w:p>
            <w:pPr>
              <w:keepNext w:val="0"/>
              <w:keepLines w:val="0"/>
              <w:suppressLineNumbers w:val="0"/>
              <w:snapToGrid w:val="0"/>
              <w:spacing w:before="0" w:beforeAutospacing="0" w:after="0" w:afterAutospacing="0" w:line="240" w:lineRule="exact"/>
              <w:ind w:left="0" w:right="0"/>
              <w:jc w:val="center"/>
              <w:rPr>
                <w:rFonts w:hint="default" w:ascii="宋体" w:hAnsi="宋体"/>
                <w:color w:val="000000"/>
                <w:sz w:val="18"/>
                <w:szCs w:val="18"/>
              </w:rPr>
            </w:pPr>
            <w:r>
              <w:rPr>
                <w:rFonts w:hint="eastAsia" w:ascii="宋体" w:hAnsi="宋体"/>
                <w:color w:val="000000"/>
                <w:sz w:val="18"/>
                <w:szCs w:val="18"/>
              </w:rPr>
              <w:t>地址</w:t>
            </w:r>
          </w:p>
        </w:tc>
        <w:tc>
          <w:tcPr>
            <w:tcW w:w="863" w:type="dxa"/>
            <w:tcBorders>
              <w:top w:val="single" w:color="auto" w:sz="8" w:space="0"/>
              <w:bottom w:val="single" w:color="auto" w:sz="4" w:space="0"/>
            </w:tcBorders>
            <w:vAlign w:val="center"/>
          </w:tcPr>
          <w:p>
            <w:pPr>
              <w:keepNext w:val="0"/>
              <w:keepLines w:val="0"/>
              <w:suppressLineNumbers w:val="0"/>
              <w:snapToGrid w:val="0"/>
              <w:spacing w:before="0" w:beforeAutospacing="0" w:after="0" w:afterAutospacing="0" w:line="240" w:lineRule="exact"/>
              <w:ind w:left="0" w:right="0"/>
              <w:jc w:val="center"/>
              <w:rPr>
                <w:rFonts w:hint="default" w:ascii="宋体" w:hAnsi="宋体"/>
                <w:color w:val="000000"/>
                <w:sz w:val="18"/>
                <w:szCs w:val="18"/>
              </w:rPr>
            </w:pPr>
            <w:r>
              <w:rPr>
                <w:rFonts w:hint="eastAsia" w:ascii="宋体" w:hAnsi="宋体"/>
                <w:color w:val="000000"/>
                <w:sz w:val="18"/>
                <w:szCs w:val="18"/>
              </w:rPr>
              <w:t>邮政    编码</w:t>
            </w:r>
          </w:p>
        </w:tc>
        <w:tc>
          <w:tcPr>
            <w:tcW w:w="1025" w:type="dxa"/>
            <w:tcBorders>
              <w:top w:val="single" w:color="auto" w:sz="8" w:space="0"/>
              <w:bottom w:val="single" w:color="auto" w:sz="4" w:space="0"/>
            </w:tcBorders>
            <w:vAlign w:val="center"/>
          </w:tcPr>
          <w:p>
            <w:pPr>
              <w:keepNext w:val="0"/>
              <w:keepLines w:val="0"/>
              <w:suppressLineNumbers w:val="0"/>
              <w:snapToGrid w:val="0"/>
              <w:spacing w:before="0" w:beforeAutospacing="0" w:after="0" w:afterAutospacing="0" w:line="240" w:lineRule="exact"/>
              <w:ind w:left="0" w:right="0"/>
              <w:jc w:val="center"/>
              <w:rPr>
                <w:rFonts w:hint="default" w:ascii="宋体" w:hAnsi="宋体"/>
                <w:color w:val="000000"/>
                <w:sz w:val="18"/>
                <w:szCs w:val="18"/>
              </w:rPr>
            </w:pPr>
            <w:r>
              <w:rPr>
                <w:rFonts w:hint="eastAsia" w:ascii="宋体" w:hAnsi="宋体"/>
                <w:color w:val="000000"/>
                <w:sz w:val="18"/>
                <w:szCs w:val="18"/>
              </w:rPr>
              <w:t>联系电话</w:t>
            </w:r>
          </w:p>
        </w:tc>
        <w:tc>
          <w:tcPr>
            <w:tcW w:w="2247" w:type="dxa"/>
            <w:tcBorders>
              <w:top w:val="single" w:color="auto" w:sz="8" w:space="0"/>
              <w:bottom w:val="single" w:color="auto" w:sz="4" w:space="0"/>
            </w:tcBorders>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eastAsia="宋体"/>
                <w:color w:val="000000"/>
                <w:sz w:val="18"/>
                <w:szCs w:val="18"/>
                <w:lang w:eastAsia="zh-CN"/>
              </w:rPr>
            </w:pPr>
            <w:r>
              <w:rPr>
                <w:rFonts w:hint="eastAsia" w:ascii="宋体" w:hAnsi="宋体"/>
                <w:color w:val="000000"/>
                <w:sz w:val="18"/>
                <w:szCs w:val="18"/>
                <w:highlight w:val="none"/>
                <w:lang w:eastAsia="zh-CN"/>
              </w:rPr>
              <w:t>电子邮箱</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Borders>
              <w:top w:val="single" w:color="auto" w:sz="4" w:space="0"/>
            </w:tcBorders>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广州市统计局</w:t>
            </w:r>
          </w:p>
        </w:tc>
        <w:tc>
          <w:tcPr>
            <w:tcW w:w="4094" w:type="dxa"/>
            <w:tcBorders>
              <w:top w:val="single" w:color="auto" w:sz="4" w:space="0"/>
            </w:tcBorders>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广州市越秀区府前路</w:t>
            </w:r>
            <w:r>
              <w:rPr>
                <w:rFonts w:hint="eastAsia" w:ascii="宋体" w:hAnsi="宋体" w:eastAsia="宋体" w:cs="Times New Roman"/>
                <w:kern w:val="0"/>
                <w:sz w:val="18"/>
                <w:szCs w:val="18"/>
                <w:lang w:val="en-US" w:eastAsia="zh-CN" w:bidi="ar"/>
              </w:rPr>
              <w:t>1号市府大院1号楼</w:t>
            </w:r>
            <w:r>
              <w:rPr>
                <w:rFonts w:hint="eastAsia" w:ascii="宋体" w:hAnsi="宋体" w:eastAsia="宋体" w:cs="宋体"/>
                <w:kern w:val="0"/>
                <w:sz w:val="18"/>
                <w:szCs w:val="18"/>
                <w:lang w:val="en-US" w:eastAsia="zh-CN" w:bidi="ar"/>
              </w:rPr>
              <w:t>西502室</w:t>
            </w:r>
          </w:p>
        </w:tc>
        <w:tc>
          <w:tcPr>
            <w:tcW w:w="863" w:type="dxa"/>
            <w:tcBorders>
              <w:top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510030</w:t>
            </w:r>
          </w:p>
        </w:tc>
        <w:tc>
          <w:tcPr>
            <w:tcW w:w="1025" w:type="dxa"/>
            <w:tcBorders>
              <w:top w:val="single" w:color="auto" w:sz="4" w:space="0"/>
            </w:tcBorders>
            <w:vAlign w:val="center"/>
          </w:tcPr>
          <w:p>
            <w:pPr>
              <w:keepNext w:val="0"/>
              <w:keepLines w:val="0"/>
              <w:widowControl w:val="0"/>
              <w:suppressLineNumbers w:val="0"/>
              <w:snapToGrid w:val="0"/>
              <w:spacing w:before="0" w:beforeAutospacing="0" w:after="0" w:afterAutospacing="0" w:line="240" w:lineRule="exact"/>
              <w:ind w:left="0" w:right="0"/>
              <w:jc w:val="center"/>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83126</w:t>
            </w:r>
            <w:r>
              <w:rPr>
                <w:rFonts w:hint="eastAsia" w:ascii="宋体" w:hAnsi="宋体" w:eastAsia="宋体" w:cs="Times New Roman"/>
                <w:kern w:val="2"/>
                <w:sz w:val="18"/>
                <w:szCs w:val="18"/>
                <w:lang w:val="en-US" w:eastAsia="zh-CN" w:bidi="ar"/>
              </w:rPr>
              <w:t>3</w:t>
            </w:r>
            <w:r>
              <w:rPr>
                <w:rFonts w:hint="eastAsia" w:ascii="宋体" w:hAnsi="宋体" w:eastAsia="宋体" w:cs="宋体"/>
                <w:kern w:val="2"/>
                <w:sz w:val="18"/>
                <w:szCs w:val="18"/>
                <w:lang w:val="en-US" w:eastAsia="zh-CN" w:bidi="ar"/>
              </w:rPr>
              <w:t>3</w:t>
            </w:r>
            <w:r>
              <w:rPr>
                <w:rFonts w:hint="eastAsia" w:ascii="宋体" w:hAnsi="宋体" w:eastAsia="宋体" w:cs="Times New Roman"/>
                <w:kern w:val="2"/>
                <w:sz w:val="18"/>
                <w:szCs w:val="18"/>
                <w:lang w:val="en-US" w:eastAsia="zh-CN" w:bidi="ar"/>
              </w:rPr>
              <w:t>6</w:t>
            </w:r>
          </w:p>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83126358</w:t>
            </w:r>
          </w:p>
        </w:tc>
        <w:tc>
          <w:tcPr>
            <w:tcW w:w="2247" w:type="dxa"/>
            <w:tcBorders>
              <w:top w:val="single" w:color="auto" w:sz="4" w:space="0"/>
            </w:tcBorders>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sz w:val="18"/>
                <w:szCs w:val="18"/>
              </w:rPr>
              <w:t>gz_tzc@gdstats.gov.cn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荔湾区统计局</w:t>
            </w:r>
          </w:p>
        </w:tc>
        <w:tc>
          <w:tcPr>
            <w:tcW w:w="4094" w:type="dxa"/>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广州市荔湾区逢源路129号8</w:t>
            </w:r>
            <w:r>
              <w:rPr>
                <w:rFonts w:hint="eastAsia" w:ascii="宋体" w:hAnsi="宋体" w:cs="宋体"/>
                <w:kern w:val="0"/>
                <w:sz w:val="18"/>
                <w:szCs w:val="18"/>
                <w:lang w:val="en-US" w:eastAsia="zh" w:bidi="ar"/>
              </w:rPr>
              <w:t>13</w:t>
            </w:r>
            <w:r>
              <w:rPr>
                <w:rFonts w:hint="eastAsia" w:ascii="宋体" w:hAnsi="宋体" w:eastAsia="宋体" w:cs="宋体"/>
                <w:kern w:val="0"/>
                <w:sz w:val="18"/>
                <w:szCs w:val="18"/>
                <w:lang w:val="en-US" w:eastAsia="zh-CN" w:bidi="ar"/>
              </w:rPr>
              <w:t>室</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510150</w:t>
            </w:r>
          </w:p>
        </w:tc>
        <w:tc>
          <w:tcPr>
            <w:tcW w:w="1025" w:type="dxa"/>
            <w:vAlign w:val="center"/>
          </w:tcPr>
          <w:p>
            <w:pPr>
              <w:keepNext w:val="0"/>
              <w:keepLines w:val="0"/>
              <w:widowControl w:val="0"/>
              <w:suppressLineNumbers w:val="0"/>
              <w:spacing w:before="0" w:beforeAutospacing="0" w:after="0" w:afterAutospacing="0"/>
              <w:ind w:left="0" w:right="0"/>
              <w:jc w:val="center"/>
              <w:rPr>
                <w:rFonts w:hint="default" w:ascii="Calibri" w:hAnsi="Calibri" w:eastAsia="仿宋_GB2312" w:cs="Times New Roman"/>
                <w:kern w:val="2"/>
                <w:sz w:val="32"/>
                <w:szCs w:val="32"/>
              </w:rPr>
            </w:pPr>
            <w:r>
              <w:rPr>
                <w:rFonts w:hint="eastAsia" w:ascii="宋体" w:hAnsi="宋体" w:eastAsia="宋体" w:cs="宋体"/>
                <w:kern w:val="2"/>
                <w:sz w:val="18"/>
                <w:szCs w:val="18"/>
                <w:lang w:val="en-US" w:eastAsia="zh-CN" w:bidi="ar"/>
              </w:rPr>
              <w:t>80500969</w:t>
            </w:r>
          </w:p>
          <w:p>
            <w:pPr>
              <w:keepNext w:val="0"/>
              <w:keepLines w:val="0"/>
              <w:widowControl w:val="0"/>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81900789</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sz w:val="18"/>
                <w:szCs w:val="18"/>
                <w:lang w:val="en-US" w:eastAsia="zh-CN"/>
              </w:rPr>
            </w:pPr>
            <w:r>
              <w:rPr>
                <w:rFonts w:hint="eastAsia" w:ascii="宋体" w:hAnsi="宋体" w:eastAsia="宋体" w:cs="宋体"/>
                <w:color w:val="000000"/>
                <w:kern w:val="0"/>
                <w:sz w:val="18"/>
                <w:szCs w:val="18"/>
                <w:lang w:val="en-US" w:eastAsia="zh-CN" w:bidi="ar"/>
              </w:rPr>
              <w:t>lwtjmy@gz.gov.cn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越秀区统计局</w:t>
            </w:r>
          </w:p>
        </w:tc>
        <w:tc>
          <w:tcPr>
            <w:tcW w:w="4094" w:type="dxa"/>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广州市越秀区惠福东路486号</w:t>
            </w:r>
            <w:r>
              <w:rPr>
                <w:rFonts w:hint="eastAsia" w:ascii="宋体" w:hAnsi="宋体" w:eastAsia="宋体" w:cs="Times New Roman"/>
                <w:kern w:val="0"/>
                <w:sz w:val="18"/>
                <w:szCs w:val="18"/>
                <w:lang w:val="en-US" w:eastAsia="zh-CN" w:bidi="ar"/>
              </w:rPr>
              <w:t>7</w:t>
            </w:r>
            <w:r>
              <w:rPr>
                <w:rFonts w:hint="eastAsia" w:ascii="宋体" w:hAnsi="宋体" w:eastAsia="宋体" w:cs="宋体"/>
                <w:kern w:val="0"/>
                <w:sz w:val="18"/>
                <w:szCs w:val="18"/>
                <w:lang w:val="en-US" w:eastAsia="zh-CN" w:bidi="ar"/>
              </w:rPr>
              <w:t>楼</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510115</w:t>
            </w:r>
          </w:p>
        </w:tc>
        <w:tc>
          <w:tcPr>
            <w:tcW w:w="1025" w:type="dxa"/>
            <w:vAlign w:val="center"/>
          </w:tcPr>
          <w:p>
            <w:pPr>
              <w:keepNext w:val="0"/>
              <w:keepLines w:val="0"/>
              <w:widowControl w:val="0"/>
              <w:suppressLineNumbers w:val="0"/>
              <w:snapToGrid w:val="0"/>
              <w:spacing w:before="0" w:beforeAutospacing="0" w:after="0" w:afterAutospacing="0" w:line="240" w:lineRule="exact"/>
              <w:ind w:left="0" w:right="0"/>
              <w:jc w:val="center"/>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832628</w:t>
            </w:r>
            <w:r>
              <w:rPr>
                <w:rFonts w:hint="eastAsia" w:ascii="宋体" w:hAnsi="宋体" w:eastAsia="宋体" w:cs="Times New Roman"/>
                <w:kern w:val="2"/>
                <w:sz w:val="18"/>
                <w:szCs w:val="18"/>
                <w:lang w:val="en-US" w:eastAsia="zh-CN" w:bidi="ar"/>
              </w:rPr>
              <w:t>20</w:t>
            </w:r>
          </w:p>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83199643</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Times New Roman"/>
                <w:color w:val="000000"/>
                <w:kern w:val="0"/>
                <w:sz w:val="18"/>
                <w:szCs w:val="18"/>
                <w:lang w:val="en-US" w:eastAsia="zh-CN" w:bidi="ar"/>
              </w:rPr>
              <w:t>yxtjjtz@gz.gov.cn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海珠区统计局</w:t>
            </w:r>
          </w:p>
        </w:tc>
        <w:tc>
          <w:tcPr>
            <w:tcW w:w="4094" w:type="dxa"/>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广州市海珠区泰沙路555号810室</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5102</w:t>
            </w:r>
            <w:r>
              <w:rPr>
                <w:rFonts w:hint="eastAsia" w:ascii="宋体" w:hAnsi="宋体" w:eastAsia="宋体" w:cs="宋体"/>
                <w:kern w:val="0"/>
                <w:sz w:val="18"/>
                <w:szCs w:val="18"/>
                <w:lang w:val="en-US" w:eastAsia="zh-CN" w:bidi="ar"/>
              </w:rPr>
              <w:t>60</w:t>
            </w:r>
          </w:p>
        </w:tc>
        <w:tc>
          <w:tcPr>
            <w:tcW w:w="1025" w:type="dxa"/>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34371369</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hztjj@gz.gov.cn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天河区统计局</w:t>
            </w:r>
          </w:p>
        </w:tc>
        <w:tc>
          <w:tcPr>
            <w:tcW w:w="4094" w:type="dxa"/>
            <w:vAlign w:val="center"/>
          </w:tcPr>
          <w:p>
            <w:pPr>
              <w:keepNext w:val="0"/>
              <w:keepLines w:val="0"/>
              <w:widowControl/>
              <w:suppressLineNumbers w:val="0"/>
              <w:spacing w:before="0" w:beforeAutospacing="0" w:after="0" w:afterAutospacing="0"/>
              <w:ind w:left="-105" w:leftChars="-50" w:right="0" w:rightChars="0" w:firstLine="48" w:firstLineChars="28"/>
              <w:jc w:val="left"/>
              <w:rPr>
                <w:rFonts w:hint="default" w:ascii="宋体" w:hAnsi="宋体"/>
                <w:spacing w:val="-4"/>
                <w:kern w:val="0"/>
                <w:sz w:val="18"/>
                <w:szCs w:val="18"/>
              </w:rPr>
            </w:pPr>
            <w:r>
              <w:rPr>
                <w:rFonts w:hint="eastAsia" w:ascii="宋体" w:hAnsi="宋体" w:eastAsia="宋体" w:cs="宋体"/>
                <w:spacing w:val="-4"/>
                <w:kern w:val="0"/>
                <w:sz w:val="18"/>
                <w:szCs w:val="18"/>
                <w:lang w:val="en-US" w:eastAsia="zh-CN" w:bidi="ar"/>
              </w:rPr>
              <w:t>广州市天河区天府路</w:t>
            </w:r>
            <w:r>
              <w:rPr>
                <w:rFonts w:hint="eastAsia" w:ascii="宋体" w:hAnsi="宋体" w:eastAsia="宋体" w:cs="Times New Roman"/>
                <w:spacing w:val="-4"/>
                <w:kern w:val="0"/>
                <w:sz w:val="18"/>
                <w:szCs w:val="18"/>
                <w:lang w:val="en-US" w:eastAsia="zh-CN" w:bidi="ar"/>
              </w:rPr>
              <w:t>1号</w:t>
            </w:r>
            <w:r>
              <w:rPr>
                <w:rFonts w:hint="eastAsia" w:ascii="宋体" w:hAnsi="宋体" w:eastAsia="宋体" w:cs="宋体"/>
                <w:spacing w:val="-4"/>
                <w:kern w:val="0"/>
                <w:sz w:val="18"/>
                <w:szCs w:val="18"/>
                <w:lang w:val="en-US" w:eastAsia="zh-CN" w:bidi="ar"/>
              </w:rPr>
              <w:t>政府大院</w:t>
            </w:r>
            <w:r>
              <w:rPr>
                <w:rFonts w:hint="eastAsia" w:ascii="宋体" w:hAnsi="宋体" w:eastAsia="宋体" w:cs="Times New Roman"/>
                <w:spacing w:val="-4"/>
                <w:kern w:val="0"/>
                <w:sz w:val="18"/>
                <w:szCs w:val="18"/>
                <w:lang w:val="en-US" w:eastAsia="zh-CN" w:bidi="ar"/>
              </w:rPr>
              <w:t>2号楼1</w:t>
            </w:r>
            <w:r>
              <w:rPr>
                <w:rFonts w:hint="eastAsia" w:ascii="宋体" w:hAnsi="宋体" w:eastAsia="宋体" w:cs="宋体"/>
                <w:spacing w:val="-4"/>
                <w:kern w:val="0"/>
                <w:sz w:val="18"/>
                <w:szCs w:val="18"/>
                <w:lang w:val="en-US" w:eastAsia="zh-CN" w:bidi="ar"/>
              </w:rPr>
              <w:t>1楼1115室</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510655</w:t>
            </w:r>
          </w:p>
        </w:tc>
        <w:tc>
          <w:tcPr>
            <w:tcW w:w="1025" w:type="dxa"/>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eastAsia" w:ascii="宋体" w:hAnsi="宋体" w:eastAsia="宋体"/>
                <w:sz w:val="18"/>
                <w:szCs w:val="18"/>
                <w:lang w:eastAsia="zh"/>
              </w:rPr>
            </w:pPr>
            <w:r>
              <w:rPr>
                <w:rFonts w:hint="eastAsia" w:ascii="宋体" w:hAnsi="宋体" w:eastAsia="宋体" w:cs="宋体"/>
                <w:kern w:val="2"/>
                <w:sz w:val="18"/>
                <w:szCs w:val="18"/>
                <w:lang w:val="en-US" w:eastAsia="zh-CN" w:bidi="ar"/>
              </w:rPr>
              <w:t>38622714</w:t>
            </w:r>
            <w:r>
              <w:rPr>
                <w:rFonts w:hint="eastAsia" w:ascii="宋体" w:hAnsi="宋体" w:cs="宋体"/>
                <w:kern w:val="2"/>
                <w:sz w:val="18"/>
                <w:szCs w:val="18"/>
                <w:lang w:val="en-US" w:eastAsia="zh" w:bidi="ar"/>
              </w:rPr>
              <w:t xml:space="preserve"> </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tjj-bgs@thnet.gov.cn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白云区统计局</w:t>
            </w:r>
          </w:p>
        </w:tc>
        <w:tc>
          <w:tcPr>
            <w:tcW w:w="4094" w:type="dxa"/>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广州市白云区河田西路</w:t>
            </w:r>
            <w:r>
              <w:rPr>
                <w:rFonts w:hint="eastAsia" w:ascii="宋体" w:hAnsi="宋体" w:eastAsia="宋体" w:cs="Times New Roman"/>
                <w:kern w:val="0"/>
                <w:sz w:val="18"/>
                <w:szCs w:val="18"/>
                <w:lang w:val="en-US" w:eastAsia="zh-CN" w:bidi="ar"/>
              </w:rPr>
              <w:t>68号6楼</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510405</w:t>
            </w:r>
          </w:p>
        </w:tc>
        <w:tc>
          <w:tcPr>
            <w:tcW w:w="1025" w:type="dxa"/>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36255931</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tjjgdzctzz@by.gov.cn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color w:val="000000"/>
                <w:sz w:val="18"/>
                <w:szCs w:val="18"/>
              </w:rPr>
            </w:pPr>
            <w:r>
              <w:rPr>
                <w:rFonts w:hint="eastAsia" w:ascii="宋体" w:hAnsi="宋体" w:eastAsia="宋体" w:cs="宋体"/>
                <w:color w:val="000000"/>
                <w:kern w:val="0"/>
                <w:sz w:val="18"/>
                <w:szCs w:val="18"/>
                <w:lang w:val="en-US" w:eastAsia="zh-CN" w:bidi="ar"/>
              </w:rPr>
              <w:t>黄埔区统计局</w:t>
            </w:r>
          </w:p>
        </w:tc>
        <w:tc>
          <w:tcPr>
            <w:tcW w:w="4094" w:type="dxa"/>
            <w:tcMar>
              <w:left w:w="28" w:type="dxa"/>
              <w:right w:w="28" w:type="dxa"/>
            </w:tcMar>
            <w:vAlign w:val="center"/>
          </w:tcPr>
          <w:p>
            <w:pPr>
              <w:keepNext w:val="0"/>
              <w:keepLines w:val="0"/>
              <w:widowControl w:val="0"/>
              <w:suppressLineNumbers w:val="0"/>
              <w:snapToGrid w:val="0"/>
              <w:spacing w:before="0" w:beforeAutospacing="0" w:after="0" w:afterAutospacing="0" w:line="240" w:lineRule="exact"/>
              <w:ind w:left="0" w:leftChars="0" w:right="0" w:rightChars="0"/>
              <w:jc w:val="left"/>
              <w:rPr>
                <w:rFonts w:hint="default" w:ascii="宋体" w:hAnsi="宋体"/>
                <w:sz w:val="18"/>
                <w:szCs w:val="18"/>
              </w:rPr>
            </w:pPr>
            <w:r>
              <w:rPr>
                <w:rFonts w:hint="eastAsia" w:ascii="宋体" w:hAnsi="宋体" w:eastAsia="宋体" w:cs="宋体"/>
                <w:kern w:val="0"/>
                <w:sz w:val="18"/>
                <w:szCs w:val="18"/>
                <w:lang w:val="en-US" w:eastAsia="zh-CN" w:bidi="ar"/>
              </w:rPr>
              <w:t>广州市黄埔区水西路12号凯达楼B栋614室</w:t>
            </w:r>
          </w:p>
        </w:tc>
        <w:tc>
          <w:tcPr>
            <w:tcW w:w="863" w:type="dxa"/>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Times New Roman"/>
                <w:kern w:val="0"/>
                <w:sz w:val="18"/>
                <w:szCs w:val="18"/>
                <w:lang w:val="en-US" w:eastAsia="zh-CN" w:bidi="ar"/>
              </w:rPr>
              <w:t>510</w:t>
            </w:r>
            <w:r>
              <w:rPr>
                <w:rFonts w:hint="eastAsia" w:ascii="宋体" w:hAnsi="宋体" w:eastAsia="宋体" w:cs="宋体"/>
                <w:kern w:val="0"/>
                <w:sz w:val="18"/>
                <w:szCs w:val="18"/>
                <w:lang w:val="en-US" w:eastAsia="zh-CN" w:bidi="ar"/>
              </w:rPr>
              <w:t>530</w:t>
            </w:r>
          </w:p>
        </w:tc>
        <w:tc>
          <w:tcPr>
            <w:tcW w:w="1025" w:type="dxa"/>
            <w:vAlign w:val="center"/>
          </w:tcPr>
          <w:p>
            <w:pPr>
              <w:keepNext w:val="0"/>
              <w:keepLines w:val="0"/>
              <w:widowControl w:val="0"/>
              <w:suppressLineNumbers w:val="0"/>
              <w:snapToGrid w:val="0"/>
              <w:spacing w:before="0" w:beforeAutospacing="0" w:after="0" w:afterAutospacing="0" w:line="240" w:lineRule="exact"/>
              <w:ind w:left="0" w:right="0"/>
              <w:jc w:val="center"/>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82111536</w:t>
            </w:r>
          </w:p>
          <w:p>
            <w:pPr>
              <w:keepNext w:val="0"/>
              <w:keepLines w:val="0"/>
              <w:widowControl w:val="0"/>
              <w:suppressLineNumbers w:val="0"/>
              <w:snapToGrid w:val="0"/>
              <w:spacing w:before="0" w:beforeAutospacing="0" w:after="0" w:afterAutospacing="0" w:line="240" w:lineRule="exact"/>
              <w:ind w:left="0" w:leftChars="0" w:right="0" w:rightChars="0"/>
              <w:jc w:val="center"/>
              <w:rPr>
                <w:rFonts w:hint="eastAsia" w:ascii="宋体" w:hAnsi="宋体" w:eastAsia="宋体"/>
                <w:sz w:val="18"/>
                <w:szCs w:val="18"/>
                <w:lang w:eastAsia="zh-CN"/>
              </w:rPr>
            </w:pPr>
            <w:r>
              <w:rPr>
                <w:rFonts w:hint="eastAsia" w:ascii="宋体" w:hAnsi="宋体" w:eastAsia="宋体" w:cs="宋体"/>
                <w:kern w:val="2"/>
                <w:sz w:val="18"/>
                <w:szCs w:val="18"/>
                <w:lang w:val="en-US" w:eastAsia="zh-CN" w:bidi="ar"/>
              </w:rPr>
              <w:t>82112842</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Times New Roman"/>
                <w:color w:val="000000"/>
                <w:kern w:val="0"/>
                <w:sz w:val="18"/>
                <w:szCs w:val="18"/>
                <w:lang w:val="en-US" w:eastAsia="zh-CN" w:bidi="ar"/>
              </w:rPr>
              <w:t>hptz@hp.gov.cn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番禺区统计局</w:t>
            </w:r>
          </w:p>
        </w:tc>
        <w:tc>
          <w:tcPr>
            <w:tcW w:w="4094" w:type="dxa"/>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广州市番禺区清河东路</w:t>
            </w:r>
            <w:r>
              <w:rPr>
                <w:rFonts w:hint="eastAsia" w:ascii="宋体" w:hAnsi="宋体" w:eastAsia="宋体" w:cs="Times New Roman"/>
                <w:kern w:val="0"/>
                <w:sz w:val="18"/>
                <w:szCs w:val="18"/>
                <w:lang w:val="en-US" w:eastAsia="zh-CN" w:bidi="ar"/>
              </w:rPr>
              <w:t>319号区政府西副楼524</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511400</w:t>
            </w:r>
          </w:p>
        </w:tc>
        <w:tc>
          <w:tcPr>
            <w:tcW w:w="1025" w:type="dxa"/>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Times New Roman"/>
                <w:kern w:val="2"/>
                <w:sz w:val="18"/>
                <w:szCs w:val="18"/>
                <w:lang w:val="en-US" w:eastAsia="zh-CN" w:bidi="ar"/>
              </w:rPr>
              <w:t>84636156</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pczx@gz.gov.cn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花都区统计局</w:t>
            </w:r>
          </w:p>
        </w:tc>
        <w:tc>
          <w:tcPr>
            <w:tcW w:w="4094" w:type="dxa"/>
            <w:vAlign w:val="center"/>
          </w:tcPr>
          <w:p>
            <w:pPr>
              <w:keepNext w:val="0"/>
              <w:keepLines w:val="0"/>
              <w:widowControl/>
              <w:suppressLineNumbers w:val="0"/>
              <w:spacing w:before="0" w:beforeAutospacing="0" w:after="0" w:afterAutospacing="0"/>
              <w:ind w:left="-53" w:leftChars="-26" w:right="0" w:rightChars="0" w:hanging="1" w:firstLineChars="0"/>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广州市花都区新华街松园大道13号</w:t>
            </w:r>
            <w:r>
              <w:rPr>
                <w:rFonts w:hint="eastAsia" w:ascii="宋体" w:hAnsi="宋体" w:eastAsia="宋体" w:cs="Times New Roman"/>
                <w:kern w:val="0"/>
                <w:sz w:val="18"/>
                <w:szCs w:val="18"/>
                <w:lang w:val="en-US" w:eastAsia="zh-CN" w:bidi="ar"/>
              </w:rPr>
              <w:t>301</w:t>
            </w:r>
            <w:r>
              <w:rPr>
                <w:rFonts w:hint="eastAsia" w:ascii="宋体" w:hAnsi="宋体" w:eastAsia="宋体" w:cs="宋体"/>
                <w:kern w:val="0"/>
                <w:sz w:val="18"/>
                <w:szCs w:val="18"/>
                <w:lang w:val="en-US" w:eastAsia="zh-CN" w:bidi="ar"/>
              </w:rPr>
              <w:t>室</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510800</w:t>
            </w:r>
          </w:p>
        </w:tc>
        <w:tc>
          <w:tcPr>
            <w:tcW w:w="1025" w:type="dxa"/>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36899152</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liqinghua@huadu.gov.cn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南沙区统计局</w:t>
            </w:r>
          </w:p>
        </w:tc>
        <w:tc>
          <w:tcPr>
            <w:tcW w:w="4094" w:type="dxa"/>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广州市南沙区凤凰大道1号南沙区政府</w:t>
            </w:r>
            <w:r>
              <w:rPr>
                <w:rFonts w:hint="eastAsia" w:ascii="宋体" w:hAnsi="宋体" w:cs="宋体"/>
                <w:kern w:val="0"/>
                <w:sz w:val="18"/>
                <w:szCs w:val="18"/>
                <w:lang w:val="en-US" w:eastAsia="zh" w:bidi="ar"/>
              </w:rPr>
              <w:t>3号楼</w:t>
            </w:r>
            <w:r>
              <w:rPr>
                <w:rFonts w:hint="eastAsia" w:ascii="宋体" w:hAnsi="宋体" w:eastAsia="宋体" w:cs="宋体"/>
                <w:kern w:val="0"/>
                <w:sz w:val="18"/>
                <w:szCs w:val="18"/>
                <w:lang w:val="en-US" w:eastAsia="zh-CN" w:bidi="ar"/>
              </w:rPr>
              <w:t>5楼</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511455</w:t>
            </w:r>
          </w:p>
        </w:tc>
        <w:tc>
          <w:tcPr>
            <w:tcW w:w="1025" w:type="dxa"/>
            <w:vAlign w:val="center"/>
          </w:tcPr>
          <w:p>
            <w:pPr>
              <w:keepNext w:val="0"/>
              <w:keepLines w:val="0"/>
              <w:widowControl w:val="0"/>
              <w:suppressLineNumbers w:val="0"/>
              <w:snapToGrid w:val="0"/>
              <w:spacing w:before="0" w:beforeAutospacing="0" w:after="0" w:afterAutospacing="0" w:line="240" w:lineRule="exact"/>
              <w:ind w:left="0" w:right="0"/>
              <w:jc w:val="center"/>
              <w:rPr>
                <w:rFonts w:hint="eastAsia" w:ascii="宋体" w:hAnsi="宋体" w:eastAsia="宋体" w:cs="Times New Roman"/>
                <w:kern w:val="2"/>
                <w:sz w:val="18"/>
                <w:szCs w:val="18"/>
              </w:rPr>
            </w:pPr>
            <w:r>
              <w:rPr>
                <w:rFonts w:hint="eastAsia" w:ascii="宋体" w:hAnsi="宋体" w:eastAsia="宋体" w:cs="Times New Roman"/>
                <w:kern w:val="2"/>
                <w:sz w:val="18"/>
                <w:szCs w:val="18"/>
                <w:lang w:val="en-US" w:eastAsia="zh-CN" w:bidi="ar"/>
              </w:rPr>
              <w:t>39054953</w:t>
            </w:r>
          </w:p>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39053857</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nsqtjjtz@gz.gov.cn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Borders>
              <w:bottom w:val="single" w:color="auto" w:sz="4" w:space="0"/>
            </w:tcBorders>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从化区统计局</w:t>
            </w:r>
          </w:p>
        </w:tc>
        <w:tc>
          <w:tcPr>
            <w:tcW w:w="4094" w:type="dxa"/>
            <w:tcBorders>
              <w:bottom w:val="single" w:color="auto" w:sz="4" w:space="0"/>
            </w:tcBorders>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eastAsia" w:ascii="宋体" w:hAnsi="宋体" w:eastAsia="宋体"/>
                <w:kern w:val="0"/>
                <w:sz w:val="18"/>
                <w:szCs w:val="18"/>
                <w:lang w:eastAsia="zh-CN"/>
              </w:rPr>
            </w:pPr>
            <w:r>
              <w:rPr>
                <w:rFonts w:hint="eastAsia" w:ascii="宋体" w:hAnsi="宋体" w:eastAsia="宋体" w:cs="宋体"/>
                <w:kern w:val="0"/>
                <w:sz w:val="18"/>
                <w:szCs w:val="18"/>
                <w:lang w:val="en-US" w:eastAsia="zh-CN" w:bidi="ar"/>
              </w:rPr>
              <w:t>广州市从化区城郊街河滨北路128号城晖大厦（政务服务中心）7楼固定资产投资专业</w:t>
            </w:r>
          </w:p>
        </w:tc>
        <w:tc>
          <w:tcPr>
            <w:tcW w:w="863" w:type="dxa"/>
            <w:tcBorders>
              <w:bottom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510900</w:t>
            </w:r>
          </w:p>
        </w:tc>
        <w:tc>
          <w:tcPr>
            <w:tcW w:w="1025" w:type="dxa"/>
            <w:tcBorders>
              <w:bottom w:val="single" w:color="auto" w:sz="4" w:space="0"/>
            </w:tcBorders>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37900878</w:t>
            </w:r>
          </w:p>
        </w:tc>
        <w:tc>
          <w:tcPr>
            <w:tcW w:w="2247" w:type="dxa"/>
            <w:tcBorders>
              <w:bottom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295102511@qq.com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Borders>
              <w:top w:val="single" w:color="auto" w:sz="4" w:space="0"/>
              <w:bottom w:val="single" w:color="auto" w:sz="8" w:space="0"/>
            </w:tcBorders>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增城区统计局</w:t>
            </w:r>
          </w:p>
        </w:tc>
        <w:tc>
          <w:tcPr>
            <w:tcW w:w="4094" w:type="dxa"/>
            <w:tcBorders>
              <w:top w:val="single" w:color="auto" w:sz="4" w:space="0"/>
              <w:bottom w:val="single" w:color="auto" w:sz="8" w:space="0"/>
            </w:tcBorders>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广州市增城区惠民路1号行政中心4号楼533室</w:t>
            </w:r>
          </w:p>
        </w:tc>
        <w:tc>
          <w:tcPr>
            <w:tcW w:w="863" w:type="dxa"/>
            <w:tcBorders>
              <w:top w:val="single" w:color="auto" w:sz="4" w:space="0"/>
              <w:bottom w:val="single" w:color="auto" w:sz="8"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511300</w:t>
            </w:r>
          </w:p>
        </w:tc>
        <w:tc>
          <w:tcPr>
            <w:tcW w:w="1025" w:type="dxa"/>
            <w:tcBorders>
              <w:top w:val="single" w:color="auto" w:sz="4" w:space="0"/>
              <w:bottom w:val="single" w:color="auto" w:sz="8" w:space="0"/>
            </w:tcBorders>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32829401</w:t>
            </w:r>
          </w:p>
        </w:tc>
        <w:tc>
          <w:tcPr>
            <w:tcW w:w="2247" w:type="dxa"/>
            <w:tcBorders>
              <w:top w:val="single" w:color="auto" w:sz="4" w:space="0"/>
              <w:bottom w:val="single" w:color="auto" w:sz="8"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zctjjzhk2@gz.gov.cn</w:t>
            </w:r>
          </w:p>
        </w:tc>
      </w:tr>
    </w:tbl>
    <w:p>
      <w:pPr>
        <w:spacing w:line="360" w:lineRule="atLeast"/>
        <w:ind w:firstLine="308" w:firstLineChars="147"/>
        <w:rPr>
          <w:rFonts w:ascii="宋体" w:hAnsi="宋体" w:cs="宋体"/>
          <w:b/>
          <w:bCs/>
          <w:color w:val="auto"/>
          <w:szCs w:val="21"/>
          <w:highlight w:val="yellow"/>
        </w:rPr>
      </w:pPr>
    </w:p>
    <w:p>
      <w:pPr>
        <w:keepNext w:val="0"/>
        <w:keepLines w:val="0"/>
        <w:pageBreakBefore w:val="0"/>
        <w:widowControl w:val="0"/>
        <w:tabs>
          <w:tab w:val="left" w:pos="12960"/>
        </w:tabs>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color w:val="auto"/>
          <w:kern w:val="0"/>
          <w:szCs w:val="21"/>
          <w:u w:val="none"/>
          <w:lang w:eastAsia="zh-CN"/>
        </w:rPr>
      </w:pPr>
      <w:r>
        <w:rPr>
          <w:rFonts w:hint="eastAsia" w:ascii="宋体" w:hAnsi="宋体" w:cs="宋体"/>
          <w:color w:val="auto"/>
          <w:kern w:val="0"/>
          <w:szCs w:val="21"/>
          <w:u w:val="none"/>
        </w:rPr>
        <w:t>广州市统计</w:t>
      </w:r>
      <w:r>
        <w:rPr>
          <w:rFonts w:hint="eastAsia" w:ascii="宋体" w:hAnsi="宋体" w:cs="宋体"/>
          <w:color w:val="auto"/>
          <w:kern w:val="0"/>
          <w:szCs w:val="21"/>
          <w:u w:val="none"/>
          <w:lang w:eastAsia="zh-CN"/>
        </w:rPr>
        <w:t>局网站</w:t>
      </w:r>
      <w:r>
        <w:rPr>
          <w:rFonts w:hint="eastAsia" w:ascii="宋体" w:hAnsi="宋体" w:cs="宋体"/>
          <w:color w:val="auto"/>
          <w:kern w:val="0"/>
          <w:szCs w:val="21"/>
          <w:u w:val="none"/>
        </w:rPr>
        <w:t>： http://tjj.gz.gov.cn/</w:t>
      </w:r>
    </w:p>
    <w:p>
      <w:pPr>
        <w:keepNext w:val="0"/>
        <w:keepLines w:val="0"/>
        <w:pageBreakBefore w:val="0"/>
        <w:widowControl w:val="0"/>
        <w:tabs>
          <w:tab w:val="left" w:pos="12960"/>
        </w:tabs>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color w:val="auto"/>
          <w:kern w:val="0"/>
          <w:szCs w:val="21"/>
          <w:u w:val="none"/>
        </w:rPr>
      </w:pPr>
      <w:r>
        <w:rPr>
          <w:rFonts w:hint="eastAsia" w:ascii="宋体" w:hAnsi="宋体" w:cs="宋体"/>
          <w:color w:val="auto"/>
          <w:kern w:val="0"/>
          <w:szCs w:val="21"/>
          <w:u w:val="none"/>
          <w:lang w:eastAsia="zh-CN"/>
        </w:rPr>
        <w:t>国家统计云联网直报平台</w:t>
      </w:r>
      <w:r>
        <w:rPr>
          <w:rFonts w:ascii="宋体" w:hAnsi="宋体" w:cs="宋体"/>
          <w:color w:val="auto"/>
          <w:kern w:val="0"/>
          <w:szCs w:val="21"/>
          <w:u w:val="none"/>
        </w:rPr>
        <w:t>：</w:t>
      </w:r>
      <w:r>
        <w:rPr>
          <w:rFonts w:hint="eastAsia" w:ascii="宋体" w:hAnsi="宋体" w:cs="宋体"/>
          <w:color w:val="auto"/>
          <w:kern w:val="0"/>
          <w:szCs w:val="21"/>
          <w:u w:val="none"/>
        </w:rPr>
        <w:t>https://tjy.stats.gov.cn/</w:t>
      </w:r>
    </w:p>
    <w:p>
      <w:pPr>
        <w:tabs>
          <w:tab w:val="left" w:pos="12960"/>
        </w:tabs>
        <w:spacing w:line="360" w:lineRule="exact"/>
        <w:ind w:firstLine="630" w:firstLineChars="300"/>
        <w:rPr>
          <w:rFonts w:hint="eastAsia" w:ascii="宋体" w:hAnsi="宋体" w:cs="宋体"/>
          <w:color w:val="auto"/>
          <w:kern w:val="0"/>
          <w:szCs w:val="21"/>
        </w:rPr>
      </w:pPr>
    </w:p>
    <w:p>
      <w:pPr>
        <w:tabs>
          <w:tab w:val="left" w:pos="12960"/>
        </w:tabs>
        <w:spacing w:line="360" w:lineRule="exact"/>
        <w:ind w:firstLine="630" w:firstLineChars="300"/>
        <w:rPr>
          <w:rFonts w:hint="eastAsia" w:ascii="宋体" w:hAnsi="宋体" w:cs="宋体"/>
          <w:color w:val="auto"/>
          <w:kern w:val="0"/>
          <w:szCs w:val="21"/>
        </w:rPr>
      </w:pPr>
    </w:p>
    <w:p>
      <w:pPr>
        <w:tabs>
          <w:tab w:val="left" w:pos="12960"/>
        </w:tabs>
        <w:spacing w:line="360" w:lineRule="exact"/>
        <w:ind w:firstLine="630" w:firstLineChars="300"/>
        <w:rPr>
          <w:rFonts w:hint="eastAsia" w:ascii="宋体" w:hAnsi="宋体" w:cs="宋体"/>
          <w:color w:val="auto"/>
          <w:kern w:val="0"/>
          <w:szCs w:val="21"/>
        </w:rPr>
      </w:pPr>
    </w:p>
    <w:p>
      <w:pPr>
        <w:tabs>
          <w:tab w:val="left" w:pos="12960"/>
        </w:tabs>
        <w:spacing w:line="360" w:lineRule="exact"/>
        <w:ind w:firstLine="630" w:firstLineChars="300"/>
        <w:rPr>
          <w:rFonts w:hint="eastAsia" w:ascii="宋体" w:hAnsi="宋体" w:cs="宋体"/>
          <w:color w:val="auto"/>
          <w:kern w:val="0"/>
          <w:szCs w:val="21"/>
        </w:rPr>
      </w:pPr>
    </w:p>
    <w:p>
      <w:pPr>
        <w:tabs>
          <w:tab w:val="left" w:pos="12960"/>
        </w:tabs>
        <w:spacing w:line="360" w:lineRule="exact"/>
        <w:ind w:firstLine="630" w:firstLineChars="300"/>
        <w:rPr>
          <w:rFonts w:hint="eastAsia" w:ascii="宋体" w:hAnsi="宋体" w:cs="宋体"/>
          <w:color w:val="auto"/>
          <w:kern w:val="0"/>
          <w:szCs w:val="21"/>
        </w:rPr>
      </w:pPr>
    </w:p>
    <w:p>
      <w:pPr>
        <w:tabs>
          <w:tab w:val="left" w:pos="12960"/>
        </w:tabs>
        <w:spacing w:line="360" w:lineRule="exact"/>
        <w:ind w:firstLine="630" w:firstLineChars="300"/>
        <w:rPr>
          <w:rFonts w:hint="eastAsia" w:ascii="宋体" w:hAnsi="宋体" w:cs="宋体"/>
          <w:color w:val="auto"/>
          <w:kern w:val="0"/>
          <w:szCs w:val="21"/>
        </w:rPr>
        <w:sectPr>
          <w:headerReference r:id="rId8" w:type="default"/>
          <w:pgSz w:w="11906" w:h="16838"/>
          <w:pgMar w:top="1418" w:right="1247" w:bottom="1247" w:left="1247" w:header="851" w:footer="851" w:gutter="0"/>
          <w:pgBorders>
            <w:top w:val="none" w:sz="0" w:space="0"/>
            <w:left w:val="none" w:sz="0" w:space="0"/>
            <w:bottom w:val="none" w:sz="0" w:space="0"/>
            <w:right w:val="none" w:sz="0" w:space="0"/>
          </w:pgBorders>
          <w:pgNumType w:fmt="numberInDash" w:start="1"/>
          <w:cols w:space="720" w:num="1"/>
          <w:docGrid w:type="linesAndChars" w:linePitch="312" w:charSpace="0"/>
        </w:sectPr>
      </w:pPr>
    </w:p>
    <w:p>
      <w:pPr>
        <w:keepNext w:val="0"/>
        <w:keepLines w:val="0"/>
        <w:pageBreakBefore w:val="0"/>
        <w:widowControl w:val="0"/>
        <w:numPr>
          <w:ilvl w:val="0"/>
          <w:numId w:val="3"/>
        </w:numPr>
        <w:kinsoku/>
        <w:wordWrap/>
        <w:overflowPunct/>
        <w:topLinePunct w:val="0"/>
        <w:autoSpaceDE/>
        <w:autoSpaceDN/>
        <w:bidi w:val="0"/>
        <w:adjustRightInd/>
        <w:snapToGrid w:val="0"/>
        <w:spacing w:before="157" w:beforeLines="50" w:after="313" w:afterLines="100"/>
        <w:jc w:val="center"/>
        <w:textAlignment w:val="auto"/>
        <w:outlineLvl w:val="0"/>
        <w:rPr>
          <w:rFonts w:hint="eastAsia" w:eastAsia="黑体"/>
          <w:color w:val="auto"/>
          <w:sz w:val="32"/>
        </w:rPr>
      </w:pPr>
      <w:r>
        <w:rPr>
          <w:rFonts w:hint="eastAsia" w:eastAsia="黑体"/>
          <w:color w:val="auto"/>
          <w:sz w:val="32"/>
        </w:rPr>
        <w:t>报 表</w:t>
      </w:r>
      <w:r>
        <w:rPr>
          <w:rFonts w:eastAsia="黑体"/>
          <w:color w:val="auto"/>
          <w:sz w:val="32"/>
        </w:rPr>
        <w:t xml:space="preserve"> </w:t>
      </w:r>
      <w:r>
        <w:rPr>
          <w:rFonts w:hint="eastAsia" w:eastAsia="黑体"/>
          <w:color w:val="auto"/>
          <w:sz w:val="32"/>
        </w:rPr>
        <w:t>目</w:t>
      </w:r>
      <w:r>
        <w:rPr>
          <w:rFonts w:eastAsia="黑体"/>
          <w:color w:val="auto"/>
          <w:sz w:val="32"/>
        </w:rPr>
        <w:t xml:space="preserve"> </w:t>
      </w:r>
      <w:r>
        <w:rPr>
          <w:rFonts w:hint="eastAsia" w:eastAsia="黑体"/>
          <w:color w:val="auto"/>
          <w:sz w:val="32"/>
        </w:rPr>
        <w:t>录</w:t>
      </w:r>
    </w:p>
    <w:tbl>
      <w:tblPr>
        <w:tblStyle w:val="21"/>
        <w:tblW w:w="9343"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895"/>
        <w:gridCol w:w="1635"/>
        <w:gridCol w:w="709"/>
        <w:gridCol w:w="2591"/>
        <w:gridCol w:w="1156"/>
        <w:gridCol w:w="923"/>
        <w:gridCol w:w="1433"/>
        <w:gridCol w:w="1"/>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1018" w:hRule="atLeast"/>
          <w:tblHeader/>
          <w:jc w:val="center"/>
        </w:trPr>
        <w:tc>
          <w:tcPr>
            <w:tcW w:w="895" w:type="dxa"/>
            <w:tcBorders>
              <w:tl2br w:val="nil"/>
              <w:tr2bl w:val="nil"/>
            </w:tcBorders>
            <w:noWrap w:val="0"/>
            <w:tcMar>
              <w:left w:w="57"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bCs/>
                <w:color w:val="auto"/>
                <w:sz w:val="18"/>
                <w:szCs w:val="18"/>
                <w:highlight w:val="none"/>
              </w:rPr>
            </w:pPr>
            <w:r>
              <w:rPr>
                <w:rFonts w:hint="eastAsia" w:ascii="宋体" w:hAnsi="宋体"/>
                <w:bCs/>
                <w:color w:val="auto"/>
                <w:sz w:val="18"/>
                <w:szCs w:val="18"/>
                <w:highlight w:val="none"/>
              </w:rPr>
              <w:t>表号</w:t>
            </w:r>
          </w:p>
        </w:tc>
        <w:tc>
          <w:tcPr>
            <w:tcW w:w="1635" w:type="dxa"/>
            <w:tcBorders>
              <w:tl2br w:val="nil"/>
              <w:tr2bl w:val="nil"/>
            </w:tcBorders>
            <w:noWrap w:val="0"/>
            <w:tcMar>
              <w:left w:w="57"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bCs/>
                <w:color w:val="auto"/>
                <w:sz w:val="18"/>
                <w:szCs w:val="18"/>
                <w:highlight w:val="none"/>
              </w:rPr>
            </w:pPr>
            <w:r>
              <w:rPr>
                <w:rFonts w:hint="eastAsia" w:ascii="宋体" w:hAnsi="宋体"/>
                <w:bCs/>
                <w:color w:val="auto"/>
                <w:sz w:val="18"/>
                <w:szCs w:val="18"/>
                <w:highlight w:val="none"/>
              </w:rPr>
              <w:t>表名</w:t>
            </w:r>
          </w:p>
        </w:tc>
        <w:tc>
          <w:tcPr>
            <w:tcW w:w="709" w:type="dxa"/>
            <w:tcBorders>
              <w:tl2br w:val="nil"/>
              <w:tr2bl w:val="nil"/>
            </w:tcBorders>
            <w:noWrap w:val="0"/>
            <w:tcMar>
              <w:left w:w="57"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bCs/>
                <w:color w:val="auto"/>
                <w:sz w:val="18"/>
                <w:szCs w:val="18"/>
                <w:highlight w:val="none"/>
              </w:rPr>
            </w:pPr>
            <w:r>
              <w:rPr>
                <w:rFonts w:hint="eastAsia" w:ascii="宋体" w:hAnsi="宋体"/>
                <w:bCs/>
                <w:color w:val="auto"/>
                <w:sz w:val="18"/>
                <w:szCs w:val="18"/>
                <w:highlight w:val="none"/>
              </w:rPr>
              <w:t>报告</w:t>
            </w:r>
          </w:p>
          <w:p>
            <w:pPr>
              <w:keepNext w:val="0"/>
              <w:keepLines w:val="0"/>
              <w:suppressLineNumbers w:val="0"/>
              <w:snapToGrid w:val="0"/>
              <w:spacing w:before="0" w:beforeAutospacing="0" w:after="0" w:afterAutospacing="0"/>
              <w:ind w:left="0" w:right="0"/>
              <w:jc w:val="center"/>
              <w:rPr>
                <w:rFonts w:hint="default" w:ascii="宋体" w:hAnsi="宋体"/>
                <w:bCs/>
                <w:color w:val="auto"/>
                <w:sz w:val="18"/>
                <w:szCs w:val="18"/>
                <w:highlight w:val="none"/>
              </w:rPr>
            </w:pPr>
            <w:r>
              <w:rPr>
                <w:rFonts w:hint="eastAsia" w:ascii="宋体" w:hAnsi="宋体"/>
                <w:bCs/>
                <w:color w:val="auto"/>
                <w:sz w:val="18"/>
                <w:szCs w:val="18"/>
                <w:highlight w:val="none"/>
              </w:rPr>
              <w:t>期别</w:t>
            </w:r>
          </w:p>
        </w:tc>
        <w:tc>
          <w:tcPr>
            <w:tcW w:w="2591" w:type="dxa"/>
            <w:tcBorders>
              <w:tl2br w:val="nil"/>
              <w:tr2bl w:val="nil"/>
            </w:tcBorders>
            <w:noWrap w:val="0"/>
            <w:tcMar>
              <w:left w:w="57"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bCs/>
                <w:color w:val="auto"/>
                <w:sz w:val="18"/>
                <w:szCs w:val="18"/>
                <w:highlight w:val="none"/>
              </w:rPr>
            </w:pPr>
            <w:r>
              <w:rPr>
                <w:rFonts w:hint="eastAsia" w:ascii="宋体" w:hAnsi="宋体"/>
                <w:bCs/>
                <w:color w:val="auto"/>
                <w:sz w:val="18"/>
                <w:szCs w:val="18"/>
                <w:highlight w:val="none"/>
              </w:rPr>
              <w:t>统计范围</w:t>
            </w:r>
          </w:p>
        </w:tc>
        <w:tc>
          <w:tcPr>
            <w:tcW w:w="1156" w:type="dxa"/>
            <w:tcBorders>
              <w:tl2br w:val="nil"/>
              <w:tr2bl w:val="nil"/>
            </w:tcBorders>
            <w:noWrap w:val="0"/>
            <w:tcMar>
              <w:left w:w="57"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bCs/>
                <w:color w:val="auto"/>
                <w:sz w:val="18"/>
                <w:szCs w:val="18"/>
                <w:highlight w:val="none"/>
              </w:rPr>
            </w:pPr>
            <w:r>
              <w:rPr>
                <w:rFonts w:hint="eastAsia" w:ascii="宋体" w:hAnsi="宋体"/>
                <w:bCs/>
                <w:color w:val="auto"/>
                <w:sz w:val="18"/>
                <w:szCs w:val="18"/>
                <w:highlight w:val="none"/>
              </w:rPr>
              <w:t>报送单位</w:t>
            </w:r>
          </w:p>
        </w:tc>
        <w:tc>
          <w:tcPr>
            <w:tcW w:w="923" w:type="dxa"/>
            <w:tcBorders>
              <w:tl2br w:val="nil"/>
              <w:tr2bl w:val="nil"/>
            </w:tcBorders>
            <w:noWrap w:val="0"/>
            <w:tcMar>
              <w:left w:w="57" w:type="dxa"/>
              <w:right w:w="57" w:type="dxa"/>
            </w:tcMar>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bCs/>
                <w:color w:val="auto"/>
                <w:sz w:val="18"/>
                <w:szCs w:val="18"/>
                <w:highlight w:val="none"/>
                <w:lang w:eastAsia="zh-CN"/>
              </w:rPr>
            </w:pPr>
            <w:r>
              <w:rPr>
                <w:rFonts w:hint="eastAsia" w:ascii="宋体" w:hAnsi="宋体"/>
                <w:bCs/>
                <w:color w:val="auto"/>
                <w:sz w:val="18"/>
                <w:szCs w:val="18"/>
                <w:highlight w:val="none"/>
                <w:lang w:eastAsia="zh-CN"/>
              </w:rPr>
              <w:t>填报开网时间</w:t>
            </w:r>
          </w:p>
        </w:tc>
        <w:tc>
          <w:tcPr>
            <w:tcW w:w="1434" w:type="dxa"/>
            <w:gridSpan w:val="2"/>
            <w:tcBorders>
              <w:tl2br w:val="nil"/>
              <w:tr2bl w:val="nil"/>
            </w:tcBorders>
            <w:noWrap w:val="0"/>
            <w:tcMar>
              <w:left w:w="57" w:type="dxa"/>
              <w:right w:w="57" w:type="dxa"/>
            </w:tcMar>
            <w:vAlign w:val="center"/>
          </w:tcPr>
          <w:p>
            <w:pPr>
              <w:pStyle w:val="15"/>
              <w:keepNext w:val="0"/>
              <w:keepLines w:val="0"/>
              <w:suppressLineNumbers w:val="0"/>
              <w:pBdr>
                <w:bottom w:val="none" w:color="auto" w:sz="0" w:space="0"/>
              </w:pBdr>
              <w:tabs>
                <w:tab w:val="left" w:pos="420"/>
              </w:tabs>
              <w:spacing w:before="0" w:beforeAutospacing="0" w:after="0" w:afterAutospacing="0"/>
              <w:ind w:left="0" w:right="0"/>
              <w:rPr>
                <w:rFonts w:hint="eastAsia" w:ascii="宋体" w:hAnsi="宋体" w:eastAsia="宋体"/>
                <w:bCs/>
                <w:color w:val="auto"/>
                <w:highlight w:val="none"/>
                <w:lang w:eastAsia="zh-CN"/>
              </w:rPr>
            </w:pPr>
            <w:r>
              <w:rPr>
                <w:rFonts w:hint="eastAsia" w:ascii="宋体" w:hAnsi="宋体"/>
                <w:bCs/>
                <w:color w:val="auto"/>
                <w:highlight w:val="none"/>
                <w:lang w:eastAsia="zh-CN"/>
              </w:rPr>
              <w:t>填报截止时间</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1" w:type="dxa"/>
          <w:trHeight w:val="340" w:hRule="atLeast"/>
          <w:jc w:val="center"/>
        </w:trPr>
        <w:tc>
          <w:tcPr>
            <w:tcW w:w="9342" w:type="dxa"/>
            <w:gridSpan w:val="7"/>
            <w:tcBorders>
              <w:tl2br w:val="nil"/>
              <w:tr2bl w:val="nil"/>
            </w:tcBorders>
            <w:noWrap w:val="0"/>
            <w:tcMar>
              <w:left w:w="57" w:type="dxa"/>
              <w:right w:w="57" w:type="dxa"/>
            </w:tcMar>
            <w:vAlign w:val="center"/>
          </w:tcPr>
          <w:p>
            <w:pPr>
              <w:keepNext w:val="0"/>
              <w:keepLines w:val="0"/>
              <w:suppressLineNumbers w:val="0"/>
              <w:snapToGrid w:val="0"/>
              <w:spacing w:before="0" w:beforeAutospacing="0" w:after="0" w:afterAutospacing="0"/>
              <w:ind w:left="0" w:right="0"/>
              <w:jc w:val="left"/>
              <w:rPr>
                <w:rFonts w:hint="eastAsia" w:ascii="宋体" w:hAnsi="宋体"/>
                <w:color w:val="auto"/>
                <w:sz w:val="18"/>
                <w:szCs w:val="18"/>
                <w:highlight w:val="none"/>
              </w:rPr>
            </w:pPr>
            <w:r>
              <w:rPr>
                <w:rFonts w:hint="eastAsia" w:ascii="宋体" w:hAnsi="宋体"/>
                <w:color w:val="auto"/>
                <w:sz w:val="18"/>
                <w:szCs w:val="18"/>
                <w:highlight w:val="none"/>
              </w:rPr>
              <w:t>（一）</w:t>
            </w:r>
            <w:r>
              <w:rPr>
                <w:rFonts w:hint="default" w:ascii="宋体" w:hAnsi="宋体"/>
                <w:color w:val="auto"/>
                <w:sz w:val="18"/>
                <w:szCs w:val="18"/>
                <w:highlight w:val="none"/>
              </w:rPr>
              <w:t>基层年报表</w:t>
            </w:r>
            <w:r>
              <w:rPr>
                <w:rFonts w:hint="eastAsia" w:ascii="宋体" w:hAnsi="宋体"/>
                <w:color w:val="auto"/>
                <w:sz w:val="18"/>
                <w:szCs w:val="18"/>
                <w:highlight w:val="none"/>
              </w:rPr>
              <w:t>式</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57" w:type="dxa"/>
            <w:right w:w="108" w:type="dxa"/>
          </w:tblCellMar>
        </w:tblPrEx>
        <w:trPr>
          <w:trHeight w:val="20" w:hRule="atLeast"/>
          <w:jc w:val="center"/>
        </w:trPr>
        <w:tc>
          <w:tcPr>
            <w:tcW w:w="895" w:type="dxa"/>
            <w:tcBorders>
              <w:tl2br w:val="nil"/>
              <w:tr2bl w:val="nil"/>
            </w:tcBorders>
            <w:noWrap/>
            <w:vAlign w:val="center"/>
          </w:tcPr>
          <w:p>
            <w:pPr>
              <w:keepNext w:val="0"/>
              <w:keepLines w:val="0"/>
              <w:suppressLineNumbers w:val="0"/>
              <w:snapToGrid w:val="0"/>
              <w:spacing w:before="0" w:beforeAutospacing="0" w:after="0" w:afterAutospacing="0"/>
              <w:ind w:left="0" w:right="0"/>
              <w:jc w:val="center"/>
              <w:rPr>
                <w:rFonts w:hint="default" w:ascii="宋体" w:hAnsi="宋体"/>
                <w:color w:val="auto"/>
                <w:sz w:val="18"/>
                <w:szCs w:val="18"/>
                <w:highlight w:val="none"/>
                <w:lang w:val="en"/>
              </w:rPr>
            </w:pPr>
            <w:r>
              <w:rPr>
                <w:rFonts w:hint="default" w:ascii="宋体" w:hAnsi="宋体"/>
                <w:color w:val="auto"/>
                <w:sz w:val="18"/>
                <w:szCs w:val="18"/>
                <w:highlight w:val="none"/>
                <w:lang w:val="en-US"/>
              </w:rPr>
              <w:t>101-1</w:t>
            </w:r>
            <w:r>
              <w:rPr>
                <w:rFonts w:hint="eastAsia" w:ascii="宋体" w:hAnsi="宋体"/>
                <w:color w:val="auto"/>
                <w:sz w:val="18"/>
                <w:szCs w:val="18"/>
                <w:highlight w:val="none"/>
                <w:lang w:val="en"/>
              </w:rPr>
              <w:t>表</w:t>
            </w:r>
          </w:p>
        </w:tc>
        <w:tc>
          <w:tcPr>
            <w:tcW w:w="1635" w:type="dxa"/>
            <w:tcBorders>
              <w:tl2br w:val="nil"/>
              <w:tr2bl w:val="nil"/>
            </w:tcBorders>
            <w:noWrap/>
            <w:vAlign w:val="center"/>
          </w:tcPr>
          <w:p>
            <w:pPr>
              <w:keepNext w:val="0"/>
              <w:keepLines w:val="0"/>
              <w:suppressLineNumbers w:val="0"/>
              <w:snapToGrid w:val="0"/>
              <w:spacing w:before="0" w:beforeAutospacing="0" w:after="0" w:afterAutospacing="0"/>
              <w:ind w:left="0" w:right="0"/>
              <w:jc w:val="center"/>
              <w:rPr>
                <w:rFonts w:hint="default" w:ascii="宋体" w:hAnsi="宋体"/>
                <w:color w:val="auto"/>
                <w:sz w:val="18"/>
                <w:szCs w:val="18"/>
                <w:highlight w:val="none"/>
                <w:lang w:val="en"/>
              </w:rPr>
            </w:pPr>
            <w:r>
              <w:rPr>
                <w:rFonts w:hint="eastAsia" w:ascii="宋体" w:hAnsi="宋体"/>
                <w:color w:val="auto"/>
                <w:sz w:val="18"/>
                <w:szCs w:val="18"/>
                <w:highlight w:val="none"/>
                <w:lang w:val="en"/>
              </w:rPr>
              <w:t>一套表调查单位基本情况</w:t>
            </w:r>
          </w:p>
        </w:tc>
        <w:tc>
          <w:tcPr>
            <w:tcW w:w="709" w:type="dxa"/>
            <w:tcBorders>
              <w:tl2br w:val="nil"/>
              <w:tr2bl w:val="nil"/>
            </w:tcBorders>
            <w:noWrap/>
            <w:vAlign w:val="center"/>
          </w:tcPr>
          <w:p>
            <w:pPr>
              <w:keepNext w:val="0"/>
              <w:keepLines w:val="0"/>
              <w:suppressLineNumbers w:val="0"/>
              <w:snapToGrid w:val="0"/>
              <w:spacing w:before="0" w:beforeAutospacing="0" w:after="0" w:afterAutospacing="0"/>
              <w:ind w:left="0" w:right="0"/>
              <w:jc w:val="center"/>
              <w:rPr>
                <w:rFonts w:hint="default" w:ascii="宋体" w:hAnsi="宋体"/>
                <w:color w:val="auto"/>
                <w:sz w:val="18"/>
                <w:szCs w:val="18"/>
                <w:highlight w:val="none"/>
                <w:lang w:val="en"/>
              </w:rPr>
            </w:pPr>
            <w:r>
              <w:rPr>
                <w:rFonts w:hint="eastAsia" w:ascii="宋体" w:hAnsi="宋体"/>
                <w:color w:val="auto"/>
                <w:sz w:val="18"/>
                <w:szCs w:val="18"/>
                <w:highlight w:val="none"/>
                <w:lang w:val="en"/>
              </w:rPr>
              <w:t>年报</w:t>
            </w:r>
          </w:p>
        </w:tc>
        <w:tc>
          <w:tcPr>
            <w:tcW w:w="2591" w:type="dxa"/>
            <w:tcBorders>
              <w:tl2br w:val="nil"/>
              <w:tr2bl w:val="nil"/>
            </w:tcBorders>
            <w:noWrap/>
            <w:vAlign w:val="center"/>
          </w:tcPr>
          <w:p>
            <w:pPr>
              <w:keepNext w:val="0"/>
              <w:keepLines w:val="0"/>
              <w:suppressLineNumbers w:val="0"/>
              <w:snapToGrid w:val="0"/>
              <w:spacing w:before="0" w:beforeAutospacing="0" w:after="0" w:afterAutospacing="0"/>
              <w:ind w:left="0" w:right="0"/>
              <w:jc w:val="left"/>
              <w:rPr>
                <w:rFonts w:hint="default" w:ascii="宋体" w:hAnsi="宋体"/>
                <w:color w:val="auto"/>
                <w:sz w:val="18"/>
                <w:szCs w:val="18"/>
                <w:highlight w:val="none"/>
                <w:lang w:val="en"/>
              </w:rPr>
            </w:pPr>
            <w:r>
              <w:rPr>
                <w:rFonts w:hint="eastAsia" w:ascii="宋体" w:hAnsi="宋体"/>
                <w:color w:val="auto"/>
                <w:sz w:val="18"/>
                <w:szCs w:val="18"/>
                <w:highlight w:val="none"/>
              </w:rPr>
              <w:t>辖区内规模以上工业、有资质的建筑业、限额以上批发和零售业、限额以上住宿和餐饮业、有开发经营活动的房地产开发经营业、规模以上服务业、其他有5000万元及以上在建项目的法人单位</w:t>
            </w:r>
            <w:r>
              <w:rPr>
                <w:rFonts w:hint="eastAsia" w:ascii="宋体"/>
                <w:color w:val="auto"/>
                <w:sz w:val="18"/>
                <w:szCs w:val="18"/>
                <w:highlight w:val="none"/>
              </w:rPr>
              <w:t>，规模以上工业个体经营户</w:t>
            </w:r>
          </w:p>
        </w:tc>
        <w:tc>
          <w:tcPr>
            <w:tcW w:w="1156" w:type="dxa"/>
            <w:tcBorders>
              <w:tl2br w:val="nil"/>
              <w:tr2bl w:val="nil"/>
            </w:tcBorders>
            <w:noWrap/>
            <w:tcMar>
              <w:top w:w="45" w:type="dxa"/>
              <w:bottom w:w="45"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olor w:val="auto"/>
                <w:sz w:val="18"/>
                <w:szCs w:val="18"/>
                <w:highlight w:val="none"/>
                <w:lang w:val="en"/>
              </w:rPr>
            </w:pPr>
            <w:r>
              <w:rPr>
                <w:rFonts w:hint="eastAsia" w:ascii="宋体" w:hAnsi="宋体"/>
                <w:color w:val="auto"/>
                <w:sz w:val="18"/>
                <w:szCs w:val="18"/>
                <w:highlight w:val="none"/>
                <w:lang w:val="en"/>
              </w:rPr>
              <w:t>法人单位</w:t>
            </w:r>
          </w:p>
        </w:tc>
        <w:tc>
          <w:tcPr>
            <w:tcW w:w="923" w:type="dxa"/>
            <w:tcBorders>
              <w:tl2br w:val="nil"/>
              <w:tr2bl w:val="nil"/>
            </w:tcBorders>
            <w:noWrap/>
            <w:tcMar>
              <w:top w:w="45" w:type="dxa"/>
              <w:bottom w:w="45" w:type="dxa"/>
            </w:tcMar>
            <w:vAlign w:val="center"/>
          </w:tcPr>
          <w:p>
            <w:pPr>
              <w:keepNext w:val="0"/>
              <w:keepLines w:val="0"/>
              <w:suppressLineNumbers w:val="0"/>
              <w:spacing w:before="0" w:beforeLines="0" w:beforeAutospacing="0" w:after="0" w:afterLines="0" w:afterAutospacing="0" w:line="280" w:lineRule="exact"/>
              <w:ind w:left="0" w:right="0"/>
              <w:jc w:val="center"/>
              <w:rPr>
                <w:rFonts w:hint="eastAsia" w:ascii="宋体" w:hAnsi="宋体" w:eastAsia="宋体" w:cs="Times New Roman"/>
                <w:color w:val="auto"/>
                <w:kern w:val="2"/>
                <w:sz w:val="18"/>
                <w:szCs w:val="24"/>
                <w:highlight w:val="none"/>
                <w:lang w:val="en-US" w:eastAsia="zh-CN" w:bidi="ar-SA"/>
              </w:rPr>
            </w:pPr>
            <w:r>
              <w:rPr>
                <w:rFonts w:hint="eastAsia" w:ascii="宋体" w:hAnsi="宋体"/>
                <w:color w:val="auto"/>
                <w:sz w:val="18"/>
                <w:szCs w:val="24"/>
                <w:highlight w:val="none"/>
                <w:lang w:val="en-US" w:eastAsia="zh-CN"/>
              </w:rPr>
              <w:t>2026年1月20日0点</w:t>
            </w:r>
          </w:p>
        </w:tc>
        <w:tc>
          <w:tcPr>
            <w:tcW w:w="1434" w:type="dxa"/>
            <w:gridSpan w:val="2"/>
            <w:tcBorders>
              <w:tl2br w:val="nil"/>
              <w:tr2bl w:val="nil"/>
            </w:tcBorders>
            <w:noWrap/>
            <w:tcMar>
              <w:top w:w="45" w:type="dxa"/>
              <w:bottom w:w="45" w:type="dxa"/>
            </w:tcMar>
            <w:vAlign w:val="center"/>
          </w:tcPr>
          <w:p>
            <w:pPr>
              <w:keepNext w:val="0"/>
              <w:keepLines w:val="0"/>
              <w:suppressLineNumbers w:val="0"/>
              <w:snapToGrid w:val="0"/>
              <w:spacing w:before="0" w:beforeAutospacing="0" w:after="0" w:afterAutospacing="0"/>
              <w:ind w:left="0" w:right="0"/>
              <w:jc w:val="left"/>
              <w:rPr>
                <w:rFonts w:hint="default" w:ascii="宋体" w:hAnsi="宋体"/>
                <w:color w:val="auto"/>
                <w:sz w:val="18"/>
                <w:szCs w:val="18"/>
                <w:highlight w:val="none"/>
                <w:lang w:val="en"/>
              </w:rPr>
            </w:pPr>
            <w:r>
              <w:rPr>
                <w:rFonts w:hint="eastAsia" w:ascii="宋体" w:hAnsi="宋体"/>
                <w:color w:val="auto"/>
                <w:sz w:val="18"/>
                <w:szCs w:val="18"/>
                <w:highlight w:val="none"/>
                <w:lang w:val="en-US" w:eastAsia="zh-CN"/>
              </w:rPr>
              <w:t>2026</w:t>
            </w:r>
            <w:r>
              <w:rPr>
                <w:rFonts w:hint="eastAsia" w:ascii="宋体" w:hAnsi="宋体"/>
                <w:color w:val="auto"/>
                <w:sz w:val="18"/>
                <w:szCs w:val="18"/>
                <w:highlight w:val="none"/>
              </w:rPr>
              <w:t>年3月16日24时前</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1247" w:hRule="atLeast"/>
          <w:jc w:val="center"/>
        </w:trPr>
        <w:tc>
          <w:tcPr>
            <w:tcW w:w="895" w:type="dxa"/>
            <w:tcBorders>
              <w:tl2br w:val="nil"/>
              <w:tr2bl w:val="nil"/>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
              </w:rPr>
              <w:t>H108表</w:t>
            </w:r>
          </w:p>
        </w:tc>
        <w:tc>
          <w:tcPr>
            <w:tcW w:w="1635"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
              </w:rPr>
              <w:t>固定资产投资项目新增生产能力（或工程效益）情况</w:t>
            </w:r>
          </w:p>
        </w:tc>
        <w:tc>
          <w:tcPr>
            <w:tcW w:w="709"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
              </w:rPr>
              <w:t>年报</w:t>
            </w:r>
          </w:p>
        </w:tc>
        <w:tc>
          <w:tcPr>
            <w:tcW w:w="2591"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left"/>
              <w:rPr>
                <w:rFonts w:hint="eastAsia" w:ascii="宋体" w:hAnsi="宋体"/>
                <w:color w:val="auto"/>
                <w:sz w:val="18"/>
                <w:szCs w:val="18"/>
                <w:highlight w:val="none"/>
                <w:lang w:val="en-US" w:eastAsia="zh-CN"/>
              </w:rPr>
            </w:pPr>
            <w:r>
              <w:rPr>
                <w:rFonts w:hint="eastAsia" w:ascii="宋体" w:hAnsi="宋体"/>
                <w:color w:val="auto"/>
                <w:spacing w:val="4"/>
                <w:sz w:val="18"/>
                <w:szCs w:val="18"/>
                <w:highlight w:val="none"/>
              </w:rPr>
              <w:t>辖区内规模以上工业、有资质的建筑业、限额以上批发和零售业、限额以上住宿和餐饮业、有开发经营活动的房地产开发经营业、规模以上服务业法人单位；其他有5000万</w:t>
            </w:r>
            <w:r>
              <w:rPr>
                <w:rFonts w:hint="default" w:ascii="宋体" w:hAnsi="宋体"/>
                <w:color w:val="auto"/>
                <w:spacing w:val="4"/>
                <w:sz w:val="18"/>
                <w:szCs w:val="18"/>
                <w:highlight w:val="none"/>
              </w:rPr>
              <w:t>元及以上在建项目法人单位</w:t>
            </w:r>
            <w:r>
              <w:rPr>
                <w:rFonts w:hint="eastAsia" w:ascii="宋体" w:hAnsi="宋体"/>
                <w:color w:val="auto"/>
                <w:spacing w:val="4"/>
                <w:sz w:val="18"/>
                <w:szCs w:val="18"/>
                <w:highlight w:val="none"/>
              </w:rPr>
              <w:t>；</w:t>
            </w:r>
            <w:r>
              <w:rPr>
                <w:rFonts w:hint="default" w:ascii="宋体" w:hAnsi="宋体"/>
                <w:color w:val="auto"/>
                <w:spacing w:val="4"/>
                <w:sz w:val="18"/>
                <w:szCs w:val="18"/>
                <w:highlight w:val="none"/>
              </w:rPr>
              <w:t>其他</w:t>
            </w:r>
            <w:r>
              <w:rPr>
                <w:rFonts w:hint="eastAsia" w:ascii="宋体" w:hAnsi="宋体"/>
                <w:color w:val="auto"/>
                <w:spacing w:val="4"/>
                <w:sz w:val="18"/>
                <w:szCs w:val="18"/>
                <w:highlight w:val="none"/>
              </w:rPr>
              <w:t>调查单位的500万元及以上固定资产投资项目中有能力目录的项目</w:t>
            </w:r>
          </w:p>
        </w:tc>
        <w:tc>
          <w:tcPr>
            <w:tcW w:w="1156"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rPr>
              <w:t>项目法人单位或项目单位；包括国务院有关部门、中国国家铁路集团有限公司等单位</w:t>
            </w:r>
          </w:p>
        </w:tc>
        <w:tc>
          <w:tcPr>
            <w:tcW w:w="923" w:type="dxa"/>
            <w:tcBorders>
              <w:tl2br w:val="nil"/>
              <w:tr2bl w:val="nil"/>
            </w:tcBorders>
            <w:noWrap w:val="0"/>
            <w:tcMar>
              <w:left w:w="57"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olor w:val="auto"/>
                <w:sz w:val="18"/>
                <w:szCs w:val="18"/>
                <w:highlight w:val="none"/>
                <w:lang w:val="en-US" w:eastAsia="zh-CN"/>
              </w:rPr>
            </w:pPr>
            <w:r>
              <w:rPr>
                <w:rFonts w:hint="eastAsia" w:ascii="宋体" w:hAnsi="宋体"/>
                <w:color w:val="auto"/>
                <w:sz w:val="18"/>
                <w:szCs w:val="24"/>
                <w:highlight w:val="none"/>
                <w:lang w:val="en-US" w:eastAsia="zh-CN"/>
              </w:rPr>
              <w:t>2026年1月20日0点</w:t>
            </w:r>
          </w:p>
        </w:tc>
        <w:tc>
          <w:tcPr>
            <w:tcW w:w="1434" w:type="dxa"/>
            <w:gridSpan w:val="2"/>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left"/>
              <w:rPr>
                <w:rFonts w:hint="eastAsia" w:ascii="宋体" w:hAnsi="宋体"/>
                <w:color w:val="auto"/>
                <w:sz w:val="18"/>
                <w:szCs w:val="18"/>
                <w:highlight w:val="none"/>
                <w:lang w:val="en-US" w:eastAsia="zh-CN"/>
              </w:rPr>
            </w:pPr>
            <w:r>
              <w:rPr>
                <w:rFonts w:hint="default" w:ascii="宋体" w:hAnsi="宋体"/>
                <w:color w:val="auto"/>
                <w:sz w:val="18"/>
                <w:szCs w:val="18"/>
                <w:highlight w:val="none"/>
                <w:lang w:val="en"/>
              </w:rPr>
              <w:t>3月底前</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1" w:type="dxa"/>
          <w:trHeight w:val="340" w:hRule="atLeast"/>
          <w:jc w:val="center"/>
        </w:trPr>
        <w:tc>
          <w:tcPr>
            <w:tcW w:w="9342" w:type="dxa"/>
            <w:gridSpan w:val="7"/>
            <w:tcBorders>
              <w:tl2br w:val="nil"/>
              <w:tr2bl w:val="nil"/>
            </w:tcBorders>
            <w:noWrap w:val="0"/>
            <w:tcMar>
              <w:left w:w="57" w:type="dxa"/>
              <w:right w:w="57" w:type="dxa"/>
            </w:tcMar>
            <w:vAlign w:val="center"/>
          </w:tcPr>
          <w:p>
            <w:pPr>
              <w:keepNext w:val="0"/>
              <w:keepLines w:val="0"/>
              <w:suppressLineNumbers w:val="0"/>
              <w:snapToGrid w:val="0"/>
              <w:spacing w:before="0" w:beforeAutospacing="0" w:after="0" w:afterAutospacing="0"/>
              <w:ind w:left="0" w:right="0"/>
              <w:jc w:val="left"/>
              <w:rPr>
                <w:rFonts w:hint="eastAsia" w:ascii="宋体" w:hAnsi="宋体"/>
                <w:color w:val="auto"/>
                <w:sz w:val="18"/>
                <w:szCs w:val="18"/>
                <w:highlight w:val="none"/>
                <w:lang w:val="en"/>
              </w:rPr>
            </w:pPr>
            <w:r>
              <w:rPr>
                <w:rFonts w:hint="eastAsia" w:ascii="宋体" w:hAnsi="宋体"/>
                <w:color w:val="auto"/>
                <w:sz w:val="18"/>
                <w:szCs w:val="18"/>
                <w:highlight w:val="none"/>
                <w:lang w:val="en"/>
              </w:rPr>
              <w:t>（二)基层定报表式</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48" w:hRule="atLeast"/>
          <w:jc w:val="center"/>
        </w:trPr>
        <w:tc>
          <w:tcPr>
            <w:tcW w:w="895" w:type="dxa"/>
            <w:tcBorders>
              <w:tl2br w:val="nil"/>
              <w:tr2bl w:val="nil"/>
            </w:tcBorders>
            <w:noWrap w:val="0"/>
            <w:vAlign w:val="center"/>
          </w:tcPr>
          <w:p>
            <w:pPr>
              <w:keepNext w:val="0"/>
              <w:keepLines w:val="0"/>
              <w:suppressLineNumbers w:val="0"/>
              <w:snapToGrid w:val="0"/>
              <w:spacing w:before="0" w:beforeAutospacing="0" w:after="0" w:afterAutospacing="0"/>
              <w:ind w:left="0" w:right="0"/>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
              </w:rPr>
              <w:t>201-1表</w:t>
            </w:r>
          </w:p>
        </w:tc>
        <w:tc>
          <w:tcPr>
            <w:tcW w:w="1635" w:type="dxa"/>
            <w:tcBorders>
              <w:tl2br w:val="nil"/>
              <w:tr2bl w:val="nil"/>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
              </w:rPr>
              <w:t>一套表调查单位基本情况</w:t>
            </w:r>
          </w:p>
        </w:tc>
        <w:tc>
          <w:tcPr>
            <w:tcW w:w="709" w:type="dxa"/>
            <w:tcBorders>
              <w:tl2br w:val="nil"/>
              <w:tr2bl w:val="nil"/>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
              </w:rPr>
              <w:t>月报</w:t>
            </w:r>
          </w:p>
        </w:tc>
        <w:tc>
          <w:tcPr>
            <w:tcW w:w="2591" w:type="dxa"/>
            <w:tcBorders>
              <w:tl2br w:val="nil"/>
              <w:tr2bl w:val="nil"/>
            </w:tcBorders>
            <w:noWrap w:val="0"/>
            <w:vAlign w:val="center"/>
          </w:tcPr>
          <w:p>
            <w:pPr>
              <w:keepNext w:val="0"/>
              <w:keepLines w:val="0"/>
              <w:suppressLineNumbers w:val="0"/>
              <w:snapToGrid w:val="0"/>
              <w:spacing w:before="0" w:beforeAutospacing="0" w:after="0" w:afterAutospacing="0"/>
              <w:ind w:left="0" w:right="0"/>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rPr>
              <w:t>辖区内规模以上工业、有资质的建筑业、限额以上批发和零售业、限额以上住宿和餐饮业、有开发经营活动的房地产开发经营业、规模以上服务业、其他有5000万元及以上在建项目的法人单位</w:t>
            </w:r>
            <w:r>
              <w:rPr>
                <w:rFonts w:hint="eastAsia" w:ascii="宋体"/>
                <w:color w:val="auto"/>
                <w:sz w:val="18"/>
                <w:szCs w:val="18"/>
                <w:highlight w:val="none"/>
              </w:rPr>
              <w:t>，规模以上工业个体经营户</w:t>
            </w:r>
          </w:p>
        </w:tc>
        <w:tc>
          <w:tcPr>
            <w:tcW w:w="1156" w:type="dxa"/>
            <w:tcBorders>
              <w:tl2br w:val="nil"/>
              <w:tr2bl w:val="nil"/>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
              </w:rPr>
              <w:t>法人单位</w:t>
            </w:r>
          </w:p>
        </w:tc>
        <w:tc>
          <w:tcPr>
            <w:tcW w:w="923" w:type="dxa"/>
            <w:tcBorders>
              <w:tl2br w:val="nil"/>
              <w:tr2bl w:val="nil"/>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
              </w:rPr>
              <w:t>免报</w:t>
            </w:r>
          </w:p>
        </w:tc>
        <w:tc>
          <w:tcPr>
            <w:tcW w:w="1434" w:type="dxa"/>
            <w:gridSpan w:val="2"/>
            <w:tcBorders>
              <w:tl2br w:val="nil"/>
              <w:tr2bl w:val="nil"/>
            </w:tcBorders>
            <w:noWrap w:val="0"/>
            <w:vAlign w:val="center"/>
          </w:tcPr>
          <w:p>
            <w:pPr>
              <w:keepNext w:val="0"/>
              <w:keepLines w:val="0"/>
              <w:suppressLineNumbers w:val="0"/>
              <w:snapToGrid w:val="0"/>
              <w:spacing w:before="0" w:beforeAutospacing="0" w:after="0" w:afterAutospacing="0"/>
              <w:ind w:left="0" w:right="0"/>
              <w:jc w:val="left"/>
              <w:rPr>
                <w:rFonts w:hint="eastAsia" w:ascii="宋体" w:hAnsi="宋体"/>
                <w:color w:val="auto"/>
                <w:sz w:val="18"/>
                <w:szCs w:val="18"/>
                <w:highlight w:val="none"/>
                <w:lang w:val="en"/>
              </w:rPr>
            </w:pPr>
            <w:r>
              <w:rPr>
                <w:rFonts w:hint="eastAsia" w:ascii="宋体" w:hAnsi="宋体"/>
                <w:color w:val="auto"/>
                <w:sz w:val="18"/>
                <w:szCs w:val="18"/>
                <w:highlight w:val="none"/>
                <w:lang w:val="en"/>
              </w:rPr>
              <w:t>—</w:t>
            </w:r>
          </w:p>
          <w:p>
            <w:pPr>
              <w:keepNext w:val="0"/>
              <w:keepLines w:val="0"/>
              <w:suppressLineNumbers w:val="0"/>
              <w:snapToGrid w:val="0"/>
              <w:spacing w:before="0" w:beforeAutospacing="0" w:after="0" w:afterAutospacing="0"/>
              <w:ind w:left="0" w:right="0"/>
              <w:jc w:val="left"/>
              <w:rPr>
                <w:rFonts w:hint="eastAsia" w:ascii="宋体" w:hAnsi="宋体"/>
                <w:color w:val="auto"/>
                <w:sz w:val="18"/>
                <w:szCs w:val="18"/>
                <w:highlight w:val="none"/>
                <w:lang w:val="en-US" w:eastAsia="zh-CN"/>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324" w:hRule="atLeast"/>
          <w:jc w:val="center"/>
        </w:trPr>
        <w:tc>
          <w:tcPr>
            <w:tcW w:w="895" w:type="dxa"/>
            <w:tcBorders>
              <w:tl2br w:val="nil"/>
              <w:tr2bl w:val="nil"/>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
              </w:rPr>
            </w:pPr>
            <w:r>
              <w:rPr>
                <w:rFonts w:hint="eastAsia" w:ascii="宋体" w:hAnsi="宋体"/>
                <w:color w:val="auto"/>
                <w:sz w:val="18"/>
                <w:szCs w:val="18"/>
                <w:highlight w:val="none"/>
                <w:lang w:val="en"/>
              </w:rPr>
              <w:t>206表</w:t>
            </w:r>
          </w:p>
        </w:tc>
        <w:tc>
          <w:tcPr>
            <w:tcW w:w="1635"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
              </w:rPr>
            </w:pPr>
            <w:r>
              <w:rPr>
                <w:rFonts w:hint="eastAsia" w:ascii="宋体" w:hAnsi="宋体"/>
                <w:color w:val="auto"/>
                <w:sz w:val="18"/>
                <w:szCs w:val="18"/>
                <w:highlight w:val="none"/>
                <w:lang w:val="en"/>
              </w:rPr>
              <w:t>固定资产投资项目情况</w:t>
            </w:r>
          </w:p>
        </w:tc>
        <w:tc>
          <w:tcPr>
            <w:tcW w:w="709"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
              </w:rPr>
            </w:pPr>
            <w:r>
              <w:rPr>
                <w:rFonts w:hint="eastAsia" w:ascii="宋体" w:hAnsi="宋体"/>
                <w:color w:val="auto"/>
                <w:sz w:val="18"/>
                <w:szCs w:val="18"/>
                <w:highlight w:val="none"/>
                <w:lang w:val="en"/>
              </w:rPr>
              <w:t>月报</w:t>
            </w:r>
          </w:p>
        </w:tc>
        <w:tc>
          <w:tcPr>
            <w:tcW w:w="2591"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left"/>
              <w:rPr>
                <w:rFonts w:hint="eastAsia" w:ascii="宋体" w:hAnsi="宋体"/>
                <w:color w:val="auto"/>
                <w:sz w:val="18"/>
                <w:szCs w:val="18"/>
                <w:highlight w:val="none"/>
                <w:lang w:val="en"/>
              </w:rPr>
            </w:pPr>
            <w:r>
              <w:rPr>
                <w:rFonts w:hint="eastAsia" w:ascii="宋体" w:hAnsi="宋体"/>
                <w:color w:val="auto"/>
                <w:sz w:val="18"/>
                <w:szCs w:val="18"/>
                <w:highlight w:val="none"/>
              </w:rPr>
              <w:t>辖区内规模以上工业、有资质的建筑业、限额以上批发和零售业、限额以上住宿和餐饮业、有开发经营活动的房地产开发经营业、规模以上服务业法人单位；其他有5000万</w:t>
            </w:r>
            <w:r>
              <w:rPr>
                <w:rFonts w:hint="default" w:ascii="宋体" w:hAnsi="宋体"/>
                <w:color w:val="auto"/>
                <w:sz w:val="18"/>
                <w:szCs w:val="18"/>
                <w:highlight w:val="none"/>
              </w:rPr>
              <w:t>元及以上在建项目法人单位</w:t>
            </w:r>
            <w:r>
              <w:rPr>
                <w:rFonts w:hint="eastAsia" w:ascii="宋体" w:hAnsi="宋体"/>
                <w:color w:val="auto"/>
                <w:sz w:val="18"/>
                <w:szCs w:val="18"/>
                <w:highlight w:val="none"/>
              </w:rPr>
              <w:t>；其他调查单位的5</w:t>
            </w:r>
            <w:r>
              <w:rPr>
                <w:rFonts w:hint="default" w:ascii="宋体" w:hAnsi="宋体"/>
                <w:color w:val="auto"/>
                <w:sz w:val="18"/>
                <w:szCs w:val="18"/>
                <w:highlight w:val="none"/>
              </w:rPr>
              <w:t>00万元及以上固定资产投资项目</w:t>
            </w:r>
          </w:p>
        </w:tc>
        <w:tc>
          <w:tcPr>
            <w:tcW w:w="1156"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
              </w:rPr>
            </w:pPr>
            <w:r>
              <w:rPr>
                <w:rFonts w:hint="eastAsia" w:ascii="宋体" w:hAnsi="宋体"/>
                <w:color w:val="auto"/>
                <w:sz w:val="18"/>
                <w:szCs w:val="18"/>
                <w:highlight w:val="none"/>
                <w:lang w:val="en"/>
              </w:rPr>
              <w:t>项目法人单位或项目单位</w:t>
            </w:r>
          </w:p>
        </w:tc>
        <w:tc>
          <w:tcPr>
            <w:tcW w:w="923" w:type="dxa"/>
            <w:tcBorders>
              <w:tl2br w:val="nil"/>
              <w:tr2bl w:val="nil"/>
            </w:tcBorders>
            <w:noWrap w:val="0"/>
            <w:tcMar>
              <w:left w:w="57" w:type="dxa"/>
              <w:right w:w="57" w:type="dxa"/>
            </w:tcMar>
            <w:vAlign w:val="center"/>
          </w:tcPr>
          <w:p>
            <w:pPr>
              <w:keepNext w:val="0"/>
              <w:keepLines w:val="0"/>
              <w:suppressLineNumbers w:val="0"/>
              <w:snapToGrid w:val="0"/>
              <w:spacing w:before="0" w:beforeAutospacing="0" w:after="0" w:afterAutospacing="0"/>
              <w:ind w:left="0" w:right="0"/>
              <w:jc w:val="left"/>
              <w:rPr>
                <w:rFonts w:hint="default" w:ascii="宋体" w:hAnsi="宋体" w:cs="Times New Roman"/>
                <w:color w:val="auto"/>
                <w:sz w:val="18"/>
                <w:szCs w:val="18"/>
                <w:highlight w:val="none"/>
                <w:lang w:val="en-US" w:eastAsia="zh-CN"/>
              </w:rPr>
            </w:pPr>
            <w:r>
              <w:rPr>
                <w:rFonts w:hint="eastAsia" w:ascii="宋体" w:hAnsi="宋体" w:cs="Times New Roman"/>
                <w:color w:val="auto"/>
                <w:sz w:val="18"/>
                <w:szCs w:val="18"/>
                <w:highlight w:val="none"/>
              </w:rPr>
              <w:t>4、9月30日，12月31日，其他月月后1日0:00</w:t>
            </w:r>
          </w:p>
        </w:tc>
        <w:tc>
          <w:tcPr>
            <w:tcW w:w="1434" w:type="dxa"/>
            <w:gridSpan w:val="2"/>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left"/>
              <w:rPr>
                <w:rFonts w:hint="default" w:ascii="宋体" w:hAnsi="宋体"/>
                <w:color w:val="auto"/>
                <w:sz w:val="18"/>
                <w:szCs w:val="18"/>
                <w:highlight w:val="none"/>
                <w:lang w:val="en"/>
              </w:rPr>
            </w:pPr>
            <w:r>
              <w:rPr>
                <w:rFonts w:hint="eastAsia" w:ascii="宋体" w:hAnsi="宋体"/>
                <w:color w:val="auto"/>
                <w:sz w:val="18"/>
                <w:szCs w:val="18"/>
                <w:highlight w:val="none"/>
              </w:rPr>
              <w:t>2、10月月后6日，6、7、8、11月月后7日，3、5、12月月后8日，4月月后9日，9月月后12日12</w:t>
            </w:r>
            <w:r>
              <w:rPr>
                <w:rFonts w:hint="eastAsia" w:ascii="宋体" w:hAnsi="宋体"/>
                <w:color w:val="auto"/>
                <w:sz w:val="18"/>
                <w:szCs w:val="18"/>
                <w:highlight w:val="none"/>
                <w:lang w:eastAsia="zh-CN"/>
              </w:rPr>
              <w:t>时</w:t>
            </w:r>
            <w:r>
              <w:rPr>
                <w:rFonts w:hint="eastAsia" w:ascii="宋体" w:hAnsi="宋体"/>
                <w:color w:val="auto"/>
                <w:sz w:val="18"/>
                <w:szCs w:val="18"/>
                <w:highlight w:val="none"/>
              </w:rPr>
              <w:t>前</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33" w:hRule="atLeast"/>
          <w:jc w:val="center"/>
        </w:trPr>
        <w:tc>
          <w:tcPr>
            <w:tcW w:w="895" w:type="dxa"/>
            <w:tcBorders>
              <w:tl2br w:val="nil"/>
              <w:tr2bl w:val="nil"/>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
              </w:rPr>
            </w:pPr>
            <w:r>
              <w:rPr>
                <w:rFonts w:hint="default" w:ascii="宋体" w:hAnsi="宋体"/>
                <w:color w:val="auto"/>
                <w:sz w:val="18"/>
                <w:szCs w:val="18"/>
                <w:highlight w:val="none"/>
                <w:lang w:val="en"/>
              </w:rPr>
              <w:t>X204-</w:t>
            </w:r>
            <w:r>
              <w:rPr>
                <w:rFonts w:hint="eastAsia" w:ascii="宋体" w:hAnsi="宋体"/>
                <w:color w:val="auto"/>
                <w:sz w:val="18"/>
                <w:szCs w:val="18"/>
                <w:highlight w:val="none"/>
                <w:lang w:val="en"/>
              </w:rPr>
              <w:t>3表</w:t>
            </w:r>
          </w:p>
        </w:tc>
        <w:tc>
          <w:tcPr>
            <w:tcW w:w="1635"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
              </w:rPr>
            </w:pPr>
            <w:r>
              <w:rPr>
                <w:rFonts w:hint="eastAsia" w:ascii="宋体" w:hAnsi="宋体"/>
                <w:color w:val="auto"/>
                <w:sz w:val="18"/>
                <w:szCs w:val="18"/>
                <w:highlight w:val="none"/>
                <w:lang w:val="en"/>
              </w:rPr>
              <w:t>保障性住房开发及经营情况</w:t>
            </w:r>
          </w:p>
        </w:tc>
        <w:tc>
          <w:tcPr>
            <w:tcW w:w="709"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
              </w:rPr>
            </w:pPr>
            <w:r>
              <w:rPr>
                <w:rFonts w:hint="eastAsia" w:ascii="宋体" w:hAnsi="宋体"/>
                <w:color w:val="auto"/>
                <w:sz w:val="18"/>
                <w:szCs w:val="18"/>
                <w:highlight w:val="none"/>
                <w:lang w:val="en"/>
              </w:rPr>
              <w:t>月报</w:t>
            </w:r>
          </w:p>
        </w:tc>
        <w:tc>
          <w:tcPr>
            <w:tcW w:w="2591"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left"/>
              <w:rPr>
                <w:rFonts w:hint="eastAsia" w:ascii="宋体" w:hAnsi="宋体"/>
                <w:color w:val="auto"/>
                <w:sz w:val="18"/>
                <w:szCs w:val="18"/>
                <w:highlight w:val="none"/>
                <w:lang w:val="en"/>
              </w:rPr>
            </w:pPr>
            <w:r>
              <w:rPr>
                <w:rFonts w:hint="eastAsia" w:ascii="宋体" w:hAnsi="宋体"/>
                <w:color w:val="auto"/>
                <w:sz w:val="18"/>
                <w:szCs w:val="18"/>
                <w:highlight w:val="none"/>
                <w:lang w:val="en"/>
              </w:rPr>
              <w:t>辖区内投资项目中的保障性住房项目</w:t>
            </w:r>
          </w:p>
        </w:tc>
        <w:tc>
          <w:tcPr>
            <w:tcW w:w="1156"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szCs w:val="18"/>
                <w:highlight w:val="none"/>
                <w:lang w:val="en"/>
              </w:rPr>
            </w:pPr>
            <w:r>
              <w:rPr>
                <w:rFonts w:hint="eastAsia" w:ascii="宋体" w:hAnsi="宋体"/>
                <w:color w:val="auto"/>
                <w:sz w:val="18"/>
                <w:szCs w:val="18"/>
                <w:highlight w:val="none"/>
                <w:lang w:val="en"/>
              </w:rPr>
              <w:t>法人单位或项目单位</w:t>
            </w:r>
          </w:p>
        </w:tc>
        <w:tc>
          <w:tcPr>
            <w:tcW w:w="923" w:type="dxa"/>
            <w:tcBorders>
              <w:tl2br w:val="nil"/>
              <w:tr2bl w:val="nil"/>
            </w:tcBorders>
            <w:noWrap w:val="0"/>
            <w:tcMar>
              <w:left w:w="57" w:type="dxa"/>
              <w:right w:w="57" w:type="dxa"/>
            </w:tcMar>
            <w:vAlign w:val="center"/>
          </w:tcPr>
          <w:p>
            <w:pPr>
              <w:keepNext w:val="0"/>
              <w:keepLines w:val="0"/>
              <w:suppressLineNumbers w:val="0"/>
              <w:snapToGrid w:val="0"/>
              <w:spacing w:before="0" w:beforeAutospacing="0" w:after="0" w:afterAutospacing="0"/>
              <w:ind w:left="0" w:right="0"/>
              <w:jc w:val="left"/>
              <w:rPr>
                <w:rFonts w:hint="default" w:ascii="宋体" w:hAnsi="宋体" w:cs="Times New Roman"/>
                <w:color w:val="auto"/>
                <w:sz w:val="18"/>
                <w:szCs w:val="18"/>
                <w:highlight w:val="none"/>
                <w:lang w:val="en-US" w:eastAsia="zh-CN"/>
              </w:rPr>
            </w:pPr>
            <w:r>
              <w:rPr>
                <w:rFonts w:hint="eastAsia" w:ascii="宋体" w:hAnsi="宋体" w:cs="Times New Roman"/>
                <w:color w:val="auto"/>
                <w:sz w:val="18"/>
                <w:szCs w:val="18"/>
                <w:highlight w:val="none"/>
              </w:rPr>
              <w:t>4、9月30日，12月31日，其他月月后1日0:00</w:t>
            </w:r>
          </w:p>
        </w:tc>
        <w:tc>
          <w:tcPr>
            <w:tcW w:w="1434" w:type="dxa"/>
            <w:gridSpan w:val="2"/>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rPr>
              <w:t>2、10月月后6日，6、7、8、11月月后7日，3、5、12月月后8日，4月月后9日，9月月后12日12</w:t>
            </w:r>
            <w:r>
              <w:rPr>
                <w:rFonts w:hint="eastAsia" w:ascii="宋体" w:hAnsi="宋体"/>
                <w:color w:val="auto"/>
                <w:sz w:val="18"/>
                <w:szCs w:val="18"/>
                <w:highlight w:val="none"/>
                <w:lang w:eastAsia="zh-CN"/>
              </w:rPr>
              <w:t>时</w:t>
            </w:r>
            <w:r>
              <w:rPr>
                <w:rFonts w:hint="eastAsia" w:ascii="宋体" w:hAnsi="宋体"/>
                <w:color w:val="auto"/>
                <w:sz w:val="18"/>
                <w:szCs w:val="18"/>
                <w:highlight w:val="none"/>
              </w:rPr>
              <w:t>前</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33" w:hRule="atLeast"/>
          <w:jc w:val="center"/>
        </w:trPr>
        <w:tc>
          <w:tcPr>
            <w:tcW w:w="895" w:type="dxa"/>
            <w:tcBorders>
              <w:tl2br w:val="nil"/>
              <w:tr2bl w:val="nil"/>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H202表</w:t>
            </w:r>
          </w:p>
        </w:tc>
        <w:tc>
          <w:tcPr>
            <w:tcW w:w="1635"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投资项目申请表</w:t>
            </w:r>
          </w:p>
        </w:tc>
        <w:tc>
          <w:tcPr>
            <w:tcW w:w="709"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月报</w:t>
            </w:r>
          </w:p>
        </w:tc>
        <w:tc>
          <w:tcPr>
            <w:tcW w:w="2591"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辖区内（跨省区项目除外）新入库固定资产投资项目和申报变更、退出的固定资产投资项目</w:t>
            </w:r>
          </w:p>
        </w:tc>
        <w:tc>
          <w:tcPr>
            <w:tcW w:w="1156" w:type="dxa"/>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eastAsia="zh-CN"/>
              </w:rPr>
              <w:t>各区</w:t>
            </w:r>
            <w:r>
              <w:rPr>
                <w:rFonts w:hint="default" w:ascii="宋体" w:hAnsi="宋体"/>
                <w:color w:val="auto"/>
                <w:sz w:val="18"/>
                <w:szCs w:val="18"/>
                <w:highlight w:val="none"/>
              </w:rPr>
              <w:t>统计局</w:t>
            </w:r>
          </w:p>
        </w:tc>
        <w:tc>
          <w:tcPr>
            <w:tcW w:w="923" w:type="dxa"/>
            <w:tcBorders>
              <w:tl2br w:val="nil"/>
              <w:tr2bl w:val="nil"/>
            </w:tcBorders>
            <w:noWrap w:val="0"/>
            <w:tcMar>
              <w:left w:w="57" w:type="dxa"/>
              <w:right w:w="57" w:type="dxa"/>
            </w:tcMar>
            <w:vAlign w:val="center"/>
          </w:tcPr>
          <w:p>
            <w:pPr>
              <w:keepNext w:val="0"/>
              <w:keepLines w:val="0"/>
              <w:suppressLineNumbers w:val="0"/>
              <w:snapToGrid w:val="0"/>
              <w:spacing w:before="0" w:beforeAutospacing="0" w:after="0" w:afterAutospacing="0"/>
              <w:ind w:left="0" w:right="0"/>
              <w:rPr>
                <w:rFonts w:hint="default" w:ascii="宋体" w:hAnsi="宋体"/>
                <w:color w:val="auto"/>
                <w:sz w:val="18"/>
                <w:szCs w:val="18"/>
                <w:highlight w:val="none"/>
                <w:lang w:val="en-US"/>
              </w:rPr>
            </w:pPr>
            <w:r>
              <w:rPr>
                <w:rFonts w:hint="eastAsia" w:ascii="宋体" w:hAnsi="宋体"/>
                <w:color w:val="auto"/>
                <w:sz w:val="18"/>
                <w:szCs w:val="18"/>
                <w:highlight w:val="none"/>
                <w:lang w:val="en-US" w:eastAsia="zh-CN"/>
              </w:rPr>
              <w:t>1月免报</w:t>
            </w:r>
          </w:p>
        </w:tc>
        <w:tc>
          <w:tcPr>
            <w:tcW w:w="1434" w:type="dxa"/>
            <w:gridSpan w:val="2"/>
            <w:tcBorders>
              <w:tl2br w:val="nil"/>
              <w:tr2bl w:val="nil"/>
            </w:tcBorders>
            <w:noWrap w:val="0"/>
            <w:tcMar>
              <w:top w:w="28" w:type="dxa"/>
              <w:left w:w="57" w:type="dxa"/>
              <w:bottom w:w="28" w:type="dxa"/>
              <w:right w:w="57" w:type="dxa"/>
            </w:tcMar>
            <w:vAlign w:val="center"/>
          </w:tcPr>
          <w:p>
            <w:pPr>
              <w:keepNext w:val="0"/>
              <w:keepLines w:val="0"/>
              <w:suppressLineNumbers w:val="0"/>
              <w:snapToGrid w:val="0"/>
              <w:spacing w:before="0" w:beforeAutospacing="0" w:after="0" w:afterAutospacing="0"/>
              <w:ind w:left="0" w:right="0"/>
              <w:jc w:val="left"/>
              <w:rPr>
                <w:rFonts w:hint="eastAsia" w:ascii="宋体" w:hAnsi="宋体" w:cs="Times New Roman"/>
                <w:color w:val="auto"/>
                <w:sz w:val="18"/>
                <w:szCs w:val="18"/>
                <w:highlight w:val="none"/>
                <w:lang w:val="en" w:eastAsia="zh-CN"/>
              </w:rPr>
            </w:pPr>
            <w:r>
              <w:rPr>
                <w:rFonts w:hint="eastAsia" w:ascii="宋体" w:hAnsi="宋体"/>
                <w:color w:val="auto"/>
                <w:sz w:val="18"/>
                <w:szCs w:val="18"/>
                <w:highlight w:val="none"/>
                <w:lang w:val="en"/>
              </w:rPr>
              <w:t>每月1</w:t>
            </w:r>
            <w:r>
              <w:rPr>
                <w:rFonts w:hint="eastAsia" w:ascii="宋体" w:hAnsi="宋体"/>
                <w:color w:val="auto"/>
                <w:sz w:val="18"/>
                <w:szCs w:val="18"/>
                <w:highlight w:val="none"/>
                <w:lang w:val="en-US" w:eastAsia="zh-CN"/>
              </w:rPr>
              <w:t>4</w:t>
            </w:r>
            <w:r>
              <w:rPr>
                <w:rFonts w:hint="eastAsia" w:ascii="宋体" w:hAnsi="宋体"/>
                <w:color w:val="auto"/>
                <w:sz w:val="18"/>
                <w:szCs w:val="18"/>
                <w:highlight w:val="none"/>
                <w:lang w:val="en"/>
              </w:rPr>
              <w:t>日前，网上直报或中国投资信息管理及监测系统</w:t>
            </w:r>
          </w:p>
        </w:tc>
      </w:tr>
    </w:tbl>
    <w:p>
      <w:pPr>
        <w:snapToGrid w:val="0"/>
        <w:spacing w:before="156" w:beforeLines="50" w:after="156" w:afterLines="50"/>
        <w:jc w:val="center"/>
        <w:outlineLvl w:val="0"/>
        <w:rPr>
          <w:rFonts w:eastAsia="黑体"/>
          <w:color w:val="auto"/>
          <w:sz w:val="32"/>
        </w:rPr>
      </w:pPr>
      <w:r>
        <w:rPr>
          <w:rFonts w:ascii="宋体" w:hAnsi="宋体"/>
          <w:bCs/>
          <w:color w:val="auto"/>
          <w:sz w:val="18"/>
          <w:szCs w:val="18"/>
        </w:rPr>
        <w:br w:type="page"/>
      </w:r>
      <w:r>
        <w:rPr>
          <w:rFonts w:hint="eastAsia" w:eastAsia="黑体"/>
          <w:color w:val="auto"/>
          <w:sz w:val="32"/>
        </w:rPr>
        <w:t>三、调 查</w:t>
      </w:r>
      <w:r>
        <w:rPr>
          <w:rFonts w:eastAsia="黑体"/>
          <w:color w:val="auto"/>
          <w:sz w:val="32"/>
        </w:rPr>
        <w:t xml:space="preserve"> </w:t>
      </w:r>
      <w:r>
        <w:rPr>
          <w:rFonts w:hint="eastAsia" w:eastAsia="黑体"/>
          <w:color w:val="auto"/>
          <w:sz w:val="32"/>
        </w:rPr>
        <w:t>表</w:t>
      </w:r>
      <w:r>
        <w:rPr>
          <w:rFonts w:eastAsia="黑体"/>
          <w:color w:val="auto"/>
          <w:sz w:val="32"/>
        </w:rPr>
        <w:t xml:space="preserve"> </w:t>
      </w:r>
      <w:r>
        <w:rPr>
          <w:rFonts w:hint="eastAsia" w:eastAsia="黑体"/>
          <w:color w:val="auto"/>
          <w:sz w:val="32"/>
        </w:rPr>
        <w:t>式</w:t>
      </w:r>
    </w:p>
    <w:p>
      <w:pPr>
        <w:spacing w:line="240" w:lineRule="atLeast"/>
        <w:jc w:val="center"/>
        <w:outlineLvl w:val="1"/>
        <w:rPr>
          <w:rFonts w:ascii="黑体" w:hAnsi="黑体" w:eastAsia="黑体"/>
          <w:color w:val="auto"/>
          <w:kern w:val="0"/>
          <w:sz w:val="28"/>
          <w:szCs w:val="28"/>
        </w:rPr>
      </w:pPr>
      <w:r>
        <w:rPr>
          <w:rFonts w:hint="eastAsia" w:ascii="黑体" w:hAnsi="黑体" w:eastAsia="黑体" w:cs="黑体"/>
          <w:color w:val="auto"/>
          <w:kern w:val="0"/>
          <w:sz w:val="28"/>
          <w:szCs w:val="28"/>
        </w:rPr>
        <w:t>（一）基层年报表式</w:t>
      </w:r>
    </w:p>
    <w:p>
      <w:pPr>
        <w:keepNext w:val="0"/>
        <w:keepLines w:val="0"/>
        <w:pageBreakBefore w:val="0"/>
        <w:widowControl/>
        <w:kinsoku/>
        <w:wordWrap/>
        <w:overflowPunct/>
        <w:topLinePunct w:val="0"/>
        <w:autoSpaceDE/>
        <w:autoSpaceDN/>
        <w:bidi w:val="0"/>
        <w:adjustRightInd/>
        <w:snapToGrid/>
        <w:spacing w:after="157" w:afterLines="50" w:line="440" w:lineRule="exact"/>
        <w:jc w:val="center"/>
        <w:textAlignment w:val="auto"/>
        <w:outlineLvl w:val="3"/>
        <w:rPr>
          <w:rFonts w:hint="eastAsia" w:ascii="宋体" w:hAnsi="宋体" w:eastAsia="宋体" w:cs="宋体"/>
          <w:color w:val="auto"/>
          <w:sz w:val="32"/>
          <w:szCs w:val="32"/>
        </w:rPr>
      </w:pPr>
      <w:r>
        <w:rPr>
          <w:rFonts w:hint="eastAsia" w:ascii="Nimbus Roman No9 L" w:hAnsi="Nimbus Roman No9 L" w:cs="Nimbus Roman No9 L"/>
          <w:color w:val="auto"/>
          <w:sz w:val="32"/>
          <w:szCs w:val="32"/>
        </w:rPr>
        <w:t>一套表</w:t>
      </w:r>
      <w:r>
        <w:rPr>
          <w:rFonts w:ascii="Nimbus Roman No9 L" w:hAnsi="Nimbus Roman No9 L" w:cs="Nimbus Roman No9 L"/>
          <w:color w:val="auto"/>
          <w:sz w:val="32"/>
          <w:szCs w:val="32"/>
        </w:rPr>
        <w:t>调查单位基本情况</w:t>
      </w:r>
    </w:p>
    <w:tbl>
      <w:tblPr>
        <w:tblStyle w:val="21"/>
        <w:tblW w:w="9526" w:type="dxa"/>
        <w:jc w:val="center"/>
        <w:tblLayout w:type="fixed"/>
        <w:tblCellMar>
          <w:top w:w="0" w:type="dxa"/>
          <w:left w:w="108" w:type="dxa"/>
          <w:bottom w:w="0" w:type="dxa"/>
          <w:right w:w="108" w:type="dxa"/>
        </w:tblCellMar>
      </w:tblPr>
      <w:tblGrid>
        <w:gridCol w:w="492"/>
        <w:gridCol w:w="2757"/>
        <w:gridCol w:w="1627"/>
        <w:gridCol w:w="132"/>
        <w:gridCol w:w="1116"/>
        <w:gridCol w:w="1361"/>
        <w:gridCol w:w="2041"/>
      </w:tblGrid>
      <w:tr>
        <w:tblPrEx>
          <w:tblCellMar>
            <w:top w:w="0" w:type="dxa"/>
            <w:left w:w="108" w:type="dxa"/>
            <w:bottom w:w="0" w:type="dxa"/>
            <w:right w:w="108" w:type="dxa"/>
          </w:tblCellMar>
        </w:tblPrEx>
        <w:trPr>
          <w:trHeight w:val="255" w:hRule="exact"/>
          <w:jc w:val="center"/>
        </w:trPr>
        <w:tc>
          <w:tcPr>
            <w:tcW w:w="3249" w:type="dxa"/>
            <w:gridSpan w:val="2"/>
            <w:vMerge w:val="restart"/>
            <w:noWrap w:val="0"/>
            <w:tcMar>
              <w:left w:w="0" w:type="dxa"/>
              <w:right w:w="0" w:type="dxa"/>
            </w:tcMar>
            <w:vAlign w:val="top"/>
          </w:tcPr>
          <w:p>
            <w:pPr>
              <w:keepNext w:val="0"/>
              <w:keepLines w:val="0"/>
              <w:suppressLineNumbers w:val="0"/>
              <w:spacing w:before="0" w:beforeAutospacing="0" w:after="0" w:afterAutospacing="0" w:line="240" w:lineRule="exact"/>
              <w:ind w:left="0" w:right="0"/>
              <w:jc w:val="left"/>
              <w:rPr>
                <w:rFonts w:hint="eastAsia" w:ascii="宋体" w:hAnsi="宋体" w:cs="宋体"/>
                <w:color w:val="auto"/>
                <w:sz w:val="32"/>
                <w:szCs w:val="32"/>
              </w:rPr>
            </w:pPr>
          </w:p>
        </w:tc>
        <w:tc>
          <w:tcPr>
            <w:tcW w:w="1627" w:type="dxa"/>
            <w:noWrap w:val="0"/>
            <w:vAlign w:val="top"/>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32"/>
                <w:szCs w:val="32"/>
              </w:rPr>
            </w:pPr>
          </w:p>
        </w:tc>
        <w:tc>
          <w:tcPr>
            <w:tcW w:w="1248" w:type="dxa"/>
            <w:gridSpan w:val="2"/>
            <w:noWrap w:val="0"/>
            <w:vAlign w:val="top"/>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32"/>
                <w:szCs w:val="32"/>
              </w:rPr>
            </w:pPr>
          </w:p>
        </w:tc>
        <w:tc>
          <w:tcPr>
            <w:tcW w:w="1361" w:type="dxa"/>
            <w:noWrap w:val="0"/>
            <w:vAlign w:val="center"/>
          </w:tcPr>
          <w:p>
            <w:pPr>
              <w:keepNext w:val="0"/>
              <w:keepLines w:val="0"/>
              <w:suppressLineNumbers w:val="0"/>
              <w:spacing w:before="0" w:beforeAutospacing="0" w:after="0" w:afterAutospacing="0" w:line="240" w:lineRule="exact"/>
              <w:ind w:left="0" w:right="-147" w:rightChars="-70"/>
              <w:jc w:val="right"/>
              <w:rPr>
                <w:rFonts w:hint="eastAsia" w:ascii="宋体" w:hAnsi="宋体" w:cs="宋体"/>
                <w:color w:val="auto"/>
                <w:sz w:val="32"/>
                <w:szCs w:val="32"/>
              </w:rPr>
            </w:pPr>
            <w:r>
              <w:rPr>
                <w:rFonts w:hint="eastAsia" w:ascii="宋体" w:hAnsi="宋体" w:cs="宋体"/>
                <w:color w:val="auto"/>
                <w:sz w:val="18"/>
                <w:szCs w:val="18"/>
              </w:rPr>
              <w:t>表    号：</w:t>
            </w:r>
          </w:p>
        </w:tc>
        <w:tc>
          <w:tcPr>
            <w:tcW w:w="2041" w:type="dxa"/>
            <w:noWrap w:val="0"/>
            <w:vAlign w:val="center"/>
          </w:tcPr>
          <w:p>
            <w:pPr>
              <w:keepNext w:val="0"/>
              <w:keepLines w:val="0"/>
              <w:suppressLineNumbers w:val="0"/>
              <w:spacing w:before="0" w:beforeAutospacing="0" w:after="0" w:afterAutospacing="0" w:line="240" w:lineRule="exact"/>
              <w:ind w:left="0" w:right="-84" w:rightChars="-40"/>
              <w:jc w:val="distribute"/>
              <w:rPr>
                <w:rFonts w:hint="eastAsia" w:ascii="宋体" w:hAnsi="宋体" w:cs="宋体"/>
                <w:color w:val="auto"/>
                <w:sz w:val="18"/>
                <w:szCs w:val="18"/>
              </w:rPr>
            </w:pPr>
            <w:r>
              <w:rPr>
                <w:rFonts w:hint="eastAsia" w:ascii="宋体" w:hAnsi="宋体" w:cs="宋体"/>
                <w:color w:val="auto"/>
                <w:sz w:val="18"/>
                <w:szCs w:val="18"/>
              </w:rPr>
              <w:t>101-1表</w:t>
            </w:r>
          </w:p>
        </w:tc>
      </w:tr>
      <w:tr>
        <w:tblPrEx>
          <w:tblCellMar>
            <w:top w:w="0" w:type="dxa"/>
            <w:left w:w="108" w:type="dxa"/>
            <w:bottom w:w="0" w:type="dxa"/>
            <w:right w:w="108" w:type="dxa"/>
          </w:tblCellMar>
        </w:tblPrEx>
        <w:trPr>
          <w:trHeight w:val="314" w:hRule="exact"/>
          <w:jc w:val="center"/>
        </w:trPr>
        <w:tc>
          <w:tcPr>
            <w:tcW w:w="3249" w:type="dxa"/>
            <w:gridSpan w:val="2"/>
            <w:vMerge w:val="continue"/>
            <w:noWrap w:val="0"/>
            <w:tcMar>
              <w:left w:w="0" w:type="dxa"/>
              <w:right w:w="0" w:type="dxa"/>
            </w:tcMar>
            <w:vAlign w:val="top"/>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32"/>
                <w:szCs w:val="32"/>
              </w:rPr>
            </w:pPr>
          </w:p>
        </w:tc>
        <w:tc>
          <w:tcPr>
            <w:tcW w:w="1627" w:type="dxa"/>
            <w:noWrap w:val="0"/>
            <w:vAlign w:val="top"/>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32"/>
                <w:szCs w:val="32"/>
              </w:rPr>
            </w:pPr>
          </w:p>
        </w:tc>
        <w:tc>
          <w:tcPr>
            <w:tcW w:w="1248" w:type="dxa"/>
            <w:gridSpan w:val="2"/>
            <w:noWrap w:val="0"/>
            <w:vAlign w:val="top"/>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32"/>
                <w:szCs w:val="32"/>
              </w:rPr>
            </w:pPr>
          </w:p>
        </w:tc>
        <w:tc>
          <w:tcPr>
            <w:tcW w:w="1361" w:type="dxa"/>
            <w:noWrap w:val="0"/>
            <w:vAlign w:val="top"/>
          </w:tcPr>
          <w:p>
            <w:pPr>
              <w:keepNext w:val="0"/>
              <w:keepLines w:val="0"/>
              <w:suppressLineNumbers w:val="0"/>
              <w:spacing w:before="0" w:beforeAutospacing="0" w:after="0" w:afterAutospacing="0" w:line="240" w:lineRule="exact"/>
              <w:ind w:left="0" w:right="-147" w:rightChars="-70"/>
              <w:jc w:val="right"/>
              <w:rPr>
                <w:rFonts w:hint="eastAsia" w:ascii="宋体" w:hAnsi="宋体" w:cs="宋体"/>
                <w:color w:val="auto"/>
                <w:sz w:val="32"/>
                <w:szCs w:val="32"/>
              </w:rPr>
            </w:pPr>
            <w:r>
              <w:rPr>
                <w:rFonts w:hint="eastAsia" w:ascii="宋体" w:hAnsi="宋体" w:cs="宋体"/>
                <w:color w:val="auto"/>
                <w:sz w:val="18"/>
                <w:szCs w:val="18"/>
              </w:rPr>
              <w:t>制定机关：</w:t>
            </w:r>
          </w:p>
        </w:tc>
        <w:tc>
          <w:tcPr>
            <w:tcW w:w="2041" w:type="dxa"/>
            <w:noWrap w:val="0"/>
            <w:vAlign w:val="center"/>
          </w:tcPr>
          <w:p>
            <w:pPr>
              <w:keepNext w:val="0"/>
              <w:keepLines w:val="0"/>
              <w:suppressLineNumbers w:val="0"/>
              <w:spacing w:before="0" w:beforeAutospacing="0" w:after="0" w:afterAutospacing="0" w:line="200" w:lineRule="exact"/>
              <w:ind w:left="-84" w:leftChars="-40" w:right="-84" w:rightChars="-40"/>
              <w:jc w:val="distribute"/>
              <w:rPr>
                <w:rFonts w:hint="eastAsia" w:ascii="宋体" w:hAnsi="宋体" w:cs="宋体"/>
                <w:color w:val="auto"/>
                <w:sz w:val="18"/>
                <w:szCs w:val="18"/>
              </w:rPr>
            </w:pPr>
            <w:r>
              <w:rPr>
                <w:rFonts w:hint="eastAsia" w:ascii="宋体" w:hAnsi="宋体" w:cs="宋体"/>
                <w:color w:val="auto"/>
                <w:sz w:val="18"/>
                <w:szCs w:val="18"/>
              </w:rPr>
              <w:t>国家统计局</w:t>
            </w:r>
          </w:p>
        </w:tc>
      </w:tr>
      <w:tr>
        <w:tblPrEx>
          <w:tblCellMar>
            <w:top w:w="0" w:type="dxa"/>
            <w:left w:w="108" w:type="dxa"/>
            <w:bottom w:w="0" w:type="dxa"/>
            <w:right w:w="108" w:type="dxa"/>
          </w:tblCellMar>
        </w:tblPrEx>
        <w:trPr>
          <w:trHeight w:val="255" w:hRule="exact"/>
          <w:jc w:val="center"/>
        </w:trPr>
        <w:tc>
          <w:tcPr>
            <w:tcW w:w="3249" w:type="dxa"/>
            <w:gridSpan w:val="2"/>
            <w:vMerge w:val="continue"/>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eastAsia" w:ascii="宋体" w:hAnsi="宋体" w:cs="宋体"/>
                <w:color w:val="auto"/>
                <w:sz w:val="32"/>
                <w:szCs w:val="32"/>
              </w:rPr>
            </w:pPr>
          </w:p>
        </w:tc>
        <w:tc>
          <w:tcPr>
            <w:tcW w:w="1627" w:type="dxa"/>
            <w:noWrap w:val="0"/>
            <w:vAlign w:val="top"/>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32"/>
                <w:szCs w:val="32"/>
              </w:rPr>
            </w:pPr>
          </w:p>
        </w:tc>
        <w:tc>
          <w:tcPr>
            <w:tcW w:w="1248" w:type="dxa"/>
            <w:gridSpan w:val="2"/>
            <w:noWrap w:val="0"/>
            <w:vAlign w:val="top"/>
          </w:tcPr>
          <w:p>
            <w:pPr>
              <w:keepNext w:val="0"/>
              <w:keepLines w:val="0"/>
              <w:suppressLineNumbers w:val="0"/>
              <w:spacing w:before="0" w:beforeAutospacing="0" w:after="0" w:afterAutospacing="0" w:line="240" w:lineRule="exact"/>
              <w:ind w:left="0" w:right="0"/>
              <w:jc w:val="center"/>
              <w:rPr>
                <w:rFonts w:hint="eastAsia" w:ascii="宋体" w:hAnsi="宋体" w:cs="宋体"/>
                <w:color w:val="auto"/>
                <w:sz w:val="32"/>
                <w:szCs w:val="32"/>
              </w:rPr>
            </w:pPr>
          </w:p>
        </w:tc>
        <w:tc>
          <w:tcPr>
            <w:tcW w:w="1361" w:type="dxa"/>
            <w:noWrap w:val="0"/>
            <w:vAlign w:val="center"/>
          </w:tcPr>
          <w:p>
            <w:pPr>
              <w:keepNext w:val="0"/>
              <w:keepLines w:val="0"/>
              <w:suppressLineNumbers w:val="0"/>
              <w:spacing w:before="0" w:beforeAutospacing="0" w:after="0" w:afterAutospacing="0" w:line="240" w:lineRule="exact"/>
              <w:ind w:left="0" w:right="-147" w:rightChars="-70"/>
              <w:jc w:val="right"/>
              <w:rPr>
                <w:rFonts w:hint="eastAsia" w:ascii="宋体" w:hAnsi="宋体" w:cs="宋体"/>
                <w:color w:val="auto"/>
                <w:sz w:val="32"/>
                <w:szCs w:val="32"/>
              </w:rPr>
            </w:pPr>
            <w:r>
              <w:rPr>
                <w:rFonts w:hint="eastAsia" w:ascii="宋体" w:hAnsi="宋体" w:cs="宋体"/>
                <w:color w:val="auto"/>
                <w:sz w:val="18"/>
                <w:szCs w:val="18"/>
              </w:rPr>
              <w:t>文    号：</w:t>
            </w:r>
          </w:p>
        </w:tc>
        <w:tc>
          <w:tcPr>
            <w:tcW w:w="2041" w:type="dxa"/>
            <w:noWrap w:val="0"/>
            <w:vAlign w:val="center"/>
          </w:tcPr>
          <w:p>
            <w:pPr>
              <w:keepNext w:val="0"/>
              <w:keepLines w:val="0"/>
              <w:suppressLineNumbers w:val="0"/>
              <w:spacing w:before="0" w:beforeAutospacing="0" w:after="0" w:afterAutospacing="0" w:line="240" w:lineRule="exact"/>
              <w:ind w:left="-84" w:leftChars="-40" w:right="-84" w:rightChars="-40"/>
              <w:jc w:val="distribute"/>
              <w:rPr>
                <w:rFonts w:hint="eastAsia" w:ascii="宋体" w:hAnsi="宋体" w:cs="宋体"/>
                <w:color w:val="auto"/>
                <w:sz w:val="18"/>
                <w:szCs w:val="18"/>
              </w:rPr>
            </w:pPr>
            <w:r>
              <w:rPr>
                <w:rFonts w:hint="eastAsia" w:ascii="宋体" w:hAnsi="宋体" w:cs="宋体"/>
                <w:color w:val="auto"/>
                <w:sz w:val="18"/>
                <w:szCs w:val="18"/>
              </w:rPr>
              <w:t>国统字〔2025〕88号</w:t>
            </w:r>
          </w:p>
        </w:tc>
      </w:tr>
      <w:tr>
        <w:tblPrEx>
          <w:tblCellMar>
            <w:top w:w="0" w:type="dxa"/>
            <w:left w:w="108" w:type="dxa"/>
            <w:bottom w:w="0" w:type="dxa"/>
            <w:right w:w="108" w:type="dxa"/>
          </w:tblCellMar>
        </w:tblPrEx>
        <w:trPr>
          <w:trHeight w:val="255" w:hRule="exact"/>
          <w:jc w:val="center"/>
        </w:trPr>
        <w:tc>
          <w:tcPr>
            <w:tcW w:w="3249" w:type="dxa"/>
            <w:gridSpan w:val="2"/>
            <w:vMerge w:val="continue"/>
            <w:tcBorders>
              <w:bottom w:val="single" w:color="auto" w:sz="8" w:space="0"/>
            </w:tcBorders>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eastAsia" w:ascii="宋体" w:hAnsi="宋体" w:cs="宋体"/>
                <w:color w:val="auto"/>
                <w:sz w:val="32"/>
                <w:szCs w:val="32"/>
              </w:rPr>
            </w:pPr>
          </w:p>
        </w:tc>
        <w:tc>
          <w:tcPr>
            <w:tcW w:w="2875" w:type="dxa"/>
            <w:gridSpan w:val="3"/>
            <w:tcBorders>
              <w:bottom w:val="single" w:color="auto" w:sz="8" w:space="0"/>
            </w:tcBorders>
            <w:noWrap w:val="0"/>
            <w:vAlign w:val="top"/>
          </w:tcPr>
          <w:p>
            <w:pPr>
              <w:keepNext w:val="0"/>
              <w:keepLines w:val="0"/>
              <w:suppressLineNumbers w:val="0"/>
              <w:spacing w:before="0" w:beforeAutospacing="0" w:after="0" w:afterAutospacing="0" w:line="240" w:lineRule="exact"/>
              <w:ind w:left="0" w:right="0" w:firstLine="333" w:firstLineChars="185"/>
              <w:jc w:val="center"/>
              <w:rPr>
                <w:rFonts w:hint="eastAsia" w:ascii="宋体" w:hAnsi="宋体" w:cs="宋体"/>
                <w:color w:val="auto"/>
                <w:sz w:val="32"/>
                <w:szCs w:val="32"/>
              </w:rPr>
            </w:pPr>
            <w:r>
              <w:rPr>
                <w:rFonts w:hint="eastAsia" w:ascii="宋体" w:hAnsi="宋体" w:cs="宋体"/>
                <w:color w:val="auto"/>
                <w:kern w:val="0"/>
                <w:sz w:val="18"/>
                <w:szCs w:val="18"/>
              </w:rPr>
              <w:t>2</w:t>
            </w:r>
            <w:r>
              <w:rPr>
                <w:rFonts w:hint="default" w:ascii="宋体" w:hAnsi="宋体" w:cs="宋体"/>
                <w:color w:val="auto"/>
                <w:kern w:val="0"/>
                <w:sz w:val="18"/>
                <w:szCs w:val="18"/>
              </w:rPr>
              <w:t xml:space="preserve"> </w:t>
            </w:r>
            <w:r>
              <w:rPr>
                <w:rFonts w:hint="eastAsia" w:ascii="宋体" w:hAnsi="宋体" w:cs="宋体"/>
                <w:color w:val="auto"/>
                <w:kern w:val="0"/>
                <w:sz w:val="18"/>
                <w:szCs w:val="18"/>
              </w:rPr>
              <w:t>0</w:t>
            </w:r>
            <w:r>
              <w:rPr>
                <w:rFonts w:hint="default" w:ascii="宋体" w:hAnsi="宋体" w:cs="宋体"/>
                <w:color w:val="auto"/>
                <w:kern w:val="0"/>
                <w:sz w:val="18"/>
                <w:szCs w:val="18"/>
              </w:rPr>
              <w:t xml:space="preserve">    </w:t>
            </w:r>
            <w:r>
              <w:rPr>
                <w:rFonts w:hint="eastAsia" w:ascii="宋体" w:hAnsi="宋体" w:cs="宋体"/>
                <w:color w:val="auto"/>
                <w:sz w:val="18"/>
                <w:szCs w:val="18"/>
              </w:rPr>
              <w:t>年</w:t>
            </w:r>
          </w:p>
        </w:tc>
        <w:tc>
          <w:tcPr>
            <w:tcW w:w="1361" w:type="dxa"/>
            <w:tcBorders>
              <w:bottom w:val="single" w:color="auto" w:sz="8" w:space="0"/>
            </w:tcBorders>
            <w:noWrap w:val="0"/>
            <w:vAlign w:val="center"/>
          </w:tcPr>
          <w:p>
            <w:pPr>
              <w:keepNext w:val="0"/>
              <w:keepLines w:val="0"/>
              <w:suppressLineNumbers w:val="0"/>
              <w:spacing w:before="0" w:beforeAutospacing="0" w:after="0" w:afterAutospacing="0" w:line="240" w:lineRule="exact"/>
              <w:ind w:left="0" w:right="-147" w:rightChars="-70"/>
              <w:jc w:val="right"/>
              <w:rPr>
                <w:rFonts w:hint="eastAsia" w:ascii="宋体" w:hAnsi="宋体" w:cs="宋体"/>
                <w:color w:val="auto"/>
                <w:sz w:val="32"/>
                <w:szCs w:val="32"/>
              </w:rPr>
            </w:pPr>
            <w:r>
              <w:rPr>
                <w:rFonts w:hint="eastAsia" w:ascii="宋体" w:hAnsi="宋体" w:cs="宋体"/>
                <w:color w:val="auto"/>
                <w:sz w:val="18"/>
                <w:szCs w:val="18"/>
              </w:rPr>
              <w:t>有效期至：</w:t>
            </w:r>
          </w:p>
        </w:tc>
        <w:tc>
          <w:tcPr>
            <w:tcW w:w="2041" w:type="dxa"/>
            <w:tcBorders>
              <w:bottom w:val="single" w:color="auto" w:sz="8" w:space="0"/>
            </w:tcBorders>
            <w:noWrap w:val="0"/>
            <w:vAlign w:val="center"/>
          </w:tcPr>
          <w:p>
            <w:pPr>
              <w:keepNext w:val="0"/>
              <w:keepLines w:val="0"/>
              <w:suppressLineNumbers w:val="0"/>
              <w:spacing w:before="0" w:beforeAutospacing="0" w:after="0" w:afterAutospacing="0" w:line="240" w:lineRule="exact"/>
              <w:ind w:left="-84" w:leftChars="-40" w:right="-84" w:rightChars="-40"/>
              <w:jc w:val="distribute"/>
              <w:rPr>
                <w:rFonts w:hint="eastAsia" w:ascii="宋体" w:hAnsi="宋体" w:cs="宋体"/>
                <w:color w:val="auto"/>
                <w:sz w:val="18"/>
                <w:szCs w:val="18"/>
              </w:rPr>
            </w:pPr>
            <w:r>
              <w:rPr>
                <w:rFonts w:hint="eastAsia" w:ascii="宋体" w:hAnsi="宋体" w:cs="宋体"/>
                <w:color w:val="auto"/>
                <w:sz w:val="18"/>
                <w:szCs w:val="18"/>
              </w:rPr>
              <w:t>2026年6月</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50" w:hRule="exact"/>
          <w:jc w:val="center"/>
        </w:trPr>
        <w:tc>
          <w:tcPr>
            <w:tcW w:w="492" w:type="dxa"/>
            <w:tcBorders>
              <w:top w:val="single" w:color="auto" w:sz="8"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宋体"/>
                <w:b/>
                <w:color w:val="auto"/>
                <w:sz w:val="18"/>
                <w:shd w:val="clear" w:color="auto" w:fill="D7D7D7"/>
              </w:rPr>
            </w:pPr>
            <w:r>
              <w:rPr>
                <w:rFonts w:hint="eastAsia" w:ascii="宋体" w:hAnsi="宋体" w:cs="宋体"/>
                <w:b/>
                <w:color w:val="auto"/>
                <w:sz w:val="18"/>
                <w:shd w:val="clear" w:color="auto" w:fill="D7D7D7"/>
              </w:rPr>
              <w:t>110</w:t>
            </w:r>
          </w:p>
        </w:tc>
        <w:tc>
          <w:tcPr>
            <w:tcW w:w="9034" w:type="dxa"/>
            <w:gridSpan w:val="6"/>
            <w:tcBorders>
              <w:top w:val="single" w:color="auto" w:sz="8" w:space="0"/>
              <w:left w:val="single" w:color="auto" w:sz="2" w:space="0"/>
              <w:bottom w:val="single" w:color="auto" w:sz="2" w:space="0"/>
              <w:right w:val="nil"/>
            </w:tcBorders>
            <w:shd w:val="clear" w:color="auto" w:fill="D7D7D7"/>
            <w:noWrap w:val="0"/>
            <w:vAlign w:val="center"/>
          </w:tcPr>
          <w:p>
            <w:pPr>
              <w:keepNext w:val="0"/>
              <w:keepLines w:val="0"/>
              <w:suppressLineNumbers w:val="0"/>
              <w:snapToGrid w:val="0"/>
              <w:spacing w:before="0" w:beforeAutospacing="0" w:after="0" w:afterAutospacing="0"/>
              <w:ind w:left="0" w:right="0"/>
              <w:rPr>
                <w:rFonts w:hint="eastAsia" w:ascii="宋体" w:hAnsi="宋体" w:cs="宋体"/>
                <w:color w:val="auto"/>
                <w:sz w:val="18"/>
                <w:szCs w:val="18"/>
              </w:rPr>
            </w:pPr>
            <w:r>
              <w:rPr>
                <w:rFonts w:hint="eastAsia" w:ascii="宋体" w:hAnsi="宋体" w:cs="宋体"/>
                <w:color w:val="auto"/>
                <w:sz w:val="18"/>
                <w:szCs w:val="18"/>
              </w:rPr>
              <w:t>单位类型  □ （已视同法人单位的分支机构，请填写“1”）</w:t>
            </w:r>
          </w:p>
          <w:p>
            <w:pPr>
              <w:keepNext w:val="0"/>
              <w:keepLines w:val="0"/>
              <w:suppressLineNumbers w:val="0"/>
              <w:snapToGrid w:val="0"/>
              <w:spacing w:before="0" w:beforeAutospacing="0" w:after="0" w:afterAutospacing="0"/>
              <w:ind w:left="0" w:right="0" w:firstLine="180" w:firstLineChars="100"/>
              <w:rPr>
                <w:rFonts w:hint="default" w:ascii="宋体" w:hAnsi="宋体" w:cs="宋体"/>
                <w:color w:val="auto"/>
                <w:sz w:val="18"/>
                <w:szCs w:val="18"/>
              </w:rPr>
            </w:pPr>
            <w:r>
              <w:rPr>
                <w:rFonts w:hint="eastAsia" w:ascii="宋体" w:hAnsi="宋体" w:cs="宋体"/>
                <w:color w:val="auto"/>
                <w:sz w:val="18"/>
                <w:szCs w:val="18"/>
              </w:rPr>
              <w:t>1法人单位   3个体经营户</w:t>
            </w:r>
          </w:p>
          <w:p>
            <w:pPr>
              <w:keepNext w:val="0"/>
              <w:keepLines w:val="0"/>
              <w:suppressLineNumbers w:val="0"/>
              <w:shd w:val="clear" w:color="auto" w:fill="D0CECE"/>
              <w:spacing w:before="0" w:beforeAutospacing="0" w:after="0" w:afterAutospacing="0" w:line="240" w:lineRule="exact"/>
              <w:ind w:left="0" w:right="0"/>
              <w:rPr>
                <w:rFonts w:hint="default" w:ascii="宋体" w:hAnsi="宋体" w:cs="宋体"/>
                <w:color w:val="auto"/>
                <w:sz w:val="18"/>
                <w:szCs w:val="18"/>
                <w:shd w:val="clear" w:color="auto" w:fill="D7D7D7"/>
              </w:rPr>
            </w:pP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eastAsia" w:ascii="宋体" w:hAnsi="宋体" w:cs="宋体"/>
                <w:b/>
                <w:color w:val="auto"/>
                <w:sz w:val="18"/>
                <w:szCs w:val="18"/>
              </w:rPr>
            </w:pPr>
            <w:r>
              <w:rPr>
                <w:rFonts w:hint="eastAsia" w:ascii="宋体" w:hAnsi="宋体" w:cs="宋体"/>
                <w:b/>
                <w:bCs/>
                <w:color w:val="auto"/>
                <w:sz w:val="18"/>
                <w:szCs w:val="20"/>
              </w:rPr>
              <w:t>100</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是否为“视同法人单位”？如是，请勾选  □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shd w:val="clear" w:color="auto" w:fill="D7D7D7"/>
              </w:rPr>
            </w:pPr>
            <w:r>
              <w:rPr>
                <w:rFonts w:hint="eastAsia" w:ascii="宋体" w:hAnsi="宋体" w:cs="宋体"/>
                <w:b/>
                <w:color w:val="auto"/>
                <w:sz w:val="18"/>
                <w:shd w:val="clear" w:color="auto" w:fill="D7D7D7"/>
              </w:rPr>
              <w:t>109</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hd w:val="clear" w:color="auto" w:fill="D0CECE"/>
              <w:spacing w:before="0" w:beforeAutospacing="0" w:after="0" w:afterAutospacing="0" w:line="240" w:lineRule="exact"/>
              <w:ind w:left="0" w:right="0"/>
              <w:rPr>
                <w:rFonts w:hint="eastAsia" w:ascii="宋体" w:hAnsi="宋体" w:cs="宋体"/>
                <w:color w:val="auto"/>
                <w:sz w:val="18"/>
                <w:szCs w:val="18"/>
                <w:shd w:val="clear" w:color="auto" w:fill="D7D7D7"/>
              </w:rPr>
            </w:pPr>
            <w:r>
              <w:rPr>
                <w:rFonts w:hint="eastAsia" w:ascii="宋体" w:hAnsi="宋体" w:cs="宋体"/>
                <w:color w:val="auto"/>
                <w:sz w:val="18"/>
                <w:szCs w:val="18"/>
                <w:shd w:val="clear" w:color="auto" w:fill="D7D7D7"/>
              </w:rPr>
              <w:t xml:space="preserve">统一社会信用代码   □□□□□□□□□□□□□□□□□□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shd w:val="clear" w:color="auto" w:fill="D7D7D7"/>
              </w:rPr>
            </w:pPr>
            <w:r>
              <w:rPr>
                <w:rFonts w:hint="eastAsia" w:ascii="宋体" w:hAnsi="宋体" w:cs="宋体"/>
                <w:b/>
                <w:bCs/>
                <w:color w:val="auto"/>
                <w:sz w:val="18"/>
                <w:szCs w:val="18"/>
                <w:shd w:val="clear" w:color="auto" w:fill="D7D7D7"/>
              </w:rPr>
              <w:t>102</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eastAsia" w:ascii="宋体" w:hAnsi="宋体" w:cs="宋体"/>
                <w:color w:val="auto"/>
                <w:sz w:val="18"/>
                <w:szCs w:val="18"/>
                <w:shd w:val="clear" w:color="auto" w:fill="D7D7D7"/>
              </w:rPr>
            </w:pPr>
            <w:r>
              <w:rPr>
                <w:rFonts w:hint="eastAsia" w:ascii="宋体" w:hAnsi="宋体" w:cs="宋体"/>
                <w:color w:val="auto"/>
                <w:sz w:val="18"/>
                <w:szCs w:val="18"/>
                <w:shd w:val="clear" w:color="auto" w:fill="D7D7D7"/>
              </w:rPr>
              <w:t xml:space="preserve">单位详细名称  </w:t>
            </w:r>
            <w:r>
              <w:rPr>
                <w:rFonts w:hint="eastAsia" w:ascii="宋体" w:hAnsi="宋体" w:cs="宋体"/>
                <w:color w:val="auto"/>
                <w:sz w:val="18"/>
                <w:szCs w:val="18"/>
                <w:u w:val="single"/>
                <w:shd w:val="clear" w:color="auto" w:fill="D7D7D7"/>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492" w:type="dxa"/>
            <w:tcBorders>
              <w:top w:val="single" w:color="auto" w:sz="2" w:space="0"/>
              <w:left w:val="nil"/>
              <w:bottom w:val="single" w:color="auto" w:sz="2" w:space="0"/>
              <w:right w:val="single" w:color="auto" w:sz="2" w:space="0"/>
            </w:tcBorders>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201</w:t>
            </w:r>
          </w:p>
        </w:tc>
        <w:tc>
          <w:tcPr>
            <w:tcW w:w="9034" w:type="dxa"/>
            <w:gridSpan w:val="6"/>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20" w:lineRule="exact"/>
              <w:ind w:left="0" w:right="0"/>
              <w:rPr>
                <w:rFonts w:hint="eastAsia" w:ascii="宋体" w:hAnsi="宋体" w:cs="宋体"/>
                <w:color w:val="auto"/>
                <w:sz w:val="18"/>
                <w:szCs w:val="18"/>
              </w:rPr>
            </w:pPr>
            <w:r>
              <w:rPr>
                <w:rFonts w:hint="eastAsia" w:ascii="宋体" w:hAnsi="宋体" w:cs="宋体"/>
                <w:color w:val="auto"/>
                <w:sz w:val="18"/>
                <w:szCs w:val="18"/>
              </w:rPr>
              <w:t>法定代表人（单位负责人）</w:t>
            </w:r>
            <w:r>
              <w:rPr>
                <w:rFonts w:hint="eastAsia" w:ascii="宋体" w:hAnsi="宋体" w:cs="宋体"/>
                <w:color w:val="auto"/>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492" w:type="dxa"/>
            <w:tcBorders>
              <w:top w:val="single" w:color="auto" w:sz="2" w:space="0"/>
              <w:left w:val="nil"/>
              <w:bottom w:val="single" w:color="auto" w:sz="2" w:space="0"/>
              <w:right w:val="single" w:color="auto" w:sz="2" w:space="0"/>
            </w:tcBorders>
            <w:noWrap w:val="0"/>
            <w:vAlign w:val="center"/>
          </w:tcPr>
          <w:p>
            <w:pPr>
              <w:keepNext w:val="0"/>
              <w:keepLines w:val="0"/>
              <w:suppressLineNumbers w:val="0"/>
              <w:spacing w:before="0" w:beforeAutospacing="0" w:after="0" w:afterAutospacing="0" w:line="220" w:lineRule="exact"/>
              <w:ind w:left="0" w:right="0"/>
              <w:rPr>
                <w:rFonts w:hint="eastAsia" w:ascii="宋体" w:hAnsi="宋体" w:cs="宋体"/>
                <w:b/>
                <w:bCs/>
                <w:color w:val="auto"/>
                <w:sz w:val="18"/>
                <w:szCs w:val="18"/>
              </w:rPr>
            </w:pPr>
            <w:r>
              <w:rPr>
                <w:rFonts w:hint="eastAsia" w:ascii="宋体" w:hAnsi="宋体" w:cs="宋体"/>
                <w:b/>
                <w:bCs/>
                <w:color w:val="auto"/>
                <w:sz w:val="18"/>
                <w:szCs w:val="18"/>
              </w:rPr>
              <w:t>202</w:t>
            </w:r>
          </w:p>
        </w:tc>
        <w:tc>
          <w:tcPr>
            <w:tcW w:w="4516" w:type="dxa"/>
            <w:gridSpan w:val="3"/>
            <w:tcBorders>
              <w:top w:val="single" w:color="auto" w:sz="2" w:space="0"/>
              <w:left w:val="single" w:color="auto" w:sz="2" w:space="0"/>
              <w:bottom w:val="single" w:color="auto" w:sz="2" w:space="0"/>
              <w:right w:val="single" w:color="auto" w:sz="2" w:space="0"/>
            </w:tcBorders>
            <w:noWrap w:val="0"/>
            <w:vAlign w:val="center"/>
          </w:tcPr>
          <w:p>
            <w:pPr>
              <w:keepNext w:val="0"/>
              <w:keepLines w:val="0"/>
              <w:suppressLineNumbers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1成立时间（所有单位填报）</w:t>
            </w:r>
            <w:r>
              <w:rPr>
                <w:rFonts w:hint="eastAsia" w:ascii="宋体" w:hAnsi="宋体" w:cs="宋体"/>
                <w:color w:val="auto"/>
                <w:sz w:val="18"/>
                <w:szCs w:val="18"/>
                <w:u w:val="single"/>
              </w:rPr>
              <w:t xml:space="preserve">          </w:t>
            </w:r>
            <w:r>
              <w:rPr>
                <w:rFonts w:hint="eastAsia" w:ascii="宋体" w:hAnsi="宋体" w:cs="宋体"/>
                <w:color w:val="auto"/>
                <w:sz w:val="18"/>
                <w:szCs w:val="18"/>
              </w:rPr>
              <w:t>年</w:t>
            </w:r>
            <w:r>
              <w:rPr>
                <w:rFonts w:hint="eastAsia" w:ascii="宋体" w:hAnsi="宋体" w:cs="宋体"/>
                <w:color w:val="auto"/>
                <w:sz w:val="18"/>
                <w:szCs w:val="18"/>
                <w:u w:val="single"/>
              </w:rPr>
              <w:t xml:space="preserve">          </w:t>
            </w:r>
            <w:r>
              <w:rPr>
                <w:rFonts w:hint="eastAsia" w:ascii="宋体" w:hAnsi="宋体" w:cs="宋体"/>
                <w:color w:val="auto"/>
                <w:sz w:val="18"/>
                <w:szCs w:val="18"/>
              </w:rPr>
              <w:t>月</w:t>
            </w:r>
          </w:p>
        </w:tc>
        <w:tc>
          <w:tcPr>
            <w:tcW w:w="4518" w:type="dxa"/>
            <w:gridSpan w:val="3"/>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2开业时间（仅限企业填报）</w:t>
            </w:r>
            <w:r>
              <w:rPr>
                <w:rFonts w:hint="eastAsia" w:ascii="宋体" w:hAnsi="宋体" w:cs="宋体"/>
                <w:color w:val="auto"/>
                <w:sz w:val="18"/>
                <w:szCs w:val="18"/>
                <w:u w:val="single"/>
              </w:rPr>
              <w:t xml:space="preserve">          </w:t>
            </w:r>
            <w:r>
              <w:rPr>
                <w:rFonts w:hint="eastAsia" w:ascii="宋体" w:hAnsi="宋体" w:cs="宋体"/>
                <w:color w:val="auto"/>
                <w:sz w:val="18"/>
                <w:szCs w:val="18"/>
              </w:rPr>
              <w:t>年</w:t>
            </w:r>
            <w:r>
              <w:rPr>
                <w:rFonts w:hint="eastAsia" w:ascii="宋体" w:hAnsi="宋体" w:cs="宋体"/>
                <w:color w:val="auto"/>
                <w:sz w:val="18"/>
                <w:szCs w:val="18"/>
                <w:u w:val="single"/>
              </w:rPr>
              <w:t xml:space="preserve">          </w:t>
            </w:r>
            <w:r>
              <w:rPr>
                <w:rFonts w:hint="eastAsia" w:ascii="宋体" w:hAnsi="宋体" w:cs="宋体"/>
                <w:color w:val="auto"/>
                <w:sz w:val="18"/>
                <w:szCs w:val="18"/>
              </w:rPr>
              <w:t>月</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954" w:hRule="exact"/>
          <w:jc w:val="center"/>
        </w:trPr>
        <w:tc>
          <w:tcPr>
            <w:tcW w:w="492" w:type="dxa"/>
            <w:tcBorders>
              <w:top w:val="single" w:color="auto" w:sz="2" w:space="0"/>
              <w:left w:val="nil"/>
              <w:bottom w:val="single" w:color="auto" w:sz="2" w:space="0"/>
              <w:right w:val="single" w:color="auto" w:sz="2" w:space="0"/>
            </w:tcBorders>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203</w:t>
            </w:r>
          </w:p>
        </w:tc>
        <w:tc>
          <w:tcPr>
            <w:tcW w:w="9034" w:type="dxa"/>
            <w:gridSpan w:val="6"/>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00" w:lineRule="exact"/>
              <w:ind w:left="0" w:right="0"/>
              <w:rPr>
                <w:rFonts w:hint="eastAsia" w:ascii="宋体" w:hAnsi="宋体" w:cs="宋体"/>
                <w:color w:val="auto"/>
                <w:sz w:val="18"/>
                <w:szCs w:val="18"/>
              </w:rPr>
            </w:pPr>
            <w:r>
              <w:rPr>
                <w:rFonts w:hint="eastAsia" w:ascii="宋体" w:hAnsi="宋体" w:cs="宋体"/>
                <w:color w:val="auto"/>
                <w:sz w:val="18"/>
                <w:szCs w:val="18"/>
              </w:rPr>
              <w:t>联系方式</w:t>
            </w:r>
          </w:p>
          <w:p>
            <w:pPr>
              <w:keepNext w:val="0"/>
              <w:keepLines w:val="0"/>
              <w:suppressLineNumbers w:val="0"/>
              <w:spacing w:before="0" w:beforeAutospacing="0" w:after="0" w:afterAutospacing="0" w:line="20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长途区号    □□□□□</w:t>
            </w:r>
          </w:p>
          <w:p>
            <w:pPr>
              <w:keepNext w:val="0"/>
              <w:keepLines w:val="0"/>
              <w:suppressLineNumbers w:val="0"/>
              <w:spacing w:before="0" w:beforeAutospacing="0" w:after="0" w:afterAutospacing="0" w:line="20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固定电话    □□□□□□□□-□□□□□□</w:t>
            </w:r>
          </w:p>
          <w:p>
            <w:pPr>
              <w:keepNext w:val="0"/>
              <w:keepLines w:val="0"/>
              <w:suppressLineNumbers w:val="0"/>
              <w:spacing w:before="0" w:beforeAutospacing="0" w:after="0" w:afterAutospacing="0" w:line="20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移动电话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871" w:hRule="atLeast"/>
          <w:jc w:val="center"/>
        </w:trPr>
        <w:tc>
          <w:tcPr>
            <w:tcW w:w="492" w:type="dxa"/>
            <w:vMerge w:val="restart"/>
            <w:tcBorders>
              <w:top w:val="single" w:color="auto" w:sz="2" w:space="0"/>
              <w:left w:val="nil"/>
              <w:bottom w:val="single" w:color="auto" w:sz="2" w:space="0"/>
              <w:right w:val="single" w:color="auto" w:sz="2" w:space="0"/>
            </w:tcBorders>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105</w:t>
            </w:r>
          </w:p>
        </w:tc>
        <w:tc>
          <w:tcPr>
            <w:tcW w:w="9034" w:type="dxa"/>
            <w:gridSpan w:val="6"/>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0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单位所在地区划及详细地址               </w:t>
            </w:r>
          </w:p>
          <w:p>
            <w:pPr>
              <w:keepNext w:val="0"/>
              <w:keepLines w:val="0"/>
              <w:suppressLineNumbers w:val="0"/>
              <w:snapToGrid w:val="0"/>
              <w:spacing w:before="0" w:beforeAutospacing="0" w:after="0" w:afterAutospacing="0" w:line="28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  </w:t>
            </w:r>
            <w:r>
              <w:rPr>
                <w:rFonts w:hint="eastAsia" w:ascii="宋体" w:hAnsi="宋体" w:cs="宋体"/>
                <w:color w:val="auto"/>
                <w:sz w:val="18"/>
                <w:szCs w:val="18"/>
                <w:u w:val="single"/>
              </w:rPr>
              <w:t xml:space="preserve">               </w:t>
            </w:r>
            <w:r>
              <w:rPr>
                <w:rFonts w:hint="eastAsia" w:ascii="宋体" w:hAnsi="宋体" w:cs="宋体"/>
                <w:color w:val="auto"/>
                <w:sz w:val="18"/>
                <w:szCs w:val="18"/>
              </w:rPr>
              <w:t>省(自治区、直辖市)</w:t>
            </w:r>
            <w:r>
              <w:rPr>
                <w:rFonts w:hint="eastAsia" w:ascii="宋体" w:hAnsi="宋体" w:cs="宋体"/>
                <w:color w:val="auto"/>
                <w:sz w:val="18"/>
                <w:szCs w:val="18"/>
                <w:u w:val="single"/>
              </w:rPr>
              <w:t xml:space="preserve">                </w:t>
            </w:r>
            <w:r>
              <w:rPr>
                <w:rFonts w:hint="eastAsia" w:ascii="宋体" w:hAnsi="宋体" w:cs="宋体"/>
                <w:color w:val="auto"/>
                <w:sz w:val="18"/>
                <w:szCs w:val="18"/>
              </w:rPr>
              <w:t>地(市、州、盟)</w:t>
            </w:r>
            <w:r>
              <w:rPr>
                <w:rFonts w:hint="eastAsia" w:ascii="宋体" w:hAnsi="宋体" w:cs="宋体"/>
                <w:color w:val="auto"/>
                <w:sz w:val="18"/>
                <w:szCs w:val="18"/>
                <w:u w:val="single"/>
              </w:rPr>
              <w:t xml:space="preserve">                </w:t>
            </w:r>
            <w:r>
              <w:rPr>
                <w:rFonts w:hint="eastAsia" w:ascii="宋体" w:hAnsi="宋体" w:cs="宋体"/>
                <w:color w:val="auto"/>
                <w:sz w:val="18"/>
                <w:szCs w:val="18"/>
              </w:rPr>
              <w:t>县(市、区、旗)</w:t>
            </w:r>
          </w:p>
          <w:p>
            <w:pPr>
              <w:keepNext w:val="0"/>
              <w:keepLines w:val="0"/>
              <w:suppressLineNumbers w:val="0"/>
              <w:snapToGrid w:val="0"/>
              <w:spacing w:before="0" w:beforeAutospacing="0" w:after="0" w:afterAutospacing="0" w:line="28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  </w:t>
            </w:r>
            <w:r>
              <w:rPr>
                <w:rFonts w:hint="eastAsia" w:ascii="宋体" w:hAnsi="宋体" w:cs="宋体"/>
                <w:color w:val="auto"/>
                <w:sz w:val="18"/>
                <w:szCs w:val="18"/>
                <w:u w:val="single"/>
              </w:rPr>
              <w:t xml:space="preserve">               </w:t>
            </w:r>
            <w:r>
              <w:rPr>
                <w:rFonts w:hint="eastAsia" w:ascii="宋体" w:hAnsi="宋体" w:cs="宋体"/>
                <w:color w:val="auto"/>
                <w:sz w:val="18"/>
                <w:szCs w:val="18"/>
              </w:rPr>
              <w:t xml:space="preserve">乡（镇、街道）   </w:t>
            </w:r>
            <w:r>
              <w:rPr>
                <w:rFonts w:hint="eastAsia" w:ascii="宋体" w:hAnsi="宋体" w:cs="宋体"/>
                <w:color w:val="auto"/>
                <w:sz w:val="18"/>
                <w:szCs w:val="18"/>
                <w:u w:val="single"/>
              </w:rPr>
              <w:t xml:space="preserve">                </w:t>
            </w:r>
            <w:r>
              <w:rPr>
                <w:rFonts w:hint="eastAsia" w:ascii="宋体" w:hAnsi="宋体" w:cs="宋体"/>
                <w:color w:val="auto"/>
                <w:sz w:val="18"/>
                <w:szCs w:val="18"/>
              </w:rPr>
              <w:t>村（居）委会</w:t>
            </w:r>
            <w:r>
              <w:rPr>
                <w:rFonts w:hint="eastAsia" w:ascii="宋体" w:hAnsi="宋体" w:cs="宋体"/>
                <w:color w:val="auto"/>
                <w:w w:val="120"/>
                <w:sz w:val="18"/>
                <w:szCs w:val="18"/>
              </w:rPr>
              <w:t xml:space="preserve"> </w:t>
            </w:r>
            <w:r>
              <w:rPr>
                <w:rFonts w:hint="eastAsia" w:ascii="宋体" w:hAnsi="宋体" w:cs="宋体"/>
                <w:color w:val="auto"/>
                <w:sz w:val="18"/>
                <w:szCs w:val="18"/>
                <w:u w:val="single"/>
              </w:rPr>
              <w:t xml:space="preserve">  </w:t>
            </w:r>
            <w:r>
              <w:rPr>
                <w:rFonts w:hint="eastAsia" w:ascii="宋体" w:hAnsi="宋体" w:cs="宋体"/>
                <w:color w:val="auto"/>
                <w:sz w:val="18"/>
                <w:szCs w:val="18"/>
                <w:u w:val="single"/>
                <w:lang w:val="en"/>
              </w:rPr>
              <w:t xml:space="preserve">    </w:t>
            </w:r>
            <w:r>
              <w:rPr>
                <w:rFonts w:hint="eastAsia" w:ascii="宋体" w:hAnsi="宋体" w:cs="宋体"/>
                <w:color w:val="auto"/>
                <w:sz w:val="18"/>
                <w:szCs w:val="18"/>
                <w:u w:val="single"/>
              </w:rPr>
              <w:t xml:space="preserve">          </w:t>
            </w:r>
            <w:r>
              <w:rPr>
                <w:rFonts w:hint="eastAsia" w:ascii="宋体" w:hAnsi="宋体" w:cs="宋体"/>
                <w:color w:val="auto"/>
                <w:sz w:val="18"/>
                <w:szCs w:val="18"/>
              </w:rPr>
              <w:t>街(路)、门牌号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vMerge w:val="continue"/>
            <w:tcBorders>
              <w:top w:val="single" w:color="auto" w:sz="2" w:space="0"/>
              <w:left w:val="nil"/>
              <w:bottom w:val="single" w:color="auto" w:sz="2" w:space="0"/>
              <w:right w:val="single" w:color="auto" w:sz="2" w:space="0"/>
            </w:tcBorders>
            <w:shd w:val="clear" w:color="auto" w:fill="auto"/>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rPr>
            </w:pP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区划代码    □□□□□□□□□□□□            城乡代码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86" w:hRule="atLeast"/>
          <w:jc w:val="center"/>
        </w:trPr>
        <w:tc>
          <w:tcPr>
            <w:tcW w:w="492" w:type="dxa"/>
            <w:vMerge w:val="restart"/>
            <w:tcBorders>
              <w:top w:val="single" w:color="auto" w:sz="2" w:space="0"/>
              <w:left w:val="nil"/>
              <w:bottom w:val="single" w:color="auto" w:sz="2" w:space="0"/>
              <w:right w:val="single" w:color="auto" w:sz="2" w:space="0"/>
            </w:tcBorders>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106</w:t>
            </w:r>
          </w:p>
        </w:tc>
        <w:tc>
          <w:tcPr>
            <w:tcW w:w="9034" w:type="dxa"/>
            <w:gridSpan w:val="6"/>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2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单位注册地区划及详细地址             </w:t>
            </w:r>
          </w:p>
          <w:p>
            <w:pPr>
              <w:keepNext w:val="0"/>
              <w:keepLines w:val="0"/>
              <w:suppressLineNumbers w:val="0"/>
              <w:spacing w:before="0" w:beforeAutospacing="0" w:after="0" w:afterAutospacing="0" w:line="22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是否与单位所在地详细地址一致：   □ 1是，2否</w:t>
            </w:r>
          </w:p>
          <w:p>
            <w:pPr>
              <w:keepNext w:val="0"/>
              <w:keepLines w:val="0"/>
              <w:suppressLineNumbers w:val="0"/>
              <w:snapToGrid w:val="0"/>
              <w:spacing w:before="0" w:beforeAutospacing="0" w:after="0" w:afterAutospacing="0" w:line="28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  </w:t>
            </w:r>
            <w:r>
              <w:rPr>
                <w:rFonts w:hint="eastAsia" w:ascii="宋体" w:hAnsi="宋体" w:cs="宋体"/>
                <w:color w:val="auto"/>
                <w:sz w:val="18"/>
                <w:szCs w:val="18"/>
                <w:u w:val="single"/>
              </w:rPr>
              <w:t xml:space="preserve">               </w:t>
            </w:r>
            <w:r>
              <w:rPr>
                <w:rFonts w:hint="eastAsia" w:ascii="宋体" w:hAnsi="宋体" w:cs="宋体"/>
                <w:color w:val="auto"/>
                <w:sz w:val="18"/>
                <w:szCs w:val="18"/>
              </w:rPr>
              <w:t>省(自治区、直辖市)</w:t>
            </w:r>
            <w:r>
              <w:rPr>
                <w:rFonts w:hint="eastAsia" w:ascii="宋体" w:hAnsi="宋体" w:cs="宋体"/>
                <w:color w:val="auto"/>
                <w:sz w:val="18"/>
                <w:szCs w:val="18"/>
                <w:u w:val="single"/>
              </w:rPr>
              <w:t xml:space="preserve">                </w:t>
            </w:r>
            <w:r>
              <w:rPr>
                <w:rFonts w:hint="eastAsia" w:ascii="宋体" w:hAnsi="宋体" w:cs="宋体"/>
                <w:color w:val="auto"/>
                <w:sz w:val="18"/>
                <w:szCs w:val="18"/>
              </w:rPr>
              <w:t>地(市、州、盟)</w:t>
            </w:r>
            <w:r>
              <w:rPr>
                <w:rFonts w:hint="eastAsia" w:ascii="宋体" w:hAnsi="宋体" w:cs="宋体"/>
                <w:color w:val="auto"/>
                <w:sz w:val="18"/>
                <w:szCs w:val="18"/>
                <w:u w:val="single"/>
              </w:rPr>
              <w:t xml:space="preserve">                </w:t>
            </w:r>
            <w:r>
              <w:rPr>
                <w:rFonts w:hint="eastAsia" w:ascii="宋体" w:hAnsi="宋体" w:cs="宋体"/>
                <w:color w:val="auto"/>
                <w:sz w:val="18"/>
                <w:szCs w:val="18"/>
              </w:rPr>
              <w:t>县(市、区、旗)</w:t>
            </w:r>
          </w:p>
          <w:p>
            <w:pPr>
              <w:keepNext w:val="0"/>
              <w:keepLines w:val="0"/>
              <w:suppressLineNumbers w:val="0"/>
              <w:snapToGrid w:val="0"/>
              <w:spacing w:before="0" w:beforeAutospacing="0" w:after="0" w:afterAutospacing="0" w:line="28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  </w:t>
            </w:r>
            <w:r>
              <w:rPr>
                <w:rFonts w:hint="eastAsia" w:ascii="宋体" w:hAnsi="宋体" w:cs="宋体"/>
                <w:color w:val="auto"/>
                <w:sz w:val="18"/>
                <w:szCs w:val="18"/>
                <w:u w:val="single"/>
              </w:rPr>
              <w:t xml:space="preserve">               </w:t>
            </w:r>
            <w:r>
              <w:rPr>
                <w:rFonts w:hint="eastAsia" w:ascii="宋体" w:hAnsi="宋体" w:cs="宋体"/>
                <w:color w:val="auto"/>
                <w:sz w:val="18"/>
                <w:szCs w:val="18"/>
              </w:rPr>
              <w:t xml:space="preserve">乡（镇、街道）   </w:t>
            </w:r>
            <w:r>
              <w:rPr>
                <w:rFonts w:hint="eastAsia" w:ascii="宋体" w:hAnsi="宋体" w:cs="宋体"/>
                <w:color w:val="auto"/>
                <w:sz w:val="18"/>
                <w:szCs w:val="18"/>
                <w:u w:val="single"/>
              </w:rPr>
              <w:t xml:space="preserve">                </w:t>
            </w:r>
            <w:r>
              <w:rPr>
                <w:rFonts w:hint="eastAsia" w:ascii="宋体" w:hAnsi="宋体" w:cs="宋体"/>
                <w:color w:val="auto"/>
                <w:sz w:val="18"/>
                <w:szCs w:val="18"/>
              </w:rPr>
              <w:t>村（居）委会</w:t>
            </w:r>
            <w:r>
              <w:rPr>
                <w:rFonts w:hint="eastAsia" w:ascii="宋体" w:hAnsi="宋体" w:cs="宋体"/>
                <w:color w:val="auto"/>
                <w:w w:val="120"/>
                <w:sz w:val="18"/>
                <w:szCs w:val="18"/>
              </w:rPr>
              <w:t xml:space="preserve"> </w:t>
            </w:r>
            <w:r>
              <w:rPr>
                <w:rFonts w:hint="eastAsia" w:ascii="宋体" w:hAnsi="宋体" w:cs="宋体"/>
                <w:color w:val="auto"/>
                <w:sz w:val="18"/>
                <w:szCs w:val="18"/>
                <w:u w:val="single"/>
              </w:rPr>
              <w:t xml:space="preserve">  </w:t>
            </w:r>
            <w:r>
              <w:rPr>
                <w:rFonts w:hint="eastAsia" w:ascii="宋体" w:hAnsi="宋体" w:cs="宋体"/>
                <w:color w:val="auto"/>
                <w:sz w:val="18"/>
                <w:szCs w:val="18"/>
                <w:u w:val="single"/>
                <w:lang w:val="en"/>
              </w:rPr>
              <w:t xml:space="preserve">    </w:t>
            </w:r>
            <w:r>
              <w:rPr>
                <w:rFonts w:hint="eastAsia" w:ascii="宋体" w:hAnsi="宋体" w:cs="宋体"/>
                <w:color w:val="auto"/>
                <w:sz w:val="18"/>
                <w:szCs w:val="18"/>
                <w:u w:val="single"/>
              </w:rPr>
              <w:t xml:space="preserve">          </w:t>
            </w:r>
            <w:r>
              <w:rPr>
                <w:rFonts w:hint="eastAsia" w:ascii="宋体" w:hAnsi="宋体" w:cs="宋体"/>
                <w:color w:val="auto"/>
                <w:sz w:val="18"/>
                <w:szCs w:val="18"/>
              </w:rPr>
              <w:t>街(路)、门牌号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vMerge w:val="continue"/>
            <w:tcBorders>
              <w:top w:val="single" w:color="auto" w:sz="2" w:space="0"/>
              <w:left w:val="nil"/>
              <w:bottom w:val="single" w:color="auto" w:sz="2" w:space="0"/>
              <w:right w:val="single" w:color="auto" w:sz="2" w:space="0"/>
            </w:tcBorders>
            <w:shd w:val="clear" w:color="auto" w:fill="auto"/>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rPr>
            </w:pP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 xml:space="preserve">区划代码    □□□□□□□□□□□□            城乡代码    □□□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tcBorders>
              <w:top w:val="single" w:color="auto" w:sz="2" w:space="0"/>
              <w:left w:val="nil"/>
              <w:bottom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line="22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208</w:t>
            </w:r>
          </w:p>
        </w:tc>
        <w:tc>
          <w:tcPr>
            <w:tcW w:w="9034" w:type="dxa"/>
            <w:gridSpan w:val="6"/>
            <w:tcBorders>
              <w:top w:val="single" w:color="auto" w:sz="2" w:space="0"/>
              <w:left w:val="single" w:color="auto" w:sz="2" w:space="0"/>
              <w:bottom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eastAsia" w:ascii="宋体" w:hAnsi="宋体" w:cs="宋体"/>
                <w:color w:val="auto"/>
                <w:sz w:val="18"/>
                <w:szCs w:val="18"/>
              </w:rPr>
            </w:pPr>
            <w:r>
              <w:rPr>
                <w:rFonts w:hint="eastAsia" w:ascii="宋体" w:hAnsi="宋体" w:cs="宋体"/>
                <w:color w:val="auto"/>
                <w:sz w:val="18"/>
                <w:szCs w:val="18"/>
              </w:rPr>
              <w:t>运营状态  □  1正常运营 2停业(歇业) 3筹建 4当年关闭  5当年破产 6当年注销 7当年撤（吊）销 9其他</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747" w:hRule="atLeast"/>
          <w:jc w:val="center"/>
        </w:trPr>
        <w:tc>
          <w:tcPr>
            <w:tcW w:w="492" w:type="dxa"/>
            <w:vMerge w:val="restart"/>
            <w:tcBorders>
              <w:top w:val="single" w:color="auto" w:sz="2" w:space="0"/>
              <w:left w:val="nil"/>
              <w:bottom w:val="single" w:color="auto" w:sz="2" w:space="0"/>
              <w:right w:val="single" w:color="auto" w:sz="2" w:space="0"/>
            </w:tcBorders>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103</w:t>
            </w:r>
          </w:p>
        </w:tc>
        <w:tc>
          <w:tcPr>
            <w:tcW w:w="9034" w:type="dxa"/>
            <w:gridSpan w:val="6"/>
            <w:tcBorders>
              <w:top w:val="single" w:color="auto" w:sz="2" w:space="0"/>
              <w:left w:val="single" w:color="auto" w:sz="2" w:space="0"/>
              <w:bottom w:val="single" w:color="auto" w:sz="2" w:space="0"/>
              <w:right w:val="nil"/>
            </w:tcBorders>
            <w:noWrap w:val="0"/>
            <w:vAlign w:val="center"/>
          </w:tcPr>
          <w:p>
            <w:pPr>
              <w:keepNext w:val="0"/>
              <w:keepLines w:val="0"/>
              <w:suppressLineNumbers w:val="0"/>
              <w:spacing w:before="0" w:beforeAutospacing="0" w:after="0" w:afterAutospacing="0" w:line="22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行业类别                                                    </w:t>
            </w:r>
          </w:p>
          <w:p>
            <w:pPr>
              <w:keepNext w:val="0"/>
              <w:keepLines w:val="0"/>
              <w:suppressLineNumbers w:val="0"/>
              <w:spacing w:before="0" w:beforeAutospacing="0" w:after="0" w:afterAutospacing="0" w:line="22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主要业务活动</w:t>
            </w:r>
          </w:p>
          <w:p>
            <w:pPr>
              <w:keepNext w:val="0"/>
              <w:keepLines w:val="0"/>
              <w:suppressLineNumbers w:val="0"/>
              <w:spacing w:before="0" w:beforeAutospacing="0" w:after="0" w:afterAutospacing="0" w:line="22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1</w:t>
            </w:r>
            <w:r>
              <w:rPr>
                <w:rFonts w:hint="eastAsia" w:ascii="宋体" w:hAnsi="宋体" w:cs="宋体"/>
                <w:color w:val="auto"/>
                <w:sz w:val="18"/>
                <w:szCs w:val="18"/>
                <w:u w:val="single"/>
              </w:rPr>
              <w:t xml:space="preserve">                          </w:t>
            </w:r>
            <w:r>
              <w:rPr>
                <w:rFonts w:hint="eastAsia" w:ascii="宋体" w:hAnsi="宋体" w:cs="宋体"/>
                <w:color w:val="auto"/>
                <w:sz w:val="18"/>
                <w:szCs w:val="18"/>
              </w:rPr>
              <w:t xml:space="preserve">    2</w:t>
            </w:r>
            <w:r>
              <w:rPr>
                <w:rFonts w:hint="eastAsia" w:ascii="宋体" w:hAnsi="宋体" w:cs="宋体"/>
                <w:color w:val="auto"/>
                <w:sz w:val="18"/>
                <w:szCs w:val="18"/>
                <w:u w:val="single"/>
              </w:rPr>
              <w:t xml:space="preserve">                            </w:t>
            </w:r>
            <w:r>
              <w:rPr>
                <w:rFonts w:hint="eastAsia" w:ascii="宋体" w:hAnsi="宋体" w:cs="宋体"/>
                <w:color w:val="auto"/>
                <w:sz w:val="18"/>
                <w:szCs w:val="18"/>
              </w:rPr>
              <w:t xml:space="preserve">    3</w:t>
            </w:r>
            <w:r>
              <w:rPr>
                <w:rFonts w:hint="eastAsia" w:ascii="宋体" w:hAnsi="宋体" w:cs="宋体"/>
                <w:color w:val="auto"/>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09" w:hRule="atLeast"/>
          <w:jc w:val="center"/>
        </w:trPr>
        <w:tc>
          <w:tcPr>
            <w:tcW w:w="492" w:type="dxa"/>
            <w:vMerge w:val="continue"/>
            <w:tcBorders>
              <w:top w:val="single" w:color="auto" w:sz="2" w:space="0"/>
              <w:left w:val="nil"/>
              <w:bottom w:val="single" w:color="auto" w:sz="2" w:space="0"/>
              <w:right w:val="single" w:color="auto" w:sz="2" w:space="0"/>
            </w:tcBorders>
            <w:shd w:val="clear" w:color="auto" w:fill="auto"/>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rPr>
            </w:pP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0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行业代码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730" w:hRule="atLeas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104</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eastAsia" w:ascii="宋体" w:hAnsi="宋体" w:cs="宋体"/>
                <w:color w:val="auto"/>
                <w:sz w:val="18"/>
                <w:szCs w:val="18"/>
              </w:rPr>
            </w:pPr>
            <w:r>
              <w:rPr>
                <w:rFonts w:hint="eastAsia" w:ascii="宋体" w:hAnsi="宋体" w:cs="宋体"/>
                <w:color w:val="auto"/>
                <w:sz w:val="18"/>
                <w:szCs w:val="18"/>
              </w:rPr>
              <w:t>报表类别   □</w:t>
            </w:r>
          </w:p>
          <w:p>
            <w:pPr>
              <w:keepNext w:val="0"/>
              <w:keepLines w:val="0"/>
              <w:suppressLineNumbers w:val="0"/>
              <w:snapToGrid w:val="0"/>
              <w:spacing w:before="0" w:beforeAutospacing="0" w:after="0" w:afterAutospacing="0" w:line="22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 xml:space="preserve">A 农业     　　　B 规模以上工业       B1规模以下工业         C 建筑业   </w:t>
            </w:r>
            <w:r>
              <w:rPr>
                <w:rFonts w:hint="eastAsia" w:ascii="宋体" w:hAnsi="宋体" w:cs="宋体"/>
                <w:color w:val="auto"/>
                <w:w w:val="120"/>
                <w:sz w:val="18"/>
                <w:szCs w:val="18"/>
              </w:rPr>
              <w:t xml:space="preserve"> </w:t>
            </w:r>
            <w:r>
              <w:rPr>
                <w:rFonts w:hint="eastAsia" w:ascii="宋体" w:hAnsi="宋体" w:cs="宋体"/>
                <w:color w:val="auto"/>
                <w:sz w:val="18"/>
                <w:szCs w:val="18"/>
              </w:rPr>
              <w:t xml:space="preserve">    E 批发和零售业 </w:t>
            </w:r>
          </w:p>
          <w:p>
            <w:pPr>
              <w:keepNext w:val="0"/>
              <w:keepLines w:val="0"/>
              <w:suppressLineNumbers w:val="0"/>
              <w:tabs>
                <w:tab w:val="left" w:pos="5237"/>
              </w:tabs>
              <w:spacing w:before="0" w:beforeAutospacing="0" w:after="0" w:afterAutospacing="0" w:line="22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 xml:space="preserve">S 住宿和餐饮业 </w:t>
            </w:r>
            <w:r>
              <w:rPr>
                <w:rFonts w:hint="eastAsia" w:ascii="宋体" w:hAnsi="宋体" w:cs="宋体"/>
                <w:color w:val="auto"/>
                <w:w w:val="110"/>
                <w:sz w:val="18"/>
                <w:szCs w:val="18"/>
              </w:rPr>
              <w:t xml:space="preserve">  </w:t>
            </w:r>
            <w:r>
              <w:rPr>
                <w:rFonts w:hint="eastAsia" w:ascii="宋体" w:hAnsi="宋体" w:cs="宋体"/>
                <w:color w:val="auto"/>
                <w:sz w:val="18"/>
                <w:szCs w:val="18"/>
              </w:rPr>
              <w:t>X 房地产开发经营业   F 规模以上服务业　　</w:t>
            </w:r>
            <w:r>
              <w:rPr>
                <w:rFonts w:hint="eastAsia" w:ascii="宋体" w:hAnsi="宋体" w:cs="宋体"/>
                <w:color w:val="auto"/>
                <w:w w:val="80"/>
                <w:sz w:val="18"/>
                <w:szCs w:val="18"/>
              </w:rPr>
              <w:t>　</w:t>
            </w:r>
            <w:r>
              <w:rPr>
                <w:rFonts w:hint="eastAsia" w:ascii="宋体" w:hAnsi="宋体" w:cs="宋体"/>
                <w:color w:val="auto"/>
                <w:sz w:val="18"/>
                <w:szCs w:val="18"/>
              </w:rPr>
              <w:t xml:space="preserve">　H 投资    　　　U 其他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191</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40" w:lineRule="exact"/>
              <w:ind w:left="0" w:right="57" w:rightChars="27"/>
              <w:rPr>
                <w:rFonts w:hint="eastAsia" w:ascii="宋体" w:hAnsi="宋体" w:cs="宋体"/>
                <w:color w:val="auto"/>
                <w:sz w:val="18"/>
                <w:szCs w:val="18"/>
              </w:rPr>
            </w:pPr>
            <w:r>
              <w:rPr>
                <w:rFonts w:hint="eastAsia" w:ascii="宋体" w:hAnsi="宋体" w:cs="宋体"/>
                <w:color w:val="auto"/>
                <w:sz w:val="18"/>
                <w:szCs w:val="18"/>
              </w:rPr>
              <w:t>单位规模   □        1 大型          2 中型          3 小型           4 微型</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192</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eastAsia" w:ascii="宋体" w:hAnsi="宋体" w:cs="宋体"/>
                <w:color w:val="auto"/>
                <w:sz w:val="18"/>
                <w:szCs w:val="18"/>
              </w:rPr>
            </w:pPr>
            <w:r>
              <w:rPr>
                <w:rFonts w:hint="eastAsia" w:ascii="宋体" w:hAnsi="宋体" w:cs="宋体"/>
                <w:color w:val="auto"/>
                <w:sz w:val="18"/>
                <w:szCs w:val="18"/>
              </w:rPr>
              <w:t>从业人员    从业人员期末人数</w:t>
            </w:r>
            <w:r>
              <w:rPr>
                <w:rFonts w:hint="eastAsia" w:ascii="宋体" w:hAnsi="宋体" w:cs="宋体"/>
                <w:color w:val="auto"/>
                <w:sz w:val="18"/>
                <w:szCs w:val="18"/>
                <w:u w:val="single"/>
              </w:rPr>
              <w:t xml:space="preserve">               </w:t>
            </w:r>
            <w:r>
              <w:rPr>
                <w:rFonts w:hint="eastAsia" w:ascii="宋体" w:hAnsi="宋体" w:cs="宋体"/>
                <w:color w:val="auto"/>
                <w:sz w:val="18"/>
                <w:szCs w:val="18"/>
              </w:rPr>
              <w:t>人         其中：女性</w:t>
            </w:r>
            <w:r>
              <w:rPr>
                <w:rFonts w:hint="eastAsia" w:ascii="宋体" w:hAnsi="宋体" w:cs="宋体"/>
                <w:color w:val="auto"/>
                <w:sz w:val="18"/>
                <w:szCs w:val="18"/>
                <w:u w:val="single"/>
              </w:rPr>
              <w:t xml:space="preserve">              </w:t>
            </w:r>
            <w:r>
              <w:rPr>
                <w:rFonts w:hint="eastAsia" w:ascii="宋体" w:hAnsi="宋体" w:cs="宋体"/>
                <w:color w:val="auto"/>
                <w:sz w:val="18"/>
                <w:szCs w:val="18"/>
              </w:rPr>
              <w:t>人</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810"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193</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企业主要经济指标</w:t>
            </w:r>
          </w:p>
          <w:p>
            <w:pPr>
              <w:keepNext w:val="0"/>
              <w:keepLines w:val="0"/>
              <w:suppressLineNumbers w:val="0"/>
              <w:spacing w:before="0" w:beforeAutospacing="0" w:after="0" w:afterAutospacing="0" w:line="240" w:lineRule="exact"/>
              <w:ind w:left="178" w:leftChars="85" w:right="0"/>
              <w:rPr>
                <w:rFonts w:hint="eastAsia" w:ascii="宋体" w:hAnsi="宋体" w:cs="宋体"/>
                <w:color w:val="auto"/>
                <w:sz w:val="18"/>
                <w:szCs w:val="18"/>
              </w:rPr>
            </w:pPr>
            <w:r>
              <w:rPr>
                <w:rFonts w:hint="eastAsia" w:ascii="宋体" w:hAnsi="宋体" w:cs="宋体"/>
                <w:color w:val="auto"/>
                <w:sz w:val="18"/>
                <w:szCs w:val="18"/>
              </w:rPr>
              <w:t>营业收入</w:t>
            </w:r>
            <w:r>
              <w:rPr>
                <w:rFonts w:hint="eastAsia" w:ascii="宋体" w:hAnsi="宋体" w:cs="宋体"/>
                <w:color w:val="auto"/>
                <w:sz w:val="18"/>
                <w:szCs w:val="18"/>
                <w:u w:val="single"/>
              </w:rPr>
              <w:t xml:space="preserve">            </w:t>
            </w:r>
            <w:r>
              <w:rPr>
                <w:rFonts w:hint="eastAsia" w:ascii="宋体" w:hAnsi="宋体" w:cs="宋体"/>
                <w:color w:val="auto"/>
                <w:sz w:val="18"/>
                <w:szCs w:val="18"/>
              </w:rPr>
              <w:t>千元     其中：主营业务收入</w:t>
            </w:r>
            <w:r>
              <w:rPr>
                <w:rFonts w:hint="eastAsia" w:ascii="宋体" w:hAnsi="宋体" w:cs="宋体"/>
                <w:color w:val="auto"/>
                <w:sz w:val="18"/>
                <w:szCs w:val="18"/>
                <w:u w:val="single"/>
              </w:rPr>
              <w:t xml:space="preserve">            </w:t>
            </w:r>
            <w:r>
              <w:rPr>
                <w:rFonts w:hint="eastAsia" w:ascii="宋体" w:hAnsi="宋体" w:cs="宋体"/>
                <w:color w:val="auto"/>
                <w:sz w:val="18"/>
                <w:szCs w:val="18"/>
              </w:rPr>
              <w:t>千元    资产总计</w:t>
            </w:r>
            <w:r>
              <w:rPr>
                <w:rFonts w:hint="eastAsia" w:ascii="宋体" w:hAnsi="宋体" w:cs="宋体"/>
                <w:color w:val="auto"/>
                <w:sz w:val="18"/>
                <w:szCs w:val="18"/>
                <w:u w:val="single"/>
              </w:rPr>
              <w:t xml:space="preserve">            </w:t>
            </w:r>
            <w:r>
              <w:rPr>
                <w:rFonts w:hint="eastAsia" w:ascii="宋体" w:hAnsi="宋体" w:cs="宋体"/>
                <w:color w:val="auto"/>
                <w:sz w:val="18"/>
                <w:szCs w:val="18"/>
              </w:rPr>
              <w:t>千元       营业总额</w:t>
            </w:r>
            <w:r>
              <w:rPr>
                <w:rFonts w:hint="eastAsia" w:ascii="宋体" w:hAnsi="宋体" w:cs="宋体"/>
                <w:color w:val="auto"/>
                <w:sz w:val="18"/>
                <w:szCs w:val="18"/>
                <w:u w:val="single"/>
              </w:rPr>
              <w:t xml:space="preserve">             </w:t>
            </w:r>
            <w:r>
              <w:rPr>
                <w:rFonts w:hint="eastAsia" w:ascii="宋体" w:hAnsi="宋体" w:cs="宋体"/>
                <w:color w:val="auto"/>
                <w:sz w:val="18"/>
                <w:szCs w:val="18"/>
              </w:rPr>
              <w:t>千元</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50" w:hRule="atLeast"/>
          <w:jc w:val="center"/>
        </w:trPr>
        <w:tc>
          <w:tcPr>
            <w:tcW w:w="492" w:type="dxa"/>
            <w:tcBorders>
              <w:top w:val="single" w:color="auto" w:sz="2" w:space="0"/>
              <w:left w:val="nil"/>
              <w:bottom w:val="single" w:color="auto" w:sz="8" w:space="0"/>
              <w:right w:val="single" w:color="auto" w:sz="2" w:space="0"/>
            </w:tcBorders>
            <w:noWrap w:val="0"/>
            <w:vAlign w:val="center"/>
          </w:tcPr>
          <w:p>
            <w:pPr>
              <w:keepNext w:val="0"/>
              <w:keepLines w:val="0"/>
              <w:suppressLineNumbers w:val="0"/>
              <w:spacing w:before="0" w:beforeAutospacing="0" w:after="0" w:afterAutospacing="0" w:line="22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211</w:t>
            </w:r>
          </w:p>
        </w:tc>
        <w:tc>
          <w:tcPr>
            <w:tcW w:w="9034" w:type="dxa"/>
            <w:gridSpan w:val="6"/>
            <w:tcBorders>
              <w:top w:val="single" w:color="auto" w:sz="2" w:space="0"/>
              <w:left w:val="single" w:color="auto" w:sz="2" w:space="0"/>
              <w:bottom w:val="single" w:color="auto" w:sz="8" w:space="0"/>
              <w:right w:val="nil"/>
            </w:tcBorders>
            <w:noWrap w:val="0"/>
            <w:vAlign w:val="center"/>
          </w:tcPr>
          <w:p>
            <w:pPr>
              <w:keepNext w:val="0"/>
              <w:keepLines w:val="0"/>
              <w:suppressLineNumbers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机构类型   □□</w:t>
            </w:r>
          </w:p>
          <w:p>
            <w:pPr>
              <w:keepNext w:val="0"/>
              <w:keepLines w:val="0"/>
              <w:suppressLineNumbers w:val="0"/>
              <w:spacing w:before="0" w:beforeAutospacing="0" w:after="0" w:afterAutospacing="0" w:line="24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10 企业          20 事业单位        30 机关          40 社会团体            51 民办非企业单位</w:t>
            </w:r>
          </w:p>
          <w:p>
            <w:pPr>
              <w:keepNext w:val="0"/>
              <w:keepLines w:val="0"/>
              <w:suppressLineNumbers w:val="0"/>
              <w:spacing w:before="0" w:beforeAutospacing="0" w:after="0" w:afterAutospacing="0" w:line="24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52 基金会        53 居委会          54 村委会        55 农民专业合作社      56 农村集体经济组织</w:t>
            </w:r>
          </w:p>
          <w:p>
            <w:pPr>
              <w:keepNext w:val="0"/>
              <w:keepLines w:val="0"/>
              <w:widowControl/>
              <w:suppressLineNumbers w:val="0"/>
              <w:spacing w:before="0" w:beforeAutospacing="0" w:after="0" w:afterAutospacing="0" w:line="24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90 其他组织机构</w:t>
            </w:r>
          </w:p>
        </w:tc>
      </w:tr>
    </w:tbl>
    <w:p>
      <w:pPr>
        <w:spacing w:line="240" w:lineRule="exact"/>
        <w:ind w:left="-210" w:leftChars="-100"/>
        <w:rPr>
          <w:rFonts w:hint="eastAsia" w:ascii="宋体" w:hAnsi="宋体" w:cs="宋体"/>
          <w:bCs/>
          <w:color w:val="auto"/>
          <w:kern w:val="0"/>
          <w:sz w:val="18"/>
          <w:szCs w:val="18"/>
        </w:rPr>
      </w:pPr>
      <w:r>
        <w:rPr>
          <w:rFonts w:hint="eastAsia" w:ascii="宋体" w:hAnsi="宋体" w:cs="宋体"/>
          <w:bCs/>
          <w:color w:val="auto"/>
          <w:kern w:val="0"/>
          <w:sz w:val="18"/>
          <w:szCs w:val="18"/>
        </w:rPr>
        <w:br w:type="page"/>
      </w:r>
      <w:r>
        <w:rPr>
          <w:rFonts w:hint="eastAsia" w:ascii="宋体" w:hAnsi="宋体" w:cs="宋体"/>
          <w:bCs/>
          <w:color w:val="auto"/>
          <w:kern w:val="0"/>
          <w:sz w:val="18"/>
          <w:szCs w:val="18"/>
        </w:rPr>
        <w:t xml:space="preserve"> </w:t>
      </w:r>
      <w:r>
        <w:rPr>
          <w:rFonts w:ascii="宋体" w:hAnsi="宋体" w:cs="宋体"/>
          <w:bCs/>
          <w:color w:val="auto"/>
          <w:kern w:val="0"/>
          <w:sz w:val="18"/>
          <w:szCs w:val="18"/>
        </w:rPr>
        <w:t xml:space="preserve"> </w:t>
      </w:r>
      <w:r>
        <w:rPr>
          <w:rFonts w:hint="eastAsia" w:ascii="宋体" w:hAnsi="宋体" w:cs="宋体"/>
          <w:bCs/>
          <w:color w:val="auto"/>
          <w:kern w:val="0"/>
          <w:sz w:val="18"/>
          <w:szCs w:val="18"/>
        </w:rPr>
        <w:t>续表</w:t>
      </w:r>
    </w:p>
    <w:tbl>
      <w:tblPr>
        <w:tblStyle w:val="21"/>
        <w:tblW w:w="9469" w:type="dxa"/>
        <w:jc w:val="center"/>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466"/>
        <w:gridCol w:w="9003"/>
      </w:tblGrid>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2710" w:hRule="atLeast"/>
          <w:jc w:val="center"/>
        </w:trPr>
        <w:tc>
          <w:tcPr>
            <w:tcW w:w="468" w:type="dxa"/>
            <w:tcBorders>
              <w:top w:val="single" w:color="auto" w:sz="8" w:space="0"/>
              <w:left w:val="nil"/>
            </w:tcBorders>
            <w:noWrap w:val="0"/>
            <w:tcMar>
              <w:top w:w="0" w:type="dxa"/>
              <w:left w:w="57" w:type="dxa"/>
              <w:bottom w:w="0" w:type="dxa"/>
              <w:right w:w="57"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205</w:t>
            </w:r>
          </w:p>
        </w:tc>
        <w:tc>
          <w:tcPr>
            <w:tcW w:w="9058" w:type="dxa"/>
            <w:tcBorders>
              <w:top w:val="single" w:color="auto" w:sz="8" w:space="0"/>
              <w:right w:val="nil"/>
            </w:tcBorders>
            <w:noWrap w:val="0"/>
            <w:vAlign w:val="center"/>
          </w:tcPr>
          <w:p>
            <w:pPr>
              <w:keepNext w:val="0"/>
              <w:keepLines w:val="0"/>
              <w:suppressLineNumbers w:val="0"/>
              <w:spacing w:before="0" w:beforeAutospacing="0" w:after="0" w:afterAutospacing="0" w:line="240" w:lineRule="exact"/>
              <w:ind w:left="0" w:right="0"/>
              <w:rPr>
                <w:rFonts w:hint="eastAsia" w:ascii="宋体" w:hAnsi="宋体" w:cs="宋体"/>
                <w:color w:val="auto"/>
              </w:rPr>
            </w:pPr>
            <w:r>
              <w:rPr>
                <w:rFonts w:hint="eastAsia" w:ascii="宋体" w:hAnsi="宋体" w:cs="宋体"/>
                <w:color w:val="auto"/>
                <w:sz w:val="18"/>
                <w:szCs w:val="18"/>
              </w:rPr>
              <w:t xml:space="preserve">登记注册统计类别   □□□  </w:t>
            </w:r>
          </w:p>
          <w:p>
            <w:pPr>
              <w:keepNext w:val="0"/>
              <w:keepLines w:val="0"/>
              <w:suppressLineNumbers w:val="0"/>
              <w:tabs>
                <w:tab w:val="left" w:pos="630"/>
              </w:tabs>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b/>
                <w:bCs/>
                <w:color w:val="auto"/>
                <w:sz w:val="18"/>
                <w:szCs w:val="18"/>
              </w:rPr>
              <w:t>内资企业</w:t>
            </w:r>
          </w:p>
          <w:p>
            <w:pPr>
              <w:keepNext w:val="0"/>
              <w:keepLines w:val="0"/>
              <w:suppressLineNumbers w:val="0"/>
              <w:tabs>
                <w:tab w:val="left" w:pos="630"/>
              </w:tabs>
              <w:spacing w:before="0" w:beforeAutospacing="0" w:after="0" w:afterAutospacing="0" w:line="240" w:lineRule="exact"/>
              <w:ind w:left="0" w:right="0" w:firstLine="180" w:firstLineChars="100"/>
              <w:rPr>
                <w:rFonts w:hint="eastAsia" w:ascii="宋体" w:hAnsi="宋体" w:cs="宋体"/>
                <w:color w:val="auto"/>
                <w:sz w:val="18"/>
                <w:szCs w:val="18"/>
                <w:lang w:val="en"/>
              </w:rPr>
            </w:pPr>
            <w:r>
              <w:rPr>
                <w:rFonts w:hint="eastAsia" w:ascii="宋体" w:hAnsi="宋体" w:cs="宋体"/>
                <w:color w:val="auto"/>
                <w:sz w:val="18"/>
                <w:szCs w:val="18"/>
                <w:lang w:val="en"/>
              </w:rPr>
              <w:t xml:space="preserve">111 国有独资公司 </w:t>
            </w:r>
            <w:r>
              <w:rPr>
                <w:rFonts w:hint="eastAsia" w:ascii="宋体" w:hAnsi="宋体" w:cs="宋体"/>
                <w:color w:val="auto"/>
                <w:sz w:val="18"/>
                <w:szCs w:val="18"/>
              </w:rPr>
              <w:t xml:space="preserve">        </w:t>
            </w:r>
            <w:r>
              <w:rPr>
                <w:rFonts w:hint="default" w:ascii="宋体" w:hAnsi="宋体" w:cs="宋体"/>
                <w:color w:val="auto"/>
                <w:sz w:val="18"/>
                <w:szCs w:val="18"/>
              </w:rPr>
              <w:t xml:space="preserve"> </w:t>
            </w:r>
            <w:r>
              <w:rPr>
                <w:rFonts w:hint="eastAsia" w:ascii="宋体" w:hAnsi="宋体" w:cs="宋体"/>
                <w:color w:val="auto"/>
                <w:sz w:val="18"/>
                <w:szCs w:val="18"/>
              </w:rPr>
              <w:t xml:space="preserve">  </w:t>
            </w:r>
            <w:r>
              <w:rPr>
                <w:rFonts w:hint="eastAsia" w:ascii="宋体" w:hAnsi="宋体" w:cs="宋体"/>
                <w:color w:val="auto"/>
                <w:sz w:val="18"/>
                <w:szCs w:val="18"/>
                <w:lang w:val="en"/>
              </w:rPr>
              <w:t xml:space="preserve">112 私营有限责任公司 </w:t>
            </w:r>
            <w:r>
              <w:rPr>
                <w:rFonts w:hint="eastAsia" w:ascii="宋体" w:hAnsi="宋体" w:cs="宋体"/>
                <w:color w:val="auto"/>
                <w:sz w:val="18"/>
                <w:szCs w:val="18"/>
              </w:rPr>
              <w:t xml:space="preserve">    </w:t>
            </w:r>
            <w:r>
              <w:rPr>
                <w:rFonts w:hint="default" w:ascii="宋体" w:hAnsi="宋体" w:cs="宋体"/>
                <w:color w:val="auto"/>
                <w:sz w:val="18"/>
                <w:szCs w:val="18"/>
              </w:rPr>
              <w:t xml:space="preserve"> </w:t>
            </w:r>
            <w:r>
              <w:rPr>
                <w:rFonts w:hint="eastAsia" w:ascii="宋体" w:hAnsi="宋体" w:cs="宋体"/>
                <w:color w:val="auto"/>
                <w:sz w:val="18"/>
                <w:szCs w:val="18"/>
              </w:rPr>
              <w:t xml:space="preserve">  </w:t>
            </w:r>
            <w:r>
              <w:rPr>
                <w:rFonts w:hint="eastAsia" w:ascii="宋体" w:hAnsi="宋体" w:cs="宋体"/>
                <w:color w:val="auto"/>
                <w:sz w:val="18"/>
                <w:szCs w:val="18"/>
                <w:lang w:val="en"/>
              </w:rPr>
              <w:t>119 其他有限责任公司</w:t>
            </w:r>
          </w:p>
          <w:p>
            <w:pPr>
              <w:keepNext w:val="0"/>
              <w:keepLines w:val="0"/>
              <w:suppressLineNumbers w:val="0"/>
              <w:tabs>
                <w:tab w:val="left" w:pos="630"/>
              </w:tabs>
              <w:spacing w:before="0" w:beforeAutospacing="0" w:after="0" w:afterAutospacing="0" w:line="24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 xml:space="preserve">121 私营股份有限公司      </w:t>
            </w:r>
            <w:r>
              <w:rPr>
                <w:rFonts w:hint="default" w:ascii="宋体" w:hAnsi="宋体" w:cs="宋体"/>
                <w:color w:val="auto"/>
                <w:sz w:val="18"/>
                <w:szCs w:val="18"/>
              </w:rPr>
              <w:t xml:space="preserve"> </w:t>
            </w:r>
            <w:r>
              <w:rPr>
                <w:rFonts w:hint="eastAsia" w:ascii="宋体" w:hAnsi="宋体" w:cs="宋体"/>
                <w:color w:val="auto"/>
                <w:sz w:val="18"/>
                <w:szCs w:val="18"/>
              </w:rPr>
              <w:t xml:space="preserve"> 129 其他股份有限公司</w:t>
            </w:r>
          </w:p>
          <w:p>
            <w:pPr>
              <w:keepNext w:val="0"/>
              <w:keepLines w:val="0"/>
              <w:suppressLineNumbers w:val="0"/>
              <w:tabs>
                <w:tab w:val="left" w:pos="630"/>
              </w:tabs>
              <w:spacing w:before="0" w:beforeAutospacing="0" w:after="0" w:afterAutospacing="0" w:line="24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 xml:space="preserve">131 </w:t>
            </w:r>
            <w:r>
              <w:rPr>
                <w:rFonts w:hint="eastAsia" w:ascii="宋体" w:hAnsi="宋体" w:cs="宋体"/>
                <w:color w:val="auto"/>
                <w:spacing w:val="-6"/>
                <w:sz w:val="18"/>
                <w:szCs w:val="18"/>
              </w:rPr>
              <w:t>全民所有制企业(国有企业)</w:t>
            </w:r>
            <w:r>
              <w:rPr>
                <w:rFonts w:hint="eastAsia" w:ascii="宋体" w:hAnsi="宋体" w:cs="宋体"/>
                <w:color w:val="auto"/>
                <w:w w:val="75"/>
                <w:sz w:val="18"/>
                <w:szCs w:val="18"/>
              </w:rPr>
              <w:t xml:space="preserve">  </w:t>
            </w:r>
            <w:r>
              <w:rPr>
                <w:rFonts w:hint="eastAsia" w:ascii="宋体" w:hAnsi="宋体" w:cs="宋体"/>
                <w:color w:val="auto"/>
                <w:sz w:val="18"/>
                <w:szCs w:val="18"/>
              </w:rPr>
              <w:t xml:space="preserve">132 </w:t>
            </w:r>
            <w:r>
              <w:rPr>
                <w:rFonts w:hint="eastAsia" w:ascii="宋体" w:hAnsi="宋体" w:cs="宋体"/>
                <w:color w:val="auto"/>
                <w:spacing w:val="-6"/>
                <w:sz w:val="18"/>
                <w:szCs w:val="18"/>
              </w:rPr>
              <w:t>集体所有制企业(集体企业)</w:t>
            </w:r>
            <w:r>
              <w:rPr>
                <w:rFonts w:hint="eastAsia" w:ascii="宋体" w:hAnsi="宋体" w:cs="宋体"/>
                <w:color w:val="auto"/>
                <w:spacing w:val="-6"/>
                <w:w w:val="80"/>
                <w:sz w:val="18"/>
                <w:szCs w:val="18"/>
              </w:rPr>
              <w:t xml:space="preserve"> </w:t>
            </w:r>
            <w:r>
              <w:rPr>
                <w:rFonts w:hint="eastAsia" w:ascii="宋体" w:hAnsi="宋体" w:cs="宋体"/>
                <w:color w:val="auto"/>
                <w:w w:val="80"/>
                <w:sz w:val="18"/>
                <w:szCs w:val="18"/>
              </w:rPr>
              <w:t xml:space="preserve"> </w:t>
            </w:r>
            <w:r>
              <w:rPr>
                <w:rFonts w:hint="eastAsia" w:ascii="宋体" w:hAnsi="宋体" w:cs="宋体"/>
                <w:color w:val="auto"/>
                <w:sz w:val="18"/>
                <w:szCs w:val="18"/>
              </w:rPr>
              <w:t xml:space="preserve">133 股份合作企业     </w:t>
            </w:r>
            <w:r>
              <w:rPr>
                <w:rFonts w:hint="eastAsia" w:ascii="宋体" w:hAnsi="宋体" w:cs="宋体"/>
                <w:color w:val="auto"/>
                <w:w w:val="110"/>
                <w:sz w:val="18"/>
                <w:szCs w:val="18"/>
              </w:rPr>
              <w:t xml:space="preserve"> </w:t>
            </w:r>
            <w:r>
              <w:rPr>
                <w:rFonts w:hint="eastAsia" w:ascii="宋体" w:hAnsi="宋体" w:cs="宋体"/>
                <w:color w:val="auto"/>
                <w:sz w:val="18"/>
                <w:szCs w:val="18"/>
              </w:rPr>
              <w:t xml:space="preserve"> 134 联营企业</w:t>
            </w:r>
          </w:p>
          <w:p>
            <w:pPr>
              <w:keepNext w:val="0"/>
              <w:keepLines w:val="0"/>
              <w:suppressLineNumbers w:val="0"/>
              <w:tabs>
                <w:tab w:val="left" w:pos="630"/>
              </w:tabs>
              <w:spacing w:before="0" w:beforeAutospacing="0" w:after="0" w:afterAutospacing="0" w:line="240" w:lineRule="exact"/>
              <w:ind w:left="0" w:right="0" w:firstLine="180" w:firstLineChars="100"/>
              <w:rPr>
                <w:rFonts w:hint="eastAsia" w:ascii="宋体" w:hAnsi="宋体" w:cs="宋体"/>
                <w:color w:val="auto"/>
                <w:sz w:val="18"/>
                <w:szCs w:val="18"/>
                <w:lang w:val="en"/>
              </w:rPr>
            </w:pPr>
            <w:r>
              <w:rPr>
                <w:rFonts w:hint="eastAsia" w:ascii="宋体" w:hAnsi="宋体" w:cs="宋体"/>
                <w:color w:val="auto"/>
                <w:sz w:val="18"/>
                <w:szCs w:val="18"/>
              </w:rPr>
              <w:t>140</w:t>
            </w:r>
            <w:r>
              <w:rPr>
                <w:rFonts w:hint="eastAsia" w:ascii="宋体" w:hAnsi="宋体" w:cs="宋体"/>
                <w:color w:val="auto"/>
                <w:sz w:val="18"/>
                <w:szCs w:val="18"/>
                <w:lang w:val="en"/>
              </w:rPr>
              <w:t xml:space="preserve"> </w:t>
            </w:r>
            <w:r>
              <w:rPr>
                <w:rFonts w:hint="eastAsia" w:ascii="宋体" w:hAnsi="宋体" w:cs="宋体"/>
                <w:color w:val="auto"/>
                <w:sz w:val="18"/>
                <w:szCs w:val="18"/>
              </w:rPr>
              <w:t xml:space="preserve">个人独资企业         </w:t>
            </w:r>
            <w:r>
              <w:rPr>
                <w:rFonts w:hint="default" w:ascii="宋体" w:hAnsi="宋体" w:cs="宋体"/>
                <w:color w:val="auto"/>
                <w:sz w:val="18"/>
                <w:szCs w:val="18"/>
              </w:rPr>
              <w:t xml:space="preserve"> </w:t>
            </w:r>
            <w:r>
              <w:rPr>
                <w:rFonts w:hint="eastAsia" w:ascii="宋体" w:hAnsi="宋体" w:cs="宋体"/>
                <w:color w:val="auto"/>
                <w:sz w:val="18"/>
                <w:szCs w:val="18"/>
              </w:rPr>
              <w:t xml:space="preserve"> </w:t>
            </w:r>
            <w:r>
              <w:rPr>
                <w:rFonts w:hint="eastAsia" w:ascii="宋体" w:hAnsi="宋体" w:cs="宋体"/>
                <w:color w:val="auto"/>
                <w:sz w:val="18"/>
                <w:szCs w:val="18"/>
                <w:lang w:val="en"/>
              </w:rPr>
              <w:t xml:space="preserve"> </w:t>
            </w:r>
            <w:r>
              <w:rPr>
                <w:rFonts w:hint="eastAsia" w:ascii="宋体" w:hAnsi="宋体" w:cs="宋体"/>
                <w:color w:val="auto"/>
                <w:sz w:val="18"/>
                <w:szCs w:val="18"/>
              </w:rPr>
              <w:t>150</w:t>
            </w:r>
            <w:r>
              <w:rPr>
                <w:rFonts w:hint="eastAsia" w:ascii="宋体" w:hAnsi="宋体" w:cs="宋体"/>
                <w:color w:val="auto"/>
                <w:sz w:val="18"/>
                <w:szCs w:val="18"/>
                <w:lang w:val="en"/>
              </w:rPr>
              <w:t xml:space="preserve"> </w:t>
            </w:r>
            <w:r>
              <w:rPr>
                <w:rFonts w:hint="eastAsia" w:ascii="宋体" w:hAnsi="宋体" w:cs="宋体"/>
                <w:color w:val="auto"/>
                <w:sz w:val="18"/>
                <w:szCs w:val="18"/>
              </w:rPr>
              <w:t>合伙企业</w:t>
            </w:r>
            <w:r>
              <w:rPr>
                <w:rFonts w:hint="eastAsia" w:ascii="宋体" w:hAnsi="宋体" w:cs="宋体"/>
                <w:color w:val="auto"/>
                <w:sz w:val="18"/>
                <w:szCs w:val="18"/>
                <w:lang w:val="en"/>
              </w:rPr>
              <w:t xml:space="preserve"> </w:t>
            </w:r>
            <w:r>
              <w:rPr>
                <w:rFonts w:hint="eastAsia" w:ascii="宋体" w:hAnsi="宋体" w:cs="宋体"/>
                <w:color w:val="auto"/>
                <w:sz w:val="18"/>
                <w:szCs w:val="18"/>
              </w:rPr>
              <w:t xml:space="preserve">           </w:t>
            </w:r>
            <w:r>
              <w:rPr>
                <w:rFonts w:hint="default" w:ascii="宋体" w:hAnsi="宋体" w:cs="宋体"/>
                <w:color w:val="auto"/>
                <w:sz w:val="18"/>
                <w:szCs w:val="18"/>
              </w:rPr>
              <w:t xml:space="preserve"> </w:t>
            </w:r>
            <w:r>
              <w:rPr>
                <w:rFonts w:hint="eastAsia" w:ascii="宋体" w:hAnsi="宋体" w:cs="宋体"/>
                <w:color w:val="auto"/>
                <w:sz w:val="18"/>
                <w:szCs w:val="18"/>
              </w:rPr>
              <w:t xml:space="preserve">   190</w:t>
            </w:r>
            <w:r>
              <w:rPr>
                <w:rFonts w:hint="eastAsia" w:ascii="宋体" w:hAnsi="宋体" w:cs="宋体"/>
                <w:color w:val="auto"/>
                <w:sz w:val="18"/>
                <w:szCs w:val="18"/>
                <w:lang w:val="en"/>
              </w:rPr>
              <w:t xml:space="preserve"> </w:t>
            </w:r>
            <w:r>
              <w:rPr>
                <w:rFonts w:hint="eastAsia" w:ascii="宋体" w:hAnsi="宋体" w:cs="宋体"/>
                <w:color w:val="auto"/>
                <w:sz w:val="18"/>
                <w:szCs w:val="18"/>
              </w:rPr>
              <w:t>其他内资企业</w:t>
            </w:r>
          </w:p>
          <w:p>
            <w:pPr>
              <w:keepNext w:val="0"/>
              <w:keepLines w:val="0"/>
              <w:suppressLineNumbers w:val="0"/>
              <w:tabs>
                <w:tab w:val="left" w:pos="630"/>
              </w:tabs>
              <w:spacing w:before="0" w:beforeAutospacing="0" w:after="0" w:afterAutospacing="0" w:line="240" w:lineRule="exact"/>
              <w:ind w:left="0" w:right="0"/>
              <w:rPr>
                <w:rFonts w:hint="eastAsia" w:ascii="宋体" w:hAnsi="宋体" w:cs="宋体"/>
                <w:color w:val="auto"/>
                <w:sz w:val="18"/>
                <w:szCs w:val="18"/>
                <w:lang w:val="en"/>
              </w:rPr>
            </w:pPr>
            <w:r>
              <w:rPr>
                <w:rFonts w:hint="eastAsia" w:ascii="宋体" w:hAnsi="宋体" w:cs="宋体"/>
                <w:b/>
                <w:bCs/>
                <w:color w:val="auto"/>
                <w:sz w:val="18"/>
                <w:szCs w:val="18"/>
              </w:rPr>
              <w:t>港澳台投资企业</w:t>
            </w:r>
          </w:p>
          <w:p>
            <w:pPr>
              <w:keepNext w:val="0"/>
              <w:keepLines w:val="0"/>
              <w:suppressLineNumbers w:val="0"/>
              <w:tabs>
                <w:tab w:val="left" w:pos="630"/>
              </w:tabs>
              <w:spacing w:before="0" w:beforeAutospacing="0" w:after="0" w:afterAutospacing="0" w:line="240" w:lineRule="exact"/>
              <w:ind w:left="0" w:right="0" w:firstLine="180" w:firstLineChars="100"/>
              <w:rPr>
                <w:rFonts w:hint="eastAsia" w:ascii="宋体" w:hAnsi="宋体" w:cs="宋体"/>
                <w:color w:val="auto"/>
                <w:spacing w:val="-4"/>
                <w:sz w:val="18"/>
                <w:szCs w:val="18"/>
              </w:rPr>
            </w:pPr>
            <w:r>
              <w:rPr>
                <w:rFonts w:hint="eastAsia" w:ascii="宋体" w:hAnsi="宋体" w:cs="宋体"/>
                <w:color w:val="auto"/>
                <w:sz w:val="18"/>
                <w:szCs w:val="18"/>
              </w:rPr>
              <w:t>210</w:t>
            </w:r>
            <w:r>
              <w:rPr>
                <w:rFonts w:hint="eastAsia" w:ascii="宋体" w:hAnsi="宋体" w:cs="宋体"/>
                <w:color w:val="auto"/>
                <w:sz w:val="18"/>
                <w:szCs w:val="18"/>
                <w:lang w:val="en"/>
              </w:rPr>
              <w:t xml:space="preserve"> </w:t>
            </w:r>
            <w:r>
              <w:rPr>
                <w:rFonts w:hint="eastAsia" w:ascii="宋体" w:hAnsi="宋体" w:cs="宋体"/>
                <w:color w:val="auto"/>
                <w:sz w:val="18"/>
                <w:szCs w:val="18"/>
              </w:rPr>
              <w:t>港</w:t>
            </w:r>
            <w:r>
              <w:rPr>
                <w:rFonts w:hint="eastAsia" w:ascii="宋体" w:hAnsi="宋体" w:cs="宋体"/>
                <w:color w:val="auto"/>
                <w:spacing w:val="-4"/>
                <w:sz w:val="18"/>
                <w:szCs w:val="18"/>
              </w:rPr>
              <w:t>澳台投资有限责任公司</w:t>
            </w:r>
            <w:r>
              <w:rPr>
                <w:rFonts w:hint="eastAsia" w:ascii="宋体" w:hAnsi="宋体" w:cs="宋体"/>
                <w:color w:val="auto"/>
                <w:spacing w:val="-4"/>
                <w:w w:val="110"/>
                <w:sz w:val="18"/>
                <w:szCs w:val="18"/>
              </w:rPr>
              <w:t xml:space="preserve"> </w:t>
            </w:r>
            <w:r>
              <w:rPr>
                <w:rFonts w:hint="eastAsia" w:ascii="宋体" w:hAnsi="宋体" w:cs="宋体"/>
                <w:color w:val="auto"/>
                <w:spacing w:val="-4"/>
                <w:sz w:val="18"/>
                <w:szCs w:val="18"/>
              </w:rPr>
              <w:t>220</w:t>
            </w:r>
            <w:r>
              <w:rPr>
                <w:rFonts w:hint="eastAsia" w:ascii="宋体" w:hAnsi="宋体" w:cs="宋体"/>
                <w:color w:val="auto"/>
                <w:spacing w:val="-4"/>
                <w:sz w:val="18"/>
                <w:szCs w:val="18"/>
                <w:lang w:val="en"/>
              </w:rPr>
              <w:t xml:space="preserve"> </w:t>
            </w:r>
            <w:r>
              <w:rPr>
                <w:rFonts w:hint="eastAsia" w:ascii="宋体" w:hAnsi="宋体" w:cs="宋体"/>
                <w:color w:val="auto"/>
                <w:spacing w:val="-4"/>
                <w:sz w:val="18"/>
                <w:szCs w:val="18"/>
              </w:rPr>
              <w:t>港澳台投资股份有限公司 230</w:t>
            </w:r>
            <w:r>
              <w:rPr>
                <w:rFonts w:hint="eastAsia" w:ascii="宋体" w:hAnsi="宋体" w:cs="宋体"/>
                <w:color w:val="auto"/>
                <w:spacing w:val="-4"/>
                <w:sz w:val="18"/>
                <w:szCs w:val="18"/>
                <w:lang w:val="en"/>
              </w:rPr>
              <w:t xml:space="preserve"> </w:t>
            </w:r>
            <w:r>
              <w:rPr>
                <w:rFonts w:hint="eastAsia" w:ascii="宋体" w:hAnsi="宋体" w:cs="宋体"/>
                <w:color w:val="auto"/>
                <w:spacing w:val="-4"/>
                <w:sz w:val="18"/>
                <w:szCs w:val="18"/>
              </w:rPr>
              <w:t>港澳台投资合伙企业 290</w:t>
            </w:r>
            <w:r>
              <w:rPr>
                <w:rFonts w:hint="eastAsia" w:ascii="宋体" w:hAnsi="宋体" w:cs="宋体"/>
                <w:color w:val="auto"/>
                <w:spacing w:val="-4"/>
                <w:sz w:val="18"/>
                <w:szCs w:val="18"/>
                <w:lang w:val="en"/>
              </w:rPr>
              <w:t xml:space="preserve"> </w:t>
            </w:r>
            <w:r>
              <w:rPr>
                <w:rFonts w:hint="eastAsia" w:ascii="宋体" w:hAnsi="宋体" w:cs="宋体"/>
                <w:color w:val="auto"/>
                <w:spacing w:val="-4"/>
                <w:sz w:val="18"/>
                <w:szCs w:val="18"/>
              </w:rPr>
              <w:t>其他港澳台投资企业</w:t>
            </w:r>
          </w:p>
          <w:p>
            <w:pPr>
              <w:keepNext w:val="0"/>
              <w:keepLines w:val="0"/>
              <w:suppressLineNumbers w:val="0"/>
              <w:tabs>
                <w:tab w:val="left" w:pos="630"/>
              </w:tabs>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b/>
                <w:bCs/>
                <w:color w:val="auto"/>
                <w:sz w:val="18"/>
                <w:szCs w:val="18"/>
              </w:rPr>
              <w:t>外商投资企业</w:t>
            </w:r>
          </w:p>
          <w:p>
            <w:pPr>
              <w:keepNext w:val="0"/>
              <w:keepLines w:val="0"/>
              <w:suppressLineNumbers w:val="0"/>
              <w:tabs>
                <w:tab w:val="left" w:pos="630"/>
              </w:tabs>
              <w:spacing w:before="0" w:beforeAutospacing="0" w:after="0" w:afterAutospacing="0" w:line="240" w:lineRule="exact"/>
              <w:ind w:left="0" w:right="0" w:firstLine="172" w:firstLineChars="100"/>
              <w:rPr>
                <w:rFonts w:hint="eastAsia" w:ascii="宋体" w:hAnsi="宋体" w:cs="宋体"/>
                <w:color w:val="auto"/>
                <w:spacing w:val="-4"/>
                <w:sz w:val="18"/>
                <w:szCs w:val="18"/>
              </w:rPr>
            </w:pPr>
            <w:r>
              <w:rPr>
                <w:rFonts w:hint="eastAsia" w:ascii="宋体" w:hAnsi="宋体" w:cs="宋体"/>
                <w:color w:val="auto"/>
                <w:spacing w:val="-4"/>
                <w:sz w:val="18"/>
                <w:szCs w:val="18"/>
              </w:rPr>
              <w:t>310</w:t>
            </w:r>
            <w:r>
              <w:rPr>
                <w:rFonts w:hint="eastAsia" w:ascii="宋体" w:hAnsi="宋体" w:cs="宋体"/>
                <w:color w:val="auto"/>
                <w:spacing w:val="-4"/>
                <w:sz w:val="18"/>
                <w:szCs w:val="18"/>
                <w:lang w:val="en"/>
              </w:rPr>
              <w:t xml:space="preserve"> </w:t>
            </w:r>
            <w:r>
              <w:rPr>
                <w:rFonts w:hint="eastAsia" w:ascii="宋体" w:hAnsi="宋体" w:cs="宋体"/>
                <w:color w:val="auto"/>
                <w:spacing w:val="-4"/>
                <w:sz w:val="18"/>
                <w:szCs w:val="18"/>
              </w:rPr>
              <w:t>外商投资有限责任公司</w:t>
            </w:r>
            <w:r>
              <w:rPr>
                <w:rFonts w:hint="eastAsia" w:ascii="宋体" w:hAnsi="宋体" w:cs="宋体"/>
                <w:color w:val="auto"/>
                <w:spacing w:val="-4"/>
                <w:sz w:val="18"/>
                <w:szCs w:val="18"/>
                <w:lang w:val="en"/>
              </w:rPr>
              <w:t xml:space="preserve"> </w:t>
            </w:r>
            <w:r>
              <w:rPr>
                <w:rFonts w:hint="eastAsia" w:ascii="宋体" w:hAnsi="宋体" w:cs="宋体"/>
                <w:color w:val="auto"/>
                <w:spacing w:val="-4"/>
                <w:sz w:val="18"/>
                <w:szCs w:val="18"/>
              </w:rPr>
              <w:t xml:space="preserve"> 320</w:t>
            </w:r>
            <w:r>
              <w:rPr>
                <w:rFonts w:hint="eastAsia" w:ascii="宋体" w:hAnsi="宋体" w:cs="宋体"/>
                <w:color w:val="auto"/>
                <w:spacing w:val="-4"/>
                <w:sz w:val="18"/>
                <w:szCs w:val="18"/>
                <w:lang w:val="en"/>
              </w:rPr>
              <w:t xml:space="preserve"> </w:t>
            </w:r>
            <w:r>
              <w:rPr>
                <w:rFonts w:hint="eastAsia" w:ascii="宋体" w:hAnsi="宋体" w:cs="宋体"/>
                <w:color w:val="auto"/>
                <w:spacing w:val="-4"/>
                <w:sz w:val="18"/>
                <w:szCs w:val="18"/>
              </w:rPr>
              <w:t>外商投资股份有限公司   330</w:t>
            </w:r>
            <w:r>
              <w:rPr>
                <w:rFonts w:hint="eastAsia" w:ascii="宋体" w:hAnsi="宋体" w:cs="宋体"/>
                <w:color w:val="auto"/>
                <w:spacing w:val="-4"/>
                <w:sz w:val="18"/>
                <w:szCs w:val="18"/>
                <w:lang w:val="en"/>
              </w:rPr>
              <w:t xml:space="preserve"> </w:t>
            </w:r>
            <w:r>
              <w:rPr>
                <w:rFonts w:hint="eastAsia" w:ascii="宋体" w:hAnsi="宋体" w:cs="宋体"/>
                <w:color w:val="auto"/>
                <w:spacing w:val="-4"/>
                <w:sz w:val="18"/>
                <w:szCs w:val="18"/>
              </w:rPr>
              <w:t>外商投资合伙企业</w:t>
            </w:r>
            <w:r>
              <w:rPr>
                <w:rFonts w:hint="eastAsia" w:ascii="宋体" w:hAnsi="宋体" w:cs="宋体"/>
                <w:color w:val="auto"/>
                <w:spacing w:val="-4"/>
                <w:sz w:val="18"/>
                <w:szCs w:val="18"/>
                <w:lang w:val="en"/>
              </w:rPr>
              <w:t xml:space="preserve"> </w:t>
            </w:r>
            <w:r>
              <w:rPr>
                <w:rFonts w:hint="eastAsia" w:ascii="宋体" w:hAnsi="宋体" w:cs="宋体"/>
                <w:color w:val="auto"/>
                <w:spacing w:val="-4"/>
                <w:w w:val="110"/>
                <w:sz w:val="18"/>
                <w:szCs w:val="18"/>
              </w:rPr>
              <w:t xml:space="preserve"> </w:t>
            </w:r>
            <w:r>
              <w:rPr>
                <w:rFonts w:hint="eastAsia" w:ascii="宋体" w:hAnsi="宋体" w:cs="宋体"/>
                <w:color w:val="auto"/>
                <w:spacing w:val="-4"/>
                <w:sz w:val="18"/>
                <w:szCs w:val="18"/>
              </w:rPr>
              <w:t xml:space="preserve"> 390</w:t>
            </w:r>
            <w:r>
              <w:rPr>
                <w:rFonts w:hint="eastAsia" w:ascii="宋体" w:hAnsi="宋体" w:cs="宋体"/>
                <w:color w:val="auto"/>
                <w:spacing w:val="-4"/>
                <w:sz w:val="18"/>
                <w:szCs w:val="18"/>
                <w:lang w:val="en"/>
              </w:rPr>
              <w:t xml:space="preserve"> </w:t>
            </w:r>
            <w:r>
              <w:rPr>
                <w:rFonts w:hint="eastAsia" w:ascii="宋体" w:hAnsi="宋体" w:cs="宋体"/>
                <w:color w:val="auto"/>
                <w:spacing w:val="-4"/>
                <w:sz w:val="18"/>
                <w:szCs w:val="18"/>
              </w:rPr>
              <w:t>其他外商投资企业</w:t>
            </w:r>
          </w:p>
          <w:p>
            <w:pPr>
              <w:keepNext w:val="0"/>
              <w:keepLines w:val="0"/>
              <w:suppressLineNumbers w:val="0"/>
              <w:spacing w:before="0" w:beforeAutospacing="0" w:after="0" w:afterAutospacing="0" w:line="24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400</w:t>
            </w:r>
            <w:r>
              <w:rPr>
                <w:rFonts w:hint="eastAsia" w:ascii="宋体" w:hAnsi="宋体" w:cs="宋体"/>
                <w:color w:val="auto"/>
                <w:sz w:val="18"/>
                <w:szCs w:val="18"/>
                <w:lang w:val="en"/>
              </w:rPr>
              <w:t xml:space="preserve"> </w:t>
            </w:r>
            <w:r>
              <w:rPr>
                <w:rFonts w:hint="eastAsia" w:ascii="宋体" w:hAnsi="宋体" w:cs="宋体"/>
                <w:b/>
                <w:bCs/>
                <w:color w:val="auto"/>
                <w:sz w:val="18"/>
                <w:szCs w:val="18"/>
              </w:rPr>
              <w:t>农民专业合作社（联合社）</w:t>
            </w:r>
            <w:r>
              <w:rPr>
                <w:rFonts w:hint="eastAsia" w:ascii="宋体" w:hAnsi="宋体" w:cs="宋体"/>
                <w:color w:val="auto"/>
                <w:sz w:val="18"/>
                <w:szCs w:val="18"/>
              </w:rPr>
              <w:t xml:space="preserve"> 500</w:t>
            </w:r>
            <w:r>
              <w:rPr>
                <w:rFonts w:hint="eastAsia" w:ascii="宋体" w:hAnsi="宋体" w:cs="宋体"/>
                <w:color w:val="auto"/>
                <w:sz w:val="18"/>
                <w:szCs w:val="18"/>
                <w:lang w:val="en"/>
              </w:rPr>
              <w:t xml:space="preserve"> </w:t>
            </w:r>
            <w:r>
              <w:rPr>
                <w:rFonts w:hint="eastAsia" w:ascii="宋体" w:hAnsi="宋体" w:cs="宋体"/>
                <w:b/>
                <w:bCs/>
                <w:color w:val="auto"/>
                <w:sz w:val="18"/>
                <w:szCs w:val="18"/>
              </w:rPr>
              <w:t xml:space="preserve">个体工商户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468" w:type="dxa"/>
            <w:tcBorders>
              <w:lef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216</w:t>
            </w:r>
          </w:p>
        </w:tc>
        <w:tc>
          <w:tcPr>
            <w:tcW w:w="9058"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firstLine="12" w:firstLineChars="7"/>
              <w:rPr>
                <w:rFonts w:hint="eastAsia" w:ascii="宋体" w:hAnsi="宋体" w:cs="宋体"/>
                <w:color w:val="auto"/>
                <w:sz w:val="18"/>
                <w:szCs w:val="18"/>
              </w:rPr>
            </w:pPr>
            <w:r>
              <w:rPr>
                <w:rFonts w:hint="eastAsia" w:ascii="宋体" w:hAnsi="宋体" w:cs="宋体"/>
                <w:color w:val="auto"/>
                <w:sz w:val="18"/>
                <w:szCs w:val="18"/>
              </w:rPr>
              <w:t>港澳台商投资情况（限港澳台投资企业填报）（可多选）</w:t>
            </w:r>
          </w:p>
          <w:p>
            <w:pPr>
              <w:keepNext w:val="0"/>
              <w:keepLines w:val="0"/>
              <w:suppressLineNumbers w:val="0"/>
              <w:snapToGrid w:val="0"/>
              <w:spacing w:before="0" w:beforeAutospacing="0" w:after="0" w:afterAutospacing="0" w:line="240" w:lineRule="exact"/>
              <w:ind w:left="0" w:right="0" w:firstLine="192" w:firstLineChars="107"/>
              <w:rPr>
                <w:rFonts w:hint="eastAsia" w:ascii="宋体" w:hAnsi="宋体" w:cs="宋体"/>
                <w:color w:val="auto"/>
                <w:sz w:val="18"/>
                <w:szCs w:val="18"/>
              </w:rPr>
            </w:pPr>
            <w:r>
              <w:rPr>
                <w:rFonts w:hint="eastAsia" w:ascii="宋体" w:hAnsi="宋体" w:cs="宋体"/>
                <w:color w:val="auto"/>
                <w:sz w:val="18"/>
                <w:szCs w:val="18"/>
              </w:rPr>
              <w:t xml:space="preserve">1 港商投资□   2澳商投资□   3台商投资□   </w:t>
            </w:r>
            <w:r>
              <w:rPr>
                <w:rFonts w:hint="eastAsia" w:ascii="宋体" w:hAnsi="宋体" w:cs="宋体"/>
                <w:color w:val="auto"/>
                <w:sz w:val="18"/>
                <w:szCs w:val="18"/>
                <w:lang w:val="en"/>
              </w:rPr>
              <w:t>4暂未</w:t>
            </w:r>
            <w:r>
              <w:rPr>
                <w:rFonts w:hint="eastAsia" w:ascii="宋体" w:hAnsi="宋体" w:cs="宋体"/>
                <w:color w:val="auto"/>
                <w:sz w:val="18"/>
                <w:szCs w:val="18"/>
              </w:rPr>
              <w:t>投资□</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468" w:type="dxa"/>
            <w:tcBorders>
              <w:lef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206</w:t>
            </w:r>
          </w:p>
        </w:tc>
        <w:tc>
          <w:tcPr>
            <w:tcW w:w="9058"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firstLine="12" w:firstLineChars="7"/>
              <w:rPr>
                <w:rFonts w:hint="eastAsia" w:ascii="宋体" w:hAnsi="宋体" w:cs="宋体"/>
                <w:color w:val="auto"/>
                <w:sz w:val="18"/>
                <w:szCs w:val="18"/>
              </w:rPr>
            </w:pPr>
            <w:r>
              <w:rPr>
                <w:rFonts w:hint="eastAsia" w:ascii="宋体" w:hAnsi="宋体" w:cs="宋体"/>
                <w:color w:val="auto"/>
                <w:sz w:val="18"/>
                <w:szCs w:val="18"/>
              </w:rPr>
              <w:t>企业控股情况  □  1 国有控股    2 集体控股    3 私人控股    4 港澳台商控股    5 外商控股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468" w:type="dxa"/>
            <w:tcBorders>
              <w:lef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207</w:t>
            </w:r>
          </w:p>
        </w:tc>
        <w:tc>
          <w:tcPr>
            <w:tcW w:w="9058"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隶属关系（限国有控股企业填报）  □□   10 中央    11 地方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624" w:hRule="exact"/>
          <w:jc w:val="center"/>
        </w:trPr>
        <w:tc>
          <w:tcPr>
            <w:tcW w:w="468" w:type="dxa"/>
            <w:tcBorders>
              <w:lef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209</w:t>
            </w:r>
          </w:p>
        </w:tc>
        <w:tc>
          <w:tcPr>
            <w:tcW w:w="9058"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执行会计标准类别    □</w:t>
            </w:r>
          </w:p>
          <w:p>
            <w:pPr>
              <w:keepNext w:val="0"/>
              <w:keepLines w:val="0"/>
              <w:suppressLineNumbers w:val="0"/>
              <w:snapToGrid w:val="0"/>
              <w:spacing w:before="0" w:beforeAutospacing="0" w:after="0" w:afterAutospacing="0" w:line="24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1 企业会计准则制度          2 政府会计准则制度        4 民间非营利组织会计制度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624" w:hRule="exact"/>
          <w:jc w:val="center"/>
        </w:trPr>
        <w:tc>
          <w:tcPr>
            <w:tcW w:w="468" w:type="dxa"/>
            <w:tcBorders>
              <w:lef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210</w:t>
            </w:r>
          </w:p>
        </w:tc>
        <w:tc>
          <w:tcPr>
            <w:tcW w:w="9058" w:type="dxa"/>
            <w:tcBorders>
              <w:right w:val="nil"/>
            </w:tcBorders>
            <w:noWrap w:val="0"/>
            <w:vAlign w:val="center"/>
          </w:tcPr>
          <w:p>
            <w:pPr>
              <w:keepNext w:val="0"/>
              <w:keepLines w:val="0"/>
              <w:suppressLineNumbers w:val="0"/>
              <w:snapToGrid w:val="0"/>
              <w:spacing w:before="0" w:beforeAutospacing="0" w:after="0" w:afterAutospacing="0" w:line="240" w:lineRule="exact"/>
              <w:ind w:left="2700" w:right="0" w:hanging="2700" w:hangingChars="1500"/>
              <w:jc w:val="left"/>
              <w:rPr>
                <w:rFonts w:hint="eastAsia" w:ascii="宋体" w:hAnsi="宋体" w:cs="宋体"/>
                <w:color w:val="auto"/>
                <w:sz w:val="18"/>
                <w:szCs w:val="18"/>
              </w:rPr>
            </w:pPr>
            <w:r>
              <w:rPr>
                <w:rFonts w:hint="eastAsia" w:ascii="宋体" w:hAnsi="宋体" w:cs="宋体"/>
                <w:color w:val="auto"/>
                <w:sz w:val="18"/>
                <w:szCs w:val="18"/>
              </w:rPr>
              <w:t xml:space="preserve">执行企业会计准则制度情况   □                                                                           </w:t>
            </w:r>
          </w:p>
          <w:p>
            <w:pPr>
              <w:keepNext w:val="0"/>
              <w:keepLines w:val="0"/>
              <w:suppressLineNumbers w:val="0"/>
              <w:snapToGrid w:val="0"/>
              <w:spacing w:before="0" w:beforeAutospacing="0" w:after="0" w:afterAutospacing="0" w:line="240" w:lineRule="exact"/>
              <w:ind w:left="2698" w:leftChars="85" w:right="0" w:hanging="2520" w:hangingChars="1400"/>
              <w:jc w:val="left"/>
              <w:rPr>
                <w:rFonts w:hint="eastAsia" w:ascii="宋体" w:hAnsi="宋体" w:cs="宋体"/>
                <w:color w:val="auto"/>
                <w:sz w:val="18"/>
                <w:szCs w:val="18"/>
              </w:rPr>
            </w:pPr>
            <w:r>
              <w:rPr>
                <w:rFonts w:hint="eastAsia" w:ascii="宋体" w:hAnsi="宋体" w:cs="宋体"/>
                <w:color w:val="auto"/>
                <w:sz w:val="18"/>
                <w:szCs w:val="18"/>
              </w:rPr>
              <w:t>1 执行《企业会计准则》      2 执行《小企业会计准则》       3 执行《企业会计制度》</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907" w:hRule="atLeast"/>
          <w:jc w:val="center"/>
        </w:trPr>
        <w:tc>
          <w:tcPr>
            <w:tcW w:w="468" w:type="dxa"/>
            <w:tcBorders>
              <w:lef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213</w:t>
            </w:r>
          </w:p>
        </w:tc>
        <w:tc>
          <w:tcPr>
            <w:tcW w:w="9058"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企业集团情况（限企业集团母公司及成员企业填写）  本企业是 </w:t>
            </w:r>
            <w:r>
              <w:rPr>
                <w:rFonts w:hint="eastAsia" w:ascii="宋体" w:hAnsi="宋体" w:cs="宋体"/>
                <w:color w:val="auto"/>
                <w:kern w:val="0"/>
                <w:sz w:val="18"/>
                <w:szCs w:val="18"/>
              </w:rPr>
              <w:t xml:space="preserve">□ </w:t>
            </w:r>
          </w:p>
          <w:p>
            <w:pPr>
              <w:keepNext w:val="0"/>
              <w:keepLines w:val="0"/>
              <w:suppressLineNumbers w:val="0"/>
              <w:snapToGrid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 </w:t>
            </w:r>
            <w:r>
              <w:rPr>
                <w:rFonts w:hint="eastAsia" w:ascii="宋体" w:hAnsi="宋体" w:cs="宋体"/>
                <w:color w:val="auto"/>
                <w:kern w:val="0"/>
                <w:sz w:val="18"/>
                <w:szCs w:val="18"/>
              </w:rPr>
              <w:t xml:space="preserve"> 1 集团母公司（</w:t>
            </w:r>
            <w:r>
              <w:rPr>
                <w:rFonts w:hint="eastAsia" w:ascii="宋体" w:hAnsi="宋体" w:cs="宋体"/>
                <w:color w:val="auto"/>
                <w:sz w:val="18"/>
                <w:szCs w:val="18"/>
              </w:rPr>
              <w:t>核心企业或集团总部</w:t>
            </w:r>
            <w:r>
              <w:rPr>
                <w:rFonts w:hint="eastAsia" w:ascii="宋体" w:hAnsi="宋体" w:cs="宋体"/>
                <w:color w:val="auto"/>
                <w:kern w:val="0"/>
                <w:sz w:val="18"/>
                <w:szCs w:val="18"/>
              </w:rPr>
              <w:t>）</w:t>
            </w:r>
            <w:r>
              <w:rPr>
                <w:rFonts w:hint="eastAsia" w:ascii="宋体" w:hAnsi="宋体" w:cs="宋体"/>
                <w:color w:val="auto"/>
                <w:sz w:val="18"/>
                <w:szCs w:val="18"/>
              </w:rPr>
              <w:t xml:space="preserve"> </w:t>
            </w:r>
          </w:p>
          <w:p>
            <w:pPr>
              <w:keepNext w:val="0"/>
              <w:keepLines w:val="0"/>
              <w:suppressLineNumbers w:val="0"/>
              <w:snapToGrid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  2 成员企业——请填直接上级法人统一社会信用代码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468" w:type="dxa"/>
            <w:tcBorders>
              <w:lef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C01</w:t>
            </w:r>
          </w:p>
        </w:tc>
        <w:tc>
          <w:tcPr>
            <w:tcW w:w="9058" w:type="dxa"/>
            <w:tcBorders>
              <w:right w:val="nil"/>
            </w:tcBorders>
            <w:noWrap w:val="0"/>
            <w:vAlign w:val="center"/>
          </w:tcPr>
          <w:p>
            <w:pPr>
              <w:keepNext w:val="0"/>
              <w:keepLines w:val="0"/>
              <w:suppressLineNumbers w:val="0"/>
              <w:snapToGrid w:val="0"/>
              <w:spacing w:before="0" w:beforeAutospacing="0" w:after="0" w:afterAutospacing="0" w:line="22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建筑业企业资质等级编码    □□□□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468" w:type="dxa"/>
            <w:tcBorders>
              <w:lef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C02</w:t>
            </w:r>
          </w:p>
        </w:tc>
        <w:tc>
          <w:tcPr>
            <w:tcW w:w="9058" w:type="dxa"/>
            <w:tcBorders>
              <w:right w:val="nil"/>
            </w:tcBorders>
            <w:noWrap w:val="0"/>
            <w:vAlign w:val="center"/>
          </w:tcPr>
          <w:p>
            <w:pPr>
              <w:keepNext w:val="0"/>
              <w:keepLines w:val="0"/>
              <w:suppressLineNumbers w:val="0"/>
              <w:snapToGrid w:val="0"/>
              <w:spacing w:before="0" w:beforeAutospacing="0" w:after="0" w:afterAutospacing="0" w:line="220" w:lineRule="exact"/>
              <w:ind w:left="0" w:right="0"/>
              <w:rPr>
                <w:rFonts w:hint="eastAsia" w:ascii="宋体" w:hAnsi="宋体" w:cs="宋体"/>
                <w:color w:val="auto"/>
                <w:sz w:val="18"/>
                <w:szCs w:val="18"/>
              </w:rPr>
            </w:pPr>
            <w:r>
              <w:rPr>
                <w:rFonts w:hint="eastAsia" w:ascii="宋体" w:hAnsi="宋体" w:cs="宋体"/>
                <w:color w:val="auto"/>
                <w:sz w:val="18"/>
                <w:szCs w:val="18"/>
              </w:rPr>
              <w:t>建筑业资质有效期至□□□□年□□月</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468" w:type="dxa"/>
            <w:tcBorders>
              <w:lef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X01</w:t>
            </w:r>
          </w:p>
        </w:tc>
        <w:tc>
          <w:tcPr>
            <w:tcW w:w="9058"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房地产开发经营业企业资质等级  □    1 一级     2 二级     3 三级     4 四级     5 暂定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964" w:hRule="atLeast"/>
          <w:jc w:val="center"/>
        </w:trPr>
        <w:tc>
          <w:tcPr>
            <w:tcW w:w="468" w:type="dxa"/>
            <w:tcBorders>
              <w:lef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ES1</w:t>
            </w:r>
          </w:p>
        </w:tc>
        <w:tc>
          <w:tcPr>
            <w:tcW w:w="9058"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批发和零售业、住宿和餐饮业单位经营形式   □  </w:t>
            </w:r>
          </w:p>
          <w:p>
            <w:pPr>
              <w:keepNext w:val="0"/>
              <w:keepLines w:val="0"/>
              <w:suppressLineNumbers w:val="0"/>
              <w:snapToGrid w:val="0"/>
              <w:spacing w:before="0" w:beforeAutospacing="0" w:after="0" w:afterAutospacing="0" w:line="24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 xml:space="preserve">1 独立门店      2 连锁总店（总部）     3 连锁直营店     4 连锁加盟店     9 其他  </w:t>
            </w:r>
          </w:p>
          <w:p>
            <w:pPr>
              <w:keepNext w:val="0"/>
              <w:keepLines w:val="0"/>
              <w:suppressLineNumbers w:val="0"/>
              <w:snapToGrid w:val="0"/>
              <w:spacing w:before="0" w:beforeAutospacing="0" w:after="0" w:afterAutospacing="0" w:line="24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连锁品牌（商标或商号名称）：</w:t>
            </w:r>
            <w:r>
              <w:rPr>
                <w:rFonts w:hint="eastAsia" w:ascii="宋体" w:hAnsi="宋体" w:cs="宋体"/>
                <w:color w:val="auto"/>
                <w:sz w:val="18"/>
                <w:szCs w:val="18"/>
                <w:u w:val="single"/>
              </w:rPr>
              <w:t xml:space="preserve">                  </w:t>
            </w:r>
            <w:r>
              <w:rPr>
                <w:rFonts w:hint="eastAsia" w:ascii="宋体" w:hAnsi="宋体" w:cs="宋体"/>
                <w:color w:val="auto"/>
                <w:sz w:val="18"/>
                <w:szCs w:val="18"/>
              </w:rPr>
              <w:t xml:space="preserve"> （经营形式选2、3、4的单位填报）</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1705" w:hRule="atLeast"/>
          <w:jc w:val="center"/>
        </w:trPr>
        <w:tc>
          <w:tcPr>
            <w:tcW w:w="468" w:type="dxa"/>
            <w:tcBorders>
              <w:lef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E02</w:t>
            </w:r>
          </w:p>
        </w:tc>
        <w:tc>
          <w:tcPr>
            <w:tcW w:w="9058"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零售业态（可多选，不超过3个）   □□□□    □□□□     □□□□</w:t>
            </w:r>
          </w:p>
          <w:p>
            <w:pPr>
              <w:keepNext w:val="0"/>
              <w:keepLines w:val="0"/>
              <w:suppressLineNumbers w:val="0"/>
              <w:snapToGrid w:val="0"/>
              <w:spacing w:before="0" w:beforeAutospacing="0" w:after="0" w:afterAutospacing="0" w:line="240" w:lineRule="exact"/>
              <w:ind w:left="0" w:right="0"/>
              <w:rPr>
                <w:rFonts w:hint="eastAsia" w:ascii="宋体" w:hAnsi="宋体" w:cs="宋体"/>
                <w:b/>
                <w:bCs/>
                <w:color w:val="auto"/>
                <w:sz w:val="18"/>
                <w:szCs w:val="18"/>
              </w:rPr>
            </w:pPr>
            <w:r>
              <w:rPr>
                <w:rFonts w:hint="eastAsia" w:ascii="宋体" w:hAnsi="宋体" w:cs="宋体"/>
                <w:b/>
                <w:bCs/>
                <w:color w:val="auto"/>
                <w:sz w:val="18"/>
                <w:szCs w:val="18"/>
              </w:rPr>
              <w:t>有店铺零售</w:t>
            </w:r>
          </w:p>
          <w:p>
            <w:pPr>
              <w:keepNext w:val="0"/>
              <w:keepLines w:val="0"/>
              <w:suppressLineNumbers w:val="0"/>
              <w:snapToGrid w:val="0"/>
              <w:spacing w:before="0" w:beforeAutospacing="0" w:after="0" w:afterAutospacing="0" w:line="240" w:lineRule="exact"/>
              <w:ind w:left="181" w:leftChars="86" w:right="0"/>
              <w:rPr>
                <w:rFonts w:hint="eastAsia" w:ascii="宋体" w:hAnsi="宋体" w:cs="宋体"/>
                <w:color w:val="auto"/>
                <w:sz w:val="18"/>
                <w:szCs w:val="18"/>
              </w:rPr>
            </w:pPr>
            <w:r>
              <w:rPr>
                <w:rFonts w:hint="eastAsia" w:ascii="宋体" w:hAnsi="宋体" w:cs="宋体"/>
                <w:color w:val="auto"/>
                <w:sz w:val="18"/>
                <w:szCs w:val="18"/>
              </w:rPr>
              <w:t>1010</w:t>
            </w:r>
            <w:r>
              <w:rPr>
                <w:rFonts w:hint="eastAsia" w:ascii="宋体" w:hAnsi="宋体" w:cs="宋体"/>
                <w:color w:val="auto"/>
                <w:sz w:val="18"/>
                <w:szCs w:val="18"/>
                <w:lang w:val="en"/>
              </w:rPr>
              <w:t xml:space="preserve">  </w:t>
            </w:r>
            <w:r>
              <w:rPr>
                <w:rFonts w:hint="eastAsia" w:ascii="宋体" w:hAnsi="宋体" w:cs="宋体"/>
                <w:color w:val="auto"/>
                <w:sz w:val="18"/>
                <w:szCs w:val="18"/>
              </w:rPr>
              <w:t>便利店     1020</w:t>
            </w:r>
            <w:r>
              <w:rPr>
                <w:rFonts w:hint="eastAsia" w:ascii="宋体" w:hAnsi="宋体" w:cs="宋体"/>
                <w:color w:val="auto"/>
                <w:sz w:val="18"/>
                <w:szCs w:val="18"/>
                <w:lang w:val="en"/>
              </w:rPr>
              <w:t xml:space="preserve">  </w:t>
            </w:r>
            <w:r>
              <w:rPr>
                <w:rFonts w:hint="eastAsia" w:ascii="宋体" w:hAnsi="宋体" w:cs="宋体"/>
                <w:color w:val="auto"/>
                <w:sz w:val="18"/>
                <w:szCs w:val="18"/>
              </w:rPr>
              <w:t>超市     1030</w:t>
            </w:r>
            <w:r>
              <w:rPr>
                <w:rFonts w:hint="eastAsia" w:ascii="宋体" w:hAnsi="宋体" w:cs="宋体"/>
                <w:color w:val="auto"/>
                <w:sz w:val="18"/>
                <w:szCs w:val="18"/>
                <w:lang w:val="en"/>
              </w:rPr>
              <w:t xml:space="preserve">  </w:t>
            </w:r>
            <w:r>
              <w:rPr>
                <w:rFonts w:hint="eastAsia" w:ascii="宋体" w:hAnsi="宋体" w:cs="宋体"/>
                <w:color w:val="auto"/>
                <w:sz w:val="18"/>
                <w:szCs w:val="18"/>
              </w:rPr>
              <w:t>折扣店       1040</w:t>
            </w:r>
            <w:r>
              <w:rPr>
                <w:rFonts w:hint="eastAsia" w:ascii="宋体" w:hAnsi="宋体" w:cs="宋体"/>
                <w:color w:val="auto"/>
                <w:sz w:val="18"/>
                <w:szCs w:val="18"/>
                <w:lang w:val="en"/>
              </w:rPr>
              <w:t xml:space="preserve">  </w:t>
            </w:r>
            <w:r>
              <w:rPr>
                <w:rFonts w:hint="eastAsia" w:ascii="宋体" w:hAnsi="宋体" w:cs="宋体"/>
                <w:color w:val="auto"/>
                <w:sz w:val="18"/>
                <w:szCs w:val="18"/>
              </w:rPr>
              <w:t>仓储会员店   1050</w:t>
            </w:r>
            <w:r>
              <w:rPr>
                <w:rFonts w:hint="eastAsia" w:ascii="宋体" w:hAnsi="宋体" w:cs="宋体"/>
                <w:color w:val="auto"/>
                <w:sz w:val="18"/>
                <w:szCs w:val="18"/>
                <w:lang w:val="en"/>
              </w:rPr>
              <w:t xml:space="preserve">  </w:t>
            </w:r>
            <w:r>
              <w:rPr>
                <w:rFonts w:hint="eastAsia" w:ascii="宋体" w:hAnsi="宋体" w:cs="宋体"/>
                <w:color w:val="auto"/>
                <w:sz w:val="18"/>
                <w:szCs w:val="18"/>
              </w:rPr>
              <w:t>百货店</w:t>
            </w:r>
          </w:p>
          <w:p>
            <w:pPr>
              <w:keepNext w:val="0"/>
              <w:keepLines w:val="0"/>
              <w:suppressLineNumbers w:val="0"/>
              <w:snapToGrid w:val="0"/>
              <w:spacing w:before="0" w:beforeAutospacing="0" w:after="0" w:afterAutospacing="0" w:line="240" w:lineRule="exact"/>
              <w:ind w:left="181" w:leftChars="86" w:right="0"/>
              <w:rPr>
                <w:rFonts w:hint="eastAsia" w:ascii="宋体" w:hAnsi="宋体" w:cs="宋体"/>
                <w:color w:val="auto"/>
                <w:sz w:val="18"/>
                <w:szCs w:val="18"/>
              </w:rPr>
            </w:pPr>
            <w:r>
              <w:rPr>
                <w:rFonts w:hint="eastAsia" w:ascii="宋体" w:hAnsi="宋体" w:cs="宋体"/>
                <w:color w:val="auto"/>
                <w:sz w:val="18"/>
                <w:szCs w:val="18"/>
              </w:rPr>
              <w:t>1060</w:t>
            </w:r>
            <w:r>
              <w:rPr>
                <w:rFonts w:hint="eastAsia" w:ascii="宋体" w:hAnsi="宋体" w:cs="宋体"/>
                <w:color w:val="auto"/>
                <w:sz w:val="18"/>
                <w:szCs w:val="18"/>
                <w:lang w:val="en"/>
              </w:rPr>
              <w:t xml:space="preserve">  </w:t>
            </w:r>
            <w:r>
              <w:rPr>
                <w:rFonts w:hint="eastAsia" w:ascii="宋体" w:hAnsi="宋体" w:cs="宋体"/>
                <w:color w:val="auto"/>
                <w:sz w:val="18"/>
                <w:szCs w:val="18"/>
              </w:rPr>
              <w:t>购物中心   1070</w:t>
            </w:r>
            <w:r>
              <w:rPr>
                <w:rFonts w:hint="eastAsia" w:ascii="宋体" w:hAnsi="宋体" w:cs="宋体"/>
                <w:color w:val="auto"/>
                <w:sz w:val="18"/>
                <w:szCs w:val="18"/>
                <w:lang w:val="en"/>
              </w:rPr>
              <w:t xml:space="preserve">  </w:t>
            </w:r>
            <w:r>
              <w:rPr>
                <w:rFonts w:hint="eastAsia" w:ascii="宋体" w:hAnsi="宋体" w:cs="宋体"/>
                <w:color w:val="auto"/>
                <w:sz w:val="18"/>
                <w:szCs w:val="18"/>
              </w:rPr>
              <w:t>专业店   1080</w:t>
            </w:r>
            <w:r>
              <w:rPr>
                <w:rFonts w:hint="eastAsia" w:ascii="宋体" w:hAnsi="宋体" w:cs="宋体"/>
                <w:color w:val="auto"/>
                <w:sz w:val="18"/>
                <w:szCs w:val="18"/>
                <w:lang w:val="en"/>
              </w:rPr>
              <w:t xml:space="preserve">  </w:t>
            </w:r>
            <w:r>
              <w:rPr>
                <w:rFonts w:hint="eastAsia" w:ascii="宋体" w:hAnsi="宋体" w:cs="宋体"/>
                <w:color w:val="auto"/>
                <w:sz w:val="18"/>
                <w:szCs w:val="18"/>
              </w:rPr>
              <w:t>品牌专卖店   1090</w:t>
            </w:r>
            <w:r>
              <w:rPr>
                <w:rFonts w:hint="eastAsia" w:ascii="宋体" w:hAnsi="宋体" w:cs="宋体"/>
                <w:color w:val="auto"/>
                <w:sz w:val="18"/>
                <w:szCs w:val="18"/>
                <w:lang w:val="en"/>
              </w:rPr>
              <w:t xml:space="preserve">  </w:t>
            </w:r>
            <w:r>
              <w:rPr>
                <w:rFonts w:hint="eastAsia" w:ascii="宋体" w:hAnsi="宋体" w:cs="宋体"/>
                <w:color w:val="auto"/>
                <w:sz w:val="18"/>
                <w:szCs w:val="18"/>
              </w:rPr>
              <w:t>集合店       1100</w:t>
            </w:r>
            <w:r>
              <w:rPr>
                <w:rFonts w:hint="eastAsia" w:ascii="宋体" w:hAnsi="宋体" w:cs="宋体"/>
                <w:color w:val="auto"/>
                <w:sz w:val="18"/>
                <w:szCs w:val="18"/>
                <w:lang w:val="en"/>
              </w:rPr>
              <w:t xml:space="preserve">  </w:t>
            </w:r>
            <w:r>
              <w:rPr>
                <w:rFonts w:hint="eastAsia" w:ascii="宋体" w:hAnsi="宋体" w:cs="宋体"/>
                <w:color w:val="auto"/>
                <w:sz w:val="18"/>
                <w:szCs w:val="18"/>
              </w:rPr>
              <w:t>无人值守商店</w:t>
            </w:r>
          </w:p>
          <w:p>
            <w:pPr>
              <w:keepNext w:val="0"/>
              <w:keepLines w:val="0"/>
              <w:suppressLineNumbers w:val="0"/>
              <w:snapToGrid w:val="0"/>
              <w:spacing w:before="0" w:beforeAutospacing="0" w:after="0" w:afterAutospacing="0" w:line="240" w:lineRule="exact"/>
              <w:ind w:left="0" w:right="0"/>
              <w:rPr>
                <w:rFonts w:hint="eastAsia" w:ascii="宋体" w:hAnsi="宋体" w:cs="宋体"/>
                <w:b/>
                <w:bCs/>
                <w:color w:val="auto"/>
                <w:sz w:val="18"/>
                <w:szCs w:val="18"/>
              </w:rPr>
            </w:pPr>
            <w:r>
              <w:rPr>
                <w:rFonts w:hint="eastAsia" w:ascii="宋体" w:hAnsi="宋体" w:cs="宋体"/>
                <w:b/>
                <w:bCs/>
                <w:color w:val="auto"/>
                <w:sz w:val="18"/>
                <w:szCs w:val="18"/>
              </w:rPr>
              <w:t>无店铺零售</w:t>
            </w:r>
          </w:p>
          <w:p>
            <w:pPr>
              <w:keepNext w:val="0"/>
              <w:keepLines w:val="0"/>
              <w:suppressLineNumbers w:val="0"/>
              <w:snapToGrid w:val="0"/>
              <w:spacing w:before="0" w:beforeAutospacing="0" w:after="0" w:afterAutospacing="0" w:line="24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2010</w:t>
            </w:r>
            <w:r>
              <w:rPr>
                <w:rFonts w:hint="eastAsia" w:ascii="宋体" w:hAnsi="宋体" w:cs="宋体"/>
                <w:color w:val="auto"/>
                <w:sz w:val="18"/>
                <w:szCs w:val="18"/>
                <w:lang w:val="en"/>
              </w:rPr>
              <w:t xml:space="preserve">  </w:t>
            </w:r>
            <w:r>
              <w:rPr>
                <w:rFonts w:hint="eastAsia" w:ascii="宋体" w:hAnsi="宋体" w:cs="宋体"/>
                <w:color w:val="auto"/>
                <w:sz w:val="18"/>
                <w:szCs w:val="18"/>
              </w:rPr>
              <w:t>网络零售   2020</w:t>
            </w:r>
            <w:r>
              <w:rPr>
                <w:rFonts w:hint="eastAsia" w:ascii="宋体" w:hAnsi="宋体" w:cs="宋体"/>
                <w:color w:val="auto"/>
                <w:sz w:val="18"/>
                <w:szCs w:val="18"/>
                <w:lang w:val="en"/>
              </w:rPr>
              <w:t xml:space="preserve">  </w:t>
            </w:r>
            <w:r>
              <w:rPr>
                <w:rFonts w:hint="eastAsia" w:ascii="宋体" w:hAnsi="宋体" w:cs="宋体"/>
                <w:color w:val="auto"/>
                <w:sz w:val="18"/>
                <w:szCs w:val="18"/>
              </w:rPr>
              <w:t>电视/广播零售   2030</w:t>
            </w:r>
            <w:r>
              <w:rPr>
                <w:rFonts w:hint="eastAsia" w:ascii="宋体" w:hAnsi="宋体" w:cs="宋体"/>
                <w:color w:val="auto"/>
                <w:sz w:val="18"/>
                <w:szCs w:val="18"/>
                <w:lang w:val="en"/>
              </w:rPr>
              <w:t xml:space="preserve">  </w:t>
            </w:r>
            <w:r>
              <w:rPr>
                <w:rFonts w:hint="eastAsia" w:ascii="宋体" w:hAnsi="宋体" w:cs="宋体"/>
                <w:color w:val="auto"/>
                <w:sz w:val="18"/>
                <w:szCs w:val="18"/>
              </w:rPr>
              <w:t xml:space="preserve">邮寄零售  </w:t>
            </w:r>
            <w:r>
              <w:rPr>
                <w:rFonts w:hint="eastAsia" w:ascii="宋体" w:hAnsi="宋体" w:cs="宋体"/>
                <w:color w:val="auto"/>
                <w:w w:val="135"/>
                <w:sz w:val="18"/>
                <w:szCs w:val="18"/>
              </w:rPr>
              <w:t xml:space="preserve">   </w:t>
            </w:r>
            <w:r>
              <w:rPr>
                <w:rFonts w:hint="eastAsia" w:ascii="宋体" w:hAnsi="宋体" w:cs="宋体"/>
                <w:color w:val="auto"/>
                <w:sz w:val="18"/>
                <w:szCs w:val="18"/>
              </w:rPr>
              <w:t xml:space="preserve"> 2040</w:t>
            </w:r>
            <w:r>
              <w:rPr>
                <w:rFonts w:hint="eastAsia" w:ascii="宋体" w:hAnsi="宋体" w:cs="宋体"/>
                <w:color w:val="auto"/>
                <w:sz w:val="18"/>
                <w:szCs w:val="18"/>
                <w:lang w:val="en"/>
              </w:rPr>
              <w:t xml:space="preserve">  </w:t>
            </w:r>
            <w:r>
              <w:rPr>
                <w:rFonts w:hint="eastAsia" w:ascii="宋体" w:hAnsi="宋体" w:cs="宋体"/>
                <w:color w:val="auto"/>
                <w:sz w:val="18"/>
                <w:szCs w:val="18"/>
              </w:rPr>
              <w:t>无人售货设备零售</w:t>
            </w:r>
          </w:p>
          <w:p>
            <w:pPr>
              <w:keepNext w:val="0"/>
              <w:keepLines w:val="0"/>
              <w:suppressLineNumbers w:val="0"/>
              <w:snapToGrid w:val="0"/>
              <w:spacing w:before="0" w:beforeAutospacing="0" w:after="0" w:afterAutospacing="0" w:line="240" w:lineRule="exact"/>
              <w:ind w:left="0" w:right="0" w:firstLine="180" w:firstLineChars="100"/>
              <w:rPr>
                <w:rFonts w:hint="eastAsia" w:ascii="宋体" w:hAnsi="宋体" w:cs="宋体"/>
                <w:color w:val="auto"/>
                <w:sz w:val="18"/>
                <w:szCs w:val="18"/>
              </w:rPr>
            </w:pPr>
            <w:r>
              <w:rPr>
                <w:rFonts w:hint="eastAsia" w:ascii="宋体" w:hAnsi="宋体" w:cs="宋体"/>
                <w:color w:val="auto"/>
                <w:sz w:val="18"/>
                <w:szCs w:val="18"/>
              </w:rPr>
              <w:t>2050</w:t>
            </w:r>
            <w:r>
              <w:rPr>
                <w:rFonts w:hint="eastAsia" w:ascii="宋体" w:hAnsi="宋体" w:cs="宋体"/>
                <w:color w:val="auto"/>
                <w:sz w:val="18"/>
                <w:szCs w:val="18"/>
                <w:lang w:val="en"/>
              </w:rPr>
              <w:t xml:space="preserve">  </w:t>
            </w:r>
            <w:r>
              <w:rPr>
                <w:rFonts w:hint="eastAsia" w:ascii="宋体" w:hAnsi="宋体" w:cs="宋体"/>
                <w:color w:val="auto"/>
                <w:sz w:val="18"/>
                <w:szCs w:val="18"/>
              </w:rPr>
              <w:t>电话零售   2060</w:t>
            </w:r>
            <w:r>
              <w:rPr>
                <w:rFonts w:hint="eastAsia" w:ascii="宋体" w:hAnsi="宋体" w:cs="宋体"/>
                <w:color w:val="auto"/>
                <w:sz w:val="18"/>
                <w:szCs w:val="18"/>
                <w:lang w:val="en"/>
              </w:rPr>
              <w:t xml:space="preserve">  </w:t>
            </w:r>
            <w:r>
              <w:rPr>
                <w:rFonts w:hint="eastAsia" w:ascii="宋体" w:hAnsi="宋体" w:cs="宋体"/>
                <w:color w:val="auto"/>
                <w:sz w:val="18"/>
                <w:szCs w:val="18"/>
              </w:rPr>
              <w:t xml:space="preserve">直销        </w:t>
            </w:r>
            <w:r>
              <w:rPr>
                <w:rFonts w:hint="eastAsia" w:ascii="宋体" w:hAnsi="宋体" w:cs="宋体"/>
                <w:color w:val="auto"/>
                <w:w w:val="86"/>
                <w:sz w:val="18"/>
                <w:szCs w:val="18"/>
              </w:rPr>
              <w:t xml:space="preserve">  </w:t>
            </w:r>
            <w:r>
              <w:rPr>
                <w:rFonts w:hint="eastAsia" w:ascii="宋体" w:hAnsi="宋体" w:cs="宋体"/>
                <w:color w:val="auto"/>
                <w:w w:val="86"/>
                <w:sz w:val="24"/>
                <w:szCs w:val="18"/>
              </w:rPr>
              <w:t xml:space="preserve">  </w:t>
            </w:r>
            <w:r>
              <w:rPr>
                <w:rFonts w:hint="eastAsia" w:ascii="宋体" w:hAnsi="宋体" w:cs="宋体"/>
                <w:color w:val="auto"/>
                <w:sz w:val="18"/>
                <w:szCs w:val="18"/>
              </w:rPr>
              <w:t>2070</w:t>
            </w:r>
            <w:r>
              <w:rPr>
                <w:rFonts w:hint="eastAsia" w:ascii="宋体" w:hAnsi="宋体" w:cs="宋体"/>
                <w:color w:val="auto"/>
                <w:sz w:val="18"/>
                <w:szCs w:val="18"/>
                <w:lang w:val="en"/>
              </w:rPr>
              <w:t xml:space="preserve">  </w:t>
            </w:r>
            <w:r>
              <w:rPr>
                <w:rFonts w:hint="eastAsia" w:ascii="宋体" w:hAnsi="宋体" w:cs="宋体"/>
                <w:color w:val="auto"/>
                <w:sz w:val="18"/>
                <w:szCs w:val="18"/>
              </w:rPr>
              <w:t>流动货摊零售   2090</w:t>
            </w:r>
            <w:r>
              <w:rPr>
                <w:rFonts w:hint="eastAsia" w:ascii="宋体" w:hAnsi="宋体" w:cs="宋体"/>
                <w:color w:val="auto"/>
                <w:sz w:val="18"/>
                <w:szCs w:val="18"/>
                <w:lang w:val="en"/>
              </w:rPr>
              <w:t xml:space="preserve">  </w:t>
            </w:r>
            <w:r>
              <w:rPr>
                <w:rFonts w:hint="eastAsia" w:ascii="宋体" w:hAnsi="宋体" w:cs="宋体"/>
                <w:color w:val="auto"/>
                <w:sz w:val="18"/>
                <w:szCs w:val="18"/>
              </w:rPr>
              <w:t xml:space="preserve">其他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468" w:type="dxa"/>
            <w:tcBorders>
              <w:lef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S02</w:t>
            </w:r>
          </w:p>
        </w:tc>
        <w:tc>
          <w:tcPr>
            <w:tcW w:w="9058"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住宿业单位星级评定情况   □    1 一星     2 二星    3 三星    4 四星    5 五星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526" w:type="dxa"/>
            <w:gridSpan w:val="2"/>
            <w:tcBorders>
              <w:left w:val="nil"/>
              <w:righ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单位组织结构情况</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765" w:hRule="atLeast"/>
          <w:jc w:val="center"/>
        </w:trPr>
        <w:tc>
          <w:tcPr>
            <w:tcW w:w="468" w:type="dxa"/>
            <w:tcBorders>
              <w:left w:val="nil"/>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214</w:t>
            </w:r>
          </w:p>
        </w:tc>
        <w:tc>
          <w:tcPr>
            <w:tcW w:w="9058" w:type="dxa"/>
            <w:tcBorders>
              <w:right w:val="nil"/>
            </w:tcBorders>
            <w:noWrap w:val="0"/>
            <w:vAlign w:val="center"/>
          </w:tcPr>
          <w:p>
            <w:pPr>
              <w:keepNext w:val="0"/>
              <w:keepLines w:val="0"/>
              <w:suppressLineNumbers w:val="0"/>
              <w:snapToGrid w:val="0"/>
              <w:spacing w:before="0" w:beforeAutospacing="0" w:after="0" w:afterAutospacing="0" w:line="240" w:lineRule="exact"/>
              <w:ind w:left="0" w:right="0"/>
              <w:rPr>
                <w:rFonts w:hint="eastAsia" w:ascii="宋体" w:hAnsi="宋体" w:cs="宋体"/>
                <w:color w:val="auto"/>
                <w:kern w:val="0"/>
                <w:sz w:val="18"/>
                <w:szCs w:val="18"/>
              </w:rPr>
            </w:pPr>
            <w:r>
              <w:rPr>
                <w:rFonts w:hint="eastAsia" w:ascii="宋体" w:hAnsi="宋体" w:cs="宋体"/>
                <w:color w:val="auto"/>
                <w:sz w:val="18"/>
                <w:szCs w:val="18"/>
              </w:rPr>
              <w:t xml:space="preserve">本法人（视同法人）单位是否有上一级法人  □  1是   2否    </w:t>
            </w:r>
          </w:p>
          <w:p>
            <w:pPr>
              <w:keepNext w:val="0"/>
              <w:keepLines w:val="0"/>
              <w:suppressLineNumbers w:val="0"/>
              <w:snapToGrid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如为1，请填写上一级法人（视同法人）统一社会信用代码 □□□□□□□□□□□□□□□□□□</w:t>
            </w:r>
          </w:p>
          <w:p>
            <w:pPr>
              <w:keepNext w:val="0"/>
              <w:keepLines w:val="0"/>
              <w:suppressLineNumbers w:val="0"/>
              <w:snapToGrid w:val="0"/>
              <w:spacing w:before="0" w:beforeAutospacing="0" w:after="0" w:afterAutospacing="0" w:line="240" w:lineRule="exact"/>
              <w:ind w:left="-53" w:leftChars="-25" w:right="0"/>
              <w:rPr>
                <w:rFonts w:hint="eastAsia" w:ascii="宋体" w:hAnsi="宋体" w:cs="宋体"/>
                <w:color w:val="auto"/>
                <w:sz w:val="18"/>
                <w:szCs w:val="18"/>
              </w:rPr>
            </w:pPr>
            <w:r>
              <w:rPr>
                <w:rFonts w:hint="eastAsia" w:ascii="宋体" w:hAnsi="宋体" w:cs="宋体"/>
                <w:color w:val="auto"/>
                <w:sz w:val="18"/>
                <w:szCs w:val="18"/>
              </w:rPr>
              <w:t xml:space="preserve">              上一级法人（视同法人）单位详细名称 </w:t>
            </w:r>
            <w:r>
              <w:rPr>
                <w:rFonts w:hint="eastAsia" w:ascii="宋体" w:hAnsi="宋体" w:cs="宋体"/>
                <w:color w:val="auto"/>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468" w:type="dxa"/>
            <w:tcBorders>
              <w:left w:val="nil"/>
              <w:bottom w:val="single" w:color="auto" w:sz="8" w:space="0"/>
            </w:tcBorders>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cs="宋体"/>
                <w:b/>
                <w:bCs/>
                <w:color w:val="auto"/>
                <w:sz w:val="18"/>
                <w:szCs w:val="18"/>
              </w:rPr>
            </w:pPr>
            <w:r>
              <w:rPr>
                <w:rFonts w:hint="eastAsia" w:ascii="宋体" w:hAnsi="宋体" w:cs="宋体"/>
                <w:b/>
                <w:bCs/>
                <w:color w:val="auto"/>
                <w:sz w:val="18"/>
                <w:szCs w:val="18"/>
              </w:rPr>
              <w:t>212</w:t>
            </w:r>
          </w:p>
        </w:tc>
        <w:tc>
          <w:tcPr>
            <w:tcW w:w="9058" w:type="dxa"/>
            <w:tcBorders>
              <w:bottom w:val="single" w:color="auto" w:sz="8" w:space="0"/>
              <w:right w:val="nil"/>
            </w:tcBorders>
            <w:noWrap w:val="0"/>
            <w:vAlign w:val="center"/>
          </w:tcPr>
          <w:p>
            <w:pPr>
              <w:keepNext w:val="0"/>
              <w:keepLines w:val="0"/>
              <w:suppressLineNumbers w:val="0"/>
              <w:snapToGrid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本法人（视同法人）单位是否有下属产业活动单位（分支机构、派出机构、分公司、分部、分厂、分店等） □ </w:t>
            </w:r>
          </w:p>
          <w:p>
            <w:pPr>
              <w:keepNext w:val="0"/>
              <w:keepLines w:val="0"/>
              <w:suppressLineNumbers w:val="0"/>
              <w:snapToGrid w:val="0"/>
              <w:spacing w:before="0" w:beforeAutospacing="0" w:after="0" w:afterAutospacing="0" w:line="240" w:lineRule="exact"/>
              <w:ind w:left="0" w:right="0"/>
              <w:rPr>
                <w:rFonts w:hint="eastAsia" w:ascii="宋体" w:hAnsi="宋体" w:cs="宋体"/>
                <w:color w:val="auto"/>
                <w:sz w:val="18"/>
                <w:szCs w:val="18"/>
              </w:rPr>
            </w:pPr>
            <w:r>
              <w:rPr>
                <w:rFonts w:hint="eastAsia" w:ascii="宋体" w:hAnsi="宋体" w:cs="宋体"/>
                <w:color w:val="auto"/>
                <w:sz w:val="18"/>
                <w:szCs w:val="18"/>
              </w:rPr>
              <w:t xml:space="preserve"> 1是   2否</w:t>
            </w:r>
          </w:p>
        </w:tc>
      </w:tr>
    </w:tbl>
    <w:p>
      <w:pPr>
        <w:adjustRightInd w:val="0"/>
        <w:spacing w:line="240" w:lineRule="exact"/>
        <w:rPr>
          <w:rFonts w:hint="eastAsia" w:ascii="宋体" w:hAnsi="宋体" w:cs="宋体"/>
          <w:color w:val="auto"/>
        </w:rPr>
      </w:pPr>
      <w:r>
        <w:rPr>
          <w:rFonts w:hint="eastAsia" w:ascii="宋体" w:hAnsi="宋体" w:cs="宋体"/>
          <w:color w:val="auto"/>
          <w:sz w:val="18"/>
          <w:szCs w:val="18"/>
        </w:rPr>
        <w:t>单位负责人：          统计负责人：         填表人：          联系电话：       报出日期：2 0    年   月   日</w:t>
      </w:r>
    </w:p>
    <w:p>
      <w:pPr>
        <w:adjustRightInd w:val="0"/>
        <w:spacing w:line="240" w:lineRule="exact"/>
        <w:rPr>
          <w:rFonts w:hint="eastAsia" w:ascii="宋体" w:hAnsi="宋体" w:cs="宋体"/>
          <w:color w:val="auto"/>
          <w:sz w:val="18"/>
          <w:szCs w:val="18"/>
        </w:rPr>
      </w:pPr>
    </w:p>
    <w:p>
      <w:pPr>
        <w:adjustRightInd w:val="0"/>
        <w:spacing w:line="240" w:lineRule="exact"/>
        <w:ind w:left="1620" w:hanging="1620" w:hangingChars="900"/>
        <w:rPr>
          <w:rFonts w:hint="eastAsia" w:ascii="宋体" w:hAnsi="宋体" w:eastAsia="宋体" w:cs="宋体"/>
          <w:color w:val="auto"/>
          <w:sz w:val="18"/>
          <w:szCs w:val="18"/>
          <w:lang w:eastAsia="zh-CN"/>
        </w:rPr>
      </w:pPr>
      <w:r>
        <w:rPr>
          <w:rFonts w:hint="eastAsia" w:ascii="宋体" w:hAnsi="宋体" w:cs="宋体"/>
          <w:color w:val="auto"/>
          <w:sz w:val="18"/>
          <w:szCs w:val="18"/>
        </w:rPr>
        <w:t>说明：1.统计范围：</w:t>
      </w:r>
      <w:r>
        <w:rPr>
          <w:rFonts w:hint="eastAsia" w:ascii="宋体" w:hAnsi="宋体"/>
          <w:color w:val="auto"/>
          <w:sz w:val="18"/>
          <w:szCs w:val="18"/>
        </w:rPr>
        <w:t>辖区内规模以上工业、有资质的建筑业、限额以上批发和零售业、限额以上住宿和餐饮业、有开发经营活动的房地产开发经营业、规模以上服务业、其他有5000万元及以上在建项目的法人单位</w:t>
      </w:r>
      <w:r>
        <w:rPr>
          <w:rFonts w:hint="eastAsia" w:ascii="宋体"/>
          <w:color w:val="auto"/>
          <w:sz w:val="18"/>
          <w:szCs w:val="18"/>
        </w:rPr>
        <w:t>，规模以上工业个体经营户</w:t>
      </w:r>
      <w:r>
        <w:rPr>
          <w:rFonts w:hint="eastAsia" w:ascii="宋体"/>
          <w:color w:val="auto"/>
          <w:sz w:val="18"/>
          <w:szCs w:val="18"/>
          <w:lang w:eastAsia="zh-CN"/>
        </w:rPr>
        <w:t>。</w:t>
      </w:r>
    </w:p>
    <w:p>
      <w:pPr>
        <w:snapToGrid w:val="0"/>
        <w:ind w:left="2162" w:leftChars="1" w:hanging="2160" w:hangingChars="1200"/>
        <w:rPr>
          <w:rFonts w:hint="eastAsia" w:ascii="宋体" w:hAnsi="宋体"/>
          <w:color w:val="auto"/>
          <w:sz w:val="18"/>
          <w:szCs w:val="18"/>
        </w:rPr>
      </w:pPr>
      <w:r>
        <w:rPr>
          <w:rFonts w:hint="eastAsia" w:ascii="宋体" w:hAnsi="宋体" w:cs="宋体"/>
          <w:color w:val="auto"/>
          <w:sz w:val="18"/>
          <w:szCs w:val="18"/>
        </w:rPr>
        <w:t>2.报送日期及方式：调查单位2025年3月16日24时前网上填报，</w:t>
      </w:r>
      <w:r>
        <w:rPr>
          <w:rFonts w:hint="eastAsia" w:ascii="宋体" w:hAnsi="宋体"/>
          <w:color w:val="auto"/>
          <w:sz w:val="18"/>
          <w:szCs w:val="18"/>
          <w:lang w:val="en-US" w:eastAsia="zh-CN"/>
        </w:rPr>
        <w:t>各</w:t>
      </w:r>
      <w:r>
        <w:rPr>
          <w:rFonts w:ascii="宋体" w:hAnsi="宋体"/>
          <w:color w:val="auto"/>
          <w:sz w:val="18"/>
          <w:szCs w:val="18"/>
        </w:rPr>
        <w:t>级统计机构</w:t>
      </w:r>
      <w:r>
        <w:rPr>
          <w:rFonts w:hint="eastAsia" w:ascii="宋体" w:hAnsi="宋体"/>
          <w:color w:val="auto"/>
          <w:sz w:val="18"/>
          <w:szCs w:val="18"/>
          <w:lang w:val="en-US" w:eastAsia="zh-CN"/>
        </w:rPr>
        <w:t>于统计云平台要求时间</w:t>
      </w:r>
      <w:r>
        <w:rPr>
          <w:rFonts w:ascii="宋体" w:hAnsi="宋体"/>
          <w:color w:val="auto"/>
          <w:sz w:val="18"/>
          <w:szCs w:val="18"/>
        </w:rPr>
        <w:t>前完成数据审核、验收、上报</w:t>
      </w:r>
      <w:r>
        <w:rPr>
          <w:rFonts w:hint="eastAsia" w:ascii="宋体" w:hAnsi="宋体"/>
          <w:color w:val="auto"/>
          <w:sz w:val="18"/>
          <w:szCs w:val="18"/>
        </w:rPr>
        <w:t>。</w:t>
      </w:r>
    </w:p>
    <w:p>
      <w:pPr>
        <w:adjustRightInd w:val="0"/>
        <w:snapToGrid w:val="0"/>
        <w:spacing w:line="240" w:lineRule="exact"/>
        <w:ind w:left="2145" w:leftChars="250" w:hanging="1620" w:hangingChars="900"/>
        <w:rPr>
          <w:rFonts w:hint="eastAsia" w:ascii="宋体" w:hAnsi="宋体" w:cs="宋体"/>
          <w:color w:val="auto"/>
          <w:sz w:val="18"/>
          <w:szCs w:val="18"/>
        </w:rPr>
      </w:pPr>
    </w:p>
    <w:p>
      <w:pPr>
        <w:adjustRightInd w:val="0"/>
        <w:snapToGrid w:val="0"/>
        <w:spacing w:line="240" w:lineRule="exact"/>
        <w:ind w:left="1460" w:leftChars="250" w:hanging="935" w:hangingChars="520"/>
        <w:rPr>
          <w:rFonts w:hint="eastAsia" w:ascii="宋体" w:hAnsi="宋体" w:cs="宋体"/>
          <w:color w:val="auto"/>
          <w:sz w:val="18"/>
          <w:szCs w:val="18"/>
        </w:rPr>
      </w:pPr>
      <w:r>
        <w:rPr>
          <w:rFonts w:hint="eastAsia" w:ascii="宋体" w:hAnsi="宋体" w:cs="宋体"/>
          <w:color w:val="auto"/>
          <w:sz w:val="18"/>
          <w:szCs w:val="18"/>
        </w:rPr>
        <w:t>3.数据填报和处理要求：</w:t>
      </w:r>
    </w:p>
    <w:p>
      <w:pPr>
        <w:spacing w:line="240" w:lineRule="exact"/>
        <w:ind w:left="1076" w:leftChars="303" w:right="-63" w:rightChars="-30" w:hanging="440" w:hangingChars="250"/>
        <w:rPr>
          <w:rFonts w:hint="eastAsia" w:ascii="宋体" w:hAnsi="宋体" w:cs="宋体"/>
          <w:color w:val="auto"/>
          <w:sz w:val="18"/>
          <w:szCs w:val="18"/>
        </w:rPr>
      </w:pPr>
      <w:r>
        <w:rPr>
          <w:rFonts w:hint="eastAsia" w:ascii="宋体" w:hAnsi="宋体" w:cs="宋体"/>
          <w:color w:val="auto"/>
          <w:spacing w:val="-2"/>
          <w:sz w:val="18"/>
          <w:szCs w:val="18"/>
        </w:rPr>
        <w:t>（1）</w:t>
      </w:r>
      <w:r>
        <w:rPr>
          <w:rFonts w:hint="eastAsia" w:ascii="宋体" w:hAnsi="宋体" w:cs="宋体"/>
          <w:color w:val="auto"/>
          <w:sz w:val="18"/>
          <w:szCs w:val="18"/>
        </w:rPr>
        <w:t>本表主要数据由国家统计局在调查开始前统一导入数据采集处理软件中，生成报表数据。调查单位应根据实际情况对表中的数据进行认真核对与填写，数据如有变动应当据实修改（置灰的指标除外）。</w:t>
      </w:r>
    </w:p>
    <w:p>
      <w:pPr>
        <w:spacing w:line="240" w:lineRule="exact"/>
        <w:ind w:left="1076" w:leftChars="303" w:right="42" w:rightChars="20" w:hanging="440" w:hangingChars="250"/>
        <w:rPr>
          <w:rFonts w:hint="eastAsia" w:ascii="宋体" w:hAnsi="宋体" w:cs="宋体"/>
          <w:color w:val="auto"/>
          <w:spacing w:val="-2"/>
          <w:sz w:val="18"/>
          <w:szCs w:val="18"/>
        </w:rPr>
      </w:pPr>
      <w:r>
        <w:rPr>
          <w:rFonts w:hint="eastAsia" w:ascii="宋体" w:hAnsi="宋体" w:cs="宋体"/>
          <w:color w:val="auto"/>
          <w:spacing w:val="-2"/>
          <w:sz w:val="18"/>
          <w:szCs w:val="18"/>
        </w:rPr>
        <w:t>（2）调查单位不能修改本表中“102单位详细名称”“103行业代码”“104报表类别”“105、106”中的“区划代码、城乡代码”“100是否为‘视同法人单位’”“110单位类型”。</w:t>
      </w:r>
    </w:p>
    <w:p>
      <w:pPr>
        <w:spacing w:line="240" w:lineRule="exact"/>
        <w:ind w:left="1058" w:leftChars="303" w:right="42" w:rightChars="20" w:hanging="422" w:hangingChars="240"/>
        <w:rPr>
          <w:rFonts w:hint="eastAsia" w:ascii="宋体" w:hAnsi="宋体" w:cs="宋体"/>
          <w:color w:val="auto"/>
          <w:sz w:val="18"/>
          <w:szCs w:val="18"/>
        </w:rPr>
      </w:pPr>
      <w:r>
        <w:rPr>
          <w:rFonts w:hint="eastAsia" w:ascii="宋体" w:hAnsi="宋体" w:cs="宋体"/>
          <w:color w:val="auto"/>
          <w:spacing w:val="-2"/>
          <w:sz w:val="18"/>
          <w:szCs w:val="18"/>
        </w:rPr>
        <w:t>（3）统计</w:t>
      </w:r>
      <w:r>
        <w:rPr>
          <w:rFonts w:hint="eastAsia" w:ascii="宋体" w:hAnsi="宋体" w:cs="宋体"/>
          <w:color w:val="auto"/>
          <w:sz w:val="18"/>
          <w:szCs w:val="18"/>
        </w:rPr>
        <w:t>机构不能修改本表中的“109统一社会信用代码”“102单位详细名称”“104报表类别”“110单位类型”，不能跨报表类别修改“103行业代码”，不能跨省（自治区、直辖市）修改“105、106”中的“区划代码”。</w:t>
      </w:r>
    </w:p>
    <w:p>
      <w:pPr>
        <w:spacing w:line="240" w:lineRule="exact"/>
        <w:ind w:left="1068" w:leftChars="303" w:right="42" w:rightChars="20" w:hanging="432" w:hangingChars="240"/>
        <w:rPr>
          <w:rFonts w:hint="eastAsia" w:ascii="宋体" w:hAnsi="宋体" w:cs="宋体"/>
          <w:color w:val="auto"/>
          <w:sz w:val="18"/>
          <w:szCs w:val="18"/>
        </w:rPr>
      </w:pPr>
      <w:r>
        <w:rPr>
          <w:rFonts w:hint="eastAsia" w:ascii="宋体" w:hAnsi="宋体" w:cs="宋体"/>
          <w:color w:val="auto"/>
          <w:sz w:val="18"/>
          <w:szCs w:val="18"/>
        </w:rPr>
        <w:t>（4）“105、106”中的“城乡代码”根据202</w:t>
      </w:r>
      <w:r>
        <w:rPr>
          <w:rFonts w:ascii="宋体" w:hAnsi="宋体" w:cs="宋体"/>
          <w:color w:val="auto"/>
          <w:sz w:val="18"/>
          <w:szCs w:val="18"/>
        </w:rPr>
        <w:t>5</w:t>
      </w:r>
      <w:r>
        <w:rPr>
          <w:rFonts w:hint="eastAsia" w:ascii="宋体" w:hAnsi="宋体" w:cs="宋体"/>
          <w:color w:val="auto"/>
          <w:sz w:val="18"/>
          <w:szCs w:val="18"/>
        </w:rPr>
        <w:t>年《统计用区划代码和城乡划分代码》提取生成。</w:t>
      </w:r>
    </w:p>
    <w:p>
      <w:pPr>
        <w:spacing w:line="240" w:lineRule="exact"/>
        <w:ind w:left="1072" w:leftChars="305" w:right="42" w:rightChars="20" w:hanging="432" w:hangingChars="240"/>
        <w:rPr>
          <w:rFonts w:hint="eastAsia" w:ascii="宋体" w:hAnsi="宋体" w:cs="宋体"/>
          <w:color w:val="auto"/>
          <w:sz w:val="18"/>
          <w:szCs w:val="18"/>
        </w:rPr>
      </w:pPr>
      <w:r>
        <w:rPr>
          <w:rFonts w:hint="eastAsia" w:ascii="宋体" w:hAnsi="宋体" w:cs="宋体"/>
          <w:color w:val="auto"/>
          <w:sz w:val="18"/>
          <w:szCs w:val="18"/>
        </w:rPr>
        <w:t>（5）“191单位规模”“192从业人员”和“193企业主要经济指标”等指标数据由各级统计机构待相关报表数据确认后进行摘抄或计算取得。具体方法为：“192从业人员”数据，对于年度新纳入单位，由调查单位自行填报，其他单位从“从业人员及工资总额”（102-1表）中的“从业人员期末人数（01）”和“其中：女性（02）”摘抄取得；“193企业主要经济指标”数据分别从各行业“财务状况”表中的“营业收入(301)”“其中：主营业务收入(302)”“资产总计(213)”“利润总额(32</w:t>
      </w:r>
      <w:r>
        <w:rPr>
          <w:rFonts w:ascii="宋体" w:hAnsi="宋体" w:cs="宋体"/>
          <w:color w:val="auto"/>
          <w:sz w:val="18"/>
          <w:szCs w:val="18"/>
          <w:lang w:val="en"/>
        </w:rPr>
        <w:t>7</w:t>
      </w:r>
      <w:r>
        <w:rPr>
          <w:rFonts w:hint="eastAsia" w:ascii="宋体" w:hAnsi="宋体" w:cs="宋体"/>
          <w:color w:val="auto"/>
          <w:sz w:val="18"/>
          <w:szCs w:val="18"/>
        </w:rPr>
        <w:t>)”摘抄取得；“191单位规模”依据《统计上大中小微型企业划分办法（2017）》及“192从业人员”和“193企业主要经济指标”的数据计算取得。</w:t>
      </w:r>
    </w:p>
    <w:p>
      <w:pPr>
        <w:spacing w:line="240" w:lineRule="exact"/>
        <w:ind w:left="1072" w:leftChars="305" w:right="42" w:rightChars="20" w:hanging="432" w:hangingChars="240"/>
        <w:rPr>
          <w:rFonts w:hint="eastAsia" w:ascii="宋体" w:hAnsi="宋体" w:cs="宋体"/>
          <w:color w:val="auto"/>
          <w:sz w:val="18"/>
          <w:szCs w:val="18"/>
        </w:rPr>
      </w:pPr>
      <w:r>
        <w:rPr>
          <w:rFonts w:hint="eastAsia" w:ascii="宋体" w:hAnsi="宋体" w:cs="宋体"/>
          <w:color w:val="auto"/>
          <w:sz w:val="18"/>
          <w:szCs w:val="18"/>
        </w:rPr>
        <w:t>（6）“201法定代表人”“106单位注册地区划及地址”“211机构类型”“205登记注册统计类别”“202成立时间”等指标由统计机构根据部门行政记录生成，调查对象核实确认后上报，无法生成的情况由调查对象直接填写。</w:t>
      </w:r>
    </w:p>
    <w:p>
      <w:pPr>
        <w:spacing w:line="240" w:lineRule="exact"/>
        <w:ind w:left="1072" w:leftChars="305" w:right="42" w:rightChars="20" w:hanging="432" w:hangingChars="240"/>
        <w:rPr>
          <w:rFonts w:ascii="宋体" w:hAnsi="宋体" w:cs="宋体"/>
          <w:color w:val="auto"/>
          <w:sz w:val="18"/>
          <w:szCs w:val="18"/>
        </w:rPr>
      </w:pPr>
      <w:r>
        <w:rPr>
          <w:rFonts w:hint="eastAsia" w:ascii="宋体" w:hAnsi="宋体" w:cs="宋体"/>
          <w:color w:val="auto"/>
          <w:sz w:val="18"/>
          <w:szCs w:val="18"/>
        </w:rPr>
        <w:t>（7）规模以上工业个体经营户仅填报本表中“110单位类型”“109统一社会信用代码”“102单位详细名称”“201法定代表人”“202成立时间”“202开业时间”“203联系方式”“105所在地区划及详细地址”“106注册地区划及详细地址”“208运营状态”“103行业类别”“104报表类别”“191单位规模”“192从业人员”“193企业主要经济指标”，其他指标免填。</w:t>
      </w:r>
    </w:p>
    <w:p>
      <w:pPr>
        <w:jc w:val="center"/>
        <w:rPr>
          <w:rFonts w:hint="eastAsia"/>
          <w:bCs/>
          <w:color w:val="auto"/>
          <w:kern w:val="0"/>
          <w:sz w:val="18"/>
          <w:szCs w:val="18"/>
        </w:rPr>
      </w:pPr>
    </w:p>
    <w:p>
      <w:pPr>
        <w:widowControl/>
        <w:snapToGrid w:val="0"/>
        <w:spacing w:after="315" w:afterLines="100"/>
        <w:jc w:val="center"/>
        <w:outlineLvl w:val="9"/>
        <w:rPr>
          <w:rFonts w:ascii="Nimbus Roman No9 L" w:hAnsi="Nimbus Roman No9 L" w:eastAsia="黑体" w:cs="Nimbus Roman No9 L"/>
          <w:color w:val="auto"/>
          <w:sz w:val="28"/>
          <w:szCs w:val="28"/>
        </w:rPr>
      </w:pPr>
    </w:p>
    <w:p>
      <w:pPr>
        <w:rPr>
          <w:rFonts w:hint="default" w:ascii="宋体" w:hAnsi="宋体" w:eastAsia="宋体" w:cs="宋体"/>
          <w:color w:val="auto"/>
          <w:sz w:val="18"/>
          <w:szCs w:val="18"/>
          <w:lang w:eastAsia="zh-CN"/>
        </w:rPr>
      </w:pPr>
      <w:r>
        <w:rPr>
          <w:rFonts w:hint="default" w:ascii="宋体" w:hAnsi="宋体" w:eastAsia="宋体" w:cs="宋体"/>
          <w:color w:val="auto"/>
          <w:sz w:val="18"/>
          <w:szCs w:val="18"/>
          <w:lang w:eastAsia="zh-CN"/>
        </w:rPr>
        <w:br w:type="page"/>
      </w:r>
    </w:p>
    <w:p>
      <w:pPr>
        <w:spacing w:before="120" w:beforeLines="50" w:line="220" w:lineRule="exact"/>
        <w:jc w:val="center"/>
        <w:rPr>
          <w:color w:val="auto"/>
          <w:sz w:val="32"/>
        </w:rPr>
      </w:pPr>
    </w:p>
    <w:p>
      <w:pPr>
        <w:spacing w:before="120" w:beforeLines="50" w:line="220" w:lineRule="exact"/>
        <w:jc w:val="center"/>
        <w:rPr>
          <w:color w:val="auto"/>
          <w:sz w:val="32"/>
        </w:rPr>
      </w:pPr>
      <w:r>
        <w:rPr>
          <w:rFonts w:hint="eastAsia"/>
          <w:color w:val="auto"/>
          <w:sz w:val="32"/>
        </w:rPr>
        <w:t>固定资产投资项目新增生产能力（或工程效益）情况</w:t>
      </w:r>
    </w:p>
    <w:p>
      <w:pPr>
        <w:autoSpaceDE w:val="0"/>
        <w:autoSpaceDN w:val="0"/>
        <w:jc w:val="center"/>
        <w:rPr>
          <w:rFonts w:hint="eastAsia"/>
          <w:color w:val="auto"/>
          <w:sz w:val="32"/>
        </w:rPr>
      </w:pPr>
    </w:p>
    <w:tbl>
      <w:tblPr>
        <w:tblStyle w:val="21"/>
        <w:tblW w:w="9526" w:type="dxa"/>
        <w:jc w:val="center"/>
        <w:tblLayout w:type="fixed"/>
        <w:tblCellMar>
          <w:top w:w="0" w:type="dxa"/>
          <w:left w:w="0" w:type="dxa"/>
          <w:bottom w:w="0" w:type="dxa"/>
          <w:right w:w="0" w:type="dxa"/>
        </w:tblCellMar>
      </w:tblPr>
      <w:tblGrid>
        <w:gridCol w:w="357"/>
        <w:gridCol w:w="162"/>
        <w:gridCol w:w="10"/>
        <w:gridCol w:w="175"/>
        <w:gridCol w:w="208"/>
        <w:gridCol w:w="209"/>
        <w:gridCol w:w="209"/>
        <w:gridCol w:w="209"/>
        <w:gridCol w:w="195"/>
        <w:gridCol w:w="223"/>
        <w:gridCol w:w="209"/>
        <w:gridCol w:w="209"/>
        <w:gridCol w:w="217"/>
        <w:gridCol w:w="109"/>
        <w:gridCol w:w="93"/>
        <w:gridCol w:w="209"/>
        <w:gridCol w:w="209"/>
        <w:gridCol w:w="209"/>
        <w:gridCol w:w="209"/>
        <w:gridCol w:w="229"/>
        <w:gridCol w:w="189"/>
        <w:gridCol w:w="209"/>
        <w:gridCol w:w="209"/>
        <w:gridCol w:w="104"/>
        <w:gridCol w:w="1075"/>
        <w:gridCol w:w="1217"/>
        <w:gridCol w:w="898"/>
        <w:gridCol w:w="383"/>
        <w:gridCol w:w="1383"/>
      </w:tblGrid>
      <w:tr>
        <w:tblPrEx>
          <w:tblCellMar>
            <w:top w:w="0" w:type="dxa"/>
            <w:left w:w="0" w:type="dxa"/>
            <w:bottom w:w="0" w:type="dxa"/>
            <w:right w:w="0" w:type="dxa"/>
          </w:tblCellMar>
        </w:tblPrEx>
        <w:trPr>
          <w:trHeight w:val="221" w:hRule="atLeast"/>
          <w:jc w:val="center"/>
        </w:trPr>
        <w:tc>
          <w:tcPr>
            <w:tcW w:w="354" w:type="dxa"/>
            <w:tcBorders>
              <w:top w:val="single" w:color="auto" w:sz="2" w:space="0"/>
              <w:left w:val="single" w:color="auto" w:sz="2" w:space="0"/>
              <w:bottom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宋体"/>
                <w:color w:val="auto"/>
                <w:sz w:val="18"/>
                <w:szCs w:val="18"/>
              </w:rPr>
            </w:pPr>
            <w:r>
              <w:rPr>
                <w:rFonts w:hint="default" w:ascii="宋体"/>
                <w:color w:val="auto"/>
                <w:sz w:val="18"/>
                <w:szCs w:val="18"/>
              </w:rPr>
              <w:t>01</w:t>
            </w:r>
          </w:p>
        </w:tc>
        <w:tc>
          <w:tcPr>
            <w:tcW w:w="169" w:type="dxa"/>
            <w:gridSpan w:val="2"/>
            <w:tcBorders>
              <w:lef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161" w:type="dxa"/>
            <w:gridSpan w:val="11"/>
            <w:tcBorders>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r>
              <w:rPr>
                <w:rFonts w:hint="eastAsia" w:ascii="宋体"/>
                <w:color w:val="auto"/>
                <w:sz w:val="18"/>
                <w:szCs w:val="18"/>
              </w:rPr>
              <w:t>单位名称</w:t>
            </w:r>
            <w:r>
              <w:rPr>
                <w:rFonts w:hint="default" w:ascii="宋体"/>
                <w:color w:val="auto"/>
                <w:sz w:val="18"/>
                <w:szCs w:val="18"/>
              </w:rPr>
              <w:t>(</w:t>
            </w:r>
            <w:r>
              <w:rPr>
                <w:rFonts w:hint="eastAsia" w:ascii="宋体"/>
                <w:color w:val="auto"/>
                <w:sz w:val="18"/>
                <w:szCs w:val="18"/>
              </w:rPr>
              <w:t>盖章</w:t>
            </w:r>
            <w:r>
              <w:rPr>
                <w:rFonts w:hint="default" w:ascii="宋体"/>
                <w:color w:val="auto"/>
                <w:sz w:val="18"/>
                <w:szCs w:val="18"/>
              </w:rPr>
              <w:t>)</w:t>
            </w:r>
            <w:r>
              <w:rPr>
                <w:rFonts w:hint="eastAsia" w:ascii="宋体"/>
                <w:color w:val="auto"/>
                <w:sz w:val="18"/>
                <w:szCs w:val="18"/>
              </w:rPr>
              <w:t>：</w:t>
            </w:r>
          </w:p>
        </w:tc>
        <w:tc>
          <w:tcPr>
            <w:tcW w:w="508" w:type="dxa"/>
            <w:gridSpan w:val="3"/>
            <w:tcBorders>
              <w:top w:val="single" w:color="auto" w:sz="2" w:space="0"/>
              <w:left w:val="single" w:color="auto" w:sz="2" w:space="0"/>
              <w:bottom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宋体"/>
                <w:color w:val="auto"/>
                <w:sz w:val="18"/>
                <w:szCs w:val="18"/>
              </w:rPr>
            </w:pPr>
            <w:r>
              <w:rPr>
                <w:rFonts w:hint="default" w:ascii="宋体"/>
                <w:color w:val="auto"/>
                <w:sz w:val="18"/>
                <w:szCs w:val="18"/>
              </w:rPr>
              <w:t>02</w:t>
            </w:r>
          </w:p>
        </w:tc>
        <w:tc>
          <w:tcPr>
            <w:tcW w:w="3628" w:type="dxa"/>
            <w:gridSpan w:val="9"/>
            <w:tcBorders>
              <w:left w:val="single" w:color="auto" w:sz="2" w:space="0"/>
              <w:right w:val="nil"/>
            </w:tcBorders>
            <w:noWrap w:val="0"/>
            <w:vAlign w:val="center"/>
          </w:tcPr>
          <w:p>
            <w:pPr>
              <w:keepNext w:val="0"/>
              <w:keepLines w:val="0"/>
              <w:suppressLineNumbers w:val="0"/>
              <w:snapToGrid w:val="0"/>
              <w:spacing w:before="0" w:beforeAutospacing="0" w:after="0" w:afterAutospacing="0"/>
              <w:ind w:left="0" w:right="0" w:firstLine="90" w:firstLineChars="50"/>
              <w:rPr>
                <w:rFonts w:hint="default" w:ascii="宋体"/>
                <w:color w:val="auto"/>
                <w:sz w:val="18"/>
                <w:szCs w:val="18"/>
              </w:rPr>
            </w:pPr>
            <w:r>
              <w:rPr>
                <w:rFonts w:hint="eastAsia" w:ascii="宋体"/>
                <w:color w:val="auto"/>
                <w:sz w:val="18"/>
                <w:szCs w:val="18"/>
              </w:rPr>
              <w:t>项目名称：</w:t>
            </w:r>
          </w:p>
        </w:tc>
        <w:tc>
          <w:tcPr>
            <w:tcW w:w="892" w:type="dxa"/>
            <w:tcBorders>
              <w:top w:val="nil"/>
              <w:left w:val="nil"/>
              <w:bottom w:val="nil"/>
              <w:right w:val="nil"/>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1755" w:type="dxa"/>
            <w:gridSpan w:val="2"/>
            <w:tcBorders>
              <w:left w:val="nil"/>
            </w:tcBorders>
            <w:noWrap w:val="0"/>
            <w:vAlign w:val="center"/>
          </w:tcPr>
          <w:p>
            <w:pPr>
              <w:keepNext w:val="0"/>
              <w:keepLines w:val="0"/>
              <w:suppressLineNumbers w:val="0"/>
              <w:snapToGrid w:val="0"/>
              <w:spacing w:before="0" w:beforeAutospacing="0" w:after="0" w:afterAutospacing="0"/>
              <w:ind w:left="0" w:right="0"/>
              <w:jc w:val="distribute"/>
              <w:rPr>
                <w:rFonts w:hint="default" w:ascii="宋体"/>
                <w:color w:val="auto"/>
                <w:sz w:val="18"/>
                <w:szCs w:val="18"/>
              </w:rPr>
            </w:pPr>
          </w:p>
        </w:tc>
      </w:tr>
      <w:tr>
        <w:tblPrEx>
          <w:tblCellMar>
            <w:top w:w="0" w:type="dxa"/>
            <w:left w:w="0" w:type="dxa"/>
            <w:bottom w:w="0" w:type="dxa"/>
            <w:right w:w="0" w:type="dxa"/>
          </w:tblCellMar>
        </w:tblPrEx>
        <w:trPr>
          <w:trHeight w:val="211" w:hRule="atLeast"/>
          <w:jc w:val="center"/>
        </w:trPr>
        <w:tc>
          <w:tcPr>
            <w:tcW w:w="697" w:type="dxa"/>
            <w:gridSpan w:val="4"/>
            <w:vMerge w:val="restart"/>
            <w:tcBorders>
              <w:right w:val="single" w:color="auto" w:sz="2" w:space="0"/>
            </w:tcBorders>
            <w:noWrap w:val="0"/>
            <w:vAlign w:val="bottom"/>
          </w:tcPr>
          <w:p>
            <w:pPr>
              <w:pStyle w:val="15"/>
              <w:keepNext w:val="0"/>
              <w:keepLines w:val="0"/>
              <w:suppressLineNumbers w:val="0"/>
              <w:pBdr>
                <w:bottom w:val="none" w:color="auto" w:sz="0" w:space="0"/>
              </w:pBdr>
              <w:tabs>
                <w:tab w:val="clear" w:pos="4153"/>
                <w:tab w:val="clear" w:pos="8306"/>
              </w:tabs>
              <w:spacing w:before="0" w:beforeAutospacing="0" w:after="0" w:afterAutospacing="0"/>
              <w:ind w:left="0" w:right="0"/>
              <w:rPr>
                <w:rFonts w:hint="default" w:ascii="宋体"/>
                <w:color w:val="auto"/>
                <w:spacing w:val="-4"/>
              </w:rPr>
            </w:pPr>
            <w:r>
              <w:rPr>
                <w:rFonts w:hint="eastAsia" w:ascii="宋体"/>
                <w:color w:val="auto"/>
                <w:spacing w:val="-4"/>
              </w:rPr>
              <w:t>基层表</w:t>
            </w:r>
          </w:p>
        </w:tc>
        <w:tc>
          <w:tcPr>
            <w:tcW w:w="1879" w:type="dxa"/>
            <w:gridSpan w:val="9"/>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宋体"/>
                <w:color w:val="auto"/>
                <w:sz w:val="18"/>
                <w:szCs w:val="18"/>
              </w:rPr>
            </w:pPr>
            <w:r>
              <w:rPr>
                <w:rFonts w:hint="eastAsia" w:ascii="宋体"/>
                <w:color w:val="auto"/>
                <w:sz w:val="18"/>
                <w:szCs w:val="18"/>
              </w:rPr>
              <w:t>组织机构代码</w:t>
            </w:r>
          </w:p>
        </w:tc>
        <w:tc>
          <w:tcPr>
            <w:tcW w:w="1260" w:type="dxa"/>
            <w:gridSpan w:val="7"/>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宋体"/>
                <w:color w:val="auto"/>
                <w:sz w:val="18"/>
                <w:szCs w:val="18"/>
              </w:rPr>
            </w:pPr>
            <w:r>
              <w:rPr>
                <w:rFonts w:hint="eastAsia" w:ascii="宋体"/>
                <w:color w:val="auto"/>
                <w:sz w:val="18"/>
                <w:szCs w:val="18"/>
              </w:rPr>
              <w:t>项目处理地</w:t>
            </w:r>
          </w:p>
        </w:tc>
        <w:tc>
          <w:tcPr>
            <w:tcW w:w="604" w:type="dxa"/>
            <w:gridSpan w:val="3"/>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宋体"/>
                <w:color w:val="auto"/>
                <w:sz w:val="18"/>
                <w:szCs w:val="18"/>
              </w:rPr>
            </w:pPr>
            <w:r>
              <w:rPr>
                <w:rFonts w:hint="eastAsia" w:ascii="宋体"/>
                <w:color w:val="auto"/>
                <w:sz w:val="18"/>
                <w:szCs w:val="18"/>
              </w:rPr>
              <w:t>顺序号</w:t>
            </w:r>
          </w:p>
        </w:tc>
        <w:tc>
          <w:tcPr>
            <w:tcW w:w="2380" w:type="dxa"/>
            <w:gridSpan w:val="3"/>
            <w:vMerge w:val="restart"/>
            <w:tcBorders>
              <w:left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5"/>
              </w:rPr>
            </w:pPr>
          </w:p>
        </w:tc>
        <w:tc>
          <w:tcPr>
            <w:tcW w:w="892" w:type="dxa"/>
            <w:tcBorders>
              <w:top w:val="nil"/>
              <w:left w:val="nil"/>
              <w:right w:val="nil"/>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r>
              <w:rPr>
                <w:rFonts w:hint="eastAsia" w:ascii="宋体"/>
                <w:color w:val="auto"/>
                <w:sz w:val="18"/>
                <w:szCs w:val="18"/>
              </w:rPr>
              <w:t>表    号：</w:t>
            </w:r>
          </w:p>
        </w:tc>
        <w:tc>
          <w:tcPr>
            <w:tcW w:w="1755" w:type="dxa"/>
            <w:gridSpan w:val="2"/>
            <w:tcBorders>
              <w:left w:val="nil"/>
            </w:tcBorders>
            <w:noWrap w:val="0"/>
            <w:vAlign w:val="center"/>
          </w:tcPr>
          <w:p>
            <w:pPr>
              <w:keepNext w:val="0"/>
              <w:keepLines w:val="0"/>
              <w:suppressLineNumbers w:val="0"/>
              <w:snapToGrid w:val="0"/>
              <w:spacing w:before="0" w:beforeAutospacing="0" w:after="0" w:afterAutospacing="0"/>
              <w:ind w:left="0" w:right="0"/>
              <w:jc w:val="distribute"/>
              <w:rPr>
                <w:rFonts w:hint="default" w:ascii="宋体"/>
                <w:color w:val="auto"/>
                <w:sz w:val="18"/>
                <w:szCs w:val="18"/>
              </w:rPr>
            </w:pPr>
            <w:r>
              <w:rPr>
                <w:rFonts w:hint="eastAsia" w:ascii="宋体"/>
                <w:color w:val="auto"/>
                <w:sz w:val="18"/>
                <w:szCs w:val="18"/>
              </w:rPr>
              <w:t>Ｈ１０８表</w:t>
            </w:r>
          </w:p>
        </w:tc>
      </w:tr>
      <w:tr>
        <w:tblPrEx>
          <w:tblCellMar>
            <w:top w:w="0" w:type="dxa"/>
            <w:left w:w="0" w:type="dxa"/>
            <w:bottom w:w="0" w:type="dxa"/>
            <w:right w:w="0" w:type="dxa"/>
          </w:tblCellMar>
        </w:tblPrEx>
        <w:trPr>
          <w:trHeight w:val="210" w:hRule="atLeast"/>
          <w:jc w:val="center"/>
        </w:trPr>
        <w:tc>
          <w:tcPr>
            <w:tcW w:w="697" w:type="dxa"/>
            <w:gridSpan w:val="4"/>
            <w:vMerge w:val="continue"/>
            <w:tcBorders>
              <w:right w:val="single" w:color="auto" w:sz="2" w:space="0"/>
            </w:tcBorders>
            <w:noWrap w:val="0"/>
            <w:vAlign w:val="bottom"/>
          </w:tcPr>
          <w:p>
            <w:pPr>
              <w:pStyle w:val="15"/>
              <w:keepNext w:val="0"/>
              <w:keepLines w:val="0"/>
              <w:suppressLineNumbers w:val="0"/>
              <w:pBdr>
                <w:bottom w:val="none" w:color="auto" w:sz="0" w:space="0"/>
              </w:pBdr>
              <w:tabs>
                <w:tab w:val="clear" w:pos="4153"/>
                <w:tab w:val="clear" w:pos="8306"/>
              </w:tabs>
              <w:spacing w:before="0" w:beforeAutospacing="0" w:after="0" w:afterAutospacing="0"/>
              <w:ind w:left="0" w:right="0"/>
              <w:rPr>
                <w:rFonts w:hint="default" w:ascii="宋体"/>
                <w:color w:val="auto"/>
                <w:spacing w:val="-4"/>
              </w:rPr>
            </w:pPr>
          </w:p>
        </w:tc>
        <w:tc>
          <w:tcPr>
            <w:tcW w:w="1879" w:type="dxa"/>
            <w:gridSpan w:val="9"/>
            <w:vMerge w:val="continue"/>
            <w:tcBorders>
              <w:left w:val="single" w:color="auto" w:sz="2" w:space="0"/>
              <w:bottom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宋体"/>
                <w:color w:val="auto"/>
                <w:sz w:val="18"/>
                <w:szCs w:val="18"/>
              </w:rPr>
            </w:pPr>
          </w:p>
        </w:tc>
        <w:tc>
          <w:tcPr>
            <w:tcW w:w="1260" w:type="dxa"/>
            <w:gridSpan w:val="7"/>
            <w:vMerge w:val="continue"/>
            <w:tcBorders>
              <w:left w:val="single" w:color="auto" w:sz="2" w:space="0"/>
              <w:bottom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宋体"/>
                <w:color w:val="auto"/>
                <w:sz w:val="18"/>
                <w:szCs w:val="18"/>
              </w:rPr>
            </w:pPr>
          </w:p>
        </w:tc>
        <w:tc>
          <w:tcPr>
            <w:tcW w:w="604" w:type="dxa"/>
            <w:gridSpan w:val="3"/>
            <w:vMerge w:val="continue"/>
            <w:tcBorders>
              <w:left w:val="single" w:color="auto" w:sz="2" w:space="0"/>
              <w:bottom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宋体"/>
                <w:color w:val="auto"/>
                <w:sz w:val="18"/>
                <w:szCs w:val="18"/>
              </w:rPr>
            </w:pPr>
          </w:p>
        </w:tc>
        <w:tc>
          <w:tcPr>
            <w:tcW w:w="2380" w:type="dxa"/>
            <w:gridSpan w:val="3"/>
            <w:vMerge w:val="continue"/>
            <w:tcBorders>
              <w:left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5"/>
              </w:rPr>
            </w:pPr>
          </w:p>
        </w:tc>
        <w:tc>
          <w:tcPr>
            <w:tcW w:w="892" w:type="dxa"/>
            <w:tcBorders>
              <w:left w:val="nil"/>
              <w:bottom w:val="nil"/>
              <w:right w:val="nil"/>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r>
              <w:rPr>
                <w:rFonts w:hint="eastAsia" w:ascii="宋体"/>
                <w:color w:val="auto"/>
                <w:sz w:val="18"/>
                <w:szCs w:val="18"/>
              </w:rPr>
              <w:t>制定机关：</w:t>
            </w:r>
          </w:p>
        </w:tc>
        <w:tc>
          <w:tcPr>
            <w:tcW w:w="1755" w:type="dxa"/>
            <w:gridSpan w:val="2"/>
            <w:tcBorders>
              <w:left w:val="nil"/>
            </w:tcBorders>
            <w:noWrap w:val="0"/>
            <w:vAlign w:val="center"/>
          </w:tcPr>
          <w:p>
            <w:pPr>
              <w:keepNext w:val="0"/>
              <w:keepLines w:val="0"/>
              <w:suppressLineNumbers w:val="0"/>
              <w:snapToGrid w:val="0"/>
              <w:spacing w:before="0" w:beforeAutospacing="0" w:after="0" w:afterAutospacing="0"/>
              <w:ind w:left="0" w:right="0"/>
              <w:jc w:val="distribute"/>
              <w:rPr>
                <w:rFonts w:hint="default" w:ascii="宋体"/>
                <w:color w:val="auto"/>
                <w:sz w:val="18"/>
                <w:szCs w:val="18"/>
              </w:rPr>
            </w:pPr>
            <w:r>
              <w:rPr>
                <w:rFonts w:hint="eastAsia" w:ascii="宋体"/>
                <w:color w:val="auto"/>
                <w:sz w:val="18"/>
                <w:szCs w:val="18"/>
              </w:rPr>
              <w:t>国</w:t>
            </w:r>
            <w:r>
              <w:rPr>
                <w:rFonts w:hint="default" w:ascii="宋体"/>
                <w:color w:val="auto"/>
                <w:sz w:val="18"/>
                <w:szCs w:val="18"/>
              </w:rPr>
              <w:t xml:space="preserve"> </w:t>
            </w:r>
            <w:r>
              <w:rPr>
                <w:rFonts w:hint="eastAsia" w:ascii="宋体"/>
                <w:color w:val="auto"/>
                <w:sz w:val="18"/>
                <w:szCs w:val="18"/>
              </w:rPr>
              <w:t>家</w:t>
            </w:r>
            <w:r>
              <w:rPr>
                <w:rFonts w:hint="default" w:ascii="宋体"/>
                <w:color w:val="auto"/>
                <w:sz w:val="18"/>
                <w:szCs w:val="18"/>
              </w:rPr>
              <w:t xml:space="preserve"> </w:t>
            </w:r>
            <w:r>
              <w:rPr>
                <w:rFonts w:hint="eastAsia" w:ascii="宋体"/>
                <w:color w:val="auto"/>
                <w:sz w:val="18"/>
                <w:szCs w:val="18"/>
              </w:rPr>
              <w:t>统</w:t>
            </w:r>
            <w:r>
              <w:rPr>
                <w:rFonts w:hint="default" w:ascii="宋体"/>
                <w:color w:val="auto"/>
                <w:sz w:val="18"/>
                <w:szCs w:val="18"/>
              </w:rPr>
              <w:t xml:space="preserve"> </w:t>
            </w:r>
            <w:r>
              <w:rPr>
                <w:rFonts w:hint="eastAsia" w:ascii="宋体"/>
                <w:color w:val="auto"/>
                <w:sz w:val="18"/>
                <w:szCs w:val="18"/>
              </w:rPr>
              <w:t>计</w:t>
            </w:r>
            <w:r>
              <w:rPr>
                <w:rFonts w:hint="default" w:ascii="宋体"/>
                <w:color w:val="auto"/>
                <w:sz w:val="18"/>
                <w:szCs w:val="18"/>
              </w:rPr>
              <w:t xml:space="preserve"> </w:t>
            </w:r>
            <w:r>
              <w:rPr>
                <w:rFonts w:hint="eastAsia" w:ascii="宋体"/>
                <w:color w:val="auto"/>
                <w:sz w:val="18"/>
                <w:szCs w:val="18"/>
              </w:rPr>
              <w:t>局</w:t>
            </w:r>
          </w:p>
        </w:tc>
      </w:tr>
      <w:tr>
        <w:tblPrEx>
          <w:tblCellMar>
            <w:top w:w="0" w:type="dxa"/>
            <w:left w:w="0" w:type="dxa"/>
            <w:bottom w:w="0" w:type="dxa"/>
            <w:right w:w="0" w:type="dxa"/>
          </w:tblCellMar>
        </w:tblPrEx>
        <w:trPr>
          <w:trHeight w:val="221" w:hRule="atLeast"/>
          <w:jc w:val="center"/>
        </w:trPr>
        <w:tc>
          <w:tcPr>
            <w:tcW w:w="697" w:type="dxa"/>
            <w:gridSpan w:val="4"/>
            <w:tcBorders>
              <w:right w:val="single" w:color="auto" w:sz="2" w:space="0"/>
            </w:tcBorders>
            <w:noWrap w:val="0"/>
            <w:vAlign w:val="top"/>
          </w:tcPr>
          <w:p>
            <w:pPr>
              <w:pStyle w:val="15"/>
              <w:keepNext w:val="0"/>
              <w:keepLines w:val="0"/>
              <w:suppressLineNumbers w:val="0"/>
              <w:pBdr>
                <w:bottom w:val="none" w:color="auto" w:sz="0" w:space="0"/>
              </w:pBdr>
              <w:tabs>
                <w:tab w:val="clear" w:pos="4153"/>
                <w:tab w:val="clear" w:pos="8306"/>
              </w:tabs>
              <w:spacing w:before="0" w:beforeAutospacing="0" w:after="0" w:afterAutospacing="0"/>
              <w:ind w:left="0" w:right="0"/>
              <w:rPr>
                <w:rFonts w:hint="default" w:ascii="宋体"/>
                <w:color w:val="auto"/>
              </w:rPr>
            </w:pPr>
            <w:r>
              <w:rPr>
                <w:rFonts w:hint="eastAsia" w:ascii="宋体"/>
                <w:color w:val="auto"/>
              </w:rPr>
              <w:t>编码</w:t>
            </w:r>
          </w:p>
        </w:tc>
        <w:tc>
          <w:tcPr>
            <w:tcW w:w="207"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194"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22"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16"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0" w:type="dxa"/>
            <w:gridSpan w:val="2"/>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28"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188"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restart"/>
            <w:tcBorders>
              <w:top w:val="single" w:color="auto" w:sz="2" w:space="0"/>
              <w:left w:val="single" w:color="auto" w:sz="2"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380" w:type="dxa"/>
            <w:gridSpan w:val="3"/>
            <w:vMerge w:val="continue"/>
            <w:tcBorders>
              <w:left w:val="single" w:color="auto" w:sz="2" w:space="0"/>
              <w:right w:val="nil"/>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5"/>
              </w:rPr>
            </w:pPr>
          </w:p>
        </w:tc>
        <w:tc>
          <w:tcPr>
            <w:tcW w:w="892" w:type="dxa"/>
            <w:tcBorders>
              <w:top w:val="nil"/>
              <w:left w:val="nil"/>
              <w:bottom w:val="nil"/>
              <w:right w:val="nil"/>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r>
              <w:rPr>
                <w:rFonts w:hint="eastAsia" w:ascii="宋体"/>
                <w:color w:val="auto"/>
                <w:sz w:val="18"/>
                <w:szCs w:val="18"/>
              </w:rPr>
              <w:t>文    号：</w:t>
            </w:r>
          </w:p>
        </w:tc>
        <w:tc>
          <w:tcPr>
            <w:tcW w:w="1755" w:type="dxa"/>
            <w:gridSpan w:val="2"/>
            <w:tcBorders>
              <w:left w:val="nil"/>
            </w:tcBorders>
            <w:noWrap w:val="0"/>
            <w:vAlign w:val="center"/>
          </w:tcPr>
          <w:p>
            <w:pPr>
              <w:keepNext w:val="0"/>
              <w:keepLines w:val="0"/>
              <w:suppressLineNumbers w:val="0"/>
              <w:snapToGrid w:val="0"/>
              <w:spacing w:before="0" w:beforeAutospacing="0" w:after="0" w:afterAutospacing="0"/>
              <w:ind w:left="0" w:right="0"/>
              <w:jc w:val="distribute"/>
              <w:rPr>
                <w:rFonts w:hint="default" w:ascii="宋体"/>
                <w:color w:val="auto"/>
                <w:sz w:val="18"/>
                <w:szCs w:val="18"/>
              </w:rPr>
            </w:pPr>
            <w:r>
              <w:rPr>
                <w:rFonts w:hint="eastAsia" w:ascii="宋体"/>
                <w:color w:val="auto"/>
                <w:sz w:val="18"/>
                <w:szCs w:val="18"/>
              </w:rPr>
              <w:t>国统字〔2025〕88号</w:t>
            </w:r>
          </w:p>
        </w:tc>
      </w:tr>
      <w:tr>
        <w:tblPrEx>
          <w:tblCellMar>
            <w:top w:w="0" w:type="dxa"/>
            <w:left w:w="0" w:type="dxa"/>
            <w:bottom w:w="0" w:type="dxa"/>
            <w:right w:w="0" w:type="dxa"/>
          </w:tblCellMar>
        </w:tblPrEx>
        <w:trPr>
          <w:trHeight w:val="221" w:hRule="atLeast"/>
          <w:jc w:val="center"/>
        </w:trPr>
        <w:tc>
          <w:tcPr>
            <w:tcW w:w="514" w:type="dxa"/>
            <w:gridSpan w:val="2"/>
            <w:tcBorders>
              <w:top w:val="single" w:color="auto" w:sz="2" w:space="0"/>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宋体"/>
                <w:color w:val="auto"/>
                <w:sz w:val="18"/>
                <w:szCs w:val="18"/>
              </w:rPr>
            </w:pPr>
            <w:r>
              <w:rPr>
                <w:rFonts w:hint="default" w:ascii="宋体"/>
                <w:color w:val="auto"/>
                <w:sz w:val="18"/>
                <w:szCs w:val="18"/>
              </w:rPr>
              <w:t>03</w:t>
            </w:r>
          </w:p>
        </w:tc>
        <w:tc>
          <w:tcPr>
            <w:tcW w:w="183" w:type="dxa"/>
            <w:gridSpan w:val="2"/>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7"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194"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22"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16"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0" w:type="dxa"/>
            <w:gridSpan w:val="2"/>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28"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188"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08" w:type="dxa"/>
            <w:vMerge w:val="continue"/>
            <w:tcBorders>
              <w:left w:val="single" w:color="auto" w:sz="2" w:space="0"/>
              <w:bottom w:val="single" w:color="auto" w:sz="8" w:space="0"/>
              <w:right w:val="single" w:color="auto" w:sz="2" w:space="0"/>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p>
        </w:tc>
        <w:tc>
          <w:tcPr>
            <w:tcW w:w="2380" w:type="dxa"/>
            <w:gridSpan w:val="3"/>
            <w:tcBorders>
              <w:left w:val="single" w:color="auto" w:sz="2" w:space="0"/>
              <w:bottom w:val="single" w:color="auto" w:sz="8" w:space="0"/>
              <w:right w:val="nil"/>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szCs w:val="18"/>
              </w:rPr>
            </w:pPr>
            <w:r>
              <w:rPr>
                <w:rFonts w:hint="eastAsia" w:ascii="宋体"/>
                <w:color w:val="auto"/>
                <w:sz w:val="18"/>
                <w:szCs w:val="18"/>
              </w:rPr>
              <w:t>２０</w:t>
            </w:r>
            <w:r>
              <w:rPr>
                <w:rFonts w:hint="eastAsia" w:ascii="宋体" w:hAnsi="宋体" w:cs="宋体"/>
                <w:color w:val="auto"/>
                <w:sz w:val="18"/>
                <w:szCs w:val="18"/>
              </w:rPr>
              <w:t>２ 5</w:t>
            </w:r>
            <w:r>
              <w:rPr>
                <w:rFonts w:hint="eastAsia" w:ascii="宋体"/>
                <w:color w:val="auto"/>
                <w:sz w:val="18"/>
                <w:szCs w:val="18"/>
              </w:rPr>
              <w:t>年</w:t>
            </w:r>
          </w:p>
        </w:tc>
        <w:tc>
          <w:tcPr>
            <w:tcW w:w="892" w:type="dxa"/>
            <w:tcBorders>
              <w:top w:val="nil"/>
              <w:left w:val="nil"/>
              <w:bottom w:val="single" w:color="auto" w:sz="8" w:space="0"/>
              <w:right w:val="nil"/>
            </w:tcBorders>
            <w:noWrap w:val="0"/>
            <w:vAlign w:val="center"/>
          </w:tcPr>
          <w:p>
            <w:pPr>
              <w:keepNext w:val="0"/>
              <w:keepLines w:val="0"/>
              <w:suppressLineNumbers w:val="0"/>
              <w:snapToGrid w:val="0"/>
              <w:spacing w:before="0" w:beforeAutospacing="0" w:after="0" w:afterAutospacing="0"/>
              <w:ind w:left="0" w:right="0"/>
              <w:rPr>
                <w:rFonts w:hint="default" w:ascii="宋体"/>
                <w:color w:val="auto"/>
                <w:sz w:val="18"/>
              </w:rPr>
            </w:pPr>
            <w:r>
              <w:rPr>
                <w:rFonts w:hint="eastAsia" w:ascii="宋体"/>
                <w:color w:val="auto"/>
                <w:sz w:val="18"/>
              </w:rPr>
              <w:t>有效期至：</w:t>
            </w:r>
          </w:p>
        </w:tc>
        <w:tc>
          <w:tcPr>
            <w:tcW w:w="1755" w:type="dxa"/>
            <w:gridSpan w:val="2"/>
            <w:tcBorders>
              <w:left w:val="nil"/>
              <w:bottom w:val="single" w:color="auto" w:sz="8" w:space="0"/>
            </w:tcBorders>
            <w:noWrap w:val="0"/>
            <w:vAlign w:val="center"/>
          </w:tcPr>
          <w:p>
            <w:pPr>
              <w:keepNext w:val="0"/>
              <w:keepLines w:val="0"/>
              <w:suppressLineNumbers w:val="0"/>
              <w:snapToGrid w:val="0"/>
              <w:spacing w:before="0" w:beforeAutospacing="0" w:after="0" w:afterAutospacing="0"/>
              <w:ind w:left="0" w:right="0"/>
              <w:jc w:val="distribute"/>
              <w:rPr>
                <w:rFonts w:hint="default" w:ascii="宋体"/>
                <w:color w:val="auto"/>
                <w:sz w:val="18"/>
                <w:szCs w:val="18"/>
              </w:rPr>
            </w:pPr>
            <w:r>
              <w:rPr>
                <w:rFonts w:hint="eastAsia" w:ascii="宋体"/>
                <w:color w:val="auto"/>
                <w:sz w:val="18"/>
              </w:rPr>
              <w:t>２０２6年６月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jc w:val="center"/>
        </w:trPr>
        <w:tc>
          <w:tcPr>
            <w:tcW w:w="1722" w:type="dxa"/>
            <w:gridSpan w:val="9"/>
            <w:vMerge w:val="restart"/>
            <w:tcBorders>
              <w:top w:val="single" w:color="auto" w:sz="8"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r>
              <w:rPr>
                <w:rFonts w:hint="eastAsia" w:ascii="宋体" w:hAnsi="宋体"/>
                <w:color w:val="auto"/>
                <w:sz w:val="18"/>
                <w:szCs w:val="18"/>
              </w:rPr>
              <w:t>新增生产能力</w:t>
            </w:r>
          </w:p>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r>
              <w:rPr>
                <w:rFonts w:hint="default" w:ascii="宋体" w:hAnsi="宋体"/>
                <w:color w:val="auto"/>
                <w:sz w:val="18"/>
                <w:szCs w:val="18"/>
              </w:rPr>
              <w:t>(</w:t>
            </w:r>
            <w:r>
              <w:rPr>
                <w:rFonts w:hint="eastAsia" w:ascii="宋体" w:hAnsi="宋体"/>
                <w:color w:val="auto"/>
                <w:sz w:val="18"/>
                <w:szCs w:val="18"/>
              </w:rPr>
              <w:t>或工程效益</w:t>
            </w:r>
            <w:r>
              <w:rPr>
                <w:rFonts w:hint="default" w:ascii="宋体" w:hAnsi="宋体"/>
                <w:color w:val="auto"/>
                <w:sz w:val="18"/>
                <w:szCs w:val="18"/>
              </w:rPr>
              <w:t>)</w:t>
            </w:r>
            <w:r>
              <w:rPr>
                <w:rFonts w:hint="eastAsia" w:ascii="宋体" w:hAnsi="宋体"/>
                <w:color w:val="auto"/>
                <w:sz w:val="18"/>
                <w:szCs w:val="18"/>
              </w:rPr>
              <w:t>名称</w:t>
            </w:r>
          </w:p>
        </w:tc>
        <w:tc>
          <w:tcPr>
            <w:tcW w:w="854" w:type="dxa"/>
            <w:gridSpan w:val="4"/>
            <w:vMerge w:val="restart"/>
            <w:tcBorders>
              <w:top w:val="single" w:color="auto" w:sz="8"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r>
              <w:rPr>
                <w:rFonts w:hint="eastAsia" w:ascii="宋体" w:hAnsi="宋体"/>
                <w:color w:val="auto"/>
                <w:sz w:val="18"/>
                <w:szCs w:val="18"/>
              </w:rPr>
              <w:t>计量</w:t>
            </w:r>
          </w:p>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r>
              <w:rPr>
                <w:rFonts w:hint="eastAsia" w:ascii="宋体" w:hAnsi="宋体"/>
                <w:color w:val="auto"/>
                <w:sz w:val="18"/>
                <w:szCs w:val="18"/>
              </w:rPr>
              <w:t>单位</w:t>
            </w:r>
          </w:p>
        </w:tc>
        <w:tc>
          <w:tcPr>
            <w:tcW w:w="616" w:type="dxa"/>
            <w:gridSpan w:val="4"/>
            <w:vMerge w:val="restart"/>
            <w:tcBorders>
              <w:top w:val="single" w:color="auto" w:sz="8"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r>
              <w:rPr>
                <w:rFonts w:hint="eastAsia" w:ascii="宋体" w:hAnsi="宋体"/>
                <w:color w:val="auto"/>
                <w:sz w:val="18"/>
                <w:szCs w:val="18"/>
              </w:rPr>
              <w:t>代码</w:t>
            </w:r>
          </w:p>
        </w:tc>
        <w:tc>
          <w:tcPr>
            <w:tcW w:w="1351" w:type="dxa"/>
            <w:gridSpan w:val="7"/>
            <w:vMerge w:val="restart"/>
            <w:tcBorders>
              <w:top w:val="single" w:color="auto" w:sz="8"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r>
              <w:rPr>
                <w:rFonts w:hint="eastAsia" w:ascii="宋体" w:hAnsi="宋体"/>
                <w:color w:val="auto"/>
                <w:sz w:val="18"/>
                <w:szCs w:val="18"/>
              </w:rPr>
              <w:t>建设</w:t>
            </w:r>
          </w:p>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r>
              <w:rPr>
                <w:rFonts w:hint="eastAsia" w:ascii="宋体" w:hAnsi="宋体"/>
                <w:color w:val="auto"/>
                <w:sz w:val="18"/>
                <w:szCs w:val="18"/>
              </w:rPr>
              <w:t>规模</w:t>
            </w:r>
          </w:p>
        </w:tc>
        <w:tc>
          <w:tcPr>
            <w:tcW w:w="1068" w:type="dxa"/>
            <w:vMerge w:val="restart"/>
            <w:tcBorders>
              <w:top w:val="single" w:color="auto" w:sz="8" w:space="0"/>
              <w:right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r>
              <w:rPr>
                <w:rFonts w:hint="eastAsia" w:ascii="宋体" w:hAnsi="宋体"/>
                <w:color w:val="auto"/>
                <w:sz w:val="18"/>
                <w:szCs w:val="18"/>
              </w:rPr>
              <w:t>本年施</w:t>
            </w:r>
          </w:p>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r>
              <w:rPr>
                <w:rFonts w:hint="eastAsia" w:ascii="宋体" w:hAnsi="宋体"/>
                <w:color w:val="auto"/>
                <w:sz w:val="18"/>
                <w:szCs w:val="18"/>
              </w:rPr>
              <w:t>工规模</w:t>
            </w:r>
          </w:p>
        </w:tc>
        <w:tc>
          <w:tcPr>
            <w:tcW w:w="1209" w:type="dxa"/>
            <w:tcBorders>
              <w:top w:val="single" w:color="auto" w:sz="8" w:space="0"/>
              <w:left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p>
        </w:tc>
        <w:tc>
          <w:tcPr>
            <w:tcW w:w="1273" w:type="dxa"/>
            <w:gridSpan w:val="2"/>
            <w:vMerge w:val="restart"/>
            <w:tcBorders>
              <w:top w:val="single" w:color="auto" w:sz="8" w:space="0"/>
              <w:right w:val="nil"/>
            </w:tcBorders>
            <w:noWrap w:val="0"/>
            <w:vAlign w:val="center"/>
          </w:tcPr>
          <w:p>
            <w:pPr>
              <w:keepNext w:val="0"/>
              <w:keepLines w:val="0"/>
              <w:suppressLineNumbers w:val="0"/>
              <w:spacing w:before="0" w:beforeAutospacing="0" w:after="0" w:afterAutospacing="0" w:line="240" w:lineRule="exact"/>
              <w:ind w:left="0" w:right="0" w:firstLine="180"/>
              <w:rPr>
                <w:rFonts w:hint="default" w:ascii="宋体"/>
                <w:color w:val="auto"/>
                <w:sz w:val="18"/>
                <w:szCs w:val="18"/>
              </w:rPr>
            </w:pPr>
            <w:r>
              <w:rPr>
                <w:rFonts w:hint="eastAsia" w:ascii="宋体" w:hAnsi="宋体"/>
                <w:color w:val="auto"/>
                <w:sz w:val="18"/>
                <w:szCs w:val="18"/>
              </w:rPr>
              <w:t>累计新增</w:t>
            </w:r>
          </w:p>
          <w:p>
            <w:pPr>
              <w:keepNext w:val="0"/>
              <w:keepLines w:val="0"/>
              <w:suppressLineNumbers w:val="0"/>
              <w:spacing w:before="0" w:beforeAutospacing="0" w:after="0" w:afterAutospacing="0" w:line="240" w:lineRule="exact"/>
              <w:ind w:left="0" w:right="0" w:firstLine="180"/>
              <w:rPr>
                <w:rFonts w:hint="default" w:ascii="宋体"/>
                <w:color w:val="auto"/>
                <w:sz w:val="18"/>
                <w:szCs w:val="18"/>
              </w:rPr>
            </w:pPr>
            <w:r>
              <w:rPr>
                <w:rFonts w:hint="eastAsia" w:ascii="宋体" w:hAnsi="宋体"/>
                <w:color w:val="auto"/>
                <w:sz w:val="18"/>
                <w:szCs w:val="18"/>
              </w:rPr>
              <w:t>生产能力</w:t>
            </w:r>
          </w:p>
          <w:p>
            <w:pPr>
              <w:keepNext w:val="0"/>
              <w:keepLines w:val="0"/>
              <w:suppressLineNumbers w:val="0"/>
              <w:spacing w:before="0" w:beforeAutospacing="0" w:after="0" w:afterAutospacing="0" w:line="240" w:lineRule="exact"/>
              <w:ind w:left="0" w:right="0"/>
              <w:rPr>
                <w:rFonts w:hint="default" w:ascii="宋体" w:hAnsi="宋体"/>
                <w:color w:val="auto"/>
                <w:sz w:val="18"/>
                <w:szCs w:val="18"/>
              </w:rPr>
            </w:pPr>
            <w:r>
              <w:rPr>
                <w:rFonts w:hint="default" w:ascii="宋体" w:hAnsi="宋体"/>
                <w:color w:val="auto"/>
                <w:sz w:val="18"/>
                <w:szCs w:val="18"/>
              </w:rPr>
              <w:t>(</w:t>
            </w:r>
            <w:r>
              <w:rPr>
                <w:rFonts w:hint="eastAsia" w:ascii="宋体" w:hAnsi="宋体"/>
                <w:color w:val="auto"/>
                <w:sz w:val="18"/>
                <w:szCs w:val="18"/>
              </w:rPr>
              <w:t>或工程效益</w:t>
            </w:r>
            <w:r>
              <w:rPr>
                <w:rFonts w:hint="default" w:ascii="宋体" w:hAnsi="宋体"/>
                <w:color w:val="auto"/>
                <w:sz w:val="18"/>
                <w:szCs w:val="18"/>
              </w:rPr>
              <w:t>)</w:t>
            </w:r>
          </w:p>
        </w:tc>
        <w:tc>
          <w:tcPr>
            <w:tcW w:w="1374" w:type="dxa"/>
            <w:tcBorders>
              <w:top w:val="single" w:color="auto" w:sz="8" w:space="0"/>
              <w:left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1722" w:type="dxa"/>
            <w:gridSpan w:val="9"/>
            <w:vMerge w:val="continue"/>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color w:val="auto"/>
                <w:sz w:val="18"/>
                <w:szCs w:val="18"/>
              </w:rPr>
            </w:pPr>
          </w:p>
        </w:tc>
        <w:tc>
          <w:tcPr>
            <w:tcW w:w="854" w:type="dxa"/>
            <w:gridSpan w:val="4"/>
            <w:vMerge w:val="continue"/>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color w:val="auto"/>
                <w:sz w:val="18"/>
                <w:szCs w:val="18"/>
              </w:rPr>
            </w:pPr>
          </w:p>
        </w:tc>
        <w:tc>
          <w:tcPr>
            <w:tcW w:w="616" w:type="dxa"/>
            <w:gridSpan w:val="4"/>
            <w:vMerge w:val="continue"/>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color w:val="auto"/>
                <w:sz w:val="18"/>
                <w:szCs w:val="18"/>
              </w:rPr>
            </w:pPr>
          </w:p>
        </w:tc>
        <w:tc>
          <w:tcPr>
            <w:tcW w:w="1351" w:type="dxa"/>
            <w:gridSpan w:val="7"/>
            <w:vMerge w:val="continue"/>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color w:val="auto"/>
                <w:sz w:val="18"/>
                <w:szCs w:val="18"/>
              </w:rPr>
            </w:pPr>
          </w:p>
        </w:tc>
        <w:tc>
          <w:tcPr>
            <w:tcW w:w="1068" w:type="dxa"/>
            <w:vMerge w:val="continue"/>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color w:val="auto"/>
                <w:sz w:val="18"/>
                <w:szCs w:val="18"/>
              </w:rPr>
            </w:pPr>
          </w:p>
        </w:tc>
        <w:tc>
          <w:tcPr>
            <w:tcW w:w="1209" w:type="dxa"/>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r>
              <w:rPr>
                <w:rFonts w:hint="eastAsia" w:ascii="宋体" w:hAnsi="宋体"/>
                <w:color w:val="auto"/>
                <w:sz w:val="18"/>
                <w:szCs w:val="18"/>
              </w:rPr>
              <w:t>本年新开工</w:t>
            </w:r>
          </w:p>
        </w:tc>
        <w:tc>
          <w:tcPr>
            <w:tcW w:w="1273" w:type="dxa"/>
            <w:gridSpan w:val="2"/>
            <w:vMerge w:val="continue"/>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color w:val="auto"/>
                <w:sz w:val="18"/>
                <w:szCs w:val="18"/>
              </w:rPr>
            </w:pPr>
          </w:p>
        </w:tc>
        <w:tc>
          <w:tcPr>
            <w:tcW w:w="1374" w:type="dxa"/>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r>
              <w:rPr>
                <w:rFonts w:hint="eastAsia" w:ascii="宋体" w:hAnsi="宋体"/>
                <w:color w:val="auto"/>
                <w:sz w:val="18"/>
                <w:szCs w:val="18"/>
              </w:rPr>
              <w:t>本年新增</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3" w:hRule="atLeast"/>
          <w:jc w:val="center"/>
        </w:trPr>
        <w:tc>
          <w:tcPr>
            <w:tcW w:w="1722" w:type="dxa"/>
            <w:gridSpan w:val="9"/>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r>
              <w:rPr>
                <w:rFonts w:hint="eastAsia" w:ascii="宋体" w:hAnsi="宋体"/>
                <w:color w:val="auto"/>
                <w:sz w:val="18"/>
                <w:szCs w:val="18"/>
              </w:rPr>
              <w:t>甲</w:t>
            </w:r>
          </w:p>
        </w:tc>
        <w:tc>
          <w:tcPr>
            <w:tcW w:w="854" w:type="dxa"/>
            <w:gridSpan w:val="4"/>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r>
              <w:rPr>
                <w:rFonts w:hint="eastAsia" w:ascii="宋体" w:hAnsi="宋体"/>
                <w:color w:val="auto"/>
                <w:sz w:val="18"/>
                <w:szCs w:val="18"/>
              </w:rPr>
              <w:t>乙</w:t>
            </w:r>
          </w:p>
        </w:tc>
        <w:tc>
          <w:tcPr>
            <w:tcW w:w="616" w:type="dxa"/>
            <w:gridSpan w:val="4"/>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r>
              <w:rPr>
                <w:rFonts w:hint="eastAsia" w:ascii="宋体" w:hAnsi="宋体"/>
                <w:color w:val="auto"/>
                <w:sz w:val="18"/>
                <w:szCs w:val="18"/>
              </w:rPr>
              <w:t>丙</w:t>
            </w:r>
          </w:p>
        </w:tc>
        <w:tc>
          <w:tcPr>
            <w:tcW w:w="1351" w:type="dxa"/>
            <w:gridSpan w:val="7"/>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szCs w:val="18"/>
              </w:rPr>
            </w:pPr>
            <w:r>
              <w:rPr>
                <w:rFonts w:hint="default" w:ascii="宋体" w:hAnsi="宋体"/>
                <w:color w:val="auto"/>
                <w:sz w:val="18"/>
                <w:szCs w:val="18"/>
              </w:rPr>
              <w:t>401</w:t>
            </w:r>
          </w:p>
        </w:tc>
        <w:tc>
          <w:tcPr>
            <w:tcW w:w="1068" w:type="dxa"/>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szCs w:val="18"/>
              </w:rPr>
            </w:pPr>
            <w:r>
              <w:rPr>
                <w:rFonts w:hint="default" w:ascii="宋体" w:hAnsi="宋体"/>
                <w:color w:val="auto"/>
                <w:sz w:val="18"/>
                <w:szCs w:val="18"/>
              </w:rPr>
              <w:t>402</w:t>
            </w:r>
          </w:p>
        </w:tc>
        <w:tc>
          <w:tcPr>
            <w:tcW w:w="1209" w:type="dxa"/>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szCs w:val="18"/>
              </w:rPr>
            </w:pPr>
            <w:r>
              <w:rPr>
                <w:rFonts w:hint="default" w:ascii="宋体" w:hAnsi="宋体"/>
                <w:color w:val="auto"/>
                <w:sz w:val="18"/>
                <w:szCs w:val="18"/>
              </w:rPr>
              <w:t>403</w:t>
            </w:r>
          </w:p>
        </w:tc>
        <w:tc>
          <w:tcPr>
            <w:tcW w:w="1273" w:type="dxa"/>
            <w:gridSpan w:val="2"/>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szCs w:val="18"/>
              </w:rPr>
            </w:pPr>
            <w:r>
              <w:rPr>
                <w:rFonts w:hint="default" w:ascii="宋体" w:hAnsi="宋体"/>
                <w:color w:val="auto"/>
                <w:sz w:val="18"/>
                <w:szCs w:val="18"/>
              </w:rPr>
              <w:t>404</w:t>
            </w:r>
          </w:p>
        </w:tc>
        <w:tc>
          <w:tcPr>
            <w:tcW w:w="1374" w:type="dxa"/>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szCs w:val="18"/>
              </w:rPr>
            </w:pPr>
            <w:r>
              <w:rPr>
                <w:rFonts w:hint="default" w:ascii="宋体" w:hAnsi="宋体"/>
                <w:color w:val="auto"/>
                <w:sz w:val="18"/>
                <w:szCs w:val="18"/>
              </w:rPr>
              <w:t>405</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850" w:hRule="atLeast"/>
          <w:jc w:val="center"/>
        </w:trPr>
        <w:tc>
          <w:tcPr>
            <w:tcW w:w="1722" w:type="dxa"/>
            <w:gridSpan w:val="9"/>
            <w:tcBorders>
              <w:bottom w:val="single" w:color="auto" w:sz="8" w:space="0"/>
            </w:tcBorders>
            <w:noWrap w:val="0"/>
            <w:vAlign w:val="top"/>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p>
        </w:tc>
        <w:tc>
          <w:tcPr>
            <w:tcW w:w="854" w:type="dxa"/>
            <w:gridSpan w:val="4"/>
            <w:tcBorders>
              <w:bottom w:val="single" w:color="auto" w:sz="8" w:space="0"/>
            </w:tcBorders>
            <w:noWrap w:val="0"/>
            <w:vAlign w:val="top"/>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p>
        </w:tc>
        <w:tc>
          <w:tcPr>
            <w:tcW w:w="616" w:type="dxa"/>
            <w:gridSpan w:val="4"/>
            <w:tcBorders>
              <w:bottom w:val="single" w:color="auto" w:sz="8" w:space="0"/>
            </w:tcBorders>
            <w:noWrap w:val="0"/>
            <w:vAlign w:val="top"/>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p>
        </w:tc>
        <w:tc>
          <w:tcPr>
            <w:tcW w:w="6275" w:type="dxa"/>
            <w:gridSpan w:val="12"/>
            <w:tcBorders>
              <w:bottom w:val="single" w:color="auto" w:sz="8" w:space="0"/>
            </w:tcBorders>
            <w:noWrap w:val="0"/>
            <w:vAlign w:val="top"/>
          </w:tcPr>
          <w:p>
            <w:pPr>
              <w:keepNext w:val="0"/>
              <w:keepLines w:val="0"/>
              <w:suppressLineNumbers w:val="0"/>
              <w:spacing w:before="0" w:beforeAutospacing="0" w:after="0" w:afterAutospacing="0" w:line="240" w:lineRule="exact"/>
              <w:ind w:left="0" w:right="0"/>
              <w:jc w:val="center"/>
              <w:rPr>
                <w:rFonts w:hint="default" w:ascii="宋体"/>
                <w:color w:val="auto"/>
                <w:sz w:val="18"/>
                <w:szCs w:val="18"/>
              </w:rPr>
            </w:pPr>
          </w:p>
        </w:tc>
      </w:tr>
    </w:tbl>
    <w:p>
      <w:pPr>
        <w:adjustRightInd w:val="0"/>
        <w:spacing w:line="240" w:lineRule="exact"/>
        <w:rPr>
          <w:rFonts w:ascii="宋体"/>
          <w:color w:val="auto"/>
          <w:sz w:val="18"/>
        </w:rPr>
      </w:pPr>
      <w:r>
        <w:rPr>
          <w:rFonts w:hint="eastAsia" w:ascii="宋体"/>
          <w:color w:val="auto"/>
          <w:sz w:val="18"/>
        </w:rPr>
        <w:t>单位负责人：</w:t>
      </w:r>
      <w:r>
        <w:rPr>
          <w:rFonts w:ascii="宋体"/>
          <w:color w:val="auto"/>
          <w:sz w:val="18"/>
        </w:rPr>
        <w:t xml:space="preserve">              </w:t>
      </w:r>
      <w:r>
        <w:rPr>
          <w:rFonts w:hint="eastAsia" w:ascii="宋体"/>
          <w:color w:val="auto"/>
          <w:sz w:val="18"/>
        </w:rPr>
        <w:t>统计负责人：                  填表人：               报出日期：２０　年　月　日</w:t>
      </w:r>
    </w:p>
    <w:p>
      <w:pPr>
        <w:spacing w:line="240" w:lineRule="exact"/>
        <w:rPr>
          <w:rFonts w:ascii="宋体"/>
          <w:color w:val="auto"/>
          <w:sz w:val="18"/>
        </w:rPr>
      </w:pPr>
    </w:p>
    <w:p>
      <w:pPr>
        <w:spacing w:line="240" w:lineRule="exact"/>
        <w:ind w:left="1620" w:hanging="1620" w:hangingChars="900"/>
        <w:rPr>
          <w:rFonts w:ascii="宋体"/>
          <w:color w:val="auto"/>
          <w:sz w:val="18"/>
        </w:rPr>
      </w:pPr>
      <w:r>
        <w:rPr>
          <w:rFonts w:hint="eastAsia" w:ascii="宋体"/>
          <w:color w:val="auto"/>
          <w:sz w:val="18"/>
        </w:rPr>
        <w:t>说明：</w:t>
      </w:r>
      <w:r>
        <w:rPr>
          <w:rFonts w:ascii="宋体"/>
          <w:color w:val="auto"/>
          <w:sz w:val="18"/>
        </w:rPr>
        <w:t>1.</w:t>
      </w:r>
      <w:r>
        <w:rPr>
          <w:rFonts w:hint="eastAsia" w:ascii="宋体"/>
          <w:color w:val="auto"/>
          <w:sz w:val="18"/>
        </w:rPr>
        <w:t>统计范围：</w:t>
      </w:r>
      <w:r>
        <w:rPr>
          <w:rFonts w:hint="eastAsia" w:ascii="宋体" w:hAnsi="宋体"/>
          <w:color w:val="auto"/>
          <w:sz w:val="18"/>
          <w:szCs w:val="18"/>
        </w:rPr>
        <w:t>辖区内规模以上工业、有资质的建筑业、限额以上批发和零售业、限额以上住宿和餐饮业、有开发经营活动的全部房地产开发经营业、规模以上服务业、其他有5000万</w:t>
      </w:r>
      <w:r>
        <w:rPr>
          <w:rFonts w:ascii="宋体" w:hAnsi="宋体"/>
          <w:color w:val="auto"/>
          <w:sz w:val="18"/>
          <w:szCs w:val="18"/>
        </w:rPr>
        <w:t>元及以上在建项目法人单位和</w:t>
      </w:r>
      <w:r>
        <w:rPr>
          <w:rFonts w:hint="eastAsia" w:ascii="宋体" w:hAnsi="宋体"/>
          <w:color w:val="auto"/>
          <w:sz w:val="18"/>
          <w:szCs w:val="18"/>
        </w:rPr>
        <w:t>其他调查单位的500万元及以上固定资产投资项目中有能力目录的项目。</w:t>
      </w:r>
    </w:p>
    <w:p>
      <w:pPr>
        <w:spacing w:line="240" w:lineRule="exact"/>
        <w:ind w:left="722" w:leftChars="258" w:hanging="180" w:hangingChars="100"/>
        <w:rPr>
          <w:rFonts w:ascii="宋体"/>
          <w:color w:val="auto"/>
          <w:sz w:val="18"/>
        </w:rPr>
      </w:pPr>
      <w:r>
        <w:rPr>
          <w:rFonts w:ascii="宋体"/>
          <w:color w:val="auto"/>
          <w:sz w:val="18"/>
        </w:rPr>
        <w:t>2.</w:t>
      </w:r>
      <w:r>
        <w:rPr>
          <w:rFonts w:hint="eastAsia" w:ascii="宋体"/>
          <w:color w:val="auto"/>
          <w:sz w:val="18"/>
        </w:rPr>
        <w:t>甲栏按《新增生产能力</w:t>
      </w:r>
      <w:r>
        <w:rPr>
          <w:rFonts w:ascii="宋体"/>
          <w:color w:val="auto"/>
          <w:sz w:val="18"/>
        </w:rPr>
        <w:t>(</w:t>
      </w:r>
      <w:r>
        <w:rPr>
          <w:rFonts w:hint="eastAsia" w:ascii="宋体"/>
          <w:color w:val="auto"/>
          <w:sz w:val="18"/>
        </w:rPr>
        <w:t>或工程效益</w:t>
      </w:r>
      <w:r>
        <w:rPr>
          <w:rFonts w:ascii="宋体"/>
          <w:color w:val="auto"/>
          <w:sz w:val="18"/>
        </w:rPr>
        <w:t>)</w:t>
      </w:r>
      <w:r>
        <w:rPr>
          <w:rFonts w:hint="eastAsia" w:ascii="宋体"/>
          <w:color w:val="auto"/>
          <w:sz w:val="18"/>
        </w:rPr>
        <w:t>目录及代码》规定的名称及代码填写。</w:t>
      </w:r>
    </w:p>
    <w:p>
      <w:pPr>
        <w:spacing w:line="240" w:lineRule="exact"/>
        <w:ind w:left="722" w:leftChars="258" w:hanging="180" w:hangingChars="100"/>
        <w:rPr>
          <w:rFonts w:ascii="宋体"/>
          <w:color w:val="auto"/>
          <w:sz w:val="18"/>
        </w:rPr>
      </w:pPr>
      <w:r>
        <w:rPr>
          <w:rFonts w:ascii="宋体"/>
          <w:color w:val="auto"/>
          <w:sz w:val="18"/>
        </w:rPr>
        <w:t>3.</w:t>
      </w:r>
      <w:r>
        <w:rPr>
          <w:rFonts w:hint="eastAsia" w:ascii="宋体"/>
          <w:color w:val="auto"/>
          <w:sz w:val="18"/>
        </w:rPr>
        <w:t>报送日期及方式：</w:t>
      </w:r>
      <w:r>
        <w:rPr>
          <w:rFonts w:ascii="宋体"/>
          <w:color w:val="auto"/>
          <w:sz w:val="18"/>
        </w:rPr>
        <w:t>3</w:t>
      </w:r>
      <w:r>
        <w:rPr>
          <w:rFonts w:hint="eastAsia" w:ascii="宋体"/>
          <w:color w:val="auto"/>
          <w:sz w:val="18"/>
        </w:rPr>
        <w:t>月底前</w:t>
      </w:r>
      <w:r>
        <w:rPr>
          <w:rFonts w:ascii="宋体"/>
          <w:color w:val="auto"/>
          <w:sz w:val="18"/>
        </w:rPr>
        <w:t>网上</w:t>
      </w:r>
      <w:r>
        <w:rPr>
          <w:rFonts w:hint="eastAsia" w:ascii="宋体"/>
          <w:color w:val="auto"/>
          <w:sz w:val="18"/>
        </w:rPr>
        <w:t>填</w:t>
      </w:r>
      <w:r>
        <w:rPr>
          <w:rFonts w:ascii="宋体"/>
          <w:color w:val="auto"/>
          <w:sz w:val="18"/>
        </w:rPr>
        <w:t>报</w:t>
      </w:r>
      <w:r>
        <w:rPr>
          <w:rFonts w:hint="eastAsia" w:ascii="宋体"/>
          <w:color w:val="auto"/>
          <w:sz w:val="18"/>
        </w:rPr>
        <w:t>。</w:t>
      </w:r>
    </w:p>
    <w:p>
      <w:pPr>
        <w:spacing w:line="240" w:lineRule="exact"/>
        <w:ind w:firstLine="540" w:firstLineChars="300"/>
        <w:rPr>
          <w:rFonts w:ascii="宋体"/>
          <w:color w:val="auto"/>
          <w:sz w:val="18"/>
        </w:rPr>
      </w:pPr>
      <w:r>
        <w:rPr>
          <w:rFonts w:ascii="宋体" w:hAnsi="宋体"/>
          <w:color w:val="auto"/>
          <w:sz w:val="18"/>
        </w:rPr>
        <w:t>4</w:t>
      </w:r>
      <w:r>
        <w:rPr>
          <w:rFonts w:ascii="宋体"/>
          <w:color w:val="auto"/>
          <w:sz w:val="18"/>
        </w:rPr>
        <w:t>.</w:t>
      </w:r>
      <w:r>
        <w:rPr>
          <w:rFonts w:hint="eastAsia" w:ascii="宋体" w:hAnsi="宋体"/>
          <w:color w:val="auto"/>
          <w:sz w:val="18"/>
        </w:rPr>
        <w:t>本表逻辑审核关系：</w:t>
      </w:r>
    </w:p>
    <w:p>
      <w:pPr>
        <w:spacing w:line="240" w:lineRule="exact"/>
        <w:ind w:firstLine="687" w:firstLineChars="382"/>
        <w:rPr>
          <w:rFonts w:ascii="宋体"/>
          <w:color w:val="auto"/>
          <w:sz w:val="18"/>
        </w:rPr>
      </w:pPr>
      <w:r>
        <w:rPr>
          <w:rFonts w:ascii="宋体"/>
          <w:color w:val="auto"/>
          <w:sz w:val="18"/>
        </w:rPr>
        <w:t>(1)401</w:t>
      </w:r>
      <w:r>
        <w:rPr>
          <w:rFonts w:hint="eastAsia" w:ascii="宋体"/>
          <w:color w:val="auto"/>
          <w:sz w:val="18"/>
        </w:rPr>
        <w:t>≥</w:t>
      </w:r>
      <w:r>
        <w:rPr>
          <w:rFonts w:ascii="宋体"/>
          <w:color w:val="auto"/>
          <w:sz w:val="18"/>
        </w:rPr>
        <w:t>402         (2)401</w:t>
      </w:r>
      <w:r>
        <w:rPr>
          <w:rFonts w:hint="eastAsia" w:ascii="宋体"/>
          <w:color w:val="auto"/>
          <w:sz w:val="18"/>
        </w:rPr>
        <w:t>≥</w:t>
      </w:r>
      <w:r>
        <w:rPr>
          <w:rFonts w:ascii="宋体"/>
          <w:color w:val="auto"/>
          <w:sz w:val="18"/>
        </w:rPr>
        <w:t>404         (3)402</w:t>
      </w:r>
      <w:r>
        <w:rPr>
          <w:rFonts w:hint="eastAsia" w:ascii="宋体"/>
          <w:color w:val="auto"/>
          <w:sz w:val="18"/>
        </w:rPr>
        <w:t>≥</w:t>
      </w:r>
      <w:r>
        <w:rPr>
          <w:rFonts w:ascii="宋体"/>
          <w:color w:val="auto"/>
          <w:sz w:val="18"/>
        </w:rPr>
        <w:t>403             (4)404</w:t>
      </w:r>
      <w:r>
        <w:rPr>
          <w:rFonts w:hint="eastAsia" w:ascii="宋体"/>
          <w:color w:val="auto"/>
          <w:sz w:val="18"/>
        </w:rPr>
        <w:t>≥</w:t>
      </w:r>
      <w:r>
        <w:rPr>
          <w:rFonts w:ascii="宋体"/>
          <w:color w:val="auto"/>
          <w:sz w:val="18"/>
        </w:rPr>
        <w:t>405</w:t>
      </w:r>
    </w:p>
    <w:p>
      <w:pPr>
        <w:rPr>
          <w:rFonts w:hint="eastAsia" w:ascii="黑体" w:hAnsi="宋体" w:eastAsia="黑体"/>
          <w:color w:val="auto"/>
          <w:sz w:val="28"/>
          <w:szCs w:val="28"/>
        </w:rPr>
      </w:pPr>
      <w:r>
        <w:rPr>
          <w:rFonts w:hint="eastAsia" w:ascii="黑体" w:hAnsi="宋体" w:eastAsia="黑体"/>
          <w:color w:val="auto"/>
          <w:sz w:val="28"/>
          <w:szCs w:val="28"/>
        </w:rPr>
        <w:br w:type="page"/>
      </w:r>
    </w:p>
    <w:p>
      <w:pPr>
        <w:keepNext w:val="0"/>
        <w:keepLines w:val="0"/>
        <w:pageBreakBefore w:val="0"/>
        <w:widowControl w:val="0"/>
        <w:kinsoku/>
        <w:wordWrap/>
        <w:overflowPunct/>
        <w:topLinePunct w:val="0"/>
        <w:autoSpaceDE/>
        <w:autoSpaceDN/>
        <w:bidi w:val="0"/>
        <w:adjustRightInd/>
        <w:snapToGrid w:val="0"/>
        <w:spacing w:after="312" w:afterLines="100"/>
        <w:jc w:val="center"/>
        <w:textAlignment w:val="auto"/>
        <w:outlineLvl w:val="1"/>
        <w:rPr>
          <w:rFonts w:hint="eastAsia" w:ascii="黑体" w:hAnsi="宋体" w:eastAsia="黑体"/>
          <w:color w:val="auto"/>
          <w:sz w:val="28"/>
          <w:szCs w:val="28"/>
        </w:rPr>
      </w:pPr>
      <w:r>
        <w:rPr>
          <w:rFonts w:hint="eastAsia" w:ascii="黑体" w:hAnsi="宋体" w:eastAsia="黑体"/>
          <w:color w:val="auto"/>
          <w:sz w:val="28"/>
          <w:szCs w:val="28"/>
        </w:rPr>
        <w:t>（二）基层定报表式</w:t>
      </w:r>
    </w:p>
    <w:p>
      <w:pPr>
        <w:keepNext w:val="0"/>
        <w:keepLines w:val="0"/>
        <w:pageBreakBefore w:val="0"/>
        <w:widowControl/>
        <w:kinsoku/>
        <w:wordWrap/>
        <w:overflowPunct/>
        <w:topLinePunct w:val="0"/>
        <w:autoSpaceDE/>
        <w:autoSpaceDN/>
        <w:bidi w:val="0"/>
        <w:adjustRightInd/>
        <w:snapToGrid/>
        <w:spacing w:after="157" w:afterLines="50"/>
        <w:jc w:val="center"/>
        <w:textAlignment w:val="auto"/>
        <w:outlineLvl w:val="3"/>
        <w:rPr>
          <w:rFonts w:ascii="Nimbus Roman No9 L" w:hAnsi="Nimbus Roman No9 L" w:cs="Nimbus Roman No9 L"/>
          <w:color w:val="auto"/>
          <w:sz w:val="32"/>
          <w:szCs w:val="32"/>
        </w:rPr>
      </w:pPr>
      <w:r>
        <w:rPr>
          <w:rFonts w:hint="eastAsia" w:ascii="Nimbus Roman No9 L" w:hAnsi="Nimbus Roman No9 L" w:cs="Nimbus Roman No9 L"/>
          <w:color w:val="auto"/>
          <w:sz w:val="32"/>
          <w:szCs w:val="32"/>
        </w:rPr>
        <w:t>一套表</w:t>
      </w:r>
      <w:r>
        <w:rPr>
          <w:rFonts w:ascii="Nimbus Roman No9 L" w:hAnsi="Nimbus Roman No9 L" w:cs="Nimbus Roman No9 L"/>
          <w:color w:val="auto"/>
          <w:sz w:val="32"/>
          <w:szCs w:val="32"/>
        </w:rPr>
        <w:t>调查单位基本情况</w:t>
      </w:r>
    </w:p>
    <w:tbl>
      <w:tblPr>
        <w:tblStyle w:val="21"/>
        <w:tblW w:w="9526" w:type="dxa"/>
        <w:jc w:val="center"/>
        <w:tblLayout w:type="fixed"/>
        <w:tblCellMar>
          <w:top w:w="0" w:type="dxa"/>
          <w:left w:w="108" w:type="dxa"/>
          <w:bottom w:w="0" w:type="dxa"/>
          <w:right w:w="108" w:type="dxa"/>
        </w:tblCellMar>
      </w:tblPr>
      <w:tblGrid>
        <w:gridCol w:w="620"/>
        <w:gridCol w:w="2630"/>
        <w:gridCol w:w="1627"/>
        <w:gridCol w:w="132"/>
        <w:gridCol w:w="1116"/>
        <w:gridCol w:w="1303"/>
        <w:gridCol w:w="2078"/>
        <w:gridCol w:w="20"/>
      </w:tblGrid>
      <w:tr>
        <w:tblPrEx>
          <w:tblCellMar>
            <w:top w:w="0" w:type="dxa"/>
            <w:left w:w="108" w:type="dxa"/>
            <w:bottom w:w="0" w:type="dxa"/>
            <w:right w:w="108" w:type="dxa"/>
          </w:tblCellMar>
        </w:tblPrEx>
        <w:trPr>
          <w:trHeight w:val="255" w:hRule="exact"/>
          <w:jc w:val="center"/>
        </w:trPr>
        <w:tc>
          <w:tcPr>
            <w:tcW w:w="3250" w:type="dxa"/>
            <w:gridSpan w:val="2"/>
            <w:vMerge w:val="restart"/>
            <w:noWrap w:val="0"/>
            <w:tcMar>
              <w:left w:w="0" w:type="dxa"/>
              <w:right w:w="0" w:type="dxa"/>
            </w:tcMar>
            <w:vAlign w:val="top"/>
          </w:tcPr>
          <w:p>
            <w:pPr>
              <w:keepNext w:val="0"/>
              <w:keepLines w:val="0"/>
              <w:suppressLineNumbers w:val="0"/>
              <w:spacing w:before="0" w:beforeAutospacing="0" w:after="0" w:afterAutospacing="0" w:line="240" w:lineRule="exact"/>
              <w:ind w:left="0" w:right="0"/>
              <w:jc w:val="left"/>
              <w:rPr>
                <w:rFonts w:hint="default" w:ascii="宋体" w:hAnsi="宋体" w:cs="Nimbus Roman No9 L"/>
                <w:color w:val="auto"/>
                <w:sz w:val="32"/>
                <w:szCs w:val="32"/>
              </w:rPr>
            </w:pPr>
          </w:p>
        </w:tc>
        <w:tc>
          <w:tcPr>
            <w:tcW w:w="1627" w:type="dxa"/>
            <w:noWrap w:val="0"/>
            <w:vAlign w:val="top"/>
          </w:tcPr>
          <w:p>
            <w:pPr>
              <w:keepNext w:val="0"/>
              <w:keepLines w:val="0"/>
              <w:suppressLineNumbers w:val="0"/>
              <w:spacing w:before="0" w:beforeAutospacing="0" w:after="0" w:afterAutospacing="0" w:line="240" w:lineRule="exact"/>
              <w:ind w:left="0" w:right="0"/>
              <w:jc w:val="center"/>
              <w:rPr>
                <w:rFonts w:hint="default" w:ascii="宋体" w:hAnsi="宋体" w:cs="Nimbus Roman No9 L"/>
                <w:color w:val="auto"/>
                <w:sz w:val="32"/>
                <w:szCs w:val="32"/>
              </w:rPr>
            </w:pPr>
          </w:p>
        </w:tc>
        <w:tc>
          <w:tcPr>
            <w:tcW w:w="1248" w:type="dxa"/>
            <w:gridSpan w:val="2"/>
            <w:noWrap w:val="0"/>
            <w:vAlign w:val="top"/>
          </w:tcPr>
          <w:p>
            <w:pPr>
              <w:keepNext w:val="0"/>
              <w:keepLines w:val="0"/>
              <w:suppressLineNumbers w:val="0"/>
              <w:spacing w:before="0" w:beforeAutospacing="0" w:after="0" w:afterAutospacing="0" w:line="240" w:lineRule="exact"/>
              <w:ind w:left="0" w:right="0"/>
              <w:jc w:val="center"/>
              <w:rPr>
                <w:rFonts w:hint="default" w:ascii="宋体" w:hAnsi="宋体" w:cs="Nimbus Roman No9 L"/>
                <w:color w:val="auto"/>
                <w:sz w:val="32"/>
                <w:szCs w:val="32"/>
              </w:rPr>
            </w:pPr>
          </w:p>
        </w:tc>
        <w:tc>
          <w:tcPr>
            <w:tcW w:w="1303" w:type="dxa"/>
            <w:noWrap w:val="0"/>
            <w:vAlign w:val="center"/>
          </w:tcPr>
          <w:p>
            <w:pPr>
              <w:keepNext w:val="0"/>
              <w:keepLines w:val="0"/>
              <w:suppressLineNumbers w:val="0"/>
              <w:spacing w:before="0" w:beforeAutospacing="0" w:after="0" w:afterAutospacing="0" w:line="240" w:lineRule="exact"/>
              <w:ind w:left="0" w:right="-147" w:rightChars="-70"/>
              <w:jc w:val="right"/>
              <w:rPr>
                <w:rFonts w:hint="default" w:ascii="宋体" w:hAnsi="宋体" w:cs="Nimbus Roman No9 L"/>
                <w:color w:val="auto"/>
                <w:sz w:val="32"/>
                <w:szCs w:val="32"/>
              </w:rPr>
            </w:pPr>
            <w:r>
              <w:rPr>
                <w:rFonts w:hint="default" w:ascii="宋体" w:hAnsi="宋体" w:cs="Nimbus Roman No9 L"/>
                <w:color w:val="auto"/>
                <w:sz w:val="18"/>
                <w:szCs w:val="18"/>
              </w:rPr>
              <w:t>表    号：</w:t>
            </w:r>
          </w:p>
        </w:tc>
        <w:tc>
          <w:tcPr>
            <w:tcW w:w="2098" w:type="dxa"/>
            <w:gridSpan w:val="2"/>
            <w:noWrap w:val="0"/>
            <w:vAlign w:val="center"/>
          </w:tcPr>
          <w:p>
            <w:pPr>
              <w:keepNext w:val="0"/>
              <w:keepLines w:val="0"/>
              <w:suppressLineNumbers w:val="0"/>
              <w:spacing w:before="0" w:beforeAutospacing="0" w:after="0" w:afterAutospacing="0" w:line="240" w:lineRule="exact"/>
              <w:ind w:left="-84" w:leftChars="-40" w:right="-84" w:rightChars="-40"/>
              <w:jc w:val="distribute"/>
              <w:rPr>
                <w:rFonts w:hint="eastAsia" w:ascii="宋体" w:hAnsi="宋体" w:cs="宋体"/>
                <w:color w:val="auto"/>
                <w:sz w:val="18"/>
                <w:szCs w:val="18"/>
              </w:rPr>
            </w:pPr>
            <w:r>
              <w:rPr>
                <w:rFonts w:hint="eastAsia" w:ascii="宋体" w:hAnsi="宋体"/>
                <w:color w:val="auto"/>
                <w:sz w:val="18"/>
                <w:szCs w:val="18"/>
              </w:rPr>
              <w:t>２０</w:t>
            </w:r>
            <w:r>
              <w:rPr>
                <w:rFonts w:hint="default" w:ascii="宋体" w:hAnsi="宋体"/>
                <w:color w:val="auto"/>
                <w:sz w:val="18"/>
                <w:szCs w:val="18"/>
              </w:rPr>
              <w:t>１－１</w:t>
            </w:r>
            <w:r>
              <w:rPr>
                <w:rFonts w:hint="eastAsia" w:ascii="宋体" w:hAnsi="宋体" w:cs="宋体"/>
                <w:color w:val="auto"/>
                <w:sz w:val="18"/>
                <w:szCs w:val="18"/>
              </w:rPr>
              <w:t>表</w:t>
            </w:r>
          </w:p>
        </w:tc>
      </w:tr>
      <w:tr>
        <w:tblPrEx>
          <w:tblCellMar>
            <w:top w:w="0" w:type="dxa"/>
            <w:left w:w="108" w:type="dxa"/>
            <w:bottom w:w="0" w:type="dxa"/>
            <w:right w:w="108" w:type="dxa"/>
          </w:tblCellMar>
        </w:tblPrEx>
        <w:trPr>
          <w:trHeight w:val="244" w:hRule="exact"/>
          <w:jc w:val="center"/>
        </w:trPr>
        <w:tc>
          <w:tcPr>
            <w:tcW w:w="3250" w:type="dxa"/>
            <w:gridSpan w:val="2"/>
            <w:vMerge w:val="continue"/>
            <w:noWrap w:val="0"/>
            <w:tcMar>
              <w:left w:w="0" w:type="dxa"/>
              <w:right w:w="0" w:type="dxa"/>
            </w:tcMar>
            <w:vAlign w:val="top"/>
          </w:tcPr>
          <w:p>
            <w:pPr>
              <w:keepNext w:val="0"/>
              <w:keepLines w:val="0"/>
              <w:suppressLineNumbers w:val="0"/>
              <w:spacing w:before="0" w:beforeAutospacing="0" w:after="0" w:afterAutospacing="0" w:line="240" w:lineRule="exact"/>
              <w:ind w:left="0" w:right="0"/>
              <w:jc w:val="center"/>
              <w:rPr>
                <w:rFonts w:hint="default" w:ascii="宋体" w:hAnsi="宋体" w:cs="Nimbus Roman No9 L"/>
                <w:color w:val="auto"/>
                <w:sz w:val="32"/>
                <w:szCs w:val="32"/>
              </w:rPr>
            </w:pPr>
          </w:p>
        </w:tc>
        <w:tc>
          <w:tcPr>
            <w:tcW w:w="1627" w:type="dxa"/>
            <w:noWrap w:val="0"/>
            <w:vAlign w:val="top"/>
          </w:tcPr>
          <w:p>
            <w:pPr>
              <w:keepNext w:val="0"/>
              <w:keepLines w:val="0"/>
              <w:suppressLineNumbers w:val="0"/>
              <w:spacing w:before="0" w:beforeAutospacing="0" w:after="0" w:afterAutospacing="0" w:line="240" w:lineRule="exact"/>
              <w:ind w:left="0" w:right="0"/>
              <w:jc w:val="center"/>
              <w:rPr>
                <w:rFonts w:hint="default" w:ascii="宋体" w:hAnsi="宋体" w:cs="Nimbus Roman No9 L"/>
                <w:color w:val="auto"/>
                <w:sz w:val="32"/>
                <w:szCs w:val="32"/>
              </w:rPr>
            </w:pPr>
          </w:p>
        </w:tc>
        <w:tc>
          <w:tcPr>
            <w:tcW w:w="1248" w:type="dxa"/>
            <w:gridSpan w:val="2"/>
            <w:noWrap w:val="0"/>
            <w:vAlign w:val="top"/>
          </w:tcPr>
          <w:p>
            <w:pPr>
              <w:keepNext w:val="0"/>
              <w:keepLines w:val="0"/>
              <w:suppressLineNumbers w:val="0"/>
              <w:spacing w:before="0" w:beforeAutospacing="0" w:after="0" w:afterAutospacing="0" w:line="240" w:lineRule="exact"/>
              <w:ind w:left="0" w:right="0"/>
              <w:jc w:val="center"/>
              <w:rPr>
                <w:rFonts w:hint="default" w:ascii="宋体" w:hAnsi="宋体" w:cs="Nimbus Roman No9 L"/>
                <w:color w:val="auto"/>
                <w:sz w:val="32"/>
                <w:szCs w:val="32"/>
              </w:rPr>
            </w:pPr>
          </w:p>
        </w:tc>
        <w:tc>
          <w:tcPr>
            <w:tcW w:w="1303" w:type="dxa"/>
            <w:noWrap w:val="0"/>
            <w:vAlign w:val="top"/>
          </w:tcPr>
          <w:p>
            <w:pPr>
              <w:keepNext w:val="0"/>
              <w:keepLines w:val="0"/>
              <w:suppressLineNumbers w:val="0"/>
              <w:spacing w:before="0" w:beforeAutospacing="0" w:after="0" w:afterAutospacing="0" w:line="240" w:lineRule="exact"/>
              <w:ind w:left="0" w:right="-147" w:rightChars="-70"/>
              <w:jc w:val="right"/>
              <w:rPr>
                <w:rFonts w:hint="default" w:ascii="宋体" w:hAnsi="宋体" w:cs="Nimbus Roman No9 L"/>
                <w:color w:val="auto"/>
                <w:sz w:val="32"/>
                <w:szCs w:val="32"/>
              </w:rPr>
            </w:pPr>
            <w:r>
              <w:rPr>
                <w:rFonts w:hint="default" w:ascii="宋体" w:hAnsi="宋体" w:cs="Nimbus Roman No9 L"/>
                <w:color w:val="auto"/>
                <w:sz w:val="18"/>
                <w:szCs w:val="18"/>
              </w:rPr>
              <w:t>制定机关：</w:t>
            </w:r>
          </w:p>
        </w:tc>
        <w:tc>
          <w:tcPr>
            <w:tcW w:w="2098" w:type="dxa"/>
            <w:gridSpan w:val="2"/>
            <w:noWrap w:val="0"/>
            <w:vAlign w:val="center"/>
          </w:tcPr>
          <w:p>
            <w:pPr>
              <w:keepNext w:val="0"/>
              <w:keepLines w:val="0"/>
              <w:suppressLineNumbers w:val="0"/>
              <w:spacing w:before="0" w:beforeAutospacing="0" w:after="0" w:afterAutospacing="0" w:line="200" w:lineRule="exact"/>
              <w:ind w:left="-84" w:leftChars="-40" w:right="-84" w:rightChars="-40"/>
              <w:jc w:val="distribute"/>
              <w:rPr>
                <w:rFonts w:hint="eastAsia" w:ascii="宋体" w:hAnsi="宋体" w:cs="宋体"/>
                <w:color w:val="auto"/>
                <w:sz w:val="18"/>
                <w:szCs w:val="18"/>
              </w:rPr>
            </w:pPr>
            <w:r>
              <w:rPr>
                <w:rFonts w:hint="eastAsia" w:ascii="宋体" w:hAnsi="宋体" w:cs="宋体"/>
                <w:color w:val="auto"/>
                <w:sz w:val="18"/>
                <w:szCs w:val="18"/>
              </w:rPr>
              <w:t>国家统计局</w:t>
            </w:r>
          </w:p>
        </w:tc>
      </w:tr>
      <w:tr>
        <w:tblPrEx>
          <w:tblCellMar>
            <w:top w:w="0" w:type="dxa"/>
            <w:left w:w="108" w:type="dxa"/>
            <w:bottom w:w="0" w:type="dxa"/>
            <w:right w:w="108" w:type="dxa"/>
          </w:tblCellMar>
        </w:tblPrEx>
        <w:trPr>
          <w:trHeight w:val="255" w:hRule="exact"/>
          <w:jc w:val="center"/>
        </w:trPr>
        <w:tc>
          <w:tcPr>
            <w:tcW w:w="3250" w:type="dxa"/>
            <w:gridSpan w:val="2"/>
            <w:vMerge w:val="continue"/>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default" w:ascii="宋体" w:hAnsi="宋体" w:cs="Nimbus Roman No9 L"/>
                <w:color w:val="auto"/>
                <w:sz w:val="32"/>
                <w:szCs w:val="32"/>
              </w:rPr>
            </w:pPr>
          </w:p>
        </w:tc>
        <w:tc>
          <w:tcPr>
            <w:tcW w:w="1627" w:type="dxa"/>
            <w:noWrap w:val="0"/>
            <w:vAlign w:val="top"/>
          </w:tcPr>
          <w:p>
            <w:pPr>
              <w:keepNext w:val="0"/>
              <w:keepLines w:val="0"/>
              <w:suppressLineNumbers w:val="0"/>
              <w:spacing w:before="0" w:beforeAutospacing="0" w:after="0" w:afterAutospacing="0" w:line="240" w:lineRule="exact"/>
              <w:ind w:left="0" w:right="0"/>
              <w:jc w:val="center"/>
              <w:rPr>
                <w:rFonts w:hint="default" w:ascii="宋体" w:hAnsi="宋体" w:cs="Nimbus Roman No9 L"/>
                <w:color w:val="auto"/>
                <w:sz w:val="32"/>
                <w:szCs w:val="32"/>
              </w:rPr>
            </w:pPr>
          </w:p>
        </w:tc>
        <w:tc>
          <w:tcPr>
            <w:tcW w:w="1248" w:type="dxa"/>
            <w:gridSpan w:val="2"/>
            <w:noWrap w:val="0"/>
            <w:vAlign w:val="top"/>
          </w:tcPr>
          <w:p>
            <w:pPr>
              <w:keepNext w:val="0"/>
              <w:keepLines w:val="0"/>
              <w:suppressLineNumbers w:val="0"/>
              <w:spacing w:before="0" w:beforeAutospacing="0" w:after="0" w:afterAutospacing="0" w:line="240" w:lineRule="exact"/>
              <w:ind w:left="0" w:right="0"/>
              <w:jc w:val="center"/>
              <w:rPr>
                <w:rFonts w:hint="default" w:ascii="宋体" w:hAnsi="宋体" w:cs="Nimbus Roman No9 L"/>
                <w:color w:val="auto"/>
                <w:sz w:val="32"/>
                <w:szCs w:val="32"/>
              </w:rPr>
            </w:pPr>
          </w:p>
        </w:tc>
        <w:tc>
          <w:tcPr>
            <w:tcW w:w="1303" w:type="dxa"/>
            <w:noWrap w:val="0"/>
            <w:vAlign w:val="center"/>
          </w:tcPr>
          <w:p>
            <w:pPr>
              <w:keepNext w:val="0"/>
              <w:keepLines w:val="0"/>
              <w:suppressLineNumbers w:val="0"/>
              <w:spacing w:before="0" w:beforeAutospacing="0" w:after="0" w:afterAutospacing="0" w:line="240" w:lineRule="exact"/>
              <w:ind w:left="0" w:right="-147" w:rightChars="-70"/>
              <w:jc w:val="right"/>
              <w:rPr>
                <w:rFonts w:hint="default" w:ascii="宋体" w:hAnsi="宋体" w:cs="Nimbus Roman No9 L"/>
                <w:color w:val="auto"/>
                <w:sz w:val="32"/>
                <w:szCs w:val="32"/>
              </w:rPr>
            </w:pPr>
            <w:r>
              <w:rPr>
                <w:rFonts w:hint="default" w:ascii="宋体" w:hAnsi="宋体" w:cs="Nimbus Roman No9 L"/>
                <w:color w:val="auto"/>
                <w:sz w:val="18"/>
                <w:szCs w:val="18"/>
              </w:rPr>
              <w:t>文    号：</w:t>
            </w:r>
          </w:p>
        </w:tc>
        <w:tc>
          <w:tcPr>
            <w:tcW w:w="2098" w:type="dxa"/>
            <w:gridSpan w:val="2"/>
            <w:noWrap w:val="0"/>
            <w:vAlign w:val="center"/>
          </w:tcPr>
          <w:p>
            <w:pPr>
              <w:keepNext w:val="0"/>
              <w:keepLines w:val="0"/>
              <w:suppressLineNumbers w:val="0"/>
              <w:spacing w:before="0" w:beforeAutospacing="0" w:after="0" w:afterAutospacing="0" w:line="240" w:lineRule="exact"/>
              <w:ind w:left="-84" w:leftChars="-40" w:right="-84" w:rightChars="-40"/>
              <w:jc w:val="distribute"/>
              <w:rPr>
                <w:rFonts w:hint="eastAsia" w:ascii="宋体" w:hAnsi="宋体" w:cs="宋体"/>
                <w:color w:val="auto"/>
                <w:sz w:val="18"/>
                <w:szCs w:val="18"/>
              </w:rPr>
            </w:pPr>
            <w:r>
              <w:rPr>
                <w:rFonts w:hint="eastAsia" w:ascii="宋体" w:hAnsi="宋体" w:cs="宋体"/>
                <w:color w:val="auto"/>
                <w:sz w:val="18"/>
                <w:szCs w:val="18"/>
              </w:rPr>
              <w:t>国统字〔２０２5〕88号</w:t>
            </w:r>
          </w:p>
        </w:tc>
      </w:tr>
      <w:tr>
        <w:tblPrEx>
          <w:tblCellMar>
            <w:top w:w="0" w:type="dxa"/>
            <w:left w:w="108" w:type="dxa"/>
            <w:bottom w:w="0" w:type="dxa"/>
            <w:right w:w="108" w:type="dxa"/>
          </w:tblCellMar>
        </w:tblPrEx>
        <w:trPr>
          <w:trHeight w:val="255" w:hRule="exact"/>
          <w:jc w:val="center"/>
        </w:trPr>
        <w:tc>
          <w:tcPr>
            <w:tcW w:w="3250" w:type="dxa"/>
            <w:gridSpan w:val="2"/>
            <w:vMerge w:val="continue"/>
            <w:tcBorders>
              <w:bottom w:val="single" w:color="auto" w:sz="8" w:space="0"/>
            </w:tcBorders>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default" w:ascii="宋体" w:hAnsi="宋体" w:cs="Nimbus Roman No9 L"/>
                <w:color w:val="auto"/>
                <w:sz w:val="32"/>
                <w:szCs w:val="32"/>
              </w:rPr>
            </w:pPr>
          </w:p>
        </w:tc>
        <w:tc>
          <w:tcPr>
            <w:tcW w:w="2875" w:type="dxa"/>
            <w:gridSpan w:val="3"/>
            <w:tcBorders>
              <w:bottom w:val="single" w:color="auto" w:sz="8" w:space="0"/>
            </w:tcBorders>
            <w:noWrap w:val="0"/>
            <w:vAlign w:val="top"/>
          </w:tcPr>
          <w:p>
            <w:pPr>
              <w:keepNext w:val="0"/>
              <w:keepLines w:val="0"/>
              <w:suppressLineNumbers w:val="0"/>
              <w:spacing w:before="0" w:beforeAutospacing="0" w:after="0" w:afterAutospacing="0" w:line="240" w:lineRule="exact"/>
              <w:ind w:left="0" w:right="0" w:firstLine="333" w:firstLineChars="185"/>
              <w:jc w:val="center"/>
              <w:rPr>
                <w:rFonts w:hint="default" w:ascii="宋体" w:hAnsi="宋体" w:cs="Nimbus Roman No9 L"/>
                <w:color w:val="auto"/>
                <w:sz w:val="32"/>
                <w:szCs w:val="32"/>
              </w:rPr>
            </w:pPr>
            <w:r>
              <w:rPr>
                <w:rFonts w:hint="default" w:ascii="宋体" w:hAnsi="宋体" w:cs="Nimbus Roman No9 L"/>
                <w:color w:val="auto"/>
                <w:kern w:val="0"/>
                <w:sz w:val="18"/>
                <w:szCs w:val="18"/>
              </w:rPr>
              <w:t>２０</w:t>
            </w:r>
            <w:r>
              <w:rPr>
                <w:rFonts w:hint="eastAsia" w:ascii="宋体" w:hAnsi="宋体" w:cs="Nimbus Roman No9 L"/>
                <w:color w:val="auto"/>
                <w:kern w:val="0"/>
                <w:sz w:val="18"/>
                <w:szCs w:val="18"/>
              </w:rPr>
              <w:t xml:space="preserve">  </w:t>
            </w:r>
            <w:r>
              <w:rPr>
                <w:rFonts w:hint="default" w:ascii="宋体" w:hAnsi="宋体" w:cs="Nimbus Roman No9 L"/>
                <w:color w:val="auto"/>
                <w:sz w:val="18"/>
                <w:szCs w:val="18"/>
              </w:rPr>
              <w:t>年</w:t>
            </w:r>
            <w:r>
              <w:rPr>
                <w:rFonts w:hint="eastAsia" w:ascii="宋体" w:hAnsi="宋体" w:cs="Nimbus Roman No9 L"/>
                <w:color w:val="auto"/>
                <w:sz w:val="18"/>
                <w:szCs w:val="18"/>
              </w:rPr>
              <w:t xml:space="preserve">  月</w:t>
            </w:r>
          </w:p>
        </w:tc>
        <w:tc>
          <w:tcPr>
            <w:tcW w:w="1303" w:type="dxa"/>
            <w:tcBorders>
              <w:bottom w:val="single" w:color="auto" w:sz="8" w:space="0"/>
            </w:tcBorders>
            <w:noWrap w:val="0"/>
            <w:vAlign w:val="center"/>
          </w:tcPr>
          <w:p>
            <w:pPr>
              <w:keepNext w:val="0"/>
              <w:keepLines w:val="0"/>
              <w:suppressLineNumbers w:val="0"/>
              <w:spacing w:before="0" w:beforeAutospacing="0" w:after="0" w:afterAutospacing="0" w:line="240" w:lineRule="exact"/>
              <w:ind w:left="0" w:right="-147" w:rightChars="-70"/>
              <w:jc w:val="right"/>
              <w:rPr>
                <w:rFonts w:hint="default" w:ascii="宋体" w:hAnsi="宋体" w:cs="Nimbus Roman No9 L"/>
                <w:color w:val="auto"/>
                <w:sz w:val="32"/>
                <w:szCs w:val="32"/>
              </w:rPr>
            </w:pPr>
            <w:r>
              <w:rPr>
                <w:rFonts w:hint="default" w:ascii="宋体" w:hAnsi="宋体" w:cs="Nimbus Roman No9 L"/>
                <w:color w:val="auto"/>
                <w:sz w:val="18"/>
                <w:szCs w:val="18"/>
              </w:rPr>
              <w:t>有效期至：</w:t>
            </w:r>
          </w:p>
        </w:tc>
        <w:tc>
          <w:tcPr>
            <w:tcW w:w="2098" w:type="dxa"/>
            <w:gridSpan w:val="2"/>
            <w:tcBorders>
              <w:bottom w:val="single" w:color="auto" w:sz="8" w:space="0"/>
            </w:tcBorders>
            <w:noWrap w:val="0"/>
            <w:vAlign w:val="center"/>
          </w:tcPr>
          <w:p>
            <w:pPr>
              <w:keepNext w:val="0"/>
              <w:keepLines w:val="0"/>
              <w:suppressLineNumbers w:val="0"/>
              <w:spacing w:before="0" w:beforeAutospacing="0" w:after="0" w:afterAutospacing="0" w:line="240" w:lineRule="exact"/>
              <w:ind w:left="-84" w:leftChars="-40" w:right="-84" w:rightChars="-40"/>
              <w:jc w:val="distribute"/>
              <w:rPr>
                <w:rFonts w:hint="eastAsia" w:ascii="宋体" w:hAnsi="宋体" w:cs="宋体"/>
                <w:color w:val="auto"/>
                <w:sz w:val="18"/>
                <w:szCs w:val="18"/>
              </w:rPr>
            </w:pPr>
            <w:r>
              <w:rPr>
                <w:rFonts w:hint="eastAsia" w:ascii="宋体" w:hAnsi="宋体" w:cs="宋体"/>
                <w:color w:val="auto"/>
                <w:sz w:val="18"/>
                <w:szCs w:val="18"/>
              </w:rPr>
              <w:t>2027年1月</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88" w:hRule="atLeast"/>
          <w:jc w:val="center"/>
        </w:trPr>
        <w:tc>
          <w:tcPr>
            <w:tcW w:w="620" w:type="dxa"/>
            <w:tcBorders>
              <w:top w:val="single" w:color="auto" w:sz="8"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color w:val="auto"/>
                <w:sz w:val="18"/>
                <w:shd w:val="clear" w:color="auto" w:fill="D7D7D7"/>
              </w:rPr>
            </w:pPr>
            <w:r>
              <w:rPr>
                <w:rFonts w:hint="eastAsia" w:ascii="宋体" w:hAnsi="宋体" w:cs="Nimbus Roman No9 L"/>
                <w:b/>
                <w:color w:val="auto"/>
                <w:sz w:val="18"/>
                <w:shd w:val="clear" w:color="auto" w:fill="D7D7D7"/>
              </w:rPr>
              <w:t>110</w:t>
            </w:r>
          </w:p>
        </w:tc>
        <w:tc>
          <w:tcPr>
            <w:tcW w:w="8906" w:type="dxa"/>
            <w:gridSpan w:val="7"/>
            <w:tcBorders>
              <w:top w:val="single" w:color="auto" w:sz="8" w:space="0"/>
              <w:left w:val="single" w:color="auto" w:sz="2" w:space="0"/>
              <w:bottom w:val="single" w:color="auto" w:sz="2" w:space="0"/>
              <w:right w:val="nil"/>
            </w:tcBorders>
            <w:shd w:val="clear" w:color="auto" w:fill="D7D7D7"/>
            <w:noWrap w:val="0"/>
            <w:vAlign w:val="center"/>
          </w:tcPr>
          <w:p>
            <w:pPr>
              <w:keepNext w:val="0"/>
              <w:keepLines w:val="0"/>
              <w:suppressLineNumbers w:val="0"/>
              <w:snapToGrid w:val="0"/>
              <w:spacing w:before="0" w:beforeAutospacing="0" w:after="0" w:afterAutospacing="0"/>
              <w:ind w:left="0" w:right="0"/>
              <w:rPr>
                <w:rFonts w:hint="eastAsia" w:ascii="宋体" w:hAnsi="宋体" w:cs="宋体"/>
                <w:color w:val="auto"/>
                <w:sz w:val="18"/>
                <w:szCs w:val="18"/>
              </w:rPr>
            </w:pPr>
            <w:r>
              <w:rPr>
                <w:rFonts w:hint="eastAsia" w:ascii="宋体" w:hAnsi="宋体" w:cs="宋体"/>
                <w:color w:val="auto"/>
                <w:sz w:val="18"/>
                <w:szCs w:val="18"/>
              </w:rPr>
              <w:t>单位类型  □ （已视同法人单位的分支机构，请填写“1”）</w:t>
            </w:r>
          </w:p>
          <w:p>
            <w:pPr>
              <w:keepNext w:val="0"/>
              <w:keepLines w:val="0"/>
              <w:suppressLineNumbers w:val="0"/>
              <w:snapToGrid w:val="0"/>
              <w:spacing w:before="0" w:beforeAutospacing="0" w:after="0" w:afterAutospacing="0"/>
              <w:ind w:left="0" w:right="0" w:firstLine="180" w:firstLineChars="100"/>
              <w:rPr>
                <w:rFonts w:hint="default" w:ascii="宋体" w:hAnsi="宋体" w:cs="Nimbus Roman No9 L"/>
                <w:color w:val="auto"/>
                <w:sz w:val="18"/>
                <w:szCs w:val="18"/>
                <w:shd w:val="clear" w:color="auto" w:fill="D7D7D7"/>
              </w:rPr>
            </w:pPr>
            <w:r>
              <w:rPr>
                <w:rFonts w:hint="eastAsia" w:ascii="宋体" w:hAnsi="宋体" w:cs="宋体"/>
                <w:color w:val="auto"/>
                <w:sz w:val="18"/>
                <w:szCs w:val="18"/>
              </w:rPr>
              <w:t>1法人单位    3个体经营户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gridAfter w:val="1"/>
          <w:wAfter w:w="20" w:type="dxa"/>
          <w:trHeight w:val="369" w:hRule="exact"/>
          <w:jc w:val="center"/>
        </w:trPr>
        <w:tc>
          <w:tcPr>
            <w:tcW w:w="620"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color w:val="auto"/>
                <w:sz w:val="18"/>
                <w:szCs w:val="18"/>
              </w:rPr>
            </w:pPr>
            <w:r>
              <w:rPr>
                <w:rFonts w:hint="default" w:ascii="宋体" w:hAnsi="宋体" w:cs="Nimbus Roman No9 L"/>
                <w:b/>
                <w:bCs/>
                <w:color w:val="auto"/>
                <w:sz w:val="16"/>
                <w:szCs w:val="18"/>
              </w:rPr>
              <w:t>100</w:t>
            </w:r>
          </w:p>
        </w:tc>
        <w:tc>
          <w:tcPr>
            <w:tcW w:w="8886"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 xml:space="preserve">是否为“视同法人单位”？如是，请勾选  □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00" w:hRule="atLeast"/>
          <w:jc w:val="center"/>
        </w:trPr>
        <w:tc>
          <w:tcPr>
            <w:tcW w:w="620"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bCs/>
                <w:color w:val="auto"/>
                <w:sz w:val="18"/>
                <w:szCs w:val="18"/>
                <w:shd w:val="clear" w:color="auto" w:fill="D7D7D7"/>
              </w:rPr>
            </w:pPr>
            <w:r>
              <w:rPr>
                <w:rFonts w:hint="default" w:ascii="宋体" w:hAnsi="宋体" w:cs="Nimbus Roman No9 L"/>
                <w:b/>
                <w:color w:val="auto"/>
                <w:sz w:val="18"/>
                <w:shd w:val="clear" w:color="auto" w:fill="D7D7D7"/>
              </w:rPr>
              <w:t>109</w:t>
            </w: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hd w:val="clear" w:color="auto" w:fill="D0CECE"/>
              <w:spacing w:before="0" w:beforeAutospacing="0" w:after="0" w:afterAutospacing="0" w:line="240" w:lineRule="exact"/>
              <w:ind w:left="0" w:right="0"/>
              <w:rPr>
                <w:rFonts w:hint="default" w:ascii="宋体" w:hAnsi="宋体" w:cs="Nimbus Roman No9 L"/>
                <w:color w:val="auto"/>
                <w:sz w:val="18"/>
                <w:szCs w:val="18"/>
                <w:shd w:val="clear" w:color="auto" w:fill="D7D7D7"/>
              </w:rPr>
            </w:pPr>
            <w:r>
              <w:rPr>
                <w:rFonts w:hint="default" w:ascii="宋体" w:hAnsi="宋体" w:cs="Nimbus Roman No9 L"/>
                <w:color w:val="auto"/>
                <w:sz w:val="18"/>
                <w:szCs w:val="18"/>
                <w:shd w:val="clear" w:color="auto" w:fill="D7D7D7"/>
              </w:rPr>
              <w:t xml:space="preserve">统一社会信用代码□□□□□□□□□□□□□□□□□□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40" w:hRule="exact"/>
          <w:jc w:val="center"/>
        </w:trPr>
        <w:tc>
          <w:tcPr>
            <w:tcW w:w="620"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bCs/>
                <w:color w:val="auto"/>
                <w:sz w:val="18"/>
                <w:szCs w:val="18"/>
                <w:shd w:val="clear" w:color="auto" w:fill="D7D7D7"/>
              </w:rPr>
            </w:pPr>
            <w:r>
              <w:rPr>
                <w:rFonts w:hint="default" w:ascii="宋体" w:hAnsi="宋体" w:cs="Nimbus Roman No9 L"/>
                <w:b/>
                <w:bCs/>
                <w:color w:val="auto"/>
                <w:sz w:val="18"/>
                <w:szCs w:val="18"/>
                <w:shd w:val="clear" w:color="auto" w:fill="D7D7D7"/>
              </w:rPr>
              <w:t>102</w:t>
            </w: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00" w:lineRule="exact"/>
              <w:ind w:left="0" w:right="0"/>
              <w:rPr>
                <w:rFonts w:hint="default" w:ascii="宋体" w:hAnsi="宋体" w:cs="Nimbus Roman No9 L"/>
                <w:color w:val="auto"/>
                <w:sz w:val="18"/>
                <w:szCs w:val="18"/>
                <w:shd w:val="clear" w:color="auto" w:fill="D7D7D7"/>
              </w:rPr>
            </w:pPr>
            <w:r>
              <w:rPr>
                <w:rFonts w:hint="default" w:ascii="宋体" w:hAnsi="宋体" w:cs="Nimbus Roman No9 L"/>
                <w:color w:val="auto"/>
                <w:sz w:val="18"/>
                <w:szCs w:val="18"/>
                <w:shd w:val="clear" w:color="auto" w:fill="D7D7D7"/>
              </w:rPr>
              <w:t xml:space="preserve">单位详细名称  </w:t>
            </w:r>
            <w:r>
              <w:rPr>
                <w:rFonts w:hint="default" w:ascii="宋体" w:hAnsi="宋体" w:cs="Nimbus Roman No9 L"/>
                <w:color w:val="auto"/>
                <w:sz w:val="18"/>
                <w:szCs w:val="18"/>
                <w:u w:val="single"/>
                <w:shd w:val="clear" w:color="auto" w:fill="D7D7D7"/>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201</w:t>
            </w: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法定代表人(单位负责人)</w:t>
            </w:r>
            <w:r>
              <w:rPr>
                <w:rFonts w:hint="default" w:ascii="宋体" w:hAnsi="宋体" w:cs="Nimbus Roman No9 L"/>
                <w:color w:val="auto"/>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202</w:t>
            </w:r>
          </w:p>
        </w:tc>
        <w:tc>
          <w:tcPr>
            <w:tcW w:w="4389" w:type="dxa"/>
            <w:gridSpan w:val="3"/>
            <w:tcBorders>
              <w:top w:val="single" w:color="auto" w:sz="2" w:space="0"/>
              <w:left w:val="single" w:color="auto" w:sz="2" w:space="0"/>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1成立时间（所有单位填报）</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年</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月</w:t>
            </w:r>
          </w:p>
        </w:tc>
        <w:tc>
          <w:tcPr>
            <w:tcW w:w="4517" w:type="dxa"/>
            <w:gridSpan w:val="4"/>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2开业时间（仅限企业填报）</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年</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月</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954" w:hRule="exact"/>
          <w:jc w:val="center"/>
        </w:trPr>
        <w:tc>
          <w:tcPr>
            <w:tcW w:w="620"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203</w:t>
            </w: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0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联系方式</w:t>
            </w:r>
          </w:p>
          <w:p>
            <w:pPr>
              <w:keepNext w:val="0"/>
              <w:keepLines w:val="0"/>
              <w:suppressLineNumbers w:val="0"/>
              <w:spacing w:before="0" w:beforeAutospacing="0" w:after="0" w:afterAutospacing="0" w:line="20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长途区号    □□□□□</w:t>
            </w:r>
          </w:p>
          <w:p>
            <w:pPr>
              <w:keepNext w:val="0"/>
              <w:keepLines w:val="0"/>
              <w:suppressLineNumbers w:val="0"/>
              <w:spacing w:before="0" w:beforeAutospacing="0" w:after="0" w:afterAutospacing="0" w:line="20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固定电话    □□□□□□□□-□□□□□□</w:t>
            </w:r>
          </w:p>
          <w:p>
            <w:pPr>
              <w:keepNext w:val="0"/>
              <w:keepLines w:val="0"/>
              <w:suppressLineNumbers w:val="0"/>
              <w:spacing w:before="0" w:beforeAutospacing="0" w:after="0" w:afterAutospacing="0" w:line="20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移动电话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786" w:hRule="atLeast"/>
          <w:jc w:val="center"/>
        </w:trPr>
        <w:tc>
          <w:tcPr>
            <w:tcW w:w="620" w:type="dxa"/>
            <w:vMerge w:val="restart"/>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105</w:t>
            </w: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0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 xml:space="preserve">单位所在地区划及详细地址               </w:t>
            </w:r>
          </w:p>
          <w:p>
            <w:pPr>
              <w:keepNext w:val="0"/>
              <w:keepLines w:val="0"/>
              <w:suppressLineNumbers w:val="0"/>
              <w:snapToGrid w:val="0"/>
              <w:spacing w:before="0" w:beforeAutospacing="0" w:after="0" w:afterAutospacing="0"/>
              <w:ind w:left="210" w:leftChars="100" w:right="0"/>
              <w:rPr>
                <w:rFonts w:hint="default" w:ascii="宋体" w:hAnsi="宋体" w:cs="Nimbus Roman No9 L"/>
                <w:color w:val="auto"/>
                <w:sz w:val="18"/>
                <w:szCs w:val="18"/>
              </w:rPr>
            </w:pP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省(自治区、直辖市)</w:t>
            </w:r>
            <w:r>
              <w:rPr>
                <w:rFonts w:hint="default" w:ascii="宋体" w:hAnsi="宋体" w:cs="Nimbus Roman No9 L"/>
                <w:color w:val="auto"/>
                <w:sz w:val="18"/>
                <w:szCs w:val="18"/>
                <w:u w:val="single"/>
              </w:rPr>
              <w:t xml:space="preserve">              </w:t>
            </w:r>
            <w:r>
              <w:rPr>
                <w:rFonts w:hint="eastAsia" w:ascii="宋体" w:hAnsi="宋体" w:cs="Nimbus Roman No9 L"/>
                <w:color w:val="auto"/>
                <w:sz w:val="18"/>
                <w:szCs w:val="18"/>
              </w:rPr>
              <w:t>地</w:t>
            </w:r>
            <w:r>
              <w:rPr>
                <w:rFonts w:hint="default" w:ascii="宋体" w:hAnsi="宋体" w:cs="Nimbus Roman No9 L"/>
                <w:color w:val="auto"/>
                <w:sz w:val="18"/>
                <w:szCs w:val="18"/>
              </w:rPr>
              <w:t>(</w:t>
            </w:r>
            <w:r>
              <w:rPr>
                <w:rFonts w:hint="eastAsia" w:ascii="宋体" w:hAnsi="宋体" w:cs="Nimbus Roman No9 L"/>
                <w:color w:val="auto"/>
                <w:sz w:val="18"/>
                <w:szCs w:val="18"/>
              </w:rPr>
              <w:t>市</w:t>
            </w:r>
            <w:r>
              <w:rPr>
                <w:rFonts w:hint="default" w:ascii="宋体" w:hAnsi="宋体" w:cs="Nimbus Roman No9 L"/>
                <w:color w:val="auto"/>
                <w:sz w:val="18"/>
                <w:szCs w:val="18"/>
              </w:rPr>
              <w:t>、州、盟)</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县(市、区、旗)</w:t>
            </w:r>
          </w:p>
          <w:p>
            <w:pPr>
              <w:keepNext w:val="0"/>
              <w:keepLines w:val="0"/>
              <w:suppressLineNumbers w:val="0"/>
              <w:snapToGrid w:val="0"/>
              <w:spacing w:before="0" w:beforeAutospacing="0" w:after="0" w:afterAutospacing="0"/>
              <w:ind w:left="210" w:leftChars="100" w:right="0"/>
              <w:rPr>
                <w:rFonts w:hint="default" w:ascii="宋体" w:hAnsi="宋体" w:cs="Nimbus Roman No9 L"/>
                <w:color w:val="auto"/>
                <w:sz w:val="18"/>
                <w:szCs w:val="18"/>
              </w:rPr>
            </w:pP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乡(镇、街道)</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 xml:space="preserve">村（居）委会 </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街（路）、门牌号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vMerge w:val="continue"/>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bCs/>
                <w:color w:val="auto"/>
                <w:sz w:val="18"/>
                <w:szCs w:val="18"/>
              </w:rPr>
            </w:pP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 xml:space="preserve">区划代码    □□□□□□□□□□□□       </w:t>
            </w:r>
            <w:r>
              <w:rPr>
                <w:rFonts w:hint="default" w:ascii="宋体" w:hAnsi="宋体" w:cs="Nimbus Roman No9 L"/>
                <w:color w:val="auto"/>
                <w:w w:val="110"/>
                <w:sz w:val="18"/>
                <w:szCs w:val="18"/>
              </w:rPr>
              <w:t xml:space="preserve">  </w:t>
            </w:r>
            <w:r>
              <w:rPr>
                <w:rFonts w:hint="default" w:ascii="宋体" w:hAnsi="宋体" w:cs="Nimbus Roman No9 L"/>
                <w:color w:val="auto"/>
                <w:sz w:val="18"/>
                <w:szCs w:val="18"/>
              </w:rPr>
              <w:t>城乡代码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21" w:hRule="atLeast"/>
          <w:jc w:val="center"/>
        </w:trPr>
        <w:tc>
          <w:tcPr>
            <w:tcW w:w="620" w:type="dxa"/>
            <w:vMerge w:val="restart"/>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106</w:t>
            </w: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 xml:space="preserve">单位注册地区划及详细地址             </w:t>
            </w:r>
          </w:p>
          <w:p>
            <w:pPr>
              <w:keepNext w:val="0"/>
              <w:keepLines w:val="0"/>
              <w:suppressLineNumbers w:val="0"/>
              <w:spacing w:before="0" w:beforeAutospacing="0" w:after="0" w:afterAutospacing="0" w:line="22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是否与单位所在地详细地址一致：   □ 1是，2否</w:t>
            </w:r>
          </w:p>
          <w:p>
            <w:pPr>
              <w:keepNext w:val="0"/>
              <w:keepLines w:val="0"/>
              <w:suppressLineNumbers w:val="0"/>
              <w:snapToGrid w:val="0"/>
              <w:spacing w:before="0" w:beforeAutospacing="0" w:after="0" w:afterAutospacing="0"/>
              <w:ind w:left="210" w:leftChars="100" w:right="0"/>
              <w:rPr>
                <w:rFonts w:hint="default" w:ascii="宋体" w:hAnsi="宋体" w:cs="Nimbus Roman No9 L"/>
                <w:color w:val="auto"/>
                <w:sz w:val="18"/>
                <w:szCs w:val="18"/>
              </w:rPr>
            </w:pP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省(自治区、直辖市)</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地(市、州、盟)</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县(市、区、旗)</w:t>
            </w:r>
          </w:p>
          <w:p>
            <w:pPr>
              <w:keepNext w:val="0"/>
              <w:keepLines w:val="0"/>
              <w:suppressLineNumbers w:val="0"/>
              <w:snapToGrid w:val="0"/>
              <w:spacing w:before="0" w:beforeAutospacing="0" w:after="0" w:afterAutospacing="0"/>
              <w:ind w:left="210" w:leftChars="100" w:right="0"/>
              <w:rPr>
                <w:rFonts w:hint="default" w:ascii="宋体" w:hAnsi="宋体" w:cs="Nimbus Roman No9 L"/>
                <w:color w:val="auto"/>
                <w:sz w:val="18"/>
                <w:szCs w:val="18"/>
              </w:rPr>
            </w:pP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乡(镇、街道)</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 xml:space="preserve">村（居）委会 </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街（路）、门牌号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vMerge w:val="continue"/>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bCs/>
                <w:color w:val="auto"/>
                <w:sz w:val="18"/>
                <w:szCs w:val="18"/>
              </w:rPr>
            </w:pP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 xml:space="preserve">区划代码    □□□□□□□□□□□□       </w:t>
            </w:r>
            <w:r>
              <w:rPr>
                <w:rFonts w:hint="default" w:ascii="宋体" w:hAnsi="宋体" w:cs="Nimbus Roman No9 L"/>
                <w:color w:val="auto"/>
                <w:w w:val="110"/>
                <w:sz w:val="18"/>
                <w:szCs w:val="18"/>
              </w:rPr>
              <w:t xml:space="preserve">  </w:t>
            </w:r>
            <w:r>
              <w:rPr>
                <w:rFonts w:hint="default" w:ascii="宋体" w:hAnsi="宋体" w:cs="Nimbus Roman No9 L"/>
                <w:color w:val="auto"/>
                <w:sz w:val="18"/>
                <w:szCs w:val="18"/>
              </w:rPr>
              <w:t xml:space="preserve">城乡代码    □□□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napToGrid w:val="0"/>
              <w:spacing w:before="0" w:beforeAutospacing="0" w:after="0" w:afterAutospacing="0"/>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208</w:t>
            </w: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napToGrid w:val="0"/>
              <w:spacing w:before="0" w:beforeAutospacing="0" w:after="0" w:afterAutospacing="0"/>
              <w:ind w:left="0" w:right="0"/>
              <w:rPr>
                <w:rFonts w:hint="default" w:ascii="宋体" w:hAnsi="宋体" w:cs="Nimbus Roman No9 L"/>
                <w:color w:val="auto"/>
                <w:sz w:val="18"/>
                <w:szCs w:val="18"/>
              </w:rPr>
            </w:pPr>
            <w:r>
              <w:rPr>
                <w:rFonts w:hint="default" w:ascii="宋体" w:hAnsi="宋体" w:cs="Nimbus Roman No9 L"/>
                <w:color w:val="auto"/>
                <w:sz w:val="18"/>
                <w:szCs w:val="18"/>
              </w:rPr>
              <w:t>运营状态□  1正常运营 2停业(歇业) 3筹建 4当年关闭  5当年破产 6当年注销 7当年撤（吊）销 9其他</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794" w:hRule="atLeast"/>
          <w:jc w:val="center"/>
        </w:trPr>
        <w:tc>
          <w:tcPr>
            <w:tcW w:w="620" w:type="dxa"/>
            <w:vMerge w:val="restart"/>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103</w:t>
            </w: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 xml:space="preserve">行业类别                                                    </w:t>
            </w:r>
          </w:p>
          <w:p>
            <w:pPr>
              <w:keepNext w:val="0"/>
              <w:keepLines w:val="0"/>
              <w:suppressLineNumbers w:val="0"/>
              <w:spacing w:before="0" w:beforeAutospacing="0" w:after="0" w:afterAutospacing="0" w:line="22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主要业务活动</w:t>
            </w:r>
          </w:p>
          <w:p>
            <w:pPr>
              <w:keepNext w:val="0"/>
              <w:keepLines w:val="0"/>
              <w:suppressLineNumbers w:val="0"/>
              <w:spacing w:before="0" w:beforeAutospacing="0" w:after="0" w:afterAutospacing="0" w:line="22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1</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 xml:space="preserve">    2</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 xml:space="preserve">    3</w:t>
            </w:r>
            <w:r>
              <w:rPr>
                <w:rFonts w:hint="default" w:ascii="宋体" w:hAnsi="宋体" w:cs="Nimbus Roman No9 L"/>
                <w:color w:val="auto"/>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09" w:hRule="atLeast"/>
          <w:jc w:val="center"/>
        </w:trPr>
        <w:tc>
          <w:tcPr>
            <w:tcW w:w="620" w:type="dxa"/>
            <w:vMerge w:val="continue"/>
            <w:tcBorders>
              <w:top w:val="single" w:color="auto" w:sz="2" w:space="0"/>
              <w:left w:val="nil"/>
              <w:bottom w:val="single" w:color="auto" w:sz="2" w:space="0"/>
              <w:right w:val="single" w:color="auto" w:sz="2" w:space="0"/>
            </w:tcBorders>
            <w:shd w:val="clear" w:color="auto" w:fill="auto"/>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bCs/>
                <w:color w:val="auto"/>
                <w:sz w:val="18"/>
                <w:szCs w:val="18"/>
              </w:rPr>
            </w:pP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0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行业代码(GB/T 4754-2017)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850" w:hRule="atLeast"/>
          <w:jc w:val="center"/>
        </w:trPr>
        <w:tc>
          <w:tcPr>
            <w:tcW w:w="620"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104</w:t>
            </w: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报表类别    □</w:t>
            </w:r>
          </w:p>
          <w:p>
            <w:pPr>
              <w:keepNext w:val="0"/>
              <w:keepLines w:val="0"/>
              <w:suppressLineNumbers w:val="0"/>
              <w:snapToGrid w:val="0"/>
              <w:spacing w:before="0" w:beforeAutospacing="0" w:after="0" w:afterAutospacing="0" w:line="22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 xml:space="preserve">A 农业     　　　B 规模以上工业       B1规模以下工业         C 建筑业          E 批发和零售业 </w:t>
            </w:r>
          </w:p>
          <w:p>
            <w:pPr>
              <w:keepNext w:val="0"/>
              <w:keepLines w:val="0"/>
              <w:suppressLineNumbers w:val="0"/>
              <w:tabs>
                <w:tab w:val="left" w:pos="5237"/>
              </w:tabs>
              <w:spacing w:before="0" w:beforeAutospacing="0" w:after="0" w:afterAutospacing="0" w:line="22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 xml:space="preserve">S 住宿和餐饮业 </w:t>
            </w:r>
            <w:r>
              <w:rPr>
                <w:rFonts w:hint="default" w:ascii="宋体" w:hAnsi="宋体" w:cs="Nimbus Roman No9 L"/>
                <w:color w:val="auto"/>
                <w:w w:val="110"/>
                <w:sz w:val="18"/>
                <w:szCs w:val="18"/>
              </w:rPr>
              <w:t xml:space="preserve">  </w:t>
            </w:r>
            <w:r>
              <w:rPr>
                <w:rFonts w:hint="default" w:ascii="宋体" w:hAnsi="宋体" w:cs="Nimbus Roman No9 L"/>
                <w:color w:val="auto"/>
                <w:sz w:val="18"/>
                <w:szCs w:val="18"/>
              </w:rPr>
              <w:t>X 房地产开发经营业   F 规模以上服务业　　</w:t>
            </w:r>
            <w:r>
              <w:rPr>
                <w:rFonts w:hint="default" w:ascii="宋体" w:hAnsi="宋体" w:cs="Nimbus Roman No9 L"/>
                <w:color w:val="auto"/>
                <w:w w:val="80"/>
                <w:sz w:val="18"/>
                <w:szCs w:val="18"/>
              </w:rPr>
              <w:t>　</w:t>
            </w:r>
            <w:r>
              <w:rPr>
                <w:rFonts w:hint="default" w:ascii="宋体" w:hAnsi="宋体" w:cs="Nimbus Roman No9 L"/>
                <w:color w:val="auto"/>
                <w:sz w:val="18"/>
                <w:szCs w:val="18"/>
              </w:rPr>
              <w:t>　H 投资    　　</w:t>
            </w:r>
            <w:r>
              <w:rPr>
                <w:rFonts w:hint="default" w:ascii="宋体" w:hAnsi="宋体" w:cs="Nimbus Roman No9 L"/>
                <w:color w:val="auto"/>
                <w:w w:val="80"/>
                <w:sz w:val="18"/>
                <w:szCs w:val="18"/>
              </w:rPr>
              <w:t>　</w:t>
            </w:r>
            <w:r>
              <w:rPr>
                <w:rFonts w:hint="default" w:ascii="宋体" w:hAnsi="宋体" w:cs="Nimbus Roman No9 L"/>
                <w:color w:val="auto"/>
                <w:sz w:val="18"/>
                <w:szCs w:val="18"/>
              </w:rPr>
              <w:t xml:space="preserve">　U 其他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00" w:lineRule="exact"/>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191</w:t>
            </w: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00" w:lineRule="exact"/>
              <w:ind w:left="0" w:right="57" w:rightChars="27"/>
              <w:rPr>
                <w:rFonts w:hint="default" w:ascii="宋体" w:hAnsi="宋体" w:cs="Nimbus Roman No9 L"/>
                <w:color w:val="auto"/>
                <w:sz w:val="18"/>
                <w:szCs w:val="18"/>
              </w:rPr>
            </w:pPr>
            <w:r>
              <w:rPr>
                <w:rFonts w:hint="default" w:ascii="宋体" w:hAnsi="宋体" w:cs="Nimbus Roman No9 L"/>
                <w:color w:val="auto"/>
                <w:sz w:val="18"/>
                <w:szCs w:val="18"/>
              </w:rPr>
              <w:t>单位规模    □        1 大型          2 中型          3 小型           4 微型</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00" w:lineRule="exact"/>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192</w:t>
            </w: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2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从业人员    从业人员期末人数</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人         其中：女性</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人</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907" w:hRule="exact"/>
          <w:jc w:val="center"/>
        </w:trPr>
        <w:tc>
          <w:tcPr>
            <w:tcW w:w="620"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193</w:t>
            </w:r>
          </w:p>
        </w:tc>
        <w:tc>
          <w:tcPr>
            <w:tcW w:w="8906" w:type="dxa"/>
            <w:gridSpan w:val="7"/>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企业主要经济指标</w:t>
            </w:r>
          </w:p>
          <w:p>
            <w:pPr>
              <w:keepNext w:val="0"/>
              <w:keepLines w:val="0"/>
              <w:suppressLineNumbers w:val="0"/>
              <w:spacing w:before="0" w:beforeAutospacing="0" w:after="0" w:afterAutospacing="0" w:line="240" w:lineRule="exact"/>
              <w:ind w:left="0" w:right="0" w:firstLine="180" w:firstLineChars="100"/>
              <w:rPr>
                <w:rFonts w:hint="eastAsia" w:ascii="宋体" w:hAnsi="宋体" w:cs="Nimbus Roman No9 L"/>
                <w:color w:val="auto"/>
                <w:sz w:val="18"/>
                <w:szCs w:val="18"/>
              </w:rPr>
            </w:pPr>
            <w:r>
              <w:rPr>
                <w:rFonts w:hint="default" w:ascii="宋体" w:hAnsi="宋体" w:cs="Nimbus Roman No9 L"/>
                <w:color w:val="auto"/>
                <w:sz w:val="18"/>
                <w:szCs w:val="18"/>
              </w:rPr>
              <w:t>营业收入</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千元     其中：主营业务收入</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千元    资产总计</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 xml:space="preserve">千元       </w:t>
            </w:r>
            <w:r>
              <w:rPr>
                <w:rFonts w:hint="eastAsia" w:ascii="宋体" w:hAnsi="宋体" w:cs="Nimbus Roman No9 L"/>
                <w:color w:val="auto"/>
                <w:sz w:val="18"/>
                <w:szCs w:val="18"/>
              </w:rPr>
              <w:t xml:space="preserve">                         </w:t>
            </w:r>
          </w:p>
          <w:p>
            <w:pPr>
              <w:keepNext w:val="0"/>
              <w:keepLines w:val="0"/>
              <w:suppressLineNumbers w:val="0"/>
              <w:spacing w:before="0" w:beforeAutospacing="0" w:after="0" w:afterAutospacing="0" w:line="240" w:lineRule="exact"/>
              <w:ind w:left="0" w:right="0" w:firstLine="180" w:firstLineChars="100"/>
              <w:rPr>
                <w:rFonts w:hint="default" w:ascii="宋体" w:hAnsi="宋体" w:cs="Nimbus Roman No9 L"/>
                <w:color w:val="auto"/>
                <w:sz w:val="18"/>
                <w:szCs w:val="18"/>
              </w:rPr>
            </w:pPr>
            <w:r>
              <w:rPr>
                <w:rFonts w:hint="eastAsia" w:ascii="宋体" w:hAnsi="宋体" w:cs="宋体"/>
                <w:color w:val="auto"/>
                <w:sz w:val="18"/>
                <w:szCs w:val="18"/>
              </w:rPr>
              <w:t>营业总额</w:t>
            </w:r>
            <w:r>
              <w:rPr>
                <w:rFonts w:hint="default" w:ascii="宋体" w:hAnsi="宋体" w:cs="Nimbus Roman No9 L"/>
                <w:color w:val="auto"/>
                <w:sz w:val="18"/>
                <w:szCs w:val="18"/>
                <w:u w:val="single"/>
              </w:rPr>
              <w:t xml:space="preserve">           </w:t>
            </w:r>
            <w:r>
              <w:rPr>
                <w:rFonts w:hint="eastAsia" w:ascii="宋体" w:hAnsi="宋体" w:cs="Nimbus Roman No9 L"/>
                <w:color w:val="auto"/>
                <w:sz w:val="18"/>
                <w:szCs w:val="18"/>
                <w:u w:val="single"/>
              </w:rPr>
              <w:t xml:space="preserve"> </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千元</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50" w:hRule="atLeast"/>
          <w:jc w:val="center"/>
        </w:trPr>
        <w:tc>
          <w:tcPr>
            <w:tcW w:w="620" w:type="dxa"/>
            <w:tcBorders>
              <w:top w:val="single" w:color="auto" w:sz="2" w:space="0"/>
              <w:left w:val="nil"/>
              <w:bottom w:val="single" w:color="auto" w:sz="8" w:space="0"/>
              <w:right w:val="single" w:color="auto" w:sz="2" w:space="0"/>
            </w:tcBorders>
            <w:shd w:val="clear" w:color="auto" w:fill="D7D7D7"/>
            <w:noWrap w:val="0"/>
            <w:vAlign w:val="center"/>
          </w:tcPr>
          <w:p>
            <w:pPr>
              <w:keepNext w:val="0"/>
              <w:keepLines w:val="0"/>
              <w:suppressLineNumbers w:val="0"/>
              <w:spacing w:before="0" w:beforeAutospacing="0" w:after="0" w:afterAutospacing="0" w:line="220" w:lineRule="exact"/>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211</w:t>
            </w:r>
          </w:p>
        </w:tc>
        <w:tc>
          <w:tcPr>
            <w:tcW w:w="8906" w:type="dxa"/>
            <w:gridSpan w:val="7"/>
            <w:tcBorders>
              <w:top w:val="single" w:color="auto" w:sz="2" w:space="0"/>
              <w:left w:val="single" w:color="auto" w:sz="2" w:space="0"/>
              <w:bottom w:val="single" w:color="auto" w:sz="8" w:space="0"/>
              <w:right w:val="nil"/>
            </w:tcBorders>
            <w:shd w:val="clear" w:color="auto" w:fill="D7D7D7"/>
            <w:noWrap w:val="0"/>
            <w:vAlign w:val="center"/>
          </w:tcPr>
          <w:p>
            <w:pPr>
              <w:keepNext w:val="0"/>
              <w:keepLines w:val="0"/>
              <w:suppressLineNumbers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机构类型    □□</w:t>
            </w:r>
          </w:p>
          <w:p>
            <w:pPr>
              <w:keepNext w:val="0"/>
              <w:keepLines w:val="0"/>
              <w:suppressLineNumbers w:val="0"/>
              <w:spacing w:before="0" w:beforeAutospacing="0" w:after="0" w:afterAutospacing="0" w:line="24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10 企业          20 事业单位        30 机关          40 社会团体          51 民办非企业单位</w:t>
            </w:r>
          </w:p>
          <w:p>
            <w:pPr>
              <w:keepNext w:val="0"/>
              <w:keepLines w:val="0"/>
              <w:suppressLineNumbers w:val="0"/>
              <w:spacing w:before="0" w:beforeAutospacing="0" w:after="0" w:afterAutospacing="0" w:line="24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52 基金会        53 居委会          54 村委会        55 农民专业合作社    56 农村集体经济组织</w:t>
            </w:r>
          </w:p>
          <w:p>
            <w:pPr>
              <w:keepNext w:val="0"/>
              <w:keepLines w:val="0"/>
              <w:widowControl/>
              <w:suppressLineNumbers w:val="0"/>
              <w:spacing w:before="0" w:beforeAutospacing="0" w:after="0" w:afterAutospacing="0" w:line="24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90 其他组织机构</w:t>
            </w:r>
          </w:p>
        </w:tc>
      </w:tr>
    </w:tbl>
    <w:p>
      <w:pPr>
        <w:rPr>
          <w:color w:val="auto"/>
        </w:rPr>
      </w:pPr>
      <w:r>
        <w:rPr>
          <w:color w:val="auto"/>
        </w:rPr>
        <w:br w:type="page"/>
      </w:r>
    </w:p>
    <w:tbl>
      <w:tblPr>
        <w:tblStyle w:val="21"/>
        <w:tblW w:w="9567"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20"/>
        <w:gridCol w:w="8947"/>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13" w:hRule="atLeast"/>
          <w:jc w:val="center"/>
        </w:trPr>
        <w:tc>
          <w:tcPr>
            <w:tcW w:w="620" w:type="dxa"/>
            <w:shd w:val="clear" w:color="auto" w:fill="D7D7D7"/>
            <w:noWrap w:val="0"/>
            <w:tcMar>
              <w:top w:w="0" w:type="dxa"/>
              <w:left w:w="57" w:type="dxa"/>
              <w:bottom w:w="0" w:type="dxa"/>
              <w:right w:w="57" w:type="dxa"/>
            </w:tcMar>
            <w:vAlign w:val="center"/>
          </w:tcPr>
          <w:p>
            <w:pPr>
              <w:keepNext w:val="0"/>
              <w:keepLines w:val="0"/>
              <w:suppressLineNumbers w:val="0"/>
              <w:spacing w:before="0" w:beforeAutospacing="0" w:after="0" w:afterAutospacing="0"/>
              <w:ind w:left="0" w:right="0"/>
              <w:jc w:val="left"/>
              <w:rPr>
                <w:rFonts w:hint="default" w:ascii="宋体" w:hAnsi="宋体" w:cs="Nimbus Roman No9 L"/>
                <w:b/>
                <w:bCs/>
                <w:color w:val="auto"/>
                <w:sz w:val="18"/>
                <w:szCs w:val="18"/>
              </w:rPr>
            </w:pPr>
            <w:r>
              <w:rPr>
                <w:rFonts w:hint="default" w:ascii="宋体" w:hAnsi="宋体" w:cs="Nimbus Roman No9 L"/>
                <w:b/>
                <w:bCs/>
                <w:color w:val="auto"/>
                <w:sz w:val="18"/>
                <w:szCs w:val="18"/>
              </w:rPr>
              <w:t>205</w:t>
            </w:r>
          </w:p>
        </w:tc>
        <w:tc>
          <w:tcPr>
            <w:tcW w:w="8947" w:type="dxa"/>
            <w:shd w:val="clear" w:color="auto" w:fill="D7D7D7"/>
            <w:noWrap w:val="0"/>
            <w:vAlign w:val="center"/>
          </w:tcPr>
          <w:p>
            <w:pPr>
              <w:keepNext w:val="0"/>
              <w:keepLines w:val="0"/>
              <w:suppressLineNumbers w:val="0"/>
              <w:spacing w:before="0" w:beforeAutospacing="0" w:after="0" w:afterAutospacing="0"/>
              <w:ind w:left="0" w:right="0"/>
              <w:rPr>
                <w:rFonts w:hint="default" w:ascii="宋体" w:hAnsi="宋体"/>
                <w:color w:val="auto"/>
              </w:rPr>
            </w:pPr>
            <w:r>
              <w:rPr>
                <w:rFonts w:hint="eastAsia" w:ascii="宋体" w:hAnsi="宋体" w:cs="Nimbus Roman No9 L"/>
                <w:color w:val="auto"/>
                <w:sz w:val="18"/>
                <w:szCs w:val="18"/>
              </w:rPr>
              <w:t>登记注册统计类别</w:t>
            </w:r>
            <w:r>
              <w:rPr>
                <w:rFonts w:hint="default" w:ascii="宋体" w:hAnsi="宋体" w:cs="Nimbus Roman No9 L"/>
                <w:color w:val="auto"/>
                <w:sz w:val="18"/>
                <w:szCs w:val="18"/>
              </w:rPr>
              <w:t xml:space="preserve">  □□□  </w:t>
            </w:r>
          </w:p>
          <w:p>
            <w:pPr>
              <w:keepNext w:val="0"/>
              <w:keepLines w:val="0"/>
              <w:suppressLineNumbers w:val="0"/>
              <w:tabs>
                <w:tab w:val="left" w:pos="630"/>
              </w:tabs>
              <w:spacing w:before="0" w:beforeAutospacing="0" w:after="0" w:afterAutospacing="0"/>
              <w:ind w:left="0" w:right="0"/>
              <w:rPr>
                <w:rFonts w:hint="default" w:ascii="宋体" w:hAnsi="宋体" w:cs="Nimbus Roman No9 L"/>
                <w:color w:val="auto"/>
                <w:sz w:val="18"/>
                <w:szCs w:val="18"/>
              </w:rPr>
            </w:pPr>
            <w:r>
              <w:rPr>
                <w:rFonts w:hint="default" w:ascii="宋体" w:hAnsi="宋体" w:cs="Nimbus Roman No9 L"/>
                <w:b/>
                <w:bCs/>
                <w:color w:val="auto"/>
                <w:sz w:val="18"/>
                <w:szCs w:val="18"/>
              </w:rPr>
              <w:t>内资企业</w:t>
            </w:r>
          </w:p>
          <w:p>
            <w:pPr>
              <w:keepNext w:val="0"/>
              <w:keepLines w:val="0"/>
              <w:suppressLineNumbers w:val="0"/>
              <w:tabs>
                <w:tab w:val="left" w:pos="630"/>
              </w:tabs>
              <w:spacing w:before="0" w:beforeAutospacing="0" w:after="0" w:afterAutospacing="0"/>
              <w:ind w:left="0" w:right="0"/>
              <w:rPr>
                <w:rFonts w:hint="default" w:ascii="宋体" w:hAnsi="宋体" w:cs="Nimbus Roman No9 L"/>
                <w:color w:val="auto"/>
                <w:sz w:val="18"/>
                <w:szCs w:val="18"/>
                <w:lang w:val="en"/>
              </w:rPr>
            </w:pPr>
            <w:r>
              <w:rPr>
                <w:rFonts w:hint="default" w:ascii="宋体" w:hAnsi="宋体" w:cs="Nimbus Roman No9 L"/>
                <w:color w:val="auto"/>
                <w:sz w:val="18"/>
                <w:szCs w:val="18"/>
                <w:lang w:val="en"/>
              </w:rPr>
              <w:t xml:space="preserve">111 国有独资公司 </w:t>
            </w:r>
            <w:r>
              <w:rPr>
                <w:rFonts w:hint="eastAsia" w:ascii="宋体" w:hAnsi="宋体" w:cs="Nimbus Roman No9 L"/>
                <w:color w:val="auto"/>
                <w:sz w:val="18"/>
                <w:szCs w:val="18"/>
              </w:rPr>
              <w:t xml:space="preserve">    </w:t>
            </w:r>
            <w:r>
              <w:rPr>
                <w:rFonts w:hint="default" w:ascii="宋体" w:hAnsi="宋体" w:cs="Nimbus Roman No9 L"/>
                <w:color w:val="auto"/>
                <w:sz w:val="18"/>
                <w:szCs w:val="18"/>
                <w:lang w:val="en"/>
              </w:rPr>
              <w:t xml:space="preserve">112 私营有限责任公司 </w:t>
            </w:r>
            <w:r>
              <w:rPr>
                <w:rFonts w:hint="eastAsia" w:ascii="宋体" w:hAnsi="宋体" w:cs="Nimbus Roman No9 L"/>
                <w:color w:val="auto"/>
                <w:sz w:val="18"/>
                <w:szCs w:val="18"/>
              </w:rPr>
              <w:t xml:space="preserve">    </w:t>
            </w:r>
            <w:r>
              <w:rPr>
                <w:rFonts w:hint="default" w:ascii="宋体" w:hAnsi="宋体" w:cs="Nimbus Roman No9 L"/>
                <w:color w:val="auto"/>
                <w:sz w:val="18"/>
                <w:szCs w:val="18"/>
                <w:lang w:val="en"/>
              </w:rPr>
              <w:t>119 其他有限责任公司</w:t>
            </w:r>
          </w:p>
          <w:p>
            <w:pPr>
              <w:keepNext w:val="0"/>
              <w:keepLines w:val="0"/>
              <w:suppressLineNumbers w:val="0"/>
              <w:tabs>
                <w:tab w:val="left" w:pos="630"/>
              </w:tabs>
              <w:spacing w:before="0" w:beforeAutospacing="0" w:after="0" w:afterAutospacing="0"/>
              <w:ind w:left="0" w:right="0"/>
              <w:rPr>
                <w:rFonts w:hint="default" w:ascii="宋体" w:hAnsi="宋体" w:cs="Nimbus Roman No9 L"/>
                <w:color w:val="auto"/>
                <w:sz w:val="18"/>
                <w:szCs w:val="18"/>
              </w:rPr>
            </w:pPr>
            <w:r>
              <w:rPr>
                <w:rFonts w:hint="default" w:ascii="宋体" w:hAnsi="宋体" w:cs="Nimbus Roman No9 L"/>
                <w:color w:val="auto"/>
                <w:sz w:val="18"/>
                <w:szCs w:val="18"/>
              </w:rPr>
              <w:t>121 私营股份有限公司 129 其他股份有限公司</w:t>
            </w:r>
          </w:p>
          <w:p>
            <w:pPr>
              <w:keepNext w:val="0"/>
              <w:keepLines w:val="0"/>
              <w:suppressLineNumbers w:val="0"/>
              <w:tabs>
                <w:tab w:val="left" w:pos="630"/>
              </w:tabs>
              <w:spacing w:before="0" w:beforeAutospacing="0" w:after="0" w:afterAutospacing="0"/>
              <w:ind w:left="0" w:right="0"/>
              <w:rPr>
                <w:rFonts w:hint="eastAsia" w:ascii="宋体" w:hAnsi="宋体" w:cs="Nimbus Roman No9 L"/>
                <w:color w:val="auto"/>
                <w:sz w:val="18"/>
                <w:szCs w:val="18"/>
              </w:rPr>
            </w:pPr>
            <w:r>
              <w:rPr>
                <w:rFonts w:hint="default" w:ascii="宋体" w:hAnsi="宋体" w:cs="Nimbus Roman No9 L"/>
                <w:color w:val="auto"/>
                <w:sz w:val="18"/>
                <w:szCs w:val="18"/>
              </w:rPr>
              <w:t>131 全民所有制企业（国有企业）</w:t>
            </w:r>
            <w:r>
              <w:rPr>
                <w:rFonts w:hint="eastAsia" w:ascii="宋体" w:hAnsi="宋体" w:cs="Nimbus Roman No9 L"/>
                <w:color w:val="auto"/>
                <w:sz w:val="18"/>
                <w:szCs w:val="18"/>
              </w:rPr>
              <w:t xml:space="preserve">     132 集体所有制企业（集体企业） 133 股份合作企业 134 联营企业</w:t>
            </w:r>
          </w:p>
          <w:p>
            <w:pPr>
              <w:keepNext w:val="0"/>
              <w:keepLines w:val="0"/>
              <w:suppressLineNumbers w:val="0"/>
              <w:tabs>
                <w:tab w:val="left" w:pos="630"/>
              </w:tabs>
              <w:spacing w:before="0" w:beforeAutospacing="0" w:after="0" w:afterAutospacing="0"/>
              <w:ind w:left="0" w:right="0"/>
              <w:rPr>
                <w:rFonts w:hint="default" w:ascii="宋体" w:hAnsi="宋体" w:cs="Nimbus Roman No9 L"/>
                <w:color w:val="auto"/>
                <w:sz w:val="18"/>
                <w:szCs w:val="18"/>
                <w:lang w:val="en"/>
              </w:rPr>
            </w:pPr>
            <w:r>
              <w:rPr>
                <w:rFonts w:hint="default" w:ascii="宋体" w:hAnsi="宋体" w:cs="Nimbus Roman No9 L"/>
                <w:color w:val="auto"/>
                <w:sz w:val="18"/>
                <w:szCs w:val="18"/>
              </w:rPr>
              <w:t>140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个人独资企业</w:t>
            </w:r>
            <w:r>
              <w:rPr>
                <w:rFonts w:hint="eastAsia" w:ascii="宋体" w:hAnsi="宋体" w:cs="Nimbus Roman No9 L"/>
                <w:color w:val="auto"/>
                <w:sz w:val="18"/>
                <w:szCs w:val="18"/>
              </w:rPr>
              <w:t xml:space="preserve">    </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150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合伙企业</w:t>
            </w:r>
            <w:r>
              <w:rPr>
                <w:rFonts w:hint="default" w:ascii="宋体" w:hAnsi="宋体" w:cs="Nimbus Roman No9 L"/>
                <w:color w:val="auto"/>
                <w:sz w:val="18"/>
                <w:szCs w:val="18"/>
                <w:lang w:val="en"/>
              </w:rPr>
              <w:t xml:space="preserve"> </w:t>
            </w:r>
            <w:r>
              <w:rPr>
                <w:rFonts w:hint="eastAsia" w:ascii="宋体" w:hAnsi="宋体" w:cs="Nimbus Roman No9 L"/>
                <w:color w:val="auto"/>
                <w:sz w:val="18"/>
                <w:szCs w:val="18"/>
              </w:rPr>
              <w:t xml:space="preserve"> </w:t>
            </w:r>
            <w:r>
              <w:rPr>
                <w:rFonts w:hint="default" w:ascii="宋体" w:hAnsi="宋体" w:cs="Nimbus Roman No9 L"/>
                <w:color w:val="auto"/>
                <w:sz w:val="18"/>
                <w:szCs w:val="18"/>
              </w:rPr>
              <w:t>190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其他内资企业</w:t>
            </w:r>
          </w:p>
          <w:p>
            <w:pPr>
              <w:keepNext w:val="0"/>
              <w:keepLines w:val="0"/>
              <w:suppressLineNumbers w:val="0"/>
              <w:tabs>
                <w:tab w:val="left" w:pos="630"/>
              </w:tabs>
              <w:spacing w:before="0" w:beforeAutospacing="0" w:after="0" w:afterAutospacing="0"/>
              <w:ind w:left="0" w:right="0"/>
              <w:rPr>
                <w:rFonts w:hint="default" w:ascii="宋体" w:hAnsi="宋体" w:cs="Nimbus Roman No9 L"/>
                <w:color w:val="auto"/>
                <w:sz w:val="18"/>
                <w:szCs w:val="18"/>
                <w:lang w:val="en"/>
              </w:rPr>
            </w:pPr>
            <w:r>
              <w:rPr>
                <w:rFonts w:hint="default" w:ascii="宋体" w:hAnsi="宋体" w:cs="Nimbus Roman No9 L"/>
                <w:b/>
                <w:bCs/>
                <w:color w:val="auto"/>
                <w:sz w:val="18"/>
                <w:szCs w:val="18"/>
              </w:rPr>
              <w:t>港澳台投资企业</w:t>
            </w:r>
          </w:p>
          <w:p>
            <w:pPr>
              <w:keepNext w:val="0"/>
              <w:keepLines w:val="0"/>
              <w:suppressLineNumbers w:val="0"/>
              <w:tabs>
                <w:tab w:val="left" w:pos="630"/>
              </w:tabs>
              <w:spacing w:before="0" w:beforeAutospacing="0" w:after="0" w:afterAutospacing="0"/>
              <w:ind w:left="0" w:right="0"/>
              <w:rPr>
                <w:rFonts w:hint="default" w:ascii="宋体" w:hAnsi="宋体" w:cs="Nimbus Roman No9 L"/>
                <w:color w:val="auto"/>
                <w:spacing w:val="-4"/>
                <w:sz w:val="18"/>
                <w:szCs w:val="18"/>
              </w:rPr>
            </w:pPr>
            <w:r>
              <w:rPr>
                <w:rFonts w:hint="default" w:ascii="宋体" w:hAnsi="宋体" w:cs="Nimbus Roman No9 L"/>
                <w:color w:val="auto"/>
                <w:sz w:val="18"/>
                <w:szCs w:val="18"/>
              </w:rPr>
              <w:t>210</w:t>
            </w:r>
            <w:r>
              <w:rPr>
                <w:rFonts w:hint="default" w:ascii="宋体" w:hAnsi="宋体" w:cs="Nimbus Roman No9 L"/>
                <w:color w:val="auto"/>
                <w:sz w:val="18"/>
                <w:szCs w:val="18"/>
                <w:lang w:val="en"/>
              </w:rPr>
              <w:t xml:space="preserve"> </w:t>
            </w:r>
            <w:r>
              <w:rPr>
                <w:rFonts w:hint="default" w:ascii="宋体" w:hAnsi="宋体" w:cs="Nimbus Roman No9 L"/>
                <w:color w:val="auto"/>
                <w:spacing w:val="-4"/>
                <w:sz w:val="18"/>
                <w:szCs w:val="18"/>
              </w:rPr>
              <w:t>港澳台投资有限责任公司</w:t>
            </w:r>
            <w:r>
              <w:rPr>
                <w:rFonts w:hint="eastAsia" w:ascii="宋体" w:hAnsi="宋体" w:cs="Nimbus Roman No9 L"/>
                <w:color w:val="auto"/>
                <w:spacing w:val="-4"/>
                <w:sz w:val="18"/>
                <w:szCs w:val="18"/>
              </w:rPr>
              <w:t xml:space="preserve"> </w:t>
            </w:r>
            <w:r>
              <w:rPr>
                <w:rFonts w:hint="default" w:ascii="宋体" w:hAnsi="宋体" w:cs="Nimbus Roman No9 L"/>
                <w:color w:val="auto"/>
                <w:spacing w:val="-4"/>
                <w:sz w:val="18"/>
                <w:szCs w:val="18"/>
              </w:rPr>
              <w:t>220</w:t>
            </w:r>
            <w:r>
              <w:rPr>
                <w:rFonts w:hint="default" w:ascii="宋体" w:hAnsi="宋体" w:cs="Nimbus Roman No9 L"/>
                <w:color w:val="auto"/>
                <w:spacing w:val="-4"/>
                <w:sz w:val="18"/>
                <w:szCs w:val="18"/>
                <w:lang w:val="en"/>
              </w:rPr>
              <w:t xml:space="preserve"> </w:t>
            </w:r>
            <w:r>
              <w:rPr>
                <w:rFonts w:hint="default" w:ascii="宋体" w:hAnsi="宋体" w:cs="Nimbus Roman No9 L"/>
                <w:color w:val="auto"/>
                <w:spacing w:val="-4"/>
                <w:sz w:val="18"/>
                <w:szCs w:val="18"/>
              </w:rPr>
              <w:t>港澳台投资股份有限公司</w:t>
            </w:r>
            <w:r>
              <w:rPr>
                <w:rFonts w:hint="eastAsia" w:ascii="宋体" w:hAnsi="宋体" w:cs="Nimbus Roman No9 L"/>
                <w:color w:val="auto"/>
                <w:spacing w:val="-4"/>
                <w:sz w:val="18"/>
                <w:szCs w:val="18"/>
              </w:rPr>
              <w:t xml:space="preserve"> </w:t>
            </w:r>
            <w:r>
              <w:rPr>
                <w:rFonts w:hint="default" w:ascii="宋体" w:hAnsi="宋体" w:cs="Nimbus Roman No9 L"/>
                <w:color w:val="auto"/>
                <w:spacing w:val="-4"/>
                <w:sz w:val="18"/>
                <w:szCs w:val="18"/>
              </w:rPr>
              <w:t>230</w:t>
            </w:r>
            <w:r>
              <w:rPr>
                <w:rFonts w:hint="default" w:ascii="宋体" w:hAnsi="宋体" w:cs="Nimbus Roman No9 L"/>
                <w:color w:val="auto"/>
                <w:spacing w:val="-4"/>
                <w:sz w:val="18"/>
                <w:szCs w:val="18"/>
                <w:lang w:val="en"/>
              </w:rPr>
              <w:t xml:space="preserve"> </w:t>
            </w:r>
            <w:r>
              <w:rPr>
                <w:rFonts w:hint="default" w:ascii="宋体" w:hAnsi="宋体" w:cs="Nimbus Roman No9 L"/>
                <w:color w:val="auto"/>
                <w:spacing w:val="-4"/>
                <w:sz w:val="18"/>
                <w:szCs w:val="18"/>
              </w:rPr>
              <w:t>港澳台投资合伙企业</w:t>
            </w:r>
            <w:r>
              <w:rPr>
                <w:rFonts w:hint="eastAsia" w:ascii="宋体" w:hAnsi="宋体" w:cs="Nimbus Roman No9 L"/>
                <w:color w:val="auto"/>
                <w:spacing w:val="-4"/>
                <w:sz w:val="18"/>
                <w:szCs w:val="18"/>
              </w:rPr>
              <w:t xml:space="preserve"> </w:t>
            </w:r>
            <w:r>
              <w:rPr>
                <w:rFonts w:hint="default" w:ascii="宋体" w:hAnsi="宋体" w:cs="Nimbus Roman No9 L"/>
                <w:color w:val="auto"/>
                <w:spacing w:val="-4"/>
                <w:sz w:val="18"/>
                <w:szCs w:val="18"/>
              </w:rPr>
              <w:t>290</w:t>
            </w:r>
            <w:r>
              <w:rPr>
                <w:rFonts w:hint="default" w:ascii="宋体" w:hAnsi="宋体" w:cs="Nimbus Roman No9 L"/>
                <w:color w:val="auto"/>
                <w:spacing w:val="-4"/>
                <w:sz w:val="18"/>
                <w:szCs w:val="18"/>
                <w:lang w:val="en"/>
              </w:rPr>
              <w:t xml:space="preserve"> </w:t>
            </w:r>
            <w:r>
              <w:rPr>
                <w:rFonts w:hint="default" w:ascii="宋体" w:hAnsi="宋体" w:cs="Nimbus Roman No9 L"/>
                <w:color w:val="auto"/>
                <w:spacing w:val="-4"/>
                <w:sz w:val="18"/>
                <w:szCs w:val="18"/>
              </w:rPr>
              <w:t>其他港澳台投资企业</w:t>
            </w:r>
          </w:p>
          <w:p>
            <w:pPr>
              <w:keepNext w:val="0"/>
              <w:keepLines w:val="0"/>
              <w:suppressLineNumbers w:val="0"/>
              <w:tabs>
                <w:tab w:val="left" w:pos="630"/>
              </w:tabs>
              <w:spacing w:before="0" w:beforeAutospacing="0" w:after="0" w:afterAutospacing="0"/>
              <w:ind w:left="0" w:right="0"/>
              <w:rPr>
                <w:rFonts w:hint="default" w:ascii="宋体" w:hAnsi="宋体" w:cs="Nimbus Roman No9 L"/>
                <w:color w:val="auto"/>
                <w:sz w:val="18"/>
                <w:szCs w:val="18"/>
              </w:rPr>
            </w:pPr>
            <w:r>
              <w:rPr>
                <w:rFonts w:hint="default" w:ascii="宋体" w:hAnsi="宋体" w:cs="Nimbus Roman No9 L"/>
                <w:b/>
                <w:bCs/>
                <w:color w:val="auto"/>
                <w:sz w:val="18"/>
                <w:szCs w:val="18"/>
              </w:rPr>
              <w:t>外商投资企业</w:t>
            </w:r>
          </w:p>
          <w:p>
            <w:pPr>
              <w:keepNext w:val="0"/>
              <w:keepLines w:val="0"/>
              <w:suppressLineNumbers w:val="0"/>
              <w:tabs>
                <w:tab w:val="left" w:pos="630"/>
              </w:tabs>
              <w:spacing w:before="0" w:beforeAutospacing="0" w:after="0" w:afterAutospacing="0"/>
              <w:ind w:left="0" w:right="0"/>
              <w:rPr>
                <w:rFonts w:hint="default" w:ascii="宋体" w:hAnsi="宋体" w:cs="Nimbus Roman No9 L"/>
                <w:color w:val="auto"/>
                <w:sz w:val="18"/>
                <w:szCs w:val="18"/>
              </w:rPr>
            </w:pPr>
            <w:r>
              <w:rPr>
                <w:rFonts w:hint="default" w:ascii="宋体" w:hAnsi="宋体" w:cs="Nimbus Roman No9 L"/>
                <w:color w:val="auto"/>
                <w:sz w:val="18"/>
                <w:szCs w:val="18"/>
              </w:rPr>
              <w:t>310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外商投资有限责任公司</w:t>
            </w:r>
            <w:r>
              <w:rPr>
                <w:rFonts w:hint="default" w:ascii="宋体" w:hAnsi="宋体" w:cs="Nimbus Roman No9 L"/>
                <w:color w:val="auto"/>
                <w:sz w:val="18"/>
                <w:szCs w:val="18"/>
                <w:lang w:val="en"/>
              </w:rPr>
              <w:t xml:space="preserve"> </w:t>
            </w:r>
            <w:r>
              <w:rPr>
                <w:rFonts w:hint="eastAsia" w:ascii="宋体" w:hAnsi="宋体" w:cs="Nimbus Roman No9 L"/>
                <w:color w:val="auto"/>
                <w:sz w:val="18"/>
                <w:szCs w:val="18"/>
              </w:rPr>
              <w:t xml:space="preserve"> </w:t>
            </w:r>
            <w:r>
              <w:rPr>
                <w:rFonts w:hint="default" w:ascii="宋体" w:hAnsi="宋体" w:cs="Nimbus Roman No9 L"/>
                <w:color w:val="auto"/>
                <w:sz w:val="18"/>
                <w:szCs w:val="18"/>
              </w:rPr>
              <w:t>320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外商投资股份有限公司</w:t>
            </w:r>
            <w:r>
              <w:rPr>
                <w:rFonts w:hint="eastAsia" w:ascii="宋体" w:hAnsi="宋体" w:cs="Nimbus Roman No9 L"/>
                <w:color w:val="auto"/>
                <w:sz w:val="13"/>
                <w:szCs w:val="18"/>
              </w:rPr>
              <w:t xml:space="preserve"> </w:t>
            </w:r>
            <w:r>
              <w:rPr>
                <w:rFonts w:hint="default" w:ascii="宋体" w:hAnsi="宋体" w:cs="Nimbus Roman No9 L"/>
                <w:color w:val="auto"/>
                <w:sz w:val="13"/>
                <w:szCs w:val="18"/>
              </w:rPr>
              <w:t xml:space="preserve"> </w:t>
            </w:r>
            <w:r>
              <w:rPr>
                <w:rFonts w:hint="default" w:ascii="宋体" w:hAnsi="宋体" w:cs="Nimbus Roman No9 L"/>
                <w:color w:val="auto"/>
                <w:sz w:val="18"/>
                <w:szCs w:val="18"/>
              </w:rPr>
              <w:t>330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外商投资合伙企业</w:t>
            </w:r>
            <w:r>
              <w:rPr>
                <w:rFonts w:hint="default" w:ascii="宋体" w:hAnsi="宋体" w:cs="Nimbus Roman No9 L"/>
                <w:color w:val="auto"/>
                <w:sz w:val="18"/>
                <w:szCs w:val="18"/>
                <w:lang w:val="en"/>
              </w:rPr>
              <w:t xml:space="preserve"> </w:t>
            </w:r>
            <w:r>
              <w:rPr>
                <w:rFonts w:hint="eastAsia" w:ascii="宋体" w:hAnsi="宋体" w:cs="Nimbus Roman No9 L"/>
                <w:color w:val="auto"/>
                <w:sz w:val="18"/>
                <w:szCs w:val="18"/>
              </w:rPr>
              <w:t xml:space="preserve"> </w:t>
            </w:r>
            <w:r>
              <w:rPr>
                <w:rFonts w:hint="default" w:ascii="宋体" w:hAnsi="宋体" w:cs="Nimbus Roman No9 L"/>
                <w:color w:val="auto"/>
                <w:sz w:val="18"/>
                <w:szCs w:val="18"/>
              </w:rPr>
              <w:t>390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其他外商投资企业</w:t>
            </w:r>
          </w:p>
          <w:p>
            <w:pPr>
              <w:keepNext w:val="0"/>
              <w:keepLines w:val="0"/>
              <w:suppressLineNumbers w:val="0"/>
              <w:spacing w:before="0" w:beforeAutospacing="0" w:after="0" w:afterAutospacing="0"/>
              <w:ind w:left="0" w:right="0"/>
              <w:rPr>
                <w:rFonts w:hint="default" w:ascii="宋体" w:hAnsi="宋体" w:cs="Nimbus Roman No9 L"/>
                <w:color w:val="auto"/>
                <w:sz w:val="18"/>
                <w:szCs w:val="18"/>
              </w:rPr>
            </w:pPr>
            <w:r>
              <w:rPr>
                <w:rFonts w:hint="default" w:ascii="宋体" w:hAnsi="宋体" w:cs="Nimbus Roman No9 L"/>
                <w:color w:val="auto"/>
                <w:sz w:val="18"/>
                <w:szCs w:val="18"/>
              </w:rPr>
              <w:t>400</w:t>
            </w:r>
            <w:r>
              <w:rPr>
                <w:rFonts w:hint="default" w:ascii="宋体" w:hAnsi="宋体" w:cs="Nimbus Roman No9 L"/>
                <w:color w:val="auto"/>
                <w:sz w:val="18"/>
                <w:szCs w:val="18"/>
                <w:lang w:val="en"/>
              </w:rPr>
              <w:t xml:space="preserve"> </w:t>
            </w:r>
            <w:r>
              <w:rPr>
                <w:rFonts w:hint="default" w:ascii="宋体" w:hAnsi="宋体" w:cs="Nimbus Roman No9 L"/>
                <w:b/>
                <w:bCs/>
                <w:color w:val="auto"/>
                <w:sz w:val="18"/>
                <w:szCs w:val="18"/>
              </w:rPr>
              <w:t>农民专业合作社（联合社）</w:t>
            </w:r>
            <w:r>
              <w:rPr>
                <w:rFonts w:hint="eastAsia" w:ascii="宋体" w:hAnsi="宋体" w:cs="Nimbus Roman No9 L"/>
                <w:color w:val="auto"/>
                <w:sz w:val="18"/>
                <w:szCs w:val="18"/>
              </w:rPr>
              <w:t xml:space="preserve"> </w:t>
            </w:r>
            <w:r>
              <w:rPr>
                <w:rFonts w:hint="default" w:ascii="宋体" w:hAnsi="宋体" w:cs="Nimbus Roman No9 L"/>
                <w:color w:val="auto"/>
                <w:sz w:val="18"/>
                <w:szCs w:val="18"/>
              </w:rPr>
              <w:t>500</w:t>
            </w:r>
            <w:r>
              <w:rPr>
                <w:rFonts w:hint="default" w:ascii="宋体" w:hAnsi="宋体" w:cs="Nimbus Roman No9 L"/>
                <w:color w:val="auto"/>
                <w:sz w:val="18"/>
                <w:szCs w:val="18"/>
                <w:lang w:val="en"/>
              </w:rPr>
              <w:t xml:space="preserve"> </w:t>
            </w:r>
            <w:r>
              <w:rPr>
                <w:rFonts w:hint="default" w:ascii="宋体" w:hAnsi="宋体" w:cs="Nimbus Roman No9 L"/>
                <w:b/>
                <w:bCs/>
                <w:color w:val="auto"/>
                <w:sz w:val="18"/>
                <w:szCs w:val="18"/>
              </w:rPr>
              <w:t>个体工商户</w:t>
            </w:r>
            <w:r>
              <w:rPr>
                <w:rFonts w:hint="eastAsia" w:ascii="宋体" w:hAnsi="宋体" w:cs="Nimbus Roman No9 L"/>
                <w:b/>
                <w:bCs/>
                <w:color w:val="auto"/>
                <w:sz w:val="18"/>
                <w:szCs w:val="18"/>
              </w:rPr>
              <w:t xml:space="preserve">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65" w:hRule="exact"/>
          <w:jc w:val="center"/>
        </w:trPr>
        <w:tc>
          <w:tcPr>
            <w:tcW w:w="620" w:type="dxa"/>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216</w:t>
            </w:r>
          </w:p>
        </w:tc>
        <w:tc>
          <w:tcPr>
            <w:tcW w:w="8947" w:type="dxa"/>
            <w:shd w:val="clear" w:color="auto" w:fill="D7D7D7"/>
            <w:noWrap w:val="0"/>
            <w:vAlign w:val="center"/>
          </w:tcPr>
          <w:p>
            <w:pPr>
              <w:keepNext w:val="0"/>
              <w:keepLines w:val="0"/>
              <w:suppressLineNumbers w:val="0"/>
              <w:snapToGrid w:val="0"/>
              <w:spacing w:before="0" w:beforeAutospacing="0" w:after="0" w:afterAutospacing="0" w:line="240" w:lineRule="exact"/>
              <w:ind w:left="0" w:right="0" w:firstLine="12" w:firstLineChars="7"/>
              <w:rPr>
                <w:rFonts w:hint="default" w:ascii="宋体" w:hAnsi="宋体" w:cs="Nimbus Roman No9 L"/>
                <w:color w:val="auto"/>
                <w:sz w:val="18"/>
                <w:szCs w:val="18"/>
              </w:rPr>
            </w:pPr>
            <w:r>
              <w:rPr>
                <w:rFonts w:hint="default" w:ascii="宋体" w:hAnsi="宋体" w:cs="Nimbus Roman No9 L"/>
                <w:color w:val="auto"/>
                <w:sz w:val="18"/>
                <w:szCs w:val="18"/>
              </w:rPr>
              <w:t>港澳台商投资情况（限港澳台商投资企业填报）（可多选）</w:t>
            </w:r>
          </w:p>
          <w:p>
            <w:pPr>
              <w:keepNext w:val="0"/>
              <w:keepLines w:val="0"/>
              <w:suppressLineNumbers w:val="0"/>
              <w:snapToGrid w:val="0"/>
              <w:spacing w:before="0" w:beforeAutospacing="0" w:after="0" w:afterAutospacing="0" w:line="240" w:lineRule="exact"/>
              <w:ind w:left="0" w:right="0" w:firstLine="12" w:firstLineChars="7"/>
              <w:rPr>
                <w:rFonts w:hint="default" w:ascii="宋体" w:hAnsi="宋体" w:cs="Nimbus Roman No9 L"/>
                <w:color w:val="auto"/>
                <w:sz w:val="18"/>
                <w:szCs w:val="18"/>
              </w:rPr>
            </w:pPr>
            <w:r>
              <w:rPr>
                <w:rFonts w:hint="default" w:ascii="宋体" w:hAnsi="宋体" w:cs="Nimbus Roman No9 L"/>
                <w:color w:val="auto"/>
                <w:sz w:val="18"/>
                <w:szCs w:val="18"/>
              </w:rPr>
              <w:t xml:space="preserve"> 1 港商投资□   2澳商投资□   3台商投资□   </w:t>
            </w:r>
            <w:r>
              <w:rPr>
                <w:rFonts w:hint="default" w:ascii="宋体" w:hAnsi="宋体" w:cs="Nimbus Roman No9 L"/>
                <w:color w:val="auto"/>
                <w:sz w:val="18"/>
                <w:szCs w:val="18"/>
                <w:lang w:val="en"/>
              </w:rPr>
              <w:t>4暂未</w:t>
            </w:r>
            <w:r>
              <w:rPr>
                <w:rFonts w:hint="default" w:ascii="宋体" w:hAnsi="宋体" w:cs="Nimbus Roman No9 L"/>
                <w:color w:val="auto"/>
                <w:sz w:val="18"/>
                <w:szCs w:val="18"/>
              </w:rPr>
              <w:t>投资□</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20" w:type="dxa"/>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206</w:t>
            </w:r>
          </w:p>
        </w:tc>
        <w:tc>
          <w:tcPr>
            <w:tcW w:w="8947" w:type="dxa"/>
            <w:shd w:val="clear" w:color="auto" w:fill="D7D7D7"/>
            <w:noWrap w:val="0"/>
            <w:vAlign w:val="center"/>
          </w:tcPr>
          <w:p>
            <w:pPr>
              <w:keepNext w:val="0"/>
              <w:keepLines w:val="0"/>
              <w:suppressLineNumbers w:val="0"/>
              <w:snapToGrid w:val="0"/>
              <w:spacing w:before="0" w:beforeAutospacing="0" w:after="0" w:afterAutospacing="0" w:line="240" w:lineRule="exact"/>
              <w:ind w:left="0" w:right="0" w:firstLine="12" w:firstLineChars="7"/>
              <w:rPr>
                <w:rFonts w:hint="default" w:ascii="宋体" w:hAnsi="宋体" w:cs="Nimbus Roman No9 L"/>
                <w:color w:val="auto"/>
                <w:sz w:val="18"/>
                <w:szCs w:val="18"/>
              </w:rPr>
            </w:pPr>
            <w:r>
              <w:rPr>
                <w:rFonts w:hint="default" w:ascii="宋体" w:hAnsi="宋体" w:cs="Nimbus Roman No9 L"/>
                <w:color w:val="auto"/>
                <w:sz w:val="18"/>
                <w:szCs w:val="18"/>
              </w:rPr>
              <w:t>企业控股情况  □  1 国有控股    2 集体控股    3 私人控股    4 港澳台商控股    5 外商控股  9 其他</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620" w:type="dxa"/>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207</w:t>
            </w:r>
          </w:p>
        </w:tc>
        <w:tc>
          <w:tcPr>
            <w:tcW w:w="8947" w:type="dxa"/>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隶属关系（限国有控股企业填报）  □□   10 中央    11 地方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97" w:hRule="exact"/>
          <w:jc w:val="center"/>
        </w:trPr>
        <w:tc>
          <w:tcPr>
            <w:tcW w:w="620" w:type="dxa"/>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209</w:t>
            </w:r>
          </w:p>
        </w:tc>
        <w:tc>
          <w:tcPr>
            <w:tcW w:w="8947" w:type="dxa"/>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执行会计标准类别    □</w:t>
            </w:r>
          </w:p>
          <w:p>
            <w:pPr>
              <w:keepNext w:val="0"/>
              <w:keepLines w:val="0"/>
              <w:suppressLineNumbers w:val="0"/>
              <w:snapToGrid w:val="0"/>
              <w:spacing w:before="0" w:beforeAutospacing="0" w:after="0" w:afterAutospacing="0" w:line="24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1 企业会计准则制度          2 政府会计准则制度        4 民间非营利组织会计制度         9 其他</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47" w:hRule="exact"/>
          <w:jc w:val="center"/>
        </w:trPr>
        <w:tc>
          <w:tcPr>
            <w:tcW w:w="620" w:type="dxa"/>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210</w:t>
            </w:r>
          </w:p>
        </w:tc>
        <w:tc>
          <w:tcPr>
            <w:tcW w:w="8947" w:type="dxa"/>
            <w:shd w:val="clear" w:color="auto" w:fill="D7D7D7"/>
            <w:noWrap w:val="0"/>
            <w:vAlign w:val="center"/>
          </w:tcPr>
          <w:p>
            <w:pPr>
              <w:keepNext w:val="0"/>
              <w:keepLines w:val="0"/>
              <w:suppressLineNumbers w:val="0"/>
              <w:snapToGrid w:val="0"/>
              <w:spacing w:before="0" w:beforeAutospacing="0" w:after="0" w:afterAutospacing="0" w:line="240" w:lineRule="exact"/>
              <w:ind w:left="2700" w:right="0" w:hanging="2700" w:hangingChars="1500"/>
              <w:jc w:val="left"/>
              <w:rPr>
                <w:rFonts w:hint="default" w:ascii="宋体" w:hAnsi="宋体" w:cs="Nimbus Roman No9 L"/>
                <w:color w:val="auto"/>
                <w:sz w:val="18"/>
                <w:szCs w:val="18"/>
              </w:rPr>
            </w:pPr>
            <w:r>
              <w:rPr>
                <w:rFonts w:hint="default" w:ascii="宋体" w:hAnsi="宋体" w:cs="Nimbus Roman No9 L"/>
                <w:color w:val="auto"/>
                <w:sz w:val="18"/>
                <w:szCs w:val="18"/>
              </w:rPr>
              <w:t>执行企业会计准则</w:t>
            </w:r>
            <w:r>
              <w:rPr>
                <w:rFonts w:hint="eastAsia" w:ascii="宋体" w:hAnsi="宋体" w:cs="Nimbus Roman No9 L"/>
                <w:color w:val="auto"/>
                <w:sz w:val="18"/>
                <w:szCs w:val="18"/>
              </w:rPr>
              <w:t>制度</w:t>
            </w:r>
            <w:r>
              <w:rPr>
                <w:rFonts w:hint="default" w:ascii="宋体" w:hAnsi="宋体" w:cs="Nimbus Roman No9 L"/>
                <w:color w:val="auto"/>
                <w:sz w:val="18"/>
                <w:szCs w:val="18"/>
              </w:rPr>
              <w:t xml:space="preserve">情况   □                                                                           </w:t>
            </w:r>
          </w:p>
          <w:p>
            <w:pPr>
              <w:keepNext w:val="0"/>
              <w:keepLines w:val="0"/>
              <w:suppressLineNumbers w:val="0"/>
              <w:snapToGrid w:val="0"/>
              <w:spacing w:before="0" w:beforeAutospacing="0" w:after="0" w:afterAutospacing="0" w:line="240" w:lineRule="exact"/>
              <w:ind w:left="2698" w:leftChars="85" w:right="0" w:hanging="2520" w:hangingChars="1400"/>
              <w:jc w:val="left"/>
              <w:rPr>
                <w:rFonts w:hint="eastAsia" w:ascii="宋体" w:hAnsi="宋体" w:cs="Nimbus Roman No9 L"/>
                <w:color w:val="auto"/>
                <w:sz w:val="18"/>
                <w:szCs w:val="18"/>
              </w:rPr>
            </w:pPr>
            <w:r>
              <w:rPr>
                <w:rFonts w:hint="default" w:ascii="宋体" w:hAnsi="宋体" w:cs="Nimbus Roman No9 L"/>
                <w:color w:val="auto"/>
                <w:sz w:val="18"/>
                <w:szCs w:val="18"/>
              </w:rPr>
              <w:t xml:space="preserve">1 执行《企业会计准则》      2 执行《小企业会计准则》       </w:t>
            </w:r>
            <w:r>
              <w:rPr>
                <w:rFonts w:hint="eastAsia" w:ascii="宋体" w:hAnsi="宋体" w:cs="Nimbus Roman No9 L"/>
                <w:color w:val="auto"/>
                <w:sz w:val="18"/>
                <w:szCs w:val="18"/>
              </w:rPr>
              <w:t>3</w:t>
            </w:r>
            <w:r>
              <w:rPr>
                <w:rFonts w:hint="default" w:ascii="宋体" w:hAnsi="宋体" w:cs="Nimbus Roman No9 L"/>
                <w:color w:val="auto"/>
                <w:sz w:val="18"/>
                <w:szCs w:val="18"/>
              </w:rPr>
              <w:t xml:space="preserve"> </w:t>
            </w:r>
            <w:r>
              <w:rPr>
                <w:rFonts w:hint="eastAsia" w:ascii="宋体" w:hAnsi="宋体" w:cs="Nimbus Roman No9 L"/>
                <w:color w:val="auto"/>
                <w:sz w:val="18"/>
                <w:szCs w:val="18"/>
              </w:rPr>
              <w:t>执行《企业会计制度》</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02" w:hRule="exact"/>
          <w:jc w:val="center"/>
        </w:trPr>
        <w:tc>
          <w:tcPr>
            <w:tcW w:w="620" w:type="dxa"/>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s="Nimbus Roman No9 L"/>
                <w:b/>
                <w:bCs/>
                <w:color w:val="auto"/>
                <w:sz w:val="18"/>
                <w:szCs w:val="18"/>
              </w:rPr>
            </w:pPr>
            <w:r>
              <w:rPr>
                <w:rFonts w:hint="eastAsia" w:ascii="宋体" w:hAnsi="宋体" w:cs="Nimbus Roman No9 L"/>
                <w:b/>
                <w:bCs/>
                <w:color w:val="auto"/>
                <w:sz w:val="18"/>
                <w:szCs w:val="18"/>
              </w:rPr>
              <w:t>212</w:t>
            </w:r>
          </w:p>
        </w:tc>
        <w:tc>
          <w:tcPr>
            <w:tcW w:w="8947" w:type="dxa"/>
            <w:shd w:val="clear" w:color="auto" w:fill="D7D7D7"/>
            <w:noWrap w:val="0"/>
            <w:vAlign w:val="center"/>
          </w:tcPr>
          <w:p>
            <w:pPr>
              <w:keepNext w:val="0"/>
              <w:keepLines w:val="0"/>
              <w:suppressLineNumbers w:val="0"/>
              <w:snapToGrid w:val="0"/>
              <w:spacing w:before="0" w:beforeAutospacing="0" w:after="0" w:afterAutospacing="0" w:line="240" w:lineRule="exact"/>
              <w:ind w:left="0" w:right="0"/>
              <w:jc w:val="left"/>
              <w:rPr>
                <w:rFonts w:hint="eastAsia" w:ascii="宋体" w:hAnsi="宋体" w:cs="Nimbus Roman No9 L"/>
                <w:color w:val="auto"/>
                <w:sz w:val="18"/>
                <w:szCs w:val="18"/>
              </w:rPr>
            </w:pPr>
            <w:r>
              <w:rPr>
                <w:rFonts w:hint="eastAsia" w:ascii="宋体" w:hAnsi="宋体"/>
                <w:color w:val="auto"/>
                <w:sz w:val="18"/>
                <w:szCs w:val="18"/>
              </w:rPr>
              <w:t>产业活动单位数</w:t>
            </w:r>
            <w:r>
              <w:rPr>
                <w:rFonts w:hint="eastAsia" w:ascii="宋体" w:hAnsi="宋体"/>
                <w:color w:val="auto"/>
                <w:sz w:val="18"/>
                <w:szCs w:val="18"/>
                <w:u w:val="single"/>
              </w:rPr>
              <w:t xml:space="preserve">         </w:t>
            </w:r>
            <w:r>
              <w:rPr>
                <w:rFonts w:hint="eastAsia" w:ascii="宋体" w:hAnsi="宋体"/>
                <w:color w:val="auto"/>
                <w:sz w:val="18"/>
                <w:szCs w:val="18"/>
              </w:rPr>
              <w:t xml:space="preserve">个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65" w:hRule="atLeast"/>
          <w:jc w:val="center"/>
        </w:trPr>
        <w:tc>
          <w:tcPr>
            <w:tcW w:w="620" w:type="dxa"/>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213</w:t>
            </w:r>
          </w:p>
        </w:tc>
        <w:tc>
          <w:tcPr>
            <w:tcW w:w="8947" w:type="dxa"/>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 xml:space="preserve">企业集团情况(限企业集团母公司及成员企业填写)  本企业是 </w:t>
            </w:r>
            <w:r>
              <w:rPr>
                <w:rFonts w:hint="default" w:ascii="宋体" w:hAnsi="宋体" w:cs="Nimbus Roman No9 L"/>
                <w:color w:val="auto"/>
                <w:kern w:val="0"/>
                <w:sz w:val="18"/>
                <w:szCs w:val="18"/>
              </w:rPr>
              <w:t xml:space="preserve">□ </w:t>
            </w:r>
          </w:p>
          <w:p>
            <w:pPr>
              <w:keepNext w:val="0"/>
              <w:keepLines w:val="0"/>
              <w:suppressLineNumbers w:val="0"/>
              <w:snapToGrid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 xml:space="preserve"> </w:t>
            </w:r>
            <w:r>
              <w:rPr>
                <w:rFonts w:hint="default" w:ascii="宋体" w:hAnsi="宋体" w:cs="Nimbus Roman No9 L"/>
                <w:color w:val="auto"/>
                <w:kern w:val="0"/>
                <w:sz w:val="18"/>
                <w:szCs w:val="18"/>
              </w:rPr>
              <w:t xml:space="preserve"> 1 集团母公司</w:t>
            </w:r>
            <w:r>
              <w:rPr>
                <w:rFonts w:hint="default" w:ascii="宋体" w:hAnsi="宋体" w:cs="Nimbus Roman No9 L"/>
                <w:color w:val="auto"/>
                <w:sz w:val="18"/>
                <w:szCs w:val="18"/>
              </w:rPr>
              <w:t xml:space="preserve">(核心企业或集团总部) </w:t>
            </w:r>
          </w:p>
          <w:p>
            <w:pPr>
              <w:keepNext w:val="0"/>
              <w:keepLines w:val="0"/>
              <w:suppressLineNumbers w:val="0"/>
              <w:snapToGrid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 xml:space="preserve">  2 成员企业——请填直接上级法人统一社会信用代码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620" w:type="dxa"/>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C01</w:t>
            </w:r>
          </w:p>
        </w:tc>
        <w:tc>
          <w:tcPr>
            <w:tcW w:w="8947" w:type="dxa"/>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 xml:space="preserve">建筑业企业资质等级编码    □□□□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620" w:type="dxa"/>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s="Nimbus Roman No9 L"/>
                <w:b/>
                <w:bCs/>
                <w:color w:val="auto"/>
                <w:sz w:val="18"/>
                <w:szCs w:val="18"/>
              </w:rPr>
            </w:pPr>
            <w:r>
              <w:rPr>
                <w:rFonts w:hint="eastAsia" w:ascii="宋体" w:hAnsi="宋体" w:cs="Nimbus Roman No9 L"/>
                <w:b/>
                <w:bCs/>
                <w:color w:val="auto"/>
                <w:sz w:val="18"/>
                <w:szCs w:val="18"/>
              </w:rPr>
              <w:t>C02</w:t>
            </w:r>
          </w:p>
        </w:tc>
        <w:tc>
          <w:tcPr>
            <w:tcW w:w="8947" w:type="dxa"/>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宋体" w:hAnsi="宋体" w:cs="Nimbus Roman No9 L"/>
                <w:color w:val="auto"/>
                <w:sz w:val="18"/>
                <w:szCs w:val="18"/>
              </w:rPr>
            </w:pPr>
            <w:r>
              <w:rPr>
                <w:rFonts w:hint="eastAsia" w:ascii="宋体" w:hAnsi="宋体" w:cs="Nimbus Roman No9 L"/>
                <w:color w:val="auto"/>
                <w:sz w:val="18"/>
                <w:szCs w:val="18"/>
              </w:rPr>
              <w:t>建筑业资质有效期至□□□□年□□月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620" w:type="dxa"/>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X01</w:t>
            </w:r>
          </w:p>
        </w:tc>
        <w:tc>
          <w:tcPr>
            <w:tcW w:w="8947" w:type="dxa"/>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房地产开发经营业企业资质等级   □   1 一级     2 二级     3 三级     4 四级     5 暂定     9 其他</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50" w:hRule="atLeast"/>
          <w:jc w:val="center"/>
        </w:trPr>
        <w:tc>
          <w:tcPr>
            <w:tcW w:w="620" w:type="dxa"/>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ES1</w:t>
            </w:r>
          </w:p>
        </w:tc>
        <w:tc>
          <w:tcPr>
            <w:tcW w:w="8947" w:type="dxa"/>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 xml:space="preserve">批发和零售业、住宿和餐饮业单位经营形式□  </w:t>
            </w:r>
          </w:p>
          <w:p>
            <w:pPr>
              <w:keepNext w:val="0"/>
              <w:keepLines w:val="0"/>
              <w:suppressLineNumbers w:val="0"/>
              <w:snapToGrid w:val="0"/>
              <w:spacing w:before="0" w:beforeAutospacing="0" w:after="0" w:afterAutospacing="0" w:line="24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 xml:space="preserve">1 独立门店      2 连锁总店（总部）     3 连锁直营店     4 连锁加盟店     9 其他  </w:t>
            </w:r>
          </w:p>
          <w:p>
            <w:pPr>
              <w:keepNext w:val="0"/>
              <w:keepLines w:val="0"/>
              <w:suppressLineNumbers w:val="0"/>
              <w:snapToGrid w:val="0"/>
              <w:spacing w:before="0" w:beforeAutospacing="0" w:after="0" w:afterAutospacing="0" w:line="24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连锁品牌（商标或商号名称）：</w:t>
            </w:r>
            <w:r>
              <w:rPr>
                <w:rFonts w:hint="default" w:ascii="宋体" w:hAnsi="宋体" w:cs="Nimbus Roman No9 L"/>
                <w:color w:val="auto"/>
                <w:sz w:val="18"/>
                <w:szCs w:val="18"/>
                <w:u w:val="single"/>
              </w:rPr>
              <w:t xml:space="preserve">                  </w:t>
            </w:r>
            <w:r>
              <w:rPr>
                <w:rFonts w:hint="default" w:ascii="宋体" w:hAnsi="宋体" w:cs="Nimbus Roman No9 L"/>
                <w:color w:val="auto"/>
                <w:sz w:val="18"/>
                <w:szCs w:val="18"/>
              </w:rPr>
              <w:t xml:space="preserve"> （经营形式选2、3、4的单位填报）</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791" w:hRule="atLeast"/>
          <w:jc w:val="center"/>
        </w:trPr>
        <w:tc>
          <w:tcPr>
            <w:tcW w:w="620" w:type="dxa"/>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E02</w:t>
            </w:r>
          </w:p>
        </w:tc>
        <w:tc>
          <w:tcPr>
            <w:tcW w:w="8947" w:type="dxa"/>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零售业态（可多选，不超过3个）    □□□□    □□□□     □□□□</w:t>
            </w:r>
          </w:p>
          <w:p>
            <w:pPr>
              <w:keepNext w:val="0"/>
              <w:keepLines w:val="0"/>
              <w:suppressLineNumbers w:val="0"/>
              <w:snapToGrid w:val="0"/>
              <w:spacing w:before="0" w:beforeAutospacing="0" w:after="0" w:afterAutospacing="0" w:line="240" w:lineRule="exact"/>
              <w:ind w:left="0" w:right="0"/>
              <w:rPr>
                <w:rFonts w:hint="default" w:ascii="宋体" w:hAnsi="宋体" w:cs="Nimbus Roman No9 L"/>
                <w:b/>
                <w:bCs/>
                <w:color w:val="auto"/>
                <w:sz w:val="18"/>
                <w:szCs w:val="18"/>
              </w:rPr>
            </w:pPr>
            <w:r>
              <w:rPr>
                <w:rFonts w:hint="default" w:ascii="宋体" w:hAnsi="宋体" w:cs="Nimbus Roman No9 L"/>
                <w:b/>
                <w:bCs/>
                <w:color w:val="auto"/>
                <w:sz w:val="18"/>
                <w:szCs w:val="18"/>
              </w:rPr>
              <w:t>有店铺零售</w:t>
            </w:r>
          </w:p>
          <w:p>
            <w:pPr>
              <w:keepNext w:val="0"/>
              <w:keepLines w:val="0"/>
              <w:suppressLineNumbers w:val="0"/>
              <w:snapToGrid w:val="0"/>
              <w:spacing w:before="0" w:beforeAutospacing="0" w:after="0" w:afterAutospacing="0" w:line="240" w:lineRule="exact"/>
              <w:ind w:left="181" w:leftChars="86" w:right="0"/>
              <w:rPr>
                <w:rFonts w:hint="default" w:ascii="宋体" w:hAnsi="宋体" w:cs="Nimbus Roman No9 L"/>
                <w:color w:val="auto"/>
                <w:sz w:val="18"/>
                <w:szCs w:val="18"/>
              </w:rPr>
            </w:pPr>
            <w:r>
              <w:rPr>
                <w:rFonts w:hint="default" w:ascii="宋体" w:hAnsi="宋体" w:cs="Nimbus Roman No9 L"/>
                <w:color w:val="auto"/>
                <w:sz w:val="18"/>
                <w:szCs w:val="18"/>
              </w:rPr>
              <w:t>1010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便利店    1020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超市    1030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折扣店    1040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仓储会员店    1050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百货店</w:t>
            </w:r>
          </w:p>
          <w:p>
            <w:pPr>
              <w:keepNext w:val="0"/>
              <w:keepLines w:val="0"/>
              <w:suppressLineNumbers w:val="0"/>
              <w:snapToGrid w:val="0"/>
              <w:spacing w:before="0" w:beforeAutospacing="0" w:after="0" w:afterAutospacing="0" w:line="240" w:lineRule="exact"/>
              <w:ind w:left="181" w:leftChars="86" w:right="0"/>
              <w:rPr>
                <w:rFonts w:hint="default" w:ascii="宋体" w:hAnsi="宋体" w:cs="Nimbus Roman No9 L"/>
                <w:color w:val="auto"/>
                <w:sz w:val="18"/>
                <w:szCs w:val="18"/>
              </w:rPr>
            </w:pPr>
            <w:r>
              <w:rPr>
                <w:rFonts w:hint="default" w:ascii="宋体" w:hAnsi="宋体" w:cs="Nimbus Roman No9 L"/>
                <w:color w:val="auto"/>
                <w:sz w:val="18"/>
                <w:szCs w:val="18"/>
              </w:rPr>
              <w:t>1060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购物中心  1070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专业店  1080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品牌专卖店    1090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集合店    1100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无人值守商店</w:t>
            </w:r>
          </w:p>
          <w:p>
            <w:pPr>
              <w:keepNext w:val="0"/>
              <w:keepLines w:val="0"/>
              <w:suppressLineNumbers w:val="0"/>
              <w:snapToGrid w:val="0"/>
              <w:spacing w:before="0" w:beforeAutospacing="0" w:after="0" w:afterAutospacing="0" w:line="240" w:lineRule="exact"/>
              <w:ind w:left="0" w:right="0"/>
              <w:rPr>
                <w:rFonts w:hint="default" w:ascii="宋体" w:hAnsi="宋体" w:cs="Nimbus Roman No9 L"/>
                <w:b/>
                <w:bCs/>
                <w:color w:val="auto"/>
                <w:sz w:val="18"/>
                <w:szCs w:val="18"/>
              </w:rPr>
            </w:pPr>
            <w:r>
              <w:rPr>
                <w:rFonts w:hint="default" w:ascii="宋体" w:hAnsi="宋体" w:cs="Nimbus Roman No9 L"/>
                <w:b/>
                <w:bCs/>
                <w:color w:val="auto"/>
                <w:sz w:val="18"/>
                <w:szCs w:val="18"/>
              </w:rPr>
              <w:t>无店铺零售</w:t>
            </w:r>
          </w:p>
          <w:p>
            <w:pPr>
              <w:keepNext w:val="0"/>
              <w:keepLines w:val="0"/>
              <w:suppressLineNumbers w:val="0"/>
              <w:snapToGrid w:val="0"/>
              <w:spacing w:before="0" w:beforeAutospacing="0" w:after="0" w:afterAutospacing="0" w:line="24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2010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网络零售    2020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电视/广播零售    2030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 xml:space="preserve">邮寄零售  </w:t>
            </w:r>
            <w:r>
              <w:rPr>
                <w:rFonts w:hint="default" w:ascii="宋体" w:hAnsi="宋体" w:cs="Nimbus Roman No9 L"/>
                <w:color w:val="auto"/>
                <w:w w:val="135"/>
                <w:sz w:val="18"/>
                <w:szCs w:val="18"/>
              </w:rPr>
              <w:t xml:space="preserve">   </w:t>
            </w:r>
            <w:r>
              <w:rPr>
                <w:rFonts w:hint="default" w:ascii="宋体" w:hAnsi="宋体" w:cs="Nimbus Roman No9 L"/>
                <w:color w:val="auto"/>
                <w:sz w:val="18"/>
                <w:szCs w:val="18"/>
              </w:rPr>
              <w:t xml:space="preserve"> 2040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无人售货设备零售</w:t>
            </w:r>
          </w:p>
          <w:p>
            <w:pPr>
              <w:keepNext w:val="0"/>
              <w:keepLines w:val="0"/>
              <w:suppressLineNumbers w:val="0"/>
              <w:snapToGrid w:val="0"/>
              <w:spacing w:before="0" w:beforeAutospacing="0" w:after="0" w:afterAutospacing="0" w:line="24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2050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电话零售    2060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 xml:space="preserve">直销       </w:t>
            </w:r>
            <w:r>
              <w:rPr>
                <w:rFonts w:hint="default" w:ascii="宋体" w:hAnsi="宋体" w:cs="Nimbus Roman No9 L"/>
                <w:color w:val="auto"/>
                <w:w w:val="120"/>
                <w:sz w:val="18"/>
                <w:szCs w:val="18"/>
              </w:rPr>
              <w:t xml:space="preserve">   </w:t>
            </w:r>
            <w:r>
              <w:rPr>
                <w:rFonts w:hint="default" w:ascii="宋体" w:hAnsi="宋体" w:cs="Nimbus Roman No9 L"/>
                <w:color w:val="auto"/>
                <w:sz w:val="18"/>
                <w:szCs w:val="18"/>
              </w:rPr>
              <w:t xml:space="preserve"> </w:t>
            </w:r>
            <w:r>
              <w:rPr>
                <w:rFonts w:hint="default" w:ascii="宋体" w:hAnsi="宋体" w:cs="Nimbus Roman No9 L"/>
                <w:color w:val="auto"/>
                <w:sz w:val="13"/>
                <w:szCs w:val="18"/>
              </w:rPr>
              <w:t xml:space="preserve">  </w:t>
            </w:r>
            <w:r>
              <w:rPr>
                <w:rFonts w:hint="default" w:ascii="宋体" w:hAnsi="宋体" w:cs="Nimbus Roman No9 L"/>
                <w:color w:val="auto"/>
                <w:sz w:val="18"/>
                <w:szCs w:val="18"/>
              </w:rPr>
              <w:t>2070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流动货摊零售   2090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 xml:space="preserve">其他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620" w:type="dxa"/>
            <w:shd w:val="clear" w:color="auto" w:fill="D7D7D7"/>
            <w:noWrap w:val="0"/>
            <w:tcMar>
              <w:top w:w="0" w:type="dxa"/>
              <w:left w:w="57" w:type="dxa"/>
              <w:bottom w:w="0" w:type="dxa"/>
              <w:right w:w="57" w:type="dxa"/>
            </w:tcMar>
            <w:vAlign w:val="center"/>
          </w:tcPr>
          <w:p>
            <w:pPr>
              <w:keepNext w:val="0"/>
              <w:keepLines w:val="0"/>
              <w:suppressLineNumbers w:val="0"/>
              <w:snapToGrid w:val="0"/>
              <w:spacing w:before="0" w:beforeAutospacing="0" w:after="0" w:afterAutospacing="0"/>
              <w:ind w:left="0" w:right="0"/>
              <w:jc w:val="center"/>
              <w:rPr>
                <w:rFonts w:hint="default" w:ascii="宋体" w:hAnsi="宋体" w:cs="Nimbus Roman No9 L"/>
                <w:b/>
                <w:bCs/>
                <w:color w:val="auto"/>
                <w:sz w:val="18"/>
                <w:szCs w:val="18"/>
              </w:rPr>
            </w:pPr>
            <w:r>
              <w:rPr>
                <w:rFonts w:hint="default" w:ascii="宋体" w:hAnsi="宋体" w:cs="Nimbus Roman No9 L"/>
                <w:b/>
                <w:bCs/>
                <w:color w:val="auto"/>
                <w:sz w:val="18"/>
                <w:szCs w:val="18"/>
              </w:rPr>
              <w:t>S02</w:t>
            </w:r>
          </w:p>
        </w:tc>
        <w:tc>
          <w:tcPr>
            <w:tcW w:w="8947" w:type="dxa"/>
            <w:shd w:val="clear" w:color="auto" w:fill="D7D7D7"/>
            <w:noWrap w:val="0"/>
            <w:vAlign w:val="center"/>
          </w:tcPr>
          <w:p>
            <w:pPr>
              <w:keepNext w:val="0"/>
              <w:keepLines w:val="0"/>
              <w:suppressLineNumbers w:val="0"/>
              <w:snapToGrid w:val="0"/>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color w:val="auto"/>
                <w:sz w:val="18"/>
                <w:szCs w:val="18"/>
              </w:rPr>
              <w:t>住宿业单位星级评定情况      □      1 一星     2 二星    3 三星    4 四星    5 五星    9 其他</w:t>
            </w:r>
          </w:p>
        </w:tc>
      </w:tr>
    </w:tbl>
    <w:p>
      <w:pPr>
        <w:adjustRightInd w:val="0"/>
        <w:spacing w:line="240" w:lineRule="exact"/>
        <w:ind w:left="617" w:hanging="617" w:hangingChars="343"/>
        <w:rPr>
          <w:rFonts w:ascii="Nimbus Roman No9 L" w:hAnsi="Nimbus Roman No9 L" w:cs="Nimbus Roman No9 L"/>
          <w:color w:val="auto"/>
          <w:sz w:val="18"/>
          <w:szCs w:val="18"/>
        </w:rPr>
      </w:pPr>
      <w:r>
        <w:rPr>
          <w:rFonts w:ascii="Nimbus Roman No9 L" w:hAnsi="Nimbus Roman No9 L" w:cs="Nimbus Roman No9 L"/>
          <w:color w:val="auto"/>
          <w:sz w:val="18"/>
          <w:szCs w:val="18"/>
        </w:rPr>
        <w:t xml:space="preserve">单位负责人：        统计负责人：         填表人：      </w:t>
      </w:r>
      <w:r>
        <w:rPr>
          <w:rFonts w:hint="eastAsia" w:ascii="Nimbus Roman No9 L" w:hAnsi="Nimbus Roman No9 L" w:cs="Nimbus Roman No9 L"/>
          <w:color w:val="auto"/>
          <w:sz w:val="18"/>
          <w:szCs w:val="18"/>
        </w:rPr>
        <w:t>填表人</w:t>
      </w:r>
      <w:r>
        <w:rPr>
          <w:rFonts w:ascii="Nimbus Roman No9 L" w:hAnsi="Nimbus Roman No9 L" w:cs="Nimbus Roman No9 L"/>
          <w:color w:val="auto"/>
          <w:sz w:val="18"/>
          <w:szCs w:val="18"/>
        </w:rPr>
        <w:t>联系电话：       报出日期：２０  年   月   日</w:t>
      </w:r>
    </w:p>
    <w:p>
      <w:pPr>
        <w:adjustRightInd w:val="0"/>
        <w:spacing w:line="240" w:lineRule="exact"/>
        <w:ind w:left="617" w:hanging="617" w:hangingChars="343"/>
        <w:rPr>
          <w:rFonts w:ascii="宋体" w:hAnsi="宋体"/>
          <w:color w:val="auto"/>
          <w:sz w:val="18"/>
          <w:szCs w:val="18"/>
        </w:rPr>
      </w:pPr>
    </w:p>
    <w:p>
      <w:pPr>
        <w:adjustRightInd w:val="0"/>
        <w:spacing w:line="240" w:lineRule="exact"/>
        <w:ind w:left="720" w:hanging="720" w:hangingChars="400"/>
        <w:rPr>
          <w:rFonts w:hint="eastAsia" w:ascii="宋体"/>
          <w:color w:val="auto"/>
          <w:sz w:val="18"/>
          <w:szCs w:val="18"/>
        </w:rPr>
      </w:pPr>
      <w:r>
        <w:rPr>
          <w:rFonts w:hint="eastAsia" w:ascii="宋体" w:hAnsi="宋体"/>
          <w:color w:val="auto"/>
          <w:sz w:val="18"/>
          <w:szCs w:val="18"/>
        </w:rPr>
        <w:t>说明：1.统计范围:辖区内规模以上工业、有资质的建筑业、限额以上批发和零售业、限额以上住宿和餐饮业、有开发经营活动的房地产开发经营业、规模以上服务业、其他有 5000 万元及以上在建项目的法人单位,规模以上工业个体经营户</w:t>
      </w:r>
      <w:r>
        <w:rPr>
          <w:rFonts w:hint="eastAsia" w:ascii="宋体"/>
          <w:color w:val="auto"/>
          <w:sz w:val="18"/>
          <w:szCs w:val="18"/>
        </w:rPr>
        <w:t>。</w:t>
      </w:r>
    </w:p>
    <w:p>
      <w:pPr>
        <w:adjustRightInd w:val="0"/>
        <w:spacing w:line="240" w:lineRule="exact"/>
        <w:ind w:left="720" w:hanging="720" w:hangingChars="400"/>
        <w:rPr>
          <w:rFonts w:ascii="宋体" w:hAnsi="宋体"/>
          <w:color w:val="auto"/>
          <w:kern w:val="0"/>
          <w:sz w:val="18"/>
          <w:szCs w:val="18"/>
          <w:u w:val="single"/>
        </w:rPr>
      </w:pPr>
      <w:r>
        <w:rPr>
          <w:rFonts w:hint="eastAsia" w:ascii="宋体"/>
          <w:color w:val="auto"/>
          <w:sz w:val="18"/>
          <w:szCs w:val="18"/>
        </w:rPr>
        <w:t xml:space="preserve">      </w:t>
      </w:r>
      <w:r>
        <w:rPr>
          <w:rFonts w:ascii="宋体"/>
          <w:color w:val="auto"/>
          <w:sz w:val="18"/>
        </w:rPr>
        <w:t>2.</w:t>
      </w:r>
      <w:r>
        <w:rPr>
          <w:rFonts w:hint="eastAsia" w:ascii="宋体" w:hAnsi="Calibri"/>
          <w:color w:val="auto"/>
          <w:spacing w:val="4"/>
          <w:sz w:val="18"/>
        </w:rPr>
        <w:t>各指标月度如需变更，各级名录库管理部门和相关专业对表中变更内容在名录库系统中进行申报并审核确认，国家统计局普查中心负责整理后推送联网直报平台；待国家完成年报审核验收后，国家统计局普查中心利用101-1表和108表以及本年月度申报且通过审核确认的已变更信息对该表进行年度更新，并推送至联网直报平台</w:t>
      </w:r>
      <w:r>
        <w:rPr>
          <w:rFonts w:hint="eastAsia" w:ascii="宋体" w:hAnsi="宋体"/>
          <w:color w:val="auto"/>
          <w:spacing w:val="4"/>
          <w:sz w:val="18"/>
          <w:szCs w:val="18"/>
        </w:rPr>
        <w:t>。</w:t>
      </w:r>
    </w:p>
    <w:p>
      <w:pPr>
        <w:rPr>
          <w:color w:val="auto"/>
        </w:rPr>
      </w:pPr>
    </w:p>
    <w:p>
      <w:pPr>
        <w:snapToGrid w:val="0"/>
        <w:spacing w:before="240" w:beforeLines="100" w:after="240" w:afterLines="100"/>
        <w:jc w:val="center"/>
        <w:outlineLvl w:val="2"/>
        <w:rPr>
          <w:rFonts w:hint="eastAsia"/>
          <w:color w:val="auto"/>
          <w:sz w:val="32"/>
        </w:rPr>
      </w:pPr>
      <w:r>
        <w:rPr>
          <w:color w:val="auto"/>
          <w:sz w:val="32"/>
        </w:rPr>
        <w:br w:type="page"/>
      </w:r>
      <w:r>
        <w:rPr>
          <w:rFonts w:hint="eastAsia"/>
          <w:color w:val="auto"/>
          <w:sz w:val="32"/>
        </w:rPr>
        <w:t>固定资产投资项目情况</w:t>
      </w:r>
    </w:p>
    <w:tbl>
      <w:tblPr>
        <w:tblStyle w:val="21"/>
        <w:tblW w:w="0" w:type="auto"/>
        <w:tblInd w:w="0" w:type="dxa"/>
        <w:tblLayout w:type="fixed"/>
        <w:tblCellMar>
          <w:top w:w="0" w:type="dxa"/>
          <w:left w:w="108" w:type="dxa"/>
          <w:bottom w:w="0" w:type="dxa"/>
          <w:right w:w="108" w:type="dxa"/>
        </w:tblCellMar>
      </w:tblPr>
      <w:tblGrid>
        <w:gridCol w:w="2863"/>
        <w:gridCol w:w="862"/>
        <w:gridCol w:w="2798"/>
        <w:gridCol w:w="1050"/>
        <w:gridCol w:w="1894"/>
      </w:tblGrid>
      <w:tr>
        <w:tblPrEx>
          <w:tblCellMar>
            <w:top w:w="0" w:type="dxa"/>
            <w:left w:w="108" w:type="dxa"/>
            <w:bottom w:w="0" w:type="dxa"/>
            <w:right w:w="108" w:type="dxa"/>
          </w:tblCellMar>
        </w:tblPrEx>
        <w:tc>
          <w:tcPr>
            <w:tcW w:w="6523" w:type="dxa"/>
            <w:gridSpan w:val="3"/>
            <w:noWrap w:val="0"/>
            <w:tcMar>
              <w:left w:w="0" w:type="dxa"/>
              <w:right w:w="0" w:type="dxa"/>
            </w:tcMar>
            <w:vAlign w:val="top"/>
          </w:tcPr>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 w:val="18"/>
                <w:szCs w:val="18"/>
              </w:rPr>
            </w:pPr>
          </w:p>
        </w:tc>
        <w:tc>
          <w:tcPr>
            <w:tcW w:w="1050" w:type="dxa"/>
            <w:noWrap w:val="0"/>
            <w:vAlign w:val="top"/>
          </w:tcPr>
          <w:p>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r>
              <w:rPr>
                <w:rFonts w:hint="eastAsia" w:ascii="宋体" w:hAnsi="宋体" w:cs="宋体"/>
                <w:color w:val="auto"/>
                <w:sz w:val="18"/>
                <w:szCs w:val="18"/>
              </w:rPr>
              <w:t>表</w:t>
            </w:r>
            <w:r>
              <w:rPr>
                <w:rFonts w:hint="default" w:ascii="宋体" w:hAnsi="宋体" w:cs="宋体"/>
                <w:color w:val="auto"/>
                <w:sz w:val="18"/>
                <w:szCs w:val="18"/>
              </w:rPr>
              <w:t xml:space="preserve">    </w:t>
            </w:r>
            <w:r>
              <w:rPr>
                <w:rFonts w:hint="eastAsia" w:ascii="宋体" w:hAnsi="宋体" w:cs="宋体"/>
                <w:color w:val="auto"/>
                <w:sz w:val="18"/>
                <w:szCs w:val="18"/>
              </w:rPr>
              <w:t>号：</w:t>
            </w:r>
          </w:p>
        </w:tc>
        <w:tc>
          <w:tcPr>
            <w:tcW w:w="1894" w:type="dxa"/>
            <w:noWrap w:val="0"/>
            <w:vAlign w:val="center"/>
          </w:tcPr>
          <w:p>
            <w:pPr>
              <w:keepNext w:val="0"/>
              <w:keepLines w:val="0"/>
              <w:suppressLineNumbers w:val="0"/>
              <w:snapToGrid w:val="0"/>
              <w:spacing w:before="0" w:beforeAutospacing="0" w:after="0" w:afterAutospacing="0"/>
              <w:ind w:left="-105" w:leftChars="-50" w:right="0"/>
              <w:jc w:val="distribute"/>
              <w:rPr>
                <w:rFonts w:hint="default" w:ascii="宋体" w:hAnsi="宋体"/>
                <w:color w:val="auto"/>
                <w:sz w:val="18"/>
              </w:rPr>
            </w:pPr>
            <w:r>
              <w:rPr>
                <w:rFonts w:hint="eastAsia" w:ascii="宋体" w:hAnsi="宋体"/>
                <w:color w:val="auto"/>
                <w:sz w:val="18"/>
              </w:rPr>
              <w:t>２０６表</w:t>
            </w:r>
          </w:p>
        </w:tc>
      </w:tr>
      <w:tr>
        <w:tblPrEx>
          <w:tblCellMar>
            <w:top w:w="0" w:type="dxa"/>
            <w:left w:w="108" w:type="dxa"/>
            <w:bottom w:w="0" w:type="dxa"/>
            <w:right w:w="108" w:type="dxa"/>
          </w:tblCellMar>
        </w:tblPrEx>
        <w:tc>
          <w:tcPr>
            <w:tcW w:w="6523" w:type="dxa"/>
            <w:gridSpan w:val="3"/>
            <w:noWrap w:val="0"/>
            <w:tcMar>
              <w:left w:w="0" w:type="dxa"/>
              <w:right w:w="0" w:type="dxa"/>
            </w:tcMar>
            <w:vAlign w:val="top"/>
          </w:tcPr>
          <w:p>
            <w:pPr>
              <w:keepNext w:val="0"/>
              <w:keepLines w:val="0"/>
              <w:suppressLineNumbers w:val="0"/>
              <w:adjustRightInd w:val="0"/>
              <w:snapToGrid w:val="0"/>
              <w:spacing w:before="0" w:beforeAutospacing="0" w:after="0" w:afterAutospacing="0"/>
              <w:ind w:left="0" w:right="0"/>
              <w:rPr>
                <w:rFonts w:hint="default" w:ascii="宋体" w:hAnsi="宋体" w:cs="宋体"/>
                <w:color w:val="auto"/>
                <w:sz w:val="18"/>
                <w:szCs w:val="18"/>
              </w:rPr>
            </w:pPr>
          </w:p>
        </w:tc>
        <w:tc>
          <w:tcPr>
            <w:tcW w:w="1050" w:type="dxa"/>
            <w:noWrap w:val="0"/>
            <w:vAlign w:val="top"/>
          </w:tcPr>
          <w:p>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r>
              <w:rPr>
                <w:rFonts w:hint="eastAsia" w:ascii="宋体" w:hAnsi="宋体" w:cs="宋体"/>
                <w:color w:val="auto"/>
                <w:sz w:val="18"/>
                <w:szCs w:val="18"/>
              </w:rPr>
              <w:t>制定机关：</w:t>
            </w:r>
          </w:p>
        </w:tc>
        <w:tc>
          <w:tcPr>
            <w:tcW w:w="1894" w:type="dxa"/>
            <w:noWrap w:val="0"/>
            <w:vAlign w:val="center"/>
          </w:tcPr>
          <w:p>
            <w:pPr>
              <w:keepNext w:val="0"/>
              <w:keepLines w:val="0"/>
              <w:suppressLineNumbers w:val="0"/>
              <w:snapToGrid w:val="0"/>
              <w:spacing w:before="0" w:beforeAutospacing="0" w:after="0" w:afterAutospacing="0"/>
              <w:ind w:left="-105" w:leftChars="-50" w:right="0"/>
              <w:jc w:val="distribute"/>
              <w:rPr>
                <w:rFonts w:hint="eastAsia" w:ascii="宋体" w:hAnsi="宋体"/>
                <w:color w:val="auto"/>
                <w:sz w:val="18"/>
              </w:rPr>
            </w:pPr>
            <w:r>
              <w:rPr>
                <w:rFonts w:hint="eastAsia" w:ascii="宋体" w:hAnsi="宋体"/>
                <w:color w:val="auto"/>
                <w:sz w:val="18"/>
              </w:rPr>
              <w:t>国家统计局</w:t>
            </w:r>
          </w:p>
        </w:tc>
      </w:tr>
      <w:tr>
        <w:tblPrEx>
          <w:tblCellMar>
            <w:top w:w="0" w:type="dxa"/>
            <w:left w:w="108" w:type="dxa"/>
            <w:bottom w:w="0" w:type="dxa"/>
            <w:right w:w="108" w:type="dxa"/>
          </w:tblCellMar>
        </w:tblPrEx>
        <w:tc>
          <w:tcPr>
            <w:tcW w:w="6523" w:type="dxa"/>
            <w:gridSpan w:val="3"/>
            <w:noWrap w:val="0"/>
            <w:tcMar>
              <w:left w:w="0" w:type="dxa"/>
              <w:right w:w="0" w:type="dxa"/>
            </w:tcMar>
            <w:vAlign w:val="bottom"/>
          </w:tcPr>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 w:val="18"/>
                <w:szCs w:val="18"/>
              </w:rPr>
            </w:pPr>
            <w:r>
              <w:rPr>
                <w:rFonts w:hint="eastAsia" w:ascii="宋体" w:hAnsi="宋体" w:cs="宋体"/>
                <w:color w:val="auto"/>
                <w:sz w:val="18"/>
                <w:szCs w:val="18"/>
              </w:rPr>
              <w:t>统一社会信用代码□□□□□□□□□□□□□□□□□□</w:t>
            </w:r>
          </w:p>
        </w:tc>
        <w:tc>
          <w:tcPr>
            <w:tcW w:w="105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r>
              <w:rPr>
                <w:rFonts w:hint="eastAsia" w:ascii="宋体" w:hAnsi="宋体" w:cs="宋体"/>
                <w:color w:val="auto"/>
                <w:sz w:val="18"/>
                <w:szCs w:val="18"/>
              </w:rPr>
              <w:t>文</w:t>
            </w:r>
            <w:r>
              <w:rPr>
                <w:rFonts w:hint="default" w:ascii="宋体" w:hAnsi="宋体" w:cs="宋体"/>
                <w:color w:val="auto"/>
                <w:sz w:val="18"/>
                <w:szCs w:val="18"/>
              </w:rPr>
              <w:t xml:space="preserve">    </w:t>
            </w:r>
            <w:r>
              <w:rPr>
                <w:rFonts w:hint="eastAsia" w:ascii="宋体" w:hAnsi="宋体" w:cs="宋体"/>
                <w:color w:val="auto"/>
                <w:sz w:val="18"/>
                <w:szCs w:val="18"/>
              </w:rPr>
              <w:t>号：</w:t>
            </w:r>
          </w:p>
        </w:tc>
        <w:tc>
          <w:tcPr>
            <w:tcW w:w="1894" w:type="dxa"/>
            <w:noWrap w:val="0"/>
            <w:vAlign w:val="center"/>
          </w:tcPr>
          <w:p>
            <w:pPr>
              <w:keepNext w:val="0"/>
              <w:keepLines w:val="0"/>
              <w:suppressLineNumbers w:val="0"/>
              <w:snapToGrid w:val="0"/>
              <w:spacing w:before="0" w:beforeAutospacing="0" w:after="0" w:afterAutospacing="0"/>
              <w:ind w:left="-105" w:leftChars="-50" w:right="0"/>
              <w:jc w:val="distribute"/>
              <w:rPr>
                <w:rFonts w:hint="default" w:ascii="宋体" w:hAnsi="宋体"/>
                <w:color w:val="auto"/>
                <w:sz w:val="18"/>
              </w:rPr>
            </w:pPr>
            <w:r>
              <w:rPr>
                <w:rFonts w:hint="eastAsia" w:ascii="宋体" w:hAnsi="宋体"/>
                <w:color w:val="auto"/>
                <w:sz w:val="18"/>
              </w:rPr>
              <w:t>国统字〔2025〕88号</w:t>
            </w:r>
          </w:p>
        </w:tc>
      </w:tr>
      <w:tr>
        <w:tblPrEx>
          <w:tblCellMar>
            <w:top w:w="0" w:type="dxa"/>
            <w:left w:w="108" w:type="dxa"/>
            <w:bottom w:w="0" w:type="dxa"/>
            <w:right w:w="108" w:type="dxa"/>
          </w:tblCellMar>
        </w:tblPrEx>
        <w:tc>
          <w:tcPr>
            <w:tcW w:w="2863" w:type="dxa"/>
            <w:noWrap w:val="0"/>
            <w:tcMar>
              <w:left w:w="0" w:type="dxa"/>
              <w:right w:w="0" w:type="dxa"/>
            </w:tcMar>
            <w:vAlign w:val="top"/>
          </w:tcPr>
          <w:p>
            <w:pPr>
              <w:keepNext w:val="0"/>
              <w:keepLines w:val="0"/>
              <w:suppressLineNumbers w:val="0"/>
              <w:adjustRightInd w:val="0"/>
              <w:snapToGrid w:val="0"/>
              <w:spacing w:before="0" w:beforeAutospacing="0" w:after="0" w:afterAutospacing="0"/>
              <w:ind w:left="0" w:right="0"/>
              <w:rPr>
                <w:rFonts w:hint="default" w:ascii="宋体" w:hAnsi="宋体" w:cs="宋体"/>
                <w:color w:val="auto"/>
                <w:sz w:val="18"/>
                <w:szCs w:val="18"/>
              </w:rPr>
            </w:pPr>
            <w:r>
              <w:rPr>
                <w:rFonts w:hint="eastAsia" w:ascii="宋体" w:hAnsi="宋体" w:cs="宋体"/>
                <w:color w:val="auto"/>
                <w:sz w:val="18"/>
                <w:szCs w:val="18"/>
              </w:rPr>
              <w:t>单位详细名称：</w:t>
            </w:r>
          </w:p>
        </w:tc>
        <w:tc>
          <w:tcPr>
            <w:tcW w:w="862" w:type="dxa"/>
            <w:noWrap w:val="0"/>
            <w:vAlign w:val="top"/>
          </w:tcPr>
          <w:p>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p>
        </w:tc>
        <w:tc>
          <w:tcPr>
            <w:tcW w:w="2798" w:type="dxa"/>
            <w:noWrap w:val="0"/>
            <w:vAlign w:val="top"/>
          </w:tcPr>
          <w:p>
            <w:pPr>
              <w:keepNext w:val="0"/>
              <w:keepLines w:val="0"/>
              <w:suppressLineNumbers w:val="0"/>
              <w:adjustRightInd w:val="0"/>
              <w:snapToGrid w:val="0"/>
              <w:spacing w:before="0" w:beforeAutospacing="0" w:after="0" w:afterAutospacing="0"/>
              <w:ind w:left="0" w:right="0" w:firstLine="360" w:firstLineChars="200"/>
              <w:rPr>
                <w:rFonts w:hint="default" w:ascii="宋体" w:hAnsi="宋体" w:cs="宋体"/>
                <w:color w:val="auto"/>
                <w:sz w:val="18"/>
                <w:szCs w:val="18"/>
              </w:rPr>
            </w:pPr>
            <w:r>
              <w:rPr>
                <w:rFonts w:hint="eastAsia" w:ascii="宋体" w:hAnsi="宋体" w:cs="宋体"/>
                <w:color w:val="auto"/>
                <w:sz w:val="18"/>
                <w:szCs w:val="18"/>
              </w:rPr>
              <w:t>２０２ 6年１－  月</w:t>
            </w:r>
          </w:p>
        </w:tc>
        <w:tc>
          <w:tcPr>
            <w:tcW w:w="105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r>
              <w:rPr>
                <w:rFonts w:hint="eastAsia" w:ascii="宋体" w:hAnsi="宋体" w:cs="宋体"/>
                <w:color w:val="auto"/>
                <w:sz w:val="18"/>
                <w:szCs w:val="18"/>
              </w:rPr>
              <w:t>有效期至：</w:t>
            </w:r>
          </w:p>
        </w:tc>
        <w:tc>
          <w:tcPr>
            <w:tcW w:w="1894" w:type="dxa"/>
            <w:noWrap w:val="0"/>
            <w:vAlign w:val="center"/>
          </w:tcPr>
          <w:p>
            <w:pPr>
              <w:keepNext w:val="0"/>
              <w:keepLines w:val="0"/>
              <w:suppressLineNumbers w:val="0"/>
              <w:snapToGrid w:val="0"/>
              <w:spacing w:before="0" w:beforeAutospacing="0" w:after="0" w:afterAutospacing="0"/>
              <w:ind w:left="-105" w:leftChars="-50" w:right="0"/>
              <w:jc w:val="distribute"/>
              <w:rPr>
                <w:rFonts w:hint="default" w:ascii="宋体" w:hAnsi="宋体"/>
                <w:color w:val="auto"/>
                <w:sz w:val="18"/>
              </w:rPr>
            </w:pPr>
            <w:r>
              <w:rPr>
                <w:rFonts w:hint="eastAsia" w:ascii="宋体" w:hAnsi="宋体"/>
                <w:color w:val="auto"/>
                <w:sz w:val="18"/>
              </w:rPr>
              <w:t>２０２7年１月</w:t>
            </w:r>
          </w:p>
        </w:tc>
      </w:tr>
    </w:tbl>
    <w:p>
      <w:pPr>
        <w:spacing w:line="40" w:lineRule="exact"/>
        <w:rPr>
          <w:color w:val="auto"/>
        </w:rPr>
      </w:pPr>
    </w:p>
    <w:tbl>
      <w:tblPr>
        <w:tblStyle w:val="21"/>
        <w:tblW w:w="9573"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543"/>
        <w:gridCol w:w="1108"/>
        <w:gridCol w:w="2775"/>
        <w:gridCol w:w="475"/>
        <w:gridCol w:w="1937"/>
        <w:gridCol w:w="2735"/>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97" w:hRule="atLeast"/>
          <w:jc w:val="center"/>
        </w:trPr>
        <w:tc>
          <w:tcPr>
            <w:tcW w:w="9573" w:type="dxa"/>
            <w:gridSpan w:val="6"/>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b/>
                <w:color w:val="auto"/>
                <w:sz w:val="18"/>
                <w:szCs w:val="18"/>
              </w:rPr>
            </w:pPr>
            <w:r>
              <w:rPr>
                <w:rFonts w:hint="eastAsia" w:ascii="宋体" w:hAnsi="宋体"/>
                <w:b/>
                <w:color w:val="auto"/>
                <w:sz w:val="18"/>
                <w:szCs w:val="18"/>
              </w:rPr>
              <w:t>一、项目基本情况</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43" w:type="dxa"/>
            <w:tcBorders>
              <w:top w:val="single" w:color="auto" w:sz="2" w:space="0"/>
              <w:bottom w:val="single" w:color="auto" w:sz="2" w:space="0"/>
            </w:tcBorders>
            <w:shd w:val="clear" w:color="auto" w:fill="C0C0C0"/>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eastAsia" w:ascii="宋体" w:hAnsi="宋体"/>
                <w:b/>
                <w:color w:val="auto"/>
                <w:sz w:val="18"/>
                <w:szCs w:val="18"/>
              </w:rPr>
            </w:pPr>
            <w:r>
              <w:rPr>
                <w:rFonts w:hint="eastAsia" w:ascii="宋体" w:hAnsi="宋体"/>
                <w:b/>
                <w:color w:val="auto"/>
                <w:sz w:val="18"/>
                <w:szCs w:val="18"/>
              </w:rPr>
              <w:t>01</w:t>
            </w:r>
          </w:p>
        </w:tc>
        <w:tc>
          <w:tcPr>
            <w:tcW w:w="1108" w:type="dxa"/>
            <w:shd w:val="clear" w:color="auto" w:fill="C0C0C0"/>
            <w:noWrap w:val="0"/>
            <w:vAlign w:val="center"/>
          </w:tcPr>
          <w:p>
            <w:pPr>
              <w:pStyle w:val="15"/>
              <w:keepNext w:val="0"/>
              <w:keepLines w:val="0"/>
              <w:suppressLineNumbers w:val="0"/>
              <w:pBdr>
                <w:bottom w:val="none" w:color="auto" w:sz="0" w:space="0"/>
              </w:pBdr>
              <w:tabs>
                <w:tab w:val="clear" w:pos="4153"/>
                <w:tab w:val="clear" w:pos="8306"/>
              </w:tabs>
              <w:adjustRightInd w:val="0"/>
              <w:spacing w:before="0" w:beforeAutospacing="0" w:after="0" w:afterAutospacing="0" w:line="340" w:lineRule="exact"/>
              <w:ind w:left="0" w:right="0"/>
              <w:rPr>
                <w:rFonts w:hint="eastAsia" w:ascii="宋体" w:hAnsi="宋体"/>
                <w:color w:val="auto"/>
              </w:rPr>
            </w:pPr>
            <w:r>
              <w:rPr>
                <w:rFonts w:hint="eastAsia" w:ascii="宋体" w:hAnsi="宋体"/>
                <w:color w:val="auto"/>
              </w:rPr>
              <w:t>项目代码</w:t>
            </w:r>
          </w:p>
        </w:tc>
        <w:tc>
          <w:tcPr>
            <w:tcW w:w="7922" w:type="dxa"/>
            <w:gridSpan w:val="4"/>
            <w:shd w:val="clear" w:color="auto" w:fill="C0C0C0"/>
            <w:noWrap w:val="0"/>
            <w:vAlign w:val="center"/>
          </w:tcPr>
          <w:p>
            <w:pPr>
              <w:keepNext w:val="0"/>
              <w:keepLines w:val="0"/>
              <w:suppressLineNumbers w:val="0"/>
              <w:adjustRightInd w:val="0"/>
              <w:snapToGrid w:val="0"/>
              <w:spacing w:before="0" w:beforeAutospacing="0" w:after="0" w:afterAutospacing="0" w:line="340" w:lineRule="exact"/>
              <w:ind w:left="1618" w:leftChars="85" w:right="0" w:hanging="1440" w:hangingChars="800"/>
              <w:rPr>
                <w:rFonts w:hint="default" w:ascii="宋体" w:hAnsi="宋体" w:cs="宋体"/>
                <w:color w:val="auto"/>
                <w:sz w:val="18"/>
                <w:szCs w:val="18"/>
                <w:u w:val="single"/>
              </w:rPr>
            </w:pPr>
            <w:r>
              <w:rPr>
                <w:rFonts w:hint="eastAsia" w:ascii="宋体" w:hAnsi="宋体" w:cs="宋体"/>
                <w:color w:val="auto"/>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43" w:type="dxa"/>
            <w:tcBorders>
              <w:top w:val="single" w:color="auto" w:sz="2" w:space="0"/>
              <w:bottom w:val="single" w:color="auto" w:sz="2" w:space="0"/>
            </w:tcBorders>
            <w:shd w:val="clear" w:color="auto" w:fill="C0C0C0"/>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eastAsia" w:ascii="宋体" w:hAnsi="宋体"/>
                <w:b/>
                <w:color w:val="auto"/>
                <w:sz w:val="18"/>
                <w:szCs w:val="18"/>
              </w:rPr>
            </w:pPr>
            <w:r>
              <w:rPr>
                <w:rFonts w:hint="default" w:ascii="宋体" w:hAnsi="宋体"/>
                <w:b/>
                <w:color w:val="auto"/>
                <w:sz w:val="18"/>
                <w:szCs w:val="18"/>
              </w:rPr>
              <w:t>0</w:t>
            </w:r>
            <w:r>
              <w:rPr>
                <w:rFonts w:hint="eastAsia" w:ascii="宋体" w:hAnsi="宋体"/>
                <w:b/>
                <w:color w:val="auto"/>
                <w:sz w:val="18"/>
                <w:szCs w:val="18"/>
              </w:rPr>
              <w:t>2</w:t>
            </w:r>
          </w:p>
        </w:tc>
        <w:tc>
          <w:tcPr>
            <w:tcW w:w="1108" w:type="dxa"/>
            <w:shd w:val="clear" w:color="auto" w:fill="C0C0C0"/>
            <w:noWrap w:val="0"/>
            <w:vAlign w:val="center"/>
          </w:tcPr>
          <w:p>
            <w:pPr>
              <w:pStyle w:val="15"/>
              <w:keepNext w:val="0"/>
              <w:keepLines w:val="0"/>
              <w:suppressLineNumbers w:val="0"/>
              <w:pBdr>
                <w:bottom w:val="none" w:color="auto" w:sz="0" w:space="0"/>
              </w:pBdr>
              <w:tabs>
                <w:tab w:val="clear" w:pos="4153"/>
                <w:tab w:val="clear" w:pos="8306"/>
              </w:tabs>
              <w:adjustRightInd w:val="0"/>
              <w:spacing w:before="0" w:beforeAutospacing="0" w:after="0" w:afterAutospacing="0" w:line="340" w:lineRule="exact"/>
              <w:ind w:left="0" w:right="0"/>
              <w:rPr>
                <w:rFonts w:hint="default" w:ascii="宋体" w:hAnsi="宋体"/>
                <w:color w:val="auto"/>
              </w:rPr>
            </w:pPr>
            <w:r>
              <w:rPr>
                <w:rFonts w:hint="eastAsia" w:ascii="宋体" w:hAnsi="宋体"/>
                <w:color w:val="auto"/>
              </w:rPr>
              <w:t>项目名称</w:t>
            </w:r>
          </w:p>
        </w:tc>
        <w:tc>
          <w:tcPr>
            <w:tcW w:w="7922" w:type="dxa"/>
            <w:gridSpan w:val="4"/>
            <w:shd w:val="clear" w:color="auto" w:fill="C0C0C0"/>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eastAsia" w:ascii="宋体" w:hAnsi="宋体"/>
                <w:color w:val="auto"/>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43" w:type="dxa"/>
            <w:tcBorders>
              <w:top w:val="single" w:color="auto" w:sz="2" w:space="0"/>
              <w:bottom w:val="single" w:color="auto" w:sz="2" w:space="0"/>
            </w:tcBorders>
            <w:shd w:val="clear" w:color="auto" w:fill="C0C0C0"/>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宋体" w:hAnsi="宋体"/>
                <w:b/>
                <w:color w:val="auto"/>
                <w:sz w:val="18"/>
                <w:szCs w:val="18"/>
              </w:rPr>
            </w:pPr>
            <w:r>
              <w:rPr>
                <w:rFonts w:hint="eastAsia" w:ascii="宋体" w:hAnsi="宋体"/>
                <w:b/>
                <w:color w:val="auto"/>
                <w:sz w:val="18"/>
                <w:szCs w:val="18"/>
              </w:rPr>
              <w:t>13</w:t>
            </w:r>
          </w:p>
        </w:tc>
        <w:tc>
          <w:tcPr>
            <w:tcW w:w="1108" w:type="dxa"/>
            <w:shd w:val="clear" w:color="auto" w:fill="C0C0C0"/>
            <w:noWrap w:val="0"/>
            <w:vAlign w:val="center"/>
          </w:tcPr>
          <w:p>
            <w:pPr>
              <w:pStyle w:val="15"/>
              <w:keepNext w:val="0"/>
              <w:keepLines w:val="0"/>
              <w:suppressLineNumbers w:val="0"/>
              <w:pBdr>
                <w:bottom w:val="none" w:color="auto" w:sz="0" w:space="0"/>
              </w:pBdr>
              <w:tabs>
                <w:tab w:val="clear" w:pos="4153"/>
                <w:tab w:val="clear" w:pos="8306"/>
              </w:tabs>
              <w:adjustRightInd w:val="0"/>
              <w:spacing w:before="0" w:beforeAutospacing="0" w:after="0" w:afterAutospacing="0" w:line="240" w:lineRule="atLeast"/>
              <w:ind w:left="0" w:right="0"/>
              <w:rPr>
                <w:rFonts w:hint="eastAsia" w:ascii="宋体" w:hAnsi="宋体"/>
                <w:color w:val="auto"/>
              </w:rPr>
            </w:pPr>
            <w:r>
              <w:rPr>
                <w:rFonts w:hint="eastAsia" w:ascii="宋体" w:hAnsi="宋体"/>
                <w:color w:val="auto"/>
              </w:rPr>
              <w:t>投资项目在线审批监管平台统一代码</w:t>
            </w:r>
          </w:p>
        </w:tc>
        <w:tc>
          <w:tcPr>
            <w:tcW w:w="7922" w:type="dxa"/>
            <w:gridSpan w:val="4"/>
            <w:shd w:val="clear" w:color="auto" w:fill="C0C0C0"/>
            <w:noWrap w:val="0"/>
            <w:vAlign w:val="center"/>
          </w:tcPr>
          <w:p>
            <w:pPr>
              <w:keepNext w:val="0"/>
              <w:keepLines w:val="0"/>
              <w:suppressLineNumbers w:val="0"/>
              <w:adjustRightInd w:val="0"/>
              <w:snapToGrid w:val="0"/>
              <w:spacing w:before="0" w:beforeAutospacing="0" w:after="0" w:afterAutospacing="0" w:line="240" w:lineRule="atLeast"/>
              <w:ind w:left="0" w:right="0" w:firstLine="90" w:firstLineChars="50"/>
              <w:jc w:val="left"/>
              <w:rPr>
                <w:rFonts w:hint="eastAsia" w:ascii="宋体" w:hAnsi="宋体"/>
                <w:color w:val="auto"/>
                <w:sz w:val="18"/>
                <w:szCs w:val="18"/>
              </w:rPr>
            </w:pPr>
            <w:r>
              <w:rPr>
                <w:rFonts w:hint="eastAsia" w:ascii="宋体" w:hAnsi="宋体" w:cs="宋体"/>
                <w:color w:val="auto"/>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855" w:hRule="atLeast"/>
          <w:jc w:val="center"/>
        </w:trPr>
        <w:tc>
          <w:tcPr>
            <w:tcW w:w="543" w:type="dxa"/>
            <w:tcBorders>
              <w:top w:val="single" w:color="auto" w:sz="2" w:space="0"/>
              <w:bottom w:val="single" w:color="auto" w:sz="2" w:space="0"/>
            </w:tcBorders>
            <w:shd w:val="clear" w:color="auto" w:fill="C0C0C0"/>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eastAsia" w:ascii="宋体" w:hAnsi="宋体"/>
                <w:b/>
                <w:color w:val="auto"/>
                <w:sz w:val="18"/>
                <w:szCs w:val="18"/>
              </w:rPr>
            </w:pPr>
            <w:r>
              <w:rPr>
                <w:rFonts w:hint="eastAsia" w:ascii="宋体" w:hAnsi="宋体"/>
                <w:b/>
                <w:color w:val="auto"/>
                <w:sz w:val="18"/>
                <w:szCs w:val="18"/>
              </w:rPr>
              <w:t>104</w:t>
            </w:r>
          </w:p>
        </w:tc>
        <w:tc>
          <w:tcPr>
            <w:tcW w:w="1108" w:type="dxa"/>
            <w:shd w:val="clear" w:color="auto" w:fill="C0C0C0"/>
            <w:noWrap w:val="0"/>
            <w:vAlign w:val="center"/>
          </w:tcPr>
          <w:p>
            <w:pPr>
              <w:pStyle w:val="15"/>
              <w:keepNext w:val="0"/>
              <w:keepLines w:val="0"/>
              <w:suppressLineNumbers w:val="0"/>
              <w:pBdr>
                <w:bottom w:val="none" w:color="auto" w:sz="0" w:space="0"/>
              </w:pBdr>
              <w:tabs>
                <w:tab w:val="clear" w:pos="4153"/>
                <w:tab w:val="clear" w:pos="8306"/>
              </w:tabs>
              <w:adjustRightInd w:val="0"/>
              <w:spacing w:before="0" w:beforeAutospacing="0" w:after="0" w:afterAutospacing="0" w:line="240" w:lineRule="atLeast"/>
              <w:ind w:left="0" w:right="0"/>
              <w:rPr>
                <w:rFonts w:hint="eastAsia" w:ascii="宋体" w:hAnsi="宋体"/>
                <w:color w:val="auto"/>
              </w:rPr>
            </w:pPr>
            <w:r>
              <w:rPr>
                <w:rFonts w:hint="eastAsia" w:ascii="宋体" w:hAnsi="宋体"/>
                <w:color w:val="auto"/>
              </w:rPr>
              <w:t>报表类别</w:t>
            </w:r>
          </w:p>
        </w:tc>
        <w:tc>
          <w:tcPr>
            <w:tcW w:w="7922" w:type="dxa"/>
            <w:gridSpan w:val="4"/>
            <w:shd w:val="clear" w:color="auto" w:fill="C0C0C0"/>
            <w:noWrap w:val="0"/>
            <w:vAlign w:val="center"/>
          </w:tcPr>
          <w:p>
            <w:pPr>
              <w:keepNext w:val="0"/>
              <w:keepLines w:val="0"/>
              <w:suppressLineNumbers w:val="0"/>
              <w:spacing w:before="0" w:beforeAutospacing="0" w:after="0" w:afterAutospacing="0" w:line="240" w:lineRule="atLeast"/>
              <w:ind w:left="0" w:right="0"/>
              <w:jc w:val="left"/>
              <w:rPr>
                <w:rFonts w:hint="default" w:ascii="宋体" w:hAnsi="宋体"/>
                <w:color w:val="auto"/>
                <w:sz w:val="18"/>
                <w:szCs w:val="18"/>
              </w:rPr>
            </w:pPr>
            <w:r>
              <w:rPr>
                <w:rFonts w:hint="eastAsia" w:ascii="宋体" w:hAnsi="宋体"/>
                <w:color w:val="auto"/>
                <w:sz w:val="18"/>
                <w:szCs w:val="18"/>
              </w:rPr>
              <w:t>报表类别        □</w:t>
            </w:r>
          </w:p>
          <w:p>
            <w:pPr>
              <w:keepNext w:val="0"/>
              <w:keepLines w:val="0"/>
              <w:suppressLineNumbers w:val="0"/>
              <w:spacing w:before="0" w:beforeAutospacing="0" w:after="0" w:afterAutospacing="0" w:line="240" w:lineRule="atLeast"/>
              <w:ind w:left="0" w:right="0" w:firstLine="178" w:firstLineChars="99"/>
              <w:jc w:val="left"/>
              <w:rPr>
                <w:rFonts w:hint="eastAsia" w:ascii="宋体" w:cs="宋体"/>
                <w:color w:val="auto"/>
                <w:sz w:val="18"/>
                <w:szCs w:val="18"/>
                <w:lang w:val="zh-CN"/>
              </w:rPr>
            </w:pPr>
            <w:r>
              <w:rPr>
                <w:rFonts w:hint="default" w:ascii="宋体" w:cs="宋体"/>
                <w:color w:val="auto"/>
                <w:sz w:val="18"/>
                <w:szCs w:val="18"/>
                <w:lang w:val="zh-CN"/>
              </w:rPr>
              <w:t xml:space="preserve">A </w:t>
            </w:r>
            <w:r>
              <w:rPr>
                <w:rFonts w:hint="eastAsia" w:ascii="宋体" w:cs="宋体"/>
                <w:color w:val="auto"/>
                <w:sz w:val="18"/>
                <w:szCs w:val="18"/>
                <w:lang w:val="zh-CN"/>
              </w:rPr>
              <w:t>农业</w:t>
            </w:r>
            <w:r>
              <w:rPr>
                <w:rFonts w:hint="default" w:ascii="宋体" w:cs="宋体"/>
                <w:color w:val="auto"/>
                <w:sz w:val="18"/>
                <w:szCs w:val="18"/>
                <w:lang w:val="zh-CN"/>
              </w:rPr>
              <w:t xml:space="preserve">     </w:t>
            </w:r>
            <w:r>
              <w:rPr>
                <w:rFonts w:hint="eastAsia" w:ascii="宋体" w:cs="宋体"/>
                <w:color w:val="auto"/>
                <w:sz w:val="18"/>
                <w:szCs w:val="18"/>
                <w:lang w:val="zh-CN"/>
              </w:rPr>
              <w:t xml:space="preserve">  </w:t>
            </w:r>
            <w:r>
              <w:rPr>
                <w:rFonts w:hint="default" w:ascii="宋体" w:cs="宋体"/>
                <w:color w:val="auto"/>
                <w:sz w:val="18"/>
                <w:szCs w:val="18"/>
                <w:lang w:val="zh-CN"/>
              </w:rPr>
              <w:t xml:space="preserve">B </w:t>
            </w:r>
            <w:r>
              <w:rPr>
                <w:rFonts w:hint="eastAsia" w:ascii="宋体" w:cs="宋体"/>
                <w:color w:val="auto"/>
                <w:sz w:val="18"/>
                <w:szCs w:val="18"/>
                <w:lang w:val="zh-CN"/>
              </w:rPr>
              <w:t>规模以上工业</w:t>
            </w:r>
            <w:r>
              <w:rPr>
                <w:rFonts w:hint="default" w:ascii="宋体" w:cs="宋体"/>
                <w:color w:val="auto"/>
                <w:sz w:val="18"/>
                <w:szCs w:val="18"/>
                <w:lang w:val="zh-CN"/>
              </w:rPr>
              <w:t xml:space="preserve">     </w:t>
            </w:r>
            <w:r>
              <w:rPr>
                <w:rFonts w:hint="eastAsia" w:ascii="宋体" w:cs="宋体"/>
                <w:color w:val="auto"/>
                <w:sz w:val="18"/>
                <w:szCs w:val="18"/>
                <w:lang w:val="zh-CN"/>
              </w:rPr>
              <w:t xml:space="preserve"> </w:t>
            </w:r>
            <w:r>
              <w:rPr>
                <w:rFonts w:hint="default" w:ascii="宋体" w:cs="宋体"/>
                <w:color w:val="auto"/>
                <w:sz w:val="18"/>
                <w:szCs w:val="18"/>
                <w:lang w:val="zh-CN"/>
              </w:rPr>
              <w:t xml:space="preserve"> </w:t>
            </w:r>
            <w:r>
              <w:rPr>
                <w:rFonts w:hint="eastAsia" w:ascii="宋体" w:cs="宋体"/>
                <w:color w:val="auto"/>
                <w:sz w:val="18"/>
                <w:szCs w:val="18"/>
                <w:lang w:val="zh-CN"/>
              </w:rPr>
              <w:t xml:space="preserve">B1 规模以下工业       </w:t>
            </w:r>
            <w:r>
              <w:rPr>
                <w:rFonts w:hint="default" w:ascii="宋体" w:cs="宋体"/>
                <w:color w:val="auto"/>
                <w:sz w:val="18"/>
                <w:szCs w:val="18"/>
                <w:lang w:val="zh-CN"/>
              </w:rPr>
              <w:t xml:space="preserve">C </w:t>
            </w:r>
            <w:r>
              <w:rPr>
                <w:rFonts w:hint="eastAsia" w:ascii="宋体" w:cs="宋体"/>
                <w:color w:val="auto"/>
                <w:sz w:val="18"/>
                <w:szCs w:val="18"/>
                <w:lang w:val="zh-CN"/>
              </w:rPr>
              <w:t>建筑业</w:t>
            </w:r>
            <w:r>
              <w:rPr>
                <w:rFonts w:hint="default" w:ascii="宋体" w:cs="宋体"/>
                <w:color w:val="auto"/>
                <w:sz w:val="18"/>
                <w:szCs w:val="18"/>
                <w:lang w:val="zh-CN"/>
              </w:rPr>
              <w:t xml:space="preserve">    </w:t>
            </w:r>
            <w:r>
              <w:rPr>
                <w:rFonts w:hint="eastAsia" w:ascii="宋体" w:cs="宋体"/>
                <w:color w:val="auto"/>
                <w:sz w:val="18"/>
                <w:szCs w:val="18"/>
                <w:lang w:val="zh-CN"/>
              </w:rPr>
              <w:t xml:space="preserve"> </w:t>
            </w:r>
            <w:r>
              <w:rPr>
                <w:rFonts w:hint="default" w:ascii="宋体" w:cs="宋体"/>
                <w:color w:val="auto"/>
                <w:sz w:val="18"/>
                <w:szCs w:val="18"/>
                <w:lang w:val="zh-CN"/>
              </w:rPr>
              <w:t xml:space="preserve"> E </w:t>
            </w:r>
            <w:r>
              <w:rPr>
                <w:rFonts w:hint="eastAsia" w:ascii="宋体" w:cs="宋体"/>
                <w:color w:val="auto"/>
                <w:sz w:val="18"/>
                <w:szCs w:val="18"/>
                <w:lang w:val="zh-CN"/>
              </w:rPr>
              <w:t>批发和零售业</w:t>
            </w:r>
            <w:r>
              <w:rPr>
                <w:rFonts w:hint="default" w:ascii="宋体" w:cs="宋体"/>
                <w:color w:val="auto"/>
                <w:sz w:val="18"/>
                <w:szCs w:val="18"/>
                <w:lang w:val="zh-CN"/>
              </w:rPr>
              <w:t xml:space="preserve"> </w:t>
            </w:r>
          </w:p>
          <w:p>
            <w:pPr>
              <w:keepNext w:val="0"/>
              <w:keepLines w:val="0"/>
              <w:suppressLineNumbers w:val="0"/>
              <w:spacing w:before="0" w:beforeAutospacing="0" w:after="0" w:afterAutospacing="0" w:line="240" w:lineRule="atLeast"/>
              <w:ind w:left="0" w:right="0" w:firstLine="178" w:firstLineChars="99"/>
              <w:jc w:val="left"/>
              <w:rPr>
                <w:rFonts w:hint="default" w:ascii="宋体" w:hAnsi="宋体"/>
                <w:color w:val="auto"/>
                <w:sz w:val="18"/>
                <w:szCs w:val="18"/>
              </w:rPr>
            </w:pPr>
            <w:r>
              <w:rPr>
                <w:rFonts w:hint="default" w:ascii="宋体" w:cs="宋体"/>
                <w:color w:val="auto"/>
                <w:sz w:val="18"/>
                <w:szCs w:val="18"/>
                <w:lang w:val="zh-CN"/>
              </w:rPr>
              <w:t xml:space="preserve">S </w:t>
            </w:r>
            <w:r>
              <w:rPr>
                <w:rFonts w:hint="eastAsia" w:ascii="宋体" w:cs="宋体"/>
                <w:color w:val="auto"/>
                <w:sz w:val="18"/>
                <w:szCs w:val="18"/>
                <w:lang w:val="zh-CN"/>
              </w:rPr>
              <w:t xml:space="preserve">住宿和餐饮业 </w:t>
            </w:r>
            <w:r>
              <w:rPr>
                <w:rFonts w:hint="eastAsia" w:ascii="宋体" w:hAnsi="宋体"/>
                <w:color w:val="auto"/>
                <w:sz w:val="18"/>
                <w:szCs w:val="18"/>
              </w:rPr>
              <w:t xml:space="preserve">X </w:t>
            </w:r>
            <w:r>
              <w:rPr>
                <w:rFonts w:hint="eastAsia" w:ascii="宋体" w:cs="宋体"/>
                <w:color w:val="auto"/>
                <w:sz w:val="18"/>
                <w:szCs w:val="18"/>
                <w:lang w:val="zh-CN"/>
              </w:rPr>
              <w:t>房地产开发经营业</w:t>
            </w:r>
            <w:r>
              <w:rPr>
                <w:rFonts w:hint="eastAsia" w:ascii="宋体" w:hAnsi="宋体"/>
                <w:color w:val="auto"/>
                <w:sz w:val="18"/>
                <w:szCs w:val="18"/>
              </w:rPr>
              <w:t xml:space="preserve">  F </w:t>
            </w:r>
            <w:r>
              <w:rPr>
                <w:rFonts w:hint="eastAsia" w:ascii="宋体" w:cs="宋体"/>
                <w:color w:val="auto"/>
                <w:sz w:val="18"/>
                <w:szCs w:val="18"/>
                <w:lang w:val="zh-CN"/>
              </w:rPr>
              <w:t>规模以上服务业      H 投资        U 其他</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25" w:hRule="atLeast"/>
          <w:jc w:val="center"/>
        </w:trPr>
        <w:tc>
          <w:tcPr>
            <w:tcW w:w="543" w:type="dxa"/>
            <w:tcBorders>
              <w:top w:val="single" w:color="auto" w:sz="2" w:space="0"/>
              <w:bottom w:val="single" w:color="auto" w:sz="2" w:space="0"/>
            </w:tcBorders>
            <w:shd w:val="clear" w:color="auto" w:fill="C0C0C0"/>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eastAsia" w:ascii="宋体" w:hAnsi="宋体"/>
                <w:b/>
                <w:color w:val="auto"/>
                <w:sz w:val="18"/>
                <w:szCs w:val="18"/>
              </w:rPr>
            </w:pPr>
            <w:r>
              <w:rPr>
                <w:rFonts w:hint="eastAsia" w:ascii="宋体" w:hAnsi="宋体"/>
                <w:b/>
                <w:color w:val="auto"/>
                <w:sz w:val="18"/>
                <w:szCs w:val="18"/>
              </w:rPr>
              <w:t>204</w:t>
            </w:r>
          </w:p>
        </w:tc>
        <w:tc>
          <w:tcPr>
            <w:tcW w:w="9030" w:type="dxa"/>
            <w:gridSpan w:val="5"/>
            <w:shd w:val="clear" w:color="auto" w:fill="C0C0C0"/>
            <w:noWrap w:val="0"/>
            <w:vAlign w:val="center"/>
          </w:tcPr>
          <w:p>
            <w:pPr>
              <w:keepNext w:val="0"/>
              <w:keepLines w:val="0"/>
              <w:suppressLineNumbers w:val="0"/>
              <w:spacing w:before="0" w:beforeAutospacing="0" w:after="0" w:afterAutospacing="0" w:line="240" w:lineRule="exact"/>
              <w:ind w:left="0" w:right="0"/>
              <w:rPr>
                <w:rFonts w:hint="default" w:ascii="宋体" w:hAnsi="宋体"/>
                <w:color w:val="auto"/>
              </w:rPr>
            </w:pPr>
            <w:r>
              <w:rPr>
                <w:rFonts w:hint="eastAsia" w:ascii="宋体" w:hAnsi="宋体" w:cs="Nimbus Roman No9 L"/>
                <w:color w:val="auto"/>
                <w:sz w:val="18"/>
                <w:szCs w:val="18"/>
              </w:rPr>
              <w:t>登记注册统计类别</w:t>
            </w:r>
            <w:r>
              <w:rPr>
                <w:rFonts w:hint="default" w:ascii="宋体" w:hAnsi="宋体" w:cs="Nimbus Roman No9 L"/>
                <w:color w:val="auto"/>
                <w:sz w:val="18"/>
                <w:szCs w:val="18"/>
              </w:rPr>
              <w:t xml:space="preserve">  □□□  </w:t>
            </w:r>
          </w:p>
          <w:p>
            <w:pPr>
              <w:keepNext w:val="0"/>
              <w:keepLines w:val="0"/>
              <w:suppressLineNumbers w:val="0"/>
              <w:tabs>
                <w:tab w:val="left" w:pos="630"/>
              </w:tabs>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b/>
                <w:bCs/>
                <w:color w:val="auto"/>
                <w:sz w:val="18"/>
                <w:szCs w:val="18"/>
              </w:rPr>
              <w:t>内资企业</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宋体" w:hAnsi="宋体" w:cs="Nimbus Roman No9 L"/>
                <w:color w:val="auto"/>
                <w:sz w:val="18"/>
                <w:szCs w:val="18"/>
                <w:lang w:val="en"/>
              </w:rPr>
            </w:pPr>
            <w:r>
              <w:rPr>
                <w:rFonts w:hint="default" w:ascii="宋体" w:hAnsi="宋体" w:cs="Nimbus Roman No9 L"/>
                <w:color w:val="auto"/>
                <w:sz w:val="18"/>
                <w:szCs w:val="18"/>
                <w:lang w:val="en"/>
              </w:rPr>
              <w:t xml:space="preserve">111 国有独资公司 </w:t>
            </w:r>
            <w:r>
              <w:rPr>
                <w:rFonts w:hint="eastAsia" w:ascii="宋体" w:hAnsi="宋体" w:cs="Nimbus Roman No9 L"/>
                <w:color w:val="auto"/>
                <w:sz w:val="18"/>
                <w:szCs w:val="18"/>
              </w:rPr>
              <w:t xml:space="preserve">    </w:t>
            </w:r>
            <w:r>
              <w:rPr>
                <w:rFonts w:hint="default" w:ascii="宋体" w:hAnsi="宋体" w:cs="Nimbus Roman No9 L"/>
                <w:color w:val="auto"/>
                <w:sz w:val="18"/>
                <w:szCs w:val="18"/>
                <w:lang w:val="en"/>
              </w:rPr>
              <w:t xml:space="preserve">112 私营有限责任公司 </w:t>
            </w:r>
            <w:r>
              <w:rPr>
                <w:rFonts w:hint="eastAsia" w:ascii="宋体" w:hAnsi="宋体" w:cs="Nimbus Roman No9 L"/>
                <w:color w:val="auto"/>
                <w:sz w:val="18"/>
                <w:szCs w:val="18"/>
              </w:rPr>
              <w:t xml:space="preserve">    </w:t>
            </w:r>
            <w:r>
              <w:rPr>
                <w:rFonts w:hint="default" w:ascii="宋体" w:hAnsi="宋体" w:cs="Nimbus Roman No9 L"/>
                <w:color w:val="auto"/>
                <w:sz w:val="18"/>
                <w:szCs w:val="18"/>
                <w:lang w:val="en"/>
              </w:rPr>
              <w:t>119 其他有限责任公司</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121 私营股份有限公司 129 其他股份有限公司</w:t>
            </w:r>
          </w:p>
          <w:p>
            <w:pPr>
              <w:keepNext w:val="0"/>
              <w:keepLines w:val="0"/>
              <w:suppressLineNumbers w:val="0"/>
              <w:tabs>
                <w:tab w:val="left" w:pos="630"/>
              </w:tabs>
              <w:spacing w:before="0" w:beforeAutospacing="0" w:after="0" w:afterAutospacing="0" w:line="240" w:lineRule="exact"/>
              <w:ind w:left="0" w:right="0" w:firstLine="180" w:firstLineChars="100"/>
              <w:rPr>
                <w:rFonts w:hint="eastAsia" w:ascii="宋体" w:hAnsi="宋体" w:cs="Nimbus Roman No9 L"/>
                <w:color w:val="auto"/>
                <w:sz w:val="18"/>
                <w:szCs w:val="18"/>
              </w:rPr>
            </w:pPr>
            <w:r>
              <w:rPr>
                <w:rFonts w:hint="default" w:ascii="宋体" w:hAnsi="宋体" w:cs="Nimbus Roman No9 L"/>
                <w:color w:val="auto"/>
                <w:sz w:val="18"/>
                <w:szCs w:val="18"/>
              </w:rPr>
              <w:t>131 全民所有制企业（国有企业）</w:t>
            </w:r>
            <w:r>
              <w:rPr>
                <w:rFonts w:hint="eastAsia" w:ascii="宋体" w:hAnsi="宋体" w:cs="Nimbus Roman No9 L"/>
                <w:color w:val="auto"/>
                <w:sz w:val="18"/>
                <w:szCs w:val="18"/>
              </w:rPr>
              <w:t xml:space="preserve">     132 集体所有制企业（集体企业） 133 股份合作企业 134 联营企业</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宋体" w:hAnsi="宋体" w:cs="Nimbus Roman No9 L"/>
                <w:color w:val="auto"/>
                <w:sz w:val="18"/>
                <w:szCs w:val="18"/>
                <w:lang w:val="en"/>
              </w:rPr>
            </w:pPr>
            <w:r>
              <w:rPr>
                <w:rFonts w:hint="default" w:ascii="宋体" w:hAnsi="宋体" w:cs="Nimbus Roman No9 L"/>
                <w:color w:val="auto"/>
                <w:sz w:val="18"/>
                <w:szCs w:val="18"/>
              </w:rPr>
              <w:t>140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个人独资企业</w:t>
            </w:r>
            <w:r>
              <w:rPr>
                <w:rFonts w:hint="eastAsia" w:ascii="宋体" w:hAnsi="宋体" w:cs="Nimbus Roman No9 L"/>
                <w:color w:val="auto"/>
                <w:sz w:val="18"/>
                <w:szCs w:val="18"/>
              </w:rPr>
              <w:t xml:space="preserve">    </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150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合伙企业</w:t>
            </w:r>
            <w:r>
              <w:rPr>
                <w:rFonts w:hint="default" w:ascii="宋体" w:hAnsi="宋体" w:cs="Nimbus Roman No9 L"/>
                <w:color w:val="auto"/>
                <w:sz w:val="18"/>
                <w:szCs w:val="18"/>
                <w:lang w:val="en"/>
              </w:rPr>
              <w:t xml:space="preserve"> </w:t>
            </w:r>
            <w:r>
              <w:rPr>
                <w:rFonts w:hint="eastAsia" w:ascii="宋体" w:hAnsi="宋体" w:cs="Nimbus Roman No9 L"/>
                <w:color w:val="auto"/>
                <w:sz w:val="18"/>
                <w:szCs w:val="18"/>
              </w:rPr>
              <w:t xml:space="preserve"> </w:t>
            </w:r>
            <w:r>
              <w:rPr>
                <w:rFonts w:hint="default" w:ascii="宋体" w:hAnsi="宋体" w:cs="Nimbus Roman No9 L"/>
                <w:color w:val="auto"/>
                <w:sz w:val="18"/>
                <w:szCs w:val="18"/>
              </w:rPr>
              <w:t>190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其他内资企业</w:t>
            </w:r>
          </w:p>
          <w:p>
            <w:pPr>
              <w:keepNext w:val="0"/>
              <w:keepLines w:val="0"/>
              <w:suppressLineNumbers w:val="0"/>
              <w:tabs>
                <w:tab w:val="left" w:pos="630"/>
              </w:tabs>
              <w:spacing w:before="0" w:beforeAutospacing="0" w:after="0" w:afterAutospacing="0" w:line="240" w:lineRule="exact"/>
              <w:ind w:left="0" w:right="0"/>
              <w:rPr>
                <w:rFonts w:hint="default" w:ascii="宋体" w:hAnsi="宋体" w:cs="Nimbus Roman No9 L"/>
                <w:color w:val="auto"/>
                <w:sz w:val="18"/>
                <w:szCs w:val="18"/>
                <w:lang w:val="en"/>
              </w:rPr>
            </w:pPr>
            <w:r>
              <w:rPr>
                <w:rFonts w:hint="default" w:ascii="宋体" w:hAnsi="宋体" w:cs="Nimbus Roman No9 L"/>
                <w:b/>
                <w:bCs/>
                <w:color w:val="auto"/>
                <w:sz w:val="18"/>
                <w:szCs w:val="18"/>
              </w:rPr>
              <w:t>港澳台投资企业</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宋体" w:hAnsi="宋体" w:cs="Nimbus Roman No9 L"/>
                <w:color w:val="auto"/>
                <w:spacing w:val="-4"/>
                <w:sz w:val="18"/>
                <w:szCs w:val="18"/>
              </w:rPr>
            </w:pPr>
            <w:r>
              <w:rPr>
                <w:rFonts w:hint="default" w:ascii="宋体" w:hAnsi="宋体" w:cs="Nimbus Roman No9 L"/>
                <w:color w:val="auto"/>
                <w:sz w:val="18"/>
                <w:szCs w:val="18"/>
              </w:rPr>
              <w:t>210</w:t>
            </w:r>
            <w:r>
              <w:rPr>
                <w:rFonts w:hint="default" w:ascii="宋体" w:hAnsi="宋体" w:cs="Nimbus Roman No9 L"/>
                <w:color w:val="auto"/>
                <w:sz w:val="18"/>
                <w:szCs w:val="18"/>
                <w:lang w:val="en"/>
              </w:rPr>
              <w:t xml:space="preserve"> </w:t>
            </w:r>
            <w:r>
              <w:rPr>
                <w:rFonts w:hint="default" w:ascii="宋体" w:hAnsi="宋体" w:cs="Nimbus Roman No9 L"/>
                <w:color w:val="auto"/>
                <w:spacing w:val="-4"/>
                <w:sz w:val="18"/>
                <w:szCs w:val="18"/>
              </w:rPr>
              <w:t>港澳台投资有限责任公司</w:t>
            </w:r>
            <w:r>
              <w:rPr>
                <w:rFonts w:hint="eastAsia" w:ascii="宋体" w:hAnsi="宋体" w:cs="Nimbus Roman No9 L"/>
                <w:color w:val="auto"/>
                <w:spacing w:val="-4"/>
                <w:sz w:val="18"/>
                <w:szCs w:val="18"/>
              </w:rPr>
              <w:t xml:space="preserve"> </w:t>
            </w:r>
            <w:r>
              <w:rPr>
                <w:rFonts w:hint="default" w:ascii="宋体" w:hAnsi="宋体" w:cs="Nimbus Roman No9 L"/>
                <w:color w:val="auto"/>
                <w:spacing w:val="-4"/>
                <w:sz w:val="18"/>
                <w:szCs w:val="18"/>
              </w:rPr>
              <w:t>220</w:t>
            </w:r>
            <w:r>
              <w:rPr>
                <w:rFonts w:hint="default" w:ascii="宋体" w:hAnsi="宋体" w:cs="Nimbus Roman No9 L"/>
                <w:color w:val="auto"/>
                <w:spacing w:val="-4"/>
                <w:sz w:val="18"/>
                <w:szCs w:val="18"/>
                <w:lang w:val="en"/>
              </w:rPr>
              <w:t xml:space="preserve"> </w:t>
            </w:r>
            <w:r>
              <w:rPr>
                <w:rFonts w:hint="default" w:ascii="宋体" w:hAnsi="宋体" w:cs="Nimbus Roman No9 L"/>
                <w:color w:val="auto"/>
                <w:spacing w:val="-4"/>
                <w:sz w:val="18"/>
                <w:szCs w:val="18"/>
              </w:rPr>
              <w:t>港澳台投资股份有限公司</w:t>
            </w:r>
            <w:r>
              <w:rPr>
                <w:rFonts w:hint="eastAsia" w:ascii="宋体" w:hAnsi="宋体" w:cs="Nimbus Roman No9 L"/>
                <w:color w:val="auto"/>
                <w:spacing w:val="-4"/>
                <w:sz w:val="18"/>
                <w:szCs w:val="18"/>
              </w:rPr>
              <w:t xml:space="preserve"> </w:t>
            </w:r>
            <w:r>
              <w:rPr>
                <w:rFonts w:hint="default" w:ascii="宋体" w:hAnsi="宋体" w:cs="Nimbus Roman No9 L"/>
                <w:color w:val="auto"/>
                <w:spacing w:val="-4"/>
                <w:sz w:val="18"/>
                <w:szCs w:val="18"/>
              </w:rPr>
              <w:t>230</w:t>
            </w:r>
            <w:r>
              <w:rPr>
                <w:rFonts w:hint="default" w:ascii="宋体" w:hAnsi="宋体" w:cs="Nimbus Roman No9 L"/>
                <w:color w:val="auto"/>
                <w:spacing w:val="-4"/>
                <w:sz w:val="18"/>
                <w:szCs w:val="18"/>
                <w:lang w:val="en"/>
              </w:rPr>
              <w:t xml:space="preserve"> </w:t>
            </w:r>
            <w:r>
              <w:rPr>
                <w:rFonts w:hint="default" w:ascii="宋体" w:hAnsi="宋体" w:cs="Nimbus Roman No9 L"/>
                <w:color w:val="auto"/>
                <w:spacing w:val="-4"/>
                <w:sz w:val="18"/>
                <w:szCs w:val="18"/>
              </w:rPr>
              <w:t>港澳台投资合伙企业</w:t>
            </w:r>
            <w:r>
              <w:rPr>
                <w:rFonts w:hint="eastAsia" w:ascii="宋体" w:hAnsi="宋体" w:cs="Nimbus Roman No9 L"/>
                <w:color w:val="auto"/>
                <w:spacing w:val="-4"/>
                <w:sz w:val="18"/>
                <w:szCs w:val="18"/>
              </w:rPr>
              <w:t xml:space="preserve"> </w:t>
            </w:r>
            <w:r>
              <w:rPr>
                <w:rFonts w:hint="default" w:ascii="宋体" w:hAnsi="宋体" w:cs="Nimbus Roman No9 L"/>
                <w:color w:val="auto"/>
                <w:spacing w:val="-4"/>
                <w:sz w:val="18"/>
                <w:szCs w:val="18"/>
              </w:rPr>
              <w:t>290</w:t>
            </w:r>
            <w:r>
              <w:rPr>
                <w:rFonts w:hint="default" w:ascii="宋体" w:hAnsi="宋体" w:cs="Nimbus Roman No9 L"/>
                <w:color w:val="auto"/>
                <w:spacing w:val="-4"/>
                <w:sz w:val="18"/>
                <w:szCs w:val="18"/>
                <w:lang w:val="en"/>
              </w:rPr>
              <w:t xml:space="preserve"> </w:t>
            </w:r>
            <w:r>
              <w:rPr>
                <w:rFonts w:hint="default" w:ascii="宋体" w:hAnsi="宋体" w:cs="Nimbus Roman No9 L"/>
                <w:color w:val="auto"/>
                <w:spacing w:val="-4"/>
                <w:sz w:val="18"/>
                <w:szCs w:val="18"/>
              </w:rPr>
              <w:t>其他港澳台投资企业</w:t>
            </w:r>
          </w:p>
          <w:p>
            <w:pPr>
              <w:keepNext w:val="0"/>
              <w:keepLines w:val="0"/>
              <w:suppressLineNumbers w:val="0"/>
              <w:tabs>
                <w:tab w:val="left" w:pos="630"/>
              </w:tabs>
              <w:spacing w:before="0" w:beforeAutospacing="0" w:after="0" w:afterAutospacing="0" w:line="240" w:lineRule="exact"/>
              <w:ind w:left="0" w:right="0"/>
              <w:rPr>
                <w:rFonts w:hint="default" w:ascii="宋体" w:hAnsi="宋体" w:cs="Nimbus Roman No9 L"/>
                <w:color w:val="auto"/>
                <w:sz w:val="18"/>
                <w:szCs w:val="18"/>
              </w:rPr>
            </w:pPr>
            <w:r>
              <w:rPr>
                <w:rFonts w:hint="default" w:ascii="宋体" w:hAnsi="宋体" w:cs="Nimbus Roman No9 L"/>
                <w:b/>
                <w:bCs/>
                <w:color w:val="auto"/>
                <w:sz w:val="18"/>
                <w:szCs w:val="18"/>
              </w:rPr>
              <w:t>外商投资企业</w:t>
            </w:r>
          </w:p>
          <w:p>
            <w:pPr>
              <w:keepNext w:val="0"/>
              <w:keepLines w:val="0"/>
              <w:suppressLineNumbers w:val="0"/>
              <w:tabs>
                <w:tab w:val="left" w:pos="630"/>
              </w:tabs>
              <w:spacing w:before="0" w:beforeAutospacing="0" w:after="0" w:afterAutospacing="0" w:line="240" w:lineRule="exact"/>
              <w:ind w:left="0" w:right="0" w:firstLine="180" w:firstLineChars="100"/>
              <w:rPr>
                <w:rFonts w:hint="default" w:ascii="宋体" w:hAnsi="宋体" w:cs="Nimbus Roman No9 L"/>
                <w:color w:val="auto"/>
                <w:sz w:val="18"/>
                <w:szCs w:val="18"/>
              </w:rPr>
            </w:pPr>
            <w:r>
              <w:rPr>
                <w:rFonts w:hint="default" w:ascii="宋体" w:hAnsi="宋体" w:cs="Nimbus Roman No9 L"/>
                <w:color w:val="auto"/>
                <w:sz w:val="18"/>
                <w:szCs w:val="18"/>
              </w:rPr>
              <w:t>310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外商投资有限责任公司</w:t>
            </w:r>
            <w:r>
              <w:rPr>
                <w:rFonts w:hint="default" w:ascii="宋体" w:hAnsi="宋体" w:cs="Nimbus Roman No9 L"/>
                <w:color w:val="auto"/>
                <w:sz w:val="18"/>
                <w:szCs w:val="18"/>
                <w:lang w:val="en"/>
              </w:rPr>
              <w:t xml:space="preserve"> </w:t>
            </w:r>
            <w:r>
              <w:rPr>
                <w:rFonts w:hint="eastAsia" w:ascii="宋体" w:hAnsi="宋体" w:cs="Nimbus Roman No9 L"/>
                <w:color w:val="auto"/>
                <w:sz w:val="18"/>
                <w:szCs w:val="18"/>
              </w:rPr>
              <w:t xml:space="preserve">  </w:t>
            </w:r>
            <w:r>
              <w:rPr>
                <w:rFonts w:hint="default" w:ascii="宋体" w:hAnsi="宋体" w:cs="Nimbus Roman No9 L"/>
                <w:color w:val="auto"/>
                <w:sz w:val="18"/>
                <w:szCs w:val="18"/>
              </w:rPr>
              <w:t>320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外商投资股份有限公司</w:t>
            </w:r>
            <w:r>
              <w:rPr>
                <w:rFonts w:hint="eastAsia" w:ascii="宋体" w:hAnsi="宋体" w:cs="Nimbus Roman No9 L"/>
                <w:color w:val="auto"/>
                <w:sz w:val="18"/>
                <w:szCs w:val="18"/>
              </w:rPr>
              <w:t xml:space="preserve">   </w:t>
            </w:r>
            <w:r>
              <w:rPr>
                <w:rFonts w:hint="default" w:ascii="宋体" w:hAnsi="宋体" w:cs="Nimbus Roman No9 L"/>
                <w:color w:val="auto"/>
                <w:sz w:val="18"/>
                <w:szCs w:val="18"/>
              </w:rPr>
              <w:t>330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外商投资合伙企业</w:t>
            </w:r>
            <w:r>
              <w:rPr>
                <w:rFonts w:hint="default" w:ascii="宋体" w:hAnsi="宋体" w:cs="Nimbus Roman No9 L"/>
                <w:color w:val="auto"/>
                <w:sz w:val="18"/>
                <w:szCs w:val="18"/>
                <w:lang w:val="en"/>
              </w:rPr>
              <w:t xml:space="preserve"> </w:t>
            </w:r>
            <w:r>
              <w:rPr>
                <w:rFonts w:hint="eastAsia" w:ascii="宋体" w:hAnsi="宋体" w:cs="Nimbus Roman No9 L"/>
                <w:color w:val="auto"/>
                <w:sz w:val="18"/>
                <w:szCs w:val="18"/>
              </w:rPr>
              <w:t xml:space="preserve">  </w:t>
            </w:r>
            <w:r>
              <w:rPr>
                <w:rFonts w:hint="default" w:ascii="宋体" w:hAnsi="宋体" w:cs="Nimbus Roman No9 L"/>
                <w:color w:val="auto"/>
                <w:sz w:val="18"/>
                <w:szCs w:val="18"/>
              </w:rPr>
              <w:t>390</w:t>
            </w:r>
            <w:r>
              <w:rPr>
                <w:rFonts w:hint="default" w:ascii="宋体" w:hAnsi="宋体" w:cs="Nimbus Roman No9 L"/>
                <w:color w:val="auto"/>
                <w:sz w:val="18"/>
                <w:szCs w:val="18"/>
                <w:lang w:val="en"/>
              </w:rPr>
              <w:t xml:space="preserve"> </w:t>
            </w:r>
            <w:r>
              <w:rPr>
                <w:rFonts w:hint="default" w:ascii="宋体" w:hAnsi="宋体" w:cs="Nimbus Roman No9 L"/>
                <w:color w:val="auto"/>
                <w:sz w:val="18"/>
                <w:szCs w:val="18"/>
              </w:rPr>
              <w:t>其他外商投资企业</w:t>
            </w:r>
          </w:p>
          <w:p>
            <w:pPr>
              <w:keepNext w:val="0"/>
              <w:keepLines w:val="0"/>
              <w:suppressLineNumbers w:val="0"/>
              <w:spacing w:before="0" w:beforeAutospacing="0" w:after="0" w:afterAutospacing="0" w:line="240" w:lineRule="exact"/>
              <w:ind w:left="0" w:right="0" w:firstLine="180" w:firstLineChars="100"/>
              <w:rPr>
                <w:rFonts w:hint="eastAsia" w:ascii="宋体" w:hAnsi="宋体" w:cs="宋体"/>
                <w:color w:val="auto"/>
                <w:sz w:val="18"/>
                <w:szCs w:val="18"/>
              </w:rPr>
            </w:pPr>
            <w:r>
              <w:rPr>
                <w:rFonts w:hint="default" w:ascii="宋体" w:hAnsi="宋体" w:cs="Nimbus Roman No9 L"/>
                <w:color w:val="auto"/>
                <w:sz w:val="18"/>
                <w:szCs w:val="18"/>
              </w:rPr>
              <w:t>400</w:t>
            </w:r>
            <w:r>
              <w:rPr>
                <w:rFonts w:hint="default" w:ascii="宋体" w:hAnsi="宋体" w:cs="Nimbus Roman No9 L"/>
                <w:color w:val="auto"/>
                <w:sz w:val="18"/>
                <w:szCs w:val="18"/>
                <w:lang w:val="en"/>
              </w:rPr>
              <w:t xml:space="preserve"> </w:t>
            </w:r>
            <w:r>
              <w:rPr>
                <w:rFonts w:hint="default" w:ascii="宋体" w:hAnsi="宋体" w:cs="Nimbus Roman No9 L"/>
                <w:b/>
                <w:bCs/>
                <w:color w:val="auto"/>
                <w:sz w:val="18"/>
                <w:szCs w:val="18"/>
              </w:rPr>
              <w:t>农民专业合作社（联合社）</w:t>
            </w:r>
            <w:r>
              <w:rPr>
                <w:rFonts w:hint="eastAsia" w:ascii="宋体" w:hAnsi="宋体" w:cs="Nimbus Roman No9 L"/>
                <w:color w:val="auto"/>
                <w:sz w:val="18"/>
                <w:szCs w:val="18"/>
              </w:rPr>
              <w:t xml:space="preserve"> </w:t>
            </w:r>
            <w:r>
              <w:rPr>
                <w:rFonts w:hint="default" w:ascii="宋体" w:hAnsi="宋体" w:cs="Nimbus Roman No9 L"/>
                <w:color w:val="auto"/>
                <w:sz w:val="18"/>
                <w:szCs w:val="18"/>
              </w:rPr>
              <w:t>500</w:t>
            </w:r>
            <w:r>
              <w:rPr>
                <w:rFonts w:hint="default" w:ascii="宋体" w:hAnsi="宋体" w:cs="Nimbus Roman No9 L"/>
                <w:color w:val="auto"/>
                <w:sz w:val="18"/>
                <w:szCs w:val="18"/>
                <w:lang w:val="en"/>
              </w:rPr>
              <w:t xml:space="preserve"> </w:t>
            </w:r>
            <w:r>
              <w:rPr>
                <w:rFonts w:hint="default" w:ascii="宋体" w:hAnsi="宋体" w:cs="Nimbus Roman No9 L"/>
                <w:b/>
                <w:bCs/>
                <w:color w:val="auto"/>
                <w:sz w:val="18"/>
                <w:szCs w:val="18"/>
              </w:rPr>
              <w:t>个体工商户</w:t>
            </w:r>
            <w:r>
              <w:rPr>
                <w:rFonts w:hint="eastAsia" w:ascii="宋体" w:hAnsi="宋体" w:cs="Nimbus Roman No9 L"/>
                <w:b/>
                <w:bCs/>
                <w:color w:val="auto"/>
                <w:sz w:val="18"/>
                <w:szCs w:val="18"/>
              </w:rPr>
              <w:t xml:space="preserve">           </w:t>
            </w:r>
            <w:r>
              <w:rPr>
                <w:rFonts w:hint="default" w:ascii="宋体" w:hAnsi="宋体" w:cs="Nimbus Roman No9 L"/>
                <w:color w:val="auto"/>
                <w:sz w:val="18"/>
                <w:szCs w:val="18"/>
              </w:rPr>
              <w:t>900</w:t>
            </w:r>
            <w:r>
              <w:rPr>
                <w:rFonts w:hint="default" w:ascii="宋体" w:hAnsi="宋体" w:cs="Nimbus Roman No9 L"/>
                <w:color w:val="auto"/>
                <w:sz w:val="18"/>
                <w:szCs w:val="18"/>
                <w:lang w:val="en"/>
              </w:rPr>
              <w:t xml:space="preserve"> </w:t>
            </w:r>
            <w:r>
              <w:rPr>
                <w:rFonts w:hint="default" w:ascii="宋体" w:hAnsi="宋体" w:cs="Nimbus Roman No9 L"/>
                <w:b/>
                <w:bCs/>
                <w:color w:val="auto"/>
                <w:sz w:val="18"/>
                <w:szCs w:val="18"/>
              </w:rPr>
              <w:t>其他市场主体</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827" w:hRule="atLeast"/>
          <w:jc w:val="center"/>
        </w:trPr>
        <w:tc>
          <w:tcPr>
            <w:tcW w:w="543" w:type="dxa"/>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eastAsia" w:ascii="宋体" w:hAnsi="宋体"/>
                <w:b/>
                <w:color w:val="auto"/>
                <w:sz w:val="18"/>
                <w:szCs w:val="18"/>
              </w:rPr>
            </w:pPr>
            <w:r>
              <w:rPr>
                <w:rFonts w:hint="eastAsia" w:ascii="宋体" w:hAnsi="宋体"/>
                <w:b/>
                <w:color w:val="auto"/>
                <w:sz w:val="18"/>
                <w:szCs w:val="18"/>
              </w:rPr>
              <w:t>03</w:t>
            </w:r>
          </w:p>
        </w:tc>
        <w:tc>
          <w:tcPr>
            <w:tcW w:w="1108" w:type="dxa"/>
            <w:noWrap w:val="0"/>
            <w:vAlign w:val="center"/>
          </w:tcPr>
          <w:p>
            <w:pPr>
              <w:pStyle w:val="15"/>
              <w:keepNext w:val="0"/>
              <w:keepLines w:val="0"/>
              <w:suppressLineNumbers w:val="0"/>
              <w:pBdr>
                <w:bottom w:val="none" w:color="auto" w:sz="0" w:space="0"/>
              </w:pBdr>
              <w:tabs>
                <w:tab w:val="clear" w:pos="4153"/>
                <w:tab w:val="clear" w:pos="8306"/>
              </w:tabs>
              <w:adjustRightInd w:val="0"/>
              <w:spacing w:before="0" w:beforeAutospacing="0" w:after="0" w:afterAutospacing="0" w:line="240" w:lineRule="atLeast"/>
              <w:ind w:left="0" w:right="0"/>
              <w:rPr>
                <w:rFonts w:hint="eastAsia" w:ascii="宋体" w:hAnsi="宋体"/>
                <w:color w:val="auto"/>
              </w:rPr>
            </w:pPr>
            <w:r>
              <w:rPr>
                <w:rFonts w:hint="eastAsia" w:ascii="宋体" w:hAnsi="宋体"/>
                <w:color w:val="auto"/>
              </w:rPr>
              <w:t>项目建设所在地及区划</w:t>
            </w:r>
          </w:p>
        </w:tc>
        <w:tc>
          <w:tcPr>
            <w:tcW w:w="7922" w:type="dxa"/>
            <w:gridSpan w:val="4"/>
            <w:noWrap w:val="0"/>
            <w:vAlign w:val="center"/>
          </w:tcPr>
          <w:p>
            <w:pPr>
              <w:keepNext w:val="0"/>
              <w:keepLines w:val="0"/>
              <w:suppressLineNumbers w:val="0"/>
              <w:adjustRightInd w:val="0"/>
              <w:snapToGrid w:val="0"/>
              <w:spacing w:before="0" w:beforeAutospacing="0" w:after="0" w:afterAutospacing="0" w:line="240" w:lineRule="atLeast"/>
              <w:ind w:left="1531" w:leftChars="86" w:right="0" w:hanging="1350" w:hangingChars="750"/>
              <w:rPr>
                <w:rFonts w:hint="default" w:ascii="宋体" w:hAnsi="宋体"/>
                <w:color w:val="auto"/>
                <w:sz w:val="18"/>
                <w:szCs w:val="18"/>
              </w:rPr>
            </w:pPr>
            <w:r>
              <w:rPr>
                <w:rFonts w:hint="default" w:ascii="宋体" w:hAnsi="宋体" w:cs="宋体"/>
                <w:color w:val="auto"/>
                <w:sz w:val="18"/>
                <w:szCs w:val="18"/>
                <w:u w:val="single"/>
              </w:rPr>
              <w:t xml:space="preserve"> </w:t>
            </w:r>
            <w:r>
              <w:rPr>
                <w:rFonts w:hint="eastAsia" w:ascii="宋体" w:hAnsi="宋体" w:cs="宋体"/>
                <w:color w:val="auto"/>
                <w:sz w:val="18"/>
                <w:szCs w:val="18"/>
                <w:u w:val="single"/>
              </w:rPr>
              <w:t xml:space="preserve"> </w:t>
            </w:r>
            <w:r>
              <w:rPr>
                <w:rFonts w:hint="default" w:ascii="宋体" w:hAnsi="宋体" w:cs="宋体"/>
                <w:color w:val="auto"/>
                <w:sz w:val="18"/>
                <w:szCs w:val="18"/>
                <w:u w:val="single"/>
              </w:rPr>
              <w:t xml:space="preserve">            </w:t>
            </w:r>
            <w:r>
              <w:rPr>
                <w:rFonts w:hint="eastAsia" w:ascii="宋体" w:hAnsi="宋体" w:cs="宋体"/>
                <w:color w:val="auto"/>
                <w:sz w:val="18"/>
                <w:szCs w:val="18"/>
              </w:rPr>
              <w:t>省</w:t>
            </w:r>
            <w:r>
              <w:rPr>
                <w:rFonts w:hint="default" w:ascii="宋体" w:hAnsi="宋体" w:cs="宋体"/>
                <w:color w:val="auto"/>
                <w:sz w:val="18"/>
                <w:szCs w:val="18"/>
              </w:rPr>
              <w:t>(</w:t>
            </w:r>
            <w:r>
              <w:rPr>
                <w:rFonts w:hint="eastAsia" w:ascii="宋体" w:hAnsi="宋体" w:cs="宋体"/>
                <w:color w:val="auto"/>
                <w:sz w:val="18"/>
                <w:szCs w:val="18"/>
              </w:rPr>
              <w:t>自治区、直辖市</w:t>
            </w:r>
            <w:r>
              <w:rPr>
                <w:rFonts w:hint="default" w:ascii="宋体" w:hAnsi="宋体" w:cs="宋体"/>
                <w:color w:val="auto"/>
                <w:sz w:val="18"/>
                <w:szCs w:val="18"/>
              </w:rPr>
              <w:t>)</w:t>
            </w:r>
            <w:r>
              <w:rPr>
                <w:rFonts w:hint="default" w:ascii="宋体" w:hAnsi="宋体" w:cs="宋体"/>
                <w:color w:val="auto"/>
                <w:sz w:val="18"/>
                <w:szCs w:val="18"/>
                <w:u w:val="single"/>
              </w:rPr>
              <w:t xml:space="preserve">          </w:t>
            </w:r>
            <w:r>
              <w:rPr>
                <w:rFonts w:hint="default" w:ascii="Nimbus Roman No9 L" w:hAnsi="Nimbus Roman No9 L" w:cs="Nimbus Roman No9 L"/>
                <w:color w:val="auto"/>
                <w:sz w:val="18"/>
                <w:szCs w:val="18"/>
              </w:rPr>
              <w:t>地(</w:t>
            </w:r>
            <w:r>
              <w:rPr>
                <w:rFonts w:hint="eastAsia" w:ascii="Nimbus Roman No9 L" w:hAnsi="Nimbus Roman No9 L" w:cs="Nimbus Roman No9 L"/>
                <w:color w:val="auto"/>
                <w:sz w:val="18"/>
                <w:szCs w:val="18"/>
              </w:rPr>
              <w:t>市</w:t>
            </w:r>
            <w:r>
              <w:rPr>
                <w:rFonts w:hint="default" w:ascii="Nimbus Roman No9 L" w:hAnsi="Nimbus Roman No9 L" w:cs="Nimbus Roman No9 L"/>
                <w:color w:val="auto"/>
                <w:sz w:val="18"/>
                <w:szCs w:val="18"/>
              </w:rPr>
              <w:t>、州、盟)</w:t>
            </w:r>
            <w:r>
              <w:rPr>
                <w:rFonts w:hint="default" w:ascii="宋体" w:hAnsi="宋体" w:cs="宋体"/>
                <w:color w:val="auto"/>
                <w:sz w:val="18"/>
                <w:szCs w:val="18"/>
                <w:u w:val="single"/>
              </w:rPr>
              <w:t xml:space="preserve">        </w:t>
            </w:r>
            <w:r>
              <w:rPr>
                <w:rFonts w:hint="eastAsia" w:ascii="宋体" w:hAnsi="宋体" w:cs="宋体"/>
                <w:color w:val="auto"/>
                <w:sz w:val="18"/>
                <w:szCs w:val="18"/>
              </w:rPr>
              <w:t>县(市、区、旗)</w:t>
            </w:r>
          </w:p>
          <w:p>
            <w:pPr>
              <w:keepNext w:val="0"/>
              <w:keepLines w:val="0"/>
              <w:suppressLineNumbers w:val="0"/>
              <w:adjustRightInd w:val="0"/>
              <w:snapToGrid w:val="0"/>
              <w:spacing w:before="0" w:beforeAutospacing="0" w:after="0" w:afterAutospacing="0" w:line="240" w:lineRule="atLeast"/>
              <w:ind w:left="0" w:right="0" w:firstLine="180" w:firstLineChars="100"/>
              <w:rPr>
                <w:rFonts w:hint="eastAsia" w:ascii="宋体" w:hAnsi="宋体" w:cs="宋体"/>
                <w:color w:val="auto"/>
                <w:sz w:val="18"/>
                <w:szCs w:val="18"/>
              </w:rPr>
            </w:pPr>
            <w:r>
              <w:rPr>
                <w:rFonts w:hint="default" w:ascii="宋体" w:hAnsi="宋体" w:cs="宋体"/>
                <w:color w:val="auto"/>
                <w:sz w:val="18"/>
                <w:szCs w:val="18"/>
                <w:u w:val="single"/>
              </w:rPr>
              <w:t xml:space="preserve">              </w:t>
            </w:r>
            <w:r>
              <w:rPr>
                <w:rFonts w:hint="default" w:ascii="Nimbus Roman No9 L" w:hAnsi="Nimbus Roman No9 L" w:cs="Nimbus Roman No9 L"/>
                <w:color w:val="auto"/>
                <w:sz w:val="18"/>
                <w:szCs w:val="18"/>
              </w:rPr>
              <w:t>乡(镇、街道)</w:t>
            </w:r>
            <w:r>
              <w:rPr>
                <w:rFonts w:hint="default" w:ascii="Nimbus Roman No9 L" w:hAnsi="Nimbus Roman No9 L" w:cs="Nimbus Roman No9 L"/>
                <w:color w:val="auto"/>
                <w:sz w:val="18"/>
                <w:szCs w:val="18"/>
                <w:u w:val="single"/>
              </w:rPr>
              <w:t xml:space="preserve">             </w:t>
            </w:r>
            <w:r>
              <w:rPr>
                <w:rFonts w:hint="default" w:ascii="Nimbus Roman No9 L" w:hAnsi="Nimbus Roman No9 L" w:cs="Nimbus Roman No9 L"/>
                <w:color w:val="auto"/>
                <w:sz w:val="18"/>
                <w:szCs w:val="18"/>
              </w:rPr>
              <w:t>村（居）委会</w:t>
            </w:r>
            <w:r>
              <w:rPr>
                <w:rFonts w:hint="default" w:ascii="宋体" w:hAnsi="宋体" w:cs="宋体"/>
                <w:color w:val="auto"/>
                <w:sz w:val="18"/>
                <w:szCs w:val="18"/>
                <w:u w:val="single"/>
              </w:rPr>
              <w:t xml:space="preserve">                      </w:t>
            </w:r>
            <w:r>
              <w:rPr>
                <w:rFonts w:hint="eastAsia" w:ascii="宋体" w:hAnsi="宋体" w:cs="宋体"/>
                <w:color w:val="auto"/>
                <w:sz w:val="18"/>
                <w:szCs w:val="18"/>
              </w:rPr>
              <w:t>街</w:t>
            </w:r>
            <w:r>
              <w:rPr>
                <w:rFonts w:hint="default" w:ascii="宋体" w:hAnsi="宋体" w:cs="宋体"/>
                <w:color w:val="auto"/>
                <w:sz w:val="18"/>
                <w:szCs w:val="18"/>
              </w:rPr>
              <w:t>(</w:t>
            </w:r>
            <w:r>
              <w:rPr>
                <w:rFonts w:hint="eastAsia" w:ascii="宋体" w:hAnsi="宋体" w:cs="宋体"/>
                <w:color w:val="auto"/>
                <w:sz w:val="18"/>
                <w:szCs w:val="18"/>
              </w:rPr>
              <w:t>路</w:t>
            </w:r>
            <w:r>
              <w:rPr>
                <w:rFonts w:hint="default" w:ascii="宋体" w:hAnsi="宋体" w:cs="宋体"/>
                <w:color w:val="auto"/>
                <w:sz w:val="18"/>
                <w:szCs w:val="18"/>
              </w:rPr>
              <w:t>)</w:t>
            </w:r>
            <w:r>
              <w:rPr>
                <w:rFonts w:hint="eastAsia" w:ascii="宋体" w:hAnsi="宋体" w:cs="宋体"/>
                <w:color w:val="auto"/>
                <w:sz w:val="18"/>
                <w:szCs w:val="18"/>
              </w:rPr>
              <w:t>、门牌号</w:t>
            </w:r>
          </w:p>
          <w:p>
            <w:pPr>
              <w:keepNext w:val="0"/>
              <w:keepLines w:val="0"/>
              <w:suppressLineNumbers w:val="0"/>
              <w:adjustRightInd w:val="0"/>
              <w:snapToGrid w:val="0"/>
              <w:spacing w:before="0" w:beforeAutospacing="0" w:after="0" w:afterAutospacing="0" w:line="240" w:lineRule="atLeast"/>
              <w:ind w:left="0" w:right="0" w:firstLine="180" w:firstLineChars="100"/>
              <w:rPr>
                <w:rFonts w:hint="eastAsia" w:ascii="宋体" w:hAnsi="宋体"/>
                <w:color w:val="auto"/>
                <w:sz w:val="18"/>
                <w:szCs w:val="18"/>
              </w:rPr>
            </w:pPr>
            <w:r>
              <w:rPr>
                <w:rFonts w:hint="eastAsia" w:ascii="宋体" w:hAnsi="宋体" w:cs="宋体"/>
                <w:color w:val="auto"/>
                <w:sz w:val="18"/>
                <w:szCs w:val="18"/>
              </w:rPr>
              <w:t>区划代码</w:t>
            </w:r>
            <w:r>
              <w:rPr>
                <w:rFonts w:hint="default" w:ascii="宋体" w:hAnsi="宋体" w:cs="宋体"/>
                <w:color w:val="auto"/>
                <w:sz w:val="18"/>
                <w:szCs w:val="18"/>
              </w:rPr>
              <w:t xml:space="preserve">    </w:t>
            </w:r>
            <w:r>
              <w:rPr>
                <w:rFonts w:hint="eastAsia" w:ascii="宋体" w:hAnsi="宋体" w:cs="宋体"/>
                <w:color w:val="auto"/>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38" w:hRule="atLeast"/>
          <w:jc w:val="center"/>
        </w:trPr>
        <w:tc>
          <w:tcPr>
            <w:tcW w:w="543" w:type="dxa"/>
            <w:vMerge w:val="restart"/>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eastAsia" w:ascii="宋体" w:hAnsi="宋体"/>
                <w:b/>
                <w:color w:val="auto"/>
                <w:sz w:val="18"/>
                <w:szCs w:val="18"/>
              </w:rPr>
            </w:pPr>
            <w:r>
              <w:rPr>
                <w:rFonts w:hint="eastAsia" w:ascii="宋体" w:hAnsi="宋体"/>
                <w:b/>
                <w:color w:val="auto"/>
                <w:sz w:val="18"/>
                <w:szCs w:val="18"/>
              </w:rPr>
              <w:t>04</w:t>
            </w:r>
          </w:p>
        </w:tc>
        <w:tc>
          <w:tcPr>
            <w:tcW w:w="1108"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color w:val="auto"/>
                <w:sz w:val="18"/>
                <w:szCs w:val="18"/>
              </w:rPr>
            </w:pPr>
            <w:r>
              <w:rPr>
                <w:rFonts w:hint="eastAsia" w:ascii="宋体" w:hAnsi="宋体"/>
                <w:color w:val="auto"/>
                <w:sz w:val="18"/>
                <w:szCs w:val="18"/>
              </w:rPr>
              <w:t>联系电话</w:t>
            </w:r>
          </w:p>
        </w:tc>
        <w:tc>
          <w:tcPr>
            <w:tcW w:w="2775" w:type="dxa"/>
            <w:noWrap w:val="0"/>
            <w:vAlign w:val="center"/>
          </w:tcPr>
          <w:p>
            <w:pPr>
              <w:keepNext w:val="0"/>
              <w:keepLines w:val="0"/>
              <w:suppressLineNumbers w:val="0"/>
              <w:adjustRightInd w:val="0"/>
              <w:snapToGrid w:val="0"/>
              <w:spacing w:before="0" w:beforeAutospacing="0" w:after="0" w:afterAutospacing="0" w:line="240" w:lineRule="atLeast"/>
              <w:ind w:left="0" w:right="0" w:firstLine="80" w:firstLineChars="50"/>
              <w:rPr>
                <w:rFonts w:hint="eastAsia" w:ascii="宋体" w:hAnsi="宋体"/>
                <w:color w:val="auto"/>
                <w:spacing w:val="-10"/>
                <w:sz w:val="18"/>
                <w:szCs w:val="18"/>
              </w:rPr>
            </w:pPr>
            <w:r>
              <w:rPr>
                <w:rFonts w:hint="eastAsia" w:ascii="宋体" w:hAnsi="宋体"/>
                <w:color w:val="auto"/>
                <w:spacing w:val="-10"/>
                <w:sz w:val="18"/>
                <w:szCs w:val="18"/>
              </w:rPr>
              <w:t>□□□□□□□□—□□□□□</w:t>
            </w:r>
          </w:p>
        </w:tc>
        <w:tc>
          <w:tcPr>
            <w:tcW w:w="475" w:type="dxa"/>
            <w:vMerge w:val="restart"/>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b/>
                <w:color w:val="auto"/>
                <w:sz w:val="18"/>
                <w:szCs w:val="18"/>
              </w:rPr>
            </w:pPr>
            <w:r>
              <w:rPr>
                <w:rFonts w:hint="eastAsia" w:ascii="宋体" w:hAnsi="宋体"/>
                <w:b/>
                <w:color w:val="auto"/>
                <w:sz w:val="18"/>
                <w:szCs w:val="18"/>
              </w:rPr>
              <w:t>05</w:t>
            </w:r>
          </w:p>
        </w:tc>
        <w:tc>
          <w:tcPr>
            <w:tcW w:w="1937" w:type="dxa"/>
            <w:vMerge w:val="restart"/>
            <w:noWrap w:val="0"/>
            <w:vAlign w:val="center"/>
          </w:tcPr>
          <w:p>
            <w:pPr>
              <w:pStyle w:val="15"/>
              <w:keepNext w:val="0"/>
              <w:keepLines w:val="0"/>
              <w:suppressLineNumbers w:val="0"/>
              <w:pBdr>
                <w:bottom w:val="none" w:color="auto" w:sz="0" w:space="0"/>
              </w:pBdr>
              <w:tabs>
                <w:tab w:val="clear" w:pos="4153"/>
                <w:tab w:val="clear" w:pos="8306"/>
              </w:tabs>
              <w:adjustRightInd w:val="0"/>
              <w:spacing w:before="0" w:beforeAutospacing="0" w:after="0" w:afterAutospacing="0" w:line="240" w:lineRule="atLeast"/>
              <w:ind w:left="0" w:right="0"/>
              <w:rPr>
                <w:rFonts w:hint="eastAsia" w:ascii="宋体" w:hAnsi="宋体"/>
                <w:color w:val="auto"/>
              </w:rPr>
            </w:pPr>
            <w:r>
              <w:rPr>
                <w:rFonts w:hint="eastAsia" w:ascii="宋体" w:hAnsi="宋体"/>
                <w:color w:val="auto"/>
              </w:rPr>
              <w:t>项目行业编码</w:t>
            </w:r>
          </w:p>
        </w:tc>
        <w:tc>
          <w:tcPr>
            <w:tcW w:w="2735" w:type="dxa"/>
            <w:vMerge w:val="restart"/>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color w:val="auto"/>
                <w:sz w:val="18"/>
                <w:szCs w:val="18"/>
              </w:rPr>
            </w:pPr>
            <w:r>
              <w:rPr>
                <w:rFonts w:hint="eastAsia" w:ascii="宋体" w:hAnsi="宋体"/>
                <w:color w:val="auto"/>
                <w:spacing w:val="-8"/>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37" w:hRule="atLeast"/>
          <w:jc w:val="center"/>
        </w:trPr>
        <w:tc>
          <w:tcPr>
            <w:tcW w:w="543" w:type="dxa"/>
            <w:vMerge w:val="continue"/>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eastAsia" w:ascii="宋体" w:hAnsi="宋体"/>
                <w:b/>
                <w:color w:val="auto"/>
                <w:sz w:val="18"/>
                <w:szCs w:val="18"/>
              </w:rPr>
            </w:pPr>
          </w:p>
        </w:tc>
        <w:tc>
          <w:tcPr>
            <w:tcW w:w="1108"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color w:val="auto"/>
                <w:sz w:val="18"/>
                <w:szCs w:val="18"/>
              </w:rPr>
            </w:pPr>
            <w:r>
              <w:rPr>
                <w:rFonts w:hint="eastAsia" w:ascii="宋体" w:hAnsi="宋体"/>
                <w:color w:val="auto"/>
                <w:sz w:val="18"/>
                <w:szCs w:val="18"/>
              </w:rPr>
              <w:t>移动电话</w:t>
            </w:r>
          </w:p>
        </w:tc>
        <w:tc>
          <w:tcPr>
            <w:tcW w:w="2775" w:type="dxa"/>
            <w:noWrap w:val="0"/>
            <w:vAlign w:val="center"/>
          </w:tcPr>
          <w:p>
            <w:pPr>
              <w:keepNext w:val="0"/>
              <w:keepLines w:val="0"/>
              <w:suppressLineNumbers w:val="0"/>
              <w:adjustRightInd w:val="0"/>
              <w:snapToGrid w:val="0"/>
              <w:spacing w:before="0" w:beforeAutospacing="0" w:after="0" w:afterAutospacing="0" w:line="240" w:lineRule="atLeast"/>
              <w:ind w:left="0" w:right="0" w:firstLine="80" w:firstLineChars="50"/>
              <w:rPr>
                <w:rFonts w:hint="default" w:ascii="宋体" w:hAnsi="宋体" w:cs="宋体"/>
                <w:color w:val="auto"/>
                <w:sz w:val="18"/>
                <w:szCs w:val="18"/>
              </w:rPr>
            </w:pPr>
            <w:r>
              <w:rPr>
                <w:rFonts w:hint="eastAsia" w:ascii="宋体" w:hAnsi="宋体"/>
                <w:color w:val="auto"/>
                <w:spacing w:val="-10"/>
                <w:sz w:val="18"/>
                <w:szCs w:val="18"/>
              </w:rPr>
              <w:t>□□□□□□□□□□□</w:t>
            </w:r>
          </w:p>
        </w:tc>
        <w:tc>
          <w:tcPr>
            <w:tcW w:w="475" w:type="dxa"/>
            <w:vMerge w:val="continue"/>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b/>
                <w:color w:val="auto"/>
                <w:sz w:val="18"/>
                <w:szCs w:val="18"/>
              </w:rPr>
            </w:pPr>
          </w:p>
        </w:tc>
        <w:tc>
          <w:tcPr>
            <w:tcW w:w="1937" w:type="dxa"/>
            <w:vMerge w:val="continue"/>
            <w:noWrap w:val="0"/>
            <w:vAlign w:val="center"/>
          </w:tcPr>
          <w:p>
            <w:pPr>
              <w:pStyle w:val="15"/>
              <w:keepNext w:val="0"/>
              <w:keepLines w:val="0"/>
              <w:suppressLineNumbers w:val="0"/>
              <w:pBdr>
                <w:bottom w:val="none" w:color="auto" w:sz="0" w:space="0"/>
              </w:pBdr>
              <w:tabs>
                <w:tab w:val="clear" w:pos="4153"/>
                <w:tab w:val="clear" w:pos="8306"/>
              </w:tabs>
              <w:adjustRightInd w:val="0"/>
              <w:spacing w:before="0" w:beforeAutospacing="0" w:after="0" w:afterAutospacing="0" w:line="240" w:lineRule="atLeast"/>
              <w:ind w:left="0" w:right="0"/>
              <w:rPr>
                <w:rFonts w:hint="eastAsia" w:ascii="宋体" w:hAnsi="宋体"/>
                <w:color w:val="auto"/>
              </w:rPr>
            </w:pPr>
          </w:p>
        </w:tc>
        <w:tc>
          <w:tcPr>
            <w:tcW w:w="2735" w:type="dxa"/>
            <w:vMerge w:val="continue"/>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color w:val="auto"/>
                <w:spacing w:val="-8"/>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43" w:type="dxa"/>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eastAsia" w:ascii="宋体" w:hAnsi="宋体"/>
                <w:b/>
                <w:color w:val="auto"/>
                <w:sz w:val="18"/>
                <w:szCs w:val="18"/>
              </w:rPr>
            </w:pPr>
            <w:r>
              <w:rPr>
                <w:rFonts w:hint="eastAsia" w:ascii="宋体" w:hAnsi="宋体"/>
                <w:b/>
                <w:color w:val="auto"/>
                <w:sz w:val="18"/>
                <w:szCs w:val="18"/>
              </w:rPr>
              <w:t>06</w:t>
            </w:r>
          </w:p>
        </w:tc>
        <w:tc>
          <w:tcPr>
            <w:tcW w:w="9030" w:type="dxa"/>
            <w:gridSpan w:val="5"/>
            <w:noWrap w:val="0"/>
            <w:vAlign w:val="center"/>
          </w:tcPr>
          <w:p>
            <w:pPr>
              <w:keepNext w:val="0"/>
              <w:keepLines w:val="0"/>
              <w:widowControl/>
              <w:suppressLineNumbers w:val="0"/>
              <w:spacing w:before="0" w:beforeAutospacing="0" w:after="0" w:afterAutospacing="0" w:line="240" w:lineRule="atLeast"/>
              <w:ind w:left="0" w:right="0" w:firstLine="90" w:firstLineChars="50"/>
              <w:jc w:val="left"/>
              <w:rPr>
                <w:rFonts w:hint="eastAsia" w:ascii="宋体" w:hAnsi="宋体"/>
                <w:color w:val="auto"/>
                <w:sz w:val="18"/>
                <w:szCs w:val="18"/>
              </w:rPr>
            </w:pPr>
            <w:r>
              <w:rPr>
                <w:rFonts w:hint="eastAsia" w:ascii="宋体" w:hAnsi="宋体"/>
                <w:color w:val="auto"/>
                <w:sz w:val="18"/>
                <w:szCs w:val="18"/>
              </w:rPr>
              <w:t>控股情况   □    1国有控股   2 集体控股   3 私人控股   4 港澳台商控股   5 外商控股   9 其他</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43" w:type="dxa"/>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eastAsia" w:ascii="宋体" w:hAnsi="宋体"/>
                <w:b/>
                <w:color w:val="auto"/>
                <w:sz w:val="18"/>
                <w:szCs w:val="18"/>
              </w:rPr>
            </w:pPr>
            <w:r>
              <w:rPr>
                <w:rFonts w:hint="eastAsia" w:ascii="宋体" w:hAnsi="宋体"/>
                <w:b/>
                <w:color w:val="auto"/>
                <w:sz w:val="18"/>
                <w:szCs w:val="18"/>
              </w:rPr>
              <w:t>07</w:t>
            </w:r>
          </w:p>
        </w:tc>
        <w:tc>
          <w:tcPr>
            <w:tcW w:w="9030" w:type="dxa"/>
            <w:gridSpan w:val="5"/>
            <w:noWrap w:val="0"/>
            <w:vAlign w:val="center"/>
          </w:tcPr>
          <w:p>
            <w:pPr>
              <w:keepNext w:val="0"/>
              <w:keepLines w:val="0"/>
              <w:suppressLineNumbers w:val="0"/>
              <w:spacing w:before="0" w:beforeAutospacing="0" w:after="0" w:afterAutospacing="0" w:line="240" w:lineRule="atLeast"/>
              <w:ind w:left="0" w:right="0" w:firstLine="90" w:firstLineChars="50"/>
              <w:rPr>
                <w:rFonts w:hint="eastAsia" w:ascii="宋体" w:hAnsi="宋体"/>
                <w:color w:val="auto"/>
                <w:sz w:val="18"/>
                <w:szCs w:val="18"/>
              </w:rPr>
            </w:pPr>
            <w:r>
              <w:rPr>
                <w:rFonts w:hint="eastAsia" w:ascii="宋体" w:hAnsi="宋体"/>
                <w:color w:val="auto"/>
                <w:sz w:val="18"/>
                <w:szCs w:val="18"/>
              </w:rPr>
              <w:t>隶属关系   □□ 10 中央     11 地方    90 其他</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43" w:type="dxa"/>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eastAsia" w:ascii="宋体" w:hAnsi="宋体"/>
                <w:b/>
                <w:color w:val="auto"/>
                <w:sz w:val="18"/>
                <w:szCs w:val="18"/>
              </w:rPr>
            </w:pPr>
            <w:r>
              <w:rPr>
                <w:rFonts w:hint="eastAsia" w:ascii="宋体" w:hAnsi="宋体"/>
                <w:b/>
                <w:color w:val="auto"/>
                <w:sz w:val="18"/>
                <w:szCs w:val="18"/>
              </w:rPr>
              <w:t>08</w:t>
            </w:r>
          </w:p>
        </w:tc>
        <w:tc>
          <w:tcPr>
            <w:tcW w:w="1108"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color w:val="auto"/>
                <w:sz w:val="18"/>
                <w:szCs w:val="18"/>
              </w:rPr>
            </w:pPr>
            <w:r>
              <w:rPr>
                <w:rFonts w:hint="eastAsia" w:ascii="宋体" w:hAnsi="宋体"/>
                <w:color w:val="auto"/>
                <w:sz w:val="18"/>
                <w:szCs w:val="18"/>
              </w:rPr>
              <w:t>建设性质</w:t>
            </w:r>
          </w:p>
        </w:tc>
        <w:tc>
          <w:tcPr>
            <w:tcW w:w="7922" w:type="dxa"/>
            <w:gridSpan w:val="4"/>
            <w:noWrap w:val="0"/>
            <w:vAlign w:val="center"/>
          </w:tcPr>
          <w:p>
            <w:pPr>
              <w:keepNext w:val="0"/>
              <w:keepLines w:val="0"/>
              <w:suppressLineNumbers w:val="0"/>
              <w:adjustRightInd w:val="0"/>
              <w:snapToGrid w:val="0"/>
              <w:spacing w:before="0" w:beforeAutospacing="0" w:after="0" w:afterAutospacing="0" w:line="240" w:lineRule="atLeast"/>
              <w:ind w:left="0" w:right="0" w:firstLine="82" w:firstLineChars="50"/>
              <w:rPr>
                <w:rFonts w:hint="eastAsia" w:ascii="宋体" w:hAnsi="宋体"/>
                <w:color w:val="auto"/>
                <w:sz w:val="18"/>
                <w:szCs w:val="18"/>
              </w:rPr>
            </w:pPr>
            <w:r>
              <w:rPr>
                <w:rFonts w:hint="eastAsia" w:ascii="宋体" w:hAnsi="宋体"/>
                <w:color w:val="auto"/>
                <w:spacing w:val="-8"/>
                <w:sz w:val="18"/>
                <w:szCs w:val="18"/>
              </w:rPr>
              <w:t xml:space="preserve">□   </w:t>
            </w:r>
            <w:r>
              <w:rPr>
                <w:rFonts w:hint="eastAsia" w:ascii="宋体" w:hAnsi="宋体"/>
                <w:color w:val="auto"/>
                <w:sz w:val="18"/>
                <w:szCs w:val="18"/>
              </w:rPr>
              <w:t>1 新建  2扩建  3改建和技术改造  4单纯建造生活设施  5迁建  6恢复  7单纯购置</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040" w:hRule="atLeast"/>
          <w:jc w:val="center"/>
        </w:trPr>
        <w:tc>
          <w:tcPr>
            <w:tcW w:w="543" w:type="dxa"/>
            <w:vMerge w:val="restart"/>
            <w:tcBorders>
              <w:top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eastAsia" w:ascii="宋体" w:hAnsi="宋体"/>
                <w:b/>
                <w:color w:val="auto"/>
                <w:sz w:val="18"/>
                <w:szCs w:val="18"/>
              </w:rPr>
            </w:pPr>
            <w:r>
              <w:rPr>
                <w:rFonts w:hint="eastAsia" w:ascii="宋体" w:hAnsi="宋体"/>
                <w:b/>
                <w:color w:val="auto"/>
                <w:sz w:val="18"/>
                <w:szCs w:val="18"/>
              </w:rPr>
              <w:t>09</w:t>
            </w:r>
          </w:p>
        </w:tc>
        <w:tc>
          <w:tcPr>
            <w:tcW w:w="1108" w:type="dxa"/>
            <w:vMerge w:val="restart"/>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color w:val="auto"/>
                <w:sz w:val="18"/>
                <w:szCs w:val="18"/>
              </w:rPr>
            </w:pPr>
            <w:r>
              <w:rPr>
                <w:rFonts w:hint="eastAsia" w:ascii="宋体" w:hAnsi="宋体"/>
                <w:color w:val="auto"/>
                <w:sz w:val="18"/>
                <w:szCs w:val="18"/>
              </w:rPr>
              <w:t>项目类别</w:t>
            </w:r>
          </w:p>
        </w:tc>
        <w:tc>
          <w:tcPr>
            <w:tcW w:w="2775" w:type="dxa"/>
            <w:vMerge w:val="restart"/>
            <w:noWrap w:val="0"/>
            <w:vAlign w:val="center"/>
          </w:tcPr>
          <w:p>
            <w:pPr>
              <w:keepNext w:val="0"/>
              <w:keepLines w:val="0"/>
              <w:suppressLineNumbers w:val="0"/>
              <w:adjustRightInd w:val="0"/>
              <w:snapToGrid w:val="0"/>
              <w:spacing w:before="0" w:beforeAutospacing="0" w:after="0" w:afterAutospacing="0" w:line="240" w:lineRule="atLeast"/>
              <w:ind w:left="210" w:leftChars="100" w:right="0"/>
              <w:rPr>
                <w:rFonts w:hint="eastAsia" w:ascii="宋体" w:hAnsi="宋体"/>
                <w:color w:val="auto"/>
                <w:sz w:val="18"/>
                <w:szCs w:val="18"/>
              </w:rPr>
            </w:pPr>
            <w:r>
              <w:rPr>
                <w:rFonts w:hint="eastAsia" w:ascii="宋体" w:hAnsi="宋体"/>
                <w:color w:val="auto"/>
                <w:sz w:val="18"/>
                <w:szCs w:val="18"/>
              </w:rPr>
              <w:t>□1  工业企业技术改造项目</w:t>
            </w:r>
          </w:p>
          <w:p>
            <w:pPr>
              <w:keepNext w:val="0"/>
              <w:keepLines w:val="0"/>
              <w:suppressLineNumbers w:val="0"/>
              <w:adjustRightInd w:val="0"/>
              <w:snapToGrid w:val="0"/>
              <w:spacing w:before="0" w:beforeAutospacing="0" w:after="0" w:afterAutospacing="0" w:line="240" w:lineRule="atLeast"/>
              <w:ind w:left="210" w:leftChars="100" w:right="0"/>
              <w:rPr>
                <w:rFonts w:hint="eastAsia" w:ascii="宋体" w:hAnsi="宋体"/>
                <w:color w:val="auto"/>
                <w:sz w:val="18"/>
                <w:szCs w:val="18"/>
              </w:rPr>
            </w:pPr>
            <w:r>
              <w:rPr>
                <w:rFonts w:hint="eastAsia" w:ascii="宋体" w:hAnsi="宋体"/>
                <w:color w:val="auto"/>
                <w:sz w:val="18"/>
                <w:szCs w:val="18"/>
              </w:rPr>
              <w:t>□2  保障性住房项目</w:t>
            </w:r>
          </w:p>
          <w:p>
            <w:pPr>
              <w:keepNext w:val="0"/>
              <w:keepLines w:val="0"/>
              <w:suppressLineNumbers w:val="0"/>
              <w:adjustRightInd w:val="0"/>
              <w:snapToGrid w:val="0"/>
              <w:spacing w:before="0" w:beforeAutospacing="0" w:after="0" w:afterAutospacing="0" w:line="240" w:lineRule="atLeast"/>
              <w:ind w:left="210" w:leftChars="100" w:right="0"/>
              <w:rPr>
                <w:rFonts w:hint="eastAsia" w:ascii="宋体" w:hAnsi="宋体"/>
                <w:color w:val="auto"/>
                <w:sz w:val="18"/>
                <w:szCs w:val="18"/>
              </w:rPr>
            </w:pPr>
            <w:r>
              <w:rPr>
                <w:rFonts w:hint="eastAsia" w:ascii="宋体" w:hAnsi="宋体"/>
                <w:color w:val="auto"/>
                <w:sz w:val="18"/>
                <w:szCs w:val="18"/>
              </w:rPr>
              <w:t>□3  涉农项目</w:t>
            </w:r>
          </w:p>
          <w:p>
            <w:pPr>
              <w:keepNext w:val="0"/>
              <w:keepLines w:val="0"/>
              <w:suppressLineNumbers w:val="0"/>
              <w:adjustRightInd w:val="0"/>
              <w:snapToGrid w:val="0"/>
              <w:spacing w:before="0" w:beforeAutospacing="0" w:after="0" w:afterAutospacing="0" w:line="240" w:lineRule="atLeast"/>
              <w:ind w:left="210" w:leftChars="100" w:right="0"/>
              <w:rPr>
                <w:rFonts w:hint="default" w:ascii="宋体" w:hAnsi="宋体"/>
                <w:color w:val="auto"/>
                <w:sz w:val="18"/>
                <w:szCs w:val="18"/>
              </w:rPr>
            </w:pPr>
            <w:r>
              <w:rPr>
                <w:rFonts w:hint="eastAsia" w:ascii="宋体" w:hAnsi="宋体"/>
                <w:color w:val="auto"/>
                <w:sz w:val="18"/>
                <w:szCs w:val="18"/>
              </w:rPr>
              <w:t xml:space="preserve">□4 </w:t>
            </w:r>
            <w:r>
              <w:rPr>
                <w:rFonts w:hint="default" w:ascii="宋体" w:hAnsi="宋体"/>
                <w:color w:val="auto"/>
                <w:sz w:val="18"/>
                <w:szCs w:val="18"/>
              </w:rPr>
              <w:t xml:space="preserve"> </w:t>
            </w:r>
            <w:r>
              <w:rPr>
                <w:rFonts w:hint="eastAsia" w:ascii="宋体" w:hAnsi="宋体"/>
                <w:color w:val="auto"/>
                <w:sz w:val="18"/>
                <w:szCs w:val="18"/>
              </w:rPr>
              <w:t>老旧小区改造项目</w:t>
            </w:r>
          </w:p>
          <w:p>
            <w:pPr>
              <w:keepNext w:val="0"/>
              <w:keepLines w:val="0"/>
              <w:suppressLineNumbers w:val="0"/>
              <w:adjustRightInd w:val="0"/>
              <w:snapToGrid w:val="0"/>
              <w:spacing w:before="0" w:beforeAutospacing="0" w:after="0" w:afterAutospacing="0" w:line="240" w:lineRule="atLeast"/>
              <w:ind w:left="210" w:leftChars="100" w:right="0"/>
              <w:rPr>
                <w:rFonts w:hint="default" w:ascii="宋体" w:hAnsi="宋体"/>
                <w:color w:val="auto"/>
                <w:sz w:val="18"/>
                <w:szCs w:val="18"/>
              </w:rPr>
            </w:pPr>
            <w:r>
              <w:rPr>
                <w:rFonts w:hint="eastAsia" w:ascii="宋体" w:hAnsi="宋体"/>
                <w:color w:val="auto"/>
                <w:sz w:val="18"/>
                <w:szCs w:val="18"/>
              </w:rPr>
              <w:t>□</w:t>
            </w:r>
            <w:r>
              <w:rPr>
                <w:rFonts w:hint="default" w:ascii="宋体" w:hAnsi="宋体"/>
                <w:color w:val="auto"/>
                <w:sz w:val="18"/>
                <w:szCs w:val="18"/>
              </w:rPr>
              <w:t>5  信息类新型基础设施项目</w:t>
            </w:r>
          </w:p>
          <w:p>
            <w:pPr>
              <w:keepNext w:val="0"/>
              <w:keepLines w:val="0"/>
              <w:suppressLineNumbers w:val="0"/>
              <w:adjustRightInd w:val="0"/>
              <w:snapToGrid w:val="0"/>
              <w:spacing w:before="0" w:beforeAutospacing="0" w:after="0" w:afterAutospacing="0" w:line="240" w:lineRule="atLeast"/>
              <w:ind w:left="210" w:leftChars="100" w:right="0"/>
              <w:rPr>
                <w:rFonts w:hint="default" w:ascii="宋体" w:hAnsi="宋体"/>
                <w:color w:val="auto"/>
                <w:sz w:val="18"/>
                <w:szCs w:val="18"/>
              </w:rPr>
            </w:pPr>
            <w:r>
              <w:rPr>
                <w:rFonts w:hint="eastAsia" w:ascii="宋体" w:hAnsi="宋体"/>
                <w:color w:val="auto"/>
                <w:sz w:val="18"/>
                <w:szCs w:val="18"/>
              </w:rPr>
              <w:t>□</w:t>
            </w:r>
            <w:r>
              <w:rPr>
                <w:rFonts w:hint="default" w:ascii="宋体" w:hAnsi="宋体"/>
                <w:color w:val="auto"/>
                <w:sz w:val="18"/>
                <w:szCs w:val="18"/>
              </w:rPr>
              <w:t>6  融合类新型基础设施项目</w:t>
            </w:r>
          </w:p>
          <w:p>
            <w:pPr>
              <w:keepNext w:val="0"/>
              <w:keepLines w:val="0"/>
              <w:suppressLineNumbers w:val="0"/>
              <w:adjustRightInd w:val="0"/>
              <w:snapToGrid w:val="0"/>
              <w:spacing w:before="0" w:beforeAutospacing="0" w:after="0" w:afterAutospacing="0" w:line="240" w:lineRule="atLeast"/>
              <w:ind w:left="210" w:leftChars="100" w:right="0"/>
              <w:rPr>
                <w:rFonts w:hint="default" w:ascii="宋体" w:hAnsi="宋体"/>
                <w:color w:val="auto"/>
                <w:sz w:val="18"/>
                <w:szCs w:val="18"/>
              </w:rPr>
            </w:pPr>
            <w:r>
              <w:rPr>
                <w:rFonts w:hint="eastAsia" w:ascii="宋体" w:hAnsi="宋体"/>
                <w:color w:val="auto"/>
                <w:sz w:val="18"/>
                <w:szCs w:val="18"/>
              </w:rPr>
              <w:t>□</w:t>
            </w:r>
            <w:r>
              <w:rPr>
                <w:rFonts w:hint="default" w:ascii="宋体" w:hAnsi="宋体"/>
                <w:color w:val="auto"/>
                <w:sz w:val="18"/>
                <w:szCs w:val="18"/>
              </w:rPr>
              <w:t>7  创新类新型基础设施项目</w:t>
            </w:r>
          </w:p>
          <w:p>
            <w:pPr>
              <w:keepNext w:val="0"/>
              <w:keepLines w:val="0"/>
              <w:suppressLineNumbers w:val="0"/>
              <w:adjustRightInd w:val="0"/>
              <w:snapToGrid w:val="0"/>
              <w:spacing w:before="0" w:beforeAutospacing="0" w:after="0" w:afterAutospacing="0" w:line="240" w:lineRule="atLeast"/>
              <w:ind w:left="210" w:leftChars="100" w:right="0"/>
              <w:rPr>
                <w:rFonts w:hint="eastAsia" w:ascii="宋体" w:hAnsi="宋体"/>
                <w:color w:val="auto"/>
                <w:sz w:val="18"/>
                <w:szCs w:val="18"/>
              </w:rPr>
            </w:pPr>
            <w:r>
              <w:rPr>
                <w:rFonts w:hint="eastAsia" w:ascii="宋体" w:hAnsi="宋体"/>
                <w:color w:val="auto"/>
                <w:sz w:val="18"/>
                <w:szCs w:val="18"/>
              </w:rPr>
              <w:t>□</w:t>
            </w:r>
            <w:r>
              <w:rPr>
                <w:rFonts w:hint="default" w:ascii="宋体" w:hAnsi="宋体"/>
                <w:color w:val="auto"/>
                <w:sz w:val="18"/>
                <w:szCs w:val="18"/>
              </w:rPr>
              <w:t>9  其他项目</w:t>
            </w:r>
          </w:p>
        </w:tc>
        <w:tc>
          <w:tcPr>
            <w:tcW w:w="475"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b/>
                <w:color w:val="auto"/>
                <w:sz w:val="18"/>
                <w:szCs w:val="18"/>
              </w:rPr>
            </w:pPr>
            <w:r>
              <w:rPr>
                <w:rFonts w:hint="eastAsia" w:ascii="宋体" w:hAnsi="宋体"/>
                <w:b/>
                <w:color w:val="auto"/>
                <w:sz w:val="18"/>
                <w:szCs w:val="18"/>
              </w:rPr>
              <w:t>10</w:t>
            </w:r>
          </w:p>
        </w:tc>
        <w:tc>
          <w:tcPr>
            <w:tcW w:w="1937" w:type="dxa"/>
            <w:noWrap w:val="0"/>
            <w:vAlign w:val="center"/>
          </w:tcPr>
          <w:p>
            <w:pPr>
              <w:keepNext w:val="0"/>
              <w:keepLines w:val="0"/>
              <w:suppressLineNumbers w:val="0"/>
              <w:adjustRightInd w:val="0"/>
              <w:snapToGrid w:val="0"/>
              <w:spacing w:before="0" w:beforeAutospacing="0" w:after="0" w:afterAutospacing="0" w:line="240" w:lineRule="atLeast"/>
              <w:ind w:left="105" w:leftChars="50" w:right="0"/>
              <w:rPr>
                <w:rFonts w:hint="eastAsia" w:ascii="宋体" w:hAnsi="宋体"/>
                <w:color w:val="auto"/>
                <w:sz w:val="18"/>
                <w:szCs w:val="18"/>
              </w:rPr>
            </w:pPr>
            <w:r>
              <w:rPr>
                <w:rFonts w:hint="eastAsia" w:ascii="宋体" w:hAnsi="宋体"/>
                <w:color w:val="auto"/>
                <w:sz w:val="18"/>
                <w:szCs w:val="18"/>
              </w:rPr>
              <w:t>项目开工时间</w:t>
            </w:r>
          </w:p>
        </w:tc>
        <w:tc>
          <w:tcPr>
            <w:tcW w:w="2735"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color w:val="auto"/>
                <w:sz w:val="18"/>
                <w:szCs w:val="18"/>
              </w:rPr>
            </w:pPr>
            <w:r>
              <w:rPr>
                <w:rFonts w:hint="eastAsia" w:ascii="宋体" w:hAnsi="宋体"/>
                <w:color w:val="auto"/>
                <w:spacing w:val="-8"/>
                <w:sz w:val="18"/>
                <w:szCs w:val="18"/>
              </w:rPr>
              <w:t>□□□□年□□月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040" w:hRule="atLeast"/>
          <w:jc w:val="center"/>
        </w:trPr>
        <w:tc>
          <w:tcPr>
            <w:tcW w:w="543" w:type="dxa"/>
            <w:vMerge w:val="continue"/>
            <w:tcBorders>
              <w:bottom w:val="single" w:color="auto" w:sz="2" w:space="0"/>
            </w:tcBorders>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color w:val="auto"/>
              </w:rPr>
            </w:pPr>
          </w:p>
        </w:tc>
        <w:tc>
          <w:tcPr>
            <w:tcW w:w="1108" w:type="dxa"/>
            <w:vMerge w:val="continue"/>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color w:val="auto"/>
              </w:rPr>
            </w:pPr>
          </w:p>
        </w:tc>
        <w:tc>
          <w:tcPr>
            <w:tcW w:w="2775" w:type="dxa"/>
            <w:vMerge w:val="continue"/>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color w:val="auto"/>
              </w:rPr>
            </w:pPr>
          </w:p>
        </w:tc>
        <w:tc>
          <w:tcPr>
            <w:tcW w:w="475"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宋体" w:hAnsi="宋体"/>
                <w:b/>
                <w:color w:val="auto"/>
                <w:sz w:val="18"/>
                <w:szCs w:val="18"/>
              </w:rPr>
            </w:pPr>
            <w:r>
              <w:rPr>
                <w:rFonts w:hint="default" w:ascii="宋体" w:hAnsi="宋体"/>
                <w:b/>
                <w:color w:val="auto"/>
                <w:sz w:val="18"/>
                <w:szCs w:val="18"/>
              </w:rPr>
              <w:t>11</w:t>
            </w:r>
          </w:p>
        </w:tc>
        <w:tc>
          <w:tcPr>
            <w:tcW w:w="1937" w:type="dxa"/>
            <w:noWrap w:val="0"/>
            <w:vAlign w:val="center"/>
          </w:tcPr>
          <w:p>
            <w:pPr>
              <w:keepNext w:val="0"/>
              <w:keepLines w:val="0"/>
              <w:suppressLineNumbers w:val="0"/>
              <w:adjustRightInd w:val="0"/>
              <w:snapToGrid w:val="0"/>
              <w:spacing w:before="0" w:beforeAutospacing="0" w:after="0" w:afterAutospacing="0" w:line="240" w:lineRule="atLeast"/>
              <w:ind w:left="105" w:leftChars="50" w:right="0"/>
              <w:rPr>
                <w:rFonts w:hint="eastAsia" w:ascii="宋体" w:hAnsi="宋体"/>
                <w:b/>
                <w:color w:val="auto"/>
                <w:sz w:val="18"/>
                <w:szCs w:val="18"/>
              </w:rPr>
            </w:pPr>
            <w:r>
              <w:rPr>
                <w:rFonts w:hint="eastAsia" w:ascii="宋体" w:hAnsi="宋体"/>
                <w:color w:val="auto"/>
                <w:sz w:val="18"/>
                <w:szCs w:val="18"/>
              </w:rPr>
              <w:t>本年全部投产时间</w:t>
            </w:r>
          </w:p>
        </w:tc>
        <w:tc>
          <w:tcPr>
            <w:tcW w:w="2735"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b/>
                <w:color w:val="auto"/>
                <w:sz w:val="18"/>
                <w:szCs w:val="18"/>
              </w:rPr>
            </w:pPr>
            <w:r>
              <w:rPr>
                <w:rFonts w:hint="eastAsia" w:ascii="宋体" w:hAnsi="宋体"/>
                <w:color w:val="auto"/>
                <w:spacing w:val="-8"/>
                <w:sz w:val="18"/>
                <w:szCs w:val="18"/>
              </w:rPr>
              <w:t>□□□□年□□月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10" w:hRule="atLeast"/>
          <w:jc w:val="center"/>
        </w:trPr>
        <w:tc>
          <w:tcPr>
            <w:tcW w:w="543" w:type="dxa"/>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宋体" w:hAnsi="宋体"/>
                <w:b/>
                <w:color w:val="auto"/>
                <w:sz w:val="18"/>
                <w:szCs w:val="18"/>
              </w:rPr>
            </w:pPr>
            <w:r>
              <w:rPr>
                <w:rFonts w:hint="eastAsia" w:ascii="宋体" w:hAnsi="宋体"/>
                <w:b/>
                <w:color w:val="auto"/>
                <w:sz w:val="18"/>
                <w:szCs w:val="18"/>
              </w:rPr>
              <w:t>1</w:t>
            </w:r>
            <w:r>
              <w:rPr>
                <w:rFonts w:hint="default" w:ascii="宋体" w:hAnsi="宋体"/>
                <w:b/>
                <w:color w:val="auto"/>
                <w:sz w:val="18"/>
                <w:szCs w:val="18"/>
              </w:rPr>
              <w:t>2</w:t>
            </w:r>
          </w:p>
        </w:tc>
        <w:tc>
          <w:tcPr>
            <w:tcW w:w="1108"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宋体" w:hAnsi="宋体"/>
                <w:color w:val="auto"/>
                <w:sz w:val="18"/>
                <w:szCs w:val="18"/>
              </w:rPr>
            </w:pPr>
            <w:r>
              <w:rPr>
                <w:rFonts w:hint="eastAsia" w:ascii="宋体" w:hAnsi="宋体"/>
                <w:color w:val="auto"/>
                <w:sz w:val="18"/>
                <w:szCs w:val="18"/>
              </w:rPr>
              <w:t>期末项目建设状态</w:t>
            </w:r>
          </w:p>
        </w:tc>
        <w:tc>
          <w:tcPr>
            <w:tcW w:w="2775" w:type="dxa"/>
            <w:noWrap w:val="0"/>
            <w:vAlign w:val="center"/>
          </w:tcPr>
          <w:p>
            <w:pPr>
              <w:keepNext w:val="0"/>
              <w:keepLines w:val="0"/>
              <w:suppressLineNumbers w:val="0"/>
              <w:adjustRightInd w:val="0"/>
              <w:snapToGrid w:val="0"/>
              <w:spacing w:before="0" w:beforeAutospacing="0" w:after="0" w:afterAutospacing="0" w:line="240" w:lineRule="atLeast"/>
              <w:ind w:left="0" w:right="0" w:firstLine="90" w:firstLineChars="50"/>
              <w:rPr>
                <w:rFonts w:hint="eastAsia" w:ascii="宋体" w:hAnsi="宋体"/>
                <w:color w:val="auto"/>
                <w:sz w:val="18"/>
                <w:szCs w:val="18"/>
              </w:rPr>
            </w:pPr>
            <w:r>
              <w:rPr>
                <w:rFonts w:hint="eastAsia" w:ascii="宋体" w:hAnsi="宋体"/>
                <w:color w:val="auto"/>
                <w:sz w:val="18"/>
                <w:szCs w:val="18"/>
                <w:lang w:eastAsia="zh-CN"/>
              </w:rPr>
              <w:t>□</w:t>
            </w:r>
            <w:r>
              <w:rPr>
                <w:rFonts w:hint="default" w:ascii="宋体" w:hAnsi="宋体"/>
                <w:color w:val="auto"/>
                <w:sz w:val="18"/>
                <w:szCs w:val="18"/>
              </w:rPr>
              <w:t xml:space="preserve"> 1</w:t>
            </w:r>
            <w:r>
              <w:rPr>
                <w:rFonts w:hint="eastAsia" w:ascii="宋体" w:hAnsi="宋体"/>
                <w:color w:val="auto"/>
                <w:sz w:val="18"/>
                <w:szCs w:val="18"/>
              </w:rPr>
              <w:t>在建2全部投产3全部停缓建</w:t>
            </w:r>
          </w:p>
        </w:tc>
        <w:tc>
          <w:tcPr>
            <w:tcW w:w="475" w:type="dxa"/>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宋体" w:hAnsi="宋体"/>
                <w:b/>
                <w:color w:val="auto"/>
                <w:sz w:val="18"/>
                <w:szCs w:val="18"/>
              </w:rPr>
            </w:pPr>
            <w:r>
              <w:rPr>
                <w:rFonts w:hint="eastAsia" w:ascii="宋体" w:hAnsi="宋体"/>
                <w:b/>
                <w:color w:val="auto"/>
                <w:sz w:val="18"/>
                <w:szCs w:val="18"/>
              </w:rPr>
              <w:t>1</w:t>
            </w:r>
            <w:r>
              <w:rPr>
                <w:rFonts w:hint="default" w:ascii="宋体" w:hAnsi="宋体"/>
                <w:b/>
                <w:color w:val="auto"/>
                <w:sz w:val="18"/>
                <w:szCs w:val="18"/>
              </w:rPr>
              <w:t>3</w:t>
            </w:r>
          </w:p>
        </w:tc>
        <w:tc>
          <w:tcPr>
            <w:tcW w:w="1937" w:type="dxa"/>
            <w:noWrap w:val="0"/>
            <w:vAlign w:val="center"/>
          </w:tcPr>
          <w:p>
            <w:pPr>
              <w:keepNext w:val="0"/>
              <w:keepLines w:val="0"/>
              <w:suppressLineNumbers w:val="0"/>
              <w:adjustRightInd w:val="0"/>
              <w:snapToGrid w:val="0"/>
              <w:spacing w:before="0" w:beforeAutospacing="0" w:after="0" w:afterAutospacing="0" w:line="240" w:lineRule="atLeast"/>
              <w:ind w:left="105" w:leftChars="50" w:right="0"/>
              <w:rPr>
                <w:rFonts w:hint="eastAsia" w:ascii="宋体" w:hAnsi="宋体"/>
                <w:color w:val="auto"/>
                <w:sz w:val="18"/>
                <w:szCs w:val="18"/>
              </w:rPr>
            </w:pPr>
            <w:r>
              <w:rPr>
                <w:rFonts w:hint="eastAsia" w:ascii="宋体" w:hAnsi="宋体"/>
                <w:color w:val="auto"/>
                <w:sz w:val="18"/>
                <w:szCs w:val="18"/>
              </w:rPr>
              <w:t>是否为三新项目</w:t>
            </w:r>
          </w:p>
        </w:tc>
        <w:tc>
          <w:tcPr>
            <w:tcW w:w="2735" w:type="dxa"/>
            <w:noWrap w:val="0"/>
            <w:vAlign w:val="center"/>
          </w:tcPr>
          <w:p>
            <w:pPr>
              <w:keepNext w:val="0"/>
              <w:keepLines w:val="0"/>
              <w:suppressLineNumbers w:val="0"/>
              <w:adjustRightInd w:val="0"/>
              <w:snapToGrid w:val="0"/>
              <w:spacing w:before="0" w:beforeAutospacing="0" w:after="0" w:afterAutospacing="0" w:line="240" w:lineRule="atLeast"/>
              <w:ind w:left="0" w:right="0" w:firstLine="90" w:firstLineChars="50"/>
              <w:rPr>
                <w:rFonts w:hint="eastAsia" w:ascii="宋体" w:hAnsi="宋体"/>
                <w:color w:val="auto"/>
                <w:sz w:val="18"/>
                <w:szCs w:val="18"/>
              </w:rPr>
            </w:pPr>
            <w:r>
              <w:rPr>
                <w:rFonts w:hint="eastAsia" w:ascii="宋体" w:hAnsi="宋体"/>
                <w:color w:val="auto"/>
                <w:sz w:val="18"/>
                <w:szCs w:val="18"/>
              </w:rPr>
              <w:t>□</w:t>
            </w:r>
            <w:r>
              <w:rPr>
                <w:rFonts w:hint="default" w:ascii="宋体" w:hAnsi="宋体"/>
                <w:color w:val="auto"/>
                <w:sz w:val="18"/>
                <w:szCs w:val="18"/>
              </w:rPr>
              <w:t xml:space="preserve"> </w:t>
            </w:r>
            <w:r>
              <w:rPr>
                <w:rFonts w:hint="eastAsia" w:ascii="宋体" w:hAnsi="宋体"/>
                <w:color w:val="auto"/>
                <w:sz w:val="18"/>
                <w:szCs w:val="18"/>
              </w:rPr>
              <w:t xml:space="preserve">1 是  </w:t>
            </w:r>
            <w:r>
              <w:rPr>
                <w:rFonts w:hint="default" w:ascii="宋体" w:hAnsi="宋体"/>
                <w:color w:val="auto"/>
                <w:sz w:val="18"/>
                <w:szCs w:val="18"/>
              </w:rPr>
              <w:t xml:space="preserve"> </w:t>
            </w:r>
            <w:r>
              <w:rPr>
                <w:rFonts w:hint="eastAsia" w:ascii="宋体" w:hAnsi="宋体"/>
                <w:color w:val="auto"/>
                <w:sz w:val="18"/>
                <w:szCs w:val="18"/>
              </w:rPr>
              <w:t>2 否</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6" w:hRule="atLeast"/>
          <w:jc w:val="center"/>
        </w:trPr>
        <w:tc>
          <w:tcPr>
            <w:tcW w:w="543" w:type="dxa"/>
            <w:tcBorders>
              <w:top w:val="single" w:color="auto" w:sz="2" w:space="0"/>
              <w:bottom w:val="single" w:color="auto" w:sz="2" w:space="0"/>
            </w:tcBorders>
            <w:noWrap w:val="0"/>
            <w:vAlign w:val="center"/>
          </w:tcPr>
          <w:p>
            <w:pPr>
              <w:keepNext w:val="0"/>
              <w:keepLines w:val="0"/>
              <w:suppressLineNumbers w:val="0"/>
              <w:adjustRightInd w:val="0"/>
              <w:snapToGrid w:val="0"/>
              <w:spacing w:before="0" w:beforeAutospacing="0" w:after="0" w:afterAutospacing="0" w:line="340" w:lineRule="exact"/>
              <w:ind w:left="0" w:right="0"/>
              <w:jc w:val="center"/>
              <w:rPr>
                <w:rFonts w:hint="default" w:ascii="宋体" w:hAnsi="宋体"/>
                <w:b/>
                <w:color w:val="auto"/>
                <w:sz w:val="18"/>
                <w:szCs w:val="18"/>
              </w:rPr>
            </w:pPr>
            <w:r>
              <w:rPr>
                <w:rFonts w:hint="eastAsia" w:ascii="宋体" w:hAnsi="宋体"/>
                <w:b/>
                <w:color w:val="auto"/>
                <w:sz w:val="18"/>
                <w:szCs w:val="18"/>
              </w:rPr>
              <w:t>1</w:t>
            </w:r>
            <w:r>
              <w:rPr>
                <w:rFonts w:hint="default" w:ascii="宋体" w:hAnsi="宋体"/>
                <w:b/>
                <w:color w:val="auto"/>
                <w:sz w:val="18"/>
                <w:szCs w:val="18"/>
              </w:rPr>
              <w:t>4</w:t>
            </w:r>
          </w:p>
        </w:tc>
        <w:tc>
          <w:tcPr>
            <w:tcW w:w="1108" w:type="dxa"/>
            <w:tcBorders>
              <w:bottom w:val="single" w:color="auto" w:sz="2" w:space="0"/>
            </w:tcBorders>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color w:val="auto"/>
                <w:sz w:val="18"/>
                <w:szCs w:val="18"/>
              </w:rPr>
            </w:pPr>
            <w:r>
              <w:rPr>
                <w:rFonts w:hint="eastAsia" w:ascii="宋体" w:hAnsi="宋体"/>
                <w:color w:val="auto"/>
                <w:sz w:val="18"/>
                <w:szCs w:val="18"/>
              </w:rPr>
              <w:t>是否为政府专项债项目</w:t>
            </w:r>
          </w:p>
        </w:tc>
        <w:tc>
          <w:tcPr>
            <w:tcW w:w="2775" w:type="dxa"/>
            <w:tcBorders>
              <w:bottom w:val="single" w:color="auto" w:sz="2" w:space="0"/>
            </w:tcBorders>
            <w:noWrap w:val="0"/>
            <w:vAlign w:val="center"/>
          </w:tcPr>
          <w:p>
            <w:pPr>
              <w:keepNext w:val="0"/>
              <w:keepLines w:val="0"/>
              <w:suppressLineNumbers w:val="0"/>
              <w:adjustRightInd w:val="0"/>
              <w:snapToGrid w:val="0"/>
              <w:spacing w:before="0" w:beforeAutospacing="0" w:after="0" w:afterAutospacing="0" w:line="240" w:lineRule="atLeast"/>
              <w:ind w:left="0" w:right="0" w:firstLine="90" w:firstLineChars="50"/>
              <w:rPr>
                <w:rFonts w:hint="eastAsia" w:ascii="宋体" w:hAnsi="宋体"/>
                <w:color w:val="auto"/>
                <w:sz w:val="18"/>
                <w:szCs w:val="18"/>
              </w:rPr>
            </w:pPr>
            <w:r>
              <w:rPr>
                <w:rFonts w:hint="eastAsia" w:ascii="宋体" w:hAnsi="宋体"/>
                <w:color w:val="auto"/>
                <w:sz w:val="18"/>
                <w:szCs w:val="18"/>
                <w:lang w:eastAsia="zh-CN"/>
              </w:rPr>
              <w:t>□</w:t>
            </w:r>
            <w:r>
              <w:rPr>
                <w:rFonts w:hint="default" w:ascii="宋体" w:hAnsi="宋体"/>
                <w:color w:val="auto"/>
                <w:sz w:val="18"/>
                <w:szCs w:val="18"/>
              </w:rPr>
              <w:t xml:space="preserve"> </w:t>
            </w:r>
            <w:r>
              <w:rPr>
                <w:rFonts w:hint="eastAsia" w:ascii="宋体" w:hAnsi="宋体"/>
                <w:color w:val="auto"/>
                <w:sz w:val="18"/>
                <w:szCs w:val="18"/>
              </w:rPr>
              <w:t>1 是  2 否</w:t>
            </w:r>
          </w:p>
        </w:tc>
        <w:tc>
          <w:tcPr>
            <w:tcW w:w="475" w:type="dxa"/>
            <w:tcBorders>
              <w:bottom w:val="single" w:color="auto" w:sz="2" w:space="0"/>
            </w:tcBorders>
            <w:noWrap w:val="0"/>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宋体" w:hAnsi="宋体"/>
                <w:b/>
                <w:color w:val="auto"/>
                <w:sz w:val="18"/>
                <w:szCs w:val="18"/>
              </w:rPr>
            </w:pPr>
            <w:r>
              <w:rPr>
                <w:rFonts w:hint="eastAsia" w:ascii="宋体" w:hAnsi="宋体"/>
                <w:b/>
                <w:color w:val="auto"/>
                <w:sz w:val="18"/>
                <w:szCs w:val="18"/>
              </w:rPr>
              <w:t>1</w:t>
            </w:r>
            <w:r>
              <w:rPr>
                <w:rFonts w:hint="default" w:ascii="宋体" w:hAnsi="宋体"/>
                <w:b/>
                <w:color w:val="auto"/>
                <w:sz w:val="18"/>
                <w:szCs w:val="18"/>
              </w:rPr>
              <w:t>5</w:t>
            </w:r>
          </w:p>
        </w:tc>
        <w:tc>
          <w:tcPr>
            <w:tcW w:w="1937" w:type="dxa"/>
            <w:tcBorders>
              <w:bottom w:val="single" w:color="auto" w:sz="2" w:space="0"/>
            </w:tcBorders>
            <w:noWrap w:val="0"/>
            <w:vAlign w:val="center"/>
          </w:tcPr>
          <w:p>
            <w:pPr>
              <w:keepNext w:val="0"/>
              <w:keepLines w:val="0"/>
              <w:suppressLineNumbers w:val="0"/>
              <w:adjustRightInd w:val="0"/>
              <w:snapToGrid w:val="0"/>
              <w:spacing w:before="0" w:beforeAutospacing="0" w:after="0" w:afterAutospacing="0" w:line="240" w:lineRule="atLeast"/>
              <w:ind w:left="105" w:leftChars="50" w:right="0"/>
              <w:rPr>
                <w:rFonts w:hint="eastAsia" w:ascii="宋体" w:hAnsi="宋体"/>
                <w:color w:val="auto"/>
                <w:sz w:val="18"/>
                <w:szCs w:val="18"/>
              </w:rPr>
            </w:pPr>
            <w:r>
              <w:rPr>
                <w:rFonts w:hint="default" w:ascii="宋体" w:hAnsi="宋体"/>
                <w:color w:val="auto"/>
                <w:sz w:val="18"/>
                <w:szCs w:val="18"/>
              </w:rPr>
              <w:t>建筑</w:t>
            </w:r>
            <w:r>
              <w:rPr>
                <w:rFonts w:hint="eastAsia" w:ascii="宋体" w:hAnsi="宋体"/>
                <w:color w:val="auto"/>
                <w:sz w:val="18"/>
                <w:szCs w:val="18"/>
              </w:rPr>
              <w:t>安装工程填报依据</w:t>
            </w:r>
          </w:p>
        </w:tc>
        <w:tc>
          <w:tcPr>
            <w:tcW w:w="2735" w:type="dxa"/>
            <w:tcBorders>
              <w:bottom w:val="single" w:color="auto" w:sz="2" w:space="0"/>
            </w:tcBorders>
            <w:noWrap w:val="0"/>
            <w:vAlign w:val="center"/>
          </w:tcPr>
          <w:p>
            <w:pPr>
              <w:keepNext w:val="0"/>
              <w:keepLines w:val="0"/>
              <w:suppressLineNumbers w:val="0"/>
              <w:adjustRightInd w:val="0"/>
              <w:snapToGrid w:val="0"/>
              <w:spacing w:before="0" w:beforeAutospacing="0" w:after="0" w:afterAutospacing="0" w:line="240" w:lineRule="atLeast"/>
              <w:ind w:left="0" w:right="0" w:firstLine="90" w:firstLineChars="50"/>
              <w:rPr>
                <w:rFonts w:hint="eastAsia" w:ascii="宋体" w:hAnsi="宋体"/>
                <w:color w:val="auto"/>
                <w:sz w:val="18"/>
                <w:szCs w:val="18"/>
              </w:rPr>
            </w:pPr>
            <w:r>
              <w:rPr>
                <w:rFonts w:hint="eastAsia" w:ascii="宋体" w:hAnsi="宋体"/>
                <w:color w:val="auto"/>
                <w:sz w:val="18"/>
                <w:szCs w:val="18"/>
              </w:rPr>
              <w:t xml:space="preserve">□ 1 工程结算单或进度单    </w:t>
            </w:r>
          </w:p>
          <w:p>
            <w:pPr>
              <w:keepNext w:val="0"/>
              <w:keepLines w:val="0"/>
              <w:suppressLineNumbers w:val="0"/>
              <w:adjustRightInd w:val="0"/>
              <w:snapToGrid w:val="0"/>
              <w:spacing w:before="0" w:beforeAutospacing="0" w:after="0" w:afterAutospacing="0" w:line="240" w:lineRule="atLeast"/>
              <w:ind w:left="0" w:right="0" w:firstLine="360" w:firstLineChars="200"/>
              <w:rPr>
                <w:rFonts w:hint="eastAsia" w:ascii="宋体" w:hAnsi="宋体"/>
                <w:color w:val="auto"/>
                <w:sz w:val="18"/>
                <w:szCs w:val="18"/>
              </w:rPr>
            </w:pPr>
            <w:r>
              <w:rPr>
                <w:rFonts w:hint="eastAsia" w:ascii="宋体" w:hAnsi="宋体"/>
                <w:color w:val="auto"/>
                <w:sz w:val="18"/>
                <w:szCs w:val="18"/>
              </w:rPr>
              <w:t>2 会计科目或支付凭证</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29" w:hRule="atLeast"/>
          <w:jc w:val="center"/>
        </w:trPr>
        <w:tc>
          <w:tcPr>
            <w:tcW w:w="543" w:type="dxa"/>
            <w:tcBorders>
              <w:top w:val="single" w:color="auto" w:sz="2" w:space="0"/>
              <w:bottom w:val="single" w:color="auto" w:sz="8" w:space="0"/>
            </w:tcBorders>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b/>
                <w:color w:val="auto"/>
                <w:sz w:val="18"/>
                <w:szCs w:val="18"/>
              </w:rPr>
            </w:pPr>
            <w:r>
              <w:rPr>
                <w:rFonts w:hint="eastAsia" w:ascii="宋体" w:hAnsi="宋体"/>
                <w:b/>
                <w:color w:val="auto"/>
                <w:sz w:val="18"/>
                <w:szCs w:val="18"/>
              </w:rPr>
              <w:t>1</w:t>
            </w:r>
            <w:r>
              <w:rPr>
                <w:rFonts w:hint="default" w:ascii="宋体" w:hAnsi="宋体"/>
                <w:b/>
                <w:color w:val="auto"/>
                <w:sz w:val="18"/>
                <w:szCs w:val="18"/>
              </w:rPr>
              <w:t>6</w:t>
            </w:r>
          </w:p>
        </w:tc>
        <w:tc>
          <w:tcPr>
            <w:tcW w:w="9030" w:type="dxa"/>
            <w:gridSpan w:val="5"/>
            <w:tcBorders>
              <w:top w:val="single" w:color="auto" w:sz="2" w:space="0"/>
              <w:bottom w:val="single" w:color="auto" w:sz="8" w:space="0"/>
            </w:tcBorders>
            <w:noWrap w:val="0"/>
            <w:vAlign w:val="center"/>
          </w:tcPr>
          <w:p>
            <w:pPr>
              <w:keepNext w:val="0"/>
              <w:keepLines w:val="0"/>
              <w:suppressLineNumbers w:val="0"/>
              <w:adjustRightInd w:val="0"/>
              <w:snapToGrid w:val="0"/>
              <w:spacing w:before="0" w:beforeAutospacing="0" w:after="0" w:afterAutospacing="0"/>
              <w:ind w:left="0" w:right="0" w:firstLine="90" w:firstLineChars="50"/>
              <w:rPr>
                <w:rFonts w:hint="default" w:ascii="宋体" w:hAnsi="宋体"/>
                <w:color w:val="auto"/>
                <w:sz w:val="18"/>
                <w:szCs w:val="18"/>
              </w:rPr>
            </w:pPr>
            <w:r>
              <w:rPr>
                <w:rFonts w:hint="eastAsia" w:ascii="宋体" w:hAnsi="宋体"/>
                <w:color w:val="auto"/>
                <w:sz w:val="18"/>
                <w:szCs w:val="18"/>
              </w:rPr>
              <w:t xml:space="preserve">民间资本参股比例 </w:t>
            </w:r>
            <w:r>
              <w:rPr>
                <w:rFonts w:hint="default" w:ascii="宋体" w:hAnsi="宋体"/>
                <w:color w:val="auto"/>
                <w:sz w:val="18"/>
                <w:szCs w:val="18"/>
              </w:rPr>
              <w:t>________________________%</w:t>
            </w:r>
          </w:p>
        </w:tc>
      </w:tr>
    </w:tbl>
    <w:p>
      <w:pPr>
        <w:rPr>
          <w:color w:val="auto"/>
        </w:rPr>
      </w:pPr>
      <w:r>
        <w:rPr>
          <w:color w:val="auto"/>
        </w:rPr>
        <w:br w:type="page"/>
      </w:r>
    </w:p>
    <w:tbl>
      <w:tblPr>
        <w:tblStyle w:val="21"/>
        <w:tblW w:w="9419"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2524"/>
        <w:gridCol w:w="720"/>
        <w:gridCol w:w="720"/>
        <w:gridCol w:w="792"/>
        <w:gridCol w:w="2628"/>
        <w:gridCol w:w="792"/>
        <w:gridCol w:w="540"/>
        <w:gridCol w:w="703"/>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97" w:hRule="exact"/>
          <w:jc w:val="center"/>
        </w:trPr>
        <w:tc>
          <w:tcPr>
            <w:tcW w:w="9419" w:type="dxa"/>
            <w:gridSpan w:val="8"/>
            <w:tcBorders>
              <w:top w:val="single" w:color="auto" w:sz="8" w:space="0"/>
              <w:bottom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 w:val="18"/>
              </w:rPr>
            </w:pPr>
            <w:r>
              <w:rPr>
                <w:rFonts w:hint="eastAsia" w:ascii="宋体" w:hAnsi="宋体"/>
                <w:b/>
                <w:color w:val="auto"/>
                <w:sz w:val="18"/>
                <w:szCs w:val="18"/>
              </w:rPr>
              <w:t>二、项目投资情况</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737" w:hRule="exact"/>
          <w:jc w:val="center"/>
        </w:trPr>
        <w:tc>
          <w:tcPr>
            <w:tcW w:w="2524" w:type="dxa"/>
            <w:tcBorders>
              <w:top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r>
              <w:rPr>
                <w:rFonts w:hint="eastAsia" w:ascii="宋体" w:hAnsi="宋体"/>
                <w:color w:val="auto"/>
                <w:sz w:val="18"/>
              </w:rPr>
              <w:t>指</w:t>
            </w:r>
            <w:r>
              <w:rPr>
                <w:rFonts w:hint="default" w:ascii="宋体" w:hAnsi="宋体"/>
                <w:color w:val="auto"/>
                <w:sz w:val="18"/>
              </w:rPr>
              <w:t>标</w:t>
            </w:r>
            <w:r>
              <w:rPr>
                <w:rFonts w:hint="eastAsia" w:ascii="宋体" w:hAnsi="宋体"/>
                <w:color w:val="auto"/>
                <w:sz w:val="18"/>
              </w:rPr>
              <w:t>名</w:t>
            </w:r>
            <w:r>
              <w:rPr>
                <w:rFonts w:hint="default" w:ascii="宋体" w:hAnsi="宋体"/>
                <w:color w:val="auto"/>
                <w:sz w:val="18"/>
              </w:rPr>
              <w:t>称</w:t>
            </w:r>
          </w:p>
        </w:tc>
        <w:tc>
          <w:tcPr>
            <w:tcW w:w="720" w:type="dxa"/>
            <w:tcBorders>
              <w:top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rPr>
            </w:pPr>
            <w:r>
              <w:rPr>
                <w:rFonts w:hint="eastAsia" w:ascii="宋体" w:hAnsi="宋体"/>
                <w:color w:val="auto"/>
                <w:sz w:val="18"/>
              </w:rPr>
              <w:t>计量     单位</w:t>
            </w:r>
          </w:p>
        </w:tc>
        <w:tc>
          <w:tcPr>
            <w:tcW w:w="720" w:type="dxa"/>
            <w:tcBorders>
              <w:top w:val="single" w:color="auto" w:sz="2" w:space="0"/>
            </w:tcBorders>
            <w:noWrap w:val="0"/>
            <w:tcMar>
              <w:left w:w="0" w:type="dxa"/>
              <w:right w:w="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r>
              <w:rPr>
                <w:rFonts w:hint="eastAsia" w:ascii="宋体" w:hAnsi="宋体"/>
                <w:color w:val="auto"/>
                <w:sz w:val="18"/>
              </w:rPr>
              <w:t>代</w:t>
            </w:r>
            <w:r>
              <w:rPr>
                <w:rFonts w:hint="default" w:ascii="宋体" w:hAnsi="宋体"/>
                <w:color w:val="auto"/>
                <w:sz w:val="18"/>
              </w:rPr>
              <w:t>码</w:t>
            </w:r>
          </w:p>
        </w:tc>
        <w:tc>
          <w:tcPr>
            <w:tcW w:w="792" w:type="dxa"/>
            <w:tcBorders>
              <w:top w:val="single" w:color="auto" w:sz="2" w:space="0"/>
              <w:right w:val="double" w:color="auto" w:sz="4"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rPr>
            </w:pPr>
            <w:r>
              <w:rPr>
                <w:rFonts w:hint="eastAsia" w:ascii="宋体" w:hAnsi="宋体"/>
                <w:color w:val="auto"/>
                <w:sz w:val="18"/>
              </w:rPr>
              <w:t>1—本月</w:t>
            </w:r>
          </w:p>
        </w:tc>
        <w:tc>
          <w:tcPr>
            <w:tcW w:w="2628" w:type="dxa"/>
            <w:tcBorders>
              <w:top w:val="single" w:color="auto" w:sz="2" w:space="0"/>
              <w:left w:val="double" w:color="auto" w:sz="4" w:space="0"/>
              <w:bottom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r>
              <w:rPr>
                <w:rFonts w:hint="eastAsia" w:ascii="宋体" w:hAnsi="宋体"/>
                <w:color w:val="auto"/>
                <w:sz w:val="18"/>
              </w:rPr>
              <w:t>指</w:t>
            </w:r>
            <w:r>
              <w:rPr>
                <w:rFonts w:hint="default" w:ascii="宋体" w:hAnsi="宋体"/>
                <w:color w:val="auto"/>
                <w:sz w:val="18"/>
              </w:rPr>
              <w:t>标</w:t>
            </w:r>
            <w:r>
              <w:rPr>
                <w:rFonts w:hint="eastAsia" w:ascii="宋体" w:hAnsi="宋体"/>
                <w:color w:val="auto"/>
                <w:sz w:val="18"/>
              </w:rPr>
              <w:t>名</w:t>
            </w:r>
            <w:r>
              <w:rPr>
                <w:rFonts w:hint="default" w:ascii="宋体" w:hAnsi="宋体"/>
                <w:color w:val="auto"/>
                <w:sz w:val="18"/>
              </w:rPr>
              <w:t>称</w:t>
            </w:r>
          </w:p>
        </w:tc>
        <w:tc>
          <w:tcPr>
            <w:tcW w:w="792" w:type="dxa"/>
            <w:tcBorders>
              <w:top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rPr>
            </w:pPr>
            <w:r>
              <w:rPr>
                <w:rFonts w:hint="eastAsia" w:ascii="宋体" w:hAnsi="宋体"/>
                <w:color w:val="auto"/>
                <w:sz w:val="18"/>
              </w:rPr>
              <w:t>计量     单位</w:t>
            </w:r>
          </w:p>
        </w:tc>
        <w:tc>
          <w:tcPr>
            <w:tcW w:w="540" w:type="dxa"/>
            <w:tcBorders>
              <w:top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rPr>
            </w:pPr>
            <w:r>
              <w:rPr>
                <w:rFonts w:hint="eastAsia" w:ascii="宋体" w:hAnsi="宋体"/>
                <w:color w:val="auto"/>
                <w:sz w:val="18"/>
              </w:rPr>
              <w:t>代码</w:t>
            </w:r>
          </w:p>
        </w:tc>
        <w:tc>
          <w:tcPr>
            <w:tcW w:w="703" w:type="dxa"/>
            <w:tcBorders>
              <w:top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rPr>
            </w:pPr>
            <w:r>
              <w:rPr>
                <w:rFonts w:hint="eastAsia" w:ascii="宋体" w:hAnsi="宋体"/>
                <w:color w:val="auto"/>
                <w:sz w:val="18"/>
              </w:rPr>
              <w:t>1—本月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83" w:hRule="exact"/>
          <w:jc w:val="center"/>
        </w:trPr>
        <w:tc>
          <w:tcPr>
            <w:tcW w:w="2524" w:type="dxa"/>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rPr>
            </w:pPr>
            <w:r>
              <w:rPr>
                <w:rFonts w:hint="eastAsia" w:ascii="宋体" w:hAnsi="宋体"/>
                <w:color w:val="auto"/>
                <w:sz w:val="18"/>
              </w:rPr>
              <w:t>甲</w:t>
            </w:r>
          </w:p>
        </w:tc>
        <w:tc>
          <w:tcPr>
            <w:tcW w:w="720" w:type="dxa"/>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rPr>
            </w:pPr>
            <w:r>
              <w:rPr>
                <w:rFonts w:hint="eastAsia" w:ascii="宋体" w:hAnsi="宋体"/>
                <w:color w:val="auto"/>
                <w:sz w:val="18"/>
              </w:rPr>
              <w:t>乙</w:t>
            </w:r>
          </w:p>
        </w:tc>
        <w:tc>
          <w:tcPr>
            <w:tcW w:w="720" w:type="dxa"/>
            <w:noWrap w:val="0"/>
            <w:tcMar>
              <w:left w:w="0" w:type="dxa"/>
              <w:right w:w="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rPr>
            </w:pPr>
            <w:r>
              <w:rPr>
                <w:rFonts w:hint="eastAsia" w:ascii="宋体" w:hAnsi="宋体"/>
                <w:color w:val="auto"/>
                <w:sz w:val="18"/>
              </w:rPr>
              <w:t>丙</w:t>
            </w:r>
          </w:p>
        </w:tc>
        <w:tc>
          <w:tcPr>
            <w:tcW w:w="792" w:type="dxa"/>
            <w:tcBorders>
              <w:right w:val="double" w:color="auto" w:sz="4"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rPr>
            </w:pPr>
            <w:r>
              <w:rPr>
                <w:rFonts w:hint="eastAsia" w:ascii="宋体" w:hAnsi="宋体"/>
                <w:color w:val="auto"/>
                <w:sz w:val="18"/>
              </w:rPr>
              <w:t>1</w:t>
            </w:r>
          </w:p>
        </w:tc>
        <w:tc>
          <w:tcPr>
            <w:tcW w:w="2628" w:type="dxa"/>
            <w:tcBorders>
              <w:top w:val="single" w:color="auto" w:sz="2" w:space="0"/>
              <w:left w:val="double" w:color="auto" w:sz="4" w:space="0"/>
              <w:bottom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rPr>
            </w:pPr>
            <w:r>
              <w:rPr>
                <w:rFonts w:hint="eastAsia" w:ascii="宋体" w:hAnsi="宋体"/>
                <w:color w:val="auto"/>
                <w:sz w:val="18"/>
              </w:rPr>
              <w:t>甲</w:t>
            </w:r>
          </w:p>
        </w:tc>
        <w:tc>
          <w:tcPr>
            <w:tcW w:w="792" w:type="dxa"/>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rPr>
            </w:pPr>
            <w:r>
              <w:rPr>
                <w:rFonts w:hint="eastAsia" w:ascii="宋体" w:hAnsi="宋体"/>
                <w:color w:val="auto"/>
                <w:sz w:val="18"/>
              </w:rPr>
              <w:t>乙</w:t>
            </w:r>
          </w:p>
        </w:tc>
        <w:tc>
          <w:tcPr>
            <w:tcW w:w="540" w:type="dxa"/>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rPr>
            </w:pPr>
            <w:r>
              <w:rPr>
                <w:rFonts w:hint="eastAsia" w:ascii="宋体" w:hAnsi="宋体"/>
                <w:color w:val="auto"/>
                <w:sz w:val="18"/>
              </w:rPr>
              <w:t>丙</w:t>
            </w:r>
          </w:p>
        </w:tc>
        <w:tc>
          <w:tcPr>
            <w:tcW w:w="703" w:type="dxa"/>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rPr>
            </w:pPr>
            <w:r>
              <w:rPr>
                <w:rFonts w:hint="eastAsia" w:ascii="宋体" w:hAnsi="宋体"/>
                <w:color w:val="auto"/>
                <w:sz w:val="18"/>
              </w:rPr>
              <w:t>1</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4802" w:hRule="exact"/>
          <w:jc w:val="center"/>
        </w:trPr>
        <w:tc>
          <w:tcPr>
            <w:tcW w:w="2524" w:type="dxa"/>
            <w:noWrap w:val="0"/>
            <w:vAlign w:val="top"/>
          </w:tcPr>
          <w:p>
            <w:pPr>
              <w:keepNext w:val="0"/>
              <w:keepLines w:val="0"/>
              <w:suppressLineNumbers w:val="0"/>
              <w:spacing w:before="0" w:beforeAutospacing="0" w:after="0" w:afterAutospacing="0" w:line="320" w:lineRule="exact"/>
              <w:ind w:left="0" w:right="0"/>
              <w:rPr>
                <w:rFonts w:hint="default" w:ascii="宋体" w:hAnsi="宋体"/>
                <w:bCs/>
                <w:color w:val="auto"/>
                <w:sz w:val="18"/>
              </w:rPr>
            </w:pPr>
            <w:r>
              <w:rPr>
                <w:rFonts w:hint="default" w:ascii="宋体" w:hAnsi="宋体"/>
                <w:bCs/>
                <w:color w:val="auto"/>
                <w:sz w:val="18"/>
              </w:rPr>
              <w:t>计</w:t>
            </w:r>
            <w:r>
              <w:rPr>
                <w:rFonts w:hint="eastAsia" w:ascii="宋体" w:hAnsi="宋体"/>
                <w:bCs/>
                <w:color w:val="auto"/>
                <w:sz w:val="18"/>
              </w:rPr>
              <w:t>划</w:t>
            </w:r>
            <w:r>
              <w:rPr>
                <w:rFonts w:hint="default" w:ascii="宋体" w:hAnsi="宋体"/>
                <w:bCs/>
                <w:color w:val="auto"/>
                <w:sz w:val="18"/>
              </w:rPr>
              <w:t>总投资</w:t>
            </w:r>
          </w:p>
          <w:p>
            <w:pPr>
              <w:keepNext w:val="0"/>
              <w:keepLines w:val="0"/>
              <w:suppressLineNumbers w:val="0"/>
              <w:spacing w:before="0" w:beforeAutospacing="0" w:after="0" w:afterAutospacing="0" w:line="320" w:lineRule="exact"/>
              <w:ind w:left="0" w:right="0"/>
              <w:rPr>
                <w:rFonts w:hint="eastAsia" w:ascii="宋体" w:hAnsi="宋体"/>
                <w:bCs/>
                <w:color w:val="auto"/>
                <w:sz w:val="18"/>
              </w:rPr>
            </w:pPr>
            <w:r>
              <w:rPr>
                <w:rFonts w:hint="eastAsia" w:ascii="宋体" w:hAnsi="宋体"/>
                <w:bCs/>
                <w:color w:val="auto"/>
                <w:sz w:val="18"/>
              </w:rPr>
              <w:t>已签订合同总额</w:t>
            </w:r>
          </w:p>
          <w:p>
            <w:pPr>
              <w:keepNext w:val="0"/>
              <w:keepLines w:val="0"/>
              <w:suppressLineNumbers w:val="0"/>
              <w:spacing w:before="0" w:beforeAutospacing="0" w:after="0" w:afterAutospacing="0" w:line="320" w:lineRule="exact"/>
              <w:ind w:left="0" w:right="0"/>
              <w:rPr>
                <w:rFonts w:hint="eastAsia" w:ascii="宋体" w:hAnsi="宋体"/>
                <w:bCs/>
                <w:color w:val="auto"/>
                <w:sz w:val="18"/>
              </w:rPr>
            </w:pPr>
            <w:r>
              <w:rPr>
                <w:rFonts w:hint="eastAsia" w:ascii="宋体" w:hAnsi="宋体"/>
                <w:bCs/>
                <w:color w:val="auto"/>
                <w:sz w:val="18"/>
              </w:rPr>
              <w:t>自</w:t>
            </w:r>
            <w:r>
              <w:rPr>
                <w:rFonts w:hint="default" w:ascii="宋体" w:hAnsi="宋体"/>
                <w:bCs/>
                <w:color w:val="auto"/>
                <w:sz w:val="18"/>
              </w:rPr>
              <w:t>开始</w:t>
            </w:r>
            <w:r>
              <w:rPr>
                <w:rFonts w:hint="eastAsia" w:ascii="宋体" w:hAnsi="宋体"/>
                <w:bCs/>
                <w:color w:val="auto"/>
                <w:sz w:val="18"/>
              </w:rPr>
              <w:t>建</w:t>
            </w:r>
            <w:r>
              <w:rPr>
                <w:rFonts w:hint="default" w:ascii="宋体" w:hAnsi="宋体"/>
                <w:bCs/>
                <w:color w:val="auto"/>
                <w:sz w:val="18"/>
              </w:rPr>
              <w:t>设</w:t>
            </w:r>
            <w:r>
              <w:rPr>
                <w:rFonts w:hint="eastAsia" w:ascii="宋体" w:hAnsi="宋体"/>
                <w:bCs/>
                <w:color w:val="auto"/>
                <w:sz w:val="18"/>
              </w:rPr>
              <w:t>累</w:t>
            </w:r>
            <w:r>
              <w:rPr>
                <w:rFonts w:hint="default" w:ascii="宋体" w:hAnsi="宋体"/>
                <w:bCs/>
                <w:color w:val="auto"/>
                <w:sz w:val="18"/>
              </w:rPr>
              <w:t>计</w:t>
            </w:r>
            <w:r>
              <w:rPr>
                <w:rFonts w:hint="eastAsia" w:ascii="宋体" w:hAnsi="宋体"/>
                <w:bCs/>
                <w:color w:val="auto"/>
                <w:sz w:val="18"/>
              </w:rPr>
              <w:t>完成投</w:t>
            </w:r>
            <w:r>
              <w:rPr>
                <w:rFonts w:hint="default" w:ascii="宋体" w:hAnsi="宋体"/>
                <w:bCs/>
                <w:color w:val="auto"/>
                <w:sz w:val="18"/>
              </w:rPr>
              <w:t>资</w:t>
            </w:r>
          </w:p>
          <w:p>
            <w:pPr>
              <w:keepNext w:val="0"/>
              <w:keepLines w:val="0"/>
              <w:suppressLineNumbers w:val="0"/>
              <w:spacing w:before="0" w:beforeAutospacing="0" w:after="0" w:afterAutospacing="0" w:line="320" w:lineRule="exact"/>
              <w:ind w:left="0" w:right="0"/>
              <w:rPr>
                <w:rFonts w:hint="default" w:ascii="宋体" w:hAnsi="宋体"/>
                <w:bCs/>
                <w:color w:val="auto"/>
                <w:sz w:val="18"/>
              </w:rPr>
            </w:pPr>
            <w:r>
              <w:rPr>
                <w:rFonts w:hint="eastAsia" w:ascii="宋体" w:hAnsi="宋体"/>
                <w:bCs/>
                <w:color w:val="auto"/>
                <w:sz w:val="18"/>
              </w:rPr>
              <w:t>本年完成投</w:t>
            </w:r>
            <w:r>
              <w:rPr>
                <w:rFonts w:hint="default" w:ascii="宋体" w:hAnsi="宋体"/>
                <w:bCs/>
                <w:color w:val="auto"/>
                <w:sz w:val="18"/>
              </w:rPr>
              <w:t>资</w:t>
            </w:r>
          </w:p>
          <w:p>
            <w:pPr>
              <w:pStyle w:val="2"/>
              <w:keepNext w:val="0"/>
              <w:keepLines w:val="0"/>
              <w:suppressLineNumbers w:val="0"/>
              <w:spacing w:before="0" w:beforeAutospacing="0" w:after="0" w:afterAutospacing="0" w:line="320" w:lineRule="exact"/>
              <w:ind w:left="0" w:leftChars="0" w:right="0" w:firstLine="0" w:firstLineChars="0"/>
              <w:rPr>
                <w:rFonts w:hint="eastAsia" w:ascii="宋体" w:hAnsi="宋体"/>
                <w:color w:val="auto"/>
                <w:sz w:val="18"/>
                <w:szCs w:val="18"/>
              </w:rPr>
            </w:pPr>
            <w:r>
              <w:rPr>
                <w:rFonts w:hint="eastAsia" w:ascii="宋体" w:hAnsi="宋体"/>
                <w:color w:val="auto"/>
                <w:sz w:val="18"/>
                <w:szCs w:val="18"/>
              </w:rPr>
              <w:t xml:space="preserve">  其中：</w:t>
            </w:r>
            <w:r>
              <w:rPr>
                <w:rFonts w:hint="default" w:ascii="宋体" w:hAnsi="宋体"/>
                <w:color w:val="auto"/>
                <w:sz w:val="18"/>
                <w:szCs w:val="18"/>
              </w:rPr>
              <w:t>本月完成投资</w:t>
            </w:r>
          </w:p>
          <w:p>
            <w:pPr>
              <w:keepNext w:val="0"/>
              <w:keepLines w:val="0"/>
              <w:suppressLineNumbers w:val="0"/>
              <w:spacing w:before="0" w:beforeAutospacing="0" w:after="0" w:afterAutospacing="0" w:line="320" w:lineRule="exact"/>
              <w:ind w:left="0" w:right="0"/>
              <w:rPr>
                <w:rFonts w:hint="eastAsia" w:ascii="宋体" w:hAnsi="宋体"/>
                <w:bCs/>
                <w:color w:val="auto"/>
                <w:sz w:val="18"/>
              </w:rPr>
            </w:pPr>
            <w:r>
              <w:rPr>
                <w:rFonts w:hint="eastAsia" w:ascii="宋体" w:hAnsi="宋体"/>
                <w:bCs/>
                <w:color w:val="auto"/>
                <w:sz w:val="18"/>
              </w:rPr>
              <w:t xml:space="preserve"> *其中：住宅</w:t>
            </w:r>
          </w:p>
          <w:p>
            <w:pPr>
              <w:keepNext w:val="0"/>
              <w:keepLines w:val="0"/>
              <w:suppressLineNumbers w:val="0"/>
              <w:spacing w:before="0" w:beforeAutospacing="0" w:after="0" w:afterAutospacing="0" w:line="320" w:lineRule="exact"/>
              <w:ind w:left="0" w:right="0"/>
              <w:rPr>
                <w:rFonts w:hint="eastAsia" w:ascii="宋体" w:hAnsi="宋体"/>
                <w:bCs/>
                <w:color w:val="auto"/>
                <w:sz w:val="18"/>
              </w:rPr>
            </w:pPr>
            <w:r>
              <w:rPr>
                <w:rFonts w:hint="eastAsia" w:ascii="宋体" w:hAnsi="宋体"/>
                <w:bCs/>
                <w:color w:val="auto"/>
                <w:sz w:val="18"/>
              </w:rPr>
              <w:t>按构成分：</w:t>
            </w:r>
          </w:p>
          <w:p>
            <w:pPr>
              <w:keepNext w:val="0"/>
              <w:keepLines w:val="0"/>
              <w:suppressLineNumbers w:val="0"/>
              <w:spacing w:before="0" w:beforeAutospacing="0" w:after="0" w:afterAutospacing="0" w:line="320" w:lineRule="exact"/>
              <w:ind w:left="0" w:right="0" w:firstLine="180" w:firstLineChars="100"/>
              <w:rPr>
                <w:rFonts w:hint="eastAsia" w:ascii="宋体" w:hAnsi="宋体"/>
                <w:bCs/>
                <w:color w:val="auto"/>
                <w:sz w:val="18"/>
              </w:rPr>
            </w:pPr>
            <w:r>
              <w:rPr>
                <w:rFonts w:hint="eastAsia" w:ascii="宋体" w:hAnsi="宋体"/>
                <w:bCs/>
                <w:color w:val="auto"/>
                <w:sz w:val="18"/>
              </w:rPr>
              <w:t>建筑工程</w:t>
            </w:r>
          </w:p>
          <w:p>
            <w:pPr>
              <w:keepNext w:val="0"/>
              <w:keepLines w:val="0"/>
              <w:suppressLineNumbers w:val="0"/>
              <w:spacing w:before="0" w:beforeAutospacing="0" w:after="0" w:afterAutospacing="0" w:line="320" w:lineRule="exact"/>
              <w:ind w:left="0" w:right="0" w:firstLine="180" w:firstLineChars="100"/>
              <w:rPr>
                <w:rFonts w:hint="eastAsia" w:ascii="宋体" w:hAnsi="宋体"/>
                <w:bCs/>
                <w:color w:val="auto"/>
                <w:sz w:val="18"/>
              </w:rPr>
            </w:pPr>
            <w:r>
              <w:rPr>
                <w:rFonts w:hint="eastAsia" w:ascii="宋体" w:hAnsi="宋体"/>
                <w:bCs/>
                <w:color w:val="auto"/>
                <w:sz w:val="18"/>
              </w:rPr>
              <w:t>安</w:t>
            </w:r>
            <w:r>
              <w:rPr>
                <w:rFonts w:hint="default" w:ascii="宋体" w:hAnsi="宋体"/>
                <w:bCs/>
                <w:color w:val="auto"/>
                <w:sz w:val="18"/>
              </w:rPr>
              <w:t>装工</w:t>
            </w:r>
            <w:r>
              <w:rPr>
                <w:rFonts w:hint="eastAsia" w:ascii="宋体" w:hAnsi="宋体"/>
                <w:bCs/>
                <w:color w:val="auto"/>
                <w:sz w:val="18"/>
              </w:rPr>
              <w:t>程</w:t>
            </w:r>
          </w:p>
          <w:p>
            <w:pPr>
              <w:keepNext w:val="0"/>
              <w:keepLines w:val="0"/>
              <w:suppressLineNumbers w:val="0"/>
              <w:spacing w:before="0" w:beforeAutospacing="0" w:after="0" w:afterAutospacing="0" w:line="320" w:lineRule="exact"/>
              <w:ind w:left="0" w:right="0" w:firstLine="180" w:firstLineChars="100"/>
              <w:rPr>
                <w:rFonts w:hint="eastAsia" w:ascii="宋体" w:hAnsi="宋体"/>
                <w:bCs/>
                <w:color w:val="auto"/>
                <w:sz w:val="18"/>
              </w:rPr>
            </w:pPr>
            <w:r>
              <w:rPr>
                <w:rFonts w:hint="default" w:ascii="宋体" w:hAnsi="宋体"/>
                <w:bCs/>
                <w:color w:val="auto"/>
                <w:sz w:val="18"/>
              </w:rPr>
              <w:t>设备</w:t>
            </w:r>
            <w:r>
              <w:rPr>
                <w:rFonts w:hint="eastAsia" w:ascii="宋体" w:hAnsi="宋体"/>
                <w:bCs/>
                <w:color w:val="auto"/>
                <w:sz w:val="18"/>
              </w:rPr>
              <w:t>工器具</w:t>
            </w:r>
            <w:r>
              <w:rPr>
                <w:rFonts w:hint="default" w:ascii="宋体" w:hAnsi="宋体"/>
                <w:bCs/>
                <w:color w:val="auto"/>
                <w:sz w:val="18"/>
              </w:rPr>
              <w:t>购</w:t>
            </w:r>
            <w:r>
              <w:rPr>
                <w:rFonts w:hint="eastAsia" w:ascii="宋体" w:hAnsi="宋体"/>
                <w:bCs/>
                <w:color w:val="auto"/>
                <w:sz w:val="18"/>
              </w:rPr>
              <w:t>置</w:t>
            </w:r>
          </w:p>
          <w:p>
            <w:pPr>
              <w:keepNext w:val="0"/>
              <w:keepLines w:val="0"/>
              <w:suppressLineNumbers w:val="0"/>
              <w:spacing w:before="0" w:beforeAutospacing="0" w:after="0" w:afterAutospacing="0" w:line="320" w:lineRule="exact"/>
              <w:ind w:left="0" w:right="0" w:firstLine="180" w:firstLineChars="100"/>
              <w:rPr>
                <w:rFonts w:hint="eastAsia" w:ascii="宋体" w:hAnsi="宋体"/>
                <w:bCs/>
                <w:color w:val="auto"/>
                <w:sz w:val="18"/>
              </w:rPr>
            </w:pPr>
            <w:r>
              <w:rPr>
                <w:rFonts w:hint="eastAsia" w:ascii="宋体" w:hAnsi="宋体"/>
                <w:bCs/>
                <w:color w:val="auto"/>
                <w:sz w:val="18"/>
              </w:rPr>
              <w:t xml:space="preserve">  *其中：购置旧设备</w:t>
            </w:r>
          </w:p>
          <w:p>
            <w:pPr>
              <w:keepNext w:val="0"/>
              <w:keepLines w:val="0"/>
              <w:suppressLineNumbers w:val="0"/>
              <w:spacing w:before="0" w:beforeAutospacing="0" w:after="0" w:afterAutospacing="0" w:line="320" w:lineRule="exact"/>
              <w:ind w:left="0" w:right="0" w:firstLine="180" w:firstLineChars="100"/>
              <w:rPr>
                <w:rFonts w:hint="eastAsia" w:ascii="宋体" w:hAnsi="宋体"/>
                <w:bCs/>
                <w:color w:val="auto"/>
                <w:sz w:val="18"/>
              </w:rPr>
            </w:pPr>
            <w:r>
              <w:rPr>
                <w:rFonts w:hint="eastAsia" w:ascii="宋体" w:hAnsi="宋体"/>
                <w:bCs/>
                <w:color w:val="auto"/>
                <w:sz w:val="18"/>
              </w:rPr>
              <w:t>其他</w:t>
            </w:r>
            <w:r>
              <w:rPr>
                <w:rFonts w:hint="default" w:ascii="宋体" w:hAnsi="宋体"/>
                <w:bCs/>
                <w:color w:val="auto"/>
                <w:sz w:val="18"/>
              </w:rPr>
              <w:t>费</w:t>
            </w:r>
            <w:r>
              <w:rPr>
                <w:rFonts w:hint="eastAsia" w:ascii="宋体" w:hAnsi="宋体"/>
                <w:bCs/>
                <w:color w:val="auto"/>
                <w:sz w:val="18"/>
              </w:rPr>
              <w:t>用</w:t>
            </w:r>
          </w:p>
          <w:p>
            <w:pPr>
              <w:keepNext w:val="0"/>
              <w:keepLines w:val="0"/>
              <w:suppressLineNumbers w:val="0"/>
              <w:spacing w:before="0" w:beforeAutospacing="0" w:after="0" w:afterAutospacing="0" w:line="320" w:lineRule="exact"/>
              <w:ind w:left="0" w:right="0" w:firstLine="360" w:firstLineChars="200"/>
              <w:rPr>
                <w:rFonts w:hint="default" w:ascii="宋体" w:hAnsi="宋体"/>
                <w:bCs/>
                <w:color w:val="auto"/>
                <w:sz w:val="18"/>
              </w:rPr>
            </w:pPr>
            <w:r>
              <w:rPr>
                <w:rFonts w:hint="eastAsia" w:ascii="宋体" w:hAnsi="宋体"/>
                <w:bCs/>
                <w:color w:val="auto"/>
                <w:sz w:val="18"/>
              </w:rPr>
              <w:t>*其中：</w:t>
            </w:r>
            <w:r>
              <w:rPr>
                <w:rFonts w:hint="default" w:ascii="宋体" w:hAnsi="宋体"/>
                <w:bCs/>
                <w:color w:val="auto"/>
                <w:sz w:val="18"/>
              </w:rPr>
              <w:t>旧建</w:t>
            </w:r>
            <w:r>
              <w:rPr>
                <w:rFonts w:hint="eastAsia" w:ascii="宋体" w:hAnsi="宋体"/>
                <w:bCs/>
                <w:color w:val="auto"/>
                <w:sz w:val="18"/>
              </w:rPr>
              <w:t>筑物</w:t>
            </w:r>
            <w:r>
              <w:rPr>
                <w:rFonts w:hint="default" w:ascii="宋体" w:hAnsi="宋体"/>
                <w:bCs/>
                <w:color w:val="auto"/>
                <w:sz w:val="18"/>
              </w:rPr>
              <w:t>购</w:t>
            </w:r>
            <w:r>
              <w:rPr>
                <w:rFonts w:hint="eastAsia" w:ascii="宋体" w:hAnsi="宋体"/>
                <w:bCs/>
                <w:color w:val="auto"/>
                <w:sz w:val="18"/>
              </w:rPr>
              <w:t>置</w:t>
            </w:r>
            <w:r>
              <w:rPr>
                <w:rFonts w:hint="default" w:ascii="宋体" w:hAnsi="宋体"/>
                <w:bCs/>
                <w:color w:val="auto"/>
                <w:sz w:val="18"/>
              </w:rPr>
              <w:t>费</w:t>
            </w:r>
          </w:p>
          <w:p>
            <w:pPr>
              <w:keepNext w:val="0"/>
              <w:keepLines w:val="0"/>
              <w:suppressLineNumbers w:val="0"/>
              <w:spacing w:before="0" w:beforeAutospacing="0" w:after="0" w:afterAutospacing="0" w:line="320" w:lineRule="exact"/>
              <w:ind w:left="0" w:right="0"/>
              <w:rPr>
                <w:rFonts w:hint="eastAsia" w:ascii="宋体" w:hAnsi="宋体"/>
                <w:bCs/>
                <w:color w:val="auto"/>
                <w:sz w:val="18"/>
              </w:rPr>
            </w:pPr>
            <w:r>
              <w:rPr>
                <w:rFonts w:hint="default" w:ascii="宋体" w:hAnsi="宋体"/>
                <w:bCs/>
                <w:color w:val="auto"/>
                <w:sz w:val="18"/>
              </w:rPr>
              <w:t xml:space="preserve">    </w:t>
            </w:r>
            <w:r>
              <w:rPr>
                <w:rFonts w:hint="eastAsia" w:ascii="宋体" w:hAnsi="宋体"/>
                <w:bCs/>
                <w:color w:val="auto"/>
                <w:sz w:val="18"/>
              </w:rPr>
              <w:t>其中：建设用地</w:t>
            </w:r>
            <w:r>
              <w:rPr>
                <w:rFonts w:hint="default" w:ascii="宋体" w:hAnsi="宋体"/>
                <w:bCs/>
                <w:color w:val="auto"/>
                <w:sz w:val="18"/>
              </w:rPr>
              <w:t>费</w:t>
            </w:r>
          </w:p>
          <w:p>
            <w:pPr>
              <w:keepNext w:val="0"/>
              <w:keepLines w:val="0"/>
              <w:suppressLineNumbers w:val="0"/>
              <w:spacing w:before="0" w:beforeAutospacing="0" w:after="0" w:afterAutospacing="0" w:line="320" w:lineRule="exact"/>
              <w:ind w:left="0" w:right="0"/>
              <w:rPr>
                <w:rFonts w:hint="default" w:ascii="宋体" w:hAnsi="宋体"/>
                <w:bCs/>
                <w:color w:val="auto"/>
                <w:sz w:val="18"/>
              </w:rPr>
            </w:pPr>
            <w:r>
              <w:rPr>
                <w:rFonts w:hint="eastAsia" w:ascii="宋体" w:hAnsi="宋体"/>
                <w:bCs/>
                <w:color w:val="auto"/>
                <w:sz w:val="18"/>
              </w:rPr>
              <w:t>*本年新增固定资产</w:t>
            </w:r>
          </w:p>
          <w:p>
            <w:pPr>
              <w:keepNext w:val="0"/>
              <w:keepLines w:val="0"/>
              <w:suppressLineNumbers w:val="0"/>
              <w:spacing w:before="0" w:beforeAutospacing="0" w:after="0" w:afterAutospacing="0" w:line="320" w:lineRule="exact"/>
              <w:ind w:left="0" w:right="0"/>
              <w:rPr>
                <w:rFonts w:hint="eastAsia" w:ascii="宋体" w:hAnsi="宋体"/>
                <w:bCs/>
                <w:color w:val="auto"/>
                <w:sz w:val="18"/>
              </w:rPr>
            </w:pPr>
          </w:p>
        </w:tc>
        <w:tc>
          <w:tcPr>
            <w:tcW w:w="720" w:type="dxa"/>
            <w:noWrap w:val="0"/>
            <w:vAlign w:val="top"/>
          </w:tcPr>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default"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default"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eastAsia"/>
                <w:color w:val="auto"/>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default"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p>
          <w:p>
            <w:pPr>
              <w:keepNext w:val="0"/>
              <w:keepLines w:val="0"/>
              <w:widowControl/>
              <w:suppressLineNumbers w:val="0"/>
              <w:spacing w:before="0" w:beforeAutospacing="0" w:after="0" w:afterAutospacing="0" w:line="320" w:lineRule="exact"/>
              <w:ind w:left="0" w:right="0"/>
              <w:jc w:val="center"/>
              <w:rPr>
                <w:rFonts w:hint="default"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default"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default"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default"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default"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万元</w:t>
            </w:r>
          </w:p>
        </w:tc>
        <w:tc>
          <w:tcPr>
            <w:tcW w:w="720" w:type="dxa"/>
            <w:noWrap w:val="0"/>
            <w:tcMar>
              <w:left w:w="0" w:type="dxa"/>
              <w:right w:w="0" w:type="dxa"/>
            </w:tcMar>
            <w:vAlign w:val="top"/>
          </w:tcPr>
          <w:p>
            <w:pPr>
              <w:keepNext w:val="0"/>
              <w:keepLines w:val="0"/>
              <w:suppressLineNumbers w:val="0"/>
              <w:spacing w:before="0" w:beforeAutospacing="0" w:after="0" w:afterAutospacing="0" w:line="320" w:lineRule="exact"/>
              <w:ind w:left="0" w:right="0"/>
              <w:jc w:val="center"/>
              <w:rPr>
                <w:rFonts w:hint="default" w:ascii="宋体" w:hAnsi="宋体"/>
                <w:bCs/>
                <w:color w:val="auto"/>
                <w:sz w:val="18"/>
              </w:rPr>
            </w:pPr>
            <w:r>
              <w:rPr>
                <w:rFonts w:hint="default" w:ascii="宋体" w:hAnsi="宋体"/>
                <w:bCs/>
                <w:color w:val="auto"/>
                <w:sz w:val="18"/>
              </w:rPr>
              <w:t>101</w:t>
            </w:r>
          </w:p>
          <w:p>
            <w:pPr>
              <w:keepNext w:val="0"/>
              <w:keepLines w:val="0"/>
              <w:suppressLineNumbers w:val="0"/>
              <w:spacing w:before="0" w:beforeAutospacing="0" w:after="0" w:afterAutospacing="0" w:line="320" w:lineRule="exact"/>
              <w:ind w:left="0" w:right="0"/>
              <w:jc w:val="center"/>
              <w:rPr>
                <w:rFonts w:hint="default" w:ascii="宋体" w:hAnsi="宋体"/>
                <w:bCs/>
                <w:color w:val="auto"/>
                <w:sz w:val="18"/>
              </w:rPr>
            </w:pPr>
            <w:r>
              <w:rPr>
                <w:rFonts w:hint="eastAsia" w:ascii="宋体" w:hAnsi="宋体"/>
                <w:bCs/>
                <w:color w:val="auto"/>
                <w:sz w:val="18"/>
              </w:rPr>
              <w:t>141</w:t>
            </w:r>
          </w:p>
          <w:p>
            <w:pPr>
              <w:keepNext w:val="0"/>
              <w:keepLines w:val="0"/>
              <w:suppressLineNumbers w:val="0"/>
              <w:spacing w:before="0" w:beforeAutospacing="0" w:after="0" w:afterAutospacing="0" w:line="320" w:lineRule="exact"/>
              <w:ind w:left="0" w:right="0"/>
              <w:jc w:val="center"/>
              <w:rPr>
                <w:rFonts w:hint="eastAsia" w:ascii="宋体" w:hAnsi="宋体"/>
                <w:bCs/>
                <w:color w:val="auto"/>
                <w:sz w:val="18"/>
              </w:rPr>
            </w:pPr>
            <w:r>
              <w:rPr>
                <w:rFonts w:hint="default" w:ascii="宋体" w:hAnsi="宋体"/>
                <w:bCs/>
                <w:color w:val="auto"/>
                <w:sz w:val="18"/>
              </w:rPr>
              <w:t>103</w:t>
            </w:r>
          </w:p>
          <w:p>
            <w:pPr>
              <w:keepNext w:val="0"/>
              <w:keepLines w:val="0"/>
              <w:suppressLineNumbers w:val="0"/>
              <w:spacing w:before="0" w:beforeAutospacing="0" w:after="0" w:afterAutospacing="0" w:line="320" w:lineRule="exact"/>
              <w:ind w:left="0" w:right="0"/>
              <w:jc w:val="center"/>
              <w:rPr>
                <w:rFonts w:hint="default" w:ascii="宋体" w:hAnsi="宋体"/>
                <w:bCs/>
                <w:color w:val="auto"/>
                <w:sz w:val="18"/>
              </w:rPr>
            </w:pPr>
            <w:r>
              <w:rPr>
                <w:rFonts w:hint="default" w:ascii="宋体" w:hAnsi="宋体"/>
                <w:bCs/>
                <w:color w:val="auto"/>
                <w:sz w:val="18"/>
              </w:rPr>
              <w:t>107</w:t>
            </w:r>
          </w:p>
          <w:p>
            <w:pPr>
              <w:keepNext w:val="0"/>
              <w:keepLines w:val="0"/>
              <w:suppressLineNumbers w:val="0"/>
              <w:spacing w:before="0" w:beforeAutospacing="0" w:after="0" w:afterAutospacing="0" w:line="320" w:lineRule="exact"/>
              <w:ind w:left="0" w:right="0"/>
              <w:jc w:val="center"/>
              <w:rPr>
                <w:rFonts w:hint="eastAsia"/>
                <w:color w:val="auto"/>
              </w:rPr>
            </w:pPr>
            <w:r>
              <w:rPr>
                <w:rFonts w:hint="default" w:ascii="宋体" w:hAnsi="宋体"/>
                <w:bCs/>
                <w:color w:val="auto"/>
                <w:sz w:val="18"/>
              </w:rPr>
              <w:t>140</w:t>
            </w:r>
          </w:p>
          <w:p>
            <w:pPr>
              <w:keepNext w:val="0"/>
              <w:keepLines w:val="0"/>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118</w:t>
            </w:r>
          </w:p>
          <w:p>
            <w:pPr>
              <w:keepNext w:val="0"/>
              <w:keepLines w:val="0"/>
              <w:suppressLineNumbers w:val="0"/>
              <w:spacing w:before="0" w:beforeAutospacing="0" w:after="0" w:afterAutospacing="0" w:line="320" w:lineRule="exact"/>
              <w:ind w:left="0" w:right="0"/>
              <w:jc w:val="center"/>
              <w:rPr>
                <w:rFonts w:hint="eastAsia" w:ascii="宋体" w:hAnsi="宋体"/>
                <w:bCs/>
                <w:color w:val="auto"/>
                <w:sz w:val="18"/>
              </w:rPr>
            </w:pPr>
          </w:p>
          <w:p>
            <w:pPr>
              <w:keepNext w:val="0"/>
              <w:keepLines w:val="0"/>
              <w:suppressLineNumbers w:val="0"/>
              <w:spacing w:before="0" w:beforeAutospacing="0" w:after="0" w:afterAutospacing="0" w:line="320" w:lineRule="exact"/>
              <w:ind w:left="0" w:right="0"/>
              <w:jc w:val="center"/>
              <w:rPr>
                <w:rFonts w:hint="default" w:ascii="宋体" w:hAnsi="宋体"/>
                <w:bCs/>
                <w:color w:val="auto"/>
                <w:sz w:val="18"/>
              </w:rPr>
            </w:pPr>
            <w:r>
              <w:rPr>
                <w:rFonts w:hint="default" w:ascii="宋体" w:hAnsi="宋体"/>
                <w:bCs/>
                <w:color w:val="auto"/>
                <w:sz w:val="18"/>
              </w:rPr>
              <w:t>108</w:t>
            </w:r>
          </w:p>
          <w:p>
            <w:pPr>
              <w:keepNext w:val="0"/>
              <w:keepLines w:val="0"/>
              <w:suppressLineNumbers w:val="0"/>
              <w:spacing w:before="0" w:beforeAutospacing="0" w:after="0" w:afterAutospacing="0" w:line="320" w:lineRule="exact"/>
              <w:ind w:left="0" w:right="0"/>
              <w:jc w:val="center"/>
              <w:rPr>
                <w:rFonts w:hint="default" w:ascii="宋体" w:hAnsi="宋体"/>
                <w:bCs/>
                <w:color w:val="auto"/>
                <w:sz w:val="18"/>
              </w:rPr>
            </w:pPr>
            <w:r>
              <w:rPr>
                <w:rFonts w:hint="default" w:ascii="宋体" w:hAnsi="宋体"/>
                <w:bCs/>
                <w:color w:val="auto"/>
                <w:sz w:val="18"/>
              </w:rPr>
              <w:t>109</w:t>
            </w:r>
          </w:p>
          <w:p>
            <w:pPr>
              <w:keepNext w:val="0"/>
              <w:keepLines w:val="0"/>
              <w:suppressLineNumbers w:val="0"/>
              <w:spacing w:before="0" w:beforeAutospacing="0" w:after="0" w:afterAutospacing="0" w:line="320" w:lineRule="exact"/>
              <w:ind w:left="0" w:right="0"/>
              <w:jc w:val="center"/>
              <w:rPr>
                <w:rFonts w:hint="default" w:ascii="宋体" w:hAnsi="宋体"/>
                <w:bCs/>
                <w:color w:val="auto"/>
                <w:sz w:val="18"/>
              </w:rPr>
            </w:pPr>
            <w:r>
              <w:rPr>
                <w:rFonts w:hint="default" w:ascii="宋体" w:hAnsi="宋体"/>
                <w:bCs/>
                <w:color w:val="auto"/>
                <w:sz w:val="18"/>
              </w:rPr>
              <w:t>110</w:t>
            </w:r>
          </w:p>
          <w:p>
            <w:pPr>
              <w:keepNext w:val="0"/>
              <w:keepLines w:val="0"/>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111</w:t>
            </w:r>
          </w:p>
          <w:p>
            <w:pPr>
              <w:keepNext w:val="0"/>
              <w:keepLines w:val="0"/>
              <w:suppressLineNumbers w:val="0"/>
              <w:spacing w:before="0" w:beforeAutospacing="0" w:after="0" w:afterAutospacing="0" w:line="320" w:lineRule="exact"/>
              <w:ind w:left="0" w:right="0"/>
              <w:jc w:val="center"/>
              <w:rPr>
                <w:rFonts w:hint="eastAsia" w:ascii="宋体" w:hAnsi="宋体"/>
                <w:bCs/>
                <w:color w:val="auto"/>
                <w:sz w:val="18"/>
              </w:rPr>
            </w:pPr>
            <w:r>
              <w:rPr>
                <w:rFonts w:hint="default" w:ascii="宋体" w:hAnsi="宋体"/>
                <w:bCs/>
                <w:color w:val="auto"/>
                <w:sz w:val="18"/>
              </w:rPr>
              <w:t>112</w:t>
            </w:r>
          </w:p>
          <w:p>
            <w:pPr>
              <w:keepNext w:val="0"/>
              <w:keepLines w:val="0"/>
              <w:suppressLineNumbers w:val="0"/>
              <w:spacing w:before="0" w:beforeAutospacing="0" w:after="0" w:afterAutospacing="0" w:line="320" w:lineRule="exact"/>
              <w:ind w:left="0" w:right="0"/>
              <w:jc w:val="center"/>
              <w:rPr>
                <w:rFonts w:hint="default" w:ascii="宋体" w:hAnsi="宋体"/>
                <w:bCs/>
                <w:color w:val="auto"/>
                <w:sz w:val="18"/>
              </w:rPr>
            </w:pPr>
            <w:r>
              <w:rPr>
                <w:rFonts w:hint="default" w:ascii="宋体" w:hAnsi="宋体"/>
                <w:bCs/>
                <w:color w:val="auto"/>
                <w:sz w:val="18"/>
              </w:rPr>
              <w:t>113</w:t>
            </w:r>
          </w:p>
          <w:p>
            <w:pPr>
              <w:keepNext w:val="0"/>
              <w:keepLines w:val="0"/>
              <w:suppressLineNumbers w:val="0"/>
              <w:spacing w:before="0" w:beforeAutospacing="0" w:after="0" w:afterAutospacing="0" w:line="320" w:lineRule="exact"/>
              <w:ind w:left="0" w:right="0"/>
              <w:jc w:val="center"/>
              <w:rPr>
                <w:rFonts w:hint="eastAsia" w:ascii="宋体" w:hAnsi="宋体"/>
                <w:bCs/>
                <w:color w:val="auto"/>
                <w:sz w:val="18"/>
              </w:rPr>
            </w:pPr>
            <w:r>
              <w:rPr>
                <w:rFonts w:hint="default" w:ascii="宋体" w:hAnsi="宋体"/>
                <w:bCs/>
                <w:color w:val="auto"/>
                <w:sz w:val="18"/>
              </w:rPr>
              <w:t>114</w:t>
            </w:r>
          </w:p>
          <w:p>
            <w:pPr>
              <w:keepNext w:val="0"/>
              <w:keepLines w:val="0"/>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128</w:t>
            </w:r>
          </w:p>
        </w:tc>
        <w:tc>
          <w:tcPr>
            <w:tcW w:w="792" w:type="dxa"/>
            <w:tcBorders>
              <w:right w:val="double" w:color="auto" w:sz="4" w:space="0"/>
            </w:tcBorders>
            <w:noWrap w:val="0"/>
            <w:vAlign w:val="top"/>
          </w:tcPr>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tc>
        <w:tc>
          <w:tcPr>
            <w:tcW w:w="2628" w:type="dxa"/>
            <w:tcBorders>
              <w:top w:val="single" w:color="auto" w:sz="2" w:space="0"/>
              <w:left w:val="double" w:color="auto" w:sz="4" w:space="0"/>
              <w:bottom w:val="single" w:color="auto" w:sz="8" w:space="0"/>
            </w:tcBorders>
            <w:noWrap w:val="0"/>
            <w:vAlign w:val="top"/>
          </w:tcPr>
          <w:p>
            <w:pPr>
              <w:keepNext w:val="0"/>
              <w:keepLines w:val="0"/>
              <w:suppressLineNumbers w:val="0"/>
              <w:spacing w:before="0" w:beforeAutospacing="0" w:after="0" w:afterAutospacing="0" w:line="320" w:lineRule="exact"/>
              <w:ind w:left="0" w:right="0" w:firstLine="180" w:firstLineChars="100"/>
              <w:rPr>
                <w:rFonts w:hint="eastAsia" w:ascii="宋体" w:hAnsi="宋体"/>
                <w:bCs/>
                <w:color w:val="auto"/>
                <w:sz w:val="18"/>
              </w:rPr>
            </w:pPr>
            <w:r>
              <w:rPr>
                <w:rFonts w:hint="eastAsia" w:ascii="宋体" w:hAnsi="宋体"/>
                <w:bCs/>
                <w:color w:val="auto"/>
                <w:sz w:val="18"/>
              </w:rPr>
              <w:t>上年末结余资金</w:t>
            </w:r>
          </w:p>
          <w:p>
            <w:pPr>
              <w:keepNext w:val="0"/>
              <w:keepLines w:val="0"/>
              <w:suppressLineNumbers w:val="0"/>
              <w:spacing w:before="0" w:beforeAutospacing="0" w:after="0" w:afterAutospacing="0" w:line="320" w:lineRule="exact"/>
              <w:ind w:left="0" w:right="0" w:firstLine="180" w:firstLineChars="100"/>
              <w:rPr>
                <w:rFonts w:hint="eastAsia" w:ascii="宋体" w:hAnsi="宋体"/>
                <w:bCs/>
                <w:color w:val="auto"/>
                <w:sz w:val="18"/>
              </w:rPr>
            </w:pPr>
            <w:r>
              <w:rPr>
                <w:rFonts w:hint="eastAsia" w:ascii="宋体" w:hAnsi="宋体"/>
                <w:bCs/>
                <w:color w:val="auto"/>
                <w:sz w:val="18"/>
              </w:rPr>
              <w:t>本年实际到位资金</w:t>
            </w:r>
          </w:p>
          <w:p>
            <w:pPr>
              <w:keepNext w:val="0"/>
              <w:keepLines w:val="0"/>
              <w:suppressLineNumbers w:val="0"/>
              <w:spacing w:before="0" w:beforeAutospacing="0" w:after="0" w:afterAutospacing="0" w:line="320" w:lineRule="exact"/>
              <w:ind w:left="0" w:right="0" w:firstLine="360" w:firstLineChars="200"/>
              <w:rPr>
                <w:rFonts w:hint="eastAsia" w:ascii="宋体" w:hAnsi="宋体"/>
                <w:bCs/>
                <w:color w:val="auto"/>
                <w:sz w:val="18"/>
              </w:rPr>
            </w:pPr>
            <w:r>
              <w:rPr>
                <w:rFonts w:hint="default" w:ascii="宋体" w:hAnsi="宋体"/>
                <w:bCs/>
                <w:color w:val="auto"/>
                <w:sz w:val="18"/>
              </w:rPr>
              <w:t>国家预算资金</w:t>
            </w:r>
          </w:p>
          <w:p>
            <w:pPr>
              <w:keepNext w:val="0"/>
              <w:keepLines w:val="0"/>
              <w:suppressLineNumbers w:val="0"/>
              <w:spacing w:before="0" w:beforeAutospacing="0" w:after="0" w:afterAutospacing="0" w:line="320" w:lineRule="exact"/>
              <w:ind w:left="0" w:right="0"/>
              <w:rPr>
                <w:rFonts w:hint="default" w:ascii="宋体" w:hAnsi="宋体"/>
                <w:bCs/>
                <w:color w:val="auto"/>
                <w:sz w:val="18"/>
              </w:rPr>
            </w:pPr>
            <w:r>
              <w:rPr>
                <w:rFonts w:hint="eastAsia" w:ascii="宋体" w:hAnsi="宋体"/>
                <w:bCs/>
                <w:color w:val="auto"/>
                <w:sz w:val="18"/>
              </w:rPr>
              <w:t xml:space="preserve">      *其中：中央预算资金</w:t>
            </w:r>
            <w:r>
              <w:rPr>
                <w:rFonts w:hint="default" w:ascii="宋体" w:hAnsi="宋体"/>
                <w:bCs/>
                <w:color w:val="auto"/>
                <w:sz w:val="18"/>
              </w:rPr>
              <w:t xml:space="preserve"> </w:t>
            </w:r>
          </w:p>
          <w:p>
            <w:pPr>
              <w:keepNext w:val="0"/>
              <w:keepLines w:val="0"/>
              <w:suppressLineNumbers w:val="0"/>
              <w:spacing w:before="0" w:beforeAutospacing="0" w:after="0" w:afterAutospacing="0" w:line="320" w:lineRule="exact"/>
              <w:ind w:left="0" w:right="0" w:firstLine="360" w:firstLineChars="200"/>
              <w:rPr>
                <w:rFonts w:hint="default" w:ascii="宋体" w:hAnsi="宋体"/>
                <w:bCs/>
                <w:color w:val="auto"/>
                <w:sz w:val="18"/>
              </w:rPr>
            </w:pPr>
            <w:r>
              <w:rPr>
                <w:rFonts w:hint="default" w:ascii="宋体" w:hAnsi="宋体"/>
                <w:bCs/>
                <w:color w:val="auto"/>
                <w:sz w:val="18"/>
              </w:rPr>
              <w:t>国内贷款</w:t>
            </w:r>
          </w:p>
          <w:p>
            <w:pPr>
              <w:keepNext w:val="0"/>
              <w:keepLines w:val="0"/>
              <w:suppressLineNumbers w:val="0"/>
              <w:spacing w:before="0" w:beforeAutospacing="0" w:after="0" w:afterAutospacing="0" w:line="320" w:lineRule="exact"/>
              <w:ind w:left="0" w:right="0" w:firstLine="360" w:firstLineChars="200"/>
              <w:rPr>
                <w:rFonts w:hint="default" w:ascii="宋体" w:hAnsi="宋体"/>
                <w:bCs/>
                <w:color w:val="auto"/>
                <w:sz w:val="18"/>
              </w:rPr>
            </w:pPr>
            <w:r>
              <w:rPr>
                <w:rFonts w:hint="default" w:ascii="宋体" w:hAnsi="宋体"/>
                <w:bCs/>
                <w:color w:val="auto"/>
                <w:sz w:val="18"/>
              </w:rPr>
              <w:t>利用外资</w:t>
            </w:r>
          </w:p>
          <w:p>
            <w:pPr>
              <w:keepNext w:val="0"/>
              <w:keepLines w:val="0"/>
              <w:suppressLineNumbers w:val="0"/>
              <w:spacing w:before="0" w:beforeAutospacing="0" w:after="0" w:afterAutospacing="0" w:line="320" w:lineRule="exact"/>
              <w:ind w:left="0" w:right="0"/>
              <w:rPr>
                <w:rFonts w:hint="eastAsia" w:ascii="宋体" w:hAnsi="宋体"/>
                <w:bCs/>
                <w:color w:val="auto"/>
                <w:sz w:val="18"/>
              </w:rPr>
            </w:pPr>
            <w:r>
              <w:rPr>
                <w:rFonts w:hint="eastAsia" w:ascii="宋体" w:hAnsi="宋体"/>
                <w:bCs/>
                <w:color w:val="auto"/>
                <w:sz w:val="18"/>
              </w:rPr>
              <w:t xml:space="preserve">    </w:t>
            </w:r>
            <w:r>
              <w:rPr>
                <w:rFonts w:hint="default" w:ascii="宋体" w:hAnsi="宋体"/>
                <w:bCs/>
                <w:color w:val="auto"/>
                <w:sz w:val="18"/>
              </w:rPr>
              <w:t>自筹资金</w:t>
            </w:r>
          </w:p>
          <w:p>
            <w:pPr>
              <w:keepNext w:val="0"/>
              <w:keepLines w:val="0"/>
              <w:suppressLineNumbers w:val="0"/>
              <w:spacing w:before="0" w:beforeAutospacing="0" w:after="0" w:afterAutospacing="0" w:line="320" w:lineRule="exact"/>
              <w:ind w:left="0" w:right="0" w:firstLine="360" w:firstLineChars="200"/>
              <w:rPr>
                <w:rFonts w:hint="default" w:ascii="宋体" w:hAnsi="宋体"/>
                <w:bCs/>
                <w:color w:val="auto"/>
                <w:sz w:val="18"/>
              </w:rPr>
            </w:pPr>
            <w:r>
              <w:rPr>
                <w:rFonts w:hint="default" w:ascii="宋体" w:hAnsi="宋体"/>
                <w:bCs/>
                <w:color w:val="auto"/>
                <w:sz w:val="18"/>
              </w:rPr>
              <w:t>其他</w:t>
            </w:r>
            <w:r>
              <w:rPr>
                <w:rFonts w:hint="eastAsia" w:ascii="宋体" w:hAnsi="宋体"/>
                <w:bCs/>
                <w:color w:val="auto"/>
                <w:sz w:val="18"/>
              </w:rPr>
              <w:t>资金来源</w:t>
            </w:r>
          </w:p>
          <w:p>
            <w:pPr>
              <w:pStyle w:val="2"/>
              <w:keepNext w:val="0"/>
              <w:keepLines w:val="0"/>
              <w:suppressLineNumbers w:val="0"/>
              <w:spacing w:before="0" w:beforeAutospacing="0" w:after="0" w:afterAutospacing="0" w:line="320" w:lineRule="exact"/>
              <w:ind w:left="199" w:leftChars="95" w:right="0" w:firstLine="171" w:firstLineChars="95"/>
              <w:rPr>
                <w:rFonts w:hint="eastAsia"/>
                <w:color w:val="auto"/>
                <w:sz w:val="18"/>
                <w:szCs w:val="18"/>
              </w:rPr>
            </w:pPr>
            <w:r>
              <w:rPr>
                <w:rFonts w:hint="eastAsia"/>
                <w:color w:val="auto"/>
                <w:sz w:val="18"/>
                <w:szCs w:val="18"/>
              </w:rPr>
              <w:t xml:space="preserve">  其中：</w:t>
            </w:r>
            <w:r>
              <w:rPr>
                <w:rFonts w:hint="default"/>
                <w:color w:val="auto"/>
                <w:sz w:val="18"/>
                <w:szCs w:val="18"/>
              </w:rPr>
              <w:t>债券</w:t>
            </w:r>
          </w:p>
          <w:p>
            <w:pPr>
              <w:keepNext w:val="0"/>
              <w:keepLines w:val="0"/>
              <w:suppressLineNumbers w:val="0"/>
              <w:spacing w:before="0" w:beforeAutospacing="0" w:after="0" w:afterAutospacing="0" w:line="320" w:lineRule="exact"/>
              <w:ind w:left="0" w:right="0"/>
              <w:rPr>
                <w:rFonts w:hint="default" w:ascii="宋体" w:hAnsi="宋体"/>
                <w:bCs/>
                <w:color w:val="auto"/>
                <w:sz w:val="18"/>
              </w:rPr>
            </w:pPr>
            <w:r>
              <w:rPr>
                <w:rFonts w:hint="eastAsia" w:ascii="宋体" w:hAnsi="宋体"/>
                <w:bCs/>
                <w:color w:val="auto"/>
                <w:sz w:val="18"/>
              </w:rPr>
              <w:t>*各项应付款合计</w:t>
            </w:r>
          </w:p>
          <w:p>
            <w:pPr>
              <w:keepNext w:val="0"/>
              <w:keepLines w:val="0"/>
              <w:suppressLineNumbers w:val="0"/>
              <w:spacing w:before="0" w:beforeAutospacing="0" w:after="0" w:afterAutospacing="0" w:line="320" w:lineRule="exact"/>
              <w:ind w:left="0" w:right="0" w:firstLine="180" w:firstLineChars="100"/>
              <w:rPr>
                <w:rFonts w:hint="eastAsia" w:ascii="宋体" w:hAnsi="宋体"/>
                <w:bCs/>
                <w:color w:val="auto"/>
                <w:sz w:val="18"/>
              </w:rPr>
            </w:pPr>
            <w:r>
              <w:rPr>
                <w:rFonts w:hint="eastAsia" w:ascii="宋体" w:hAnsi="宋体"/>
                <w:bCs/>
                <w:color w:val="auto"/>
                <w:sz w:val="18"/>
              </w:rPr>
              <w:t>*其中：工程款</w:t>
            </w:r>
          </w:p>
        </w:tc>
        <w:tc>
          <w:tcPr>
            <w:tcW w:w="792" w:type="dxa"/>
            <w:noWrap w:val="0"/>
            <w:vAlign w:val="top"/>
          </w:tcPr>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default"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default"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default"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default" w:ascii="宋体" w:hAnsi="宋体"/>
                <w:bCs/>
                <w:color w:val="auto"/>
                <w:sz w:val="18"/>
              </w:rPr>
            </w:pPr>
            <w:r>
              <w:rPr>
                <w:rFonts w:hint="eastAsia" w:ascii="宋体" w:hAnsi="宋体"/>
                <w:bCs/>
                <w:color w:val="auto"/>
                <w:sz w:val="18"/>
              </w:rPr>
              <w:t>万元</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万元</w:t>
            </w:r>
          </w:p>
        </w:tc>
        <w:tc>
          <w:tcPr>
            <w:tcW w:w="540" w:type="dxa"/>
            <w:noWrap w:val="0"/>
            <w:vAlign w:val="top"/>
          </w:tcPr>
          <w:p>
            <w:pPr>
              <w:keepNext w:val="0"/>
              <w:keepLines w:val="0"/>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302</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303</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304</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328</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305</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307</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311</w:t>
            </w:r>
          </w:p>
          <w:p>
            <w:pPr>
              <w:keepNext w:val="0"/>
              <w:keepLines w:val="0"/>
              <w:widowControl/>
              <w:suppressLineNumbers w:val="0"/>
              <w:spacing w:before="0" w:beforeAutospacing="0" w:after="0" w:afterAutospacing="0" w:line="320" w:lineRule="exact"/>
              <w:ind w:left="0" w:right="0"/>
              <w:jc w:val="center"/>
              <w:rPr>
                <w:rFonts w:hint="default" w:ascii="宋体" w:hAnsi="宋体"/>
                <w:bCs/>
                <w:color w:val="auto"/>
                <w:sz w:val="18"/>
              </w:rPr>
            </w:pPr>
            <w:r>
              <w:rPr>
                <w:rFonts w:hint="eastAsia" w:ascii="宋体" w:hAnsi="宋体"/>
                <w:bCs/>
                <w:color w:val="auto"/>
                <w:sz w:val="18"/>
              </w:rPr>
              <w:t>318</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default" w:ascii="宋体" w:hAnsi="宋体"/>
                <w:bCs/>
                <w:color w:val="auto"/>
                <w:sz w:val="18"/>
              </w:rPr>
              <w:t>306</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320</w:t>
            </w:r>
          </w:p>
          <w:p>
            <w:pPr>
              <w:keepNext w:val="0"/>
              <w:keepLines w:val="0"/>
              <w:widowControl/>
              <w:suppressLineNumbers w:val="0"/>
              <w:spacing w:before="0" w:beforeAutospacing="0" w:after="0" w:afterAutospacing="0" w:line="320" w:lineRule="exact"/>
              <w:ind w:left="0" w:right="0"/>
              <w:jc w:val="center"/>
              <w:rPr>
                <w:rFonts w:hint="eastAsia" w:ascii="宋体" w:hAnsi="宋体"/>
                <w:bCs/>
                <w:color w:val="auto"/>
                <w:sz w:val="18"/>
              </w:rPr>
            </w:pPr>
            <w:r>
              <w:rPr>
                <w:rFonts w:hint="eastAsia" w:ascii="宋体" w:hAnsi="宋体"/>
                <w:bCs/>
                <w:color w:val="auto"/>
                <w:sz w:val="18"/>
              </w:rPr>
              <w:t>321</w:t>
            </w:r>
          </w:p>
        </w:tc>
        <w:tc>
          <w:tcPr>
            <w:tcW w:w="703" w:type="dxa"/>
            <w:noWrap w:val="0"/>
            <w:vAlign w:val="top"/>
          </w:tcPr>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p>
            <w:pPr>
              <w:keepNext w:val="0"/>
              <w:keepLines w:val="0"/>
              <w:suppressLineNumbers w:val="0"/>
              <w:spacing w:before="0" w:beforeAutospacing="0" w:after="0" w:afterAutospacing="0" w:line="320" w:lineRule="exact"/>
              <w:ind w:left="0" w:right="0"/>
              <w:jc w:val="center"/>
              <w:rPr>
                <w:rFonts w:hint="eastAsia" w:ascii="宋体" w:hAnsi="宋体"/>
                <w:color w:val="auto"/>
                <w:sz w:val="18"/>
              </w:rPr>
            </w:pPr>
          </w:p>
        </w:tc>
      </w:tr>
    </w:tbl>
    <w:p>
      <w:pPr>
        <w:adjustRightInd w:val="0"/>
        <w:spacing w:line="280" w:lineRule="exact"/>
        <w:rPr>
          <w:rFonts w:ascii="宋体"/>
          <w:color w:val="auto"/>
          <w:sz w:val="18"/>
        </w:rPr>
      </w:pPr>
      <w:r>
        <w:rPr>
          <w:rFonts w:hint="eastAsia" w:ascii="宋体"/>
          <w:color w:val="auto"/>
          <w:sz w:val="18"/>
        </w:rPr>
        <w:t>单位负责人</w:t>
      </w:r>
      <w:r>
        <w:rPr>
          <w:rFonts w:ascii="宋体"/>
          <w:color w:val="auto"/>
          <w:sz w:val="18"/>
        </w:rPr>
        <w:t xml:space="preserve">：     </w:t>
      </w:r>
      <w:r>
        <w:rPr>
          <w:rFonts w:hint="eastAsia" w:ascii="宋体"/>
          <w:color w:val="auto"/>
          <w:sz w:val="18"/>
        </w:rPr>
        <w:t xml:space="preserve">    </w:t>
      </w:r>
      <w:r>
        <w:rPr>
          <w:rFonts w:ascii="宋体"/>
          <w:color w:val="auto"/>
          <w:sz w:val="18"/>
        </w:rPr>
        <w:t xml:space="preserve">      </w:t>
      </w:r>
      <w:r>
        <w:rPr>
          <w:rFonts w:hint="eastAsia" w:ascii="宋体"/>
          <w:color w:val="auto"/>
          <w:sz w:val="18"/>
        </w:rPr>
        <w:t>统计负责人：</w:t>
      </w:r>
      <w:r>
        <w:rPr>
          <w:rFonts w:ascii="宋体"/>
          <w:color w:val="auto"/>
          <w:sz w:val="18"/>
        </w:rPr>
        <w:t xml:space="preserve">   </w:t>
      </w:r>
      <w:r>
        <w:rPr>
          <w:rFonts w:hint="eastAsia" w:ascii="宋体"/>
          <w:color w:val="auto"/>
          <w:sz w:val="18"/>
        </w:rPr>
        <w:t xml:space="preserve">   </w:t>
      </w:r>
      <w:r>
        <w:rPr>
          <w:rFonts w:ascii="宋体"/>
          <w:color w:val="auto"/>
          <w:sz w:val="18"/>
        </w:rPr>
        <w:t xml:space="preserve">         </w:t>
      </w:r>
      <w:r>
        <w:rPr>
          <w:rFonts w:hint="eastAsia" w:ascii="宋体"/>
          <w:color w:val="auto"/>
          <w:sz w:val="18"/>
        </w:rPr>
        <w:t>填表人：</w:t>
      </w:r>
      <w:r>
        <w:rPr>
          <w:rFonts w:ascii="宋体"/>
          <w:color w:val="auto"/>
          <w:sz w:val="18"/>
        </w:rPr>
        <w:t xml:space="preserve">    </w:t>
      </w:r>
      <w:r>
        <w:rPr>
          <w:rFonts w:hint="eastAsia" w:ascii="宋体"/>
          <w:color w:val="auto"/>
          <w:sz w:val="18"/>
        </w:rPr>
        <w:t xml:space="preserve">         报出日期：２０　 年</w:t>
      </w:r>
      <w:r>
        <w:rPr>
          <w:rFonts w:ascii="宋体"/>
          <w:color w:val="auto"/>
          <w:sz w:val="18"/>
        </w:rPr>
        <w:t xml:space="preserve">   </w:t>
      </w:r>
      <w:r>
        <w:rPr>
          <w:rFonts w:hint="eastAsia" w:ascii="宋体"/>
          <w:color w:val="auto"/>
          <w:sz w:val="18"/>
        </w:rPr>
        <w:t>月</w:t>
      </w:r>
      <w:r>
        <w:rPr>
          <w:rFonts w:ascii="宋体"/>
          <w:color w:val="auto"/>
          <w:sz w:val="18"/>
        </w:rPr>
        <w:t xml:space="preserve">   </w:t>
      </w:r>
      <w:r>
        <w:rPr>
          <w:rFonts w:hint="eastAsia" w:ascii="宋体"/>
          <w:color w:val="auto"/>
          <w:sz w:val="18"/>
        </w:rPr>
        <w:t>日</w:t>
      </w:r>
    </w:p>
    <w:p>
      <w:pPr>
        <w:snapToGrid w:val="0"/>
        <w:rPr>
          <w:rFonts w:hint="eastAsia" w:ascii="宋体"/>
          <w:color w:val="auto"/>
          <w:sz w:val="18"/>
        </w:rPr>
      </w:pPr>
    </w:p>
    <w:p>
      <w:pPr>
        <w:snapToGrid w:val="0"/>
        <w:ind w:left="1618" w:leftChars="1" w:hanging="1616" w:hangingChars="898"/>
        <w:rPr>
          <w:rFonts w:hint="eastAsia" w:ascii="宋体" w:hAnsi="宋体"/>
          <w:color w:val="auto"/>
          <w:sz w:val="18"/>
          <w:szCs w:val="18"/>
        </w:rPr>
      </w:pPr>
      <w:r>
        <w:rPr>
          <w:rFonts w:hint="eastAsia" w:ascii="宋体"/>
          <w:color w:val="auto"/>
          <w:sz w:val="18"/>
        </w:rPr>
        <w:t>说明：1</w:t>
      </w:r>
      <w:r>
        <w:rPr>
          <w:rFonts w:ascii="宋体"/>
          <w:color w:val="auto"/>
          <w:sz w:val="18"/>
        </w:rPr>
        <w:t>.</w:t>
      </w:r>
      <w:r>
        <w:rPr>
          <w:rFonts w:hint="eastAsia" w:ascii="宋体" w:hAnsi="宋体"/>
          <w:color w:val="auto"/>
          <w:sz w:val="18"/>
        </w:rPr>
        <w:t>统计范围：</w:t>
      </w:r>
      <w:r>
        <w:rPr>
          <w:rFonts w:hint="eastAsia" w:ascii="宋体" w:hAnsi="宋体"/>
          <w:color w:val="auto"/>
          <w:sz w:val="18"/>
          <w:szCs w:val="18"/>
        </w:rPr>
        <w:t>辖区内规模以上工业、有资质的建筑业、限额以上批发和零售业、限额以上住宿和餐饮业、有开发经营活动的全部房地产开发经营业、规模以上服务业和其他调查单位的500万元及以上固定资产投资项目。</w:t>
      </w:r>
    </w:p>
    <w:p>
      <w:pPr>
        <w:snapToGrid w:val="0"/>
        <w:ind w:left="2162" w:leftChars="1" w:hanging="2160" w:hangingChars="1200"/>
        <w:rPr>
          <w:rFonts w:hint="eastAsia" w:ascii="宋体" w:hAnsi="宋体"/>
          <w:color w:val="auto"/>
          <w:sz w:val="18"/>
          <w:szCs w:val="18"/>
        </w:rPr>
      </w:pPr>
      <w:r>
        <w:rPr>
          <w:rFonts w:hint="eastAsia" w:ascii="宋体"/>
          <w:color w:val="auto"/>
          <w:sz w:val="18"/>
        </w:rPr>
        <w:t xml:space="preserve">      2.报送日期及方式：</w:t>
      </w:r>
      <w:r>
        <w:rPr>
          <w:rFonts w:ascii="宋体" w:hAnsi="宋体"/>
          <w:color w:val="auto"/>
          <w:sz w:val="18"/>
          <w:szCs w:val="18"/>
        </w:rPr>
        <w:t>调查单位</w:t>
      </w:r>
      <w:r>
        <w:rPr>
          <w:rFonts w:hint="eastAsia" w:ascii="宋体" w:hAnsi="宋体"/>
          <w:color w:val="auto"/>
          <w:sz w:val="18"/>
          <w:szCs w:val="18"/>
        </w:rPr>
        <w:t>于2、10月月后6日，6、7、8、11月月后7日，3、5、12月月后8日，4月月后9日，9月月后12日12:00前网上填报，1月免报</w:t>
      </w:r>
      <w:r>
        <w:rPr>
          <w:rFonts w:ascii="宋体" w:hAnsi="宋体"/>
          <w:color w:val="auto"/>
          <w:sz w:val="18"/>
          <w:szCs w:val="18"/>
        </w:rPr>
        <w:t>；</w:t>
      </w:r>
      <w:r>
        <w:rPr>
          <w:rFonts w:hint="eastAsia" w:ascii="宋体" w:hAnsi="宋体"/>
          <w:color w:val="auto"/>
          <w:sz w:val="18"/>
          <w:szCs w:val="18"/>
          <w:lang w:val="en-US" w:eastAsia="zh-CN"/>
        </w:rPr>
        <w:t>各</w:t>
      </w:r>
      <w:r>
        <w:rPr>
          <w:rFonts w:ascii="宋体" w:hAnsi="宋体"/>
          <w:color w:val="auto"/>
          <w:sz w:val="18"/>
          <w:szCs w:val="18"/>
        </w:rPr>
        <w:t>级统计机构</w:t>
      </w:r>
      <w:r>
        <w:rPr>
          <w:rFonts w:hint="eastAsia" w:ascii="宋体" w:hAnsi="宋体"/>
          <w:color w:val="auto"/>
          <w:sz w:val="18"/>
          <w:szCs w:val="18"/>
          <w:lang w:val="en-US" w:eastAsia="zh-CN"/>
        </w:rPr>
        <w:t>于统计云平台要求时间</w:t>
      </w:r>
      <w:r>
        <w:rPr>
          <w:rFonts w:ascii="宋体" w:hAnsi="宋体"/>
          <w:color w:val="auto"/>
          <w:sz w:val="18"/>
          <w:szCs w:val="18"/>
        </w:rPr>
        <w:t>前完成数据审核、验收、上报</w:t>
      </w:r>
      <w:r>
        <w:rPr>
          <w:rFonts w:hint="eastAsia" w:ascii="宋体" w:hAnsi="宋体"/>
          <w:color w:val="auto"/>
          <w:sz w:val="18"/>
          <w:szCs w:val="18"/>
        </w:rPr>
        <w:t>，1月免报。</w:t>
      </w:r>
    </w:p>
    <w:p>
      <w:pPr>
        <w:snapToGrid w:val="0"/>
        <w:ind w:left="720" w:hanging="720" w:hangingChars="400"/>
        <w:rPr>
          <w:rFonts w:hint="eastAsia" w:ascii="宋体"/>
          <w:color w:val="auto"/>
          <w:sz w:val="18"/>
        </w:rPr>
      </w:pPr>
      <w:r>
        <w:rPr>
          <w:rFonts w:hint="eastAsia" w:ascii="宋体"/>
          <w:color w:val="auto"/>
          <w:sz w:val="18"/>
        </w:rPr>
        <w:t xml:space="preserve">      3.本表除“计划总投资”“自开始建设累计完成投资”“上年末结余资金”指标外，其他指标均为自年初至报告期末累计数。</w:t>
      </w:r>
    </w:p>
    <w:p>
      <w:pPr>
        <w:snapToGrid w:val="0"/>
        <w:ind w:left="720" w:hanging="720" w:hangingChars="400"/>
        <w:rPr>
          <w:rFonts w:ascii="宋体"/>
          <w:color w:val="auto"/>
          <w:sz w:val="18"/>
        </w:rPr>
      </w:pPr>
      <w:r>
        <w:rPr>
          <w:rFonts w:hint="eastAsia" w:ascii="宋体"/>
          <w:color w:val="auto"/>
          <w:sz w:val="18"/>
        </w:rPr>
        <w:t xml:space="preserve">      4.投资项目在线审批监管平台统一代码的填报范围：报告期在建及新开工项目均需填写。该代码由各级发改部门投资项目在线审批监管平台生成。</w:t>
      </w:r>
    </w:p>
    <w:p>
      <w:pPr>
        <w:snapToGrid w:val="0"/>
        <w:ind w:left="720" w:hanging="720" w:hangingChars="400"/>
        <w:rPr>
          <w:rFonts w:hint="eastAsia" w:ascii="宋体"/>
          <w:color w:val="auto"/>
          <w:sz w:val="18"/>
        </w:rPr>
      </w:pPr>
      <w:r>
        <w:rPr>
          <w:rFonts w:hint="eastAsia" w:ascii="宋体"/>
          <w:color w:val="auto"/>
          <w:sz w:val="18"/>
        </w:rPr>
        <w:t xml:space="preserve">      5.带“*”的“118其中：住宅”“111其中：购置旧设备”“113其中</w:t>
      </w:r>
      <w:r>
        <w:rPr>
          <w:rFonts w:ascii="宋体"/>
          <w:color w:val="auto"/>
          <w:sz w:val="18"/>
        </w:rPr>
        <w:t>：</w:t>
      </w:r>
      <w:r>
        <w:rPr>
          <w:rFonts w:hint="eastAsia" w:ascii="宋体"/>
          <w:color w:val="auto"/>
          <w:sz w:val="18"/>
        </w:rPr>
        <w:t>旧建筑物购置费”“128本年新增固定资产”“320各项应付款合计”“321其中：工程款”“328其中：中央预算资金”仅12月月报填报。</w:t>
      </w:r>
    </w:p>
    <w:p>
      <w:pPr>
        <w:snapToGrid w:val="0"/>
        <w:ind w:left="720" w:hanging="720" w:hangingChars="400"/>
        <w:rPr>
          <w:rFonts w:hint="eastAsia" w:ascii="宋体"/>
          <w:color w:val="auto"/>
          <w:sz w:val="18"/>
        </w:rPr>
      </w:pPr>
      <w:r>
        <w:rPr>
          <w:rFonts w:hint="eastAsia" w:ascii="宋体"/>
          <w:color w:val="auto"/>
          <w:sz w:val="18"/>
        </w:rPr>
        <w:t xml:space="preserve">      6.审核关系：</w:t>
      </w:r>
    </w:p>
    <w:p>
      <w:pPr>
        <w:snapToGrid w:val="0"/>
        <w:ind w:firstLine="720" w:firstLineChars="400"/>
        <w:rPr>
          <w:rFonts w:hint="eastAsia" w:ascii="宋体"/>
          <w:color w:val="auto"/>
          <w:sz w:val="18"/>
        </w:rPr>
      </w:pPr>
      <w:r>
        <w:rPr>
          <w:rFonts w:hint="eastAsia" w:ascii="宋体"/>
          <w:color w:val="auto"/>
          <w:sz w:val="18"/>
        </w:rPr>
        <w:t>(1)103≥107       (</w:t>
      </w:r>
      <w:r>
        <w:rPr>
          <w:rFonts w:ascii="宋体"/>
          <w:color w:val="auto"/>
          <w:sz w:val="18"/>
        </w:rPr>
        <w:t>2</w:t>
      </w:r>
      <w:r>
        <w:rPr>
          <w:rFonts w:hint="eastAsia" w:ascii="宋体"/>
          <w:color w:val="auto"/>
          <w:sz w:val="18"/>
        </w:rPr>
        <w:t>)107≥140</w:t>
      </w:r>
      <w:r>
        <w:rPr>
          <w:rFonts w:ascii="宋体"/>
          <w:color w:val="auto"/>
          <w:sz w:val="18"/>
        </w:rPr>
        <w:t xml:space="preserve"> </w:t>
      </w:r>
      <w:r>
        <w:rPr>
          <w:rFonts w:hint="eastAsia" w:ascii="宋体"/>
          <w:color w:val="auto"/>
          <w:sz w:val="18"/>
        </w:rPr>
        <w:t xml:space="preserve">       </w:t>
      </w:r>
      <w:r>
        <w:rPr>
          <w:rFonts w:ascii="宋体"/>
          <w:color w:val="auto"/>
          <w:sz w:val="18"/>
        </w:rPr>
        <w:t xml:space="preserve"> </w:t>
      </w:r>
      <w:r>
        <w:rPr>
          <w:rFonts w:hint="eastAsia" w:ascii="宋体"/>
          <w:color w:val="auto"/>
          <w:sz w:val="18"/>
        </w:rPr>
        <w:t>(</w:t>
      </w:r>
      <w:r>
        <w:rPr>
          <w:rFonts w:ascii="宋体"/>
          <w:color w:val="auto"/>
          <w:sz w:val="18"/>
        </w:rPr>
        <w:t>3</w:t>
      </w:r>
      <w:r>
        <w:rPr>
          <w:rFonts w:hint="eastAsia" w:ascii="宋体"/>
          <w:color w:val="auto"/>
          <w:sz w:val="18"/>
        </w:rPr>
        <w:t>)107≥118         (</w:t>
      </w:r>
      <w:r>
        <w:rPr>
          <w:rFonts w:ascii="宋体"/>
          <w:color w:val="auto"/>
          <w:sz w:val="18"/>
        </w:rPr>
        <w:t>4</w:t>
      </w:r>
      <w:r>
        <w:rPr>
          <w:rFonts w:hint="eastAsia" w:ascii="宋体"/>
          <w:color w:val="auto"/>
          <w:sz w:val="18"/>
        </w:rPr>
        <w:t xml:space="preserve">)107＝108＋109＋110＋112  </w:t>
      </w:r>
    </w:p>
    <w:p>
      <w:pPr>
        <w:snapToGrid w:val="0"/>
        <w:ind w:firstLine="720" w:firstLineChars="400"/>
        <w:rPr>
          <w:rFonts w:ascii="宋体"/>
          <w:color w:val="auto"/>
          <w:sz w:val="18"/>
        </w:rPr>
      </w:pPr>
      <w:r>
        <w:rPr>
          <w:rFonts w:hint="eastAsia" w:ascii="宋体"/>
          <w:color w:val="auto"/>
          <w:sz w:val="18"/>
        </w:rPr>
        <w:t>(</w:t>
      </w:r>
      <w:r>
        <w:rPr>
          <w:rFonts w:ascii="宋体"/>
          <w:color w:val="auto"/>
          <w:sz w:val="18"/>
        </w:rPr>
        <w:t>5</w:t>
      </w:r>
      <w:r>
        <w:rPr>
          <w:rFonts w:hint="eastAsia" w:ascii="宋体"/>
          <w:color w:val="auto"/>
          <w:sz w:val="18"/>
        </w:rPr>
        <w:t xml:space="preserve">)110≥111     </w:t>
      </w:r>
      <w:r>
        <w:rPr>
          <w:rFonts w:ascii="宋体"/>
          <w:color w:val="auto"/>
          <w:sz w:val="18"/>
        </w:rPr>
        <w:t xml:space="preserve"> </w:t>
      </w:r>
      <w:r>
        <w:rPr>
          <w:rFonts w:hint="eastAsia" w:ascii="宋体"/>
          <w:color w:val="auto"/>
          <w:sz w:val="18"/>
        </w:rPr>
        <w:t xml:space="preserve"> (</w:t>
      </w:r>
      <w:r>
        <w:rPr>
          <w:rFonts w:ascii="宋体"/>
          <w:color w:val="auto"/>
          <w:sz w:val="18"/>
        </w:rPr>
        <w:t>6</w:t>
      </w:r>
      <w:r>
        <w:rPr>
          <w:rFonts w:hint="eastAsia" w:ascii="宋体"/>
          <w:color w:val="auto"/>
          <w:sz w:val="18"/>
        </w:rPr>
        <w:t xml:space="preserve">)112≥113＋114  </w:t>
      </w:r>
      <w:r>
        <w:rPr>
          <w:rFonts w:ascii="宋体"/>
          <w:color w:val="auto"/>
          <w:sz w:val="18"/>
        </w:rPr>
        <w:t xml:space="preserve"> </w:t>
      </w:r>
      <w:r>
        <w:rPr>
          <w:rFonts w:hint="eastAsia" w:ascii="宋体"/>
          <w:color w:val="auto"/>
          <w:sz w:val="18"/>
        </w:rPr>
        <w:t xml:space="preserve"> (</w:t>
      </w:r>
      <w:r>
        <w:rPr>
          <w:rFonts w:ascii="宋体"/>
          <w:color w:val="auto"/>
          <w:sz w:val="18"/>
        </w:rPr>
        <w:t>7</w:t>
      </w:r>
      <w:r>
        <w:rPr>
          <w:rFonts w:hint="eastAsia" w:ascii="宋体"/>
          <w:color w:val="auto"/>
          <w:sz w:val="18"/>
        </w:rPr>
        <w:t xml:space="preserve">)303＝304＋305＋307＋311＋318 </w:t>
      </w:r>
    </w:p>
    <w:p>
      <w:pPr>
        <w:snapToGrid w:val="0"/>
        <w:ind w:firstLine="720" w:firstLineChars="400"/>
        <w:rPr>
          <w:rFonts w:hint="eastAsia" w:ascii="宋体"/>
          <w:color w:val="auto"/>
          <w:sz w:val="18"/>
        </w:rPr>
      </w:pPr>
      <w:r>
        <w:rPr>
          <w:rFonts w:hint="eastAsia" w:ascii="宋体"/>
          <w:color w:val="auto"/>
          <w:sz w:val="18"/>
        </w:rPr>
        <w:t>(</w:t>
      </w:r>
      <w:r>
        <w:rPr>
          <w:rFonts w:ascii="宋体"/>
          <w:color w:val="auto"/>
          <w:sz w:val="18"/>
        </w:rPr>
        <w:t>8</w:t>
      </w:r>
      <w:r>
        <w:rPr>
          <w:rFonts w:hint="eastAsia" w:ascii="宋体"/>
          <w:color w:val="auto"/>
          <w:sz w:val="18"/>
        </w:rPr>
        <w:t xml:space="preserve">)304≥328     </w:t>
      </w:r>
      <w:r>
        <w:rPr>
          <w:rFonts w:ascii="宋体"/>
          <w:color w:val="auto"/>
          <w:sz w:val="18"/>
        </w:rPr>
        <w:t xml:space="preserve">  (9)</w:t>
      </w:r>
      <w:r>
        <w:rPr>
          <w:rFonts w:hint="eastAsia" w:ascii="宋体"/>
          <w:color w:val="auto"/>
          <w:sz w:val="18"/>
        </w:rPr>
        <w:t>320≥321</w:t>
      </w:r>
    </w:p>
    <w:p>
      <w:pPr>
        <w:spacing w:before="240" w:after="120" w:afterLines="50" w:line="360" w:lineRule="exact"/>
        <w:ind w:right="51"/>
        <w:jc w:val="center"/>
        <w:rPr>
          <w:color w:val="auto"/>
          <w:sz w:val="32"/>
          <w:szCs w:val="32"/>
        </w:rPr>
        <w:sectPr>
          <w:pgSz w:w="11906" w:h="16838"/>
          <w:pgMar w:top="1418" w:right="1247" w:bottom="1247" w:left="1247" w:header="851" w:footer="851" w:gutter="0"/>
          <w:pgNumType w:fmt="numberInDash"/>
          <w:cols w:space="720" w:num="1"/>
          <w:docGrid w:linePitch="312" w:charSpace="0"/>
        </w:sectPr>
      </w:pPr>
    </w:p>
    <w:p>
      <w:pPr>
        <w:snapToGrid w:val="0"/>
        <w:spacing w:before="240" w:beforeLines="100" w:after="240" w:afterLines="100"/>
        <w:jc w:val="center"/>
        <w:outlineLvl w:val="2"/>
        <w:rPr>
          <w:rFonts w:ascii="宋体"/>
          <w:color w:val="auto"/>
          <w:sz w:val="32"/>
          <w:szCs w:val="32"/>
        </w:rPr>
      </w:pPr>
      <w:r>
        <w:rPr>
          <w:rFonts w:hint="eastAsia" w:ascii="宋体" w:hAnsi="宋体"/>
          <w:color w:val="auto"/>
          <w:sz w:val="32"/>
          <w:szCs w:val="32"/>
        </w:rPr>
        <w:t>保障性住房开发及经营情况</w:t>
      </w:r>
    </w:p>
    <w:tbl>
      <w:tblPr>
        <w:tblStyle w:val="21"/>
        <w:tblW w:w="9403" w:type="dxa"/>
        <w:jc w:val="center"/>
        <w:tblLayout w:type="autofit"/>
        <w:tblCellMar>
          <w:top w:w="0" w:type="dxa"/>
          <w:left w:w="108" w:type="dxa"/>
          <w:bottom w:w="0" w:type="dxa"/>
          <w:right w:w="108" w:type="dxa"/>
        </w:tblCellMar>
      </w:tblPr>
      <w:tblGrid>
        <w:gridCol w:w="2876"/>
        <w:gridCol w:w="1067"/>
        <w:gridCol w:w="2716"/>
        <w:gridCol w:w="992"/>
        <w:gridCol w:w="1752"/>
      </w:tblGrid>
      <w:tr>
        <w:tblPrEx>
          <w:tblCellMar>
            <w:top w:w="0" w:type="dxa"/>
            <w:left w:w="108" w:type="dxa"/>
            <w:bottom w:w="0" w:type="dxa"/>
            <w:right w:w="108" w:type="dxa"/>
          </w:tblCellMar>
        </w:tblPrEx>
        <w:trPr>
          <w:jc w:val="center"/>
        </w:trPr>
        <w:tc>
          <w:tcPr>
            <w:tcW w:w="6659" w:type="dxa"/>
            <w:gridSpan w:val="3"/>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default" w:ascii="宋体"/>
                <w:color w:val="auto"/>
                <w:sz w:val="32"/>
                <w:szCs w:val="32"/>
              </w:rPr>
            </w:pPr>
          </w:p>
        </w:tc>
        <w:tc>
          <w:tcPr>
            <w:tcW w:w="992" w:type="dxa"/>
            <w:noWrap w:val="0"/>
            <w:tcMar>
              <w:left w:w="0" w:type="dxa"/>
              <w:right w:w="0" w:type="dxa"/>
            </w:tcMar>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32"/>
                <w:szCs w:val="32"/>
              </w:rPr>
            </w:pPr>
          </w:p>
        </w:tc>
        <w:tc>
          <w:tcPr>
            <w:tcW w:w="1752" w:type="dxa"/>
            <w:noWrap w:val="0"/>
            <w:tcMar>
              <w:left w:w="0" w:type="dxa"/>
              <w:right w:w="0" w:type="dxa"/>
            </w:tcMar>
            <w:vAlign w:val="center"/>
          </w:tcPr>
          <w:p>
            <w:pPr>
              <w:keepNext w:val="0"/>
              <w:keepLines w:val="0"/>
              <w:suppressLineNumbers w:val="0"/>
              <w:spacing w:before="0" w:beforeAutospacing="0" w:after="0" w:afterAutospacing="0" w:line="240" w:lineRule="exact"/>
              <w:ind w:left="0" w:right="0"/>
              <w:jc w:val="distribute"/>
              <w:rPr>
                <w:rFonts w:hint="default" w:ascii="宋体"/>
                <w:color w:val="auto"/>
                <w:sz w:val="32"/>
                <w:szCs w:val="32"/>
              </w:rPr>
            </w:pPr>
          </w:p>
        </w:tc>
      </w:tr>
      <w:tr>
        <w:tblPrEx>
          <w:tblCellMar>
            <w:top w:w="0" w:type="dxa"/>
            <w:left w:w="108" w:type="dxa"/>
            <w:bottom w:w="0" w:type="dxa"/>
            <w:right w:w="108" w:type="dxa"/>
          </w:tblCellMar>
        </w:tblPrEx>
        <w:trPr>
          <w:jc w:val="center"/>
        </w:trPr>
        <w:tc>
          <w:tcPr>
            <w:tcW w:w="6659" w:type="dxa"/>
            <w:gridSpan w:val="3"/>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default" w:ascii="宋体"/>
                <w:color w:val="auto"/>
                <w:sz w:val="32"/>
                <w:szCs w:val="32"/>
              </w:rPr>
            </w:pPr>
            <w:r>
              <w:rPr>
                <w:rFonts w:hint="eastAsia" w:ascii="Calibri Light" w:hAnsi="Calibri Light" w:cs="Calibri Light"/>
                <w:color w:val="auto"/>
                <w:kern w:val="0"/>
                <w:sz w:val="18"/>
                <w:szCs w:val="18"/>
              </w:rPr>
              <w:t>统一社会信用代码□□□□□□□□□□□□□□□□□□</w:t>
            </w:r>
          </w:p>
        </w:tc>
        <w:tc>
          <w:tcPr>
            <w:tcW w:w="992" w:type="dxa"/>
            <w:noWrap w:val="0"/>
            <w:tcMar>
              <w:left w:w="0" w:type="dxa"/>
              <w:right w:w="0" w:type="dxa"/>
            </w:tcMar>
            <w:vAlign w:val="top"/>
          </w:tcPr>
          <w:p>
            <w:pPr>
              <w:keepNext w:val="0"/>
              <w:keepLines w:val="0"/>
              <w:suppressLineNumbers w:val="0"/>
              <w:spacing w:before="0" w:beforeAutospacing="0" w:after="0" w:afterAutospacing="0" w:line="240" w:lineRule="exact"/>
              <w:ind w:left="0" w:right="0"/>
              <w:jc w:val="center"/>
              <w:rPr>
                <w:rFonts w:hint="default" w:ascii="宋体"/>
                <w:color w:val="auto"/>
                <w:sz w:val="32"/>
                <w:szCs w:val="32"/>
              </w:rPr>
            </w:pPr>
            <w:r>
              <w:rPr>
                <w:rFonts w:hint="eastAsia" w:ascii="宋体" w:hAnsi="宋体"/>
                <w:color w:val="auto"/>
                <w:sz w:val="18"/>
                <w:szCs w:val="18"/>
              </w:rPr>
              <w:t>表</w:t>
            </w:r>
            <w:r>
              <w:rPr>
                <w:rFonts w:hint="default" w:ascii="宋体" w:hAnsi="宋体"/>
                <w:color w:val="auto"/>
                <w:sz w:val="18"/>
                <w:szCs w:val="18"/>
              </w:rPr>
              <w:t xml:space="preserve">    </w:t>
            </w:r>
            <w:r>
              <w:rPr>
                <w:rFonts w:hint="eastAsia" w:ascii="宋体" w:hAnsi="宋体"/>
                <w:color w:val="auto"/>
                <w:sz w:val="18"/>
                <w:szCs w:val="18"/>
              </w:rPr>
              <w:t>号：</w:t>
            </w:r>
          </w:p>
        </w:tc>
        <w:tc>
          <w:tcPr>
            <w:tcW w:w="1752" w:type="dxa"/>
            <w:noWrap w:val="0"/>
            <w:tcMar>
              <w:left w:w="0" w:type="dxa"/>
              <w:right w:w="0" w:type="dxa"/>
            </w:tcMar>
            <w:vAlign w:val="center"/>
          </w:tcPr>
          <w:p>
            <w:pPr>
              <w:keepNext w:val="0"/>
              <w:keepLines w:val="0"/>
              <w:suppressLineNumbers w:val="0"/>
              <w:spacing w:before="0" w:beforeAutospacing="0" w:after="0" w:afterAutospacing="0" w:line="240" w:lineRule="exact"/>
              <w:ind w:left="0" w:right="0"/>
              <w:jc w:val="distribute"/>
              <w:rPr>
                <w:rFonts w:hint="default" w:ascii="宋体"/>
                <w:color w:val="auto"/>
                <w:sz w:val="32"/>
                <w:szCs w:val="32"/>
              </w:rPr>
            </w:pPr>
            <w:r>
              <w:rPr>
                <w:rFonts w:hint="eastAsia" w:ascii="宋体" w:hAnsi="宋体"/>
                <w:color w:val="auto"/>
                <w:sz w:val="18"/>
                <w:szCs w:val="18"/>
              </w:rPr>
              <w:t>X204-3表</w:t>
            </w:r>
          </w:p>
        </w:tc>
      </w:tr>
      <w:tr>
        <w:trPr>
          <w:jc w:val="center"/>
        </w:trPr>
        <w:tc>
          <w:tcPr>
            <w:tcW w:w="2876" w:type="dxa"/>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default" w:ascii="宋体"/>
                <w:color w:val="auto"/>
                <w:sz w:val="32"/>
                <w:szCs w:val="32"/>
              </w:rPr>
            </w:pPr>
            <w:r>
              <w:rPr>
                <w:rFonts w:hint="eastAsia" w:ascii="宋体" w:hAnsi="宋体"/>
                <w:color w:val="auto"/>
                <w:sz w:val="18"/>
                <w:szCs w:val="18"/>
              </w:rPr>
              <w:t>单位详细名称：</w:t>
            </w:r>
            <w:r>
              <w:rPr>
                <w:rFonts w:hint="default" w:ascii="宋体" w:hAnsi="宋体"/>
                <w:color w:val="auto"/>
                <w:sz w:val="18"/>
                <w:szCs w:val="18"/>
              </w:rPr>
              <w:t xml:space="preserve">  </w:t>
            </w:r>
          </w:p>
        </w:tc>
        <w:tc>
          <w:tcPr>
            <w:tcW w:w="1067" w:type="dxa"/>
            <w:noWrap w:val="0"/>
            <w:tcMar>
              <w:left w:w="0" w:type="dxa"/>
              <w:right w:w="0" w:type="dxa"/>
            </w:tcMar>
            <w:vAlign w:val="top"/>
          </w:tcPr>
          <w:p>
            <w:pPr>
              <w:keepNext w:val="0"/>
              <w:keepLines w:val="0"/>
              <w:suppressLineNumbers w:val="0"/>
              <w:spacing w:before="0" w:beforeAutospacing="0" w:after="0" w:afterAutospacing="0" w:line="240" w:lineRule="exact"/>
              <w:ind w:left="0" w:right="0"/>
              <w:jc w:val="center"/>
              <w:rPr>
                <w:rFonts w:hint="default" w:ascii="宋体"/>
                <w:color w:val="auto"/>
                <w:sz w:val="32"/>
                <w:szCs w:val="32"/>
              </w:rPr>
            </w:pPr>
          </w:p>
        </w:tc>
        <w:tc>
          <w:tcPr>
            <w:tcW w:w="2716" w:type="dxa"/>
            <w:noWrap w:val="0"/>
            <w:tcMar>
              <w:left w:w="0" w:type="dxa"/>
              <w:right w:w="0" w:type="dxa"/>
            </w:tcMar>
            <w:vAlign w:val="top"/>
          </w:tcPr>
          <w:p>
            <w:pPr>
              <w:keepNext w:val="0"/>
              <w:keepLines w:val="0"/>
              <w:suppressLineNumbers w:val="0"/>
              <w:spacing w:before="0" w:beforeAutospacing="0" w:after="0" w:afterAutospacing="0" w:line="240" w:lineRule="exact"/>
              <w:ind w:left="0" w:right="0" w:firstLine="160" w:firstLineChars="50"/>
              <w:rPr>
                <w:rFonts w:hint="default" w:ascii="宋体"/>
                <w:color w:val="auto"/>
                <w:sz w:val="32"/>
                <w:szCs w:val="32"/>
              </w:rPr>
            </w:pPr>
          </w:p>
        </w:tc>
        <w:tc>
          <w:tcPr>
            <w:tcW w:w="992" w:type="dxa"/>
            <w:noWrap w:val="0"/>
            <w:tcMar>
              <w:left w:w="0" w:type="dxa"/>
              <w:right w:w="0" w:type="dxa"/>
            </w:tcMar>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32"/>
                <w:szCs w:val="32"/>
              </w:rPr>
            </w:pPr>
            <w:r>
              <w:rPr>
                <w:rFonts w:hint="eastAsia" w:ascii="宋体" w:hAnsi="宋体"/>
                <w:color w:val="auto"/>
                <w:sz w:val="18"/>
                <w:szCs w:val="18"/>
              </w:rPr>
              <w:t>制定机关：</w:t>
            </w:r>
          </w:p>
        </w:tc>
        <w:tc>
          <w:tcPr>
            <w:tcW w:w="1752" w:type="dxa"/>
            <w:noWrap w:val="0"/>
            <w:tcMar>
              <w:left w:w="0" w:type="dxa"/>
              <w:right w:w="0" w:type="dxa"/>
            </w:tcMar>
            <w:vAlign w:val="center"/>
          </w:tcPr>
          <w:p>
            <w:pPr>
              <w:keepNext w:val="0"/>
              <w:keepLines w:val="0"/>
              <w:suppressLineNumbers w:val="0"/>
              <w:spacing w:before="0" w:beforeAutospacing="0" w:after="0" w:afterAutospacing="0" w:line="240" w:lineRule="exact"/>
              <w:ind w:left="0" w:right="0"/>
              <w:jc w:val="distribute"/>
              <w:rPr>
                <w:rFonts w:hint="default" w:ascii="宋体"/>
                <w:color w:val="auto"/>
                <w:sz w:val="32"/>
                <w:szCs w:val="32"/>
              </w:rPr>
            </w:pPr>
            <w:r>
              <w:rPr>
                <w:rFonts w:hint="eastAsia" w:ascii="宋体" w:hAnsi="宋体"/>
                <w:color w:val="auto"/>
                <w:sz w:val="18"/>
                <w:szCs w:val="18"/>
              </w:rPr>
              <w:t>国</w:t>
            </w:r>
            <w:r>
              <w:rPr>
                <w:rFonts w:hint="default" w:ascii="宋体" w:hAnsi="宋体"/>
                <w:color w:val="auto"/>
                <w:sz w:val="18"/>
                <w:szCs w:val="18"/>
              </w:rPr>
              <w:t xml:space="preserve"> </w:t>
            </w:r>
            <w:r>
              <w:rPr>
                <w:rFonts w:hint="eastAsia" w:ascii="宋体" w:hAnsi="宋体"/>
                <w:color w:val="auto"/>
                <w:sz w:val="18"/>
                <w:szCs w:val="18"/>
              </w:rPr>
              <w:t>家</w:t>
            </w:r>
            <w:r>
              <w:rPr>
                <w:rFonts w:hint="default" w:ascii="宋体" w:hAnsi="宋体"/>
                <w:color w:val="auto"/>
                <w:sz w:val="18"/>
                <w:szCs w:val="18"/>
              </w:rPr>
              <w:t xml:space="preserve"> </w:t>
            </w:r>
            <w:r>
              <w:rPr>
                <w:rFonts w:hint="eastAsia" w:ascii="宋体" w:hAnsi="宋体"/>
                <w:color w:val="auto"/>
                <w:sz w:val="18"/>
                <w:szCs w:val="18"/>
              </w:rPr>
              <w:t>统</w:t>
            </w:r>
            <w:r>
              <w:rPr>
                <w:rFonts w:hint="default" w:ascii="宋体" w:hAnsi="宋体"/>
                <w:color w:val="auto"/>
                <w:sz w:val="18"/>
                <w:szCs w:val="18"/>
              </w:rPr>
              <w:t xml:space="preserve"> </w:t>
            </w:r>
            <w:r>
              <w:rPr>
                <w:rFonts w:hint="eastAsia" w:ascii="宋体" w:hAnsi="宋体"/>
                <w:color w:val="auto"/>
                <w:sz w:val="18"/>
                <w:szCs w:val="18"/>
              </w:rPr>
              <w:t>计</w:t>
            </w:r>
            <w:r>
              <w:rPr>
                <w:rFonts w:hint="default" w:ascii="宋体" w:hAnsi="宋体"/>
                <w:color w:val="auto"/>
                <w:sz w:val="18"/>
                <w:szCs w:val="18"/>
              </w:rPr>
              <w:t xml:space="preserve"> </w:t>
            </w:r>
            <w:r>
              <w:rPr>
                <w:rFonts w:hint="eastAsia" w:ascii="宋体" w:hAnsi="宋体"/>
                <w:color w:val="auto"/>
                <w:sz w:val="18"/>
                <w:szCs w:val="18"/>
              </w:rPr>
              <w:t>局</w:t>
            </w:r>
          </w:p>
        </w:tc>
      </w:tr>
      <w:tr>
        <w:tblPrEx>
          <w:tblCellMar>
            <w:top w:w="0" w:type="dxa"/>
            <w:left w:w="108" w:type="dxa"/>
            <w:bottom w:w="0" w:type="dxa"/>
            <w:right w:w="108" w:type="dxa"/>
          </w:tblCellMar>
        </w:tblPrEx>
        <w:trPr>
          <w:jc w:val="center"/>
        </w:trPr>
        <w:tc>
          <w:tcPr>
            <w:tcW w:w="2876" w:type="dxa"/>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eastAsia" w:ascii="宋体" w:hAnsi="宋体"/>
                <w:color w:val="auto"/>
                <w:sz w:val="18"/>
                <w:szCs w:val="18"/>
              </w:rPr>
            </w:pPr>
            <w:r>
              <w:rPr>
                <w:rFonts w:hint="eastAsia" w:ascii="宋体" w:hAnsi="宋体"/>
                <w:color w:val="auto"/>
                <w:sz w:val="18"/>
                <w:szCs w:val="18"/>
              </w:rPr>
              <w:t>项目代码：</w:t>
            </w:r>
          </w:p>
        </w:tc>
        <w:tc>
          <w:tcPr>
            <w:tcW w:w="1067" w:type="dxa"/>
            <w:noWrap w:val="0"/>
            <w:tcMar>
              <w:left w:w="0" w:type="dxa"/>
              <w:right w:w="0" w:type="dxa"/>
            </w:tcMar>
            <w:vAlign w:val="top"/>
          </w:tcPr>
          <w:p>
            <w:pPr>
              <w:keepNext w:val="0"/>
              <w:keepLines w:val="0"/>
              <w:suppressLineNumbers w:val="0"/>
              <w:spacing w:before="0" w:beforeAutospacing="0" w:after="0" w:afterAutospacing="0" w:line="240" w:lineRule="exact"/>
              <w:ind w:left="0" w:right="0"/>
              <w:jc w:val="center"/>
              <w:rPr>
                <w:rFonts w:hint="default" w:ascii="宋体"/>
                <w:color w:val="auto"/>
                <w:sz w:val="32"/>
                <w:szCs w:val="32"/>
              </w:rPr>
            </w:pPr>
          </w:p>
        </w:tc>
        <w:tc>
          <w:tcPr>
            <w:tcW w:w="2716" w:type="dxa"/>
            <w:noWrap w:val="0"/>
            <w:tcMar>
              <w:left w:w="0" w:type="dxa"/>
              <w:right w:w="0" w:type="dxa"/>
            </w:tcMar>
            <w:vAlign w:val="top"/>
          </w:tcPr>
          <w:p>
            <w:pPr>
              <w:keepNext w:val="0"/>
              <w:keepLines w:val="0"/>
              <w:suppressLineNumbers w:val="0"/>
              <w:spacing w:before="0" w:beforeAutospacing="0" w:after="0" w:afterAutospacing="0" w:line="240" w:lineRule="exact"/>
              <w:ind w:left="0" w:right="0" w:firstLine="90" w:firstLineChars="50"/>
              <w:rPr>
                <w:rFonts w:hint="eastAsia" w:ascii="宋体" w:hAnsi="宋体"/>
                <w:color w:val="auto"/>
                <w:sz w:val="18"/>
                <w:szCs w:val="18"/>
              </w:rPr>
            </w:pPr>
          </w:p>
        </w:tc>
        <w:tc>
          <w:tcPr>
            <w:tcW w:w="992" w:type="dxa"/>
            <w:noWrap w:val="0"/>
            <w:tcMar>
              <w:left w:w="0" w:type="dxa"/>
              <w:right w:w="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szCs w:val="18"/>
              </w:rPr>
            </w:pPr>
            <w:r>
              <w:rPr>
                <w:rFonts w:hint="eastAsia" w:ascii="宋体" w:hAnsi="宋体"/>
                <w:color w:val="auto"/>
                <w:sz w:val="18"/>
                <w:szCs w:val="18"/>
              </w:rPr>
              <w:t>文</w:t>
            </w:r>
            <w:r>
              <w:rPr>
                <w:rFonts w:hint="default" w:ascii="宋体" w:hAnsi="宋体"/>
                <w:color w:val="auto"/>
                <w:sz w:val="18"/>
                <w:szCs w:val="18"/>
              </w:rPr>
              <w:t xml:space="preserve">    </w:t>
            </w:r>
            <w:r>
              <w:rPr>
                <w:rFonts w:hint="eastAsia" w:ascii="宋体" w:hAnsi="宋体"/>
                <w:color w:val="auto"/>
                <w:sz w:val="18"/>
                <w:szCs w:val="18"/>
              </w:rPr>
              <w:t>号：</w:t>
            </w:r>
          </w:p>
        </w:tc>
        <w:tc>
          <w:tcPr>
            <w:tcW w:w="1752" w:type="dxa"/>
            <w:noWrap w:val="0"/>
            <w:tcMar>
              <w:left w:w="0" w:type="dxa"/>
              <w:right w:w="0" w:type="dxa"/>
            </w:tcMar>
            <w:vAlign w:val="center"/>
          </w:tcPr>
          <w:p>
            <w:pPr>
              <w:keepNext w:val="0"/>
              <w:keepLines w:val="0"/>
              <w:suppressLineNumbers w:val="0"/>
              <w:spacing w:before="0" w:beforeAutospacing="0" w:after="0" w:afterAutospacing="0" w:line="240" w:lineRule="exact"/>
              <w:ind w:left="0" w:right="0"/>
              <w:jc w:val="distribute"/>
              <w:rPr>
                <w:rFonts w:hint="default" w:ascii="宋体"/>
                <w:color w:val="auto"/>
                <w:sz w:val="32"/>
                <w:szCs w:val="32"/>
              </w:rPr>
            </w:pPr>
            <w:r>
              <w:rPr>
                <w:rFonts w:hint="eastAsia" w:ascii="宋体" w:hAnsi="宋体" w:cs="宋体"/>
                <w:color w:val="auto"/>
                <w:sz w:val="18"/>
                <w:szCs w:val="18"/>
              </w:rPr>
              <w:t>国统字〔2025〕88号</w:t>
            </w:r>
          </w:p>
        </w:tc>
      </w:tr>
      <w:tr>
        <w:tblPrEx>
          <w:tblCellMar>
            <w:top w:w="0" w:type="dxa"/>
            <w:left w:w="108" w:type="dxa"/>
            <w:bottom w:w="0" w:type="dxa"/>
            <w:right w:w="108" w:type="dxa"/>
          </w:tblCellMar>
        </w:tblPrEx>
        <w:trPr>
          <w:jc w:val="center"/>
        </w:trPr>
        <w:tc>
          <w:tcPr>
            <w:tcW w:w="2876" w:type="dxa"/>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eastAsia" w:ascii="宋体" w:hAnsi="宋体"/>
                <w:color w:val="auto"/>
                <w:sz w:val="18"/>
                <w:szCs w:val="18"/>
              </w:rPr>
            </w:pPr>
            <w:r>
              <w:rPr>
                <w:rFonts w:hint="eastAsia" w:ascii="宋体" w:hAnsi="宋体"/>
                <w:color w:val="auto"/>
                <w:sz w:val="18"/>
                <w:szCs w:val="18"/>
              </w:rPr>
              <w:t>项目名称：</w:t>
            </w:r>
          </w:p>
        </w:tc>
        <w:tc>
          <w:tcPr>
            <w:tcW w:w="1067" w:type="dxa"/>
            <w:noWrap w:val="0"/>
            <w:tcMar>
              <w:left w:w="0" w:type="dxa"/>
              <w:right w:w="0" w:type="dxa"/>
            </w:tcMar>
            <w:vAlign w:val="top"/>
          </w:tcPr>
          <w:p>
            <w:pPr>
              <w:keepNext w:val="0"/>
              <w:keepLines w:val="0"/>
              <w:suppressLineNumbers w:val="0"/>
              <w:spacing w:before="0" w:beforeAutospacing="0" w:after="0" w:afterAutospacing="0" w:line="240" w:lineRule="exact"/>
              <w:ind w:left="0" w:right="0"/>
              <w:jc w:val="center"/>
              <w:rPr>
                <w:rFonts w:hint="default" w:ascii="宋体"/>
                <w:color w:val="auto"/>
                <w:sz w:val="32"/>
                <w:szCs w:val="32"/>
              </w:rPr>
            </w:pPr>
          </w:p>
        </w:tc>
        <w:tc>
          <w:tcPr>
            <w:tcW w:w="2716" w:type="dxa"/>
            <w:noWrap w:val="0"/>
            <w:tcMar>
              <w:left w:w="0" w:type="dxa"/>
              <w:right w:w="0" w:type="dxa"/>
            </w:tcMar>
            <w:vAlign w:val="top"/>
          </w:tcPr>
          <w:p>
            <w:pPr>
              <w:keepNext w:val="0"/>
              <w:keepLines w:val="0"/>
              <w:suppressLineNumbers w:val="0"/>
              <w:spacing w:before="0" w:beforeAutospacing="0" w:after="0" w:afterAutospacing="0" w:line="240" w:lineRule="exact"/>
              <w:ind w:left="0" w:right="0" w:firstLine="90" w:firstLineChars="50"/>
              <w:rPr>
                <w:rFonts w:hint="eastAsia" w:ascii="宋体" w:hAnsi="宋体"/>
                <w:color w:val="auto"/>
                <w:sz w:val="18"/>
                <w:szCs w:val="18"/>
              </w:rPr>
            </w:pPr>
            <w:r>
              <w:rPr>
                <w:rFonts w:hint="eastAsia" w:ascii="宋体" w:hAnsi="宋体"/>
                <w:color w:val="auto"/>
                <w:sz w:val="18"/>
                <w:szCs w:val="18"/>
              </w:rPr>
              <w:t>２０２ 6年   月</w:t>
            </w:r>
          </w:p>
        </w:tc>
        <w:tc>
          <w:tcPr>
            <w:tcW w:w="992" w:type="dxa"/>
            <w:noWrap w:val="0"/>
            <w:tcMar>
              <w:left w:w="0" w:type="dxa"/>
              <w:right w:w="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olor w:val="auto"/>
                <w:sz w:val="18"/>
                <w:szCs w:val="18"/>
              </w:rPr>
            </w:pPr>
            <w:r>
              <w:rPr>
                <w:rFonts w:hint="eastAsia" w:ascii="宋体" w:hAnsi="宋体"/>
                <w:color w:val="auto"/>
                <w:sz w:val="18"/>
                <w:szCs w:val="18"/>
              </w:rPr>
              <w:t>有效期至：</w:t>
            </w:r>
          </w:p>
        </w:tc>
        <w:tc>
          <w:tcPr>
            <w:tcW w:w="1752" w:type="dxa"/>
            <w:noWrap w:val="0"/>
            <w:tcMar>
              <w:left w:w="0" w:type="dxa"/>
              <w:right w:w="0" w:type="dxa"/>
            </w:tcMar>
            <w:vAlign w:val="center"/>
          </w:tcPr>
          <w:p>
            <w:pPr>
              <w:keepNext w:val="0"/>
              <w:keepLines w:val="0"/>
              <w:suppressLineNumbers w:val="0"/>
              <w:spacing w:before="0" w:beforeAutospacing="0" w:after="0" w:afterAutospacing="0" w:line="240" w:lineRule="exact"/>
              <w:ind w:left="0" w:right="0"/>
              <w:jc w:val="distribute"/>
              <w:rPr>
                <w:rFonts w:hint="default" w:ascii="宋体"/>
                <w:color w:val="auto"/>
                <w:sz w:val="32"/>
                <w:szCs w:val="32"/>
              </w:rPr>
            </w:pPr>
            <w:r>
              <w:rPr>
                <w:rFonts w:hint="eastAsia" w:ascii="宋体" w:hAnsi="宋体" w:cs="宋体"/>
                <w:color w:val="auto"/>
                <w:sz w:val="18"/>
                <w:szCs w:val="18"/>
              </w:rPr>
              <w:t>2027年1月</w:t>
            </w:r>
          </w:p>
        </w:tc>
      </w:tr>
    </w:tbl>
    <w:p>
      <w:pPr>
        <w:spacing w:line="20" w:lineRule="exact"/>
        <w:rPr>
          <w:rFonts w:ascii="宋体"/>
          <w:color w:val="auto"/>
          <w:sz w:val="18"/>
          <w:szCs w:val="18"/>
        </w:rPr>
      </w:pPr>
    </w:p>
    <w:tbl>
      <w:tblPr>
        <w:tblStyle w:val="21"/>
        <w:tblW w:w="4885" w:type="pct"/>
        <w:jc w:val="center"/>
        <w:tblBorders>
          <w:top w:val="single" w:color="auto" w:sz="8" w:space="0"/>
          <w:left w:val="none" w:color="auto" w:sz="0" w:space="0"/>
          <w:bottom w:val="single" w:color="auto" w:sz="8" w:space="0"/>
          <w:right w:val="none" w:color="auto" w:sz="0" w:space="0"/>
          <w:insideH w:val="none" w:color="auto" w:sz="0" w:space="0"/>
          <w:insideV w:val="single" w:color="auto" w:sz="2" w:space="0"/>
        </w:tblBorders>
        <w:tblLayout w:type="autofit"/>
        <w:tblCellMar>
          <w:top w:w="0" w:type="dxa"/>
          <w:left w:w="108" w:type="dxa"/>
          <w:bottom w:w="0" w:type="dxa"/>
          <w:right w:w="108" w:type="dxa"/>
        </w:tblCellMar>
      </w:tblPr>
      <w:tblGrid>
        <w:gridCol w:w="3512"/>
        <w:gridCol w:w="2015"/>
        <w:gridCol w:w="1895"/>
        <w:gridCol w:w="1985"/>
      </w:tblGrid>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996" w:hRule="exact"/>
          <w:jc w:val="center"/>
        </w:trPr>
        <w:tc>
          <w:tcPr>
            <w:tcW w:w="1867" w:type="pct"/>
            <w:tcBorders>
              <w:bottom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rPr>
            </w:pPr>
            <w:r>
              <w:rPr>
                <w:rFonts w:hint="eastAsia" w:ascii="宋体" w:hAnsi="宋体"/>
                <w:color w:val="auto"/>
                <w:sz w:val="18"/>
              </w:rPr>
              <w:t>指标名称</w:t>
            </w:r>
          </w:p>
        </w:tc>
        <w:tc>
          <w:tcPr>
            <w:tcW w:w="1071" w:type="pct"/>
            <w:tcBorders>
              <w:bottom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rPr>
            </w:pPr>
            <w:r>
              <w:rPr>
                <w:rFonts w:hint="eastAsia" w:ascii="宋体" w:hAnsi="宋体"/>
                <w:color w:val="auto"/>
                <w:sz w:val="18"/>
              </w:rPr>
              <w:t>计量单位</w:t>
            </w:r>
          </w:p>
        </w:tc>
        <w:tc>
          <w:tcPr>
            <w:tcW w:w="1007" w:type="pct"/>
            <w:tcBorders>
              <w:bottom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rPr>
            </w:pPr>
            <w:r>
              <w:rPr>
                <w:rFonts w:hint="eastAsia" w:ascii="宋体" w:hAnsi="宋体"/>
                <w:color w:val="auto"/>
                <w:sz w:val="18"/>
              </w:rPr>
              <w:t>代码</w:t>
            </w:r>
          </w:p>
        </w:tc>
        <w:tc>
          <w:tcPr>
            <w:tcW w:w="1054" w:type="pct"/>
            <w:tcBorders>
              <w:bottom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rPr>
            </w:pPr>
            <w:r>
              <w:rPr>
                <w:rFonts w:hint="default" w:ascii="宋体" w:hAnsi="宋体"/>
                <w:color w:val="auto"/>
                <w:sz w:val="18"/>
              </w:rPr>
              <w:t>1—</w:t>
            </w:r>
            <w:r>
              <w:rPr>
                <w:rFonts w:hint="eastAsia" w:ascii="宋体" w:hAnsi="宋体"/>
                <w:color w:val="auto"/>
                <w:sz w:val="18"/>
              </w:rPr>
              <w:t>本月</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single" w:color="auto" w:sz="2" w:space="0"/>
              <w:bottom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rPr>
            </w:pPr>
            <w:r>
              <w:rPr>
                <w:rFonts w:hint="eastAsia" w:ascii="宋体" w:hAnsi="宋体"/>
                <w:color w:val="auto"/>
                <w:sz w:val="18"/>
              </w:rPr>
              <w:t>甲</w:t>
            </w:r>
          </w:p>
        </w:tc>
        <w:tc>
          <w:tcPr>
            <w:tcW w:w="1071" w:type="pct"/>
            <w:tcBorders>
              <w:top w:val="single" w:color="auto" w:sz="2" w:space="0"/>
              <w:bottom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rPr>
            </w:pPr>
            <w:r>
              <w:rPr>
                <w:rFonts w:hint="eastAsia" w:ascii="宋体" w:hAnsi="宋体"/>
                <w:color w:val="auto"/>
                <w:sz w:val="18"/>
              </w:rPr>
              <w:t>乙</w:t>
            </w:r>
          </w:p>
        </w:tc>
        <w:tc>
          <w:tcPr>
            <w:tcW w:w="1007" w:type="pct"/>
            <w:tcBorders>
              <w:top w:val="single" w:color="auto" w:sz="2" w:space="0"/>
              <w:bottom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color w:val="auto"/>
                <w:sz w:val="18"/>
              </w:rPr>
            </w:pPr>
            <w:r>
              <w:rPr>
                <w:rFonts w:hint="eastAsia" w:ascii="宋体" w:hAnsi="宋体"/>
                <w:color w:val="auto"/>
                <w:sz w:val="18"/>
              </w:rPr>
              <w:t>丙</w:t>
            </w:r>
          </w:p>
        </w:tc>
        <w:tc>
          <w:tcPr>
            <w:tcW w:w="1054" w:type="pct"/>
            <w:tcBorders>
              <w:top w:val="single" w:color="auto" w:sz="2" w:space="0"/>
              <w:bottom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r>
              <w:rPr>
                <w:rFonts w:hint="default" w:ascii="宋体" w:hAnsi="宋体"/>
                <w:color w:val="auto"/>
                <w:sz w:val="18"/>
              </w:rPr>
              <w:t>1</w:t>
            </w:r>
          </w:p>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r>
              <w:rPr>
                <w:rFonts w:hint="default" w:ascii="宋体" w:hAnsi="宋体"/>
                <w:color w:val="auto"/>
                <w:sz w:val="18"/>
              </w:rPr>
              <w:t>2</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olor w:val="auto"/>
                <w:sz w:val="18"/>
              </w:rPr>
            </w:pPr>
            <w:r>
              <w:rPr>
                <w:rFonts w:hint="eastAsia" w:ascii="宋体" w:hAnsi="宋体" w:cs="宋体"/>
                <w:color w:val="auto"/>
                <w:kern w:val="0"/>
                <w:sz w:val="18"/>
                <w:szCs w:val="18"/>
                <w:lang w:bidi="ar"/>
              </w:rPr>
              <w:t>保障性住房完成投资</w:t>
            </w:r>
          </w:p>
        </w:tc>
        <w:tc>
          <w:tcPr>
            <w:tcW w:w="1071" w:type="pct"/>
            <w:tcBorders>
              <w:top w:val="single" w:color="auto" w:sz="2" w:space="0"/>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万元</w:t>
            </w:r>
          </w:p>
        </w:tc>
        <w:tc>
          <w:tcPr>
            <w:tcW w:w="1007" w:type="pct"/>
            <w:tcBorders>
              <w:top w:val="single" w:color="auto" w:sz="2" w:space="0"/>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501</w:t>
            </w:r>
          </w:p>
        </w:tc>
        <w:tc>
          <w:tcPr>
            <w:tcW w:w="1054" w:type="pct"/>
            <w:tcBorders>
              <w:top w:val="single" w:color="auto" w:sz="2" w:space="0"/>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olor w:val="auto"/>
                <w:sz w:val="18"/>
              </w:rPr>
            </w:pPr>
            <w:r>
              <w:rPr>
                <w:rFonts w:hint="eastAsia" w:ascii="宋体" w:hAnsi="宋体" w:cs="宋体"/>
                <w:color w:val="auto"/>
                <w:kern w:val="0"/>
                <w:sz w:val="18"/>
                <w:szCs w:val="18"/>
                <w:lang w:bidi="ar"/>
              </w:rPr>
              <w:t xml:space="preserve">  其中：公租房</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万元</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502</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olor w:val="auto"/>
                <w:sz w:val="18"/>
              </w:rPr>
            </w:pPr>
            <w:r>
              <w:rPr>
                <w:rFonts w:hint="eastAsia" w:ascii="宋体" w:hAnsi="宋体" w:cs="宋体"/>
                <w:color w:val="auto"/>
                <w:kern w:val="0"/>
                <w:sz w:val="18"/>
                <w:szCs w:val="18"/>
                <w:lang w:bidi="ar"/>
              </w:rPr>
              <w:t xml:space="preserve">        保障性租赁住房</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万元</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503</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olor w:val="auto"/>
                <w:sz w:val="18"/>
              </w:rPr>
            </w:pPr>
            <w:r>
              <w:rPr>
                <w:rFonts w:hint="eastAsia" w:ascii="宋体" w:hAnsi="宋体" w:cs="宋体"/>
                <w:color w:val="auto"/>
                <w:kern w:val="0"/>
                <w:sz w:val="18"/>
                <w:szCs w:val="18"/>
                <w:lang w:bidi="ar"/>
              </w:rPr>
              <w:t xml:space="preserve">        共有产权住房</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万元</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504</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auto"/>
                <w:kern w:val="0"/>
                <w:sz w:val="18"/>
                <w:szCs w:val="18"/>
                <w:lang w:bidi="ar"/>
              </w:rPr>
            </w:pPr>
            <w:r>
              <w:rPr>
                <w:rFonts w:hint="eastAsia" w:ascii="宋体" w:hAnsi="宋体" w:cs="宋体"/>
                <w:color w:val="auto"/>
                <w:kern w:val="0"/>
                <w:sz w:val="18"/>
                <w:szCs w:val="18"/>
                <w:lang w:bidi="ar"/>
              </w:rPr>
              <w:t xml:space="preserve">        配售型保障房</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万元</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kern w:val="0"/>
                <w:sz w:val="18"/>
                <w:szCs w:val="18"/>
                <w:lang w:bidi="ar"/>
              </w:rPr>
            </w:pPr>
            <w:r>
              <w:rPr>
                <w:rFonts w:hint="eastAsia" w:ascii="宋体" w:hAnsi="宋体" w:cs="宋体"/>
                <w:color w:val="auto"/>
                <w:kern w:val="0"/>
                <w:sz w:val="18"/>
                <w:szCs w:val="18"/>
                <w:lang w:bidi="ar"/>
              </w:rPr>
              <w:t>517</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olor w:val="auto"/>
                <w:sz w:val="18"/>
              </w:rPr>
            </w:pPr>
            <w:r>
              <w:rPr>
                <w:rFonts w:hint="eastAsia" w:ascii="宋体" w:hAnsi="宋体" w:cs="宋体"/>
                <w:color w:val="auto"/>
                <w:kern w:val="0"/>
                <w:sz w:val="18"/>
                <w:szCs w:val="18"/>
                <w:lang w:bidi="ar"/>
              </w:rPr>
              <w:t xml:space="preserve">        其他</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万元</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505</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olor w:val="auto"/>
                <w:sz w:val="18"/>
              </w:rPr>
            </w:pPr>
            <w:r>
              <w:rPr>
                <w:rFonts w:hint="eastAsia" w:ascii="宋体" w:hAnsi="宋体" w:cs="宋体"/>
                <w:color w:val="auto"/>
                <w:kern w:val="0"/>
                <w:sz w:val="18"/>
                <w:szCs w:val="18"/>
                <w:lang w:bidi="ar"/>
              </w:rPr>
              <w:t>保障性住房销售面积</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平方米</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506</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auto"/>
                <w:kern w:val="0"/>
                <w:sz w:val="18"/>
                <w:szCs w:val="18"/>
                <w:lang w:bidi="ar"/>
              </w:rPr>
            </w:pPr>
            <w:r>
              <w:rPr>
                <w:rFonts w:hint="eastAsia" w:ascii="宋体" w:hAnsi="宋体" w:cs="宋体"/>
                <w:color w:val="auto"/>
                <w:kern w:val="0"/>
                <w:sz w:val="18"/>
                <w:szCs w:val="18"/>
                <w:lang w:bidi="ar"/>
              </w:rPr>
              <w:t xml:space="preserve">  其中：配售型保障房</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平方米</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kern w:val="0"/>
                <w:sz w:val="18"/>
                <w:szCs w:val="18"/>
                <w:lang w:bidi="ar"/>
              </w:rPr>
            </w:pPr>
            <w:r>
              <w:rPr>
                <w:rFonts w:hint="eastAsia" w:ascii="宋体" w:hAnsi="宋体" w:cs="宋体"/>
                <w:color w:val="auto"/>
                <w:kern w:val="0"/>
                <w:sz w:val="18"/>
                <w:szCs w:val="18"/>
                <w:lang w:bidi="ar"/>
              </w:rPr>
              <w:t>518</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olor w:val="auto"/>
                <w:sz w:val="18"/>
              </w:rPr>
            </w:pPr>
            <w:r>
              <w:rPr>
                <w:rFonts w:hint="eastAsia" w:ascii="宋体" w:hAnsi="宋体" w:cs="宋体"/>
                <w:color w:val="auto"/>
                <w:kern w:val="0"/>
                <w:sz w:val="18"/>
                <w:szCs w:val="18"/>
                <w:lang w:bidi="ar"/>
              </w:rPr>
              <w:t>保障性住房销售套数</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套</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507</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auto"/>
                <w:kern w:val="0"/>
                <w:sz w:val="18"/>
                <w:szCs w:val="18"/>
                <w:lang w:bidi="ar"/>
              </w:rPr>
            </w:pPr>
            <w:r>
              <w:rPr>
                <w:rFonts w:hint="eastAsia" w:ascii="宋体" w:hAnsi="宋体" w:cs="宋体"/>
                <w:color w:val="auto"/>
                <w:kern w:val="0"/>
                <w:sz w:val="18"/>
                <w:szCs w:val="18"/>
                <w:lang w:bidi="ar"/>
              </w:rPr>
              <w:t xml:space="preserve">  其中：配售型保障房</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套</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kern w:val="0"/>
                <w:sz w:val="18"/>
                <w:szCs w:val="18"/>
                <w:lang w:bidi="ar"/>
              </w:rPr>
            </w:pPr>
            <w:r>
              <w:rPr>
                <w:rFonts w:hint="eastAsia" w:ascii="宋体" w:hAnsi="宋体" w:cs="宋体"/>
                <w:color w:val="auto"/>
                <w:kern w:val="0"/>
                <w:sz w:val="18"/>
                <w:szCs w:val="18"/>
                <w:lang w:bidi="ar"/>
              </w:rPr>
              <w:t>519</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olor w:val="auto"/>
                <w:sz w:val="18"/>
              </w:rPr>
            </w:pPr>
            <w:r>
              <w:rPr>
                <w:rFonts w:hint="eastAsia" w:ascii="宋体" w:hAnsi="宋体" w:cs="宋体"/>
                <w:color w:val="auto"/>
                <w:kern w:val="0"/>
                <w:sz w:val="18"/>
                <w:szCs w:val="18"/>
                <w:lang w:bidi="ar"/>
              </w:rPr>
              <w:t>保障性住房销售额</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万元</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508</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auto"/>
                <w:kern w:val="0"/>
                <w:sz w:val="18"/>
                <w:szCs w:val="18"/>
                <w:lang w:bidi="ar"/>
              </w:rPr>
            </w:pPr>
            <w:r>
              <w:rPr>
                <w:rFonts w:hint="eastAsia" w:ascii="宋体" w:hAnsi="宋体" w:cs="宋体"/>
                <w:color w:val="auto"/>
                <w:kern w:val="0"/>
                <w:sz w:val="18"/>
                <w:szCs w:val="18"/>
                <w:lang w:bidi="ar"/>
              </w:rPr>
              <w:t xml:space="preserve">  其中：配售型保障房</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万元</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kern w:val="0"/>
                <w:sz w:val="18"/>
                <w:szCs w:val="18"/>
                <w:lang w:bidi="ar"/>
              </w:rPr>
            </w:pPr>
            <w:r>
              <w:rPr>
                <w:rFonts w:hint="eastAsia" w:ascii="宋体" w:hAnsi="宋体" w:cs="宋体"/>
                <w:color w:val="auto"/>
                <w:kern w:val="0"/>
                <w:sz w:val="18"/>
                <w:szCs w:val="18"/>
                <w:lang w:bidi="ar"/>
              </w:rPr>
              <w:t>520</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实物补偿住房面积</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平方米</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kern w:val="0"/>
                <w:sz w:val="18"/>
                <w:szCs w:val="18"/>
                <w:lang w:bidi="ar"/>
              </w:rPr>
            </w:pPr>
            <w:r>
              <w:rPr>
                <w:rFonts w:hint="eastAsia" w:ascii="宋体" w:hAnsi="宋体" w:cs="宋体"/>
                <w:color w:val="auto"/>
                <w:kern w:val="0"/>
                <w:sz w:val="18"/>
                <w:szCs w:val="18"/>
                <w:lang w:bidi="ar"/>
              </w:rPr>
              <w:t>521</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实物补偿住房套数</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套</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kern w:val="0"/>
                <w:sz w:val="18"/>
                <w:szCs w:val="18"/>
                <w:lang w:bidi="ar"/>
              </w:rPr>
            </w:pPr>
            <w:r>
              <w:rPr>
                <w:rFonts w:hint="eastAsia" w:ascii="宋体" w:hAnsi="宋体" w:cs="宋体"/>
                <w:color w:val="auto"/>
                <w:kern w:val="0"/>
                <w:sz w:val="18"/>
                <w:szCs w:val="18"/>
                <w:lang w:bidi="ar"/>
              </w:rPr>
              <w:t>522</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olor w:val="auto"/>
                <w:sz w:val="18"/>
              </w:rPr>
            </w:pPr>
            <w:r>
              <w:rPr>
                <w:rFonts w:hint="eastAsia" w:ascii="宋体" w:hAnsi="宋体" w:cs="宋体"/>
                <w:color w:val="auto"/>
                <w:kern w:val="0"/>
                <w:sz w:val="18"/>
                <w:szCs w:val="18"/>
                <w:lang w:bidi="ar"/>
              </w:rPr>
              <w:t>保障性住房可出租面积</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平方米</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509</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olor w:val="auto"/>
                <w:sz w:val="18"/>
              </w:rPr>
            </w:pPr>
            <w:r>
              <w:rPr>
                <w:rFonts w:hint="eastAsia" w:ascii="宋体" w:hAnsi="宋体" w:cs="宋体"/>
                <w:color w:val="auto"/>
                <w:kern w:val="0"/>
                <w:sz w:val="18"/>
                <w:szCs w:val="18"/>
                <w:lang w:bidi="ar"/>
              </w:rPr>
              <w:t xml:space="preserve">  其中：公租房</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平方米</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510</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olor w:val="auto"/>
                <w:sz w:val="18"/>
              </w:rPr>
            </w:pPr>
            <w:r>
              <w:rPr>
                <w:rFonts w:hint="eastAsia" w:ascii="宋体" w:hAnsi="宋体" w:cs="宋体"/>
                <w:color w:val="auto"/>
                <w:kern w:val="0"/>
                <w:sz w:val="18"/>
                <w:szCs w:val="18"/>
                <w:lang w:bidi="ar"/>
              </w:rPr>
              <w:t xml:space="preserve">        保障性租赁住房</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平方米</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511</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olor w:val="auto"/>
                <w:sz w:val="18"/>
              </w:rPr>
            </w:pPr>
            <w:r>
              <w:rPr>
                <w:rFonts w:hint="eastAsia" w:ascii="宋体" w:hAnsi="宋体" w:cs="宋体"/>
                <w:color w:val="auto"/>
                <w:kern w:val="0"/>
                <w:sz w:val="18"/>
                <w:szCs w:val="18"/>
                <w:lang w:bidi="ar"/>
              </w:rPr>
              <w:t>保障性住房可出租套数</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套</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512</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olor w:val="auto"/>
                <w:sz w:val="18"/>
              </w:rPr>
            </w:pPr>
            <w:r>
              <w:rPr>
                <w:rFonts w:hint="eastAsia" w:ascii="宋体" w:hAnsi="宋体" w:cs="宋体"/>
                <w:color w:val="auto"/>
                <w:kern w:val="0"/>
                <w:sz w:val="18"/>
                <w:szCs w:val="18"/>
                <w:lang w:bidi="ar"/>
              </w:rPr>
              <w:t xml:space="preserve">  其中：公租房</w:t>
            </w:r>
          </w:p>
        </w:tc>
        <w:tc>
          <w:tcPr>
            <w:tcW w:w="1071"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套</w:t>
            </w:r>
          </w:p>
        </w:tc>
        <w:tc>
          <w:tcPr>
            <w:tcW w:w="1007" w:type="pct"/>
            <w:tcBorders>
              <w:top w:val="nil"/>
              <w:left w:val="single" w:color="auto" w:sz="2" w:space="0"/>
              <w:bottom w:val="nil"/>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513</w:t>
            </w:r>
          </w:p>
        </w:tc>
        <w:tc>
          <w:tcPr>
            <w:tcW w:w="1054" w:type="pct"/>
            <w:tcBorders>
              <w:top w:val="nil"/>
              <w:left w:val="single" w:color="auto" w:sz="2" w:space="0"/>
              <w:bottom w:val="nil"/>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1867" w:type="pct"/>
            <w:tcBorders>
              <w:top w:val="nil"/>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olor w:val="auto"/>
                <w:sz w:val="18"/>
              </w:rPr>
            </w:pPr>
            <w:r>
              <w:rPr>
                <w:rFonts w:hint="eastAsia" w:ascii="宋体" w:hAnsi="宋体" w:cs="宋体"/>
                <w:color w:val="auto"/>
                <w:kern w:val="0"/>
                <w:sz w:val="18"/>
                <w:szCs w:val="18"/>
                <w:lang w:bidi="ar"/>
              </w:rPr>
              <w:t xml:space="preserve">        保障性租赁住房</w:t>
            </w:r>
          </w:p>
        </w:tc>
        <w:tc>
          <w:tcPr>
            <w:tcW w:w="1071" w:type="pct"/>
            <w:tcBorders>
              <w:top w:val="nil"/>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套</w:t>
            </w:r>
          </w:p>
        </w:tc>
        <w:tc>
          <w:tcPr>
            <w:tcW w:w="1007" w:type="pct"/>
            <w:tcBorders>
              <w:top w:val="nil"/>
              <w:left w:val="single" w:color="auto" w:sz="2" w:space="0"/>
              <w:bottom w:val="single" w:color="auto" w:sz="2" w:space="0"/>
              <w:right w:val="single" w:color="auto" w:sz="2"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18"/>
              </w:rPr>
            </w:pPr>
            <w:r>
              <w:rPr>
                <w:rFonts w:hint="eastAsia" w:ascii="宋体" w:hAnsi="宋体" w:cs="宋体"/>
                <w:color w:val="auto"/>
                <w:kern w:val="0"/>
                <w:sz w:val="18"/>
                <w:szCs w:val="18"/>
                <w:lang w:bidi="ar"/>
              </w:rPr>
              <w:t>514</w:t>
            </w:r>
          </w:p>
        </w:tc>
        <w:tc>
          <w:tcPr>
            <w:tcW w:w="1054" w:type="pct"/>
            <w:tcBorders>
              <w:top w:val="nil"/>
              <w:left w:val="single" w:color="auto" w:sz="2" w:space="0"/>
              <w:bottom w:val="single" w:color="auto" w:sz="2" w:space="0"/>
            </w:tcBorders>
            <w:noWrap w:val="0"/>
            <w:vAlign w:val="center"/>
          </w:tcPr>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5000" w:type="pct"/>
            <w:gridSpan w:val="4"/>
            <w:tcBorders>
              <w:top w:val="single" w:color="auto" w:sz="2" w:space="0"/>
              <w:bottom w:val="nil"/>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项目规划相关资料：</w:t>
            </w:r>
          </w:p>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r>
              <w:rPr>
                <w:rFonts w:hint="eastAsia" w:ascii="宋体" w:hAnsi="宋体" w:cs="宋体"/>
                <w:color w:val="auto"/>
                <w:kern w:val="0"/>
                <w:sz w:val="18"/>
                <w:szCs w:val="18"/>
                <w:lang w:bidi="ar"/>
              </w:rPr>
              <w:t>515</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5000" w:type="pct"/>
            <w:gridSpan w:val="4"/>
            <w:tcBorders>
              <w:top w:val="nil"/>
              <w:bottom w:val="nil"/>
            </w:tcBorders>
            <w:noWrap w:val="0"/>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auto"/>
                <w:kern w:val="0"/>
                <w:sz w:val="18"/>
                <w:szCs w:val="18"/>
                <w:lang w:bidi="ar"/>
              </w:rPr>
            </w:pPr>
            <w:r>
              <w:rPr>
                <w:rFonts w:hint="eastAsia" w:ascii="宋体" w:hAnsi="宋体" w:cs="宋体"/>
                <w:color w:val="auto"/>
                <w:kern w:val="0"/>
                <w:sz w:val="18"/>
                <w:szCs w:val="18"/>
                <w:lang w:bidi="ar"/>
              </w:rPr>
              <w:t xml:space="preserve">    保障性住房规划建筑面积（515）</w:t>
            </w:r>
            <w:r>
              <w:rPr>
                <w:rFonts w:hint="eastAsia" w:ascii="宋体" w:hAnsi="宋体" w:cs="宋体"/>
                <w:color w:val="auto"/>
                <w:kern w:val="0"/>
                <w:sz w:val="18"/>
                <w:szCs w:val="18"/>
                <w:u w:val="single"/>
                <w:lang w:bidi="ar"/>
              </w:rPr>
              <w:t xml:space="preserve">              </w:t>
            </w:r>
            <w:r>
              <w:rPr>
                <w:rFonts w:hint="eastAsia" w:ascii="宋体" w:hAnsi="宋体" w:cs="宋体"/>
                <w:color w:val="auto"/>
                <w:kern w:val="0"/>
                <w:sz w:val="18"/>
                <w:szCs w:val="18"/>
                <w:lang w:bidi="ar"/>
              </w:rPr>
              <w:t>平方米</w:t>
            </w:r>
          </w:p>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r>
              <w:rPr>
                <w:rFonts w:hint="eastAsia" w:ascii="宋体" w:hAnsi="宋体" w:cs="宋体"/>
                <w:color w:val="auto"/>
                <w:kern w:val="0"/>
                <w:sz w:val="18"/>
                <w:szCs w:val="18"/>
                <w:lang w:bidi="ar"/>
              </w:rPr>
              <w:t>516</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283" w:hRule="exact"/>
          <w:jc w:val="center"/>
        </w:trPr>
        <w:tc>
          <w:tcPr>
            <w:tcW w:w="5000" w:type="pct"/>
            <w:gridSpan w:val="4"/>
            <w:tcBorders>
              <w:top w:val="nil"/>
              <w:bottom w:val="single" w:color="auto" w:sz="8"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color w:val="auto"/>
              </w:rPr>
            </w:pPr>
            <w:r>
              <w:rPr>
                <w:rFonts w:hint="eastAsia" w:ascii="宋体" w:hAnsi="宋体" w:cs="宋体"/>
                <w:color w:val="auto"/>
                <w:kern w:val="0"/>
                <w:sz w:val="18"/>
                <w:szCs w:val="18"/>
                <w:lang w:bidi="ar"/>
              </w:rPr>
              <w:t xml:space="preserve">    保障性住房规划住宅套数（516）</w:t>
            </w:r>
            <w:r>
              <w:rPr>
                <w:rFonts w:hint="eastAsia" w:ascii="宋体" w:hAnsi="宋体" w:cs="宋体"/>
                <w:color w:val="auto"/>
                <w:kern w:val="0"/>
                <w:sz w:val="18"/>
                <w:szCs w:val="18"/>
                <w:u w:val="single"/>
                <w:lang w:bidi="ar"/>
              </w:rPr>
              <w:t xml:space="preserve">                 </w:t>
            </w:r>
            <w:r>
              <w:rPr>
                <w:rFonts w:hint="eastAsia" w:ascii="宋体" w:hAnsi="宋体" w:cs="宋体"/>
                <w:color w:val="auto"/>
                <w:kern w:val="0"/>
                <w:sz w:val="18"/>
                <w:szCs w:val="18"/>
                <w:lang w:bidi="ar"/>
              </w:rPr>
              <w:t>套</w:t>
            </w:r>
          </w:p>
          <w:p>
            <w:pPr>
              <w:keepNext w:val="0"/>
              <w:keepLines w:val="0"/>
              <w:suppressLineNumbers w:val="0"/>
              <w:spacing w:before="0" w:beforeAutospacing="0" w:after="0" w:afterAutospacing="0" w:line="240" w:lineRule="exact"/>
              <w:ind w:left="0" w:right="0"/>
              <w:jc w:val="center"/>
              <w:rPr>
                <w:rFonts w:hint="default" w:ascii="宋体" w:hAnsi="宋体"/>
                <w:color w:val="auto"/>
                <w:sz w:val="18"/>
              </w:rPr>
            </w:pPr>
          </w:p>
        </w:tc>
      </w:tr>
    </w:tbl>
    <w:p>
      <w:pPr>
        <w:spacing w:line="260" w:lineRule="exact"/>
        <w:rPr>
          <w:rFonts w:ascii="宋体"/>
          <w:bCs/>
          <w:color w:val="auto"/>
          <w:sz w:val="18"/>
          <w:szCs w:val="18"/>
        </w:rPr>
      </w:pPr>
      <w:r>
        <w:rPr>
          <w:rFonts w:hint="eastAsia" w:ascii="宋体" w:hAnsi="宋体"/>
          <w:bCs/>
          <w:color w:val="auto"/>
          <w:sz w:val="18"/>
          <w:szCs w:val="18"/>
        </w:rPr>
        <w:t>单位负责人：</w:t>
      </w:r>
      <w:r>
        <w:rPr>
          <w:rFonts w:ascii="宋体" w:hAnsi="宋体"/>
          <w:bCs/>
          <w:color w:val="auto"/>
          <w:sz w:val="18"/>
          <w:szCs w:val="18"/>
        </w:rPr>
        <w:t xml:space="preserve">             </w:t>
      </w:r>
      <w:r>
        <w:rPr>
          <w:rFonts w:hint="eastAsia" w:ascii="宋体" w:hAnsi="宋体"/>
          <w:bCs/>
          <w:color w:val="auto"/>
          <w:sz w:val="18"/>
          <w:szCs w:val="18"/>
        </w:rPr>
        <w:t>统计负责人：</w:t>
      </w:r>
      <w:r>
        <w:rPr>
          <w:rFonts w:ascii="宋体" w:hAnsi="宋体"/>
          <w:bCs/>
          <w:color w:val="auto"/>
          <w:sz w:val="18"/>
          <w:szCs w:val="18"/>
        </w:rPr>
        <w:t xml:space="preserve">          </w:t>
      </w:r>
      <w:r>
        <w:rPr>
          <w:rFonts w:hint="eastAsia" w:ascii="宋体" w:hAnsi="宋体"/>
          <w:bCs/>
          <w:color w:val="auto"/>
          <w:sz w:val="18"/>
          <w:szCs w:val="18"/>
        </w:rPr>
        <w:t>填表人：</w:t>
      </w:r>
      <w:r>
        <w:rPr>
          <w:rFonts w:ascii="宋体" w:hAnsi="宋体"/>
          <w:bCs/>
          <w:color w:val="auto"/>
          <w:sz w:val="18"/>
          <w:szCs w:val="18"/>
        </w:rPr>
        <w:t xml:space="preserve">       </w:t>
      </w:r>
      <w:r>
        <w:rPr>
          <w:rFonts w:ascii="宋体"/>
          <w:bCs/>
          <w:color w:val="auto"/>
          <w:sz w:val="18"/>
        </w:rPr>
        <w:t xml:space="preserve"> </w:t>
      </w:r>
      <w:r>
        <w:rPr>
          <w:rFonts w:hint="eastAsia" w:ascii="宋体"/>
          <w:bCs/>
          <w:color w:val="auto"/>
          <w:sz w:val="18"/>
        </w:rPr>
        <w:t>联系电话：</w:t>
      </w:r>
      <w:r>
        <w:rPr>
          <w:rFonts w:ascii="宋体"/>
          <w:bCs/>
          <w:color w:val="auto"/>
          <w:sz w:val="18"/>
        </w:rPr>
        <w:t xml:space="preserve">     </w:t>
      </w:r>
      <w:r>
        <w:rPr>
          <w:rFonts w:hint="eastAsia" w:ascii="宋体" w:hAnsi="宋体"/>
          <w:bCs/>
          <w:color w:val="auto"/>
          <w:sz w:val="18"/>
          <w:szCs w:val="18"/>
        </w:rPr>
        <w:t>报出日期：２０</w:t>
      </w:r>
      <w:r>
        <w:rPr>
          <w:rFonts w:ascii="宋体" w:hAnsi="宋体"/>
          <w:bCs/>
          <w:color w:val="auto"/>
          <w:sz w:val="18"/>
          <w:szCs w:val="18"/>
        </w:rPr>
        <w:t xml:space="preserve">   </w:t>
      </w:r>
      <w:r>
        <w:rPr>
          <w:rFonts w:hint="eastAsia" w:ascii="宋体" w:hAnsi="宋体"/>
          <w:bCs/>
          <w:color w:val="auto"/>
          <w:sz w:val="18"/>
          <w:szCs w:val="18"/>
        </w:rPr>
        <w:t>年</w:t>
      </w:r>
      <w:r>
        <w:rPr>
          <w:rFonts w:ascii="宋体" w:hAnsi="宋体"/>
          <w:bCs/>
          <w:color w:val="auto"/>
          <w:sz w:val="18"/>
          <w:szCs w:val="18"/>
        </w:rPr>
        <w:t xml:space="preserve">   </w:t>
      </w:r>
      <w:r>
        <w:rPr>
          <w:rFonts w:hint="eastAsia" w:ascii="宋体" w:hAnsi="宋体"/>
          <w:bCs/>
          <w:color w:val="auto"/>
          <w:sz w:val="18"/>
          <w:szCs w:val="18"/>
        </w:rPr>
        <w:t>月</w:t>
      </w:r>
      <w:r>
        <w:rPr>
          <w:rFonts w:ascii="宋体" w:hAnsi="宋体"/>
          <w:bCs/>
          <w:color w:val="auto"/>
          <w:sz w:val="18"/>
          <w:szCs w:val="18"/>
        </w:rPr>
        <w:t xml:space="preserve">   </w:t>
      </w:r>
      <w:r>
        <w:rPr>
          <w:rFonts w:hint="eastAsia" w:ascii="宋体" w:hAnsi="宋体"/>
          <w:bCs/>
          <w:color w:val="auto"/>
          <w:sz w:val="18"/>
          <w:szCs w:val="18"/>
        </w:rPr>
        <w:t>日</w:t>
      </w:r>
    </w:p>
    <w:p>
      <w:pPr>
        <w:spacing w:line="260" w:lineRule="exact"/>
        <w:rPr>
          <w:rFonts w:hint="eastAsia" w:ascii="宋体"/>
          <w:color w:val="auto"/>
          <w:sz w:val="18"/>
        </w:rPr>
      </w:pPr>
    </w:p>
    <w:p>
      <w:pPr>
        <w:spacing w:line="240" w:lineRule="exact"/>
        <w:rPr>
          <w:rFonts w:hint="eastAsia" w:ascii="宋体"/>
          <w:color w:val="auto"/>
          <w:sz w:val="18"/>
          <w:shd w:val="clear" w:color="FFFFFF" w:fill="D9D9D9"/>
        </w:rPr>
      </w:pPr>
      <w:r>
        <w:rPr>
          <w:rFonts w:hint="eastAsia" w:ascii="宋体"/>
          <w:color w:val="auto"/>
          <w:sz w:val="18"/>
        </w:rPr>
        <w:t>说明：1.统计范围：辖区内进行保障性住房开发建设的单位。</w:t>
      </w:r>
    </w:p>
    <w:p>
      <w:pPr>
        <w:spacing w:line="240" w:lineRule="exact"/>
        <w:ind w:left="2161" w:leftChars="258" w:hanging="1620" w:hangingChars="900"/>
        <w:rPr>
          <w:rFonts w:hint="eastAsia" w:ascii="宋体"/>
          <w:color w:val="auto"/>
          <w:sz w:val="18"/>
        </w:rPr>
      </w:pPr>
      <w:r>
        <w:rPr>
          <w:rFonts w:hint="eastAsia" w:ascii="宋体"/>
          <w:color w:val="auto"/>
          <w:sz w:val="18"/>
        </w:rPr>
        <w:t>2.报送日期及方式：调查单位2、10月月后6日，6、7、8、11月月后7日，3、5、12月月后8日，4月月后9日，9月月后12日12:00前网上填报，1月免报；</w:t>
      </w:r>
      <w:r>
        <w:rPr>
          <w:rFonts w:hint="eastAsia" w:ascii="宋体"/>
          <w:color w:val="auto"/>
          <w:sz w:val="18"/>
          <w:lang w:val="en-US" w:eastAsia="zh-CN"/>
        </w:rPr>
        <w:t>各</w:t>
      </w:r>
      <w:r>
        <w:rPr>
          <w:rFonts w:hint="eastAsia" w:ascii="宋体"/>
          <w:color w:val="auto"/>
          <w:sz w:val="18"/>
        </w:rPr>
        <w:t>级统计机构</w:t>
      </w:r>
      <w:r>
        <w:rPr>
          <w:rFonts w:hint="eastAsia" w:ascii="宋体"/>
          <w:color w:val="auto"/>
          <w:sz w:val="18"/>
          <w:lang w:val="en-US" w:eastAsia="zh-CN"/>
        </w:rPr>
        <w:t>于统计云平台要求时间</w:t>
      </w:r>
      <w:r>
        <w:rPr>
          <w:rFonts w:hint="eastAsia" w:ascii="宋体"/>
          <w:color w:val="auto"/>
          <w:sz w:val="18"/>
        </w:rPr>
        <w:t>前完成数据审核、验收、上报，1月免报。</w:t>
      </w:r>
    </w:p>
    <w:p>
      <w:pPr>
        <w:spacing w:line="240" w:lineRule="exact"/>
        <w:rPr>
          <w:rFonts w:hint="eastAsia" w:ascii="宋体"/>
          <w:color w:val="auto"/>
          <w:sz w:val="18"/>
        </w:rPr>
      </w:pPr>
      <w:r>
        <w:rPr>
          <w:rFonts w:hint="eastAsia" w:ascii="宋体"/>
          <w:color w:val="auto"/>
          <w:sz w:val="18"/>
        </w:rPr>
        <w:t xml:space="preserve">      3.本表统一社会信用代码、单位详细名称、项目代码、项目名称调查单位免填。</w:t>
      </w:r>
    </w:p>
    <w:p>
      <w:pPr>
        <w:spacing w:line="240" w:lineRule="exact"/>
        <w:rPr>
          <w:rFonts w:hint="eastAsia" w:ascii="宋体"/>
          <w:color w:val="auto"/>
          <w:sz w:val="18"/>
        </w:rPr>
      </w:pPr>
      <w:r>
        <w:rPr>
          <w:rFonts w:hint="eastAsia" w:ascii="宋体"/>
          <w:color w:val="auto"/>
          <w:sz w:val="18"/>
        </w:rPr>
        <w:t xml:space="preserve">      4.审核关系：</w:t>
      </w:r>
    </w:p>
    <w:p>
      <w:pPr>
        <w:spacing w:line="240" w:lineRule="exact"/>
        <w:jc w:val="left"/>
        <w:rPr>
          <w:rFonts w:hint="eastAsia" w:ascii="宋体" w:hAnsi="宋体"/>
          <w:color w:val="auto"/>
          <w:sz w:val="18"/>
          <w:szCs w:val="18"/>
        </w:rPr>
      </w:pPr>
      <w:r>
        <w:rPr>
          <w:rFonts w:hint="eastAsia" w:ascii="宋体"/>
          <w:color w:val="auto"/>
          <w:sz w:val="18"/>
        </w:rPr>
        <w:t xml:space="preserve">        （1）501=502+503+504+505+517   （2） 509=510+511  （3） 512=513+514  （4）506</w:t>
      </w:r>
      <w:r>
        <w:rPr>
          <w:rFonts w:hint="eastAsia" w:ascii="宋体" w:hAnsi="宋体"/>
          <w:color w:val="auto"/>
          <w:sz w:val="18"/>
          <w:szCs w:val="18"/>
        </w:rPr>
        <w:t>≥518</w:t>
      </w:r>
    </w:p>
    <w:p>
      <w:pPr>
        <w:pStyle w:val="2"/>
        <w:spacing w:after="0" w:line="240" w:lineRule="exact"/>
        <w:ind w:left="0" w:leftChars="0" w:firstLine="720" w:firstLineChars="400"/>
        <w:rPr>
          <w:color w:val="auto"/>
        </w:rPr>
      </w:pPr>
      <w:r>
        <w:rPr>
          <w:rFonts w:hint="eastAsia" w:ascii="宋体" w:hAnsi="宋体"/>
          <w:color w:val="auto"/>
          <w:sz w:val="18"/>
          <w:szCs w:val="18"/>
        </w:rPr>
        <w:t>（5）507≥519   （6）508≥520</w:t>
      </w:r>
    </w:p>
    <w:p>
      <w:pPr>
        <w:pStyle w:val="9"/>
        <w:spacing w:line="240" w:lineRule="exact"/>
        <w:rPr>
          <w:rFonts w:hint="eastAsia"/>
          <w:snapToGrid w:val="0"/>
          <w:color w:val="auto"/>
        </w:rPr>
      </w:pPr>
    </w:p>
    <w:p>
      <w:pPr>
        <w:jc w:val="center"/>
        <w:outlineLvl w:val="2"/>
        <w:rPr>
          <w:rFonts w:ascii="宋体" w:hAnsi="宋体"/>
          <w:color w:val="auto"/>
          <w:sz w:val="32"/>
          <w:szCs w:val="32"/>
        </w:rPr>
      </w:pPr>
      <w:r>
        <w:rPr>
          <w:rFonts w:ascii="宋体" w:hAnsi="宋体"/>
          <w:color w:val="auto"/>
          <w:sz w:val="32"/>
          <w:szCs w:val="32"/>
        </w:rPr>
        <w:br w:type="page"/>
      </w:r>
      <w:r>
        <w:rPr>
          <w:rFonts w:hint="eastAsia" w:ascii="宋体" w:hAnsi="宋体"/>
          <w:color w:val="auto"/>
          <w:sz w:val="32"/>
          <w:szCs w:val="32"/>
        </w:rPr>
        <w:t>投资项目申请表</w:t>
      </w:r>
    </w:p>
    <w:tbl>
      <w:tblPr>
        <w:tblStyle w:val="21"/>
        <w:tblW w:w="0" w:type="auto"/>
        <w:jc w:val="center"/>
        <w:tblLayout w:type="fixed"/>
        <w:tblCellMar>
          <w:top w:w="0" w:type="dxa"/>
          <w:left w:w="108" w:type="dxa"/>
          <w:bottom w:w="0" w:type="dxa"/>
          <w:right w:w="108" w:type="dxa"/>
        </w:tblCellMar>
      </w:tblPr>
      <w:tblGrid>
        <w:gridCol w:w="3186"/>
        <w:gridCol w:w="3393"/>
        <w:gridCol w:w="1050"/>
        <w:gridCol w:w="1869"/>
      </w:tblGrid>
      <w:tr>
        <w:tblPrEx>
          <w:tblCellMar>
            <w:top w:w="0" w:type="dxa"/>
            <w:left w:w="108" w:type="dxa"/>
            <w:bottom w:w="0" w:type="dxa"/>
            <w:right w:w="108" w:type="dxa"/>
          </w:tblCellMar>
        </w:tblPrEx>
        <w:trPr>
          <w:trHeight w:val="227" w:hRule="atLeast"/>
          <w:jc w:val="center"/>
        </w:trPr>
        <w:tc>
          <w:tcPr>
            <w:tcW w:w="6579" w:type="dxa"/>
            <w:gridSpan w:val="2"/>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default" w:ascii="宋体" w:cs="宋体"/>
                <w:color w:val="auto"/>
                <w:sz w:val="32"/>
                <w:szCs w:val="32"/>
              </w:rPr>
            </w:pPr>
          </w:p>
        </w:tc>
        <w:tc>
          <w:tcPr>
            <w:tcW w:w="1050" w:type="dxa"/>
            <w:noWrap w:val="0"/>
            <w:vAlign w:val="top"/>
          </w:tcPr>
          <w:p>
            <w:pPr>
              <w:keepNext w:val="0"/>
              <w:keepLines w:val="0"/>
              <w:suppressLineNumbers w:val="0"/>
              <w:snapToGrid w:val="0"/>
              <w:spacing w:before="0" w:beforeAutospacing="0" w:after="0" w:afterAutospacing="0"/>
              <w:ind w:left="0" w:right="0"/>
              <w:jc w:val="right"/>
              <w:rPr>
                <w:rFonts w:hint="default" w:ascii="宋体" w:cs="宋体"/>
                <w:color w:val="auto"/>
                <w:sz w:val="32"/>
                <w:szCs w:val="32"/>
              </w:rPr>
            </w:pPr>
            <w:r>
              <w:rPr>
                <w:rFonts w:hint="eastAsia" w:ascii="宋体" w:hAnsi="宋体" w:cs="宋体"/>
                <w:color w:val="auto"/>
                <w:sz w:val="18"/>
                <w:szCs w:val="18"/>
              </w:rPr>
              <w:t>表</w:t>
            </w:r>
            <w:r>
              <w:rPr>
                <w:rFonts w:hint="default" w:ascii="宋体" w:hAnsi="宋体" w:cs="宋体"/>
                <w:color w:val="auto"/>
                <w:sz w:val="18"/>
                <w:szCs w:val="18"/>
              </w:rPr>
              <w:t xml:space="preserve">    </w:t>
            </w:r>
            <w:r>
              <w:rPr>
                <w:rFonts w:hint="eastAsia" w:ascii="宋体" w:hAnsi="宋体" w:cs="宋体"/>
                <w:color w:val="auto"/>
                <w:sz w:val="18"/>
                <w:szCs w:val="18"/>
              </w:rPr>
              <w:t>号：</w:t>
            </w:r>
          </w:p>
        </w:tc>
        <w:tc>
          <w:tcPr>
            <w:tcW w:w="1869" w:type="dxa"/>
            <w:noWrap w:val="0"/>
            <w:vAlign w:val="center"/>
          </w:tcPr>
          <w:p>
            <w:pPr>
              <w:keepNext w:val="0"/>
              <w:keepLines w:val="0"/>
              <w:suppressLineNumbers w:val="0"/>
              <w:snapToGrid w:val="0"/>
              <w:spacing w:before="0" w:beforeAutospacing="0" w:after="0" w:afterAutospacing="0"/>
              <w:ind w:left="-105" w:leftChars="-50" w:right="0"/>
              <w:jc w:val="distribute"/>
              <w:rPr>
                <w:rFonts w:hint="default" w:ascii="宋体" w:cs="宋体"/>
                <w:color w:val="auto"/>
                <w:sz w:val="32"/>
                <w:szCs w:val="32"/>
              </w:rPr>
            </w:pPr>
            <w:r>
              <w:rPr>
                <w:rFonts w:hint="eastAsia" w:ascii="宋体" w:hAnsi="宋体" w:cs="宋体"/>
                <w:color w:val="auto"/>
                <w:sz w:val="18"/>
                <w:szCs w:val="18"/>
              </w:rPr>
              <w:t>Ｈ２０２表</w:t>
            </w:r>
          </w:p>
        </w:tc>
      </w:tr>
      <w:tr>
        <w:tblPrEx>
          <w:tblCellMar>
            <w:top w:w="0" w:type="dxa"/>
            <w:left w:w="108" w:type="dxa"/>
            <w:bottom w:w="0" w:type="dxa"/>
            <w:right w:w="108" w:type="dxa"/>
          </w:tblCellMar>
        </w:tblPrEx>
        <w:trPr>
          <w:trHeight w:val="227" w:hRule="atLeast"/>
          <w:jc w:val="center"/>
        </w:trPr>
        <w:tc>
          <w:tcPr>
            <w:tcW w:w="6579" w:type="dxa"/>
            <w:gridSpan w:val="2"/>
            <w:noWrap w:val="0"/>
            <w:tcMar>
              <w:left w:w="0" w:type="dxa"/>
              <w:right w:w="0" w:type="dxa"/>
            </w:tcMar>
            <w:vAlign w:val="bottom"/>
          </w:tcPr>
          <w:p>
            <w:pPr>
              <w:keepNext w:val="0"/>
              <w:keepLines w:val="0"/>
              <w:suppressLineNumbers w:val="0"/>
              <w:spacing w:before="0" w:beforeAutospacing="0" w:after="0" w:afterAutospacing="0" w:line="240" w:lineRule="exact"/>
              <w:ind w:left="0" w:right="0"/>
              <w:rPr>
                <w:rFonts w:hint="default" w:ascii="宋体" w:cs="宋体"/>
                <w:color w:val="auto"/>
                <w:sz w:val="32"/>
                <w:szCs w:val="32"/>
              </w:rPr>
            </w:pPr>
          </w:p>
        </w:tc>
        <w:tc>
          <w:tcPr>
            <w:tcW w:w="1050" w:type="dxa"/>
            <w:noWrap w:val="0"/>
            <w:vAlign w:val="top"/>
          </w:tcPr>
          <w:p>
            <w:pPr>
              <w:keepNext w:val="0"/>
              <w:keepLines w:val="0"/>
              <w:suppressLineNumbers w:val="0"/>
              <w:snapToGrid w:val="0"/>
              <w:spacing w:before="0" w:beforeAutospacing="0" w:after="0" w:afterAutospacing="0"/>
              <w:ind w:left="0" w:right="0"/>
              <w:jc w:val="right"/>
              <w:rPr>
                <w:rFonts w:hint="default" w:ascii="宋体" w:cs="宋体"/>
                <w:color w:val="auto"/>
                <w:sz w:val="32"/>
                <w:szCs w:val="32"/>
              </w:rPr>
            </w:pPr>
            <w:r>
              <w:rPr>
                <w:rFonts w:hint="eastAsia" w:ascii="宋体" w:hAnsi="宋体" w:cs="宋体"/>
                <w:color w:val="auto"/>
                <w:sz w:val="18"/>
                <w:szCs w:val="18"/>
              </w:rPr>
              <w:t>制定机关：</w:t>
            </w:r>
          </w:p>
        </w:tc>
        <w:tc>
          <w:tcPr>
            <w:tcW w:w="1869" w:type="dxa"/>
            <w:noWrap w:val="0"/>
            <w:vAlign w:val="center"/>
          </w:tcPr>
          <w:p>
            <w:pPr>
              <w:keepNext w:val="0"/>
              <w:keepLines w:val="0"/>
              <w:suppressLineNumbers w:val="0"/>
              <w:snapToGrid w:val="0"/>
              <w:spacing w:before="0" w:beforeAutospacing="0" w:after="0" w:afterAutospacing="0"/>
              <w:ind w:left="-105" w:leftChars="-50" w:right="0"/>
              <w:jc w:val="distribute"/>
              <w:rPr>
                <w:rFonts w:hint="default" w:ascii="宋体" w:cs="宋体"/>
                <w:color w:val="auto"/>
                <w:sz w:val="18"/>
                <w:szCs w:val="18"/>
              </w:rPr>
            </w:pPr>
            <w:r>
              <w:rPr>
                <w:rFonts w:hint="eastAsia" w:ascii="宋体" w:hAnsi="宋体" w:cs="宋体"/>
                <w:color w:val="auto"/>
                <w:sz w:val="18"/>
                <w:szCs w:val="18"/>
              </w:rPr>
              <w:t>国家统计局</w:t>
            </w:r>
          </w:p>
        </w:tc>
      </w:tr>
      <w:tr>
        <w:tblPrEx>
          <w:tblCellMar>
            <w:top w:w="0" w:type="dxa"/>
            <w:left w:w="108" w:type="dxa"/>
            <w:bottom w:w="0" w:type="dxa"/>
            <w:right w:w="108" w:type="dxa"/>
          </w:tblCellMar>
        </w:tblPrEx>
        <w:trPr>
          <w:trHeight w:val="227" w:hRule="atLeast"/>
          <w:jc w:val="center"/>
        </w:trPr>
        <w:tc>
          <w:tcPr>
            <w:tcW w:w="6579" w:type="dxa"/>
            <w:gridSpan w:val="2"/>
            <w:noWrap w:val="0"/>
            <w:tcMar>
              <w:left w:w="0" w:type="dxa"/>
              <w:right w:w="0" w:type="dxa"/>
            </w:tcMar>
            <w:vAlign w:val="top"/>
          </w:tcPr>
          <w:p>
            <w:pPr>
              <w:keepNext w:val="0"/>
              <w:keepLines w:val="0"/>
              <w:suppressLineNumbers w:val="0"/>
              <w:spacing w:before="0" w:beforeAutospacing="0" w:after="0" w:afterAutospacing="0" w:line="320" w:lineRule="exact"/>
              <w:ind w:left="0" w:right="0"/>
              <w:rPr>
                <w:rFonts w:hint="default" w:ascii="宋体" w:hAnsi="宋体"/>
                <w:color w:val="auto"/>
                <w:spacing w:val="-4"/>
                <w:sz w:val="18"/>
                <w:szCs w:val="18"/>
              </w:rPr>
            </w:pPr>
          </w:p>
        </w:tc>
        <w:tc>
          <w:tcPr>
            <w:tcW w:w="1050" w:type="dxa"/>
            <w:noWrap w:val="0"/>
            <w:vAlign w:val="center"/>
          </w:tcPr>
          <w:p>
            <w:pPr>
              <w:keepNext w:val="0"/>
              <w:keepLines w:val="0"/>
              <w:suppressLineNumbers w:val="0"/>
              <w:snapToGrid w:val="0"/>
              <w:spacing w:before="0" w:beforeAutospacing="0" w:after="0" w:afterAutospacing="0"/>
              <w:ind w:left="0" w:right="0"/>
              <w:jc w:val="right"/>
              <w:rPr>
                <w:rFonts w:hint="default" w:ascii="宋体" w:cs="宋体"/>
                <w:color w:val="auto"/>
                <w:sz w:val="32"/>
                <w:szCs w:val="32"/>
              </w:rPr>
            </w:pPr>
            <w:r>
              <w:rPr>
                <w:rFonts w:hint="eastAsia" w:ascii="宋体" w:hAnsi="宋体" w:cs="宋体"/>
                <w:color w:val="auto"/>
                <w:sz w:val="18"/>
                <w:szCs w:val="18"/>
              </w:rPr>
              <w:t>文</w:t>
            </w:r>
            <w:r>
              <w:rPr>
                <w:rFonts w:hint="default" w:ascii="宋体" w:hAnsi="宋体" w:cs="宋体"/>
                <w:color w:val="auto"/>
                <w:sz w:val="18"/>
                <w:szCs w:val="18"/>
              </w:rPr>
              <w:t xml:space="preserve">    </w:t>
            </w:r>
            <w:r>
              <w:rPr>
                <w:rFonts w:hint="eastAsia" w:ascii="宋体" w:hAnsi="宋体" w:cs="宋体"/>
                <w:color w:val="auto"/>
                <w:sz w:val="18"/>
                <w:szCs w:val="18"/>
              </w:rPr>
              <w:t>号：</w:t>
            </w:r>
          </w:p>
        </w:tc>
        <w:tc>
          <w:tcPr>
            <w:tcW w:w="1869" w:type="dxa"/>
            <w:noWrap w:val="0"/>
            <w:vAlign w:val="center"/>
          </w:tcPr>
          <w:p>
            <w:pPr>
              <w:keepNext w:val="0"/>
              <w:keepLines w:val="0"/>
              <w:suppressLineNumbers w:val="0"/>
              <w:snapToGrid w:val="0"/>
              <w:spacing w:before="0" w:beforeAutospacing="0" w:after="0" w:afterAutospacing="0"/>
              <w:ind w:left="-105" w:leftChars="-50" w:right="0"/>
              <w:jc w:val="distribute"/>
              <w:rPr>
                <w:rFonts w:hint="default" w:ascii="宋体" w:cs="宋体"/>
                <w:color w:val="auto"/>
                <w:sz w:val="32"/>
                <w:szCs w:val="32"/>
              </w:rPr>
            </w:pPr>
            <w:r>
              <w:rPr>
                <w:rFonts w:hint="eastAsia" w:ascii="宋体" w:hAnsi="宋体"/>
                <w:color w:val="auto"/>
                <w:sz w:val="18"/>
                <w:szCs w:val="18"/>
              </w:rPr>
              <w:t>国统字〔2025〕</w:t>
            </w:r>
            <w:r>
              <w:rPr>
                <w:rFonts w:hint="default" w:ascii="宋体" w:hAnsi="宋体"/>
                <w:color w:val="auto"/>
                <w:sz w:val="18"/>
                <w:szCs w:val="18"/>
              </w:rPr>
              <w:t>88号</w:t>
            </w:r>
          </w:p>
        </w:tc>
      </w:tr>
      <w:tr>
        <w:tblPrEx>
          <w:tblCellMar>
            <w:top w:w="0" w:type="dxa"/>
            <w:left w:w="108" w:type="dxa"/>
            <w:bottom w:w="0" w:type="dxa"/>
            <w:right w:w="108" w:type="dxa"/>
          </w:tblCellMar>
        </w:tblPrEx>
        <w:trPr>
          <w:trHeight w:val="227" w:hRule="atLeast"/>
          <w:jc w:val="center"/>
        </w:trPr>
        <w:tc>
          <w:tcPr>
            <w:tcW w:w="3186" w:type="dxa"/>
            <w:noWrap w:val="0"/>
            <w:tcMar>
              <w:left w:w="0" w:type="dxa"/>
              <w:right w:w="0" w:type="dxa"/>
            </w:tcMar>
            <w:vAlign w:val="top"/>
          </w:tcPr>
          <w:p>
            <w:pPr>
              <w:keepNext w:val="0"/>
              <w:keepLines w:val="0"/>
              <w:suppressLineNumbers w:val="0"/>
              <w:spacing w:before="0" w:beforeAutospacing="0" w:after="0" w:afterAutospacing="0" w:line="240" w:lineRule="exact"/>
              <w:ind w:left="0" w:right="0"/>
              <w:rPr>
                <w:rFonts w:hint="default" w:ascii="宋体" w:cs="宋体"/>
                <w:color w:val="auto"/>
                <w:sz w:val="32"/>
                <w:szCs w:val="32"/>
              </w:rPr>
            </w:pPr>
          </w:p>
        </w:tc>
        <w:tc>
          <w:tcPr>
            <w:tcW w:w="3393" w:type="dxa"/>
            <w:noWrap w:val="0"/>
            <w:vAlign w:val="center"/>
          </w:tcPr>
          <w:p>
            <w:pPr>
              <w:keepNext w:val="0"/>
              <w:keepLines w:val="0"/>
              <w:suppressLineNumbers w:val="0"/>
              <w:spacing w:before="0" w:beforeAutospacing="0" w:after="0" w:afterAutospacing="0" w:line="240" w:lineRule="exact"/>
              <w:ind w:left="0" w:right="0" w:firstLine="810" w:firstLineChars="450"/>
              <w:rPr>
                <w:rFonts w:hint="default" w:ascii="宋体" w:cs="宋体"/>
                <w:color w:val="auto"/>
                <w:sz w:val="32"/>
                <w:szCs w:val="32"/>
              </w:rPr>
            </w:pPr>
            <w:r>
              <w:rPr>
                <w:rFonts w:hint="eastAsia" w:ascii="宋体" w:hAnsi="宋体" w:cs="宋体"/>
                <w:color w:val="auto"/>
                <w:sz w:val="18"/>
                <w:szCs w:val="18"/>
              </w:rPr>
              <w:t>２０２ 6年   月</w:t>
            </w:r>
          </w:p>
        </w:tc>
        <w:tc>
          <w:tcPr>
            <w:tcW w:w="1050" w:type="dxa"/>
            <w:noWrap w:val="0"/>
            <w:vAlign w:val="center"/>
          </w:tcPr>
          <w:p>
            <w:pPr>
              <w:keepNext w:val="0"/>
              <w:keepLines w:val="0"/>
              <w:suppressLineNumbers w:val="0"/>
              <w:snapToGrid w:val="0"/>
              <w:spacing w:before="0" w:beforeAutospacing="0" w:after="0" w:afterAutospacing="0"/>
              <w:ind w:left="0" w:right="0"/>
              <w:jc w:val="right"/>
              <w:rPr>
                <w:rFonts w:hint="default" w:ascii="宋体" w:cs="宋体"/>
                <w:color w:val="auto"/>
                <w:sz w:val="32"/>
                <w:szCs w:val="32"/>
              </w:rPr>
            </w:pPr>
            <w:r>
              <w:rPr>
                <w:rFonts w:hint="eastAsia" w:ascii="宋体" w:hAnsi="宋体" w:cs="宋体"/>
                <w:color w:val="auto"/>
                <w:sz w:val="18"/>
                <w:szCs w:val="18"/>
              </w:rPr>
              <w:t>有效期至：</w:t>
            </w:r>
          </w:p>
        </w:tc>
        <w:tc>
          <w:tcPr>
            <w:tcW w:w="1869" w:type="dxa"/>
            <w:noWrap w:val="0"/>
            <w:vAlign w:val="center"/>
          </w:tcPr>
          <w:p>
            <w:pPr>
              <w:keepNext w:val="0"/>
              <w:keepLines w:val="0"/>
              <w:suppressLineNumbers w:val="0"/>
              <w:snapToGrid w:val="0"/>
              <w:spacing w:before="0" w:beforeAutospacing="0" w:after="0" w:afterAutospacing="0"/>
              <w:ind w:left="-105" w:leftChars="-50" w:right="0"/>
              <w:jc w:val="distribute"/>
              <w:rPr>
                <w:rFonts w:hint="default" w:ascii="宋体" w:cs="宋体"/>
                <w:color w:val="auto"/>
                <w:sz w:val="32"/>
                <w:szCs w:val="32"/>
              </w:rPr>
            </w:pPr>
            <w:r>
              <w:rPr>
                <w:rFonts w:hint="eastAsia" w:ascii="宋体" w:hAnsi="宋体" w:cs="宋体"/>
                <w:color w:val="auto"/>
                <w:sz w:val="18"/>
                <w:szCs w:val="18"/>
              </w:rPr>
              <w:t>２０２7年１月</w:t>
            </w:r>
          </w:p>
        </w:tc>
      </w:tr>
    </w:tbl>
    <w:p>
      <w:pPr>
        <w:spacing w:line="20" w:lineRule="exact"/>
        <w:rPr>
          <w:rFonts w:ascii="黑体" w:hAnsi="宋体" w:eastAsia="黑体"/>
          <w:b/>
          <w:color w:val="auto"/>
          <w:sz w:val="24"/>
        </w:rPr>
      </w:pPr>
    </w:p>
    <w:tbl>
      <w:tblPr>
        <w:tblStyle w:val="21"/>
        <w:tblW w:w="9469" w:type="dxa"/>
        <w:jc w:val="center"/>
        <w:tblBorders>
          <w:top w:val="double" w:color="auto" w:sz="4" w:space="0"/>
          <w:left w:val="double" w:color="auto" w:sz="4" w:space="0"/>
          <w:bottom w:val="double" w:color="auto" w:sz="4" w:space="0"/>
          <w:right w:val="double" w:color="auto" w:sz="4" w:space="0"/>
          <w:insideH w:val="single" w:color="auto" w:sz="2" w:space="0"/>
          <w:insideV w:val="single" w:color="auto" w:sz="4" w:space="0"/>
        </w:tblBorders>
        <w:tblLayout w:type="fixed"/>
        <w:tblCellMar>
          <w:top w:w="0" w:type="dxa"/>
          <w:left w:w="108" w:type="dxa"/>
          <w:bottom w:w="0" w:type="dxa"/>
          <w:right w:w="108" w:type="dxa"/>
        </w:tblCellMar>
      </w:tblPr>
      <w:tblGrid>
        <w:gridCol w:w="5194"/>
        <w:gridCol w:w="488"/>
        <w:gridCol w:w="3787"/>
      </w:tblGrid>
      <w:tr>
        <w:tblPrEx>
          <w:tblBorders>
            <w:top w:val="double" w:color="auto" w:sz="4" w:space="0"/>
            <w:left w:val="double" w:color="auto" w:sz="4" w:space="0"/>
            <w:bottom w:val="double" w:color="auto" w:sz="4" w:space="0"/>
            <w:right w:val="double" w:color="auto" w:sz="4" w:space="0"/>
            <w:insideH w:val="single" w:color="auto" w:sz="2" w:space="0"/>
            <w:insideV w:val="single" w:color="auto" w:sz="4" w:space="0"/>
          </w:tblBorders>
          <w:tblCellMar>
            <w:top w:w="0" w:type="dxa"/>
            <w:left w:w="108" w:type="dxa"/>
            <w:bottom w:w="0" w:type="dxa"/>
            <w:right w:w="108" w:type="dxa"/>
          </w:tblCellMar>
        </w:tblPrEx>
        <w:trPr>
          <w:trHeight w:val="413" w:hRule="atLeast"/>
          <w:jc w:val="center"/>
        </w:trPr>
        <w:tc>
          <w:tcPr>
            <w:tcW w:w="9586" w:type="dxa"/>
            <w:gridSpan w:val="3"/>
            <w:tcBorders>
              <w:bottom w:val="single" w:color="auto" w:sz="2" w:space="0"/>
            </w:tcBorders>
            <w:noWrap w:val="0"/>
            <w:vAlign w:val="center"/>
          </w:tcPr>
          <w:p>
            <w:pPr>
              <w:keepNext w:val="0"/>
              <w:keepLines w:val="0"/>
              <w:suppressLineNumbers w:val="0"/>
              <w:adjustRightInd w:val="0"/>
              <w:snapToGrid w:val="0"/>
              <w:spacing w:before="0" w:beforeAutospacing="0" w:after="0" w:afterAutospacing="0" w:line="300" w:lineRule="atLeast"/>
              <w:ind w:left="0" w:right="0"/>
              <w:rPr>
                <w:rFonts w:hint="default" w:ascii="宋体"/>
                <w:b/>
                <w:color w:val="auto"/>
                <w:sz w:val="18"/>
                <w:szCs w:val="18"/>
              </w:rPr>
            </w:pPr>
            <w:r>
              <w:rPr>
                <w:rFonts w:hint="eastAsia" w:ascii="宋体" w:hAnsi="宋体"/>
                <w:b/>
                <w:color w:val="auto"/>
                <w:sz w:val="18"/>
                <w:szCs w:val="18"/>
              </w:rPr>
              <w:t>项目情况（全部项目均要填写）</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4" w:space="0"/>
          </w:tblBorders>
          <w:tblCellMar>
            <w:top w:w="0" w:type="dxa"/>
            <w:left w:w="108" w:type="dxa"/>
            <w:bottom w:w="0" w:type="dxa"/>
            <w:right w:w="108" w:type="dxa"/>
          </w:tblCellMar>
        </w:tblPrEx>
        <w:trPr>
          <w:trHeight w:val="1246" w:hRule="atLeast"/>
          <w:jc w:val="center"/>
        </w:trPr>
        <w:tc>
          <w:tcPr>
            <w:tcW w:w="5753" w:type="dxa"/>
            <w:gridSpan w:val="2"/>
            <w:tcBorders>
              <w:top w:val="single" w:color="auto" w:sz="2" w:space="0"/>
              <w:bottom w:val="single" w:color="auto" w:sz="2" w:space="0"/>
              <w:right w:val="single" w:color="auto" w:sz="2" w:space="0"/>
            </w:tcBorders>
            <w:noWrap w:val="0"/>
            <w:vAlign w:val="top"/>
          </w:tcPr>
          <w:p>
            <w:pPr>
              <w:keepNext w:val="0"/>
              <w:keepLines w:val="0"/>
              <w:suppressLineNumbers w:val="0"/>
              <w:tabs>
                <w:tab w:val="left" w:pos="1475"/>
              </w:tabs>
              <w:adjustRightInd w:val="0"/>
              <w:snapToGrid w:val="0"/>
              <w:spacing w:before="0" w:beforeAutospacing="0" w:after="0" w:afterAutospacing="0" w:line="300" w:lineRule="atLeast"/>
              <w:ind w:left="0" w:right="0"/>
              <w:rPr>
                <w:rFonts w:hint="default" w:ascii="宋体" w:hAnsi="宋体"/>
                <w:color w:val="auto"/>
                <w:sz w:val="18"/>
                <w:szCs w:val="18"/>
              </w:rPr>
            </w:pPr>
            <w:r>
              <w:rPr>
                <w:rFonts w:hint="default" w:ascii="宋体" w:hAnsi="宋体"/>
                <w:color w:val="auto"/>
                <w:sz w:val="18"/>
                <w:szCs w:val="18"/>
              </w:rPr>
              <w:t>01</w:t>
            </w:r>
            <w:r>
              <w:rPr>
                <w:rFonts w:hint="eastAsia" w:ascii="宋体" w:hAnsi="宋体"/>
                <w:color w:val="auto"/>
                <w:sz w:val="18"/>
                <w:szCs w:val="18"/>
              </w:rPr>
              <w:t>项目代码</w:t>
            </w:r>
            <w:r>
              <w:rPr>
                <w:rFonts w:hint="default" w:ascii="宋体" w:hAnsi="宋体"/>
                <w:color w:val="auto"/>
                <w:sz w:val="18"/>
                <w:szCs w:val="18"/>
              </w:rPr>
              <w:t xml:space="preserve"> </w:t>
            </w:r>
            <w:r>
              <w:rPr>
                <w:rFonts w:hint="eastAsia" w:ascii="宋体" w:hAnsi="宋体"/>
                <w:color w:val="auto"/>
                <w:sz w:val="18"/>
                <w:szCs w:val="18"/>
              </w:rPr>
              <w:t>□□□□□□□□□</w:t>
            </w:r>
            <w:r>
              <w:rPr>
                <w:rFonts w:hint="default" w:ascii="宋体" w:hAnsi="宋体"/>
                <w:color w:val="auto"/>
                <w:sz w:val="18"/>
                <w:szCs w:val="18"/>
              </w:rPr>
              <w:t xml:space="preserve"> </w:t>
            </w:r>
            <w:r>
              <w:rPr>
                <w:rFonts w:hint="eastAsia" w:ascii="宋体" w:hAnsi="宋体"/>
                <w:color w:val="auto"/>
                <w:sz w:val="18"/>
                <w:szCs w:val="18"/>
              </w:rPr>
              <w:t>□□□□□□</w:t>
            </w:r>
            <w:r>
              <w:rPr>
                <w:rFonts w:hint="default" w:ascii="宋体" w:hAnsi="宋体"/>
                <w:color w:val="auto"/>
                <w:sz w:val="18"/>
                <w:szCs w:val="18"/>
              </w:rPr>
              <w:t xml:space="preserve"> </w:t>
            </w:r>
            <w:r>
              <w:rPr>
                <w:rFonts w:hint="eastAsia" w:ascii="宋体" w:hAnsi="宋体"/>
                <w:color w:val="auto"/>
                <w:sz w:val="18"/>
                <w:szCs w:val="18"/>
              </w:rPr>
              <w:t>□□□</w:t>
            </w:r>
          </w:p>
          <w:p>
            <w:pPr>
              <w:keepNext w:val="0"/>
              <w:keepLines w:val="0"/>
              <w:suppressLineNumbers w:val="0"/>
              <w:tabs>
                <w:tab w:val="left" w:pos="1475"/>
              </w:tabs>
              <w:adjustRightInd w:val="0"/>
              <w:snapToGrid w:val="0"/>
              <w:spacing w:before="0" w:beforeAutospacing="0" w:after="0" w:afterAutospacing="0" w:line="300" w:lineRule="atLeast"/>
              <w:ind w:left="0" w:right="0"/>
              <w:rPr>
                <w:rFonts w:hint="default" w:ascii="宋体" w:hAnsi="宋体"/>
                <w:color w:val="auto"/>
                <w:sz w:val="18"/>
                <w:szCs w:val="18"/>
              </w:rPr>
            </w:pPr>
            <w:r>
              <w:rPr>
                <w:rFonts w:hint="eastAsia" w:ascii="宋体" w:hAnsi="宋体"/>
                <w:color w:val="auto"/>
                <w:sz w:val="18"/>
                <w:szCs w:val="18"/>
              </w:rPr>
              <w:t>3</w:t>
            </w:r>
            <w:r>
              <w:rPr>
                <w:rFonts w:hint="default" w:ascii="宋体" w:hAnsi="宋体"/>
                <w:color w:val="auto"/>
                <w:sz w:val="18"/>
                <w:szCs w:val="18"/>
              </w:rPr>
              <w:t>0</w:t>
            </w:r>
            <w:r>
              <w:rPr>
                <w:rFonts w:hint="eastAsia" w:ascii="宋体" w:hAnsi="宋体"/>
                <w:color w:val="auto"/>
                <w:sz w:val="18"/>
                <w:szCs w:val="18"/>
              </w:rPr>
              <w:t xml:space="preserve">投资项目在线审批监管平台统一代码 </w:t>
            </w:r>
          </w:p>
          <w:p>
            <w:pPr>
              <w:keepNext w:val="0"/>
              <w:keepLines w:val="0"/>
              <w:suppressLineNumbers w:val="0"/>
              <w:tabs>
                <w:tab w:val="left" w:pos="1475"/>
              </w:tabs>
              <w:adjustRightInd w:val="0"/>
              <w:snapToGrid w:val="0"/>
              <w:spacing w:before="0" w:beforeAutospacing="0" w:after="0" w:afterAutospacing="0" w:line="300" w:lineRule="atLeast"/>
              <w:ind w:left="0" w:right="0"/>
              <w:rPr>
                <w:rFonts w:hint="default" w:ascii="宋体"/>
                <w:color w:val="auto"/>
                <w:sz w:val="18"/>
                <w:szCs w:val="18"/>
              </w:rPr>
            </w:pPr>
            <w:r>
              <w:rPr>
                <w:rFonts w:hint="eastAsia" w:ascii="宋体" w:hAnsi="宋体"/>
                <w:color w:val="auto"/>
                <w:sz w:val="18"/>
                <w:szCs w:val="18"/>
              </w:rPr>
              <w:t xml:space="preserve">      </w:t>
            </w:r>
            <w:r>
              <w:rPr>
                <w:rFonts w:hint="eastAsia" w:ascii="宋体" w:hAnsi="宋体" w:cs="宋体"/>
                <w:color w:val="auto"/>
                <w:sz w:val="18"/>
                <w:szCs w:val="18"/>
              </w:rPr>
              <w:t>□□□□-□□□□□□-□□-□□-□□□□□□</w:t>
            </w:r>
          </w:p>
          <w:p>
            <w:pPr>
              <w:keepNext w:val="0"/>
              <w:keepLines w:val="0"/>
              <w:suppressLineNumbers w:val="0"/>
              <w:adjustRightInd w:val="0"/>
              <w:snapToGrid w:val="0"/>
              <w:spacing w:before="0" w:beforeAutospacing="0" w:after="0" w:afterAutospacing="0" w:line="300" w:lineRule="atLeast"/>
              <w:ind w:left="0" w:right="0"/>
              <w:rPr>
                <w:rFonts w:hint="default" w:ascii="宋体" w:hAnsi="宋体"/>
                <w:color w:val="auto"/>
                <w:sz w:val="18"/>
                <w:szCs w:val="18"/>
                <w:u w:val="single"/>
              </w:rPr>
            </w:pPr>
            <w:r>
              <w:rPr>
                <w:rFonts w:hint="default" w:ascii="宋体" w:hAnsi="宋体"/>
                <w:color w:val="auto"/>
                <w:sz w:val="18"/>
                <w:szCs w:val="18"/>
              </w:rPr>
              <w:t>02</w:t>
            </w:r>
            <w:r>
              <w:rPr>
                <w:rFonts w:hint="eastAsia" w:ascii="宋体" w:hAnsi="宋体"/>
                <w:color w:val="auto"/>
                <w:sz w:val="18"/>
                <w:szCs w:val="18"/>
              </w:rPr>
              <w:t>项目名称</w:t>
            </w:r>
            <w:r>
              <w:rPr>
                <w:rFonts w:hint="default" w:ascii="宋体" w:hAnsi="宋体"/>
                <w:color w:val="auto"/>
                <w:sz w:val="18"/>
                <w:szCs w:val="18"/>
                <w:u w:val="single"/>
              </w:rPr>
              <w:t xml:space="preserve">                            </w:t>
            </w:r>
          </w:p>
        </w:tc>
        <w:tc>
          <w:tcPr>
            <w:tcW w:w="3833" w:type="dxa"/>
            <w:tcBorders>
              <w:top w:val="single" w:color="auto" w:sz="2" w:space="0"/>
              <w:left w:val="single" w:color="auto" w:sz="2" w:space="0"/>
              <w:bottom w:val="single" w:color="auto" w:sz="2" w:space="0"/>
            </w:tcBorders>
            <w:noWrap w:val="0"/>
            <w:vAlign w:val="top"/>
          </w:tcPr>
          <w:p>
            <w:pPr>
              <w:keepNext w:val="0"/>
              <w:keepLines w:val="0"/>
              <w:suppressLineNumbers w:val="0"/>
              <w:adjustRightInd w:val="0"/>
              <w:snapToGrid w:val="0"/>
              <w:spacing w:before="0" w:beforeAutospacing="0" w:after="0" w:afterAutospacing="0" w:line="300" w:lineRule="atLeast"/>
              <w:ind w:left="0" w:right="0"/>
              <w:rPr>
                <w:rFonts w:hint="default" w:ascii="宋体"/>
                <w:color w:val="auto"/>
                <w:sz w:val="18"/>
                <w:szCs w:val="18"/>
              </w:rPr>
            </w:pPr>
            <w:r>
              <w:rPr>
                <w:rFonts w:hint="default" w:ascii="宋体" w:hAnsi="宋体"/>
                <w:color w:val="auto"/>
                <w:sz w:val="18"/>
                <w:szCs w:val="18"/>
              </w:rPr>
              <w:t>03</w:t>
            </w:r>
            <w:r>
              <w:rPr>
                <w:rFonts w:hint="eastAsia" w:ascii="宋体" w:hAnsi="宋体"/>
                <w:color w:val="auto"/>
                <w:sz w:val="18"/>
                <w:szCs w:val="18"/>
              </w:rPr>
              <w:t>审核类型</w:t>
            </w:r>
            <w:r>
              <w:rPr>
                <w:rFonts w:hint="default" w:ascii="宋体" w:hAnsi="宋体"/>
                <w:color w:val="auto"/>
                <w:sz w:val="18"/>
                <w:szCs w:val="18"/>
              </w:rPr>
              <w:t xml:space="preserve">  </w:t>
            </w:r>
            <w:r>
              <w:rPr>
                <w:rFonts w:hint="eastAsia" w:ascii="宋体" w:hAnsi="宋体"/>
                <w:color w:val="auto"/>
                <w:sz w:val="18"/>
                <w:szCs w:val="18"/>
              </w:rPr>
              <w:t>□</w:t>
            </w:r>
          </w:p>
          <w:p>
            <w:pPr>
              <w:keepNext w:val="0"/>
              <w:keepLines w:val="0"/>
              <w:suppressLineNumbers w:val="0"/>
              <w:adjustRightInd w:val="0"/>
              <w:snapToGrid w:val="0"/>
              <w:spacing w:before="0" w:beforeAutospacing="0" w:after="0" w:afterAutospacing="0" w:line="300" w:lineRule="atLeast"/>
              <w:ind w:left="0" w:right="0"/>
              <w:rPr>
                <w:rFonts w:hint="default" w:ascii="宋体"/>
                <w:color w:val="auto"/>
                <w:sz w:val="18"/>
                <w:szCs w:val="18"/>
              </w:rPr>
            </w:pPr>
            <w:r>
              <w:rPr>
                <w:rFonts w:hint="default" w:ascii="宋体" w:hAnsi="宋体"/>
                <w:color w:val="auto"/>
                <w:sz w:val="18"/>
                <w:szCs w:val="18"/>
              </w:rPr>
              <w:t>1.</w:t>
            </w:r>
            <w:r>
              <w:rPr>
                <w:rFonts w:hint="eastAsia" w:ascii="宋体" w:hAnsi="宋体"/>
                <w:color w:val="auto"/>
                <w:sz w:val="18"/>
                <w:szCs w:val="18"/>
              </w:rPr>
              <w:t>新增项目</w:t>
            </w:r>
            <w:r>
              <w:rPr>
                <w:rFonts w:hint="default" w:ascii="宋体" w:hAnsi="宋体"/>
                <w:color w:val="auto"/>
                <w:sz w:val="18"/>
                <w:szCs w:val="18"/>
              </w:rPr>
              <w:t xml:space="preserve">   2.</w:t>
            </w:r>
            <w:r>
              <w:rPr>
                <w:rFonts w:hint="eastAsia" w:ascii="宋体" w:hAnsi="宋体"/>
                <w:color w:val="auto"/>
                <w:sz w:val="18"/>
                <w:szCs w:val="18"/>
              </w:rPr>
              <w:t>所属单位变更</w:t>
            </w:r>
            <w:r>
              <w:rPr>
                <w:rFonts w:hint="default" w:ascii="宋体" w:hAnsi="宋体"/>
                <w:color w:val="auto"/>
                <w:sz w:val="18"/>
                <w:szCs w:val="18"/>
              </w:rPr>
              <w:t xml:space="preserve">     </w:t>
            </w:r>
          </w:p>
          <w:p>
            <w:pPr>
              <w:keepNext w:val="0"/>
              <w:keepLines w:val="0"/>
              <w:suppressLineNumbers w:val="0"/>
              <w:adjustRightInd w:val="0"/>
              <w:snapToGrid w:val="0"/>
              <w:spacing w:before="0" w:beforeAutospacing="0" w:after="0" w:afterAutospacing="0" w:line="300" w:lineRule="atLeast"/>
              <w:ind w:left="0" w:right="0"/>
              <w:rPr>
                <w:rFonts w:hint="default" w:ascii="宋体"/>
                <w:color w:val="auto"/>
                <w:sz w:val="18"/>
                <w:szCs w:val="18"/>
              </w:rPr>
            </w:pPr>
            <w:r>
              <w:rPr>
                <w:rFonts w:hint="default" w:ascii="宋体" w:hAnsi="宋体"/>
                <w:color w:val="auto"/>
                <w:sz w:val="18"/>
                <w:szCs w:val="18"/>
              </w:rPr>
              <w:t>3.</w:t>
            </w:r>
            <w:r>
              <w:rPr>
                <w:rFonts w:hint="eastAsia" w:ascii="宋体" w:hAnsi="宋体"/>
                <w:color w:val="auto"/>
                <w:sz w:val="18"/>
                <w:szCs w:val="18"/>
              </w:rPr>
              <w:t>调整计划总投资</w:t>
            </w:r>
            <w:r>
              <w:rPr>
                <w:rFonts w:hint="default" w:ascii="宋体" w:hAnsi="宋体"/>
                <w:color w:val="auto"/>
                <w:sz w:val="18"/>
                <w:szCs w:val="18"/>
              </w:rPr>
              <w:t xml:space="preserve">  4.</w:t>
            </w:r>
            <w:r>
              <w:rPr>
                <w:rFonts w:hint="eastAsia" w:ascii="宋体" w:hAnsi="宋体"/>
                <w:color w:val="auto"/>
                <w:sz w:val="18"/>
                <w:szCs w:val="18"/>
              </w:rPr>
              <w:t>退出</w:t>
            </w:r>
            <w:r>
              <w:rPr>
                <w:rFonts w:hint="default" w:ascii="宋体" w:hAnsi="宋体"/>
                <w:color w:val="auto"/>
                <w:sz w:val="18"/>
                <w:szCs w:val="18"/>
              </w:rPr>
              <w:t xml:space="preserve">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4" w:space="0"/>
          </w:tblBorders>
          <w:tblCellMar>
            <w:top w:w="0" w:type="dxa"/>
            <w:left w:w="108" w:type="dxa"/>
            <w:bottom w:w="0" w:type="dxa"/>
            <w:right w:w="108" w:type="dxa"/>
          </w:tblCellMar>
        </w:tblPrEx>
        <w:trPr>
          <w:trHeight w:val="397" w:hRule="atLeast"/>
          <w:jc w:val="center"/>
        </w:trPr>
        <w:tc>
          <w:tcPr>
            <w:tcW w:w="9586" w:type="dxa"/>
            <w:gridSpan w:val="3"/>
            <w:tcBorders>
              <w:top w:val="single" w:color="auto" w:sz="2" w:space="0"/>
            </w:tcBorders>
            <w:noWrap w:val="0"/>
            <w:vAlign w:val="center"/>
          </w:tcPr>
          <w:p>
            <w:pPr>
              <w:keepNext w:val="0"/>
              <w:keepLines w:val="0"/>
              <w:suppressLineNumbers w:val="0"/>
              <w:snapToGrid w:val="0"/>
              <w:spacing w:before="0" w:beforeAutospacing="0" w:after="0" w:afterAutospacing="0" w:line="300" w:lineRule="atLeast"/>
              <w:ind w:left="0" w:right="0"/>
              <w:jc w:val="left"/>
              <w:rPr>
                <w:rFonts w:hint="default" w:ascii="宋体"/>
                <w:color w:val="auto"/>
                <w:sz w:val="18"/>
                <w:szCs w:val="18"/>
              </w:rPr>
            </w:pPr>
            <w:r>
              <w:rPr>
                <w:rFonts w:hint="default" w:ascii="宋体" w:hAnsi="宋体"/>
                <w:color w:val="auto"/>
                <w:sz w:val="18"/>
                <w:szCs w:val="18"/>
              </w:rPr>
              <w:t>04</w:t>
            </w:r>
            <w:r>
              <w:rPr>
                <w:rFonts w:hint="eastAsia" w:ascii="宋体" w:hAnsi="宋体"/>
                <w:color w:val="auto"/>
                <w:sz w:val="18"/>
                <w:szCs w:val="18"/>
              </w:rPr>
              <w:t>项目建设所在地及区划</w:t>
            </w:r>
            <w:r>
              <w:rPr>
                <w:rFonts w:hint="default" w:ascii="宋体" w:hAnsi="宋体"/>
                <w:color w:val="auto"/>
                <w:sz w:val="18"/>
                <w:szCs w:val="18"/>
              </w:rPr>
              <w:t xml:space="preserve">                       </w:t>
            </w:r>
            <w:r>
              <w:rPr>
                <w:rFonts w:hint="eastAsia" w:ascii="宋体" w:hAnsi="宋体"/>
                <w:color w:val="auto"/>
                <w:sz w:val="18"/>
                <w:szCs w:val="18"/>
              </w:rPr>
              <w:t>区划代码</w:t>
            </w:r>
            <w:r>
              <w:rPr>
                <w:rFonts w:hint="default" w:ascii="宋体" w:hAnsi="宋体"/>
                <w:color w:val="auto"/>
                <w:sz w:val="18"/>
                <w:szCs w:val="18"/>
              </w:rPr>
              <w:t xml:space="preserve">    </w:t>
            </w:r>
            <w:r>
              <w:rPr>
                <w:rFonts w:hint="eastAsia" w:ascii="宋体" w:hAnsi="宋体"/>
                <w:color w:val="auto"/>
                <w:sz w:val="18"/>
                <w:szCs w:val="18"/>
              </w:rPr>
              <w:t>□□□□□□□□□□□□</w:t>
            </w:r>
          </w:p>
          <w:p>
            <w:pPr>
              <w:keepNext w:val="0"/>
              <w:keepLines w:val="0"/>
              <w:suppressLineNumbers w:val="0"/>
              <w:adjustRightInd w:val="0"/>
              <w:snapToGrid w:val="0"/>
              <w:spacing w:before="0" w:beforeAutospacing="0" w:after="0" w:afterAutospacing="0" w:line="240" w:lineRule="atLeast"/>
              <w:ind w:left="0" w:right="0"/>
              <w:rPr>
                <w:rFonts w:hint="default" w:ascii="宋体" w:hAnsi="宋体"/>
                <w:color w:val="auto"/>
                <w:sz w:val="18"/>
                <w:szCs w:val="18"/>
              </w:rPr>
            </w:pPr>
            <w:r>
              <w:rPr>
                <w:rFonts w:hint="default" w:ascii="宋体" w:hAnsi="宋体" w:cs="宋体"/>
                <w:color w:val="auto"/>
                <w:sz w:val="18"/>
                <w:szCs w:val="18"/>
                <w:u w:val="single"/>
              </w:rPr>
              <w:t xml:space="preserve"> </w:t>
            </w:r>
            <w:r>
              <w:rPr>
                <w:rFonts w:hint="eastAsia" w:ascii="宋体" w:hAnsi="宋体" w:cs="宋体"/>
                <w:color w:val="auto"/>
                <w:sz w:val="18"/>
                <w:szCs w:val="18"/>
                <w:u w:val="single"/>
              </w:rPr>
              <w:t xml:space="preserve"> </w:t>
            </w:r>
            <w:r>
              <w:rPr>
                <w:rFonts w:hint="default" w:ascii="宋体" w:hAnsi="宋体" w:cs="宋体"/>
                <w:color w:val="auto"/>
                <w:sz w:val="18"/>
                <w:szCs w:val="18"/>
                <w:u w:val="single"/>
              </w:rPr>
              <w:t xml:space="preserve">            </w:t>
            </w:r>
            <w:r>
              <w:rPr>
                <w:rFonts w:hint="eastAsia" w:ascii="宋体" w:hAnsi="宋体" w:cs="宋体"/>
                <w:color w:val="auto"/>
                <w:sz w:val="18"/>
                <w:szCs w:val="18"/>
              </w:rPr>
              <w:t>省</w:t>
            </w:r>
            <w:r>
              <w:rPr>
                <w:rFonts w:hint="default" w:ascii="宋体" w:hAnsi="宋体" w:cs="宋体"/>
                <w:color w:val="auto"/>
                <w:sz w:val="18"/>
                <w:szCs w:val="18"/>
              </w:rPr>
              <w:t>(</w:t>
            </w:r>
            <w:r>
              <w:rPr>
                <w:rFonts w:hint="eastAsia" w:ascii="宋体" w:hAnsi="宋体" w:cs="宋体"/>
                <w:color w:val="auto"/>
                <w:sz w:val="18"/>
                <w:szCs w:val="18"/>
              </w:rPr>
              <w:t>自治区、直辖市</w:t>
            </w:r>
            <w:r>
              <w:rPr>
                <w:rFonts w:hint="default" w:ascii="宋体" w:hAnsi="宋体" w:cs="宋体"/>
                <w:color w:val="auto"/>
                <w:sz w:val="18"/>
                <w:szCs w:val="18"/>
              </w:rPr>
              <w:t>)</w:t>
            </w:r>
            <w:r>
              <w:rPr>
                <w:rFonts w:hint="default" w:ascii="宋体" w:hAnsi="宋体" w:cs="宋体"/>
                <w:color w:val="auto"/>
                <w:sz w:val="18"/>
                <w:szCs w:val="18"/>
                <w:u w:val="single"/>
              </w:rPr>
              <w:t xml:space="preserve">          </w:t>
            </w:r>
            <w:r>
              <w:rPr>
                <w:rFonts w:hint="default" w:ascii="Nimbus Roman No9 L" w:hAnsi="Nimbus Roman No9 L" w:cs="Nimbus Roman No9 L"/>
                <w:color w:val="auto"/>
                <w:sz w:val="18"/>
                <w:szCs w:val="18"/>
              </w:rPr>
              <w:t>地(</w:t>
            </w:r>
            <w:r>
              <w:rPr>
                <w:rFonts w:hint="eastAsia" w:ascii="Nimbus Roman No9 L" w:hAnsi="Nimbus Roman No9 L" w:cs="Nimbus Roman No9 L"/>
                <w:color w:val="auto"/>
                <w:sz w:val="18"/>
                <w:szCs w:val="18"/>
              </w:rPr>
              <w:t>市</w:t>
            </w:r>
            <w:r>
              <w:rPr>
                <w:rFonts w:hint="default" w:ascii="Nimbus Roman No9 L" w:hAnsi="Nimbus Roman No9 L" w:cs="Nimbus Roman No9 L"/>
                <w:color w:val="auto"/>
                <w:sz w:val="18"/>
                <w:szCs w:val="18"/>
              </w:rPr>
              <w:t>、州、盟)</w:t>
            </w:r>
            <w:r>
              <w:rPr>
                <w:rFonts w:hint="default" w:ascii="宋体" w:hAnsi="宋体" w:cs="宋体"/>
                <w:color w:val="auto"/>
                <w:sz w:val="18"/>
                <w:szCs w:val="18"/>
                <w:u w:val="single"/>
              </w:rPr>
              <w:t xml:space="preserve">        </w:t>
            </w:r>
            <w:r>
              <w:rPr>
                <w:rFonts w:hint="eastAsia" w:ascii="宋体" w:hAnsi="宋体" w:cs="宋体"/>
                <w:color w:val="auto"/>
                <w:sz w:val="18"/>
                <w:szCs w:val="18"/>
              </w:rPr>
              <w:t>县(市、区、旗)</w:t>
            </w:r>
          </w:p>
          <w:p>
            <w:pPr>
              <w:keepNext w:val="0"/>
              <w:keepLines w:val="0"/>
              <w:widowControl/>
              <w:suppressLineNumbers w:val="0"/>
              <w:snapToGrid w:val="0"/>
              <w:spacing w:before="0" w:beforeAutospacing="0" w:after="0" w:afterAutospacing="0" w:line="300" w:lineRule="atLeast"/>
              <w:ind w:left="0" w:right="0"/>
              <w:jc w:val="left"/>
              <w:rPr>
                <w:rFonts w:hint="default" w:ascii="宋体"/>
                <w:color w:val="auto"/>
                <w:sz w:val="18"/>
                <w:szCs w:val="18"/>
              </w:rPr>
            </w:pPr>
            <w:r>
              <w:rPr>
                <w:rFonts w:hint="default" w:ascii="宋体" w:hAnsi="宋体" w:cs="宋体"/>
                <w:color w:val="auto"/>
                <w:sz w:val="18"/>
                <w:szCs w:val="18"/>
                <w:u w:val="single"/>
              </w:rPr>
              <w:t xml:space="preserve">              </w:t>
            </w:r>
            <w:r>
              <w:rPr>
                <w:rFonts w:hint="default" w:ascii="Nimbus Roman No9 L" w:hAnsi="Nimbus Roman No9 L" w:cs="Nimbus Roman No9 L"/>
                <w:color w:val="auto"/>
                <w:sz w:val="18"/>
                <w:szCs w:val="18"/>
              </w:rPr>
              <w:t>乡(镇、街道)</w:t>
            </w:r>
            <w:r>
              <w:rPr>
                <w:rFonts w:hint="default" w:ascii="Nimbus Roman No9 L" w:hAnsi="Nimbus Roman No9 L" w:cs="Nimbus Roman No9 L"/>
                <w:color w:val="auto"/>
                <w:sz w:val="18"/>
                <w:szCs w:val="18"/>
                <w:u w:val="single"/>
              </w:rPr>
              <w:t xml:space="preserve">             </w:t>
            </w:r>
            <w:r>
              <w:rPr>
                <w:rFonts w:hint="default" w:ascii="Nimbus Roman No9 L" w:hAnsi="Nimbus Roman No9 L" w:cs="Nimbus Roman No9 L"/>
                <w:color w:val="auto"/>
                <w:sz w:val="18"/>
                <w:szCs w:val="18"/>
              </w:rPr>
              <w:t>村（居）委会</w:t>
            </w:r>
            <w:r>
              <w:rPr>
                <w:rFonts w:hint="default" w:ascii="宋体" w:hAnsi="宋体" w:cs="宋体"/>
                <w:color w:val="auto"/>
                <w:sz w:val="18"/>
                <w:szCs w:val="18"/>
                <w:u w:val="single"/>
              </w:rPr>
              <w:t xml:space="preserve">                      </w:t>
            </w:r>
            <w:r>
              <w:rPr>
                <w:rFonts w:hint="eastAsia" w:ascii="宋体" w:hAnsi="宋体" w:cs="宋体"/>
                <w:color w:val="auto"/>
                <w:sz w:val="18"/>
                <w:szCs w:val="18"/>
              </w:rPr>
              <w:t>街</w:t>
            </w:r>
            <w:r>
              <w:rPr>
                <w:rFonts w:hint="default" w:ascii="宋体" w:hAnsi="宋体" w:cs="宋体"/>
                <w:color w:val="auto"/>
                <w:sz w:val="18"/>
                <w:szCs w:val="18"/>
              </w:rPr>
              <w:t>(</w:t>
            </w:r>
            <w:r>
              <w:rPr>
                <w:rFonts w:hint="eastAsia" w:ascii="宋体" w:hAnsi="宋体" w:cs="宋体"/>
                <w:color w:val="auto"/>
                <w:sz w:val="18"/>
                <w:szCs w:val="18"/>
              </w:rPr>
              <w:t>路</w:t>
            </w:r>
            <w:r>
              <w:rPr>
                <w:rFonts w:hint="default" w:ascii="宋体" w:hAnsi="宋体" w:cs="宋体"/>
                <w:color w:val="auto"/>
                <w:sz w:val="18"/>
                <w:szCs w:val="18"/>
              </w:rPr>
              <w:t>)</w:t>
            </w:r>
            <w:r>
              <w:rPr>
                <w:rFonts w:hint="eastAsia" w:ascii="宋体" w:hAnsi="宋体" w:cs="宋体"/>
                <w:color w:val="auto"/>
                <w:sz w:val="18"/>
                <w:szCs w:val="18"/>
              </w:rPr>
              <w:t>、门牌号</w:t>
            </w:r>
          </w:p>
          <w:p>
            <w:pPr>
              <w:keepNext w:val="0"/>
              <w:keepLines w:val="0"/>
              <w:widowControl/>
              <w:suppressLineNumbers w:val="0"/>
              <w:snapToGrid w:val="0"/>
              <w:spacing w:before="0" w:beforeAutospacing="0" w:after="0" w:afterAutospacing="0" w:line="300" w:lineRule="atLeast"/>
              <w:ind w:left="0" w:right="0"/>
              <w:jc w:val="left"/>
              <w:rPr>
                <w:rFonts w:hint="default" w:ascii="宋体"/>
                <w:color w:val="auto"/>
                <w:sz w:val="18"/>
                <w:szCs w:val="18"/>
              </w:rPr>
            </w:pPr>
            <w:r>
              <w:rPr>
                <w:rFonts w:hint="default" w:ascii="宋体" w:hAnsi="宋体"/>
                <w:color w:val="auto"/>
                <w:sz w:val="18"/>
                <w:szCs w:val="18"/>
              </w:rPr>
              <w:t xml:space="preserve">05 </w:t>
            </w:r>
            <w:r>
              <w:rPr>
                <w:rFonts w:hint="eastAsia" w:ascii="宋体" w:hAnsi="宋体"/>
                <w:color w:val="auto"/>
                <w:sz w:val="18"/>
                <w:szCs w:val="18"/>
              </w:rPr>
              <w:t>项目处理地代码</w:t>
            </w:r>
            <w:r>
              <w:rPr>
                <w:rFonts w:hint="default" w:ascii="宋体" w:hAnsi="宋体"/>
                <w:color w:val="auto"/>
                <w:sz w:val="18"/>
                <w:szCs w:val="18"/>
              </w:rPr>
              <w:t xml:space="preserve">   </w:t>
            </w:r>
            <w:r>
              <w:rPr>
                <w:rFonts w:hint="eastAsia" w:ascii="宋体" w:hAnsi="宋体"/>
                <w:color w:val="auto"/>
                <w:sz w:val="18"/>
                <w:szCs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4" w:space="0"/>
          </w:tblBorders>
          <w:tblCellMar>
            <w:top w:w="0" w:type="dxa"/>
            <w:left w:w="108" w:type="dxa"/>
            <w:bottom w:w="0" w:type="dxa"/>
            <w:right w:w="108" w:type="dxa"/>
          </w:tblCellMar>
        </w:tblPrEx>
        <w:trPr>
          <w:trHeight w:val="1890" w:hRule="atLeast"/>
          <w:jc w:val="center"/>
        </w:trPr>
        <w:tc>
          <w:tcPr>
            <w:tcW w:w="9586" w:type="dxa"/>
            <w:gridSpan w:val="3"/>
            <w:noWrap w:val="0"/>
            <w:vAlign w:val="center"/>
          </w:tcPr>
          <w:p>
            <w:pPr>
              <w:keepNext w:val="0"/>
              <w:keepLines w:val="0"/>
              <w:widowControl/>
              <w:suppressLineNumbers w:val="0"/>
              <w:snapToGrid w:val="0"/>
              <w:spacing w:before="0" w:beforeAutospacing="0" w:after="0" w:afterAutospacing="0" w:line="300" w:lineRule="atLeast"/>
              <w:ind w:left="0" w:right="0"/>
              <w:rPr>
                <w:rFonts w:hint="default" w:ascii="宋体" w:hAnsi="宋体"/>
                <w:b/>
                <w:color w:val="auto"/>
                <w:sz w:val="18"/>
                <w:szCs w:val="18"/>
              </w:rPr>
            </w:pPr>
            <w:r>
              <w:rPr>
                <w:rFonts w:hint="default" w:ascii="宋体" w:hAnsi="宋体"/>
                <w:b/>
                <w:color w:val="auto"/>
                <w:sz w:val="18"/>
                <w:szCs w:val="18"/>
              </w:rPr>
              <w:t>单位</w:t>
            </w:r>
            <w:r>
              <w:rPr>
                <w:rFonts w:hint="eastAsia" w:ascii="宋体" w:hAnsi="宋体"/>
                <w:b/>
                <w:color w:val="auto"/>
                <w:sz w:val="18"/>
                <w:szCs w:val="18"/>
              </w:rPr>
              <w:t>情况</w:t>
            </w:r>
          </w:p>
          <w:p>
            <w:pPr>
              <w:keepNext w:val="0"/>
              <w:keepLines w:val="0"/>
              <w:widowControl/>
              <w:suppressLineNumbers w:val="0"/>
              <w:snapToGrid w:val="0"/>
              <w:spacing w:before="0" w:beforeAutospacing="0" w:after="0" w:afterAutospacing="0" w:line="300" w:lineRule="atLeast"/>
              <w:ind w:left="0" w:right="0"/>
              <w:rPr>
                <w:rFonts w:hint="default" w:ascii="宋体" w:hAnsi="宋体"/>
                <w:color w:val="auto"/>
                <w:sz w:val="18"/>
                <w:szCs w:val="18"/>
              </w:rPr>
            </w:pPr>
            <w:r>
              <w:rPr>
                <w:rFonts w:hint="default" w:ascii="宋体" w:hAnsi="宋体"/>
                <w:color w:val="auto"/>
                <w:sz w:val="18"/>
                <w:szCs w:val="18"/>
              </w:rPr>
              <w:t>06</w:t>
            </w:r>
            <w:r>
              <w:rPr>
                <w:rFonts w:hint="eastAsia" w:ascii="宋体" w:hAnsi="宋体"/>
                <w:color w:val="auto"/>
                <w:sz w:val="18"/>
                <w:szCs w:val="18"/>
              </w:rPr>
              <w:t>建设单位情况</w:t>
            </w:r>
            <w:r>
              <w:rPr>
                <w:rFonts w:hint="default" w:ascii="宋体" w:hAnsi="宋体"/>
                <w:color w:val="auto"/>
                <w:sz w:val="18"/>
                <w:szCs w:val="18"/>
              </w:rPr>
              <w:t xml:space="preserve"> </w:t>
            </w:r>
            <w:r>
              <w:rPr>
                <w:rFonts w:hint="eastAsia" w:ascii="宋体" w:hAnsi="宋体"/>
                <w:color w:val="auto"/>
                <w:sz w:val="18"/>
                <w:szCs w:val="18"/>
              </w:rPr>
              <w:t>□</w:t>
            </w:r>
            <w:r>
              <w:rPr>
                <w:rFonts w:hint="default" w:ascii="宋体" w:hAnsi="宋体"/>
                <w:color w:val="auto"/>
                <w:sz w:val="18"/>
                <w:szCs w:val="18"/>
              </w:rPr>
              <w:t xml:space="preserve">  1.</w:t>
            </w:r>
            <w:r>
              <w:rPr>
                <w:rFonts w:hint="eastAsia" w:ascii="宋体" w:hAnsi="宋体"/>
                <w:color w:val="auto"/>
                <w:sz w:val="18"/>
                <w:szCs w:val="18"/>
              </w:rPr>
              <w:t>省内法人单位</w:t>
            </w:r>
            <w:r>
              <w:rPr>
                <w:rFonts w:hint="default" w:ascii="宋体" w:hAnsi="宋体"/>
                <w:color w:val="auto"/>
                <w:sz w:val="18"/>
                <w:szCs w:val="18"/>
              </w:rPr>
              <w:t xml:space="preserve">   2.</w:t>
            </w:r>
            <w:r>
              <w:rPr>
                <w:rFonts w:hint="eastAsia" w:ascii="宋体" w:hAnsi="宋体"/>
                <w:color w:val="auto"/>
                <w:sz w:val="18"/>
                <w:szCs w:val="18"/>
              </w:rPr>
              <w:t>外省法人单位</w:t>
            </w:r>
            <w:r>
              <w:rPr>
                <w:rFonts w:hint="default" w:ascii="宋体" w:hAnsi="宋体"/>
                <w:color w:val="auto"/>
                <w:sz w:val="18"/>
                <w:szCs w:val="18"/>
              </w:rPr>
              <w:t xml:space="preserve">  3.</w:t>
            </w:r>
            <w:r>
              <w:rPr>
                <w:rFonts w:hint="eastAsia" w:ascii="宋体" w:hAnsi="宋体"/>
                <w:color w:val="auto"/>
                <w:sz w:val="18"/>
                <w:szCs w:val="18"/>
              </w:rPr>
              <w:t>非法人单位</w:t>
            </w:r>
          </w:p>
          <w:p>
            <w:pPr>
              <w:keepNext w:val="0"/>
              <w:keepLines w:val="0"/>
              <w:widowControl/>
              <w:suppressLineNumbers w:val="0"/>
              <w:snapToGrid w:val="0"/>
              <w:spacing w:before="0" w:beforeAutospacing="0" w:after="0" w:afterAutospacing="0" w:line="300" w:lineRule="atLeast"/>
              <w:ind w:left="0" w:right="0"/>
              <w:rPr>
                <w:rFonts w:hint="default" w:ascii="宋体" w:hAnsi="宋体"/>
                <w:color w:val="auto"/>
                <w:sz w:val="18"/>
                <w:szCs w:val="18"/>
              </w:rPr>
            </w:pPr>
            <w:r>
              <w:rPr>
                <w:rFonts w:hint="default" w:ascii="宋体" w:hAnsi="宋体"/>
                <w:color w:val="auto"/>
                <w:sz w:val="18"/>
                <w:szCs w:val="18"/>
              </w:rPr>
              <w:t>08</w:t>
            </w:r>
            <w:r>
              <w:rPr>
                <w:rFonts w:hint="eastAsia" w:ascii="宋体" w:hAnsi="宋体"/>
                <w:color w:val="auto"/>
                <w:sz w:val="18"/>
                <w:szCs w:val="18"/>
              </w:rPr>
              <w:t>建设单位详细名称</w:t>
            </w:r>
            <w:r>
              <w:rPr>
                <w:rFonts w:hint="default" w:ascii="宋体" w:hAnsi="宋体"/>
                <w:color w:val="auto"/>
                <w:sz w:val="18"/>
                <w:szCs w:val="18"/>
                <w:u w:val="single"/>
              </w:rPr>
              <w:t xml:space="preserve">                            </w:t>
            </w:r>
          </w:p>
          <w:p>
            <w:pPr>
              <w:keepNext w:val="0"/>
              <w:keepLines w:val="0"/>
              <w:suppressLineNumbers w:val="0"/>
              <w:snapToGrid w:val="0"/>
              <w:spacing w:before="0" w:beforeAutospacing="0" w:after="0" w:afterAutospacing="0" w:line="300" w:lineRule="atLeast"/>
              <w:ind w:left="0" w:right="0"/>
              <w:jc w:val="left"/>
              <w:rPr>
                <w:rFonts w:hint="default" w:ascii="宋体"/>
                <w:color w:val="auto"/>
                <w:sz w:val="18"/>
                <w:szCs w:val="18"/>
              </w:rPr>
            </w:pPr>
            <w:r>
              <w:rPr>
                <w:rFonts w:hint="default" w:ascii="宋体" w:hAnsi="宋体"/>
                <w:color w:val="auto"/>
                <w:sz w:val="18"/>
                <w:szCs w:val="18"/>
              </w:rPr>
              <w:t>09</w:t>
            </w:r>
            <w:r>
              <w:rPr>
                <w:rFonts w:hint="eastAsia" w:ascii="宋体" w:hAnsi="宋体"/>
                <w:color w:val="auto"/>
                <w:sz w:val="18"/>
                <w:szCs w:val="18"/>
              </w:rPr>
              <w:t>建设单位所在地及区划</w:t>
            </w:r>
            <w:r>
              <w:rPr>
                <w:rFonts w:hint="default" w:ascii="宋体" w:hAnsi="宋体"/>
                <w:color w:val="auto"/>
                <w:sz w:val="18"/>
                <w:szCs w:val="18"/>
              </w:rPr>
              <w:t xml:space="preserve">                       </w:t>
            </w:r>
            <w:r>
              <w:rPr>
                <w:rFonts w:hint="eastAsia" w:ascii="宋体" w:hAnsi="宋体"/>
                <w:color w:val="auto"/>
                <w:sz w:val="18"/>
                <w:szCs w:val="18"/>
              </w:rPr>
              <w:t>区划代码</w:t>
            </w:r>
            <w:r>
              <w:rPr>
                <w:rFonts w:hint="default" w:ascii="宋体" w:hAnsi="宋体"/>
                <w:color w:val="auto"/>
                <w:sz w:val="18"/>
                <w:szCs w:val="18"/>
              </w:rPr>
              <w:t xml:space="preserve">    </w:t>
            </w:r>
            <w:r>
              <w:rPr>
                <w:rFonts w:hint="eastAsia" w:ascii="宋体" w:hAnsi="宋体"/>
                <w:color w:val="auto"/>
                <w:sz w:val="18"/>
                <w:szCs w:val="18"/>
              </w:rPr>
              <w:t>□□□□□□□□□□□□</w:t>
            </w:r>
          </w:p>
          <w:p>
            <w:pPr>
              <w:keepNext w:val="0"/>
              <w:keepLines w:val="0"/>
              <w:suppressLineNumbers w:val="0"/>
              <w:snapToGrid w:val="0"/>
              <w:spacing w:before="0" w:beforeAutospacing="0" w:after="0" w:afterAutospacing="0" w:line="300" w:lineRule="atLeast"/>
              <w:ind w:left="0" w:right="0"/>
              <w:jc w:val="left"/>
              <w:rPr>
                <w:rFonts w:hint="default" w:ascii="宋体"/>
                <w:color w:val="auto"/>
                <w:sz w:val="18"/>
                <w:szCs w:val="18"/>
              </w:rPr>
            </w:pPr>
            <w:r>
              <w:rPr>
                <w:rFonts w:hint="default" w:ascii="宋体" w:hAnsi="宋体"/>
                <w:color w:val="auto"/>
                <w:sz w:val="18"/>
                <w:szCs w:val="18"/>
                <w:u w:val="single"/>
              </w:rPr>
              <w:t xml:space="preserve">         </w:t>
            </w:r>
            <w:r>
              <w:rPr>
                <w:rFonts w:hint="eastAsia" w:ascii="宋体" w:hAnsi="宋体"/>
                <w:color w:val="auto"/>
                <w:sz w:val="18"/>
                <w:szCs w:val="18"/>
              </w:rPr>
              <w:t>省</w:t>
            </w:r>
            <w:r>
              <w:rPr>
                <w:rFonts w:hint="default" w:ascii="宋体" w:hAnsi="宋体"/>
                <w:color w:val="auto"/>
                <w:sz w:val="18"/>
                <w:szCs w:val="18"/>
              </w:rPr>
              <w:t>(</w:t>
            </w:r>
            <w:r>
              <w:rPr>
                <w:rFonts w:hint="eastAsia" w:ascii="宋体" w:hAnsi="宋体"/>
                <w:color w:val="auto"/>
                <w:sz w:val="18"/>
                <w:szCs w:val="18"/>
              </w:rPr>
              <w:t>自治区、直辖市</w:t>
            </w:r>
            <w:r>
              <w:rPr>
                <w:rFonts w:hint="default" w:ascii="宋体" w:hAnsi="宋体"/>
                <w:color w:val="auto"/>
                <w:sz w:val="18"/>
                <w:szCs w:val="18"/>
              </w:rPr>
              <w:t>)</w:t>
            </w:r>
            <w:r>
              <w:rPr>
                <w:rFonts w:hint="default" w:ascii="宋体" w:hAnsi="宋体"/>
                <w:color w:val="auto"/>
                <w:sz w:val="18"/>
                <w:szCs w:val="18"/>
                <w:u w:val="single"/>
              </w:rPr>
              <w:t xml:space="preserve">           </w:t>
            </w:r>
            <w:r>
              <w:rPr>
                <w:rFonts w:hint="eastAsia" w:ascii="宋体" w:hAnsi="宋体"/>
                <w:color w:val="auto"/>
                <w:sz w:val="18"/>
                <w:szCs w:val="18"/>
              </w:rPr>
              <w:t>市(地、州、盟)</w:t>
            </w:r>
            <w:r>
              <w:rPr>
                <w:rFonts w:hint="default" w:ascii="宋体" w:hAnsi="宋体"/>
                <w:color w:val="auto"/>
                <w:sz w:val="18"/>
                <w:szCs w:val="18"/>
                <w:u w:val="single"/>
              </w:rPr>
              <w:t xml:space="preserve">             </w:t>
            </w:r>
            <w:r>
              <w:rPr>
                <w:rFonts w:hint="eastAsia" w:ascii="宋体" w:hAnsi="宋体"/>
                <w:color w:val="auto"/>
                <w:sz w:val="18"/>
                <w:szCs w:val="18"/>
              </w:rPr>
              <w:t>县(市、区、旗)</w:t>
            </w:r>
          </w:p>
          <w:p>
            <w:pPr>
              <w:keepNext w:val="0"/>
              <w:keepLines w:val="0"/>
              <w:widowControl/>
              <w:suppressLineNumbers w:val="0"/>
              <w:snapToGrid w:val="0"/>
              <w:spacing w:before="0" w:beforeAutospacing="0" w:after="0" w:afterAutospacing="0" w:line="300" w:lineRule="atLeast"/>
              <w:ind w:left="0" w:right="0"/>
              <w:rPr>
                <w:rFonts w:hint="default" w:ascii="宋体"/>
                <w:b/>
                <w:color w:val="auto"/>
                <w:sz w:val="18"/>
                <w:szCs w:val="18"/>
              </w:rPr>
            </w:pPr>
            <w:r>
              <w:rPr>
                <w:rFonts w:hint="default" w:ascii="宋体" w:hAnsi="宋体"/>
                <w:color w:val="auto"/>
                <w:sz w:val="18"/>
                <w:szCs w:val="18"/>
                <w:u w:val="single"/>
              </w:rPr>
              <w:t xml:space="preserve">                        </w:t>
            </w:r>
            <w:r>
              <w:rPr>
                <w:rFonts w:hint="eastAsia" w:ascii="宋体" w:hAnsi="宋体"/>
                <w:color w:val="auto"/>
                <w:sz w:val="18"/>
                <w:szCs w:val="18"/>
              </w:rPr>
              <w:t>乡</w:t>
            </w:r>
            <w:r>
              <w:rPr>
                <w:rFonts w:hint="default" w:ascii="宋体" w:hAnsi="宋体"/>
                <w:color w:val="auto"/>
                <w:sz w:val="18"/>
                <w:szCs w:val="18"/>
              </w:rPr>
              <w:t>(</w:t>
            </w:r>
            <w:r>
              <w:rPr>
                <w:rFonts w:hint="eastAsia" w:ascii="宋体" w:hAnsi="宋体"/>
                <w:color w:val="auto"/>
                <w:sz w:val="18"/>
                <w:szCs w:val="18"/>
              </w:rPr>
              <w:t>镇</w:t>
            </w:r>
            <w:r>
              <w:rPr>
                <w:rFonts w:hint="default" w:ascii="宋体" w:hAnsi="宋体"/>
                <w:color w:val="auto"/>
                <w:sz w:val="18"/>
                <w:szCs w:val="18"/>
              </w:rPr>
              <w:t>)</w:t>
            </w:r>
            <w:r>
              <w:rPr>
                <w:rFonts w:hint="default" w:ascii="宋体" w:hAnsi="宋体"/>
                <w:color w:val="auto"/>
                <w:sz w:val="18"/>
                <w:szCs w:val="18"/>
                <w:u w:val="single"/>
              </w:rPr>
              <w:t xml:space="preserve">                             </w:t>
            </w:r>
            <w:r>
              <w:rPr>
                <w:rFonts w:hint="eastAsia" w:ascii="宋体" w:hAnsi="宋体"/>
                <w:color w:val="auto"/>
                <w:sz w:val="18"/>
                <w:szCs w:val="18"/>
              </w:rPr>
              <w:t>街</w:t>
            </w:r>
            <w:r>
              <w:rPr>
                <w:rFonts w:hint="default" w:ascii="宋体" w:hAnsi="宋体"/>
                <w:color w:val="auto"/>
                <w:sz w:val="18"/>
                <w:szCs w:val="18"/>
              </w:rPr>
              <w:t>(</w:t>
            </w:r>
            <w:r>
              <w:rPr>
                <w:rFonts w:hint="eastAsia" w:ascii="宋体" w:hAnsi="宋体"/>
                <w:color w:val="auto"/>
                <w:sz w:val="18"/>
                <w:szCs w:val="18"/>
              </w:rPr>
              <w:t>村</w:t>
            </w:r>
            <w:r>
              <w:rPr>
                <w:rFonts w:hint="default" w:ascii="宋体" w:hAnsi="宋体"/>
                <w:color w:val="auto"/>
                <w:sz w:val="18"/>
                <w:szCs w:val="18"/>
              </w:rPr>
              <w:t>)</w:t>
            </w:r>
            <w:r>
              <w:rPr>
                <w:rFonts w:hint="eastAsia" w:ascii="宋体" w:hAnsi="宋体"/>
                <w:color w:val="auto"/>
                <w:sz w:val="18"/>
                <w:szCs w:val="18"/>
              </w:rPr>
              <w:t>、门牌号</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4" w:space="0"/>
          </w:tblBorders>
          <w:tblCellMar>
            <w:top w:w="0" w:type="dxa"/>
            <w:left w:w="108" w:type="dxa"/>
            <w:bottom w:w="0" w:type="dxa"/>
            <w:right w:w="108" w:type="dxa"/>
          </w:tblCellMar>
        </w:tblPrEx>
        <w:trPr>
          <w:trHeight w:val="223" w:hRule="atLeast"/>
          <w:jc w:val="center"/>
        </w:trPr>
        <w:tc>
          <w:tcPr>
            <w:tcW w:w="9586" w:type="dxa"/>
            <w:gridSpan w:val="3"/>
            <w:tcBorders>
              <w:bottom w:val="single" w:color="auto" w:sz="2" w:space="0"/>
            </w:tcBorders>
            <w:noWrap w:val="0"/>
            <w:vAlign w:val="center"/>
          </w:tcPr>
          <w:p>
            <w:pPr>
              <w:keepNext w:val="0"/>
              <w:keepLines w:val="0"/>
              <w:widowControl/>
              <w:suppressLineNumbers w:val="0"/>
              <w:snapToGrid w:val="0"/>
              <w:spacing w:before="0" w:beforeAutospacing="0" w:after="0" w:afterAutospacing="0" w:line="300" w:lineRule="atLeast"/>
              <w:ind w:left="0" w:right="0"/>
              <w:jc w:val="left"/>
              <w:rPr>
                <w:rFonts w:hint="default" w:ascii="宋体"/>
                <w:color w:val="auto"/>
                <w:sz w:val="18"/>
                <w:szCs w:val="18"/>
              </w:rPr>
            </w:pPr>
            <w:r>
              <w:rPr>
                <w:rFonts w:hint="eastAsia" w:ascii="宋体" w:hAnsi="宋体"/>
                <w:color w:val="auto"/>
                <w:sz w:val="18"/>
                <w:szCs w:val="18"/>
              </w:rPr>
              <w:t>建设单位代码（建设单位</w:t>
            </w:r>
            <w:r>
              <w:rPr>
                <w:rFonts w:hint="default" w:ascii="宋体" w:hAnsi="宋体"/>
                <w:color w:val="auto"/>
                <w:sz w:val="18"/>
                <w:szCs w:val="18"/>
              </w:rPr>
              <w:t>06</w:t>
            </w:r>
            <w:r>
              <w:rPr>
                <w:rFonts w:hint="eastAsia" w:ascii="宋体" w:hAnsi="宋体"/>
                <w:color w:val="auto"/>
                <w:sz w:val="18"/>
                <w:szCs w:val="18"/>
              </w:rPr>
              <w:t>为</w:t>
            </w:r>
            <w:r>
              <w:rPr>
                <w:rFonts w:hint="default" w:ascii="宋体" w:hAnsi="宋体"/>
                <w:color w:val="auto"/>
                <w:sz w:val="18"/>
                <w:szCs w:val="18"/>
              </w:rPr>
              <w:t>1</w:t>
            </w:r>
            <w:r>
              <w:rPr>
                <w:rFonts w:hint="eastAsia" w:ascii="宋体" w:hAnsi="宋体"/>
                <w:color w:val="auto"/>
                <w:sz w:val="18"/>
                <w:szCs w:val="18"/>
              </w:rPr>
              <w:t>填写07，建设</w:t>
            </w:r>
            <w:r>
              <w:rPr>
                <w:rFonts w:hint="default" w:ascii="宋体" w:hAnsi="宋体"/>
                <w:color w:val="auto"/>
                <w:sz w:val="18"/>
                <w:szCs w:val="18"/>
              </w:rPr>
              <w:t>单位</w:t>
            </w:r>
            <w:r>
              <w:rPr>
                <w:rFonts w:hint="eastAsia" w:ascii="宋体" w:hAnsi="宋体"/>
                <w:color w:val="auto"/>
                <w:sz w:val="18"/>
                <w:szCs w:val="18"/>
              </w:rPr>
              <w:t>06为2、3填写10）</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4" w:space="0"/>
          </w:tblBorders>
          <w:tblCellMar>
            <w:top w:w="0" w:type="dxa"/>
            <w:left w:w="108" w:type="dxa"/>
            <w:bottom w:w="0" w:type="dxa"/>
            <w:right w:w="108" w:type="dxa"/>
          </w:tblCellMar>
        </w:tblPrEx>
        <w:trPr>
          <w:trHeight w:val="475" w:hRule="atLeast"/>
          <w:jc w:val="center"/>
        </w:trPr>
        <w:tc>
          <w:tcPr>
            <w:tcW w:w="5259" w:type="dxa"/>
            <w:tcBorders>
              <w:top w:val="single" w:color="auto" w:sz="2" w:space="0"/>
              <w:bottom w:val="single" w:color="auto" w:sz="2" w:space="0"/>
              <w:right w:val="single" w:color="auto" w:sz="2" w:space="0"/>
            </w:tcBorders>
            <w:noWrap w:val="0"/>
            <w:vAlign w:val="center"/>
          </w:tcPr>
          <w:p>
            <w:pPr>
              <w:keepNext w:val="0"/>
              <w:keepLines w:val="0"/>
              <w:suppressLineNumbers w:val="0"/>
              <w:adjustRightInd w:val="0"/>
              <w:snapToGrid w:val="0"/>
              <w:spacing w:before="0" w:beforeAutospacing="0" w:after="0" w:afterAutospacing="0" w:line="300" w:lineRule="atLeast"/>
              <w:ind w:left="0" w:right="0"/>
              <w:rPr>
                <w:rFonts w:hint="eastAsia" w:ascii="宋体" w:hAnsi="宋体" w:cs="宋体"/>
                <w:color w:val="auto"/>
                <w:sz w:val="18"/>
                <w:szCs w:val="18"/>
              </w:rPr>
            </w:pPr>
            <w:r>
              <w:rPr>
                <w:rFonts w:hint="eastAsia" w:ascii="宋体" w:hAnsi="宋体" w:cs="宋体"/>
                <w:color w:val="auto"/>
                <w:sz w:val="18"/>
                <w:szCs w:val="18"/>
              </w:rPr>
              <w:t>07统一社会信用代码</w:t>
            </w:r>
          </w:p>
          <w:p>
            <w:pPr>
              <w:keepNext w:val="0"/>
              <w:keepLines w:val="0"/>
              <w:suppressLineNumbers w:val="0"/>
              <w:adjustRightInd w:val="0"/>
              <w:snapToGrid w:val="0"/>
              <w:spacing w:before="0" w:beforeAutospacing="0" w:after="0" w:afterAutospacing="0" w:line="300" w:lineRule="atLeast"/>
              <w:ind w:left="0" w:right="0"/>
              <w:rPr>
                <w:rFonts w:hint="default" w:ascii="宋体" w:hAnsi="宋体"/>
                <w:color w:val="auto"/>
                <w:sz w:val="18"/>
                <w:szCs w:val="18"/>
              </w:rPr>
            </w:pPr>
            <w:r>
              <w:rPr>
                <w:rFonts w:hint="eastAsia" w:ascii="宋体" w:hAnsi="宋体" w:cs="宋体"/>
                <w:color w:val="auto"/>
                <w:sz w:val="18"/>
                <w:szCs w:val="18"/>
              </w:rPr>
              <w:t>□□□□□□□□□□□□□□□□□□</w:t>
            </w:r>
          </w:p>
        </w:tc>
        <w:tc>
          <w:tcPr>
            <w:tcW w:w="4327" w:type="dxa"/>
            <w:gridSpan w:val="2"/>
            <w:tcBorders>
              <w:top w:val="single" w:color="auto" w:sz="2" w:space="0"/>
              <w:left w:val="single" w:color="auto" w:sz="2" w:space="0"/>
              <w:bottom w:val="single" w:color="auto" w:sz="2" w:space="0"/>
            </w:tcBorders>
            <w:noWrap w:val="0"/>
            <w:vAlign w:val="center"/>
          </w:tcPr>
          <w:p>
            <w:pPr>
              <w:keepNext w:val="0"/>
              <w:keepLines w:val="0"/>
              <w:widowControl/>
              <w:suppressLineNumbers w:val="0"/>
              <w:snapToGrid w:val="0"/>
              <w:spacing w:before="0" w:beforeAutospacing="0" w:after="0" w:afterAutospacing="0" w:line="300" w:lineRule="atLeast"/>
              <w:ind w:left="0" w:right="0"/>
              <w:jc w:val="left"/>
              <w:rPr>
                <w:rFonts w:hint="eastAsia" w:ascii="宋体" w:hAnsi="宋体"/>
                <w:color w:val="auto"/>
                <w:sz w:val="18"/>
                <w:szCs w:val="18"/>
              </w:rPr>
            </w:pPr>
            <w:r>
              <w:rPr>
                <w:rFonts w:hint="default" w:ascii="宋体" w:hAnsi="宋体"/>
                <w:color w:val="auto"/>
                <w:sz w:val="18"/>
                <w:szCs w:val="18"/>
              </w:rPr>
              <w:t>10</w:t>
            </w:r>
            <w:r>
              <w:rPr>
                <w:rFonts w:hint="eastAsia" w:ascii="宋体" w:hAnsi="宋体"/>
                <w:color w:val="auto"/>
                <w:sz w:val="18"/>
                <w:szCs w:val="18"/>
              </w:rPr>
              <w:t>临时代码</w:t>
            </w:r>
          </w:p>
          <w:p>
            <w:pPr>
              <w:keepNext w:val="0"/>
              <w:keepLines w:val="0"/>
              <w:widowControl/>
              <w:suppressLineNumbers w:val="0"/>
              <w:snapToGrid w:val="0"/>
              <w:spacing w:before="0" w:beforeAutospacing="0" w:after="0" w:afterAutospacing="0" w:line="300" w:lineRule="atLeast"/>
              <w:ind w:left="0" w:right="0"/>
              <w:jc w:val="left"/>
              <w:rPr>
                <w:rFonts w:hint="default" w:ascii="宋体"/>
                <w:color w:val="auto"/>
                <w:sz w:val="18"/>
                <w:szCs w:val="18"/>
              </w:rPr>
            </w:pPr>
            <w:r>
              <w:rPr>
                <w:rFonts w:hint="eastAsia" w:ascii="宋体" w:hAnsi="宋体"/>
                <w:color w:val="auto"/>
                <w:sz w:val="18"/>
                <w:szCs w:val="18"/>
              </w:rPr>
              <w:t>□□□□□□□□□□□□□□□□□□</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4" w:space="0"/>
          </w:tblBorders>
          <w:tblCellMar>
            <w:top w:w="0" w:type="dxa"/>
            <w:left w:w="108" w:type="dxa"/>
            <w:bottom w:w="0" w:type="dxa"/>
            <w:right w:w="108" w:type="dxa"/>
          </w:tblCellMar>
        </w:tblPrEx>
        <w:trPr>
          <w:trHeight w:val="397" w:hRule="atLeast"/>
          <w:jc w:val="center"/>
        </w:trPr>
        <w:tc>
          <w:tcPr>
            <w:tcW w:w="9586" w:type="dxa"/>
            <w:gridSpan w:val="3"/>
            <w:tcBorders>
              <w:top w:val="single" w:color="auto" w:sz="2" w:space="0"/>
            </w:tcBorders>
            <w:noWrap w:val="0"/>
            <w:vAlign w:val="top"/>
          </w:tcPr>
          <w:p>
            <w:pPr>
              <w:keepNext w:val="0"/>
              <w:keepLines w:val="0"/>
              <w:widowControl/>
              <w:suppressLineNumbers w:val="0"/>
              <w:snapToGrid w:val="0"/>
              <w:spacing w:before="0" w:beforeAutospacing="0" w:after="0" w:afterAutospacing="0" w:line="280" w:lineRule="atLeast"/>
              <w:ind w:left="0" w:right="0"/>
              <w:jc w:val="left"/>
              <w:rPr>
                <w:rFonts w:hint="default" w:ascii="宋体" w:hAnsi="宋体"/>
                <w:b/>
                <w:color w:val="auto"/>
                <w:sz w:val="18"/>
                <w:szCs w:val="18"/>
              </w:rPr>
            </w:pPr>
            <w:r>
              <w:rPr>
                <w:rFonts w:hint="eastAsia" w:ascii="宋体" w:hAnsi="宋体"/>
                <w:b/>
                <w:color w:val="auto"/>
                <w:sz w:val="18"/>
                <w:szCs w:val="18"/>
              </w:rPr>
              <w:t>新增项目填写</w:t>
            </w:r>
          </w:p>
          <w:p>
            <w:pPr>
              <w:keepNext w:val="0"/>
              <w:keepLines w:val="0"/>
              <w:widowControl/>
              <w:suppressLineNumbers w:val="0"/>
              <w:snapToGrid w:val="0"/>
              <w:spacing w:before="0" w:beforeAutospacing="0" w:after="0" w:afterAutospacing="0" w:line="280" w:lineRule="atLeast"/>
              <w:ind w:left="0" w:right="0"/>
              <w:jc w:val="left"/>
              <w:rPr>
                <w:rFonts w:hint="default" w:ascii="宋体" w:hAnsi="宋体"/>
                <w:color w:val="auto"/>
                <w:sz w:val="18"/>
                <w:szCs w:val="18"/>
              </w:rPr>
            </w:pPr>
            <w:r>
              <w:rPr>
                <w:rFonts w:hint="default" w:ascii="宋体" w:hAnsi="宋体"/>
                <w:color w:val="auto"/>
                <w:sz w:val="18"/>
                <w:szCs w:val="18"/>
              </w:rPr>
              <w:t xml:space="preserve">13 </w:t>
            </w:r>
            <w:r>
              <w:rPr>
                <w:rFonts w:hint="eastAsia" w:ascii="宋体" w:hAnsi="宋体"/>
                <w:color w:val="auto"/>
                <w:sz w:val="18"/>
                <w:szCs w:val="18"/>
              </w:rPr>
              <w:t>项目开工时间</w:t>
            </w:r>
            <w:r>
              <w:rPr>
                <w:rFonts w:hint="default" w:ascii="宋体" w:hAnsi="宋体"/>
                <w:color w:val="auto"/>
                <w:sz w:val="18"/>
                <w:szCs w:val="18"/>
              </w:rPr>
              <w:t xml:space="preserve">   </w:t>
            </w:r>
            <w:r>
              <w:rPr>
                <w:rFonts w:hint="eastAsia" w:ascii="宋体" w:hAnsi="宋体"/>
                <w:color w:val="auto"/>
                <w:sz w:val="18"/>
                <w:szCs w:val="18"/>
              </w:rPr>
              <w:t>□□□□年□□月</w:t>
            </w:r>
            <w:r>
              <w:rPr>
                <w:rFonts w:hint="default" w:ascii="宋体" w:hAnsi="宋体"/>
                <w:color w:val="auto"/>
                <w:sz w:val="18"/>
                <w:szCs w:val="18"/>
              </w:rPr>
              <w:t xml:space="preserve">   </w:t>
            </w:r>
          </w:p>
          <w:p>
            <w:pPr>
              <w:keepNext w:val="0"/>
              <w:keepLines w:val="0"/>
              <w:widowControl/>
              <w:suppressLineNumbers w:val="0"/>
              <w:snapToGrid w:val="0"/>
              <w:spacing w:before="0" w:beforeAutospacing="0" w:after="0" w:afterAutospacing="0" w:line="280" w:lineRule="atLeast"/>
              <w:ind w:left="0" w:right="0"/>
              <w:jc w:val="left"/>
              <w:rPr>
                <w:rFonts w:hint="default" w:ascii="宋体" w:hAnsi="宋体"/>
                <w:color w:val="auto"/>
                <w:sz w:val="18"/>
                <w:szCs w:val="18"/>
              </w:rPr>
            </w:pPr>
            <w:r>
              <w:rPr>
                <w:rFonts w:hint="default" w:ascii="宋体" w:hAnsi="宋体"/>
                <w:color w:val="auto"/>
                <w:sz w:val="18"/>
                <w:szCs w:val="18"/>
              </w:rPr>
              <w:t xml:space="preserve">14 </w:t>
            </w:r>
            <w:r>
              <w:rPr>
                <w:rFonts w:hint="eastAsia" w:ascii="宋体" w:hAnsi="宋体"/>
                <w:color w:val="auto"/>
                <w:sz w:val="18"/>
                <w:szCs w:val="18"/>
              </w:rPr>
              <w:t>计划总投资</w:t>
            </w:r>
            <w:r>
              <w:rPr>
                <w:rFonts w:hint="default" w:ascii="宋体" w:hAnsi="宋体"/>
                <w:color w:val="auto"/>
                <w:sz w:val="18"/>
                <w:szCs w:val="18"/>
                <w:u w:val="single"/>
              </w:rPr>
              <w:t xml:space="preserve">           </w:t>
            </w:r>
            <w:r>
              <w:rPr>
                <w:rFonts w:hint="eastAsia" w:ascii="宋体" w:hAnsi="宋体"/>
                <w:color w:val="auto"/>
                <w:sz w:val="18"/>
                <w:szCs w:val="18"/>
              </w:rPr>
              <w:t>万元</w:t>
            </w:r>
            <w:r>
              <w:rPr>
                <w:rFonts w:hint="default" w:ascii="宋体" w:hAnsi="宋体"/>
                <w:color w:val="auto"/>
                <w:sz w:val="18"/>
                <w:szCs w:val="18"/>
              </w:rPr>
              <w:t xml:space="preserve">    </w:t>
            </w:r>
            <w:r>
              <w:rPr>
                <w:rFonts w:hint="eastAsia" w:ascii="宋体" w:hAnsi="宋体"/>
                <w:color w:val="auto"/>
                <w:sz w:val="18"/>
                <w:szCs w:val="18"/>
              </w:rPr>
              <w:t>141 已签订合同总额</w:t>
            </w:r>
            <w:r>
              <w:rPr>
                <w:rFonts w:hint="default" w:ascii="宋体" w:hAnsi="宋体"/>
                <w:color w:val="auto"/>
                <w:sz w:val="18"/>
                <w:szCs w:val="18"/>
                <w:u w:val="single"/>
              </w:rPr>
              <w:t xml:space="preserve">           </w:t>
            </w:r>
            <w:r>
              <w:rPr>
                <w:rFonts w:hint="eastAsia" w:ascii="宋体" w:hAnsi="宋体"/>
                <w:color w:val="auto"/>
                <w:sz w:val="18"/>
                <w:szCs w:val="18"/>
              </w:rPr>
              <w:t>万元</w:t>
            </w:r>
          </w:p>
          <w:p>
            <w:pPr>
              <w:keepNext w:val="0"/>
              <w:keepLines w:val="0"/>
              <w:widowControl/>
              <w:suppressLineNumbers w:val="0"/>
              <w:snapToGrid w:val="0"/>
              <w:spacing w:before="0" w:beforeAutospacing="0" w:after="0" w:afterAutospacing="0" w:line="280" w:lineRule="atLeast"/>
              <w:ind w:left="0" w:right="0"/>
              <w:jc w:val="left"/>
              <w:rPr>
                <w:rFonts w:hint="default" w:ascii="宋体" w:hAnsi="宋体"/>
                <w:color w:val="auto"/>
                <w:sz w:val="18"/>
                <w:szCs w:val="18"/>
              </w:rPr>
            </w:pPr>
            <w:r>
              <w:rPr>
                <w:rFonts w:hint="default" w:ascii="宋体" w:hAnsi="宋体"/>
                <w:color w:val="auto"/>
                <w:sz w:val="18"/>
                <w:szCs w:val="18"/>
              </w:rPr>
              <w:t xml:space="preserve">15 </w:t>
            </w:r>
            <w:r>
              <w:rPr>
                <w:rFonts w:hint="eastAsia" w:ascii="宋体" w:hAnsi="宋体"/>
                <w:color w:val="auto"/>
                <w:sz w:val="18"/>
                <w:szCs w:val="18"/>
              </w:rPr>
              <w:t>项目行业编码</w:t>
            </w:r>
            <w:r>
              <w:rPr>
                <w:rFonts w:hint="default" w:ascii="宋体" w:hAnsi="宋体"/>
                <w:color w:val="auto"/>
                <w:sz w:val="18"/>
                <w:szCs w:val="18"/>
              </w:rPr>
              <w:t xml:space="preserve"> </w:t>
            </w:r>
            <w:r>
              <w:rPr>
                <w:rFonts w:hint="eastAsia" w:ascii="宋体" w:hAnsi="宋体"/>
                <w:color w:val="auto"/>
                <w:sz w:val="18"/>
                <w:szCs w:val="18"/>
              </w:rPr>
              <w:t xml:space="preserve">□□□□（行业类别(GB/T 4754-2017)）  </w:t>
            </w:r>
          </w:p>
          <w:p>
            <w:pPr>
              <w:keepNext w:val="0"/>
              <w:keepLines w:val="0"/>
              <w:widowControl/>
              <w:suppressLineNumbers w:val="0"/>
              <w:snapToGrid w:val="0"/>
              <w:spacing w:before="0" w:beforeAutospacing="0" w:after="0" w:afterAutospacing="0" w:line="280" w:lineRule="atLeast"/>
              <w:ind w:left="0" w:right="0"/>
              <w:jc w:val="left"/>
              <w:rPr>
                <w:rFonts w:hint="default" w:ascii="宋体" w:hAnsi="宋体"/>
                <w:color w:val="auto"/>
                <w:sz w:val="18"/>
                <w:szCs w:val="18"/>
              </w:rPr>
            </w:pPr>
            <w:r>
              <w:rPr>
                <w:rFonts w:hint="default" w:ascii="宋体" w:hAnsi="宋体"/>
                <w:color w:val="auto"/>
                <w:sz w:val="18"/>
                <w:szCs w:val="18"/>
              </w:rPr>
              <w:t>09a</w:t>
            </w:r>
            <w:r>
              <w:rPr>
                <w:rFonts w:hint="eastAsia" w:ascii="宋体" w:hAnsi="宋体"/>
                <w:color w:val="auto"/>
                <w:sz w:val="18"/>
                <w:szCs w:val="18"/>
              </w:rPr>
              <w:t xml:space="preserve"> 项目类别  □（必填）1</w:t>
            </w:r>
            <w:r>
              <w:rPr>
                <w:rFonts w:hint="default" w:ascii="宋体" w:hAnsi="宋体"/>
                <w:color w:val="auto"/>
                <w:sz w:val="18"/>
                <w:szCs w:val="18"/>
              </w:rPr>
              <w:t>.</w:t>
            </w:r>
            <w:r>
              <w:rPr>
                <w:rFonts w:hint="eastAsia" w:ascii="宋体" w:hAnsi="宋体"/>
                <w:color w:val="auto"/>
                <w:sz w:val="18"/>
                <w:szCs w:val="18"/>
              </w:rPr>
              <w:t>工业</w:t>
            </w:r>
            <w:r>
              <w:rPr>
                <w:rFonts w:hint="default" w:ascii="宋体" w:hAnsi="宋体"/>
                <w:color w:val="auto"/>
                <w:sz w:val="18"/>
                <w:szCs w:val="18"/>
              </w:rPr>
              <w:t>企业技术改造项目</w:t>
            </w:r>
            <w:r>
              <w:rPr>
                <w:rFonts w:hint="eastAsia" w:ascii="宋体" w:hAnsi="宋体"/>
                <w:color w:val="auto"/>
                <w:sz w:val="18"/>
                <w:szCs w:val="18"/>
              </w:rPr>
              <w:t xml:space="preserve">  2.保障性住房</w:t>
            </w:r>
            <w:r>
              <w:rPr>
                <w:rFonts w:hint="default" w:ascii="宋体" w:hAnsi="宋体"/>
                <w:color w:val="auto"/>
                <w:sz w:val="18"/>
                <w:szCs w:val="18"/>
              </w:rPr>
              <w:t>项目</w:t>
            </w:r>
            <w:r>
              <w:rPr>
                <w:rFonts w:hint="eastAsia" w:ascii="宋体" w:hAnsi="宋体"/>
                <w:color w:val="auto"/>
                <w:sz w:val="18"/>
                <w:szCs w:val="18"/>
              </w:rPr>
              <w:t xml:space="preserve"> 3.涉农</w:t>
            </w:r>
            <w:r>
              <w:rPr>
                <w:rFonts w:hint="default" w:ascii="宋体" w:hAnsi="宋体"/>
                <w:color w:val="auto"/>
                <w:sz w:val="18"/>
                <w:szCs w:val="18"/>
              </w:rPr>
              <w:t>项目</w:t>
            </w:r>
            <w:r>
              <w:rPr>
                <w:rFonts w:hint="eastAsia" w:ascii="宋体" w:hAnsi="宋体"/>
                <w:color w:val="auto"/>
                <w:sz w:val="18"/>
                <w:szCs w:val="18"/>
              </w:rPr>
              <w:t xml:space="preserve"> </w:t>
            </w:r>
            <w:r>
              <w:rPr>
                <w:rFonts w:hint="default" w:ascii="宋体" w:hAnsi="宋体"/>
                <w:color w:val="auto"/>
                <w:sz w:val="18"/>
                <w:szCs w:val="18"/>
              </w:rPr>
              <w:t>4</w:t>
            </w:r>
            <w:r>
              <w:rPr>
                <w:rFonts w:hint="eastAsia" w:ascii="宋体" w:hAnsi="宋体"/>
                <w:color w:val="auto"/>
                <w:sz w:val="18"/>
                <w:szCs w:val="18"/>
              </w:rPr>
              <w:t xml:space="preserve">.老旧小区改造项目 </w:t>
            </w:r>
          </w:p>
          <w:p>
            <w:pPr>
              <w:keepNext w:val="0"/>
              <w:keepLines w:val="0"/>
              <w:widowControl/>
              <w:suppressLineNumbers w:val="0"/>
              <w:snapToGrid w:val="0"/>
              <w:spacing w:before="0" w:beforeAutospacing="0" w:after="0" w:afterAutospacing="0" w:line="280" w:lineRule="atLeast"/>
              <w:ind w:left="0" w:right="0" w:firstLine="2160" w:firstLineChars="1200"/>
              <w:jc w:val="left"/>
              <w:rPr>
                <w:rFonts w:hint="default" w:ascii="宋体" w:hAnsi="宋体"/>
                <w:color w:val="auto"/>
                <w:sz w:val="18"/>
                <w:szCs w:val="18"/>
              </w:rPr>
            </w:pPr>
            <w:r>
              <w:rPr>
                <w:rFonts w:hint="eastAsia" w:ascii="宋体" w:hAnsi="宋体"/>
                <w:color w:val="auto"/>
                <w:sz w:val="18"/>
                <w:szCs w:val="18"/>
              </w:rPr>
              <w:t>9.其他</w:t>
            </w:r>
            <w:r>
              <w:rPr>
                <w:rFonts w:hint="default" w:ascii="宋体" w:hAnsi="宋体"/>
                <w:color w:val="auto"/>
                <w:sz w:val="18"/>
                <w:szCs w:val="18"/>
              </w:rPr>
              <w:t>项目</w:t>
            </w:r>
          </w:p>
          <w:p>
            <w:pPr>
              <w:keepNext w:val="0"/>
              <w:keepLines w:val="0"/>
              <w:widowControl/>
              <w:suppressLineNumbers w:val="0"/>
              <w:snapToGrid w:val="0"/>
              <w:spacing w:before="0" w:beforeAutospacing="0" w:after="0" w:afterAutospacing="0" w:line="280" w:lineRule="atLeast"/>
              <w:ind w:left="0" w:right="0"/>
              <w:jc w:val="left"/>
              <w:rPr>
                <w:rFonts w:hint="eastAsia" w:ascii="宋体" w:hAnsi="宋体"/>
                <w:color w:val="auto"/>
                <w:sz w:val="18"/>
                <w:szCs w:val="18"/>
              </w:rPr>
            </w:pPr>
            <w:r>
              <w:rPr>
                <w:rFonts w:hint="eastAsia" w:ascii="宋体" w:hAnsi="宋体"/>
                <w:color w:val="auto"/>
                <w:sz w:val="18"/>
                <w:szCs w:val="18"/>
              </w:rPr>
              <w:t xml:space="preserve">  </w:t>
            </w:r>
            <w:r>
              <w:rPr>
                <w:rFonts w:hint="default" w:ascii="宋体" w:hAnsi="宋体"/>
                <w:color w:val="auto"/>
                <w:sz w:val="18"/>
                <w:szCs w:val="18"/>
              </w:rPr>
              <w:t xml:space="preserve">            </w:t>
            </w:r>
            <w:r>
              <w:rPr>
                <w:rFonts w:hint="eastAsia" w:ascii="宋体" w:hAnsi="宋体"/>
                <w:color w:val="auto"/>
                <w:sz w:val="18"/>
                <w:szCs w:val="18"/>
              </w:rPr>
              <w:t>□5.信息类</w:t>
            </w:r>
            <w:r>
              <w:rPr>
                <w:rFonts w:hint="default" w:ascii="宋体" w:hAnsi="宋体"/>
                <w:color w:val="auto"/>
                <w:sz w:val="18"/>
                <w:szCs w:val="18"/>
              </w:rPr>
              <w:t>新型</w:t>
            </w:r>
            <w:r>
              <w:rPr>
                <w:rFonts w:hint="eastAsia" w:ascii="宋体" w:hAnsi="宋体"/>
                <w:color w:val="auto"/>
                <w:sz w:val="18"/>
                <w:szCs w:val="18"/>
              </w:rPr>
              <w:t xml:space="preserve">基础设施项目 </w:t>
            </w:r>
            <w:r>
              <w:rPr>
                <w:rFonts w:hint="default" w:ascii="宋体" w:hAnsi="宋体"/>
                <w:color w:val="auto"/>
                <w:sz w:val="18"/>
                <w:szCs w:val="18"/>
              </w:rPr>
              <w:t>6</w:t>
            </w:r>
            <w:r>
              <w:rPr>
                <w:rFonts w:hint="eastAsia" w:ascii="宋体" w:hAnsi="宋体"/>
                <w:color w:val="auto"/>
                <w:sz w:val="18"/>
                <w:szCs w:val="18"/>
              </w:rPr>
              <w:t>.融合类</w:t>
            </w:r>
            <w:r>
              <w:rPr>
                <w:rFonts w:hint="default" w:ascii="宋体" w:hAnsi="宋体"/>
                <w:color w:val="auto"/>
                <w:sz w:val="18"/>
                <w:szCs w:val="18"/>
              </w:rPr>
              <w:t>新型</w:t>
            </w:r>
            <w:r>
              <w:rPr>
                <w:rFonts w:hint="eastAsia" w:ascii="宋体" w:hAnsi="宋体"/>
                <w:color w:val="auto"/>
                <w:sz w:val="18"/>
                <w:szCs w:val="18"/>
              </w:rPr>
              <w:t xml:space="preserve">基础设施项目 </w:t>
            </w:r>
            <w:r>
              <w:rPr>
                <w:rFonts w:hint="default" w:ascii="宋体" w:hAnsi="宋体"/>
                <w:color w:val="auto"/>
                <w:sz w:val="18"/>
                <w:szCs w:val="18"/>
              </w:rPr>
              <w:t>7.</w:t>
            </w:r>
            <w:r>
              <w:rPr>
                <w:rFonts w:hint="eastAsia" w:ascii="宋体" w:hAnsi="宋体"/>
                <w:color w:val="auto"/>
                <w:sz w:val="18"/>
                <w:szCs w:val="18"/>
              </w:rPr>
              <w:t>创新类</w:t>
            </w:r>
            <w:r>
              <w:rPr>
                <w:rFonts w:hint="default" w:ascii="宋体" w:hAnsi="宋体"/>
                <w:color w:val="auto"/>
                <w:sz w:val="18"/>
                <w:szCs w:val="18"/>
              </w:rPr>
              <w:t>新型</w:t>
            </w:r>
            <w:r>
              <w:rPr>
                <w:rFonts w:hint="eastAsia" w:ascii="宋体" w:hAnsi="宋体"/>
                <w:color w:val="auto"/>
                <w:sz w:val="18"/>
                <w:szCs w:val="18"/>
              </w:rPr>
              <w:t xml:space="preserve">基础设施项目 </w:t>
            </w:r>
          </w:p>
          <w:p>
            <w:pPr>
              <w:keepNext w:val="0"/>
              <w:keepLines w:val="0"/>
              <w:widowControl/>
              <w:suppressLineNumbers w:val="0"/>
              <w:snapToGrid w:val="0"/>
              <w:spacing w:before="0" w:beforeAutospacing="0" w:after="0" w:afterAutospacing="0" w:line="280" w:lineRule="atLeast"/>
              <w:ind w:left="0" w:right="0"/>
              <w:jc w:val="left"/>
              <w:rPr>
                <w:rFonts w:hint="eastAsia" w:ascii="宋体" w:hAnsi="宋体"/>
                <w:color w:val="auto"/>
                <w:sz w:val="18"/>
                <w:szCs w:val="18"/>
              </w:rPr>
            </w:pPr>
            <w:r>
              <w:rPr>
                <w:rFonts w:hint="default" w:ascii="宋体" w:hAnsi="宋体"/>
                <w:bCs/>
                <w:color w:val="auto"/>
                <w:sz w:val="18"/>
                <w:szCs w:val="18"/>
              </w:rPr>
              <w:t xml:space="preserve">22 </w:t>
            </w:r>
            <w:r>
              <w:rPr>
                <w:rFonts w:hint="eastAsia" w:ascii="宋体" w:hAnsi="宋体"/>
                <w:bCs/>
                <w:color w:val="auto"/>
                <w:sz w:val="18"/>
                <w:szCs w:val="18"/>
              </w:rPr>
              <w:t>是否为单纯购置项目 □</w:t>
            </w:r>
            <w:r>
              <w:rPr>
                <w:rFonts w:hint="default" w:ascii="宋体" w:hAnsi="宋体"/>
                <w:bCs/>
                <w:color w:val="auto"/>
                <w:sz w:val="18"/>
                <w:szCs w:val="18"/>
              </w:rPr>
              <w:t xml:space="preserve">    1.</w:t>
            </w:r>
            <w:r>
              <w:rPr>
                <w:rFonts w:hint="eastAsia" w:ascii="宋体" w:hAnsi="宋体"/>
                <w:bCs/>
                <w:color w:val="auto"/>
                <w:sz w:val="18"/>
                <w:szCs w:val="18"/>
              </w:rPr>
              <w:t xml:space="preserve">是 </w:t>
            </w:r>
            <w:r>
              <w:rPr>
                <w:rFonts w:hint="default" w:ascii="宋体" w:hAnsi="宋体"/>
                <w:bCs/>
                <w:color w:val="auto"/>
                <w:sz w:val="18"/>
                <w:szCs w:val="18"/>
              </w:rPr>
              <w:t xml:space="preserve">  2.</w:t>
            </w:r>
            <w:r>
              <w:rPr>
                <w:rFonts w:hint="eastAsia" w:ascii="宋体" w:hAnsi="宋体"/>
                <w:bCs/>
                <w:color w:val="auto"/>
                <w:sz w:val="18"/>
                <w:szCs w:val="18"/>
              </w:rPr>
              <w:t>否</w:t>
            </w:r>
          </w:p>
          <w:p>
            <w:pPr>
              <w:keepNext w:val="0"/>
              <w:keepLines w:val="0"/>
              <w:widowControl/>
              <w:suppressLineNumbers w:val="0"/>
              <w:snapToGrid w:val="0"/>
              <w:spacing w:before="0" w:beforeAutospacing="0" w:after="0" w:afterAutospacing="0" w:line="280" w:lineRule="atLeast"/>
              <w:ind w:left="0" w:right="0"/>
              <w:jc w:val="left"/>
              <w:rPr>
                <w:rFonts w:hint="default" w:ascii="宋体" w:hAnsi="宋体"/>
                <w:color w:val="auto"/>
                <w:sz w:val="18"/>
                <w:szCs w:val="18"/>
              </w:rPr>
            </w:pPr>
            <w:r>
              <w:rPr>
                <w:rFonts w:hint="eastAsia" w:ascii="宋体" w:hAnsi="宋体"/>
                <w:color w:val="auto"/>
                <w:sz w:val="18"/>
                <w:szCs w:val="18"/>
              </w:rPr>
              <w:t>3</w:t>
            </w:r>
            <w:r>
              <w:rPr>
                <w:rFonts w:hint="default" w:ascii="宋体" w:hAnsi="宋体"/>
                <w:color w:val="auto"/>
                <w:sz w:val="18"/>
                <w:szCs w:val="18"/>
              </w:rPr>
              <w:t>1</w:t>
            </w:r>
            <w:r>
              <w:rPr>
                <w:rFonts w:hint="eastAsia" w:ascii="宋体" w:hAnsi="宋体"/>
                <w:color w:val="auto"/>
                <w:sz w:val="18"/>
                <w:szCs w:val="18"/>
              </w:rPr>
              <w:t xml:space="preserve"> 项目建设地经纬度坐标   经度□□□.□□□□□□  纬度□□□.□□□□□□</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4" w:space="0"/>
          </w:tblBorders>
          <w:tblCellMar>
            <w:top w:w="0" w:type="dxa"/>
            <w:left w:w="108" w:type="dxa"/>
            <w:bottom w:w="0" w:type="dxa"/>
            <w:right w:w="108" w:type="dxa"/>
          </w:tblCellMar>
        </w:tblPrEx>
        <w:trPr>
          <w:trHeight w:val="1338" w:hRule="atLeast"/>
          <w:jc w:val="center"/>
        </w:trPr>
        <w:tc>
          <w:tcPr>
            <w:tcW w:w="9586" w:type="dxa"/>
            <w:gridSpan w:val="3"/>
            <w:noWrap w:val="0"/>
            <w:vAlign w:val="center"/>
          </w:tcPr>
          <w:p>
            <w:pPr>
              <w:keepNext w:val="0"/>
              <w:keepLines w:val="0"/>
              <w:suppressLineNumbers w:val="0"/>
              <w:adjustRightInd w:val="0"/>
              <w:snapToGrid w:val="0"/>
              <w:spacing w:before="0" w:beforeAutospacing="0" w:after="0" w:afterAutospacing="0" w:line="300" w:lineRule="atLeast"/>
              <w:ind w:left="0" w:right="0"/>
              <w:rPr>
                <w:rFonts w:hint="default" w:ascii="宋体"/>
                <w:b/>
                <w:color w:val="auto"/>
                <w:sz w:val="18"/>
                <w:szCs w:val="18"/>
              </w:rPr>
            </w:pPr>
            <w:r>
              <w:rPr>
                <w:rFonts w:hint="eastAsia" w:ascii="宋体" w:hAnsi="宋体"/>
                <w:b/>
                <w:color w:val="auto"/>
                <w:sz w:val="18"/>
                <w:szCs w:val="18"/>
              </w:rPr>
              <w:t>规定事项变更项目填写（审核类型03为</w:t>
            </w:r>
            <w:r>
              <w:rPr>
                <w:rFonts w:hint="default" w:ascii="宋体" w:hAnsi="宋体"/>
                <w:b/>
                <w:color w:val="auto"/>
                <w:sz w:val="18"/>
                <w:szCs w:val="18"/>
              </w:rPr>
              <w:t>2</w:t>
            </w:r>
            <w:r>
              <w:rPr>
                <w:rFonts w:hint="eastAsia" w:ascii="宋体" w:hAnsi="宋体"/>
                <w:b/>
                <w:color w:val="auto"/>
                <w:sz w:val="18"/>
                <w:szCs w:val="18"/>
              </w:rPr>
              <w:t>填报</w:t>
            </w:r>
            <w:r>
              <w:rPr>
                <w:rFonts w:hint="default" w:ascii="宋体" w:hAnsi="宋体"/>
                <w:b/>
                <w:color w:val="auto"/>
                <w:sz w:val="18"/>
                <w:szCs w:val="18"/>
              </w:rPr>
              <w:t xml:space="preserve">16，17，18 </w:t>
            </w:r>
            <w:r>
              <w:rPr>
                <w:rFonts w:hint="eastAsia" w:ascii="宋体" w:hAnsi="宋体"/>
                <w:b/>
                <w:color w:val="auto"/>
                <w:sz w:val="18"/>
                <w:szCs w:val="18"/>
              </w:rPr>
              <w:t>审核类型03为</w:t>
            </w:r>
            <w:r>
              <w:rPr>
                <w:rFonts w:hint="default" w:ascii="宋体" w:hAnsi="宋体"/>
                <w:b/>
                <w:color w:val="auto"/>
                <w:sz w:val="18"/>
                <w:szCs w:val="18"/>
              </w:rPr>
              <w:t>3</w:t>
            </w:r>
            <w:r>
              <w:rPr>
                <w:rFonts w:hint="eastAsia" w:ascii="宋体" w:hAnsi="宋体"/>
                <w:b/>
                <w:color w:val="auto"/>
                <w:sz w:val="18"/>
                <w:szCs w:val="18"/>
              </w:rPr>
              <w:t>填报</w:t>
            </w:r>
            <w:r>
              <w:rPr>
                <w:rFonts w:hint="default" w:ascii="宋体" w:hAnsi="宋体"/>
                <w:b/>
                <w:color w:val="auto"/>
                <w:sz w:val="18"/>
                <w:szCs w:val="18"/>
              </w:rPr>
              <w:t>19，20</w:t>
            </w:r>
            <w:r>
              <w:rPr>
                <w:rFonts w:hint="eastAsia" w:ascii="宋体" w:hAnsi="宋体"/>
                <w:b/>
                <w:color w:val="auto"/>
                <w:sz w:val="18"/>
                <w:szCs w:val="18"/>
              </w:rPr>
              <w:t>）：</w:t>
            </w:r>
          </w:p>
          <w:p>
            <w:pPr>
              <w:keepNext w:val="0"/>
              <w:keepLines w:val="0"/>
              <w:suppressLineNumbers w:val="0"/>
              <w:adjustRightInd w:val="0"/>
              <w:snapToGrid w:val="0"/>
              <w:spacing w:before="0" w:beforeAutospacing="0" w:after="0" w:afterAutospacing="0" w:line="300" w:lineRule="atLeast"/>
              <w:ind w:left="0" w:right="0"/>
              <w:rPr>
                <w:rFonts w:hint="default" w:ascii="宋体"/>
                <w:color w:val="auto"/>
                <w:sz w:val="18"/>
                <w:szCs w:val="18"/>
                <w:u w:val="single"/>
              </w:rPr>
            </w:pPr>
            <w:r>
              <w:rPr>
                <w:rFonts w:hint="default" w:ascii="宋体" w:hAnsi="宋体"/>
                <w:color w:val="auto"/>
                <w:sz w:val="18"/>
                <w:szCs w:val="18"/>
              </w:rPr>
              <w:t>16</w:t>
            </w:r>
            <w:r>
              <w:rPr>
                <w:rFonts w:hint="eastAsia" w:ascii="宋体" w:hAnsi="宋体"/>
                <w:color w:val="auto"/>
                <w:sz w:val="18"/>
                <w:szCs w:val="18"/>
              </w:rPr>
              <w:t>变更后所属单位</w:t>
            </w:r>
            <w:r>
              <w:rPr>
                <w:rFonts w:hint="eastAsia" w:ascii="宋体" w:hAnsi="宋体" w:cs="宋体"/>
                <w:color w:val="auto"/>
                <w:sz w:val="18"/>
                <w:szCs w:val="18"/>
              </w:rPr>
              <w:t>统一社会信用代码□□□□□□□□□□□□□□□□□□</w:t>
            </w:r>
            <w:r>
              <w:rPr>
                <w:rFonts w:hint="default" w:ascii="宋体" w:hAnsi="宋体"/>
                <w:color w:val="auto"/>
                <w:sz w:val="18"/>
                <w:szCs w:val="18"/>
              </w:rPr>
              <w:t xml:space="preserve">    17</w:t>
            </w:r>
            <w:r>
              <w:rPr>
                <w:rFonts w:hint="eastAsia" w:ascii="宋体" w:hAnsi="宋体"/>
                <w:color w:val="auto"/>
                <w:sz w:val="18"/>
                <w:szCs w:val="18"/>
              </w:rPr>
              <w:t>变更后所属单位详细名称</w:t>
            </w:r>
            <w:r>
              <w:rPr>
                <w:rFonts w:hint="default" w:ascii="宋体" w:hAnsi="宋体"/>
                <w:color w:val="auto"/>
                <w:sz w:val="18"/>
                <w:szCs w:val="18"/>
                <w:u w:val="single"/>
              </w:rPr>
              <w:t xml:space="preserve">                      </w:t>
            </w:r>
          </w:p>
          <w:p>
            <w:pPr>
              <w:keepNext w:val="0"/>
              <w:keepLines w:val="0"/>
              <w:suppressLineNumbers w:val="0"/>
              <w:adjustRightInd w:val="0"/>
              <w:snapToGrid w:val="0"/>
              <w:spacing w:before="0" w:beforeAutospacing="0" w:after="0" w:afterAutospacing="0" w:line="300" w:lineRule="atLeast"/>
              <w:ind w:left="0" w:right="0"/>
              <w:rPr>
                <w:rFonts w:hint="default" w:ascii="宋体"/>
                <w:color w:val="auto"/>
                <w:sz w:val="18"/>
                <w:szCs w:val="18"/>
              </w:rPr>
            </w:pPr>
            <w:r>
              <w:rPr>
                <w:rFonts w:hint="default" w:ascii="宋体" w:hAnsi="宋体"/>
                <w:color w:val="auto"/>
                <w:sz w:val="18"/>
                <w:szCs w:val="18"/>
              </w:rPr>
              <w:t>18</w:t>
            </w:r>
            <w:r>
              <w:rPr>
                <w:rFonts w:hint="eastAsia" w:ascii="宋体" w:hAnsi="宋体"/>
                <w:color w:val="auto"/>
                <w:sz w:val="18"/>
                <w:szCs w:val="18"/>
              </w:rPr>
              <w:t>变更后项目代码□□□□□□□□□</w:t>
            </w:r>
            <w:r>
              <w:rPr>
                <w:rFonts w:hint="default" w:ascii="宋体" w:hAnsi="宋体"/>
                <w:color w:val="auto"/>
                <w:sz w:val="18"/>
                <w:szCs w:val="18"/>
              </w:rPr>
              <w:t xml:space="preserve"> </w:t>
            </w:r>
            <w:r>
              <w:rPr>
                <w:rFonts w:hint="eastAsia" w:ascii="宋体" w:hAnsi="宋体"/>
                <w:color w:val="auto"/>
                <w:sz w:val="18"/>
                <w:szCs w:val="18"/>
              </w:rPr>
              <w:t>□□□□□□</w:t>
            </w:r>
            <w:r>
              <w:rPr>
                <w:rFonts w:hint="default" w:ascii="宋体" w:hAnsi="宋体"/>
                <w:color w:val="auto"/>
                <w:sz w:val="18"/>
                <w:szCs w:val="18"/>
              </w:rPr>
              <w:t xml:space="preserve"> </w:t>
            </w:r>
            <w:r>
              <w:rPr>
                <w:rFonts w:hint="eastAsia" w:ascii="宋体" w:hAnsi="宋体"/>
                <w:color w:val="auto"/>
                <w:sz w:val="18"/>
                <w:szCs w:val="18"/>
              </w:rPr>
              <w:t>□□□</w:t>
            </w:r>
          </w:p>
          <w:p>
            <w:pPr>
              <w:keepNext w:val="0"/>
              <w:keepLines w:val="0"/>
              <w:suppressLineNumbers w:val="0"/>
              <w:adjustRightInd w:val="0"/>
              <w:snapToGrid w:val="0"/>
              <w:spacing w:before="0" w:beforeAutospacing="0" w:after="0" w:afterAutospacing="0" w:line="300" w:lineRule="atLeast"/>
              <w:ind w:left="0" w:right="0"/>
              <w:rPr>
                <w:rFonts w:hint="default" w:ascii="宋体"/>
                <w:b/>
                <w:color w:val="auto"/>
                <w:sz w:val="18"/>
                <w:szCs w:val="18"/>
              </w:rPr>
            </w:pPr>
            <w:r>
              <w:rPr>
                <w:rFonts w:hint="default" w:ascii="宋体" w:hAnsi="宋体"/>
                <w:color w:val="auto"/>
                <w:sz w:val="18"/>
                <w:szCs w:val="18"/>
              </w:rPr>
              <w:t>19</w:t>
            </w:r>
            <w:r>
              <w:rPr>
                <w:rFonts w:hint="eastAsia" w:ascii="宋体" w:hAnsi="宋体"/>
                <w:color w:val="auto"/>
                <w:sz w:val="18"/>
                <w:szCs w:val="18"/>
              </w:rPr>
              <w:t>变更前计划总投资</w:t>
            </w:r>
            <w:r>
              <w:rPr>
                <w:rFonts w:hint="default" w:ascii="宋体" w:hAnsi="宋体"/>
                <w:color w:val="auto"/>
                <w:sz w:val="18"/>
                <w:szCs w:val="18"/>
                <w:u w:val="single"/>
              </w:rPr>
              <w:t xml:space="preserve">           </w:t>
            </w:r>
            <w:r>
              <w:rPr>
                <w:rFonts w:hint="eastAsia" w:ascii="宋体" w:hAnsi="宋体"/>
                <w:color w:val="auto"/>
                <w:sz w:val="18"/>
                <w:szCs w:val="18"/>
              </w:rPr>
              <w:t>万元</w:t>
            </w:r>
            <w:r>
              <w:rPr>
                <w:rFonts w:hint="default" w:ascii="宋体" w:hAnsi="宋体"/>
                <w:color w:val="auto"/>
                <w:sz w:val="18"/>
                <w:szCs w:val="18"/>
              </w:rPr>
              <w:t xml:space="preserve">         </w:t>
            </w:r>
            <w:r>
              <w:rPr>
                <w:rFonts w:hint="eastAsia" w:ascii="宋体" w:hAnsi="宋体"/>
                <w:color w:val="auto"/>
                <w:sz w:val="18"/>
                <w:szCs w:val="18"/>
              </w:rPr>
              <w:t>　　　</w:t>
            </w:r>
            <w:r>
              <w:rPr>
                <w:rFonts w:hint="default" w:ascii="宋体" w:hAnsi="宋体"/>
                <w:color w:val="auto"/>
                <w:sz w:val="18"/>
                <w:szCs w:val="18"/>
              </w:rPr>
              <w:t xml:space="preserve"> 20</w:t>
            </w:r>
            <w:r>
              <w:rPr>
                <w:rFonts w:hint="eastAsia" w:ascii="宋体" w:hAnsi="宋体"/>
                <w:color w:val="auto"/>
                <w:sz w:val="18"/>
                <w:szCs w:val="18"/>
              </w:rPr>
              <w:t>变更后计划总投资</w:t>
            </w:r>
            <w:r>
              <w:rPr>
                <w:rFonts w:hint="default" w:ascii="宋体" w:hAnsi="宋体"/>
                <w:color w:val="auto"/>
                <w:sz w:val="18"/>
                <w:szCs w:val="18"/>
                <w:u w:val="single"/>
              </w:rPr>
              <w:t xml:space="preserve">          </w:t>
            </w:r>
            <w:r>
              <w:rPr>
                <w:rFonts w:hint="eastAsia" w:ascii="宋体" w:hAnsi="宋体"/>
                <w:color w:val="auto"/>
                <w:sz w:val="18"/>
                <w:szCs w:val="18"/>
              </w:rPr>
              <w:t>万元</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4" w:space="0"/>
          </w:tblBorders>
          <w:tblCellMar>
            <w:top w:w="0" w:type="dxa"/>
            <w:left w:w="108" w:type="dxa"/>
            <w:bottom w:w="0" w:type="dxa"/>
            <w:right w:w="108" w:type="dxa"/>
          </w:tblCellMar>
        </w:tblPrEx>
        <w:trPr>
          <w:trHeight w:val="397" w:hRule="atLeast"/>
          <w:jc w:val="center"/>
        </w:trPr>
        <w:tc>
          <w:tcPr>
            <w:tcW w:w="9586" w:type="dxa"/>
            <w:gridSpan w:val="3"/>
            <w:noWrap w:val="0"/>
            <w:vAlign w:val="center"/>
          </w:tcPr>
          <w:p>
            <w:pPr>
              <w:keepNext w:val="0"/>
              <w:keepLines w:val="0"/>
              <w:suppressLineNumbers w:val="0"/>
              <w:adjustRightInd w:val="0"/>
              <w:snapToGrid w:val="0"/>
              <w:spacing w:before="0" w:beforeAutospacing="0" w:after="0" w:afterAutospacing="0" w:line="300" w:lineRule="atLeast"/>
              <w:ind w:left="0" w:right="0"/>
              <w:rPr>
                <w:rFonts w:hint="default" w:ascii="宋体" w:hAnsi="宋体"/>
                <w:color w:val="auto"/>
                <w:sz w:val="18"/>
                <w:szCs w:val="18"/>
              </w:rPr>
            </w:pPr>
            <w:r>
              <w:rPr>
                <w:rFonts w:hint="default" w:ascii="宋体" w:hAnsi="宋体"/>
                <w:color w:val="auto"/>
                <w:sz w:val="18"/>
                <w:szCs w:val="18"/>
              </w:rPr>
              <w:t>26</w:t>
            </w:r>
            <w:r>
              <w:rPr>
                <w:rFonts w:hint="eastAsia" w:ascii="宋体" w:hAnsi="宋体"/>
                <w:color w:val="auto"/>
                <w:sz w:val="18"/>
                <w:szCs w:val="18"/>
              </w:rPr>
              <w:t>项目联系人</w:t>
            </w:r>
            <w:r>
              <w:rPr>
                <w:rFonts w:hint="default" w:ascii="宋体" w:hAnsi="宋体"/>
                <w:color w:val="auto"/>
                <w:sz w:val="18"/>
                <w:szCs w:val="18"/>
              </w:rPr>
              <w:t xml:space="preserve">                         </w:t>
            </w:r>
            <w:r>
              <w:rPr>
                <w:rFonts w:hint="eastAsia" w:ascii="宋体" w:hAnsi="宋体"/>
                <w:color w:val="auto"/>
                <w:sz w:val="18"/>
                <w:szCs w:val="18"/>
              </w:rPr>
              <w:t xml:space="preserve"> </w:t>
            </w:r>
            <w:r>
              <w:rPr>
                <w:rFonts w:hint="default" w:ascii="宋体" w:hAnsi="宋体"/>
                <w:color w:val="auto"/>
                <w:sz w:val="18"/>
                <w:szCs w:val="18"/>
              </w:rPr>
              <w:t xml:space="preserve">27 </w:t>
            </w:r>
            <w:r>
              <w:rPr>
                <w:rFonts w:hint="eastAsia" w:ascii="宋体" w:hAnsi="宋体"/>
                <w:color w:val="auto"/>
                <w:sz w:val="18"/>
                <w:szCs w:val="18"/>
              </w:rPr>
              <w:t>项目联系人电话 □□□□□□□□□□□□</w:t>
            </w:r>
            <w:r>
              <w:rPr>
                <w:rFonts w:hint="default" w:ascii="宋体" w:hAnsi="宋体"/>
                <w:color w:val="auto"/>
                <w:sz w:val="18"/>
                <w:szCs w:val="18"/>
              </w:rPr>
              <w:t xml:space="preserve">  </w:t>
            </w:r>
          </w:p>
          <w:p>
            <w:pPr>
              <w:keepNext w:val="0"/>
              <w:keepLines w:val="0"/>
              <w:suppressLineNumbers w:val="0"/>
              <w:adjustRightInd w:val="0"/>
              <w:snapToGrid w:val="0"/>
              <w:spacing w:before="0" w:beforeAutospacing="0" w:after="0" w:afterAutospacing="0" w:line="300" w:lineRule="atLeast"/>
              <w:ind w:left="0" w:right="0"/>
              <w:rPr>
                <w:rFonts w:hint="eastAsia" w:ascii="宋体" w:hAnsi="宋体"/>
                <w:color w:val="auto"/>
                <w:sz w:val="18"/>
                <w:szCs w:val="18"/>
              </w:rPr>
            </w:pPr>
            <w:r>
              <w:rPr>
                <w:rFonts w:hint="default" w:ascii="宋体" w:hAnsi="宋体"/>
                <w:color w:val="auto"/>
                <w:sz w:val="18"/>
                <w:szCs w:val="18"/>
                <w:lang w:val="en-US" w:eastAsia="zh-CN"/>
              </w:rPr>
              <w:t>23是否为超长期国债项目</w:t>
            </w:r>
            <w:r>
              <w:rPr>
                <w:rFonts w:hint="eastAsia" w:ascii="宋体" w:hAnsi="宋体"/>
                <w:color w:val="auto"/>
                <w:sz w:val="18"/>
                <w:szCs w:val="18"/>
              </w:rPr>
              <w:t xml:space="preserve"> □</w:t>
            </w:r>
            <w:r>
              <w:rPr>
                <w:rFonts w:hint="default" w:ascii="宋体" w:hAnsi="宋体"/>
                <w:color w:val="auto"/>
                <w:sz w:val="18"/>
                <w:szCs w:val="18"/>
              </w:rPr>
              <w:t xml:space="preserve">    1.</w:t>
            </w:r>
            <w:r>
              <w:rPr>
                <w:rFonts w:hint="eastAsia" w:ascii="宋体" w:hAnsi="宋体"/>
                <w:color w:val="auto"/>
                <w:sz w:val="18"/>
                <w:szCs w:val="18"/>
              </w:rPr>
              <w:t xml:space="preserve">是 </w:t>
            </w:r>
            <w:r>
              <w:rPr>
                <w:rFonts w:hint="default" w:ascii="宋体" w:hAnsi="宋体"/>
                <w:color w:val="auto"/>
                <w:sz w:val="18"/>
                <w:szCs w:val="18"/>
              </w:rPr>
              <w:t xml:space="preserve">  2.</w:t>
            </w:r>
            <w:r>
              <w:rPr>
                <w:rFonts w:hint="eastAsia" w:ascii="宋体" w:hAnsi="宋体"/>
                <w:color w:val="auto"/>
                <w:sz w:val="18"/>
                <w:szCs w:val="18"/>
              </w:rPr>
              <w:t>否</w:t>
            </w:r>
          </w:p>
          <w:p>
            <w:pPr>
              <w:keepNext w:val="0"/>
              <w:keepLines w:val="0"/>
              <w:suppressLineNumbers w:val="0"/>
              <w:adjustRightInd w:val="0"/>
              <w:snapToGrid w:val="0"/>
              <w:spacing w:before="0" w:beforeAutospacing="0" w:after="0" w:afterAutospacing="0" w:line="300" w:lineRule="atLeast"/>
              <w:ind w:left="0" w:right="0"/>
              <w:rPr>
                <w:rFonts w:hint="eastAsia" w:ascii="宋体" w:hAnsi="宋体"/>
                <w:color w:val="auto"/>
                <w:sz w:val="18"/>
                <w:szCs w:val="18"/>
              </w:rPr>
            </w:pPr>
            <w:r>
              <w:rPr>
                <w:rFonts w:hint="default" w:ascii="宋体" w:hAnsi="宋体"/>
                <w:color w:val="auto"/>
                <w:sz w:val="18"/>
                <w:szCs w:val="18"/>
                <w:lang w:val="en-US" w:eastAsia="zh-CN"/>
              </w:rPr>
              <w:t>24是否为政府专项债项目</w:t>
            </w:r>
            <w:r>
              <w:rPr>
                <w:rFonts w:hint="eastAsia" w:ascii="宋体" w:hAnsi="宋体"/>
                <w:color w:val="auto"/>
                <w:sz w:val="18"/>
                <w:szCs w:val="18"/>
              </w:rPr>
              <w:t xml:space="preserve"> □</w:t>
            </w:r>
            <w:r>
              <w:rPr>
                <w:rFonts w:hint="default" w:ascii="宋体" w:hAnsi="宋体"/>
                <w:color w:val="auto"/>
                <w:sz w:val="18"/>
                <w:szCs w:val="18"/>
              </w:rPr>
              <w:t xml:space="preserve">    1.</w:t>
            </w:r>
            <w:r>
              <w:rPr>
                <w:rFonts w:hint="eastAsia" w:ascii="宋体" w:hAnsi="宋体"/>
                <w:color w:val="auto"/>
                <w:sz w:val="18"/>
                <w:szCs w:val="18"/>
              </w:rPr>
              <w:t xml:space="preserve">是 </w:t>
            </w:r>
            <w:r>
              <w:rPr>
                <w:rFonts w:hint="default" w:ascii="宋体" w:hAnsi="宋体"/>
                <w:color w:val="auto"/>
                <w:sz w:val="18"/>
                <w:szCs w:val="18"/>
              </w:rPr>
              <w:t xml:space="preserve">  2.</w:t>
            </w:r>
            <w:r>
              <w:rPr>
                <w:rFonts w:hint="eastAsia" w:ascii="宋体" w:hAnsi="宋体"/>
                <w:color w:val="auto"/>
                <w:sz w:val="18"/>
                <w:szCs w:val="18"/>
              </w:rPr>
              <w:t>否</w:t>
            </w:r>
          </w:p>
          <w:p>
            <w:pPr>
              <w:keepNext w:val="0"/>
              <w:keepLines w:val="0"/>
              <w:suppressLineNumbers w:val="0"/>
              <w:adjustRightInd w:val="0"/>
              <w:snapToGrid w:val="0"/>
              <w:spacing w:before="0" w:beforeAutospacing="0" w:after="0" w:afterAutospacing="0" w:line="300" w:lineRule="atLeast"/>
              <w:ind w:left="0" w:right="0"/>
              <w:rPr>
                <w:rFonts w:hint="default" w:ascii="宋体" w:hAnsi="宋体"/>
                <w:color w:val="auto"/>
                <w:sz w:val="18"/>
                <w:szCs w:val="18"/>
              </w:rPr>
            </w:pPr>
            <w:r>
              <w:rPr>
                <w:rFonts w:hint="default" w:ascii="宋体" w:hAnsi="宋体"/>
                <w:color w:val="auto"/>
                <w:sz w:val="18"/>
                <w:szCs w:val="18"/>
                <w:lang w:val="en-US" w:eastAsia="zh-CN"/>
              </w:rPr>
              <w:t>28是否是城中村改造项目</w:t>
            </w:r>
            <w:r>
              <w:rPr>
                <w:rFonts w:hint="eastAsia" w:ascii="宋体" w:hAnsi="宋体"/>
                <w:color w:val="auto"/>
                <w:sz w:val="18"/>
                <w:szCs w:val="18"/>
              </w:rPr>
              <w:t>□</w:t>
            </w:r>
            <w:r>
              <w:rPr>
                <w:rFonts w:hint="default" w:ascii="宋体" w:hAnsi="宋体"/>
                <w:color w:val="auto"/>
                <w:sz w:val="18"/>
                <w:szCs w:val="18"/>
              </w:rPr>
              <w:t xml:space="preserve">    1.</w:t>
            </w:r>
            <w:r>
              <w:rPr>
                <w:rFonts w:hint="eastAsia" w:ascii="宋体" w:hAnsi="宋体"/>
                <w:color w:val="auto"/>
                <w:sz w:val="18"/>
                <w:szCs w:val="18"/>
              </w:rPr>
              <w:t xml:space="preserve">是 </w:t>
            </w:r>
            <w:r>
              <w:rPr>
                <w:rFonts w:hint="default" w:ascii="宋体" w:hAnsi="宋体"/>
                <w:color w:val="auto"/>
                <w:sz w:val="18"/>
                <w:szCs w:val="18"/>
              </w:rPr>
              <w:t xml:space="preserve">  2.</w:t>
            </w:r>
            <w:r>
              <w:rPr>
                <w:rFonts w:hint="eastAsia" w:ascii="宋体" w:hAnsi="宋体"/>
                <w:color w:val="auto"/>
                <w:sz w:val="18"/>
                <w:szCs w:val="18"/>
              </w:rPr>
              <w:t>否</w:t>
            </w:r>
          </w:p>
          <w:p>
            <w:pPr>
              <w:keepNext w:val="0"/>
              <w:keepLines w:val="0"/>
              <w:suppressLineNumbers w:val="0"/>
              <w:adjustRightInd w:val="0"/>
              <w:snapToGrid w:val="0"/>
              <w:spacing w:before="0" w:beforeAutospacing="0" w:after="0" w:afterAutospacing="0" w:line="300" w:lineRule="atLeast"/>
              <w:ind w:left="0" w:right="0"/>
              <w:rPr>
                <w:rFonts w:hint="default" w:ascii="宋体" w:hAnsi="宋体"/>
                <w:color w:val="auto"/>
                <w:sz w:val="18"/>
                <w:szCs w:val="18"/>
              </w:rPr>
            </w:pPr>
            <w:r>
              <w:rPr>
                <w:rFonts w:hint="default" w:ascii="宋体" w:hAnsi="宋体"/>
                <w:color w:val="auto"/>
                <w:sz w:val="18"/>
                <w:szCs w:val="18"/>
                <w:lang w:val="en-US" w:eastAsia="zh-CN"/>
              </w:rPr>
              <w:t>29是否是“平急两用”公共基础设施建设项目</w:t>
            </w:r>
            <w:r>
              <w:rPr>
                <w:rFonts w:hint="eastAsia" w:ascii="宋体" w:hAnsi="宋体"/>
                <w:color w:val="auto"/>
                <w:sz w:val="18"/>
                <w:szCs w:val="18"/>
              </w:rPr>
              <w:t>□</w:t>
            </w:r>
            <w:r>
              <w:rPr>
                <w:rFonts w:hint="default" w:ascii="宋体" w:hAnsi="宋体"/>
                <w:color w:val="auto"/>
                <w:sz w:val="18"/>
                <w:szCs w:val="18"/>
              </w:rPr>
              <w:t xml:space="preserve">    1.</w:t>
            </w:r>
            <w:r>
              <w:rPr>
                <w:rFonts w:hint="eastAsia" w:ascii="宋体" w:hAnsi="宋体"/>
                <w:color w:val="auto"/>
                <w:sz w:val="18"/>
                <w:szCs w:val="18"/>
              </w:rPr>
              <w:t xml:space="preserve">是 </w:t>
            </w:r>
            <w:r>
              <w:rPr>
                <w:rFonts w:hint="default" w:ascii="宋体" w:hAnsi="宋体"/>
                <w:color w:val="auto"/>
                <w:sz w:val="18"/>
                <w:szCs w:val="18"/>
              </w:rPr>
              <w:t xml:space="preserve">  2.</w:t>
            </w:r>
            <w:r>
              <w:rPr>
                <w:rFonts w:hint="eastAsia" w:ascii="宋体" w:hAnsi="宋体"/>
                <w:color w:val="auto"/>
                <w:sz w:val="18"/>
                <w:szCs w:val="18"/>
              </w:rPr>
              <w:t>否</w:t>
            </w:r>
          </w:p>
          <w:p>
            <w:pPr>
              <w:keepNext w:val="0"/>
              <w:keepLines w:val="0"/>
              <w:suppressLineNumbers w:val="0"/>
              <w:adjustRightInd w:val="0"/>
              <w:snapToGrid w:val="0"/>
              <w:spacing w:before="0" w:beforeAutospacing="0" w:after="0" w:afterAutospacing="0" w:line="300" w:lineRule="atLeast"/>
              <w:ind w:left="0" w:right="0"/>
              <w:rPr>
                <w:rFonts w:hint="default"/>
              </w:rPr>
            </w:pPr>
            <w:r>
              <w:rPr>
                <w:rFonts w:hint="default" w:ascii="宋体" w:hAnsi="宋体"/>
                <w:color w:val="auto"/>
                <w:sz w:val="18"/>
                <w:szCs w:val="18"/>
                <w:lang w:val="en-US" w:eastAsia="zh-CN"/>
              </w:rPr>
              <w:t>30是否包含保障性住房项目</w:t>
            </w:r>
            <w:r>
              <w:rPr>
                <w:rFonts w:hint="eastAsia" w:ascii="宋体" w:hAnsi="宋体"/>
                <w:color w:val="auto"/>
                <w:sz w:val="18"/>
                <w:szCs w:val="18"/>
              </w:rPr>
              <w:t>□</w:t>
            </w:r>
            <w:r>
              <w:rPr>
                <w:rFonts w:hint="default" w:ascii="宋体" w:hAnsi="宋体"/>
                <w:color w:val="auto"/>
                <w:sz w:val="18"/>
                <w:szCs w:val="18"/>
              </w:rPr>
              <w:t xml:space="preserve">    1.</w:t>
            </w:r>
            <w:r>
              <w:rPr>
                <w:rFonts w:hint="eastAsia" w:ascii="宋体" w:hAnsi="宋体"/>
                <w:color w:val="auto"/>
                <w:sz w:val="18"/>
                <w:szCs w:val="18"/>
              </w:rPr>
              <w:t xml:space="preserve">是 </w:t>
            </w:r>
            <w:r>
              <w:rPr>
                <w:rFonts w:hint="default" w:ascii="宋体" w:hAnsi="宋体"/>
                <w:color w:val="auto"/>
                <w:sz w:val="18"/>
                <w:szCs w:val="18"/>
              </w:rPr>
              <w:t xml:space="preserve">  2.</w:t>
            </w:r>
            <w:r>
              <w:rPr>
                <w:rFonts w:hint="eastAsia" w:ascii="宋体" w:hAnsi="宋体"/>
                <w:color w:val="auto"/>
                <w:sz w:val="18"/>
                <w:szCs w:val="18"/>
              </w:rPr>
              <w:t>否</w:t>
            </w:r>
          </w:p>
        </w:tc>
      </w:tr>
    </w:tbl>
    <w:p>
      <w:pPr>
        <w:tabs>
          <w:tab w:val="left" w:pos="567"/>
        </w:tabs>
        <w:spacing w:line="240" w:lineRule="exact"/>
        <w:ind w:firstLine="90" w:firstLineChars="50"/>
        <w:rPr>
          <w:rFonts w:ascii="宋体" w:hAnsi="宋体"/>
          <w:color w:val="auto"/>
          <w:sz w:val="18"/>
          <w:szCs w:val="18"/>
        </w:rPr>
      </w:pPr>
    </w:p>
    <w:p>
      <w:pPr>
        <w:tabs>
          <w:tab w:val="left" w:pos="567"/>
        </w:tabs>
        <w:adjustRightInd w:val="0"/>
        <w:spacing w:line="240" w:lineRule="exact"/>
        <w:ind w:firstLine="90" w:firstLineChars="50"/>
        <w:rPr>
          <w:rFonts w:ascii="宋体" w:hAnsi="宋体"/>
          <w:color w:val="auto"/>
          <w:sz w:val="18"/>
          <w:szCs w:val="18"/>
        </w:rPr>
      </w:pPr>
      <w:r>
        <w:rPr>
          <w:rFonts w:hint="eastAsia" w:ascii="宋体" w:hAnsi="宋体"/>
          <w:color w:val="auto"/>
          <w:sz w:val="18"/>
          <w:szCs w:val="18"/>
        </w:rPr>
        <w:t>说明：</w:t>
      </w:r>
      <w:r>
        <w:rPr>
          <w:rFonts w:ascii="宋体" w:hAnsi="宋体"/>
          <w:color w:val="auto"/>
          <w:sz w:val="18"/>
          <w:szCs w:val="18"/>
        </w:rPr>
        <w:t>1.</w:t>
      </w:r>
      <w:r>
        <w:rPr>
          <w:rFonts w:hint="eastAsia" w:ascii="宋体" w:hAnsi="宋体"/>
          <w:color w:val="auto"/>
          <w:sz w:val="18"/>
          <w:szCs w:val="18"/>
        </w:rPr>
        <w:t>本表</w:t>
      </w:r>
      <w:r>
        <w:rPr>
          <w:rFonts w:ascii="宋体" w:hAnsi="宋体"/>
          <w:color w:val="auto"/>
          <w:sz w:val="18"/>
          <w:szCs w:val="18"/>
        </w:rPr>
        <w:t>报送时间为每月</w:t>
      </w:r>
      <w:r>
        <w:rPr>
          <w:rFonts w:hint="eastAsia" w:ascii="宋体" w:hAnsi="宋体"/>
          <w:color w:val="auto"/>
          <w:sz w:val="18"/>
          <w:szCs w:val="18"/>
          <w:lang w:val="en-US" w:eastAsia="zh-CN"/>
        </w:rPr>
        <w:t>14</w:t>
      </w:r>
      <w:r>
        <w:rPr>
          <w:rFonts w:hint="eastAsia" w:ascii="宋体" w:hAnsi="宋体"/>
          <w:color w:val="auto"/>
          <w:sz w:val="18"/>
          <w:szCs w:val="18"/>
        </w:rPr>
        <w:t>日</w:t>
      </w:r>
      <w:r>
        <w:rPr>
          <w:rFonts w:ascii="宋体" w:hAnsi="宋体"/>
          <w:color w:val="auto"/>
          <w:sz w:val="18"/>
          <w:szCs w:val="18"/>
        </w:rPr>
        <w:t>前</w:t>
      </w:r>
      <w:r>
        <w:rPr>
          <w:rFonts w:hint="eastAsia" w:ascii="宋体" w:hAnsi="宋体"/>
          <w:color w:val="auto"/>
          <w:sz w:val="18"/>
          <w:szCs w:val="18"/>
        </w:rPr>
        <w:t>，</w:t>
      </w:r>
      <w:r>
        <w:rPr>
          <w:rFonts w:ascii="宋体" w:hAnsi="宋体"/>
          <w:color w:val="auto"/>
          <w:sz w:val="18"/>
          <w:szCs w:val="18"/>
        </w:rPr>
        <w:t>所有入库投资项目均需填报本表。</w:t>
      </w:r>
    </w:p>
    <w:p>
      <w:pPr>
        <w:adjustRightInd w:val="0"/>
        <w:spacing w:line="240" w:lineRule="exact"/>
        <w:ind w:left="810" w:leftChars="300" w:hanging="180" w:hangingChars="100"/>
        <w:rPr>
          <w:rFonts w:ascii="宋体" w:hAnsi="宋体"/>
          <w:color w:val="auto"/>
          <w:sz w:val="18"/>
          <w:szCs w:val="18"/>
        </w:rPr>
      </w:pPr>
      <w:r>
        <w:rPr>
          <w:rFonts w:ascii="宋体" w:hAnsi="宋体"/>
          <w:color w:val="auto"/>
          <w:sz w:val="18"/>
          <w:szCs w:val="18"/>
        </w:rPr>
        <w:t>2.</w:t>
      </w:r>
      <w:r>
        <w:rPr>
          <w:rFonts w:hint="eastAsia" w:ascii="宋体" w:hAnsi="宋体"/>
          <w:color w:val="auto"/>
          <w:sz w:val="18"/>
          <w:szCs w:val="18"/>
        </w:rPr>
        <w:t>符合以下条件的计划</w:t>
      </w:r>
      <w:r>
        <w:rPr>
          <w:rFonts w:ascii="宋体" w:hAnsi="宋体"/>
          <w:color w:val="auto"/>
          <w:sz w:val="18"/>
          <w:szCs w:val="18"/>
        </w:rPr>
        <w:t>总投资</w:t>
      </w:r>
      <w:r>
        <w:rPr>
          <w:rFonts w:hint="eastAsia" w:ascii="宋体" w:hAnsi="宋体"/>
          <w:color w:val="auto"/>
          <w:sz w:val="18"/>
          <w:szCs w:val="18"/>
        </w:rPr>
        <w:t>1亿元及</w:t>
      </w:r>
      <w:r>
        <w:rPr>
          <w:rFonts w:ascii="宋体" w:hAnsi="宋体"/>
          <w:color w:val="auto"/>
          <w:sz w:val="18"/>
          <w:szCs w:val="18"/>
        </w:rPr>
        <w:t>以上项目</w:t>
      </w:r>
      <w:r>
        <w:rPr>
          <w:rFonts w:hint="eastAsia" w:ascii="宋体" w:hAnsi="宋体"/>
          <w:color w:val="auto"/>
          <w:sz w:val="18"/>
          <w:szCs w:val="18"/>
        </w:rPr>
        <w:t>上报国家时需同时报送材料：（</w:t>
      </w:r>
      <w:r>
        <w:rPr>
          <w:rFonts w:ascii="宋体" w:hAnsi="宋体"/>
          <w:color w:val="auto"/>
          <w:sz w:val="18"/>
          <w:szCs w:val="18"/>
        </w:rPr>
        <w:t>1</w:t>
      </w:r>
      <w:r>
        <w:rPr>
          <w:rFonts w:hint="eastAsia" w:ascii="宋体" w:hAnsi="宋体"/>
          <w:color w:val="auto"/>
          <w:sz w:val="18"/>
          <w:szCs w:val="18"/>
        </w:rPr>
        <w:t>）建设单位为外省法人单位的：营业执照、备案文件、施工（购置）合同和</w:t>
      </w:r>
      <w:r>
        <w:rPr>
          <w:rFonts w:ascii="宋体" w:hAnsi="宋体"/>
          <w:color w:val="auto"/>
          <w:sz w:val="18"/>
          <w:szCs w:val="18"/>
        </w:rPr>
        <w:t>现场</w:t>
      </w:r>
      <w:r>
        <w:rPr>
          <w:rFonts w:hint="eastAsia" w:ascii="宋体" w:hAnsi="宋体"/>
          <w:color w:val="auto"/>
          <w:sz w:val="18"/>
          <w:szCs w:val="18"/>
        </w:rPr>
        <w:t>照片。（</w:t>
      </w:r>
      <w:r>
        <w:rPr>
          <w:rFonts w:ascii="宋体" w:hAnsi="宋体"/>
          <w:color w:val="auto"/>
          <w:sz w:val="18"/>
          <w:szCs w:val="18"/>
        </w:rPr>
        <w:t>2</w:t>
      </w:r>
      <w:r>
        <w:rPr>
          <w:rFonts w:hint="eastAsia" w:ascii="宋体" w:hAnsi="宋体"/>
          <w:color w:val="auto"/>
          <w:sz w:val="18"/>
          <w:szCs w:val="18"/>
        </w:rPr>
        <w:t>）建设单位为非法人单位的：单位营业执照（证书）、备案文件、施工（购置）合同和</w:t>
      </w:r>
      <w:r>
        <w:rPr>
          <w:rFonts w:ascii="宋体" w:hAnsi="宋体"/>
          <w:color w:val="auto"/>
          <w:sz w:val="18"/>
          <w:szCs w:val="18"/>
        </w:rPr>
        <w:t>现场</w:t>
      </w:r>
      <w:r>
        <w:rPr>
          <w:rFonts w:hint="eastAsia" w:ascii="宋体" w:hAnsi="宋体"/>
          <w:color w:val="auto"/>
          <w:sz w:val="18"/>
          <w:szCs w:val="18"/>
        </w:rPr>
        <w:t>照片。每个项目的审核材料分类放到不同的</w:t>
      </w:r>
      <w:r>
        <w:rPr>
          <w:rFonts w:ascii="宋体" w:hAnsi="宋体"/>
          <w:color w:val="auto"/>
          <w:sz w:val="18"/>
          <w:szCs w:val="18"/>
        </w:rPr>
        <w:t>WORD</w:t>
      </w:r>
      <w:r>
        <w:rPr>
          <w:rFonts w:hint="eastAsia" w:ascii="宋体" w:hAnsi="宋体"/>
          <w:color w:val="auto"/>
          <w:sz w:val="18"/>
          <w:szCs w:val="18"/>
        </w:rPr>
        <w:t>文件中，以项目代码+项目名称+批复(或合同、照片)命名;同一个项目的全部 WORD 文件放到一个文件夹中,以项目代码+项目名称命名。其他项目材料</w:t>
      </w:r>
      <w:r>
        <w:rPr>
          <w:rFonts w:hint="eastAsia" w:ascii="宋体" w:hAnsi="宋体"/>
          <w:color w:val="auto"/>
          <w:sz w:val="18"/>
          <w:szCs w:val="18"/>
          <w:lang w:val="en-US" w:eastAsia="zh-CN"/>
        </w:rPr>
        <w:t>按</w:t>
      </w:r>
      <w:r>
        <w:rPr>
          <w:rFonts w:hint="eastAsia" w:ascii="宋体" w:hAnsi="宋体"/>
          <w:color w:val="auto"/>
          <w:sz w:val="18"/>
          <w:szCs w:val="18"/>
        </w:rPr>
        <w:t>省级统计机构要求</w:t>
      </w:r>
      <w:r>
        <w:rPr>
          <w:rFonts w:hint="eastAsia" w:ascii="宋体" w:hAnsi="宋体"/>
          <w:color w:val="auto"/>
          <w:sz w:val="18"/>
          <w:szCs w:val="18"/>
          <w:lang w:val="en-US" w:eastAsia="zh-CN"/>
        </w:rPr>
        <w:t>由市区各级进行</w:t>
      </w:r>
      <w:r>
        <w:rPr>
          <w:rFonts w:ascii="宋体" w:hAnsi="宋体"/>
          <w:color w:val="auto"/>
          <w:sz w:val="18"/>
          <w:szCs w:val="18"/>
        </w:rPr>
        <w:t>审核。</w:t>
      </w:r>
    </w:p>
    <w:p>
      <w:pPr>
        <w:adjustRightInd w:val="0"/>
        <w:spacing w:line="240" w:lineRule="exact"/>
        <w:ind w:left="810" w:leftChars="300" w:hanging="180" w:hangingChars="100"/>
        <w:rPr>
          <w:rFonts w:ascii="宋体" w:hAnsi="宋体"/>
          <w:color w:val="auto"/>
          <w:sz w:val="18"/>
          <w:szCs w:val="18"/>
        </w:rPr>
      </w:pPr>
      <w:r>
        <w:rPr>
          <w:rFonts w:ascii="宋体" w:hAnsi="宋体"/>
          <w:color w:val="auto"/>
          <w:sz w:val="18"/>
          <w:szCs w:val="18"/>
        </w:rPr>
        <w:t xml:space="preserve">3.“03 </w:t>
      </w:r>
      <w:r>
        <w:rPr>
          <w:rFonts w:hint="eastAsia" w:ascii="宋体" w:hAnsi="宋体"/>
          <w:color w:val="auto"/>
          <w:sz w:val="18"/>
          <w:szCs w:val="18"/>
        </w:rPr>
        <w:t>审核类型</w:t>
      </w:r>
      <w:r>
        <w:rPr>
          <w:rFonts w:ascii="宋体" w:hAnsi="宋体"/>
          <w:color w:val="auto"/>
          <w:sz w:val="18"/>
          <w:szCs w:val="18"/>
        </w:rPr>
        <w:t>”</w:t>
      </w:r>
      <w:r>
        <w:rPr>
          <w:rFonts w:hint="eastAsia" w:ascii="宋体" w:hAnsi="宋体"/>
          <w:color w:val="auto"/>
          <w:sz w:val="18"/>
          <w:szCs w:val="18"/>
        </w:rPr>
        <w:t>为</w:t>
      </w:r>
      <w:r>
        <w:rPr>
          <w:rFonts w:ascii="宋体" w:hAnsi="宋体"/>
          <w:color w:val="auto"/>
          <w:sz w:val="18"/>
          <w:szCs w:val="18"/>
        </w:rPr>
        <w:t>1</w:t>
      </w:r>
      <w:r>
        <w:rPr>
          <w:rFonts w:hint="eastAsia" w:ascii="宋体" w:hAnsi="宋体"/>
          <w:color w:val="auto"/>
          <w:sz w:val="18"/>
          <w:szCs w:val="18"/>
        </w:rPr>
        <w:t>（新增项目）和</w:t>
      </w:r>
      <w:r>
        <w:rPr>
          <w:rFonts w:ascii="宋体" w:hAnsi="宋体"/>
          <w:color w:val="auto"/>
          <w:sz w:val="18"/>
          <w:szCs w:val="18"/>
        </w:rPr>
        <w:t>3</w:t>
      </w:r>
      <w:r>
        <w:rPr>
          <w:rFonts w:hint="eastAsia" w:ascii="宋体" w:hAnsi="宋体"/>
          <w:color w:val="auto"/>
          <w:sz w:val="18"/>
          <w:szCs w:val="18"/>
        </w:rPr>
        <w:t>（调整计划总投资）的项目按月度申请，</w:t>
      </w:r>
      <w:r>
        <w:rPr>
          <w:rFonts w:ascii="宋体" w:hAnsi="宋体"/>
          <w:color w:val="auto"/>
          <w:sz w:val="18"/>
          <w:szCs w:val="18"/>
        </w:rPr>
        <w:t>2</w:t>
      </w:r>
      <w:r>
        <w:rPr>
          <w:rFonts w:hint="eastAsia" w:ascii="宋体" w:hAnsi="宋体"/>
          <w:color w:val="auto"/>
          <w:sz w:val="18"/>
          <w:szCs w:val="18"/>
        </w:rPr>
        <w:t>（所属</w:t>
      </w:r>
      <w:r>
        <w:rPr>
          <w:rFonts w:ascii="宋体" w:hAnsi="宋体"/>
          <w:color w:val="auto"/>
          <w:sz w:val="18"/>
          <w:szCs w:val="18"/>
        </w:rPr>
        <w:t>单位</w:t>
      </w:r>
      <w:r>
        <w:rPr>
          <w:rFonts w:hint="eastAsia" w:ascii="宋体" w:hAnsi="宋体"/>
          <w:color w:val="auto"/>
          <w:sz w:val="18"/>
          <w:szCs w:val="18"/>
        </w:rPr>
        <w:t>变更）和</w:t>
      </w:r>
      <w:r>
        <w:rPr>
          <w:rFonts w:ascii="宋体" w:hAnsi="宋体"/>
          <w:color w:val="auto"/>
          <w:sz w:val="18"/>
          <w:szCs w:val="18"/>
        </w:rPr>
        <w:t>4</w:t>
      </w:r>
      <w:r>
        <w:rPr>
          <w:rFonts w:hint="eastAsia" w:ascii="宋体" w:hAnsi="宋体"/>
          <w:color w:val="auto"/>
          <w:sz w:val="18"/>
          <w:szCs w:val="18"/>
        </w:rPr>
        <w:t>（退出）的项目每年</w:t>
      </w:r>
      <w:r>
        <w:rPr>
          <w:rFonts w:ascii="宋体" w:hAnsi="宋体"/>
          <w:color w:val="auto"/>
          <w:sz w:val="18"/>
          <w:szCs w:val="18"/>
        </w:rPr>
        <w:t>2</w:t>
      </w:r>
      <w:r>
        <w:rPr>
          <w:rFonts w:hint="eastAsia" w:ascii="宋体" w:hAnsi="宋体"/>
          <w:color w:val="auto"/>
          <w:sz w:val="18"/>
          <w:szCs w:val="18"/>
        </w:rPr>
        <w:t>月申请一次。</w:t>
      </w:r>
    </w:p>
    <w:p>
      <w:pPr>
        <w:adjustRightInd w:val="0"/>
        <w:spacing w:line="240" w:lineRule="exact"/>
        <w:ind w:left="810" w:leftChars="300" w:hanging="180" w:hangingChars="100"/>
        <w:rPr>
          <w:rFonts w:ascii="宋体"/>
          <w:color w:val="auto"/>
          <w:sz w:val="18"/>
          <w:szCs w:val="18"/>
        </w:rPr>
      </w:pPr>
      <w:r>
        <w:rPr>
          <w:rFonts w:ascii="宋体" w:hAnsi="宋体"/>
          <w:color w:val="auto"/>
          <w:sz w:val="18"/>
          <w:szCs w:val="18"/>
        </w:rPr>
        <w:t>4</w:t>
      </w:r>
      <w:r>
        <w:rPr>
          <w:rFonts w:hint="eastAsia" w:ascii="宋体" w:hAnsi="宋体"/>
          <w:color w:val="auto"/>
          <w:sz w:val="18"/>
          <w:szCs w:val="18"/>
        </w:rPr>
        <w:t>.新增项目必填：</w:t>
      </w:r>
      <w:r>
        <w:rPr>
          <w:rFonts w:ascii="宋体" w:hAnsi="宋体"/>
          <w:color w:val="auto"/>
          <w:sz w:val="18"/>
          <w:szCs w:val="18"/>
        </w:rPr>
        <w:t>01-10</w:t>
      </w:r>
      <w:r>
        <w:rPr>
          <w:rFonts w:hint="eastAsia" w:ascii="宋体" w:hAnsi="宋体"/>
          <w:color w:val="auto"/>
          <w:sz w:val="18"/>
          <w:szCs w:val="18"/>
        </w:rPr>
        <w:t>，</w:t>
      </w:r>
      <w:r>
        <w:rPr>
          <w:rFonts w:ascii="宋体" w:hAnsi="宋体"/>
          <w:color w:val="auto"/>
          <w:sz w:val="18"/>
          <w:szCs w:val="18"/>
        </w:rPr>
        <w:t>13-</w:t>
      </w:r>
      <w:r>
        <w:rPr>
          <w:rFonts w:hint="eastAsia" w:ascii="宋体" w:hAnsi="宋体"/>
          <w:color w:val="auto"/>
          <w:sz w:val="18"/>
          <w:szCs w:val="18"/>
        </w:rPr>
        <w:t>15,141,09a,</w:t>
      </w:r>
      <w:r>
        <w:rPr>
          <w:rFonts w:ascii="宋体" w:hAnsi="宋体"/>
          <w:color w:val="auto"/>
          <w:sz w:val="18"/>
          <w:szCs w:val="18"/>
        </w:rPr>
        <w:t>22,</w:t>
      </w:r>
      <w:r>
        <w:rPr>
          <w:rFonts w:hint="eastAsia" w:ascii="宋体" w:hAnsi="宋体"/>
          <w:color w:val="auto"/>
          <w:sz w:val="18"/>
          <w:szCs w:val="18"/>
        </w:rPr>
        <w:t>30</w:t>
      </w:r>
      <w:r>
        <w:rPr>
          <w:rFonts w:ascii="宋体" w:hAnsi="宋体"/>
          <w:color w:val="auto"/>
          <w:sz w:val="18"/>
          <w:szCs w:val="18"/>
        </w:rPr>
        <w:t>，31</w:t>
      </w:r>
      <w:r>
        <w:rPr>
          <w:rFonts w:hint="eastAsia" w:ascii="宋体" w:hAnsi="宋体"/>
          <w:color w:val="auto"/>
          <w:sz w:val="18"/>
          <w:szCs w:val="18"/>
        </w:rPr>
        <w:t>；所属单位变更必填：</w:t>
      </w:r>
      <w:r>
        <w:rPr>
          <w:rFonts w:ascii="宋体" w:hAnsi="宋体"/>
          <w:color w:val="auto"/>
          <w:sz w:val="18"/>
          <w:szCs w:val="18"/>
        </w:rPr>
        <w:t>01-10</w:t>
      </w:r>
      <w:r>
        <w:rPr>
          <w:rFonts w:hint="eastAsia" w:ascii="宋体" w:hAnsi="宋体"/>
          <w:color w:val="auto"/>
          <w:sz w:val="18"/>
          <w:szCs w:val="18"/>
        </w:rPr>
        <w:t>，</w:t>
      </w:r>
      <w:r>
        <w:rPr>
          <w:rFonts w:ascii="宋体" w:hAnsi="宋体"/>
          <w:color w:val="auto"/>
          <w:sz w:val="18"/>
          <w:szCs w:val="18"/>
        </w:rPr>
        <w:t>16-18</w:t>
      </w:r>
      <w:r>
        <w:rPr>
          <w:rFonts w:hint="eastAsia" w:ascii="宋体" w:hAnsi="宋体"/>
          <w:color w:val="auto"/>
          <w:sz w:val="18"/>
          <w:szCs w:val="18"/>
        </w:rPr>
        <w:t>；调整计划总投资必填：</w:t>
      </w:r>
      <w:r>
        <w:rPr>
          <w:rFonts w:ascii="宋体" w:hAnsi="宋体"/>
          <w:color w:val="auto"/>
          <w:sz w:val="18"/>
          <w:szCs w:val="18"/>
        </w:rPr>
        <w:t>01-05，19-20</w:t>
      </w:r>
      <w:r>
        <w:rPr>
          <w:rFonts w:hint="eastAsia" w:ascii="宋体" w:hAnsi="宋体"/>
          <w:color w:val="auto"/>
          <w:sz w:val="18"/>
          <w:szCs w:val="18"/>
        </w:rPr>
        <w:t>；退出单位必填：</w:t>
      </w:r>
      <w:r>
        <w:rPr>
          <w:rFonts w:ascii="宋体" w:hAnsi="宋体"/>
          <w:color w:val="auto"/>
          <w:sz w:val="18"/>
          <w:szCs w:val="18"/>
        </w:rPr>
        <w:t>01-05</w:t>
      </w:r>
      <w:r>
        <w:rPr>
          <w:rFonts w:hint="eastAsia" w:ascii="宋体" w:hAnsi="宋体"/>
          <w:color w:val="auto"/>
          <w:sz w:val="18"/>
          <w:szCs w:val="18"/>
        </w:rPr>
        <w:t>；2</w:t>
      </w:r>
      <w:r>
        <w:rPr>
          <w:rFonts w:ascii="宋体" w:hAnsi="宋体"/>
          <w:color w:val="auto"/>
          <w:sz w:val="18"/>
          <w:szCs w:val="18"/>
        </w:rPr>
        <w:t>6，27</w:t>
      </w:r>
      <w:r>
        <w:rPr>
          <w:rFonts w:hint="eastAsia" w:ascii="宋体" w:hAnsi="宋体"/>
          <w:color w:val="auto"/>
          <w:sz w:val="18"/>
          <w:szCs w:val="18"/>
        </w:rPr>
        <w:t>必填。</w:t>
      </w:r>
    </w:p>
    <w:p>
      <w:pPr>
        <w:spacing w:line="240" w:lineRule="exact"/>
        <w:ind w:left="810" w:leftChars="300" w:hanging="180" w:hangingChars="100"/>
        <w:rPr>
          <w:rFonts w:ascii="宋体"/>
          <w:color w:val="auto"/>
          <w:sz w:val="18"/>
          <w:szCs w:val="18"/>
        </w:rPr>
      </w:pPr>
      <w:r>
        <w:rPr>
          <w:rFonts w:ascii="宋体" w:hAnsi="宋体"/>
          <w:color w:val="auto"/>
          <w:sz w:val="18"/>
          <w:szCs w:val="18"/>
        </w:rPr>
        <w:t>5</w:t>
      </w:r>
      <w:r>
        <w:rPr>
          <w:rFonts w:hint="eastAsia" w:ascii="宋体" w:hAnsi="宋体"/>
          <w:color w:val="auto"/>
          <w:sz w:val="18"/>
          <w:szCs w:val="18"/>
        </w:rPr>
        <w:t>.项目代码共</w:t>
      </w:r>
      <w:r>
        <w:rPr>
          <w:rFonts w:ascii="宋体" w:hAnsi="宋体"/>
          <w:color w:val="auto"/>
          <w:sz w:val="18"/>
          <w:szCs w:val="18"/>
        </w:rPr>
        <w:t>18</w:t>
      </w:r>
      <w:r>
        <w:rPr>
          <w:rFonts w:hint="eastAsia" w:ascii="宋体" w:hAnsi="宋体"/>
          <w:color w:val="auto"/>
          <w:sz w:val="18"/>
          <w:szCs w:val="18"/>
        </w:rPr>
        <w:t>位：1-9位为统一社会信用代码的9-17位或临时代码的9-17位,10-15位为项目处理地代码,16-18位为顺序码。</w:t>
      </w:r>
    </w:p>
    <w:p>
      <w:pPr>
        <w:spacing w:line="240" w:lineRule="exact"/>
        <w:ind w:left="810" w:leftChars="300" w:hanging="180" w:hangingChars="100"/>
        <w:rPr>
          <w:rFonts w:ascii="宋体"/>
          <w:color w:val="auto"/>
          <w:sz w:val="18"/>
          <w:szCs w:val="18"/>
        </w:rPr>
      </w:pPr>
      <w:r>
        <w:rPr>
          <w:rFonts w:ascii="宋体" w:hAnsi="宋体"/>
          <w:color w:val="auto"/>
          <w:sz w:val="18"/>
          <w:szCs w:val="18"/>
        </w:rPr>
        <w:t>6.</w:t>
      </w:r>
      <w:r>
        <w:rPr>
          <w:rFonts w:hint="eastAsia" w:ascii="宋体" w:hAnsi="宋体"/>
          <w:color w:val="auto"/>
          <w:sz w:val="18"/>
          <w:szCs w:val="18"/>
        </w:rPr>
        <w:t>“</w:t>
      </w:r>
      <w:r>
        <w:rPr>
          <w:rFonts w:ascii="宋体" w:hAnsi="宋体"/>
          <w:color w:val="auto"/>
          <w:sz w:val="18"/>
          <w:szCs w:val="18"/>
        </w:rPr>
        <w:t>04”</w:t>
      </w:r>
      <w:r>
        <w:rPr>
          <w:rFonts w:hint="eastAsia" w:ascii="宋体" w:hAnsi="宋体"/>
          <w:color w:val="auto"/>
          <w:sz w:val="18"/>
          <w:szCs w:val="18"/>
        </w:rPr>
        <w:t>和“</w:t>
      </w:r>
      <w:r>
        <w:rPr>
          <w:rFonts w:ascii="宋体" w:hAnsi="宋体"/>
          <w:color w:val="auto"/>
          <w:sz w:val="18"/>
          <w:szCs w:val="18"/>
        </w:rPr>
        <w:t>09</w:t>
      </w:r>
      <w:r>
        <w:rPr>
          <w:rFonts w:hint="eastAsia" w:ascii="宋体" w:hAnsi="宋体"/>
          <w:color w:val="auto"/>
          <w:sz w:val="18"/>
          <w:szCs w:val="18"/>
        </w:rPr>
        <w:t>”中，详细地址由建设单位填报，区划代码由申请地统计机构统一填写。</w:t>
      </w:r>
    </w:p>
    <w:p>
      <w:pPr>
        <w:spacing w:line="240" w:lineRule="exact"/>
        <w:ind w:left="810" w:leftChars="300" w:hanging="180" w:hangingChars="100"/>
        <w:rPr>
          <w:rFonts w:ascii="宋体"/>
          <w:color w:val="auto"/>
          <w:sz w:val="18"/>
          <w:szCs w:val="18"/>
        </w:rPr>
      </w:pPr>
      <w:r>
        <w:rPr>
          <w:rFonts w:ascii="宋体" w:hAnsi="宋体"/>
          <w:color w:val="auto"/>
          <w:sz w:val="18"/>
          <w:szCs w:val="18"/>
        </w:rPr>
        <w:t>7.</w:t>
      </w:r>
      <w:r>
        <w:rPr>
          <w:rFonts w:hint="eastAsia" w:ascii="宋体" w:hAnsi="宋体"/>
          <w:color w:val="auto"/>
          <w:sz w:val="18"/>
          <w:szCs w:val="18"/>
        </w:rPr>
        <w:t>“</w:t>
      </w:r>
      <w:r>
        <w:rPr>
          <w:rFonts w:ascii="宋体" w:hAnsi="宋体"/>
          <w:color w:val="auto"/>
          <w:sz w:val="18"/>
          <w:szCs w:val="18"/>
        </w:rPr>
        <w:t>05</w:t>
      </w:r>
      <w:r>
        <w:rPr>
          <w:rFonts w:hint="eastAsia" w:ascii="宋体" w:hAnsi="宋体"/>
          <w:color w:val="auto"/>
          <w:sz w:val="18"/>
          <w:szCs w:val="18"/>
        </w:rPr>
        <w:t>项目处理地代码”为项目表报送地行政区划（</w:t>
      </w:r>
      <w:r>
        <w:rPr>
          <w:rFonts w:ascii="宋体" w:hAnsi="宋体"/>
          <w:color w:val="auto"/>
          <w:sz w:val="18"/>
          <w:szCs w:val="18"/>
        </w:rPr>
        <w:t>前</w:t>
      </w:r>
      <w:r>
        <w:rPr>
          <w:rFonts w:hint="eastAsia" w:ascii="宋体" w:hAnsi="宋体"/>
          <w:color w:val="auto"/>
          <w:sz w:val="18"/>
          <w:szCs w:val="18"/>
        </w:rPr>
        <w:t>9位），项目表将根据此区划代码布到相应地区。</w:t>
      </w:r>
    </w:p>
    <w:p>
      <w:pPr>
        <w:spacing w:line="240" w:lineRule="exact"/>
        <w:ind w:left="810" w:leftChars="300" w:hanging="180" w:hangingChars="100"/>
        <w:rPr>
          <w:rFonts w:ascii="宋体"/>
          <w:color w:val="auto"/>
          <w:sz w:val="18"/>
          <w:szCs w:val="18"/>
        </w:rPr>
      </w:pPr>
      <w:r>
        <w:rPr>
          <w:rFonts w:ascii="宋体" w:hAnsi="宋体"/>
          <w:color w:val="auto"/>
          <w:sz w:val="18"/>
          <w:szCs w:val="18"/>
        </w:rPr>
        <w:t>8.</w:t>
      </w:r>
      <w:r>
        <w:rPr>
          <w:rFonts w:hint="eastAsia" w:ascii="宋体" w:hAnsi="宋体"/>
          <w:color w:val="auto"/>
          <w:sz w:val="18"/>
          <w:szCs w:val="18"/>
        </w:rPr>
        <w:t>所属单位变更的项目，</w:t>
      </w:r>
      <w:r>
        <w:rPr>
          <w:rFonts w:ascii="宋体" w:hAnsi="宋体"/>
          <w:color w:val="auto"/>
          <w:sz w:val="18"/>
          <w:szCs w:val="18"/>
        </w:rPr>
        <w:t>07-10</w:t>
      </w:r>
      <w:r>
        <w:rPr>
          <w:rFonts w:hint="eastAsia" w:ascii="宋体" w:hAnsi="宋体"/>
          <w:color w:val="auto"/>
          <w:sz w:val="18"/>
          <w:szCs w:val="18"/>
        </w:rPr>
        <w:t>指标为变更前内容，变更后相关内容填入</w:t>
      </w:r>
      <w:r>
        <w:rPr>
          <w:rFonts w:ascii="宋体" w:hAnsi="宋体"/>
          <w:color w:val="auto"/>
          <w:sz w:val="18"/>
          <w:szCs w:val="18"/>
        </w:rPr>
        <w:t>16</w:t>
      </w:r>
      <w:r>
        <w:rPr>
          <w:rFonts w:hint="eastAsia" w:ascii="宋体" w:hAnsi="宋体"/>
          <w:color w:val="auto"/>
          <w:sz w:val="18"/>
          <w:szCs w:val="18"/>
        </w:rPr>
        <w:t>、</w:t>
      </w:r>
      <w:r>
        <w:rPr>
          <w:rFonts w:ascii="宋体" w:hAnsi="宋体"/>
          <w:color w:val="auto"/>
          <w:sz w:val="18"/>
          <w:szCs w:val="18"/>
        </w:rPr>
        <w:t>17</w:t>
      </w:r>
      <w:r>
        <w:rPr>
          <w:rFonts w:hint="eastAsia" w:ascii="宋体" w:hAnsi="宋体"/>
          <w:color w:val="auto"/>
          <w:sz w:val="18"/>
          <w:szCs w:val="18"/>
        </w:rPr>
        <w:t>、</w:t>
      </w:r>
      <w:r>
        <w:rPr>
          <w:rFonts w:ascii="宋体" w:hAnsi="宋体"/>
          <w:color w:val="auto"/>
          <w:sz w:val="18"/>
          <w:szCs w:val="18"/>
        </w:rPr>
        <w:t>18</w:t>
      </w:r>
      <w:r>
        <w:rPr>
          <w:rFonts w:hint="eastAsia" w:ascii="宋体" w:hAnsi="宋体"/>
          <w:color w:val="auto"/>
          <w:sz w:val="18"/>
          <w:szCs w:val="18"/>
        </w:rPr>
        <w:t>指标。</w:t>
      </w:r>
    </w:p>
    <w:p>
      <w:pPr>
        <w:spacing w:line="240" w:lineRule="exact"/>
        <w:ind w:left="810" w:leftChars="300" w:hanging="180" w:hangingChars="100"/>
        <w:rPr>
          <w:rFonts w:ascii="宋体" w:hAnsi="宋体"/>
          <w:color w:val="auto"/>
          <w:sz w:val="18"/>
          <w:szCs w:val="18"/>
        </w:rPr>
      </w:pPr>
      <w:r>
        <w:rPr>
          <w:rFonts w:ascii="宋体" w:hAnsi="宋体"/>
          <w:color w:val="auto"/>
          <w:sz w:val="18"/>
          <w:szCs w:val="18"/>
        </w:rPr>
        <w:t>9.</w:t>
      </w:r>
      <w:r>
        <w:rPr>
          <w:rFonts w:hint="eastAsia" w:ascii="宋体" w:hAnsi="宋体"/>
          <w:color w:val="auto"/>
          <w:spacing w:val="4"/>
          <w:sz w:val="18"/>
          <w:szCs w:val="18"/>
        </w:rPr>
        <w:t>“临时代码”编制方法：TZ+单位所在地代码6位+F+项目处理地代码6位+2位顺序码(数字或字母)+1位校验码。</w:t>
      </w:r>
    </w:p>
    <w:p>
      <w:pPr>
        <w:spacing w:line="240" w:lineRule="exact"/>
        <w:ind w:left="810" w:leftChars="300" w:hanging="180" w:hangingChars="100"/>
        <w:rPr>
          <w:rFonts w:ascii="宋体"/>
          <w:color w:val="auto"/>
          <w:sz w:val="18"/>
          <w:szCs w:val="18"/>
        </w:rPr>
      </w:pPr>
      <w:r>
        <w:rPr>
          <w:rFonts w:ascii="宋体" w:hAnsi="宋体"/>
          <w:color w:val="auto"/>
          <w:sz w:val="18"/>
          <w:szCs w:val="18"/>
        </w:rPr>
        <w:t>10.</w:t>
      </w:r>
      <w:r>
        <w:rPr>
          <w:rFonts w:hint="eastAsia" w:ascii="宋体" w:hAnsi="宋体"/>
          <w:color w:val="auto"/>
          <w:sz w:val="18"/>
          <w:szCs w:val="18"/>
        </w:rPr>
        <w:t>“26项目联系人</w:t>
      </w:r>
      <w:r>
        <w:rPr>
          <w:rFonts w:ascii="宋体" w:hAnsi="宋体"/>
          <w:color w:val="auto"/>
          <w:sz w:val="18"/>
          <w:szCs w:val="18"/>
        </w:rPr>
        <w:t>”</w:t>
      </w:r>
      <w:r>
        <w:rPr>
          <w:rFonts w:hint="eastAsia" w:ascii="宋体" w:hAnsi="宋体"/>
          <w:color w:val="auto"/>
          <w:sz w:val="18"/>
          <w:szCs w:val="18"/>
        </w:rPr>
        <w:t>为项目建设单位统计联系人。</w:t>
      </w:r>
    </w:p>
    <w:p>
      <w:pPr>
        <w:spacing w:line="240" w:lineRule="exact"/>
        <w:ind w:left="900" w:leftChars="300" w:hanging="270" w:hangingChars="150"/>
        <w:jc w:val="left"/>
        <w:rPr>
          <w:rFonts w:ascii="宋体" w:hAnsi="宋体"/>
          <w:color w:val="auto"/>
          <w:sz w:val="18"/>
          <w:szCs w:val="18"/>
        </w:rPr>
      </w:pPr>
      <w:r>
        <w:rPr>
          <w:rFonts w:ascii="宋体" w:hAnsi="宋体"/>
          <w:color w:val="auto"/>
          <w:sz w:val="18"/>
          <w:szCs w:val="18"/>
        </w:rPr>
        <w:t>11.</w:t>
      </w:r>
      <w:r>
        <w:rPr>
          <w:rFonts w:hint="eastAsia" w:ascii="宋体"/>
          <w:color w:val="auto"/>
          <w:sz w:val="18"/>
          <w:szCs w:val="18"/>
        </w:rPr>
        <w:t>“</w:t>
      </w:r>
      <w:r>
        <w:rPr>
          <w:rFonts w:hint="eastAsia" w:ascii="宋体" w:hAnsi="宋体"/>
          <w:color w:val="auto"/>
          <w:sz w:val="18"/>
          <w:szCs w:val="18"/>
        </w:rPr>
        <w:t>3</w:t>
      </w:r>
      <w:r>
        <w:rPr>
          <w:rFonts w:ascii="宋体" w:hAnsi="宋体"/>
          <w:color w:val="auto"/>
          <w:sz w:val="18"/>
          <w:szCs w:val="18"/>
        </w:rPr>
        <w:t>0</w:t>
      </w:r>
      <w:r>
        <w:rPr>
          <w:rFonts w:hint="eastAsia" w:ascii="宋体" w:hAnsi="宋体"/>
          <w:color w:val="auto"/>
          <w:sz w:val="18"/>
          <w:szCs w:val="18"/>
        </w:rPr>
        <w:t>投资项目在线审批监管平台统一代码”，由各级发改部门投资项目在线审批监管平台自动生成，通过监管平台审批（核准或备案）的项目均需填写。</w:t>
      </w:r>
    </w:p>
    <w:p>
      <w:pPr>
        <w:spacing w:line="240" w:lineRule="exact"/>
        <w:ind w:left="810" w:leftChars="300" w:hanging="180" w:hangingChars="100"/>
        <w:rPr>
          <w:rFonts w:ascii="宋体" w:hAnsi="宋体" w:cs="Times New Roman"/>
          <w:color w:val="auto"/>
          <w:sz w:val="18"/>
          <w:szCs w:val="18"/>
          <w:lang w:val="en-US" w:eastAsia="zh-CN"/>
        </w:rPr>
      </w:pPr>
      <w:r>
        <w:rPr>
          <w:rFonts w:ascii="宋体" w:hAnsi="宋体" w:cs="Times New Roman"/>
          <w:color w:val="auto"/>
          <w:sz w:val="18"/>
          <w:szCs w:val="18"/>
          <w:lang w:val="en-US" w:eastAsia="zh-CN"/>
        </w:rPr>
        <w:t>1</w:t>
      </w:r>
      <w:r>
        <w:rPr>
          <w:rFonts w:hint="eastAsia" w:ascii="宋体" w:hAnsi="宋体" w:cs="Times New Roman"/>
          <w:color w:val="auto"/>
          <w:sz w:val="18"/>
          <w:szCs w:val="18"/>
          <w:lang w:val="en-US" w:eastAsia="zh-CN"/>
        </w:rPr>
        <w:t>2</w:t>
      </w:r>
      <w:r>
        <w:rPr>
          <w:rFonts w:ascii="宋体" w:hAnsi="宋体" w:cs="Times New Roman"/>
          <w:color w:val="auto"/>
          <w:sz w:val="18"/>
          <w:szCs w:val="18"/>
          <w:lang w:val="en-US" w:eastAsia="zh-CN"/>
        </w:rPr>
        <w:t>.“09</w:t>
      </w:r>
      <w:r>
        <w:rPr>
          <w:rFonts w:hint="eastAsia" w:ascii="宋体" w:hAnsi="宋体" w:cs="Times New Roman"/>
          <w:color w:val="auto"/>
          <w:sz w:val="18"/>
          <w:szCs w:val="18"/>
          <w:lang w:val="en-US" w:eastAsia="zh-CN"/>
        </w:rPr>
        <w:t>a项目类别”，第一框必填，填报范围为1、2、3、4或9；第二个框选填，填报范围为5、6或7</w:t>
      </w:r>
      <w:r>
        <w:rPr>
          <w:rFonts w:ascii="宋体" w:hAnsi="宋体" w:cs="Times New Roman"/>
          <w:color w:val="auto"/>
          <w:sz w:val="18"/>
          <w:szCs w:val="18"/>
          <w:lang w:val="en-US" w:eastAsia="zh-CN"/>
        </w:rPr>
        <w:t>。</w:t>
      </w:r>
    </w:p>
    <w:p>
      <w:pPr>
        <w:pStyle w:val="10"/>
        <w:rPr>
          <w:rFonts w:ascii="宋体" w:hAnsi="宋体" w:eastAsia="宋体" w:cs="Times New Roman"/>
          <w:color w:val="auto"/>
          <w:kern w:val="2"/>
          <w:sz w:val="18"/>
          <w:szCs w:val="18"/>
          <w:lang w:val="en-US" w:eastAsia="zh-CN" w:bidi="ar-SA"/>
        </w:rPr>
      </w:pPr>
    </w:p>
    <w:p>
      <w:pPr>
        <w:rPr>
          <w:rFonts w:hint="eastAsia"/>
          <w:color w:val="auto"/>
          <w:lang w:val="en-US" w:eastAsia="zh-CN"/>
        </w:rPr>
      </w:pPr>
    </w:p>
    <w:p>
      <w:pPr>
        <w:jc w:val="center"/>
        <w:outlineLvl w:val="2"/>
        <w:rPr>
          <w:rFonts w:hint="eastAsia" w:ascii="宋体" w:hAnsi="宋体"/>
          <w:color w:val="auto"/>
          <w:sz w:val="32"/>
          <w:szCs w:val="32"/>
        </w:rPr>
      </w:pPr>
    </w:p>
    <w:p>
      <w:pPr>
        <w:rPr>
          <w:rFonts w:hint="eastAsia" w:ascii="黑体" w:hAnsi="黑体" w:eastAsia="黑体"/>
          <w:color w:val="auto"/>
          <w:sz w:val="32"/>
          <w:szCs w:val="32"/>
        </w:rPr>
      </w:pPr>
      <w:r>
        <w:rPr>
          <w:rFonts w:hint="eastAsia" w:ascii="黑体" w:hAnsi="黑体" w:eastAsia="黑体"/>
          <w:color w:val="auto"/>
          <w:sz w:val="32"/>
          <w:szCs w:val="32"/>
        </w:rPr>
        <w:br w:type="page"/>
      </w:r>
    </w:p>
    <w:p>
      <w:pPr>
        <w:spacing w:afterLines="50"/>
        <w:jc w:val="center"/>
        <w:rPr>
          <w:rFonts w:ascii="黑体" w:hAnsi="黑体" w:eastAsia="黑体"/>
          <w:color w:val="auto"/>
          <w:sz w:val="32"/>
          <w:szCs w:val="32"/>
        </w:rPr>
      </w:pPr>
      <w:r>
        <w:rPr>
          <w:rFonts w:hint="eastAsia" w:ascii="黑体" w:hAnsi="黑体" w:eastAsia="黑体"/>
          <w:color w:val="auto"/>
          <w:sz w:val="32"/>
          <w:szCs w:val="32"/>
        </w:rPr>
        <w:t>四、附 录</w:t>
      </w:r>
    </w:p>
    <w:p>
      <w:pPr>
        <w:tabs>
          <w:tab w:val="center" w:leader="middleDot" w:pos="9000"/>
        </w:tabs>
        <w:spacing w:afterLines="50"/>
        <w:jc w:val="center"/>
        <w:rPr>
          <w:rFonts w:ascii="黑体" w:hAnsi="黑体" w:eastAsia="黑体"/>
          <w:color w:val="auto"/>
          <w:sz w:val="28"/>
          <w:szCs w:val="28"/>
        </w:rPr>
      </w:pPr>
      <w:r>
        <w:rPr>
          <w:rFonts w:hint="eastAsia" w:ascii="黑体" w:hAnsi="黑体" w:eastAsia="黑体"/>
          <w:color w:val="auto"/>
          <w:sz w:val="28"/>
          <w:szCs w:val="28"/>
        </w:rPr>
        <w:t>（一）修订说明</w:t>
      </w:r>
    </w:p>
    <w:p>
      <w:pPr>
        <w:keepNext w:val="0"/>
        <w:keepLines w:val="0"/>
        <w:pageBreakBefore w:val="0"/>
        <w:widowControl w:val="0"/>
        <w:tabs>
          <w:tab w:val="center" w:leader="middleDot" w:pos="9356"/>
        </w:tabs>
        <w:kinsoku/>
        <w:wordWrap/>
        <w:overflowPunct/>
        <w:topLinePunct w:val="0"/>
        <w:autoSpaceDE/>
        <w:autoSpaceDN/>
        <w:bidi w:val="0"/>
        <w:snapToGrid w:val="0"/>
        <w:spacing w:line="360" w:lineRule="exact"/>
        <w:ind w:left="0" w:firstLine="420" w:firstLineChars="200"/>
        <w:rPr>
          <w:rFonts w:ascii="宋体" w:hAnsi="宋体"/>
          <w:bCs/>
          <w:color w:val="auto"/>
          <w:szCs w:val="21"/>
        </w:rPr>
      </w:pPr>
      <w:r>
        <w:rPr>
          <w:rFonts w:hint="eastAsia" w:ascii="宋体" w:hAnsi="宋体"/>
          <w:bCs/>
          <w:color w:val="auto"/>
          <w:szCs w:val="21"/>
        </w:rPr>
        <w:t>根据国家、省统计局制度修订要求，结合广州市的具体情况，对本报表制度进行修订，主要修订内容如下:</w:t>
      </w:r>
    </w:p>
    <w:p>
      <w:pPr>
        <w:snapToGrid w:val="0"/>
        <w:spacing w:before="0" w:beforeLines="0" w:after="0" w:afterLines="0" w:line="360" w:lineRule="exact"/>
        <w:ind w:firstLine="420" w:firstLineChars="200"/>
        <w:jc w:val="left"/>
        <w:outlineLvl w:val="1"/>
        <w:rPr>
          <w:rFonts w:hint="eastAsia" w:ascii="仿宋_GB2312" w:hAnsi="仿宋_GB2312" w:cs="仿宋_GB2312"/>
          <w:b w:val="0"/>
          <w:bCs w:val="0"/>
          <w:snapToGrid w:val="0"/>
          <w:color w:val="auto"/>
          <w:kern w:val="0"/>
          <w:sz w:val="21"/>
          <w:szCs w:val="21"/>
          <w:highlight w:val="none"/>
          <w:shd w:val="clear" w:color="auto" w:fill="auto"/>
          <w:lang w:val="en-US" w:eastAsia="zh-CN" w:bidi="ar-SA"/>
        </w:rPr>
      </w:pP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1.《一套表调查单位基本情况》（101-1表、201-1表）：</w:t>
      </w:r>
    </w:p>
    <w:p>
      <w:pPr>
        <w:snapToGrid w:val="0"/>
        <w:spacing w:before="0" w:beforeLines="0" w:after="0" w:afterLines="0" w:line="360" w:lineRule="exact"/>
        <w:ind w:firstLine="420" w:firstLineChars="200"/>
        <w:jc w:val="left"/>
        <w:outlineLvl w:val="1"/>
        <w:rPr>
          <w:rFonts w:hint="eastAsia" w:ascii="仿宋_GB2312" w:hAnsi="仿宋_GB2312" w:cs="仿宋_GB2312"/>
          <w:b w:val="0"/>
          <w:bCs w:val="0"/>
          <w:snapToGrid w:val="0"/>
          <w:color w:val="auto"/>
          <w:kern w:val="0"/>
          <w:sz w:val="21"/>
          <w:szCs w:val="21"/>
          <w:highlight w:val="none"/>
          <w:shd w:val="clear" w:color="auto" w:fill="auto"/>
          <w:lang w:val="en-US" w:eastAsia="zh-CN" w:bidi="ar-SA"/>
        </w:rPr>
      </w:pP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（1）增加指标“建筑业资质有效期至□□□□年□□月”；</w:t>
      </w:r>
    </w:p>
    <w:p>
      <w:pPr>
        <w:snapToGrid w:val="0"/>
        <w:spacing w:before="0" w:beforeLines="0" w:after="0" w:afterLines="0" w:line="360" w:lineRule="exact"/>
        <w:ind w:firstLine="420" w:firstLineChars="200"/>
        <w:jc w:val="left"/>
        <w:outlineLvl w:val="1"/>
        <w:rPr>
          <w:rFonts w:hint="eastAsia" w:ascii="仿宋_GB2312" w:hAnsi="仿宋_GB2312" w:cs="仿宋_GB2312"/>
          <w:b w:val="0"/>
          <w:bCs w:val="0"/>
          <w:snapToGrid w:val="0"/>
          <w:color w:val="auto"/>
          <w:kern w:val="0"/>
          <w:sz w:val="21"/>
          <w:szCs w:val="21"/>
          <w:highlight w:val="none"/>
          <w:shd w:val="clear" w:color="auto" w:fill="auto"/>
          <w:lang w:val="en-US" w:eastAsia="zh-CN" w:bidi="ar-SA"/>
        </w:rPr>
      </w:pP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（2）将原指标“营业利润”调整为“利润总额”。</w:t>
      </w:r>
    </w:p>
    <w:p>
      <w:pPr>
        <w:snapToGrid w:val="0"/>
        <w:spacing w:before="0" w:beforeLines="0" w:after="0" w:afterLines="0" w:line="360" w:lineRule="exact"/>
        <w:ind w:firstLine="420" w:firstLineChars="200"/>
        <w:jc w:val="left"/>
        <w:outlineLvl w:val="1"/>
        <w:rPr>
          <w:rFonts w:hint="eastAsia" w:ascii="仿宋_GB2312" w:hAnsi="仿宋_GB2312" w:cs="仿宋_GB2312"/>
          <w:b w:val="0"/>
          <w:bCs w:val="0"/>
          <w:snapToGrid w:val="0"/>
          <w:color w:val="auto"/>
          <w:kern w:val="0"/>
          <w:sz w:val="21"/>
          <w:szCs w:val="21"/>
          <w:highlight w:val="none"/>
          <w:shd w:val="clear" w:color="auto" w:fill="auto"/>
          <w:lang w:val="en-US" w:eastAsia="zh-CN" w:bidi="ar-SA"/>
        </w:rPr>
      </w:pP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2.“固定资产投资项目情况”（206表）：</w:t>
      </w:r>
    </w:p>
    <w:p>
      <w:pPr>
        <w:snapToGrid w:val="0"/>
        <w:spacing w:before="0" w:beforeLines="0" w:after="0" w:afterLines="0" w:line="360" w:lineRule="exact"/>
        <w:ind w:firstLine="420" w:firstLineChars="200"/>
        <w:jc w:val="left"/>
        <w:outlineLvl w:val="1"/>
        <w:rPr>
          <w:rFonts w:hint="eastAsia" w:ascii="仿宋_GB2312" w:hAnsi="仿宋_GB2312" w:cs="仿宋_GB2312"/>
          <w:b w:val="0"/>
          <w:bCs w:val="0"/>
          <w:snapToGrid w:val="0"/>
          <w:color w:val="auto"/>
          <w:kern w:val="0"/>
          <w:sz w:val="21"/>
          <w:szCs w:val="21"/>
          <w:highlight w:val="none"/>
          <w:shd w:val="clear" w:color="auto" w:fill="auto"/>
          <w:lang w:val="en-US" w:eastAsia="zh-CN" w:bidi="ar-SA"/>
        </w:rPr>
      </w:pP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（1）增加指标“民间资本参股比例”。</w:t>
      </w:r>
    </w:p>
    <w:p>
      <w:pPr>
        <w:snapToGrid w:val="0"/>
        <w:spacing w:before="0" w:beforeLines="0" w:after="0" w:afterLines="0" w:line="360" w:lineRule="exact"/>
        <w:ind w:firstLine="420" w:firstLineChars="200"/>
        <w:jc w:val="left"/>
        <w:outlineLvl w:val="1"/>
        <w:rPr>
          <w:rFonts w:hint="eastAsia" w:ascii="仿宋_GB2312" w:hAnsi="仿宋_GB2312" w:cs="仿宋_GB2312"/>
          <w:b w:val="0"/>
          <w:bCs w:val="0"/>
          <w:snapToGrid w:val="0"/>
          <w:color w:val="auto"/>
          <w:kern w:val="0"/>
          <w:sz w:val="21"/>
          <w:szCs w:val="21"/>
          <w:highlight w:val="none"/>
          <w:shd w:val="clear" w:color="auto" w:fill="auto"/>
          <w:lang w:val="en-US" w:eastAsia="zh-CN" w:bidi="ar-SA"/>
        </w:rPr>
      </w:pP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（2）修订“已签订合同总额”、“设备工器具购置”和“购置旧设备”指标的指标解释。</w:t>
      </w:r>
    </w:p>
    <w:p>
      <w:pPr>
        <w:snapToGrid w:val="0"/>
        <w:spacing w:before="0" w:beforeLines="0" w:after="0" w:afterLines="0" w:line="360" w:lineRule="exact"/>
        <w:ind w:firstLine="420" w:firstLineChars="200"/>
        <w:jc w:val="left"/>
        <w:outlineLvl w:val="1"/>
        <w:rPr>
          <w:rFonts w:hint="eastAsia" w:ascii="仿宋_GB2312" w:hAnsi="仿宋_GB2312" w:cs="仿宋_GB2312"/>
          <w:b w:val="0"/>
          <w:bCs w:val="0"/>
          <w:snapToGrid w:val="0"/>
          <w:color w:val="auto"/>
          <w:kern w:val="0"/>
          <w:sz w:val="21"/>
          <w:szCs w:val="21"/>
          <w:highlight w:val="none"/>
          <w:shd w:val="clear" w:color="auto" w:fill="auto"/>
          <w:lang w:val="en-US" w:eastAsia="zh-CN" w:bidi="ar-SA"/>
        </w:rPr>
      </w:pP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3.“投资项目申请表”（H202表）：</w:t>
      </w:r>
    </w:p>
    <w:p>
      <w:pPr>
        <w:snapToGrid w:val="0"/>
        <w:spacing w:before="0" w:beforeLines="0" w:after="0" w:afterLines="0" w:line="360" w:lineRule="exact"/>
        <w:ind w:firstLine="420" w:firstLineChars="200"/>
        <w:jc w:val="left"/>
        <w:outlineLvl w:val="1"/>
        <w:rPr>
          <w:rFonts w:hint="eastAsia" w:ascii="仿宋_GB2312" w:hAnsi="仿宋_GB2312" w:cs="仿宋_GB2312"/>
          <w:b w:val="0"/>
          <w:bCs w:val="0"/>
          <w:snapToGrid w:val="0"/>
          <w:color w:val="auto"/>
          <w:kern w:val="0"/>
          <w:sz w:val="21"/>
          <w:szCs w:val="21"/>
          <w:highlight w:val="none"/>
          <w:shd w:val="clear" w:color="auto" w:fill="auto"/>
          <w:lang w:val="en-US" w:eastAsia="zh-CN" w:bidi="ar-SA"/>
        </w:rPr>
      </w:pP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（1）调整报表报送时间；</w:t>
      </w:r>
    </w:p>
    <w:p>
      <w:pPr>
        <w:snapToGrid w:val="0"/>
        <w:spacing w:before="0" w:beforeLines="0" w:after="0" w:afterLines="0" w:line="360" w:lineRule="exact"/>
        <w:ind w:firstLine="420" w:firstLineChars="200"/>
        <w:jc w:val="left"/>
        <w:outlineLvl w:val="1"/>
        <w:rPr>
          <w:rFonts w:hint="default" w:ascii="仿宋_GB2312" w:hAnsi="仿宋_GB2312" w:cs="仿宋_GB2312"/>
          <w:b w:val="0"/>
          <w:bCs w:val="0"/>
          <w:snapToGrid w:val="0"/>
          <w:color w:val="auto"/>
          <w:kern w:val="0"/>
          <w:sz w:val="21"/>
          <w:szCs w:val="21"/>
          <w:highlight w:val="none"/>
          <w:shd w:val="clear" w:color="auto" w:fill="auto"/>
          <w:lang w:val="en-US" w:eastAsia="zh-CN" w:bidi="ar-SA"/>
        </w:rPr>
      </w:pP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（2）</w:t>
      </w:r>
      <w:r>
        <w:rPr>
          <w:rFonts w:hint="eastAsia"/>
          <w:color w:val="auto"/>
          <w:lang w:val="en-US" w:eastAsia="zh-CN"/>
        </w:rPr>
        <w:t>新增标识指标</w:t>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“是否为</w:t>
      </w:r>
      <w:r>
        <w:rPr>
          <w:rFonts w:hint="default" w:ascii="仿宋_GB2312" w:hAnsi="仿宋_GB2312" w:cs="仿宋_GB2312"/>
          <w:b w:val="0"/>
          <w:bCs w:val="0"/>
          <w:snapToGrid w:val="0"/>
          <w:color w:val="auto"/>
          <w:kern w:val="0"/>
          <w:sz w:val="21"/>
          <w:szCs w:val="21"/>
          <w:highlight w:val="none"/>
          <w:shd w:val="clear" w:color="auto" w:fill="auto"/>
          <w:lang w:val="en-US" w:eastAsia="zh-CN" w:bidi="ar-SA"/>
        </w:rPr>
        <w:t>超长期国债项目</w:t>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w:t>
      </w:r>
      <w:r>
        <w:rPr>
          <w:rFonts w:hint="default" w:ascii="仿宋_GB2312" w:hAnsi="仿宋_GB2312" w:cs="仿宋_GB2312"/>
          <w:b w:val="0"/>
          <w:bCs w:val="0"/>
          <w:snapToGrid w:val="0"/>
          <w:color w:val="auto"/>
          <w:kern w:val="0"/>
          <w:sz w:val="21"/>
          <w:szCs w:val="21"/>
          <w:highlight w:val="none"/>
          <w:shd w:val="clear" w:color="auto" w:fill="auto"/>
          <w:lang w:val="en-US" w:eastAsia="zh-CN" w:bidi="ar-SA"/>
        </w:rPr>
        <w:t>是否为政府专项债项目</w:t>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w:t>
      </w:r>
      <w:r>
        <w:rPr>
          <w:rFonts w:hint="default" w:ascii="仿宋_GB2312" w:hAnsi="仿宋_GB2312" w:cs="仿宋_GB2312"/>
          <w:b w:val="0"/>
          <w:bCs w:val="0"/>
          <w:snapToGrid w:val="0"/>
          <w:color w:val="auto"/>
          <w:kern w:val="0"/>
          <w:sz w:val="21"/>
          <w:szCs w:val="21"/>
          <w:highlight w:val="none"/>
          <w:shd w:val="clear" w:color="auto" w:fill="auto"/>
          <w:lang w:val="en-US" w:eastAsia="zh-CN" w:bidi="ar-SA"/>
        </w:rPr>
        <w:t>是否是城中村改</w:t>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ab/>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ab/>
      </w:r>
      <w:r>
        <w:rPr>
          <w:rFonts w:hint="default" w:ascii="仿宋_GB2312" w:hAnsi="仿宋_GB2312" w:cs="仿宋_GB2312"/>
          <w:b w:val="0"/>
          <w:bCs w:val="0"/>
          <w:snapToGrid w:val="0"/>
          <w:color w:val="auto"/>
          <w:kern w:val="0"/>
          <w:sz w:val="21"/>
          <w:szCs w:val="21"/>
          <w:highlight w:val="none"/>
          <w:shd w:val="clear" w:color="auto" w:fill="auto"/>
          <w:lang w:val="en-US" w:eastAsia="zh-CN" w:bidi="ar-SA"/>
        </w:rPr>
        <w:t>造项目</w:t>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w:t>
      </w:r>
      <w:r>
        <w:rPr>
          <w:rFonts w:hint="default" w:ascii="仿宋_GB2312" w:hAnsi="仿宋_GB2312" w:cs="仿宋_GB2312"/>
          <w:b w:val="0"/>
          <w:bCs w:val="0"/>
          <w:snapToGrid w:val="0"/>
          <w:color w:val="auto"/>
          <w:kern w:val="0"/>
          <w:sz w:val="21"/>
          <w:szCs w:val="21"/>
          <w:highlight w:val="none"/>
          <w:shd w:val="clear" w:color="auto" w:fill="auto"/>
          <w:lang w:val="en-US" w:eastAsia="zh-CN" w:bidi="ar-SA"/>
        </w:rPr>
        <w:t>是否是</w:t>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w:t>
      </w:r>
      <w:r>
        <w:rPr>
          <w:rFonts w:hint="default" w:ascii="仿宋_GB2312" w:hAnsi="仿宋_GB2312" w:cs="仿宋_GB2312"/>
          <w:b w:val="0"/>
          <w:bCs w:val="0"/>
          <w:snapToGrid w:val="0"/>
          <w:color w:val="auto"/>
          <w:kern w:val="0"/>
          <w:sz w:val="21"/>
          <w:szCs w:val="21"/>
          <w:highlight w:val="none"/>
          <w:shd w:val="clear" w:color="auto" w:fill="auto"/>
          <w:lang w:val="en-US" w:eastAsia="zh-CN" w:bidi="ar-SA"/>
        </w:rPr>
        <w:t>平急两用</w:t>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w:t>
      </w:r>
      <w:r>
        <w:rPr>
          <w:rFonts w:hint="default" w:ascii="仿宋_GB2312" w:hAnsi="仿宋_GB2312" w:cs="仿宋_GB2312"/>
          <w:b w:val="0"/>
          <w:bCs w:val="0"/>
          <w:snapToGrid w:val="0"/>
          <w:color w:val="auto"/>
          <w:kern w:val="0"/>
          <w:sz w:val="21"/>
          <w:szCs w:val="21"/>
          <w:highlight w:val="none"/>
          <w:shd w:val="clear" w:color="auto" w:fill="auto"/>
          <w:lang w:val="en-US" w:eastAsia="zh-CN" w:bidi="ar-SA"/>
        </w:rPr>
        <w:t>公共基础设施建设项目</w:t>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”和“</w:t>
      </w:r>
      <w:r>
        <w:rPr>
          <w:rFonts w:hint="default" w:ascii="仿宋_GB2312" w:hAnsi="仿宋_GB2312" w:cs="仿宋_GB2312"/>
          <w:b w:val="0"/>
          <w:bCs w:val="0"/>
          <w:snapToGrid w:val="0"/>
          <w:color w:val="auto"/>
          <w:kern w:val="0"/>
          <w:sz w:val="21"/>
          <w:szCs w:val="21"/>
          <w:highlight w:val="none"/>
          <w:shd w:val="clear" w:color="auto" w:fill="auto"/>
          <w:lang w:val="en-US" w:eastAsia="zh-CN" w:bidi="ar-SA"/>
        </w:rPr>
        <w:t>是否包含保障性住房项目</w:t>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w:t>
      </w:r>
    </w:p>
    <w:p>
      <w:pPr>
        <w:snapToGrid w:val="0"/>
        <w:spacing w:before="0" w:beforeLines="0" w:after="0" w:afterLines="0" w:line="360" w:lineRule="exact"/>
        <w:ind w:firstLine="420" w:firstLineChars="200"/>
        <w:jc w:val="left"/>
        <w:outlineLvl w:val="1"/>
        <w:rPr>
          <w:rFonts w:hint="eastAsia" w:ascii="仿宋_GB2312" w:hAnsi="仿宋_GB2312" w:cs="仿宋_GB2312"/>
          <w:b w:val="0"/>
          <w:bCs w:val="0"/>
          <w:snapToGrid w:val="0"/>
          <w:color w:val="auto"/>
          <w:kern w:val="0"/>
          <w:sz w:val="21"/>
          <w:szCs w:val="21"/>
          <w:highlight w:val="none"/>
          <w:shd w:val="clear" w:color="auto" w:fill="auto"/>
          <w:lang w:val="en-US" w:eastAsia="zh-CN" w:bidi="ar-SA"/>
        </w:rPr>
      </w:pP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（3）取消“审核材料”模块；</w:t>
      </w:r>
    </w:p>
    <w:p>
      <w:pPr>
        <w:snapToGrid w:val="0"/>
        <w:spacing w:before="0" w:beforeLines="0" w:after="0" w:afterLines="0" w:line="360" w:lineRule="exact"/>
        <w:ind w:firstLine="420" w:firstLineChars="200"/>
        <w:jc w:val="left"/>
        <w:outlineLvl w:val="1"/>
        <w:rPr>
          <w:rFonts w:hint="eastAsia" w:ascii="仿宋_GB2312" w:hAnsi="仿宋_GB2312" w:cs="仿宋_GB2312"/>
          <w:b w:val="0"/>
          <w:bCs w:val="0"/>
          <w:snapToGrid w:val="0"/>
          <w:color w:val="auto"/>
          <w:kern w:val="0"/>
          <w:sz w:val="21"/>
          <w:szCs w:val="21"/>
          <w:highlight w:val="none"/>
          <w:shd w:val="clear" w:color="auto" w:fill="auto"/>
          <w:lang w:val="en-US" w:eastAsia="zh-CN" w:bidi="ar-SA"/>
        </w:rPr>
      </w:pP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（4）将指标“项目建设地经纬度坐标”代码由“30a”调整为“31”；</w:t>
      </w:r>
    </w:p>
    <w:p>
      <w:pPr>
        <w:snapToGrid w:val="0"/>
        <w:spacing w:before="0" w:beforeLines="0" w:after="0" w:afterLines="0" w:line="360" w:lineRule="exact"/>
        <w:ind w:firstLine="420" w:firstLineChars="200"/>
        <w:jc w:val="left"/>
        <w:outlineLvl w:val="1"/>
        <w:rPr>
          <w:rFonts w:hint="eastAsia" w:ascii="仿宋_GB2312" w:hAnsi="仿宋_GB2312" w:cs="仿宋_GB2312"/>
          <w:b w:val="0"/>
          <w:bCs w:val="0"/>
          <w:snapToGrid w:val="0"/>
          <w:color w:val="auto"/>
          <w:kern w:val="0"/>
          <w:sz w:val="21"/>
          <w:szCs w:val="21"/>
          <w:highlight w:val="none"/>
          <w:shd w:val="clear" w:color="auto" w:fill="auto"/>
          <w:lang w:val="en-US" w:eastAsia="zh-CN" w:bidi="ar-SA"/>
        </w:rPr>
      </w:pP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（5）将指标“是否为单纯购置项目”调整到“项目类别”后；</w:t>
      </w:r>
    </w:p>
    <w:p>
      <w:pPr>
        <w:snapToGrid w:val="0"/>
        <w:spacing w:before="0" w:beforeLines="0" w:after="0" w:afterLines="0" w:line="360" w:lineRule="exact"/>
        <w:ind w:firstLine="420" w:firstLineChars="200"/>
        <w:jc w:val="left"/>
        <w:outlineLvl w:val="1"/>
        <w:rPr>
          <w:rFonts w:hint="eastAsia" w:ascii="仿宋_GB2312" w:hAnsi="仿宋_GB2312" w:cs="仿宋_GB2312"/>
          <w:b w:val="0"/>
          <w:bCs w:val="0"/>
          <w:snapToGrid w:val="0"/>
          <w:color w:val="auto"/>
          <w:kern w:val="0"/>
          <w:sz w:val="21"/>
          <w:szCs w:val="21"/>
          <w:highlight w:val="none"/>
          <w:shd w:val="clear" w:color="auto" w:fill="auto"/>
          <w:lang w:val="en-US" w:eastAsia="zh-CN" w:bidi="ar-SA"/>
        </w:rPr>
      </w:pP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（6）调整表底说明，“计划总投资5000万元及以上项目”调整为“计划总投资1亿元及以上项</w:t>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ab/>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ab/>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目”；</w:t>
      </w:r>
    </w:p>
    <w:p>
      <w:pPr>
        <w:snapToGrid w:val="0"/>
        <w:spacing w:before="0" w:beforeLines="0" w:after="0" w:afterLines="0" w:line="360" w:lineRule="exact"/>
        <w:ind w:firstLine="420" w:firstLineChars="200"/>
        <w:jc w:val="left"/>
        <w:outlineLvl w:val="1"/>
        <w:rPr>
          <w:rFonts w:hint="eastAsia" w:ascii="仿宋_GB2312" w:hAnsi="仿宋_GB2312" w:cs="仿宋_GB2312"/>
          <w:b w:val="0"/>
          <w:bCs w:val="0"/>
          <w:snapToGrid w:val="0"/>
          <w:color w:val="auto"/>
          <w:kern w:val="0"/>
          <w:sz w:val="21"/>
          <w:szCs w:val="21"/>
          <w:highlight w:val="none"/>
          <w:shd w:val="clear" w:color="auto" w:fill="auto"/>
          <w:lang w:val="en-US" w:eastAsia="zh-CN" w:bidi="ar-SA"/>
        </w:rPr>
      </w:pP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（7）调整指标“固定资产投资额”填报说明，“一个文件只能作为一个投资项目的报送依据”调</w:t>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ab/>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ab/>
      </w:r>
      <w:r>
        <w:rPr>
          <w:rFonts w:hint="eastAsia" w:ascii="仿宋_GB2312" w:hAnsi="仿宋_GB2312" w:cs="仿宋_GB2312"/>
          <w:b w:val="0"/>
          <w:bCs w:val="0"/>
          <w:snapToGrid w:val="0"/>
          <w:color w:val="auto"/>
          <w:kern w:val="0"/>
          <w:sz w:val="21"/>
          <w:szCs w:val="21"/>
          <w:highlight w:val="none"/>
          <w:shd w:val="clear" w:color="auto" w:fill="auto"/>
          <w:lang w:val="en-US" w:eastAsia="zh-CN" w:bidi="ar-SA"/>
        </w:rPr>
        <w:t>整为“原则上一个文件只能作为一个投资项目的报送依据”；</w:t>
      </w:r>
    </w:p>
    <w:p>
      <w:pPr>
        <w:snapToGrid w:val="0"/>
        <w:spacing w:before="0" w:beforeLines="0" w:after="0" w:afterLines="0" w:line="360" w:lineRule="exact"/>
        <w:ind w:firstLine="420" w:firstLineChars="200"/>
        <w:jc w:val="left"/>
        <w:outlineLvl w:val="1"/>
        <w:rPr>
          <w:rFonts w:hint="default" w:ascii="仿宋_GB2312" w:hAnsi="仿宋_GB2312" w:cs="仿宋_GB2312"/>
          <w:b w:val="0"/>
          <w:bCs w:val="0"/>
          <w:snapToGrid w:val="0"/>
          <w:color w:val="auto"/>
          <w:kern w:val="0"/>
          <w:sz w:val="21"/>
          <w:szCs w:val="21"/>
          <w:highlight w:val="none"/>
          <w:shd w:val="clear" w:color="auto" w:fill="auto"/>
          <w:lang w:val="en-US" w:eastAsia="zh-CN" w:bidi="ar-SA"/>
        </w:rPr>
      </w:pPr>
      <w:r>
        <w:rPr>
          <w:rFonts w:hint="default" w:ascii="仿宋_GB2312" w:hAnsi="仿宋_GB2312" w:cs="仿宋_GB2312"/>
          <w:b w:val="0"/>
          <w:bCs w:val="0"/>
          <w:snapToGrid w:val="0"/>
          <w:color w:val="auto"/>
          <w:kern w:val="0"/>
          <w:sz w:val="21"/>
          <w:szCs w:val="21"/>
          <w:highlight w:val="none"/>
          <w:shd w:val="clear" w:color="auto" w:fill="auto"/>
          <w:lang w:val="en-US" w:eastAsia="zh-CN" w:bidi="ar-SA"/>
        </w:rPr>
        <w:t>5.“保障性住房开发及经营情况”（X204—3表）：</w:t>
      </w:r>
    </w:p>
    <w:p>
      <w:pPr>
        <w:snapToGrid w:val="0"/>
        <w:spacing w:before="0" w:beforeLines="0" w:after="0" w:afterLines="0" w:line="360" w:lineRule="exact"/>
        <w:ind w:firstLine="420" w:firstLineChars="200"/>
        <w:jc w:val="left"/>
        <w:outlineLvl w:val="1"/>
        <w:rPr>
          <w:rFonts w:hint="default" w:ascii="仿宋_GB2312" w:hAnsi="仿宋_GB2312" w:cs="仿宋_GB2312"/>
          <w:b w:val="0"/>
          <w:bCs w:val="0"/>
          <w:snapToGrid w:val="0"/>
          <w:color w:val="auto"/>
          <w:kern w:val="0"/>
          <w:sz w:val="21"/>
          <w:szCs w:val="21"/>
          <w:highlight w:val="none"/>
          <w:shd w:val="clear" w:color="auto" w:fill="auto"/>
          <w:lang w:val="en-US" w:eastAsia="zh-CN" w:bidi="ar-SA"/>
        </w:rPr>
      </w:pPr>
      <w:r>
        <w:rPr>
          <w:rFonts w:hint="default" w:ascii="仿宋_GB2312" w:hAnsi="仿宋_GB2312" w:cs="仿宋_GB2312"/>
          <w:b w:val="0"/>
          <w:bCs w:val="0"/>
          <w:snapToGrid w:val="0"/>
          <w:color w:val="auto"/>
          <w:kern w:val="0"/>
          <w:sz w:val="21"/>
          <w:szCs w:val="21"/>
          <w:highlight w:val="none"/>
          <w:shd w:val="clear" w:color="auto" w:fill="auto"/>
          <w:lang w:val="en-US" w:eastAsia="zh-CN" w:bidi="ar-SA"/>
        </w:rPr>
        <w:t>指标“保障性住房完成投资”增加其中项“安置房”，“其他”调整为“其他保障性住房”。</w:t>
      </w:r>
    </w:p>
    <w:p>
      <w:pPr>
        <w:pStyle w:val="17"/>
        <w:keepNext w:val="0"/>
        <w:keepLines w:val="0"/>
        <w:pageBreakBefore w:val="0"/>
        <w:widowControl w:val="0"/>
        <w:kinsoku/>
        <w:wordWrap/>
        <w:overflowPunct/>
        <w:topLinePunct w:val="0"/>
        <w:autoSpaceDE/>
        <w:autoSpaceDN/>
        <w:bidi w:val="0"/>
        <w:adjustRightInd/>
        <w:snapToGrid w:val="0"/>
        <w:spacing w:afterLines="0" w:line="600" w:lineRule="exact"/>
        <w:ind w:left="0" w:leftChars="0" w:right="0" w:rightChars="0" w:firstLine="640"/>
        <w:rPr>
          <w:rFonts w:hint="eastAsia" w:ascii="仿宋_GB2312" w:hAnsi="仿宋_GB2312" w:eastAsia="仿宋_GB2312" w:cs="仿宋_GB2312"/>
          <w:color w:val="auto"/>
          <w:kern w:val="0"/>
          <w:sz w:val="32"/>
          <w:szCs w:val="32"/>
          <w:highlight w:val="yellow"/>
          <w:u w:val="none"/>
          <w:lang w:eastAsia="zh-CN"/>
        </w:rPr>
      </w:pPr>
    </w:p>
    <w:p>
      <w:pPr>
        <w:rPr>
          <w:rFonts w:hint="eastAsia"/>
          <w:color w:val="auto"/>
        </w:rPr>
      </w:pPr>
      <w:r>
        <w:rPr>
          <w:rFonts w:hint="eastAsia"/>
          <w:color w:val="auto"/>
        </w:rPr>
        <w:br w:type="page"/>
      </w:r>
    </w:p>
    <w:p>
      <w:pPr>
        <w:ind w:firstLine="420" w:firstLineChars="0"/>
        <w:rPr>
          <w:rFonts w:hint="eastAsia"/>
          <w:color w:val="auto"/>
        </w:rPr>
      </w:pP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1"/>
        <w:rPr>
          <w:rFonts w:hint="eastAsia" w:ascii="黑体" w:hAnsi="黑体" w:eastAsia="黑体"/>
          <w:color w:val="auto"/>
          <w:sz w:val="28"/>
          <w:szCs w:val="28"/>
        </w:rPr>
      </w:pPr>
      <w:r>
        <w:rPr>
          <w:rFonts w:hint="eastAsia" w:ascii="黑体" w:hAnsi="黑体" w:eastAsia="黑体"/>
          <w:color w:val="auto"/>
          <w:sz w:val="28"/>
          <w:szCs w:val="28"/>
        </w:rPr>
        <w:t>（</w:t>
      </w:r>
      <w:r>
        <w:rPr>
          <w:rFonts w:hint="eastAsia" w:ascii="黑体" w:hAnsi="黑体" w:eastAsia="黑体"/>
          <w:color w:val="auto"/>
          <w:sz w:val="28"/>
          <w:szCs w:val="28"/>
          <w:lang w:eastAsia="zh-CN"/>
        </w:rPr>
        <w:t>二</w:t>
      </w:r>
      <w:r>
        <w:rPr>
          <w:rFonts w:hint="eastAsia" w:ascii="黑体" w:hAnsi="黑体" w:eastAsia="黑体"/>
          <w:color w:val="auto"/>
          <w:sz w:val="28"/>
          <w:szCs w:val="28"/>
        </w:rPr>
        <w:t>）新增生产能力(或工程效益)目录及代码</w:t>
      </w:r>
    </w:p>
    <w:tbl>
      <w:tblPr>
        <w:tblStyle w:val="21"/>
        <w:tblW w:w="0" w:type="auto"/>
        <w:jc w:val="center"/>
        <w:tblBorders>
          <w:top w:val="single" w:color="auto" w:sz="8" w:space="0"/>
          <w:left w:val="none" w:color="auto" w:sz="0" w:space="0"/>
          <w:bottom w:val="single" w:color="auto" w:sz="8" w:space="0"/>
          <w:right w:val="none" w:color="auto" w:sz="0" w:space="0"/>
          <w:insideH w:val="none" w:color="auto" w:sz="0" w:space="0"/>
          <w:insideV w:val="single" w:color="auto" w:sz="2" w:space="0"/>
        </w:tblBorders>
        <w:tblLayout w:type="fixed"/>
        <w:tblCellMar>
          <w:top w:w="0" w:type="dxa"/>
          <w:left w:w="108" w:type="dxa"/>
          <w:bottom w:w="0" w:type="dxa"/>
          <w:right w:w="108" w:type="dxa"/>
        </w:tblCellMar>
      </w:tblPr>
      <w:tblGrid>
        <w:gridCol w:w="28"/>
        <w:gridCol w:w="625"/>
        <w:gridCol w:w="2777"/>
        <w:gridCol w:w="1252"/>
        <w:gridCol w:w="4785"/>
      </w:tblGrid>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567" w:hRule="atLeast"/>
          <w:tblHeader/>
          <w:jc w:val="center"/>
        </w:trPr>
        <w:tc>
          <w:tcPr>
            <w:tcW w:w="653" w:type="dxa"/>
            <w:gridSpan w:val="2"/>
            <w:tcBorders>
              <w:top w:val="single" w:color="auto" w:sz="8" w:space="0"/>
              <w:bottom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黑体" w:hAnsi="黑体" w:eastAsia="黑体" w:cs="宋体"/>
                <w:color w:val="auto"/>
                <w:kern w:val="0"/>
                <w:sz w:val="18"/>
                <w:szCs w:val="18"/>
              </w:rPr>
            </w:pPr>
            <w:r>
              <w:rPr>
                <w:rFonts w:hint="eastAsia" w:ascii="黑体" w:hAnsi="黑体" w:eastAsia="黑体" w:cs="宋体"/>
                <w:color w:val="auto"/>
                <w:kern w:val="0"/>
                <w:sz w:val="18"/>
                <w:szCs w:val="18"/>
              </w:rPr>
              <w:t>代码</w:t>
            </w:r>
          </w:p>
        </w:tc>
        <w:tc>
          <w:tcPr>
            <w:tcW w:w="2777" w:type="dxa"/>
            <w:tcBorders>
              <w:top w:val="single" w:color="auto" w:sz="8" w:space="0"/>
              <w:bottom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黑体" w:hAnsi="黑体" w:eastAsia="黑体" w:cs="宋体"/>
                <w:color w:val="auto"/>
                <w:kern w:val="0"/>
                <w:sz w:val="18"/>
                <w:szCs w:val="18"/>
              </w:rPr>
            </w:pPr>
            <w:r>
              <w:rPr>
                <w:rFonts w:hint="eastAsia" w:ascii="黑体" w:hAnsi="黑体" w:eastAsia="黑体" w:cs="宋体"/>
                <w:color w:val="auto"/>
                <w:kern w:val="0"/>
                <w:sz w:val="18"/>
                <w:szCs w:val="18"/>
              </w:rPr>
              <w:t>新增生产能力(或工程效益)名称</w:t>
            </w:r>
          </w:p>
        </w:tc>
        <w:tc>
          <w:tcPr>
            <w:tcW w:w="1252" w:type="dxa"/>
            <w:tcBorders>
              <w:top w:val="single" w:color="auto" w:sz="8" w:space="0"/>
              <w:bottom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黑体" w:hAnsi="黑体" w:eastAsia="黑体" w:cs="宋体"/>
                <w:color w:val="auto"/>
                <w:kern w:val="0"/>
                <w:sz w:val="18"/>
                <w:szCs w:val="18"/>
              </w:rPr>
            </w:pPr>
            <w:r>
              <w:rPr>
                <w:rFonts w:hint="eastAsia" w:ascii="黑体" w:hAnsi="黑体" w:eastAsia="黑体" w:cs="宋体"/>
                <w:color w:val="auto"/>
                <w:kern w:val="0"/>
                <w:sz w:val="18"/>
                <w:szCs w:val="18"/>
              </w:rPr>
              <w:t>计量单位</w:t>
            </w:r>
          </w:p>
        </w:tc>
        <w:tc>
          <w:tcPr>
            <w:tcW w:w="4785" w:type="dxa"/>
            <w:tcBorders>
              <w:top w:val="single" w:color="auto" w:sz="8" w:space="0"/>
              <w:bottom w:val="single" w:color="auto" w:sz="2" w:space="0"/>
            </w:tcBorders>
            <w:noWrap w:val="0"/>
            <w:vAlign w:val="center"/>
          </w:tcPr>
          <w:p>
            <w:pPr>
              <w:keepNext w:val="0"/>
              <w:keepLines w:val="0"/>
              <w:widowControl/>
              <w:suppressLineNumbers w:val="0"/>
              <w:spacing w:before="0" w:beforeAutospacing="0" w:after="0" w:afterAutospacing="0"/>
              <w:ind w:left="0" w:right="0"/>
              <w:jc w:val="center"/>
              <w:rPr>
                <w:rFonts w:hint="default" w:ascii="黑体" w:hAnsi="黑体" w:eastAsia="黑体" w:cs="宋体"/>
                <w:color w:val="auto"/>
                <w:kern w:val="0"/>
                <w:sz w:val="18"/>
                <w:szCs w:val="18"/>
              </w:rPr>
            </w:pPr>
            <w:r>
              <w:rPr>
                <w:rFonts w:hint="eastAsia" w:ascii="黑体" w:hAnsi="黑体" w:eastAsia="黑体" w:cs="宋体"/>
                <w:color w:val="auto"/>
                <w:kern w:val="0"/>
                <w:sz w:val="18"/>
                <w:szCs w:val="18"/>
              </w:rPr>
              <w:t>说                  明</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232" w:hRule="atLeast"/>
          <w:jc w:val="center"/>
        </w:trPr>
        <w:tc>
          <w:tcPr>
            <w:tcW w:w="653" w:type="dxa"/>
            <w:gridSpan w:val="2"/>
            <w:tcBorders>
              <w:top w:val="single" w:color="auto" w:sz="2" w:space="0"/>
            </w:tcBorders>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101</w:t>
            </w:r>
          </w:p>
        </w:tc>
        <w:tc>
          <w:tcPr>
            <w:tcW w:w="2777" w:type="dxa"/>
            <w:tcBorders>
              <w:top w:val="single" w:color="auto" w:sz="2" w:space="0"/>
            </w:tcBorders>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原煤开采</w:t>
            </w:r>
          </w:p>
        </w:tc>
        <w:tc>
          <w:tcPr>
            <w:tcW w:w="1252" w:type="dxa"/>
            <w:tcBorders>
              <w:top w:val="single" w:color="auto" w:sz="2" w:space="0"/>
            </w:tcBorders>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万吨/年</w:t>
            </w:r>
          </w:p>
        </w:tc>
        <w:tc>
          <w:tcPr>
            <w:tcW w:w="4785" w:type="dxa"/>
            <w:tcBorders>
              <w:top w:val="single" w:color="auto" w:sz="2" w:space="0"/>
            </w:tcBorders>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包括经过验收、符合质量标准，即绝对干燥，灰分在40%及以下；绝对干燥灰分虽在40%以上，但经上级主管机关批准开采并有销售对象的劣质煤，均可计入原煤产量，包括无烟煤、烟煤(炼焦烟煤、一般煤)、褐煤。不包括石煤、泥炭、风化煤、矸石煤。</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454" w:hRule="exact"/>
          <w:jc w:val="center"/>
        </w:trPr>
        <w:tc>
          <w:tcPr>
            <w:tcW w:w="653" w:type="dxa"/>
            <w:gridSpan w:val="2"/>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103</w:t>
            </w:r>
          </w:p>
        </w:tc>
        <w:tc>
          <w:tcPr>
            <w:tcW w:w="2777"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焦炭</w:t>
            </w:r>
          </w:p>
        </w:tc>
        <w:tc>
          <w:tcPr>
            <w:tcW w:w="1252"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万吨/年</w:t>
            </w:r>
          </w:p>
        </w:tc>
        <w:tc>
          <w:tcPr>
            <w:tcW w:w="4785"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包括机焦、型焦、土焦、其它工艺生产的焦炭。</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539" w:hRule="exact"/>
          <w:jc w:val="center"/>
        </w:trPr>
        <w:tc>
          <w:tcPr>
            <w:tcW w:w="653" w:type="dxa"/>
            <w:gridSpan w:val="2"/>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105</w:t>
            </w:r>
          </w:p>
        </w:tc>
        <w:tc>
          <w:tcPr>
            <w:tcW w:w="2777"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天然原油开采</w:t>
            </w:r>
          </w:p>
        </w:tc>
        <w:tc>
          <w:tcPr>
            <w:tcW w:w="1252"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万吨/年</w:t>
            </w:r>
          </w:p>
        </w:tc>
        <w:tc>
          <w:tcPr>
            <w:tcW w:w="4785"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包括油(气)田生产井采出的原油以及用其他方法收集的原油。</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454" w:hRule="exact"/>
          <w:jc w:val="center"/>
        </w:trPr>
        <w:tc>
          <w:tcPr>
            <w:tcW w:w="653" w:type="dxa"/>
            <w:gridSpan w:val="2"/>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107</w:t>
            </w:r>
          </w:p>
        </w:tc>
        <w:tc>
          <w:tcPr>
            <w:tcW w:w="2777"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天然气开采</w:t>
            </w:r>
          </w:p>
        </w:tc>
        <w:tc>
          <w:tcPr>
            <w:tcW w:w="1252"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亿立方米/年</w:t>
            </w:r>
          </w:p>
        </w:tc>
        <w:tc>
          <w:tcPr>
            <w:tcW w:w="4785"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包括气田天然气、油田天然气和煤田天然气。</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454" w:hRule="exact"/>
          <w:jc w:val="center"/>
        </w:trPr>
        <w:tc>
          <w:tcPr>
            <w:tcW w:w="653" w:type="dxa"/>
            <w:gridSpan w:val="2"/>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121</w:t>
            </w:r>
          </w:p>
        </w:tc>
        <w:tc>
          <w:tcPr>
            <w:tcW w:w="2777"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石油加工：蒸馏设备能力</w:t>
            </w:r>
          </w:p>
        </w:tc>
        <w:tc>
          <w:tcPr>
            <w:tcW w:w="1252"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处理万吨/年</w:t>
            </w:r>
          </w:p>
        </w:tc>
        <w:tc>
          <w:tcPr>
            <w:tcW w:w="4785"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包括常减压、常压。</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454" w:hRule="exact"/>
          <w:jc w:val="center"/>
        </w:trPr>
        <w:tc>
          <w:tcPr>
            <w:tcW w:w="653" w:type="dxa"/>
            <w:gridSpan w:val="2"/>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122</w:t>
            </w:r>
          </w:p>
        </w:tc>
        <w:tc>
          <w:tcPr>
            <w:tcW w:w="2777"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 xml:space="preserve">          裂化设备能力</w:t>
            </w:r>
          </w:p>
        </w:tc>
        <w:tc>
          <w:tcPr>
            <w:tcW w:w="1252"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处理万吨/年</w:t>
            </w:r>
          </w:p>
        </w:tc>
        <w:tc>
          <w:tcPr>
            <w:tcW w:w="4785"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包括热裂化、催化裂化、加氢裂化、减粘裂化。</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454" w:hRule="exact"/>
          <w:jc w:val="center"/>
        </w:trPr>
        <w:tc>
          <w:tcPr>
            <w:tcW w:w="653" w:type="dxa"/>
            <w:gridSpan w:val="2"/>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131</w:t>
            </w:r>
          </w:p>
        </w:tc>
        <w:tc>
          <w:tcPr>
            <w:tcW w:w="2777"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铁矿开采(原矿)</w:t>
            </w:r>
          </w:p>
        </w:tc>
        <w:tc>
          <w:tcPr>
            <w:tcW w:w="1252"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万吨/年</w:t>
            </w:r>
          </w:p>
        </w:tc>
        <w:tc>
          <w:tcPr>
            <w:tcW w:w="4785"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指只采出尚未加工、选矿的铁矿石。</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589" w:hRule="atLeast"/>
          <w:jc w:val="center"/>
        </w:trPr>
        <w:tc>
          <w:tcPr>
            <w:tcW w:w="653" w:type="dxa"/>
            <w:gridSpan w:val="2"/>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141</w:t>
            </w:r>
          </w:p>
        </w:tc>
        <w:tc>
          <w:tcPr>
            <w:tcW w:w="2777"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生铁</w:t>
            </w:r>
          </w:p>
        </w:tc>
        <w:tc>
          <w:tcPr>
            <w:tcW w:w="1252"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万吨/年</w:t>
            </w:r>
          </w:p>
        </w:tc>
        <w:tc>
          <w:tcPr>
            <w:tcW w:w="4785"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包括高炉冶炼的合格生铁，包括炼钢生铁、铸造生铁、含钒生铁。不包括出格生铁、高炉铁合金及化铁炉重熔的再生铁。</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894" w:hRule="atLeast"/>
          <w:jc w:val="center"/>
        </w:trPr>
        <w:tc>
          <w:tcPr>
            <w:tcW w:w="653" w:type="dxa"/>
            <w:gridSpan w:val="2"/>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142</w:t>
            </w:r>
          </w:p>
        </w:tc>
        <w:tc>
          <w:tcPr>
            <w:tcW w:w="2777"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粗钢</w:t>
            </w:r>
          </w:p>
        </w:tc>
        <w:tc>
          <w:tcPr>
            <w:tcW w:w="1252"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万吨/年</w:t>
            </w:r>
          </w:p>
        </w:tc>
        <w:tc>
          <w:tcPr>
            <w:tcW w:w="4785"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指完成了冶炼过程、未经塑性加工的钢，其形态为液态或铸态固体。包括转炉钢、电弧炉钢、感应电炉钢以及其它炉种冶炼钢。</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454" w:hRule="exact"/>
          <w:jc w:val="center"/>
        </w:trPr>
        <w:tc>
          <w:tcPr>
            <w:tcW w:w="653" w:type="dxa"/>
            <w:gridSpan w:val="2"/>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150</w:t>
            </w:r>
          </w:p>
        </w:tc>
        <w:tc>
          <w:tcPr>
            <w:tcW w:w="2777"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钢材</w:t>
            </w:r>
          </w:p>
        </w:tc>
        <w:tc>
          <w:tcPr>
            <w:tcW w:w="1252"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万吨/年</w:t>
            </w:r>
          </w:p>
        </w:tc>
        <w:tc>
          <w:tcPr>
            <w:tcW w:w="4785"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包括成品钢材及供重复加工的成品钢材。</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661" w:hRule="exact"/>
          <w:jc w:val="center"/>
        </w:trPr>
        <w:tc>
          <w:tcPr>
            <w:tcW w:w="653" w:type="dxa"/>
            <w:gridSpan w:val="2"/>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175</w:t>
            </w:r>
          </w:p>
        </w:tc>
        <w:tc>
          <w:tcPr>
            <w:tcW w:w="2777"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铜冶炼</w:t>
            </w:r>
          </w:p>
        </w:tc>
        <w:tc>
          <w:tcPr>
            <w:tcW w:w="1252"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吨</w:t>
            </w:r>
            <w:r>
              <w:rPr>
                <w:rFonts w:hint="default"/>
                <w:color w:val="auto"/>
                <w:kern w:val="0"/>
                <w:sz w:val="18"/>
                <w:szCs w:val="18"/>
              </w:rPr>
              <w:t>/</w:t>
            </w:r>
            <w:r>
              <w:rPr>
                <w:rFonts w:hint="eastAsia" w:ascii="宋体" w:hAnsi="宋体" w:cs="宋体"/>
                <w:color w:val="auto"/>
                <w:kern w:val="0"/>
                <w:sz w:val="18"/>
                <w:szCs w:val="18"/>
              </w:rPr>
              <w:t>年</w:t>
            </w:r>
          </w:p>
        </w:tc>
        <w:tc>
          <w:tcPr>
            <w:tcW w:w="4785"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包括电解铜、外调精铜（含铜在99.5%以上，不包括进一步电解用的精铜）</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313" w:hRule="atLeast"/>
          <w:jc w:val="center"/>
        </w:trPr>
        <w:tc>
          <w:tcPr>
            <w:tcW w:w="653" w:type="dxa"/>
            <w:gridSpan w:val="2"/>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188</w:t>
            </w:r>
          </w:p>
        </w:tc>
        <w:tc>
          <w:tcPr>
            <w:tcW w:w="2777"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铅冶炼</w:t>
            </w:r>
          </w:p>
        </w:tc>
        <w:tc>
          <w:tcPr>
            <w:tcW w:w="1252"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吨/年</w:t>
            </w:r>
          </w:p>
        </w:tc>
        <w:tc>
          <w:tcPr>
            <w:tcW w:w="4785"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包括电解铅、外调精铅(含铅在99.5%以上不包括进一步电解用的精铅，即商品精铅)、外调焊锡含铅(不包括供其他企业进一步电解的商品焊锡，即商品焊锡含铅)、其他铅。</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77" w:hRule="atLeast"/>
          <w:jc w:val="center"/>
        </w:trPr>
        <w:tc>
          <w:tcPr>
            <w:tcW w:w="653" w:type="dxa"/>
            <w:gridSpan w:val="2"/>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190</w:t>
            </w:r>
          </w:p>
        </w:tc>
        <w:tc>
          <w:tcPr>
            <w:tcW w:w="2777"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锌冶炼</w:t>
            </w:r>
          </w:p>
        </w:tc>
        <w:tc>
          <w:tcPr>
            <w:tcW w:w="1252"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吨/年</w:t>
            </w:r>
          </w:p>
        </w:tc>
        <w:tc>
          <w:tcPr>
            <w:tcW w:w="4785"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包括电解锌、精馏锌、外调精馏锌(含锌在98.7%以上，不包括供进一步精炼的蒸馏锌)、锌粉、锌饼、外调氧化锌含锌(即商品氧化锌含锌)及其他锌。</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342" w:hRule="atLeast"/>
          <w:jc w:val="center"/>
        </w:trPr>
        <w:tc>
          <w:tcPr>
            <w:tcW w:w="653" w:type="dxa"/>
            <w:gridSpan w:val="2"/>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205</w:t>
            </w:r>
          </w:p>
        </w:tc>
        <w:tc>
          <w:tcPr>
            <w:tcW w:w="2777"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精锡冶炼</w:t>
            </w:r>
          </w:p>
        </w:tc>
        <w:tc>
          <w:tcPr>
            <w:tcW w:w="1252"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吨/年</w:t>
            </w:r>
          </w:p>
        </w:tc>
        <w:tc>
          <w:tcPr>
            <w:tcW w:w="4785" w:type="dxa"/>
            <w:noWrap w:val="0"/>
            <w:vAlign w:val="top"/>
          </w:tcPr>
          <w:p>
            <w:pPr>
              <w:keepNext w:val="0"/>
              <w:keepLines w:val="0"/>
              <w:widowControl/>
              <w:suppressLineNumbers w:val="0"/>
              <w:spacing w:before="0" w:beforeAutospacing="0" w:after="0" w:afterAutospacing="0"/>
              <w:ind w:left="0" w:right="0"/>
              <w:rPr>
                <w:rFonts w:hint="default" w:ascii="宋体" w:hAnsi="宋体" w:cs="宋体"/>
                <w:color w:val="auto"/>
                <w:kern w:val="0"/>
                <w:sz w:val="18"/>
                <w:szCs w:val="18"/>
              </w:rPr>
            </w:pPr>
            <w:r>
              <w:rPr>
                <w:rFonts w:hint="eastAsia" w:ascii="宋体" w:hAnsi="宋体" w:cs="宋体"/>
                <w:color w:val="auto"/>
                <w:kern w:val="0"/>
                <w:sz w:val="18"/>
                <w:szCs w:val="18"/>
              </w:rPr>
              <w:t>锡冶炼有火法和湿法两种冶炼方法。目前主要采用火法炼锡，是指对锡精矿等矿山原料进行还原熔炼、精炼、产出精锡（锡锭）和锡铅焊料等产品。</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304" w:hRule="atLeast"/>
          <w:jc w:val="center"/>
        </w:trPr>
        <w:tc>
          <w:tcPr>
            <w:tcW w:w="653" w:type="dxa"/>
            <w:gridSpan w:val="2"/>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215</w:t>
            </w:r>
          </w:p>
        </w:tc>
        <w:tc>
          <w:tcPr>
            <w:tcW w:w="2777" w:type="dxa"/>
            <w:noWrap w:val="0"/>
            <w:vAlign w:val="top"/>
          </w:tcPr>
          <w:p>
            <w:pPr>
              <w:keepNext w:val="0"/>
              <w:keepLines w:val="0"/>
              <w:widowControl/>
              <w:suppressLineNumbers w:val="0"/>
              <w:spacing w:before="0" w:beforeAutospacing="0" w:after="0" w:afterAutospacing="0" w:line="240" w:lineRule="exact"/>
              <w:ind w:left="0" w:right="0"/>
              <w:jc w:val="left"/>
              <w:rPr>
                <w:rFonts w:hint="default" w:ascii="宋体" w:hAnsi="宋体" w:cs="宋体"/>
                <w:color w:val="auto"/>
                <w:kern w:val="0"/>
                <w:sz w:val="18"/>
                <w:szCs w:val="18"/>
              </w:rPr>
            </w:pPr>
            <w:r>
              <w:rPr>
                <w:rFonts w:hint="eastAsia" w:ascii="宋体" w:hAnsi="宋体" w:cs="宋体"/>
                <w:color w:val="auto"/>
                <w:kern w:val="0"/>
                <w:sz w:val="18"/>
                <w:szCs w:val="18"/>
              </w:rPr>
              <w:t>镍冶炼：（1）高冰镍</w:t>
            </w:r>
          </w:p>
        </w:tc>
        <w:tc>
          <w:tcPr>
            <w:tcW w:w="1252" w:type="dxa"/>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吨/年</w:t>
            </w:r>
          </w:p>
        </w:tc>
        <w:tc>
          <w:tcPr>
            <w:tcW w:w="4785"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指对镍精矿等矿山原料进行熔炼、吹炼，产出的高冰镍。</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71" w:hRule="atLeast"/>
          <w:jc w:val="center"/>
        </w:trPr>
        <w:tc>
          <w:tcPr>
            <w:tcW w:w="653" w:type="dxa"/>
            <w:gridSpan w:val="2"/>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216</w:t>
            </w:r>
          </w:p>
        </w:tc>
        <w:tc>
          <w:tcPr>
            <w:tcW w:w="2777" w:type="dxa"/>
            <w:noWrap w:val="0"/>
            <w:vAlign w:val="top"/>
          </w:tcPr>
          <w:p>
            <w:pPr>
              <w:keepNext w:val="0"/>
              <w:keepLines w:val="0"/>
              <w:widowControl/>
              <w:suppressLineNumbers w:val="0"/>
              <w:spacing w:before="0" w:beforeAutospacing="0" w:after="0" w:afterAutospacing="0" w:line="240" w:lineRule="exact"/>
              <w:ind w:left="0" w:right="0"/>
              <w:jc w:val="left"/>
              <w:rPr>
                <w:rFonts w:hint="default" w:ascii="宋体" w:hAnsi="宋体" w:cs="宋体"/>
                <w:color w:val="auto"/>
                <w:kern w:val="0"/>
                <w:sz w:val="18"/>
                <w:szCs w:val="18"/>
              </w:rPr>
            </w:pPr>
            <w:r>
              <w:rPr>
                <w:rFonts w:hint="eastAsia" w:ascii="宋体" w:hAnsi="宋体" w:cs="宋体"/>
                <w:color w:val="auto"/>
                <w:kern w:val="0"/>
                <w:sz w:val="18"/>
                <w:szCs w:val="18"/>
              </w:rPr>
              <w:t xml:space="preserve">        （2）电解镍</w:t>
            </w:r>
          </w:p>
        </w:tc>
        <w:tc>
          <w:tcPr>
            <w:tcW w:w="1252" w:type="dxa"/>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吨/年</w:t>
            </w:r>
          </w:p>
        </w:tc>
        <w:tc>
          <w:tcPr>
            <w:tcW w:w="4785"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spacing w:val="4"/>
                <w:kern w:val="0"/>
                <w:sz w:val="18"/>
                <w:szCs w:val="18"/>
              </w:rPr>
            </w:pPr>
            <w:r>
              <w:rPr>
                <w:rFonts w:hint="eastAsia" w:ascii="宋体" w:hAnsi="宋体" w:cs="宋体"/>
                <w:color w:val="auto"/>
                <w:spacing w:val="4"/>
                <w:kern w:val="0"/>
                <w:sz w:val="18"/>
                <w:szCs w:val="18"/>
              </w:rPr>
              <w:t>指对镍精矿等矿山原料进行熔炼、吹炼、提炼、电解，产出电镍。不包括用红土镍矿作原料生产的镍铁合金产品能力。</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042" w:hRule="atLeast"/>
          <w:jc w:val="center"/>
        </w:trPr>
        <w:tc>
          <w:tcPr>
            <w:tcW w:w="653" w:type="dxa"/>
            <w:gridSpan w:val="2"/>
            <w:tcBorders>
              <w:bottom w:val="single" w:color="000000" w:sz="2" w:space="0"/>
            </w:tcBorders>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232</w:t>
            </w:r>
          </w:p>
        </w:tc>
        <w:tc>
          <w:tcPr>
            <w:tcW w:w="2777" w:type="dxa"/>
            <w:tcBorders>
              <w:bottom w:val="single" w:color="000000" w:sz="2" w:space="0"/>
            </w:tcBorders>
            <w:noWrap w:val="0"/>
            <w:vAlign w:val="top"/>
          </w:tcPr>
          <w:p>
            <w:pPr>
              <w:keepNext w:val="0"/>
              <w:keepLines w:val="0"/>
              <w:widowControl/>
              <w:suppressLineNumbers w:val="0"/>
              <w:spacing w:before="0" w:beforeAutospacing="0" w:after="0" w:afterAutospacing="0" w:line="240" w:lineRule="exact"/>
              <w:ind w:left="0" w:right="0"/>
              <w:jc w:val="left"/>
              <w:rPr>
                <w:rFonts w:hint="default" w:ascii="宋体" w:hAnsi="宋体" w:cs="宋体"/>
                <w:color w:val="auto"/>
                <w:kern w:val="0"/>
                <w:sz w:val="18"/>
                <w:szCs w:val="18"/>
              </w:rPr>
            </w:pPr>
            <w:r>
              <w:rPr>
                <w:rFonts w:hint="eastAsia" w:ascii="宋体" w:hAnsi="宋体" w:cs="宋体"/>
                <w:color w:val="auto"/>
                <w:kern w:val="0"/>
                <w:sz w:val="18"/>
                <w:szCs w:val="18"/>
              </w:rPr>
              <w:t>氧化铝</w:t>
            </w:r>
          </w:p>
        </w:tc>
        <w:tc>
          <w:tcPr>
            <w:tcW w:w="1252" w:type="dxa"/>
            <w:tcBorders>
              <w:bottom w:val="single" w:color="000000" w:sz="2" w:space="0"/>
            </w:tcBorders>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吨/年</w:t>
            </w:r>
          </w:p>
        </w:tc>
        <w:tc>
          <w:tcPr>
            <w:tcW w:w="4785" w:type="dxa"/>
            <w:tcBorders>
              <w:bottom w:val="single" w:color="000000" w:sz="2" w:space="0"/>
            </w:tcBorders>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指用铝土矿作原料，采用拜耳法、烧结法及联合法（通称碱法）经烧结或稀释、分离、分解产出氢氧化铝，再经焙烧产出的氧化铝。</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028" w:hRule="atLeast"/>
          <w:jc w:val="center"/>
        </w:trPr>
        <w:tc>
          <w:tcPr>
            <w:tcW w:w="653" w:type="dxa"/>
            <w:gridSpan w:val="2"/>
            <w:tcBorders>
              <w:top w:val="single" w:color="000000" w:sz="2" w:space="0"/>
            </w:tcBorders>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233</w:t>
            </w:r>
          </w:p>
        </w:tc>
        <w:tc>
          <w:tcPr>
            <w:tcW w:w="2777" w:type="dxa"/>
            <w:tcBorders>
              <w:top w:val="single" w:color="000000" w:sz="2" w:space="0"/>
            </w:tcBorders>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原铝（电解铝）</w:t>
            </w:r>
          </w:p>
        </w:tc>
        <w:tc>
          <w:tcPr>
            <w:tcW w:w="1252" w:type="dxa"/>
            <w:tcBorders>
              <w:top w:val="single" w:color="000000" w:sz="2" w:space="0"/>
            </w:tcBorders>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吨/年</w:t>
            </w:r>
          </w:p>
        </w:tc>
        <w:tc>
          <w:tcPr>
            <w:tcW w:w="4785" w:type="dxa"/>
            <w:tcBorders>
              <w:top w:val="single" w:color="000000" w:sz="2" w:space="0"/>
            </w:tcBorders>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指用氧化铝作原料经电解槽电解，产出铝液，经铸造成重熔用铝锭或各种铝合金锭或铝加工材坯料。原铝能力可采用原铝液量计量。</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307" w:hRule="atLeast"/>
          <w:jc w:val="center"/>
        </w:trPr>
        <w:tc>
          <w:tcPr>
            <w:tcW w:w="653" w:type="dxa"/>
            <w:gridSpan w:val="2"/>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234</w:t>
            </w:r>
          </w:p>
        </w:tc>
        <w:tc>
          <w:tcPr>
            <w:tcW w:w="2777" w:type="dxa"/>
            <w:noWrap w:val="0"/>
            <w:vAlign w:val="top"/>
          </w:tcPr>
          <w:p>
            <w:pPr>
              <w:keepNext w:val="0"/>
              <w:keepLines w:val="0"/>
              <w:widowControl/>
              <w:suppressLineNumbers w:val="0"/>
              <w:spacing w:before="0" w:beforeAutospacing="0" w:after="0" w:afterAutospacing="0" w:line="240" w:lineRule="exact"/>
              <w:ind w:left="0" w:right="0"/>
              <w:jc w:val="left"/>
              <w:rPr>
                <w:rFonts w:hint="default" w:ascii="宋体" w:hAnsi="宋体" w:cs="宋体"/>
                <w:color w:val="auto"/>
                <w:kern w:val="0"/>
                <w:sz w:val="18"/>
                <w:szCs w:val="18"/>
              </w:rPr>
            </w:pPr>
            <w:r>
              <w:rPr>
                <w:rFonts w:hint="eastAsia" w:ascii="宋体" w:hAnsi="宋体" w:cs="宋体"/>
                <w:color w:val="auto"/>
                <w:kern w:val="0"/>
                <w:sz w:val="18"/>
                <w:szCs w:val="18"/>
              </w:rPr>
              <w:t>铝加工材</w:t>
            </w:r>
          </w:p>
        </w:tc>
        <w:tc>
          <w:tcPr>
            <w:tcW w:w="1252" w:type="dxa"/>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吨/年</w:t>
            </w:r>
          </w:p>
        </w:tc>
        <w:tc>
          <w:tcPr>
            <w:tcW w:w="4785"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指铝及铝合金经压力加工（如轧制、挤压、拉伸、锻造、冲压等工艺）变成各种不同形状、不同规格的铝材。包括铝板材、带材、箔材、型材、棒材、排材、模锻件、自由锻件、铝盘条（中间产品，直径为9.0～20.0mm）</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1252" w:hRule="atLeast"/>
          <w:jc w:val="center"/>
        </w:trPr>
        <w:tc>
          <w:tcPr>
            <w:tcW w:w="653" w:type="dxa"/>
            <w:gridSpan w:val="2"/>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235</w:t>
            </w:r>
          </w:p>
        </w:tc>
        <w:tc>
          <w:tcPr>
            <w:tcW w:w="2777" w:type="dxa"/>
            <w:noWrap w:val="0"/>
            <w:vAlign w:val="top"/>
          </w:tcPr>
          <w:p>
            <w:pPr>
              <w:keepNext w:val="0"/>
              <w:keepLines w:val="0"/>
              <w:widowControl/>
              <w:suppressLineNumbers w:val="0"/>
              <w:spacing w:before="0" w:beforeAutospacing="0" w:after="0" w:afterAutospacing="0" w:line="240" w:lineRule="exact"/>
              <w:ind w:left="0" w:right="0"/>
              <w:jc w:val="left"/>
              <w:rPr>
                <w:rFonts w:hint="default" w:ascii="宋体" w:hAnsi="宋体" w:cs="宋体"/>
                <w:color w:val="auto"/>
                <w:kern w:val="0"/>
                <w:sz w:val="18"/>
                <w:szCs w:val="18"/>
              </w:rPr>
            </w:pPr>
            <w:r>
              <w:rPr>
                <w:rFonts w:hint="eastAsia" w:ascii="宋体" w:hAnsi="宋体" w:cs="宋体"/>
                <w:color w:val="auto"/>
                <w:kern w:val="0"/>
                <w:sz w:val="18"/>
                <w:szCs w:val="18"/>
              </w:rPr>
              <w:t>铜加工材</w:t>
            </w:r>
          </w:p>
        </w:tc>
        <w:tc>
          <w:tcPr>
            <w:tcW w:w="1252" w:type="dxa"/>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吨/年</w:t>
            </w:r>
          </w:p>
        </w:tc>
        <w:tc>
          <w:tcPr>
            <w:tcW w:w="4785"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指用冷、热塑性变形方法如挤压、锻造、轧制或拉伸等工艺生产出的板材、带材、箔材、管材、棒材、线材、型材、锻件、铜盘条（光亮杆或线坯，属中间产品）等。</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941" w:hRule="atLeast"/>
          <w:jc w:val="center"/>
        </w:trPr>
        <w:tc>
          <w:tcPr>
            <w:tcW w:w="653" w:type="dxa"/>
            <w:gridSpan w:val="2"/>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265</w:t>
            </w:r>
          </w:p>
        </w:tc>
        <w:tc>
          <w:tcPr>
            <w:tcW w:w="2777" w:type="dxa"/>
            <w:noWrap w:val="0"/>
            <w:vAlign w:val="top"/>
          </w:tcPr>
          <w:p>
            <w:pPr>
              <w:keepNext w:val="0"/>
              <w:keepLines w:val="0"/>
              <w:widowControl/>
              <w:suppressLineNumbers w:val="0"/>
              <w:spacing w:before="0" w:beforeAutospacing="0" w:after="0" w:afterAutospacing="0" w:line="240" w:lineRule="exact"/>
              <w:ind w:left="0" w:right="0"/>
              <w:jc w:val="left"/>
              <w:rPr>
                <w:rFonts w:hint="default" w:ascii="宋体" w:hAnsi="宋体" w:cs="宋体"/>
                <w:color w:val="auto"/>
                <w:kern w:val="0"/>
                <w:sz w:val="18"/>
                <w:szCs w:val="18"/>
              </w:rPr>
            </w:pPr>
            <w:r>
              <w:rPr>
                <w:rFonts w:hint="eastAsia" w:ascii="宋体" w:hAnsi="宋体" w:cs="宋体"/>
                <w:color w:val="auto"/>
                <w:kern w:val="0"/>
                <w:sz w:val="18"/>
                <w:szCs w:val="18"/>
              </w:rPr>
              <w:t>黄金</w:t>
            </w:r>
          </w:p>
        </w:tc>
        <w:tc>
          <w:tcPr>
            <w:tcW w:w="1252" w:type="dxa"/>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公斤/年</w:t>
            </w:r>
          </w:p>
        </w:tc>
        <w:tc>
          <w:tcPr>
            <w:tcW w:w="4785"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指成品金，不包括金精(块)矿的含量，铜精矿及其他产品的含量；也不包括人民银行的附属冶炼厂进一步提纯的黄金。</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630" w:hRule="atLeast"/>
          <w:jc w:val="center"/>
        </w:trPr>
        <w:tc>
          <w:tcPr>
            <w:tcW w:w="653" w:type="dxa"/>
            <w:gridSpan w:val="2"/>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274</w:t>
            </w:r>
          </w:p>
        </w:tc>
        <w:tc>
          <w:tcPr>
            <w:tcW w:w="2777"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银选矿(银含量)</w:t>
            </w:r>
          </w:p>
        </w:tc>
        <w:tc>
          <w:tcPr>
            <w:tcW w:w="1252" w:type="dxa"/>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公斤/年</w:t>
            </w:r>
          </w:p>
        </w:tc>
        <w:tc>
          <w:tcPr>
            <w:tcW w:w="4785"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　</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454" w:hRule="exact"/>
          <w:jc w:val="center"/>
        </w:trPr>
        <w:tc>
          <w:tcPr>
            <w:tcW w:w="653" w:type="dxa"/>
            <w:gridSpan w:val="2"/>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301</w:t>
            </w:r>
          </w:p>
        </w:tc>
        <w:tc>
          <w:tcPr>
            <w:tcW w:w="2777"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水泥</w:t>
            </w:r>
          </w:p>
        </w:tc>
        <w:tc>
          <w:tcPr>
            <w:tcW w:w="1252" w:type="dxa"/>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万吨/年</w:t>
            </w:r>
          </w:p>
        </w:tc>
        <w:tc>
          <w:tcPr>
            <w:tcW w:w="4785"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指有熟料的水泥。</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609" w:hRule="atLeast"/>
          <w:jc w:val="center"/>
        </w:trPr>
        <w:tc>
          <w:tcPr>
            <w:tcW w:w="653" w:type="dxa"/>
            <w:gridSpan w:val="2"/>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302</w:t>
            </w:r>
          </w:p>
        </w:tc>
        <w:tc>
          <w:tcPr>
            <w:tcW w:w="2777"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平板玻璃</w:t>
            </w:r>
          </w:p>
        </w:tc>
        <w:tc>
          <w:tcPr>
            <w:tcW w:w="1252" w:type="dxa"/>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万重量箱/年</w:t>
            </w:r>
          </w:p>
        </w:tc>
        <w:tc>
          <w:tcPr>
            <w:tcW w:w="4785"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包括垂直引上平板玻璃、平拉平板玻璃、普通平板玻璃、制版玻璃、浮法平板玻璃及其他平板玻璃。</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938" w:hRule="exact"/>
          <w:jc w:val="center"/>
        </w:trPr>
        <w:tc>
          <w:tcPr>
            <w:tcW w:w="653" w:type="dxa"/>
            <w:gridSpan w:val="2"/>
            <w:noWrap w:val="0"/>
            <w:vAlign w:val="top"/>
          </w:tcPr>
          <w:p>
            <w:pPr>
              <w:keepNext w:val="0"/>
              <w:keepLines w:val="0"/>
              <w:widowControl/>
              <w:suppressLineNumbers w:val="0"/>
              <w:spacing w:before="0" w:beforeAutospacing="0" w:after="0" w:afterAutospacing="0" w:line="240" w:lineRule="exact"/>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　</w:t>
            </w:r>
          </w:p>
        </w:tc>
        <w:tc>
          <w:tcPr>
            <w:tcW w:w="2777" w:type="dxa"/>
            <w:noWrap w:val="0"/>
            <w:vAlign w:val="top"/>
          </w:tcPr>
          <w:p>
            <w:pPr>
              <w:keepNext w:val="0"/>
              <w:keepLines w:val="0"/>
              <w:widowControl/>
              <w:suppressLineNumbers w:val="0"/>
              <w:spacing w:before="0" w:beforeAutospacing="0" w:after="0" w:afterAutospacing="0" w:line="240" w:lineRule="exact"/>
              <w:ind w:left="0" w:right="0"/>
              <w:rPr>
                <w:rFonts w:hint="eastAsia" w:ascii="宋体" w:hAnsi="宋体" w:cs="宋体"/>
                <w:color w:val="auto"/>
                <w:kern w:val="0"/>
                <w:sz w:val="18"/>
                <w:szCs w:val="18"/>
              </w:rPr>
            </w:pPr>
            <w:r>
              <w:rPr>
                <w:rFonts w:hint="eastAsia" w:ascii="宋体" w:hAnsi="宋体" w:cs="宋体"/>
                <w:color w:val="auto"/>
                <w:kern w:val="0"/>
                <w:sz w:val="18"/>
                <w:szCs w:val="18"/>
              </w:rPr>
              <w:t>汽车制造</w:t>
            </w:r>
          </w:p>
        </w:tc>
        <w:tc>
          <w:tcPr>
            <w:tcW w:w="1252" w:type="dxa"/>
            <w:noWrap w:val="0"/>
            <w:vAlign w:val="top"/>
          </w:tcPr>
          <w:p>
            <w:pPr>
              <w:keepNext w:val="0"/>
              <w:keepLines w:val="0"/>
              <w:widowControl/>
              <w:suppressLineNumbers w:val="0"/>
              <w:spacing w:before="0" w:beforeAutospacing="0" w:after="0" w:afterAutospacing="0" w:line="240" w:lineRule="exact"/>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辆/年</w:t>
            </w:r>
          </w:p>
        </w:tc>
        <w:tc>
          <w:tcPr>
            <w:tcW w:w="4785" w:type="dxa"/>
            <w:noWrap w:val="0"/>
            <w:vAlign w:val="top"/>
          </w:tcPr>
          <w:p>
            <w:pPr>
              <w:keepNext w:val="0"/>
              <w:keepLines w:val="0"/>
              <w:widowControl/>
              <w:suppressLineNumbers w:val="0"/>
              <w:spacing w:before="0" w:beforeAutospacing="0" w:after="0" w:afterAutospacing="0" w:line="240" w:lineRule="exact"/>
              <w:ind w:left="0" w:right="0"/>
              <w:rPr>
                <w:rFonts w:hint="eastAsia" w:ascii="宋体" w:hAnsi="宋体" w:cs="宋体"/>
                <w:color w:val="auto"/>
                <w:kern w:val="0"/>
                <w:sz w:val="18"/>
                <w:szCs w:val="18"/>
              </w:rPr>
            </w:pPr>
            <w:r>
              <w:rPr>
                <w:rFonts w:hint="eastAsia" w:ascii="宋体" w:hAnsi="宋体" w:cs="宋体"/>
                <w:color w:val="auto"/>
                <w:kern w:val="0"/>
                <w:sz w:val="18"/>
                <w:szCs w:val="18"/>
              </w:rPr>
              <w:t>包括汽油汽车、柴油汽车、其他能源汽车、载货汽车、越野汽车、自卸汽车、牵引汽车、专用汽车、客车、轿车和其他汽车。</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931" w:hRule="exact"/>
          <w:jc w:val="center"/>
        </w:trPr>
        <w:tc>
          <w:tcPr>
            <w:tcW w:w="653" w:type="dxa"/>
            <w:gridSpan w:val="2"/>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418</w:t>
            </w:r>
          </w:p>
        </w:tc>
        <w:tc>
          <w:tcPr>
            <w:tcW w:w="2777"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 xml:space="preserve">  载货汽车制造</w:t>
            </w:r>
          </w:p>
        </w:tc>
        <w:tc>
          <w:tcPr>
            <w:tcW w:w="1252" w:type="dxa"/>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辆/年</w:t>
            </w:r>
          </w:p>
        </w:tc>
        <w:tc>
          <w:tcPr>
            <w:tcW w:w="4785"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主要用于运送货物，有的也可以牵引全挂车的汽车。包括微型货车、轻型货车、中型货车、重型货车和其他货车。以整车计算(包括汽车底盘)。</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97" w:hRule="exact"/>
          <w:jc w:val="center"/>
        </w:trPr>
        <w:tc>
          <w:tcPr>
            <w:tcW w:w="653" w:type="dxa"/>
            <w:gridSpan w:val="2"/>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809</w:t>
            </w:r>
          </w:p>
        </w:tc>
        <w:tc>
          <w:tcPr>
            <w:tcW w:w="2777"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 xml:space="preserve">  客车制造</w:t>
            </w:r>
          </w:p>
        </w:tc>
        <w:tc>
          <w:tcPr>
            <w:tcW w:w="1252" w:type="dxa"/>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辆/年</w:t>
            </w:r>
          </w:p>
        </w:tc>
        <w:tc>
          <w:tcPr>
            <w:tcW w:w="4785"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包括大型客车、中型客车、轻型客车、微型客车。</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269" w:hRule="atLeast"/>
          <w:jc w:val="center"/>
        </w:trPr>
        <w:tc>
          <w:tcPr>
            <w:tcW w:w="653" w:type="dxa"/>
            <w:gridSpan w:val="2"/>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419</w:t>
            </w:r>
          </w:p>
        </w:tc>
        <w:tc>
          <w:tcPr>
            <w:tcW w:w="2777"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 xml:space="preserve">  轿车制造</w:t>
            </w:r>
          </w:p>
        </w:tc>
        <w:tc>
          <w:tcPr>
            <w:tcW w:w="1252" w:type="dxa"/>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辆/年</w:t>
            </w:r>
          </w:p>
        </w:tc>
        <w:tc>
          <w:tcPr>
            <w:tcW w:w="4785"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包括微型轿车、普通型轿车、中级轿车、中高级轿车、高级轿车、四轮驱动轿车、越野车和其他轿车。</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598" w:hRule="atLeast"/>
          <w:jc w:val="center"/>
        </w:trPr>
        <w:tc>
          <w:tcPr>
            <w:tcW w:w="653" w:type="dxa"/>
            <w:gridSpan w:val="2"/>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420</w:t>
            </w:r>
          </w:p>
        </w:tc>
        <w:tc>
          <w:tcPr>
            <w:tcW w:w="2777"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 xml:space="preserve">  其他汽车制造</w:t>
            </w:r>
          </w:p>
        </w:tc>
        <w:tc>
          <w:tcPr>
            <w:tcW w:w="1252" w:type="dxa"/>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辆/年</w:t>
            </w:r>
          </w:p>
        </w:tc>
        <w:tc>
          <w:tcPr>
            <w:tcW w:w="4785"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包括自卸汽车、牵引汽车、专用汽车、半挂车等，以整车计算。</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trHeight w:val="734" w:hRule="atLeast"/>
          <w:jc w:val="center"/>
        </w:trPr>
        <w:tc>
          <w:tcPr>
            <w:tcW w:w="653" w:type="dxa"/>
            <w:gridSpan w:val="2"/>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521</w:t>
            </w:r>
          </w:p>
        </w:tc>
        <w:tc>
          <w:tcPr>
            <w:tcW w:w="2777"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机制纸浆</w:t>
            </w:r>
          </w:p>
        </w:tc>
        <w:tc>
          <w:tcPr>
            <w:tcW w:w="1252" w:type="dxa"/>
            <w:noWrap w:val="0"/>
            <w:vAlign w:val="top"/>
          </w:tcPr>
          <w:p>
            <w:pPr>
              <w:keepNext w:val="0"/>
              <w:keepLines w:val="0"/>
              <w:widowControl/>
              <w:suppressLineNumbers w:val="0"/>
              <w:spacing w:before="0" w:beforeAutospacing="0" w:after="0" w:afterAutospacing="0" w:line="240" w:lineRule="exact"/>
              <w:ind w:left="0" w:right="0"/>
              <w:jc w:val="center"/>
              <w:rPr>
                <w:rFonts w:hint="default" w:ascii="宋体" w:hAnsi="宋体" w:cs="宋体"/>
                <w:color w:val="auto"/>
                <w:kern w:val="0"/>
                <w:sz w:val="18"/>
                <w:szCs w:val="18"/>
              </w:rPr>
            </w:pPr>
            <w:r>
              <w:rPr>
                <w:rFonts w:hint="eastAsia" w:ascii="宋体" w:hAnsi="宋体" w:cs="宋体"/>
                <w:color w:val="auto"/>
                <w:kern w:val="0"/>
                <w:sz w:val="18"/>
                <w:szCs w:val="18"/>
              </w:rPr>
              <w:t>万吨/年</w:t>
            </w:r>
          </w:p>
        </w:tc>
        <w:tc>
          <w:tcPr>
            <w:tcW w:w="4785" w:type="dxa"/>
            <w:noWrap w:val="0"/>
            <w:vAlign w:val="top"/>
          </w:tcPr>
          <w:p>
            <w:pPr>
              <w:keepNext w:val="0"/>
              <w:keepLines w:val="0"/>
              <w:widowControl/>
              <w:suppressLineNumbers w:val="0"/>
              <w:spacing w:before="0" w:beforeAutospacing="0" w:after="0" w:afterAutospacing="0" w:line="240" w:lineRule="exact"/>
              <w:ind w:left="0" w:right="0"/>
              <w:rPr>
                <w:rFonts w:hint="default" w:ascii="宋体" w:hAnsi="宋体" w:cs="宋体"/>
                <w:color w:val="auto"/>
                <w:kern w:val="0"/>
                <w:sz w:val="18"/>
                <w:szCs w:val="18"/>
              </w:rPr>
            </w:pPr>
            <w:r>
              <w:rPr>
                <w:rFonts w:hint="eastAsia" w:ascii="宋体" w:hAnsi="宋体" w:cs="宋体"/>
                <w:color w:val="auto"/>
                <w:kern w:val="0"/>
                <w:sz w:val="18"/>
                <w:szCs w:val="18"/>
              </w:rPr>
              <w:t>指纤维原料经过蒸煮设备或磨木设备，采用化学、机械方法处理后，再经筛洗过程而制成的纸浆。</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gridBefore w:val="1"/>
          <w:wBefore w:w="28" w:type="dxa"/>
          <w:trHeight w:val="285" w:hRule="atLeast"/>
          <w:jc w:val="center"/>
        </w:trPr>
        <w:tc>
          <w:tcPr>
            <w:tcW w:w="625" w:type="dxa"/>
            <w:tcBorders>
              <w:top w:val="nil"/>
              <w:bottom w:val="nil"/>
            </w:tcBorders>
            <w:noWrap w:val="0"/>
            <w:vAlign w:val="top"/>
          </w:tcPr>
          <w:p>
            <w:pPr>
              <w:keepNext w:val="0"/>
              <w:keepLines w:val="0"/>
              <w:widowControl/>
              <w:suppressLineNumbers w:val="0"/>
              <w:spacing w:before="0" w:beforeAutospacing="0" w:after="0" w:afterAutospacing="0" w:line="240" w:lineRule="exact"/>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661</w:t>
            </w:r>
          </w:p>
        </w:tc>
        <w:tc>
          <w:tcPr>
            <w:tcW w:w="2777" w:type="dxa"/>
            <w:tcBorders>
              <w:top w:val="nil"/>
              <w:bottom w:val="nil"/>
            </w:tcBorders>
            <w:noWrap w:val="0"/>
            <w:vAlign w:val="top"/>
          </w:tcPr>
          <w:p>
            <w:pPr>
              <w:keepNext w:val="0"/>
              <w:keepLines w:val="0"/>
              <w:widowControl/>
              <w:suppressLineNumbers w:val="0"/>
              <w:spacing w:before="0" w:beforeAutospacing="0" w:after="0" w:afterAutospacing="0" w:line="240" w:lineRule="exact"/>
              <w:ind w:left="0" w:right="0"/>
              <w:rPr>
                <w:rFonts w:hint="eastAsia" w:ascii="宋体" w:hAnsi="宋体" w:cs="宋体"/>
                <w:color w:val="auto"/>
                <w:kern w:val="0"/>
                <w:sz w:val="18"/>
                <w:szCs w:val="18"/>
              </w:rPr>
            </w:pPr>
            <w:r>
              <w:rPr>
                <w:rFonts w:hint="eastAsia" w:ascii="宋体" w:hAnsi="宋体" w:cs="宋体"/>
                <w:color w:val="auto"/>
                <w:kern w:val="0"/>
                <w:sz w:val="18"/>
                <w:szCs w:val="18"/>
              </w:rPr>
              <w:t>城市自来水供水能力</w:t>
            </w:r>
          </w:p>
        </w:tc>
        <w:tc>
          <w:tcPr>
            <w:tcW w:w="1252" w:type="dxa"/>
            <w:tcBorders>
              <w:top w:val="nil"/>
              <w:bottom w:val="nil"/>
            </w:tcBorders>
            <w:noWrap w:val="0"/>
            <w:vAlign w:val="top"/>
          </w:tcPr>
          <w:p>
            <w:pPr>
              <w:keepNext w:val="0"/>
              <w:keepLines w:val="0"/>
              <w:widowControl/>
              <w:suppressLineNumbers w:val="0"/>
              <w:spacing w:before="0" w:beforeAutospacing="0" w:after="0" w:afterAutospacing="0" w:line="240" w:lineRule="exact"/>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万吨/日</w:t>
            </w:r>
          </w:p>
        </w:tc>
        <w:tc>
          <w:tcPr>
            <w:tcW w:w="4785" w:type="dxa"/>
            <w:tcBorders>
              <w:top w:val="nil"/>
              <w:bottom w:val="nil"/>
            </w:tcBorders>
            <w:noWrap w:val="0"/>
            <w:vAlign w:val="top"/>
          </w:tcPr>
          <w:p>
            <w:pPr>
              <w:keepNext w:val="0"/>
              <w:keepLines w:val="0"/>
              <w:widowControl/>
              <w:suppressLineNumbers w:val="0"/>
              <w:spacing w:before="0" w:beforeAutospacing="0" w:after="0" w:afterAutospacing="0" w:line="240" w:lineRule="exact"/>
              <w:ind w:left="0" w:right="0"/>
              <w:rPr>
                <w:rFonts w:hint="eastAsia" w:ascii="宋体" w:hAnsi="宋体" w:cs="宋体"/>
                <w:color w:val="auto"/>
                <w:kern w:val="0"/>
                <w:sz w:val="18"/>
                <w:szCs w:val="18"/>
              </w:rPr>
            </w:pPr>
            <w:r>
              <w:rPr>
                <w:rFonts w:hint="eastAsia" w:ascii="宋体" w:hAnsi="宋体" w:cs="宋体"/>
                <w:color w:val="auto"/>
                <w:kern w:val="0"/>
                <w:sz w:val="18"/>
                <w:szCs w:val="18"/>
              </w:rPr>
              <w:t>　</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2" w:space="0"/>
          </w:tblBorders>
          <w:tblCellMar>
            <w:top w:w="0" w:type="dxa"/>
            <w:left w:w="108" w:type="dxa"/>
            <w:bottom w:w="0" w:type="dxa"/>
            <w:right w:w="108" w:type="dxa"/>
          </w:tblCellMar>
        </w:tblPrEx>
        <w:trPr>
          <w:gridBefore w:val="1"/>
          <w:wBefore w:w="28" w:type="dxa"/>
          <w:trHeight w:val="285" w:hRule="atLeast"/>
          <w:jc w:val="center"/>
        </w:trPr>
        <w:tc>
          <w:tcPr>
            <w:tcW w:w="625" w:type="dxa"/>
            <w:tcBorders>
              <w:top w:val="nil"/>
              <w:bottom w:val="single" w:color="auto" w:sz="8" w:space="0"/>
            </w:tcBorders>
            <w:noWrap w:val="0"/>
            <w:vAlign w:val="top"/>
          </w:tcPr>
          <w:p>
            <w:pPr>
              <w:keepNext w:val="0"/>
              <w:keepLines w:val="0"/>
              <w:widowControl/>
              <w:suppressLineNumbers w:val="0"/>
              <w:spacing w:before="0" w:beforeAutospacing="0" w:after="0" w:afterAutospacing="0" w:line="240" w:lineRule="exact"/>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675</w:t>
            </w:r>
          </w:p>
        </w:tc>
        <w:tc>
          <w:tcPr>
            <w:tcW w:w="2777" w:type="dxa"/>
            <w:tcBorders>
              <w:top w:val="nil"/>
              <w:bottom w:val="single" w:color="auto" w:sz="8" w:space="0"/>
            </w:tcBorders>
            <w:noWrap w:val="0"/>
            <w:vAlign w:val="top"/>
          </w:tcPr>
          <w:p>
            <w:pPr>
              <w:keepNext w:val="0"/>
              <w:keepLines w:val="0"/>
              <w:widowControl/>
              <w:suppressLineNumbers w:val="0"/>
              <w:spacing w:before="0" w:beforeAutospacing="0" w:after="0" w:afterAutospacing="0" w:line="240" w:lineRule="exact"/>
              <w:ind w:left="0" w:right="0"/>
              <w:rPr>
                <w:rFonts w:hint="eastAsia" w:ascii="宋体" w:hAnsi="宋体" w:cs="宋体"/>
                <w:color w:val="auto"/>
                <w:kern w:val="0"/>
                <w:sz w:val="18"/>
                <w:szCs w:val="18"/>
              </w:rPr>
            </w:pPr>
            <w:r>
              <w:rPr>
                <w:rFonts w:hint="eastAsia" w:ascii="宋体" w:hAnsi="宋体" w:cs="宋体"/>
                <w:color w:val="auto"/>
                <w:kern w:val="0"/>
                <w:sz w:val="18"/>
                <w:szCs w:val="18"/>
              </w:rPr>
              <w:t>城市污水处理能力</w:t>
            </w:r>
          </w:p>
        </w:tc>
        <w:tc>
          <w:tcPr>
            <w:tcW w:w="1252" w:type="dxa"/>
            <w:tcBorders>
              <w:top w:val="nil"/>
              <w:bottom w:val="single" w:color="auto" w:sz="8" w:space="0"/>
            </w:tcBorders>
            <w:noWrap w:val="0"/>
            <w:vAlign w:val="top"/>
          </w:tcPr>
          <w:p>
            <w:pPr>
              <w:keepNext w:val="0"/>
              <w:keepLines w:val="0"/>
              <w:widowControl/>
              <w:suppressLineNumbers w:val="0"/>
              <w:spacing w:before="0" w:beforeAutospacing="0" w:after="0" w:afterAutospacing="0" w:line="240" w:lineRule="exact"/>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万吨/日</w:t>
            </w:r>
          </w:p>
        </w:tc>
        <w:tc>
          <w:tcPr>
            <w:tcW w:w="4785" w:type="dxa"/>
            <w:tcBorders>
              <w:top w:val="nil"/>
              <w:bottom w:val="single" w:color="auto" w:sz="8" w:space="0"/>
            </w:tcBorders>
            <w:noWrap w:val="0"/>
            <w:vAlign w:val="top"/>
          </w:tcPr>
          <w:p>
            <w:pPr>
              <w:keepNext w:val="0"/>
              <w:keepLines w:val="0"/>
              <w:widowControl/>
              <w:suppressLineNumbers w:val="0"/>
              <w:spacing w:before="0" w:beforeAutospacing="0" w:after="0" w:afterAutospacing="0" w:line="240" w:lineRule="exact"/>
              <w:ind w:left="0" w:right="0"/>
              <w:rPr>
                <w:rFonts w:hint="eastAsia" w:ascii="宋体" w:hAnsi="宋体" w:cs="宋体"/>
                <w:color w:val="auto"/>
                <w:kern w:val="0"/>
                <w:sz w:val="18"/>
                <w:szCs w:val="18"/>
              </w:rPr>
            </w:pPr>
            <w:r>
              <w:rPr>
                <w:rFonts w:hint="eastAsia" w:ascii="宋体" w:hAnsi="宋体" w:cs="宋体"/>
                <w:color w:val="auto"/>
                <w:kern w:val="0"/>
                <w:sz w:val="18"/>
                <w:szCs w:val="18"/>
              </w:rPr>
              <w:t>指污水处理厂每昼夜处理污水量的设计能力。如无设计能力时，可根据上级主管部门批准的实际核定能力计算。</w:t>
            </w:r>
          </w:p>
        </w:tc>
      </w:tr>
    </w:tbl>
    <w:p>
      <w:pPr>
        <w:rPr>
          <w:color w:val="auto"/>
        </w:rPr>
      </w:pPr>
      <w:r>
        <w:rPr>
          <w:color w:val="auto"/>
        </w:rPr>
        <w:br w:type="page"/>
      </w: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1"/>
        <w:rPr>
          <w:rFonts w:hint="eastAsia" w:ascii="黑体" w:hAnsi="黑体" w:eastAsia="黑体"/>
          <w:color w:val="auto"/>
          <w:sz w:val="28"/>
          <w:szCs w:val="28"/>
        </w:rPr>
      </w:pPr>
      <w:r>
        <w:rPr>
          <w:rFonts w:hint="eastAsia" w:ascii="黑体" w:hAnsi="黑体" w:eastAsia="黑体"/>
          <w:color w:val="auto"/>
          <w:sz w:val="28"/>
          <w:szCs w:val="28"/>
        </w:rPr>
        <w:t>（</w:t>
      </w:r>
      <w:r>
        <w:rPr>
          <w:rFonts w:hint="eastAsia" w:ascii="黑体" w:hAnsi="黑体" w:eastAsia="黑体"/>
          <w:color w:val="auto"/>
          <w:sz w:val="28"/>
          <w:szCs w:val="28"/>
          <w:lang w:eastAsia="zh-CN"/>
        </w:rPr>
        <w:t>三</w:t>
      </w:r>
      <w:r>
        <w:rPr>
          <w:rFonts w:hint="eastAsia" w:ascii="黑体" w:hAnsi="黑体" w:eastAsia="黑体"/>
          <w:color w:val="auto"/>
          <w:sz w:val="28"/>
          <w:szCs w:val="28"/>
        </w:rPr>
        <w:t>）市场主体登记注册类型与统计类别对照表</w:t>
      </w:r>
    </w:p>
    <w:tbl>
      <w:tblPr>
        <w:tblStyle w:val="21"/>
        <w:tblW w:w="8881" w:type="dxa"/>
        <w:jc w:val="center"/>
        <w:tblBorders>
          <w:top w:val="none" w:color="auto" w:sz="4" w:space="0"/>
          <w:left w:val="none" w:color="auto" w:sz="0" w:space="0"/>
          <w:bottom w:val="none" w:color="auto" w:sz="4" w:space="0"/>
          <w:right w:val="none" w:color="auto" w:sz="0" w:space="0"/>
          <w:insideH w:val="none" w:color="auto" w:sz="4" w:space="0"/>
          <w:insideV w:val="none" w:color="auto" w:sz="4" w:space="0"/>
        </w:tblBorders>
        <w:tblLayout w:type="fixed"/>
        <w:tblCellMar>
          <w:top w:w="0" w:type="dxa"/>
          <w:left w:w="108" w:type="dxa"/>
          <w:bottom w:w="0" w:type="dxa"/>
          <w:right w:w="108" w:type="dxa"/>
        </w:tblCellMar>
      </w:tblPr>
      <w:tblGrid>
        <w:gridCol w:w="676"/>
        <w:gridCol w:w="5159"/>
        <w:gridCol w:w="630"/>
        <w:gridCol w:w="2416"/>
      </w:tblGrid>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539" w:hRule="atLeast"/>
          <w:tblHeader/>
          <w:jc w:val="center"/>
        </w:trPr>
        <w:tc>
          <w:tcPr>
            <w:tcW w:w="5835" w:type="dxa"/>
            <w:gridSpan w:val="2"/>
            <w:tcBorders>
              <w:top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auto"/>
                <w:sz w:val="18"/>
                <w:szCs w:val="18"/>
              </w:rPr>
            </w:pPr>
            <w:r>
              <w:rPr>
                <w:rFonts w:hint="eastAsia" w:ascii="宋体" w:hAnsi="宋体" w:cs="宋体"/>
                <w:b/>
                <w:color w:val="auto"/>
                <w:kern w:val="0"/>
                <w:sz w:val="18"/>
                <w:szCs w:val="18"/>
                <w:lang w:bidi="ar"/>
              </w:rPr>
              <w:t>登记注册类型及代码</w:t>
            </w:r>
          </w:p>
        </w:tc>
        <w:tc>
          <w:tcPr>
            <w:tcW w:w="3046" w:type="dxa"/>
            <w:gridSpan w:val="2"/>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auto"/>
                <w:sz w:val="18"/>
                <w:szCs w:val="18"/>
              </w:rPr>
            </w:pPr>
            <w:r>
              <w:rPr>
                <w:rFonts w:hint="eastAsia" w:ascii="宋体" w:hAnsi="宋体" w:cs="宋体"/>
                <w:b/>
                <w:color w:val="auto"/>
                <w:kern w:val="0"/>
                <w:sz w:val="18"/>
                <w:szCs w:val="18"/>
                <w:lang w:bidi="ar"/>
              </w:rPr>
              <w:t>统计类别及代码</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90"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1000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内资公司</w:t>
            </w:r>
          </w:p>
        </w:tc>
        <w:tc>
          <w:tcPr>
            <w:tcW w:w="630" w:type="dxa"/>
            <w:tcBorders>
              <w:top w:val="nil"/>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宋体"/>
                <w:b/>
                <w:bCs/>
                <w:color w:val="auto"/>
                <w:sz w:val="18"/>
                <w:szCs w:val="18"/>
              </w:rPr>
            </w:pPr>
          </w:p>
        </w:tc>
        <w:tc>
          <w:tcPr>
            <w:tcW w:w="2416" w:type="dxa"/>
            <w:tcBorders>
              <w:top w:val="nil"/>
              <w:left w:val="single" w:color="000000" w:sz="4" w:space="0"/>
              <w:bottom w:val="single" w:color="000000" w:sz="4" w:space="0"/>
            </w:tcBorders>
            <w:noWrap w:val="0"/>
            <w:vAlign w:val="center"/>
          </w:tcPr>
          <w:p>
            <w:pPr>
              <w:keepNext w:val="0"/>
              <w:keepLines w:val="0"/>
              <w:suppressLineNumbers w:val="0"/>
              <w:spacing w:before="0" w:beforeAutospacing="0" w:after="0" w:afterAutospacing="0"/>
              <w:ind w:left="0" w:right="0"/>
              <w:jc w:val="left"/>
              <w:rPr>
                <w:rFonts w:hint="eastAsia" w:ascii="宋体" w:hAnsi="宋体" w:cs="宋体"/>
                <w:b/>
                <w:bCs/>
                <w:color w:val="auto"/>
                <w:sz w:val="18"/>
                <w:szCs w:val="18"/>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1100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suppressLineNumbers w:val="0"/>
              <w:spacing w:before="0" w:beforeAutospacing="0" w:after="0" w:afterAutospacing="0"/>
              <w:ind w:left="0" w:right="0"/>
              <w:jc w:val="left"/>
              <w:rPr>
                <w:rFonts w:hint="eastAsia" w:ascii="宋体" w:hAnsi="宋体" w:cs="宋体"/>
                <w:color w:val="auto"/>
                <w:sz w:val="18"/>
                <w:szCs w:val="18"/>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1110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有限责任公司(国有独资)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111</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国有独资公司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1120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有限责任公司(外商投资企业投资)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suppressLineNumbers w:val="0"/>
              <w:spacing w:before="0" w:beforeAutospacing="0" w:after="0" w:afterAutospacing="0"/>
              <w:ind w:left="0" w:right="0"/>
              <w:jc w:val="left"/>
              <w:rPr>
                <w:rFonts w:hint="eastAsia" w:ascii="宋体" w:hAnsi="宋体" w:cs="宋体"/>
                <w:color w:val="auto"/>
                <w:sz w:val="18"/>
                <w:szCs w:val="18"/>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1121</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有限责任公司(外商投资企业合资)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rPr>
            </w:pPr>
            <w:r>
              <w:rPr>
                <w:rFonts w:hint="default" w:ascii="宋体" w:hAnsi="宋体" w:cs="宋体"/>
                <w:color w:val="auto"/>
                <w:kern w:val="0"/>
                <w:sz w:val="18"/>
                <w:szCs w:val="18"/>
                <w:lang w:val="en" w:bidi="ar"/>
              </w:rPr>
              <w:t>119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1122</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有限责任公司(外商投资企业与内资合资)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default" w:ascii="宋体" w:hAnsi="宋体" w:cs="宋体"/>
                <w:color w:val="auto"/>
                <w:kern w:val="0"/>
                <w:sz w:val="18"/>
                <w:szCs w:val="18"/>
                <w:lang w:val="en" w:bidi="ar"/>
              </w:rPr>
              <w:t>119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1123</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有限责任公司(外商投资企业法人独资)  </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default" w:ascii="宋体" w:hAnsi="宋体" w:cs="宋体"/>
                <w:color w:val="auto"/>
                <w:kern w:val="0"/>
                <w:sz w:val="18"/>
                <w:szCs w:val="18"/>
                <w:lang w:val="en" w:bidi="ar"/>
              </w:rPr>
              <w:t>119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1130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有限责任公司(自然人投资或控股)</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112</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sz w:val="18"/>
                <w:szCs w:val="18"/>
              </w:rPr>
            </w:pPr>
            <w:r>
              <w:rPr>
                <w:rFonts w:hint="eastAsia" w:ascii="宋体" w:hAnsi="宋体" w:cs="宋体"/>
                <w:color w:val="auto"/>
                <w:kern w:val="0"/>
                <w:sz w:val="18"/>
                <w:szCs w:val="18"/>
                <w:lang w:bidi="ar"/>
              </w:rPr>
              <w:t>私营有限责任公司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1140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有限责任公司(国有控股)</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1150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一人有限责任公司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suppressLineNumbers w:val="0"/>
              <w:spacing w:before="0" w:beforeAutospacing="0" w:after="0" w:afterAutospacing="0"/>
              <w:ind w:left="0" w:right="0"/>
              <w:jc w:val="left"/>
              <w:rPr>
                <w:rFonts w:hint="eastAsia" w:ascii="宋体" w:hAnsi="宋体" w:cs="宋体"/>
                <w:color w:val="auto"/>
                <w:sz w:val="18"/>
                <w:szCs w:val="18"/>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1151</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有限责任公司(自然人独资)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112</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sz w:val="18"/>
                <w:szCs w:val="18"/>
              </w:rPr>
            </w:pPr>
            <w:r>
              <w:rPr>
                <w:rFonts w:hint="eastAsia" w:ascii="宋体" w:hAnsi="宋体" w:cs="宋体"/>
                <w:color w:val="auto"/>
                <w:kern w:val="0"/>
                <w:sz w:val="18"/>
                <w:szCs w:val="18"/>
                <w:lang w:bidi="ar"/>
              </w:rPr>
              <w:t>私营有限责任公司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1152</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有限责任公司(自然人投资或控股的法人独资)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112</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sz w:val="18"/>
                <w:szCs w:val="18"/>
              </w:rPr>
            </w:pPr>
            <w:r>
              <w:rPr>
                <w:rFonts w:hint="eastAsia" w:ascii="宋体" w:hAnsi="宋体" w:cs="宋体"/>
                <w:color w:val="auto"/>
                <w:kern w:val="0"/>
                <w:sz w:val="18"/>
                <w:szCs w:val="18"/>
                <w:lang w:bidi="ar"/>
              </w:rPr>
              <w:t>私营有限责任公司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1153</w:t>
            </w:r>
          </w:p>
        </w:tc>
        <w:tc>
          <w:tcPr>
            <w:tcW w:w="5159" w:type="dxa"/>
            <w:tcBorders>
              <w:top w:val="single" w:color="000000" w:sz="4" w:space="0"/>
              <w:left w:val="nil"/>
              <w:bottom w:val="single" w:color="000000" w:sz="4" w:space="0"/>
              <w:right w:val="single" w:color="000000" w:sz="4" w:space="0"/>
            </w:tcBorders>
            <w:shd w:val="clear" w:color="auto" w:fill="auto"/>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有限责任公司(非自然人投资或控股的法人独资）</w:t>
            </w:r>
          </w:p>
        </w:tc>
        <w:tc>
          <w:tcPr>
            <w:tcW w:w="630" w:type="dxa"/>
            <w:tcBorders>
              <w:top w:val="single" w:color="000000" w:sz="4" w:space="0"/>
              <w:left w:val="nil"/>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119</w:t>
            </w:r>
          </w:p>
        </w:tc>
        <w:tc>
          <w:tcPr>
            <w:tcW w:w="2416" w:type="dxa"/>
            <w:tcBorders>
              <w:top w:val="single" w:color="000000" w:sz="4" w:space="0"/>
              <w:left w:val="single" w:color="000000" w:sz="4" w:space="0"/>
              <w:bottom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1190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其他有限责任公司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sz w:val="18"/>
                <w:szCs w:val="18"/>
              </w:rPr>
            </w:pPr>
            <w:r>
              <w:rPr>
                <w:rFonts w:hint="eastAsia" w:ascii="宋体" w:hAnsi="宋体" w:cs="宋体"/>
                <w:color w:val="auto"/>
                <w:kern w:val="0"/>
                <w:sz w:val="18"/>
                <w:szCs w:val="18"/>
                <w:lang w:bidi="ar"/>
              </w:rPr>
              <w:t>其他有限责任公司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1200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suppressLineNumbers w:val="0"/>
              <w:spacing w:before="0" w:beforeAutospacing="0" w:after="0" w:afterAutospacing="0"/>
              <w:ind w:left="0" w:right="0"/>
              <w:jc w:val="left"/>
              <w:rPr>
                <w:rFonts w:hint="eastAsia" w:ascii="宋体" w:hAnsi="宋体" w:cs="宋体"/>
                <w:color w:val="auto"/>
                <w:sz w:val="18"/>
                <w:szCs w:val="18"/>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1210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suppressLineNumbers w:val="0"/>
              <w:spacing w:before="0" w:beforeAutospacing="0" w:after="0" w:afterAutospacing="0"/>
              <w:ind w:left="0" w:right="0"/>
              <w:jc w:val="left"/>
              <w:rPr>
                <w:rFonts w:hint="eastAsia" w:ascii="宋体" w:hAnsi="宋体" w:cs="宋体"/>
                <w:color w:val="auto"/>
                <w:sz w:val="18"/>
                <w:szCs w:val="18"/>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1211</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股份有限公司(上市、外商投资企业投资)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1212</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股份有限公司(上市、自然人投资或控股)</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121</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私营股份有限公司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1213</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股份有限公司(上市、国有控股)</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1219</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其他股份有限公司(上市)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1220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股份有限公司(非上市)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suppressLineNumbers w:val="0"/>
              <w:spacing w:before="0" w:beforeAutospacing="0" w:after="0" w:afterAutospacing="0"/>
              <w:ind w:left="0" w:right="0"/>
              <w:jc w:val="left"/>
              <w:rPr>
                <w:rFonts w:hint="eastAsia" w:ascii="宋体" w:hAnsi="宋体" w:cs="宋体"/>
                <w:color w:val="auto"/>
                <w:sz w:val="18"/>
                <w:szCs w:val="18"/>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1221</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w:t>
            </w:r>
            <w:r>
              <w:rPr>
                <w:rFonts w:hint="eastAsia" w:ascii="宋体" w:hAnsi="宋体" w:cs="宋体"/>
                <w:color w:val="auto"/>
                <w:spacing w:val="-6"/>
                <w:kern w:val="0"/>
                <w:sz w:val="18"/>
                <w:szCs w:val="18"/>
                <w:lang w:bidi="ar"/>
              </w:rPr>
              <w:t>股份有限公司(非上市、外商投资企业投资)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1222</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w:t>
            </w:r>
            <w:r>
              <w:rPr>
                <w:rFonts w:hint="eastAsia" w:ascii="宋体" w:hAnsi="宋体" w:cs="宋体"/>
                <w:color w:val="auto"/>
                <w:spacing w:val="-6"/>
                <w:kern w:val="0"/>
                <w:sz w:val="18"/>
                <w:szCs w:val="18"/>
                <w:lang w:bidi="ar"/>
              </w:rPr>
              <w:t>股份有限公司(非上市、自然人投资或控股)</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121</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私营股份有限公司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1223</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股份有限公司(非上市、国有控股)</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1229</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其他股份有限公司(非上市)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bCs/>
                <w:color w:val="auto"/>
                <w:sz w:val="18"/>
                <w:szCs w:val="18"/>
              </w:rPr>
            </w:pPr>
            <w:r>
              <w:rPr>
                <w:rFonts w:hint="eastAsia" w:ascii="宋体" w:hAnsi="宋体" w:cs="宋体"/>
                <w:b/>
                <w:bCs/>
                <w:color w:val="auto"/>
                <w:kern w:val="0"/>
                <w:sz w:val="18"/>
                <w:szCs w:val="18"/>
                <w:lang w:bidi="ar"/>
              </w:rPr>
              <w:t>2000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bCs/>
                <w:color w:val="auto"/>
                <w:sz w:val="18"/>
                <w:szCs w:val="18"/>
              </w:rPr>
            </w:pPr>
            <w:r>
              <w:rPr>
                <w:rFonts w:hint="eastAsia" w:ascii="宋体" w:hAnsi="宋体" w:cs="宋体"/>
                <w:b/>
                <w:bCs/>
                <w:color w:val="auto"/>
                <w:kern w:val="0"/>
                <w:sz w:val="18"/>
                <w:szCs w:val="18"/>
                <w:lang w:bidi="ar"/>
              </w:rPr>
              <w:t>内资分公司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2100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有限责任公司分公司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2110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有限责任公司分公司(国有独资)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111</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国有独资公司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90"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2120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有限责任公司分公司(外商投资企业投资)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2121</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有限责任公司分公司(外商投资企业合资)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2122</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有限责任公司分公司(外商投资企业与内资合资)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2123</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有限责任公司分公司(外商投资企业法人独资)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2130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有限责任公司分公司(自然人投资或控股)</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default" w:ascii="宋体" w:hAnsi="宋体" w:cs="宋体"/>
                <w:color w:val="auto"/>
                <w:kern w:val="0"/>
                <w:sz w:val="18"/>
                <w:szCs w:val="18"/>
                <w:lang w:val="en" w:bidi="ar"/>
              </w:rPr>
              <w:t>112</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私营有限责任公司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2140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有限责任公司分公司(国有控股)</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2150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一人有限责任公司分公司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2151</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有限责任公司分公司(自然人独资)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112</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私营有限责任公司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2152</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有限责任公司分公司(自然人投资或控股的法人独资)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112</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私营有限责任公司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2153</w:t>
            </w:r>
          </w:p>
        </w:tc>
        <w:tc>
          <w:tcPr>
            <w:tcW w:w="515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有限责任公司分公司(非自然人投资或控股的法人独资）</w:t>
            </w:r>
          </w:p>
        </w:tc>
        <w:tc>
          <w:tcPr>
            <w:tcW w:w="630" w:type="dxa"/>
            <w:tcBorders>
              <w:top w:val="single" w:color="000000" w:sz="4" w:space="0"/>
              <w:left w:val="nil"/>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119</w:t>
            </w:r>
          </w:p>
        </w:tc>
        <w:tc>
          <w:tcPr>
            <w:tcW w:w="2416" w:type="dxa"/>
            <w:tcBorders>
              <w:top w:val="single" w:color="000000" w:sz="4" w:space="0"/>
              <w:left w:val="single" w:color="000000" w:sz="4" w:space="0"/>
              <w:bottom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2190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其他有限责任公司分公司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119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2200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股份有限公司分公司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2210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股份有限公司分公司(上市)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2211</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股份有限公司分公司(上市、外商投资企业投资)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2212</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股份有限公司分公司(上市、自然人投资或控股)</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121</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私营股份有限公司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2213</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股份有限公司分公司(上市、国有控股)</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2219</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其他股份有限公司分公司(上市)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2220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股份有限公司分公司(非上市)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2221</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股份有限公司分公司(非上市、外商投资企业投资)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2222</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股份有限公司分公司(非上市、自然人投资或控股)</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121</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私营股份有限公司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2223</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股份有限公司分公司(国有控股)</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2229</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其他股份有限公司分公司(非上市)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129</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3000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内资企业法人</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3100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全民所有制</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131</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全民所有制企业(国有企业)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3200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集体所有制</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132</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集体所有制企业(集体企业)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3300</w:t>
            </w:r>
          </w:p>
        </w:tc>
        <w:tc>
          <w:tcPr>
            <w:tcW w:w="515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股份制</w:t>
            </w:r>
          </w:p>
        </w:tc>
        <w:tc>
          <w:tcPr>
            <w:tcW w:w="630" w:type="dxa"/>
            <w:tcBorders>
              <w:top w:val="single" w:color="000000" w:sz="4" w:space="0"/>
              <w:left w:val="nil"/>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190</w:t>
            </w:r>
          </w:p>
        </w:tc>
        <w:tc>
          <w:tcPr>
            <w:tcW w:w="2416" w:type="dxa"/>
            <w:tcBorders>
              <w:top w:val="single" w:color="000000" w:sz="4" w:space="0"/>
              <w:left w:val="single" w:color="000000" w:sz="4" w:space="0"/>
              <w:bottom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其他内资企业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7"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3400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股份合作制</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rPr>
            </w:pPr>
            <w:r>
              <w:rPr>
                <w:rFonts w:hint="eastAsia" w:ascii="宋体" w:hAnsi="宋体" w:cs="宋体"/>
                <w:color w:val="auto"/>
                <w:kern w:val="0"/>
                <w:sz w:val="18"/>
                <w:szCs w:val="18"/>
                <w:lang w:bidi="ar"/>
              </w:rPr>
              <w:t>133</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股份合作企业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7"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kern w:val="0"/>
                <w:sz w:val="18"/>
                <w:szCs w:val="18"/>
                <w:lang w:bidi="ar"/>
              </w:rPr>
            </w:pPr>
            <w:r>
              <w:rPr>
                <w:rFonts w:hint="eastAsia" w:ascii="宋体" w:hAnsi="宋体" w:cs="宋体"/>
                <w:color w:val="auto"/>
                <w:kern w:val="0"/>
                <w:sz w:val="18"/>
                <w:szCs w:val="18"/>
                <w:lang w:bidi="ar"/>
              </w:rPr>
              <w:t>3500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kern w:val="0"/>
                <w:sz w:val="18"/>
                <w:szCs w:val="18"/>
                <w:lang w:bidi="ar"/>
              </w:rPr>
            </w:pPr>
            <w:r>
              <w:rPr>
                <w:rFonts w:hint="eastAsia" w:ascii="宋体" w:hAnsi="宋体" w:cs="宋体"/>
                <w:color w:val="auto"/>
                <w:kern w:val="0"/>
                <w:sz w:val="18"/>
                <w:szCs w:val="18"/>
                <w:lang w:bidi="ar"/>
              </w:rPr>
              <w:t xml:space="preserve">  联营</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kern w:val="0"/>
                <w:sz w:val="18"/>
                <w:szCs w:val="18"/>
                <w:lang w:bidi="ar"/>
              </w:rPr>
            </w:pPr>
            <w:r>
              <w:rPr>
                <w:rFonts w:hint="eastAsia" w:ascii="宋体" w:hAnsi="宋体" w:cs="宋体"/>
                <w:color w:val="auto"/>
                <w:kern w:val="0"/>
                <w:sz w:val="18"/>
                <w:szCs w:val="18"/>
                <w:lang w:bidi="ar"/>
              </w:rPr>
              <w:t>134</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联营企业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4000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内资非法人企业、非公司私营企业及内资非公司企业分支机构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4100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事业单位营业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4110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国有事业单位营业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131</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全民所有制企业(国有企业)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4120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集体事业单位营业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132</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集体所有制企业(集体企业)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4200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社团法人营业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4210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国有社团法人营业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131</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全民所有制企业(国有企业)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4220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集体社团法人营业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132</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集体所有制企业(集体企业)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4300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内资企业法人分支机构(非法人)</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4310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全民所有制分支机构(非法人)</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131</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全民所有制企业(国有企业)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4320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集体分支机构(非法人)</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132</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集体所有制企业(集体企业)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Cs/>
                <w:color w:val="auto"/>
                <w:kern w:val="0"/>
                <w:sz w:val="18"/>
                <w:szCs w:val="18"/>
                <w:lang w:bidi="ar"/>
              </w:rPr>
            </w:pPr>
            <w:r>
              <w:rPr>
                <w:rFonts w:hint="eastAsia" w:ascii="宋体" w:hAnsi="宋体" w:cs="宋体"/>
                <w:bCs/>
                <w:color w:val="auto"/>
                <w:kern w:val="0"/>
                <w:sz w:val="18"/>
                <w:szCs w:val="18"/>
                <w:lang w:bidi="ar"/>
              </w:rPr>
              <w:t>4330</w:t>
            </w:r>
          </w:p>
        </w:tc>
        <w:tc>
          <w:tcPr>
            <w:tcW w:w="515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Cs/>
                <w:color w:val="auto"/>
                <w:kern w:val="0"/>
                <w:sz w:val="18"/>
                <w:szCs w:val="18"/>
                <w:lang w:bidi="ar"/>
              </w:rPr>
            </w:pPr>
            <w:r>
              <w:rPr>
                <w:rFonts w:hint="eastAsia" w:ascii="宋体" w:hAnsi="宋体" w:cs="宋体"/>
                <w:bCs/>
                <w:color w:val="auto"/>
                <w:kern w:val="0"/>
                <w:sz w:val="18"/>
                <w:szCs w:val="18"/>
                <w:lang w:bidi="ar"/>
              </w:rPr>
              <w:t xml:space="preserve">    股份制分支机构</w:t>
            </w:r>
          </w:p>
        </w:tc>
        <w:tc>
          <w:tcPr>
            <w:tcW w:w="630" w:type="dxa"/>
            <w:tcBorders>
              <w:top w:val="single" w:color="000000" w:sz="4" w:space="0"/>
              <w:left w:val="nil"/>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eastAsia" w:ascii="宋体" w:hAnsi="宋体" w:cs="宋体"/>
                <w:color w:val="auto"/>
                <w:kern w:val="0"/>
                <w:sz w:val="18"/>
                <w:szCs w:val="18"/>
                <w:lang w:bidi="ar"/>
              </w:rPr>
              <w:t>190</w:t>
            </w:r>
          </w:p>
        </w:tc>
        <w:tc>
          <w:tcPr>
            <w:tcW w:w="2416" w:type="dxa"/>
            <w:tcBorders>
              <w:top w:val="single" w:color="000000" w:sz="4" w:space="0"/>
              <w:left w:val="single" w:color="000000" w:sz="4" w:space="0"/>
              <w:bottom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其他内资企业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4340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股份合作制分支机构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eastAsia" w:ascii="宋体" w:hAnsi="宋体" w:cs="宋体"/>
                <w:color w:val="auto"/>
                <w:kern w:val="0"/>
                <w:sz w:val="18"/>
                <w:szCs w:val="18"/>
                <w:lang w:bidi="ar"/>
              </w:rPr>
              <w:t>133</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股份合作企业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bottom"/>
          </w:tcPr>
          <w:p>
            <w:pPr>
              <w:keepNext w:val="0"/>
              <w:keepLines w:val="0"/>
              <w:widowControl/>
              <w:suppressLineNumbers w:val="0"/>
              <w:spacing w:before="0" w:beforeAutospacing="0" w:after="0" w:afterAutospacing="0"/>
              <w:ind w:left="0" w:right="0"/>
              <w:textAlignment w:val="bottom"/>
              <w:rPr>
                <w:rFonts w:hint="eastAsia" w:ascii="宋体" w:hAnsi="宋体" w:cs="宋体"/>
                <w:color w:val="auto"/>
                <w:sz w:val="18"/>
                <w:szCs w:val="18"/>
              </w:rPr>
            </w:pPr>
            <w:r>
              <w:rPr>
                <w:rFonts w:hint="eastAsia" w:ascii="宋体" w:hAnsi="宋体" w:cs="宋体"/>
                <w:color w:val="auto"/>
                <w:kern w:val="0"/>
                <w:sz w:val="18"/>
                <w:szCs w:val="18"/>
                <w:lang w:bidi="ar"/>
              </w:rPr>
              <w:t>4400</w:t>
            </w:r>
          </w:p>
        </w:tc>
        <w:tc>
          <w:tcPr>
            <w:tcW w:w="515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spacing w:before="0" w:beforeAutospacing="0" w:after="0" w:afterAutospacing="0"/>
              <w:ind w:left="0" w:right="0"/>
              <w:textAlignment w:val="bottom"/>
              <w:rPr>
                <w:rFonts w:hint="eastAsia" w:ascii="宋体" w:hAnsi="宋体" w:cs="宋体"/>
                <w:color w:val="auto"/>
                <w:sz w:val="18"/>
                <w:szCs w:val="18"/>
              </w:rPr>
            </w:pPr>
            <w:r>
              <w:rPr>
                <w:rFonts w:hint="eastAsia" w:ascii="宋体" w:hAnsi="宋体" w:cs="宋体"/>
                <w:color w:val="auto"/>
                <w:kern w:val="0"/>
                <w:sz w:val="18"/>
                <w:szCs w:val="18"/>
                <w:lang w:bidi="ar"/>
              </w:rPr>
              <w:t xml:space="preserve">  经营单位(非法人)</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bottom"/>
          </w:tcPr>
          <w:p>
            <w:pPr>
              <w:keepNext w:val="0"/>
              <w:keepLines w:val="0"/>
              <w:widowControl/>
              <w:suppressLineNumbers w:val="0"/>
              <w:spacing w:before="0" w:beforeAutospacing="0" w:after="0" w:afterAutospacing="0"/>
              <w:ind w:left="0" w:right="0"/>
              <w:textAlignment w:val="bottom"/>
              <w:rPr>
                <w:rFonts w:hint="eastAsia" w:ascii="宋体" w:hAnsi="宋体" w:cs="宋体"/>
                <w:color w:val="auto"/>
                <w:sz w:val="18"/>
                <w:szCs w:val="18"/>
              </w:rPr>
            </w:pPr>
            <w:r>
              <w:rPr>
                <w:rFonts w:hint="eastAsia" w:ascii="宋体" w:hAnsi="宋体" w:cs="宋体"/>
                <w:color w:val="auto"/>
                <w:kern w:val="0"/>
                <w:sz w:val="18"/>
                <w:szCs w:val="18"/>
                <w:lang w:bidi="ar"/>
              </w:rPr>
              <w:t>4410</w:t>
            </w:r>
          </w:p>
        </w:tc>
        <w:tc>
          <w:tcPr>
            <w:tcW w:w="515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spacing w:before="0" w:beforeAutospacing="0" w:after="0" w:afterAutospacing="0"/>
              <w:ind w:left="0" w:right="0"/>
              <w:textAlignment w:val="bottom"/>
              <w:rPr>
                <w:rFonts w:hint="eastAsia" w:ascii="宋体" w:hAnsi="宋体" w:cs="宋体"/>
                <w:color w:val="auto"/>
                <w:sz w:val="18"/>
                <w:szCs w:val="18"/>
              </w:rPr>
            </w:pPr>
            <w:r>
              <w:rPr>
                <w:rFonts w:hint="eastAsia" w:ascii="宋体" w:hAnsi="宋体" w:cs="宋体"/>
                <w:color w:val="auto"/>
                <w:kern w:val="0"/>
                <w:sz w:val="18"/>
                <w:szCs w:val="18"/>
                <w:lang w:bidi="ar"/>
              </w:rPr>
              <w:t xml:space="preserve">    国有经营单位(非法人)</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131</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全民所有制企业(国有企业)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bottom"/>
          </w:tcPr>
          <w:p>
            <w:pPr>
              <w:keepNext w:val="0"/>
              <w:keepLines w:val="0"/>
              <w:widowControl/>
              <w:suppressLineNumbers w:val="0"/>
              <w:spacing w:before="0" w:beforeAutospacing="0" w:after="0" w:afterAutospacing="0"/>
              <w:ind w:left="0" w:right="0"/>
              <w:textAlignment w:val="bottom"/>
              <w:rPr>
                <w:rFonts w:hint="eastAsia" w:ascii="宋体" w:hAnsi="宋体" w:cs="宋体"/>
                <w:color w:val="auto"/>
                <w:sz w:val="18"/>
                <w:szCs w:val="18"/>
              </w:rPr>
            </w:pPr>
            <w:r>
              <w:rPr>
                <w:rFonts w:hint="eastAsia" w:ascii="宋体" w:hAnsi="宋体" w:cs="宋体"/>
                <w:color w:val="auto"/>
                <w:kern w:val="0"/>
                <w:sz w:val="18"/>
                <w:szCs w:val="18"/>
                <w:lang w:bidi="ar"/>
              </w:rPr>
              <w:t>4420</w:t>
            </w:r>
          </w:p>
        </w:tc>
        <w:tc>
          <w:tcPr>
            <w:tcW w:w="515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spacing w:before="0" w:beforeAutospacing="0" w:after="0" w:afterAutospacing="0"/>
              <w:ind w:left="0" w:right="0"/>
              <w:textAlignment w:val="bottom"/>
              <w:rPr>
                <w:rFonts w:hint="eastAsia" w:ascii="宋体" w:hAnsi="宋体" w:cs="宋体"/>
                <w:color w:val="auto"/>
                <w:sz w:val="18"/>
                <w:szCs w:val="18"/>
              </w:rPr>
            </w:pPr>
            <w:r>
              <w:rPr>
                <w:rFonts w:hint="eastAsia" w:ascii="宋体" w:hAnsi="宋体" w:cs="宋体"/>
                <w:color w:val="auto"/>
                <w:kern w:val="0"/>
                <w:sz w:val="18"/>
                <w:szCs w:val="18"/>
                <w:lang w:bidi="ar"/>
              </w:rPr>
              <w:t xml:space="preserve">    集体经营单位(非法人)</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132</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集体所有制企业(集体企业)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4500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非公司私营企业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4530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合伙企业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4531</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textAlignment w:val="center"/>
              <w:rPr>
                <w:rFonts w:hint="eastAsia" w:ascii="宋体" w:hAnsi="宋体" w:cs="宋体"/>
                <w:color w:val="auto"/>
                <w:sz w:val="18"/>
                <w:szCs w:val="18"/>
              </w:rPr>
            </w:pPr>
            <w:r>
              <w:rPr>
                <w:rFonts w:hint="eastAsia" w:ascii="宋体" w:hAnsi="宋体" w:cs="宋体"/>
                <w:color w:val="auto"/>
                <w:kern w:val="0"/>
                <w:sz w:val="18"/>
                <w:szCs w:val="18"/>
                <w:lang w:bidi="ar"/>
              </w:rPr>
              <w:t xml:space="preserve">      普通合伙企业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150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4532</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textAlignment w:val="center"/>
              <w:rPr>
                <w:rFonts w:hint="eastAsia" w:ascii="宋体" w:hAnsi="宋体" w:cs="宋体"/>
                <w:color w:val="auto"/>
                <w:sz w:val="18"/>
                <w:szCs w:val="18"/>
              </w:rPr>
            </w:pPr>
            <w:r>
              <w:rPr>
                <w:rFonts w:hint="eastAsia" w:ascii="宋体" w:hAnsi="宋体" w:cs="宋体"/>
                <w:color w:val="auto"/>
                <w:kern w:val="0"/>
                <w:sz w:val="18"/>
                <w:szCs w:val="18"/>
                <w:lang w:bidi="ar"/>
              </w:rPr>
              <w:t xml:space="preserve">      特殊普通合伙企业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150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4533</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textAlignment w:val="center"/>
              <w:rPr>
                <w:rFonts w:hint="eastAsia" w:ascii="宋体" w:hAnsi="宋体" w:cs="宋体"/>
                <w:color w:val="auto"/>
                <w:sz w:val="18"/>
                <w:szCs w:val="18"/>
              </w:rPr>
            </w:pPr>
            <w:r>
              <w:rPr>
                <w:rFonts w:hint="eastAsia" w:ascii="宋体" w:hAnsi="宋体" w:cs="宋体"/>
                <w:color w:val="auto"/>
                <w:kern w:val="0"/>
                <w:sz w:val="18"/>
                <w:szCs w:val="18"/>
                <w:lang w:bidi="ar"/>
              </w:rPr>
              <w:t xml:space="preserve">      有限合伙企业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150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4540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个人独资企业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140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个人独资企业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4550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合伙企业分支机构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4551</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textAlignment w:val="center"/>
              <w:rPr>
                <w:rFonts w:hint="eastAsia" w:ascii="宋体" w:hAnsi="宋体" w:cs="宋体"/>
                <w:color w:val="auto"/>
                <w:sz w:val="18"/>
                <w:szCs w:val="18"/>
              </w:rPr>
            </w:pPr>
            <w:r>
              <w:rPr>
                <w:rFonts w:hint="eastAsia" w:ascii="宋体" w:hAnsi="宋体" w:cs="宋体"/>
                <w:color w:val="auto"/>
                <w:kern w:val="0"/>
                <w:sz w:val="18"/>
                <w:szCs w:val="18"/>
                <w:lang w:bidi="ar"/>
              </w:rPr>
              <w:t xml:space="preserve">      普通合伙企业分支机构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150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4552</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textAlignment w:val="center"/>
              <w:rPr>
                <w:rFonts w:hint="eastAsia" w:ascii="宋体" w:hAnsi="宋体" w:cs="宋体"/>
                <w:color w:val="auto"/>
                <w:sz w:val="18"/>
                <w:szCs w:val="18"/>
              </w:rPr>
            </w:pPr>
            <w:r>
              <w:rPr>
                <w:rFonts w:hint="eastAsia" w:ascii="宋体" w:hAnsi="宋体" w:cs="宋体"/>
                <w:color w:val="auto"/>
                <w:kern w:val="0"/>
                <w:sz w:val="18"/>
                <w:szCs w:val="18"/>
                <w:lang w:bidi="ar"/>
              </w:rPr>
              <w:t xml:space="preserve">      特殊普通合伙企业分支机构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150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4553</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textAlignment w:val="center"/>
              <w:rPr>
                <w:rFonts w:hint="eastAsia" w:ascii="宋体" w:hAnsi="宋体" w:cs="宋体"/>
                <w:color w:val="auto"/>
                <w:sz w:val="18"/>
                <w:szCs w:val="18"/>
              </w:rPr>
            </w:pPr>
            <w:r>
              <w:rPr>
                <w:rFonts w:hint="eastAsia" w:ascii="宋体" w:hAnsi="宋体" w:cs="宋体"/>
                <w:color w:val="auto"/>
                <w:kern w:val="0"/>
                <w:sz w:val="18"/>
                <w:szCs w:val="18"/>
                <w:lang w:bidi="ar"/>
              </w:rPr>
              <w:t xml:space="preserve">      有限合伙企业分支机构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150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90"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4560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个人独资企业分支机构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default" w:ascii="宋体" w:hAnsi="宋体" w:cs="宋体"/>
                <w:color w:val="auto"/>
                <w:kern w:val="0"/>
                <w:sz w:val="18"/>
                <w:szCs w:val="18"/>
                <w:lang w:val="en" w:bidi="ar"/>
              </w:rPr>
              <w:t>140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个人独资企业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7"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4600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联营</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rPr>
            </w:pPr>
            <w:r>
              <w:rPr>
                <w:rFonts w:hint="eastAsia" w:ascii="宋体" w:hAnsi="宋体" w:cs="宋体"/>
                <w:color w:val="auto"/>
                <w:kern w:val="0"/>
                <w:sz w:val="18"/>
                <w:szCs w:val="18"/>
                <w:lang w:bidi="ar"/>
              </w:rPr>
              <w:t>134</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联营企业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4700</w:t>
            </w:r>
          </w:p>
        </w:tc>
        <w:tc>
          <w:tcPr>
            <w:tcW w:w="515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股份制企业(非法人)</w:t>
            </w:r>
          </w:p>
        </w:tc>
        <w:tc>
          <w:tcPr>
            <w:tcW w:w="630" w:type="dxa"/>
            <w:tcBorders>
              <w:top w:val="single" w:color="000000" w:sz="4" w:space="0"/>
              <w:left w:val="nil"/>
              <w:bottom w:val="single" w:color="000000" w:sz="4" w:space="0"/>
              <w:right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lang w:val="en"/>
              </w:rPr>
            </w:pPr>
            <w:r>
              <w:rPr>
                <w:rFonts w:hint="eastAsia" w:ascii="宋体" w:hAnsi="宋体" w:cs="宋体"/>
                <w:color w:val="auto"/>
                <w:kern w:val="0"/>
                <w:sz w:val="18"/>
                <w:szCs w:val="18"/>
                <w:lang w:bidi="ar"/>
              </w:rPr>
              <w:t>190</w:t>
            </w:r>
          </w:p>
        </w:tc>
        <w:tc>
          <w:tcPr>
            <w:tcW w:w="2416" w:type="dxa"/>
            <w:tcBorders>
              <w:top w:val="single" w:color="000000" w:sz="4" w:space="0"/>
              <w:left w:val="single" w:color="000000" w:sz="4" w:space="0"/>
              <w:bottom w:val="single" w:color="000000" w:sz="4" w:space="0"/>
            </w:tcBorders>
            <w:shd w:val="clear" w:color="auto" w:fill="FFFFFF"/>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其他内资企业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5000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外商投资企业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5100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5110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有限责任公司(中外合资)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5120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有限责任公司(中外合作)</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5130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有限责任公司(外商合资)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5140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有限责任公司(外国自然人独资)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5150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有限责任公司(外国法人独资)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5160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有限责任公司(外国非法人经济组织独资)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5180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有限责任公司(外商投资、非独资)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5190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5200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5210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股份有限公司(中外合资、未上市)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5220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股份有限公司(中外合资、上市)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5230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股份有限公司(外商合资、未上市)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5240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股份有限公司(外商合资、上市)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5250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股份有限公司(外商投资、未上市)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5260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股份有限公司(外商投资、上市)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5290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5300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非公司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5310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非公司外商投资企业(中外合作)</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其他外商投资企业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5320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非公司外商投资企业(外商合资)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其他外商投资企业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5390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其他外商投资企业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5400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外商投资合伙企业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5410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普通合伙企业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330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5420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特殊普通合伙企业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330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5430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有限合伙企业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330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5490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330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5800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外商投资企业分支机构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5810</w:t>
            </w:r>
          </w:p>
        </w:tc>
        <w:tc>
          <w:tcPr>
            <w:tcW w:w="515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分公司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其他外商投资企业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5820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非公司外商投资企业分支机构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其他外商投资企业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5830</w:t>
            </w:r>
          </w:p>
        </w:tc>
        <w:tc>
          <w:tcPr>
            <w:tcW w:w="515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办事处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其他外商投资企业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5840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外商投资合伙企业分支机构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330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5890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其他外商投资企业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6000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港、澳、台投资企业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6100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6110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有限责任公司(港澳台与境内合资)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6120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有限责任公司(港澳台与境内合作)</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6130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有限责任公司(港澳台合资)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6140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有限责任公司(港澳台自然人独资)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6150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有限责任公司(港澳台法人独资)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6160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有限责任公司(港澳台非法人经济组织独资)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6170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有限责任公司(港澳台与外国投资者合资)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6180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有限责任公司(港澳台投资、非独资)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6190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6200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6210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股份有限公司(港澳台与境内合资、未上市)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6220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股份有限公司(港澳台与境内合资、上市)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6230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股份有限公司(港澳台合资、未上市)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6240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股份有限公司(港澳台合资、上市)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6250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股份有限公司(港澳台与外国投资者合资、未上市)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6260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股份有限公司(港澳台与外国投资者合资、上市)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6270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股份有限公司(港澳台投资、未上市)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6280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股份有限公司(港澳台投资、上市)</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6290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6300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非公司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6310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非公司港、澳、台企业(港澳台与境内合作)</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其他港澳台投资企业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6320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非公司港、澳、台企业(港澳台合资)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其他港澳台投资企业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6390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其他港澳台投资企业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6400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港、澳、台投资合伙企业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6410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普通合伙企业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230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6420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特殊普通合伙企业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230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6430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有限合伙企业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230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6490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230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6800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港、澳、台投资企业分支机构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6810</w:t>
            </w:r>
          </w:p>
        </w:tc>
        <w:tc>
          <w:tcPr>
            <w:tcW w:w="515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分公司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其他港澳台投资企业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6820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非公司港、澳、台投资企业分支机构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其他港澳台投资企业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6830</w:t>
            </w:r>
          </w:p>
        </w:tc>
        <w:tc>
          <w:tcPr>
            <w:tcW w:w="515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办事处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其他港澳台投资企业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6840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港、澳、台投资合伙企业分支机构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230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港澳台投资合伙企业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6890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290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其他港澳台投资企业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7000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外国(地区）企业</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7100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外国(地区）公司分支机构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7110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外国(地区)无限责任公司分支机构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其他外商投资企业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7120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外国(地区)有限责任公司分支机构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310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外商投资有限责任公司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7130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外国(地区)股份有限责任公司分支机构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320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外商投资股份有限公司</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7190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外国(地区)其他形式公司分支机构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其他外商投资企业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7200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外国(地区)企业常驻代表机构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其他外商投资企业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7300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外国(地区)企业在中国境内从事经营活动</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7310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分公司</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其他外商投资企业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7390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其他外商投资企业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8000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集团</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8100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内资集团</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190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其他内资企业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8500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外资集团</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rPr>
            </w:pPr>
            <w:r>
              <w:rPr>
                <w:rFonts w:hint="eastAsia" w:ascii="宋体" w:hAnsi="宋体" w:cs="宋体"/>
                <w:color w:val="auto"/>
                <w:kern w:val="0"/>
                <w:sz w:val="18"/>
                <w:szCs w:val="18"/>
                <w:lang w:bidi="ar"/>
              </w:rPr>
              <w:t>390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其他外商投资企业</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9000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b/>
                <w:color w:val="auto"/>
                <w:sz w:val="18"/>
                <w:szCs w:val="18"/>
              </w:rPr>
            </w:pPr>
            <w:r>
              <w:rPr>
                <w:rFonts w:hint="eastAsia" w:ascii="宋体" w:hAnsi="宋体" w:cs="宋体"/>
                <w:b/>
                <w:color w:val="auto"/>
                <w:kern w:val="0"/>
                <w:sz w:val="18"/>
                <w:szCs w:val="18"/>
                <w:lang w:bidi="ar"/>
              </w:rPr>
              <w:t>其他类型</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rPr>
            </w:pP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9100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农民专业合作社</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rPr>
            </w:pPr>
            <w:r>
              <w:rPr>
                <w:rFonts w:hint="eastAsia" w:ascii="宋体" w:hAnsi="宋体" w:cs="宋体"/>
                <w:color w:val="auto"/>
                <w:kern w:val="0"/>
                <w:sz w:val="18"/>
                <w:szCs w:val="18"/>
                <w:lang w:bidi="ar"/>
              </w:rPr>
              <w:t>400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农民专业合作社（联合社）</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9200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农民专业合作社分支机构</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rPr>
            </w:pPr>
            <w:r>
              <w:rPr>
                <w:rFonts w:hint="eastAsia" w:ascii="宋体" w:hAnsi="宋体" w:cs="宋体"/>
                <w:color w:val="auto"/>
                <w:kern w:val="0"/>
                <w:sz w:val="18"/>
                <w:szCs w:val="18"/>
                <w:lang w:bidi="ar"/>
              </w:rPr>
              <w:t>400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农民专业合作社（联合社）</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9500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个体工商户</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rPr>
            </w:pPr>
            <w:r>
              <w:rPr>
                <w:rFonts w:hint="eastAsia" w:ascii="宋体" w:hAnsi="宋体" w:cs="宋体"/>
                <w:color w:val="auto"/>
                <w:kern w:val="0"/>
                <w:sz w:val="18"/>
                <w:szCs w:val="18"/>
                <w:lang w:bidi="ar"/>
              </w:rPr>
              <w:t>500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个体工商户</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9600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自然人</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rPr>
            </w:pPr>
            <w:r>
              <w:rPr>
                <w:rFonts w:hint="eastAsia" w:ascii="宋体" w:hAnsi="宋体" w:cs="宋体"/>
                <w:color w:val="auto"/>
                <w:kern w:val="0"/>
                <w:sz w:val="18"/>
                <w:szCs w:val="18"/>
                <w:lang w:bidi="ar"/>
              </w:rPr>
              <w:t>900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其他市场主体</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108" w:type="dxa"/>
            <w:bottom w:w="0" w:type="dxa"/>
            <w:right w:w="108" w:type="dxa"/>
          </w:tblCellMar>
        </w:tblPrEx>
        <w:trPr>
          <w:trHeight w:val="315" w:hRule="atLeast"/>
          <w:jc w:val="center"/>
        </w:trPr>
        <w:tc>
          <w:tcPr>
            <w:tcW w:w="676" w:type="dxa"/>
            <w:tcBorders>
              <w:top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9900</w:t>
            </w:r>
          </w:p>
        </w:tc>
        <w:tc>
          <w:tcPr>
            <w:tcW w:w="515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textAlignment w:val="top"/>
              <w:rPr>
                <w:rFonts w:hint="eastAsia" w:ascii="宋体" w:hAnsi="宋体" w:cs="宋体"/>
                <w:color w:val="auto"/>
                <w:sz w:val="18"/>
                <w:szCs w:val="18"/>
              </w:rPr>
            </w:pPr>
            <w:r>
              <w:rPr>
                <w:rFonts w:hint="eastAsia" w:ascii="宋体" w:hAnsi="宋体" w:cs="宋体"/>
                <w:color w:val="auto"/>
                <w:kern w:val="0"/>
                <w:sz w:val="18"/>
                <w:szCs w:val="18"/>
                <w:lang w:bidi="ar"/>
              </w:rPr>
              <w:t>其他</w:t>
            </w:r>
          </w:p>
        </w:tc>
        <w:tc>
          <w:tcPr>
            <w:tcW w:w="630"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18"/>
                <w:szCs w:val="18"/>
              </w:rPr>
            </w:pPr>
            <w:r>
              <w:rPr>
                <w:rFonts w:hint="eastAsia" w:ascii="宋体" w:hAnsi="宋体" w:cs="宋体"/>
                <w:color w:val="auto"/>
                <w:kern w:val="0"/>
                <w:sz w:val="18"/>
                <w:szCs w:val="18"/>
                <w:lang w:bidi="ar"/>
              </w:rPr>
              <w:t>900</w:t>
            </w:r>
          </w:p>
        </w:tc>
        <w:tc>
          <w:tcPr>
            <w:tcW w:w="2416"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 w:val="18"/>
                <w:szCs w:val="18"/>
                <w:lang w:bidi="ar"/>
              </w:rPr>
            </w:pPr>
            <w:r>
              <w:rPr>
                <w:rFonts w:hint="eastAsia" w:ascii="宋体" w:hAnsi="宋体" w:cs="宋体"/>
                <w:color w:val="auto"/>
                <w:kern w:val="0"/>
                <w:sz w:val="18"/>
                <w:szCs w:val="18"/>
                <w:lang w:bidi="ar"/>
              </w:rPr>
              <w:t>其他市场主体</w:t>
            </w:r>
          </w:p>
        </w:tc>
      </w:tr>
    </w:tbl>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1"/>
        <w:rPr>
          <w:rFonts w:hint="eastAsia" w:ascii="黑体" w:hAnsi="黑体" w:eastAsia="黑体"/>
          <w:color w:val="auto"/>
          <w:sz w:val="28"/>
          <w:szCs w:val="28"/>
        </w:rPr>
      </w:pP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1"/>
        <w:rPr>
          <w:rFonts w:hint="eastAsia" w:ascii="黑体" w:hAnsi="黑体" w:eastAsia="黑体"/>
          <w:color w:val="auto"/>
          <w:sz w:val="28"/>
          <w:szCs w:val="28"/>
        </w:rPr>
      </w:pPr>
      <w:r>
        <w:rPr>
          <w:rFonts w:hint="eastAsia" w:ascii="黑体" w:hAnsi="黑体" w:eastAsia="黑体"/>
          <w:color w:val="auto"/>
          <w:sz w:val="28"/>
          <w:szCs w:val="28"/>
        </w:rPr>
        <w:t>（</w:t>
      </w:r>
      <w:r>
        <w:rPr>
          <w:rFonts w:hint="eastAsia" w:ascii="黑体" w:hAnsi="黑体" w:eastAsia="黑体"/>
          <w:color w:val="auto"/>
          <w:sz w:val="28"/>
          <w:szCs w:val="28"/>
          <w:lang w:eastAsia="zh-CN"/>
        </w:rPr>
        <w:t>四</w:t>
      </w:r>
      <w:r>
        <w:rPr>
          <w:rFonts w:hint="eastAsia" w:ascii="黑体" w:hAnsi="黑体" w:eastAsia="黑体"/>
          <w:color w:val="auto"/>
          <w:sz w:val="28"/>
          <w:szCs w:val="28"/>
        </w:rPr>
        <w:t>）隶属关系、建设性质、控股情况、</w:t>
      </w:r>
      <w:r>
        <w:rPr>
          <w:rFonts w:hint="eastAsia" w:ascii="黑体" w:hAnsi="黑体" w:eastAsia="黑体"/>
          <w:color w:val="auto"/>
          <w:sz w:val="28"/>
          <w:szCs w:val="28"/>
        </w:rPr>
        <w:br w:type="textWrapping"/>
      </w:r>
      <w:r>
        <w:rPr>
          <w:rFonts w:hint="eastAsia" w:ascii="黑体" w:hAnsi="黑体" w:eastAsia="黑体"/>
          <w:color w:val="auto"/>
          <w:sz w:val="28"/>
          <w:szCs w:val="28"/>
        </w:rPr>
        <w:t>期末项目建设状态目录及代码</w:t>
      </w:r>
    </w:p>
    <w:tbl>
      <w:tblPr>
        <w:tblStyle w:val="21"/>
        <w:tblW w:w="9526"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1200"/>
        <w:gridCol w:w="3409"/>
        <w:gridCol w:w="1279"/>
        <w:gridCol w:w="3638"/>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1183" w:type="dxa"/>
            <w:noWrap w:val="0"/>
            <w:vAlign w:val="center"/>
          </w:tcPr>
          <w:p>
            <w:pPr>
              <w:keepNext w:val="0"/>
              <w:keepLines w:val="0"/>
              <w:suppressLineNumbers w:val="0"/>
              <w:snapToGrid w:val="0"/>
              <w:spacing w:before="0" w:beforeAutospacing="0" w:after="0" w:afterAutospacing="0"/>
              <w:ind w:left="0" w:right="0"/>
              <w:jc w:val="center"/>
              <w:rPr>
                <w:rFonts w:hint="default" w:ascii="黑体" w:hAnsi="黑体" w:eastAsia="黑体"/>
                <w:bCs/>
                <w:color w:val="auto"/>
                <w:sz w:val="18"/>
              </w:rPr>
            </w:pPr>
            <w:r>
              <w:rPr>
                <w:rFonts w:hint="eastAsia" w:ascii="黑体" w:hAnsi="黑体" w:eastAsia="黑体"/>
                <w:bCs/>
                <w:color w:val="auto"/>
                <w:sz w:val="18"/>
              </w:rPr>
              <w:t>代</w:t>
            </w:r>
            <w:r>
              <w:rPr>
                <w:rFonts w:hint="default" w:ascii="黑体" w:hAnsi="黑体" w:eastAsia="黑体"/>
                <w:bCs/>
                <w:color w:val="auto"/>
                <w:sz w:val="18"/>
              </w:rPr>
              <w:t xml:space="preserve">  码</w:t>
            </w:r>
          </w:p>
        </w:tc>
        <w:tc>
          <w:tcPr>
            <w:tcW w:w="3360" w:type="dxa"/>
            <w:tcBorders>
              <w:right w:val="doub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default" w:ascii="黑体" w:hAnsi="黑体" w:eastAsia="黑体"/>
                <w:bCs/>
                <w:color w:val="auto"/>
                <w:sz w:val="18"/>
              </w:rPr>
            </w:pPr>
            <w:r>
              <w:rPr>
                <w:rFonts w:hint="eastAsia" w:ascii="黑体" w:hAnsi="黑体" w:eastAsia="黑体"/>
                <w:bCs/>
                <w:color w:val="auto"/>
                <w:sz w:val="18"/>
              </w:rPr>
              <w:t>指</w:t>
            </w:r>
            <w:r>
              <w:rPr>
                <w:rFonts w:hint="default" w:ascii="黑体" w:hAnsi="黑体" w:eastAsia="黑体"/>
                <w:bCs/>
                <w:color w:val="auto"/>
                <w:sz w:val="18"/>
              </w:rPr>
              <w:t xml:space="preserve"> 标 名 称</w:t>
            </w:r>
          </w:p>
        </w:tc>
        <w:tc>
          <w:tcPr>
            <w:tcW w:w="1260" w:type="dxa"/>
            <w:tcBorders>
              <w:top w:val="single" w:color="auto" w:sz="8" w:space="0"/>
              <w:left w:val="double" w:color="auto" w:sz="4" w:space="0"/>
              <w:bottom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黑体" w:hAnsi="黑体" w:eastAsia="黑体"/>
                <w:bCs/>
                <w:color w:val="auto"/>
                <w:sz w:val="18"/>
              </w:rPr>
            </w:pPr>
            <w:r>
              <w:rPr>
                <w:rFonts w:hint="eastAsia" w:ascii="黑体" w:hAnsi="黑体" w:eastAsia="黑体"/>
                <w:bCs/>
                <w:color w:val="auto"/>
                <w:sz w:val="18"/>
              </w:rPr>
              <w:t>代</w:t>
            </w:r>
            <w:r>
              <w:rPr>
                <w:rFonts w:hint="default" w:ascii="黑体" w:hAnsi="黑体" w:eastAsia="黑体"/>
                <w:bCs/>
                <w:color w:val="auto"/>
                <w:sz w:val="18"/>
              </w:rPr>
              <w:t xml:space="preserve">  码</w:t>
            </w:r>
          </w:p>
        </w:tc>
        <w:tc>
          <w:tcPr>
            <w:tcW w:w="3585" w:type="dxa"/>
            <w:tcBorders>
              <w:top w:val="single" w:color="auto" w:sz="8" w:space="0"/>
              <w:bottom w:val="single" w:color="auto" w:sz="2" w:space="0"/>
            </w:tcBorders>
            <w:noWrap w:val="0"/>
            <w:vAlign w:val="center"/>
          </w:tcPr>
          <w:p>
            <w:pPr>
              <w:keepNext w:val="0"/>
              <w:keepLines w:val="0"/>
              <w:suppressLineNumbers w:val="0"/>
              <w:snapToGrid w:val="0"/>
              <w:spacing w:before="0" w:beforeAutospacing="0" w:after="0" w:afterAutospacing="0"/>
              <w:ind w:left="0" w:right="0"/>
              <w:jc w:val="center"/>
              <w:rPr>
                <w:rFonts w:hint="default" w:ascii="黑体" w:hAnsi="黑体" w:eastAsia="黑体"/>
                <w:bCs/>
                <w:color w:val="auto"/>
                <w:sz w:val="18"/>
              </w:rPr>
            </w:pPr>
            <w:r>
              <w:rPr>
                <w:rFonts w:hint="eastAsia" w:ascii="黑体" w:hAnsi="黑体" w:eastAsia="黑体"/>
                <w:bCs/>
                <w:color w:val="auto"/>
                <w:sz w:val="18"/>
              </w:rPr>
              <w:t>指</w:t>
            </w:r>
            <w:r>
              <w:rPr>
                <w:rFonts w:hint="default" w:ascii="黑体" w:hAnsi="黑体" w:eastAsia="黑体"/>
                <w:bCs/>
                <w:color w:val="auto"/>
                <w:sz w:val="18"/>
              </w:rPr>
              <w:t xml:space="preserve">  标  名  称</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jc w:val="center"/>
        </w:trPr>
        <w:tc>
          <w:tcPr>
            <w:tcW w:w="1183" w:type="dxa"/>
            <w:noWrap w:val="0"/>
            <w:vAlign w:val="top"/>
          </w:tcPr>
          <w:p>
            <w:pPr>
              <w:keepNext w:val="0"/>
              <w:keepLines w:val="0"/>
              <w:suppressLineNumbers w:val="0"/>
              <w:snapToGrid w:val="0"/>
              <w:spacing w:before="0" w:beforeAutospacing="0" w:after="0" w:afterAutospacing="0"/>
              <w:ind w:left="0" w:right="0"/>
              <w:jc w:val="center"/>
              <w:rPr>
                <w:rFonts w:hint="eastAsia" w:ascii="黑体" w:hAnsi="宋体" w:eastAsia="黑体"/>
                <w:color w:val="auto"/>
                <w:sz w:val="18"/>
              </w:rPr>
            </w:pPr>
            <w:r>
              <w:rPr>
                <w:rFonts w:hint="eastAsia" w:ascii="黑体" w:hAnsi="宋体" w:eastAsia="黑体"/>
                <w:color w:val="auto"/>
                <w:sz w:val="18"/>
              </w:rPr>
              <w:t>07</w:t>
            </w:r>
          </w:p>
          <w:p>
            <w:pPr>
              <w:keepNext w:val="0"/>
              <w:keepLines w:val="0"/>
              <w:suppressLineNumbers w:val="0"/>
              <w:snapToGrid w:val="0"/>
              <w:spacing w:before="0" w:beforeAutospacing="0" w:after="0" w:afterAutospacing="0"/>
              <w:ind w:left="0" w:right="0"/>
              <w:jc w:val="center"/>
              <w:rPr>
                <w:rFonts w:hint="default" w:ascii="宋体" w:hAnsi="宋体"/>
                <w:color w:val="auto"/>
                <w:sz w:val="18"/>
              </w:rPr>
            </w:pPr>
            <w:r>
              <w:rPr>
                <w:rFonts w:hint="default" w:ascii="宋体" w:hAnsi="宋体"/>
                <w:color w:val="auto"/>
                <w:sz w:val="18"/>
              </w:rPr>
              <w:t>10</w:t>
            </w:r>
          </w:p>
          <w:p>
            <w:pPr>
              <w:keepNext w:val="0"/>
              <w:keepLines w:val="0"/>
              <w:suppressLineNumbers w:val="0"/>
              <w:snapToGrid w:val="0"/>
              <w:spacing w:before="0" w:beforeAutospacing="0" w:after="0" w:afterAutospacing="0"/>
              <w:ind w:left="0" w:right="0"/>
              <w:jc w:val="center"/>
              <w:rPr>
                <w:rFonts w:hint="default" w:ascii="宋体" w:hAnsi="宋体"/>
                <w:color w:val="auto"/>
                <w:sz w:val="18"/>
              </w:rPr>
            </w:pPr>
            <w:r>
              <w:rPr>
                <w:rFonts w:hint="eastAsia" w:ascii="宋体" w:hAnsi="宋体"/>
                <w:color w:val="auto"/>
                <w:sz w:val="18"/>
              </w:rPr>
              <w:t>11</w:t>
            </w:r>
          </w:p>
          <w:p>
            <w:pPr>
              <w:keepNext w:val="0"/>
              <w:keepLines w:val="0"/>
              <w:suppressLineNumbers w:val="0"/>
              <w:snapToGrid w:val="0"/>
              <w:spacing w:before="0" w:beforeAutospacing="0" w:after="0" w:afterAutospacing="0"/>
              <w:ind w:left="0" w:right="0"/>
              <w:jc w:val="center"/>
              <w:rPr>
                <w:rFonts w:hint="eastAsia" w:ascii="宋体" w:hAnsi="宋体"/>
                <w:color w:val="auto"/>
                <w:sz w:val="18"/>
              </w:rPr>
            </w:pPr>
            <w:r>
              <w:rPr>
                <w:rFonts w:hint="default" w:ascii="宋体" w:hAnsi="宋体"/>
                <w:color w:val="auto"/>
                <w:sz w:val="18"/>
              </w:rPr>
              <w:t>90</w:t>
            </w:r>
          </w:p>
          <w:p>
            <w:pPr>
              <w:keepNext w:val="0"/>
              <w:keepLines w:val="0"/>
              <w:suppressLineNumbers w:val="0"/>
              <w:snapToGrid w:val="0"/>
              <w:spacing w:before="0" w:beforeAutospacing="0" w:after="0" w:afterAutospacing="0"/>
              <w:ind w:left="0" w:right="0"/>
              <w:jc w:val="center"/>
              <w:rPr>
                <w:rFonts w:hint="eastAsia" w:ascii="黑体" w:hAnsi="宋体" w:eastAsia="黑体"/>
                <w:color w:val="auto"/>
                <w:sz w:val="18"/>
              </w:rPr>
            </w:pPr>
            <w:r>
              <w:rPr>
                <w:rFonts w:hint="eastAsia" w:ascii="黑体" w:hAnsi="宋体" w:eastAsia="黑体"/>
                <w:color w:val="auto"/>
                <w:sz w:val="18"/>
              </w:rPr>
              <w:t>08</w:t>
            </w:r>
          </w:p>
          <w:p>
            <w:pPr>
              <w:keepNext w:val="0"/>
              <w:keepLines w:val="0"/>
              <w:suppressLineNumbers w:val="0"/>
              <w:snapToGrid w:val="0"/>
              <w:spacing w:before="0" w:beforeAutospacing="0" w:after="0" w:afterAutospacing="0"/>
              <w:ind w:left="0" w:right="0"/>
              <w:jc w:val="center"/>
              <w:rPr>
                <w:rFonts w:hint="default" w:ascii="宋体" w:hAnsi="宋体"/>
                <w:color w:val="auto"/>
                <w:sz w:val="18"/>
              </w:rPr>
            </w:pPr>
            <w:r>
              <w:rPr>
                <w:rFonts w:hint="default" w:ascii="宋体" w:hAnsi="宋体"/>
                <w:color w:val="auto"/>
                <w:sz w:val="18"/>
              </w:rPr>
              <w:t>1</w:t>
            </w:r>
          </w:p>
          <w:p>
            <w:pPr>
              <w:keepNext w:val="0"/>
              <w:keepLines w:val="0"/>
              <w:suppressLineNumbers w:val="0"/>
              <w:snapToGrid w:val="0"/>
              <w:spacing w:before="0" w:beforeAutospacing="0" w:after="0" w:afterAutospacing="0"/>
              <w:ind w:left="0" w:right="0"/>
              <w:jc w:val="center"/>
              <w:rPr>
                <w:rFonts w:hint="default" w:ascii="宋体" w:hAnsi="宋体"/>
                <w:color w:val="auto"/>
                <w:sz w:val="18"/>
              </w:rPr>
            </w:pPr>
            <w:r>
              <w:rPr>
                <w:rFonts w:hint="default" w:ascii="宋体" w:hAnsi="宋体"/>
                <w:color w:val="auto"/>
                <w:sz w:val="18"/>
              </w:rPr>
              <w:t>2</w:t>
            </w:r>
          </w:p>
          <w:p>
            <w:pPr>
              <w:keepNext w:val="0"/>
              <w:keepLines w:val="0"/>
              <w:suppressLineNumbers w:val="0"/>
              <w:snapToGrid w:val="0"/>
              <w:spacing w:before="0" w:beforeAutospacing="0" w:after="0" w:afterAutospacing="0"/>
              <w:ind w:left="0" w:right="0"/>
              <w:jc w:val="center"/>
              <w:rPr>
                <w:rFonts w:hint="default" w:ascii="宋体" w:hAnsi="宋体"/>
                <w:color w:val="auto"/>
                <w:sz w:val="18"/>
              </w:rPr>
            </w:pPr>
            <w:r>
              <w:rPr>
                <w:rFonts w:hint="default" w:ascii="宋体" w:hAnsi="宋体"/>
                <w:color w:val="auto"/>
                <w:sz w:val="18"/>
              </w:rPr>
              <w:t>3</w:t>
            </w:r>
          </w:p>
          <w:p>
            <w:pPr>
              <w:keepNext w:val="0"/>
              <w:keepLines w:val="0"/>
              <w:suppressLineNumbers w:val="0"/>
              <w:snapToGrid w:val="0"/>
              <w:spacing w:before="0" w:beforeAutospacing="0" w:after="0" w:afterAutospacing="0"/>
              <w:ind w:left="0" w:right="0"/>
              <w:jc w:val="center"/>
              <w:rPr>
                <w:rFonts w:hint="default" w:ascii="宋体" w:hAnsi="宋体"/>
                <w:color w:val="auto"/>
                <w:sz w:val="18"/>
              </w:rPr>
            </w:pPr>
            <w:r>
              <w:rPr>
                <w:rFonts w:hint="default" w:ascii="宋体" w:hAnsi="宋体"/>
                <w:color w:val="auto"/>
                <w:sz w:val="18"/>
              </w:rPr>
              <w:t>4</w:t>
            </w:r>
          </w:p>
          <w:p>
            <w:pPr>
              <w:keepNext w:val="0"/>
              <w:keepLines w:val="0"/>
              <w:suppressLineNumbers w:val="0"/>
              <w:snapToGrid w:val="0"/>
              <w:spacing w:before="0" w:beforeAutospacing="0" w:after="0" w:afterAutospacing="0"/>
              <w:ind w:left="0" w:right="0"/>
              <w:jc w:val="center"/>
              <w:rPr>
                <w:rFonts w:hint="default" w:ascii="宋体" w:hAnsi="宋体"/>
                <w:color w:val="auto"/>
                <w:sz w:val="18"/>
              </w:rPr>
            </w:pPr>
            <w:r>
              <w:rPr>
                <w:rFonts w:hint="default" w:ascii="宋体" w:hAnsi="宋体"/>
                <w:color w:val="auto"/>
                <w:sz w:val="18"/>
              </w:rPr>
              <w:t>5</w:t>
            </w:r>
          </w:p>
          <w:p>
            <w:pPr>
              <w:keepNext w:val="0"/>
              <w:keepLines w:val="0"/>
              <w:suppressLineNumbers w:val="0"/>
              <w:snapToGrid w:val="0"/>
              <w:spacing w:before="0" w:beforeAutospacing="0" w:after="0" w:afterAutospacing="0"/>
              <w:ind w:left="0" w:right="0"/>
              <w:jc w:val="center"/>
              <w:rPr>
                <w:rFonts w:hint="default" w:ascii="宋体" w:hAnsi="宋体"/>
                <w:color w:val="auto"/>
                <w:sz w:val="18"/>
              </w:rPr>
            </w:pPr>
            <w:r>
              <w:rPr>
                <w:rFonts w:hint="default" w:ascii="宋体" w:hAnsi="宋体"/>
                <w:color w:val="auto"/>
                <w:sz w:val="18"/>
              </w:rPr>
              <w:t>6</w:t>
            </w:r>
          </w:p>
          <w:p>
            <w:pPr>
              <w:keepNext w:val="0"/>
              <w:keepLines w:val="0"/>
              <w:suppressLineNumbers w:val="0"/>
              <w:snapToGrid w:val="0"/>
              <w:spacing w:before="0" w:beforeAutospacing="0" w:after="0" w:afterAutospacing="0"/>
              <w:ind w:left="0" w:right="0"/>
              <w:jc w:val="center"/>
              <w:rPr>
                <w:rFonts w:hint="eastAsia" w:ascii="宋体" w:hAnsi="宋体"/>
                <w:color w:val="auto"/>
                <w:sz w:val="18"/>
              </w:rPr>
            </w:pPr>
            <w:r>
              <w:rPr>
                <w:rFonts w:hint="default" w:ascii="宋体" w:hAnsi="宋体"/>
                <w:color w:val="auto"/>
                <w:sz w:val="18"/>
              </w:rPr>
              <w:t>7</w:t>
            </w:r>
          </w:p>
        </w:tc>
        <w:tc>
          <w:tcPr>
            <w:tcW w:w="3360" w:type="dxa"/>
            <w:tcBorders>
              <w:right w:val="double" w:color="auto" w:sz="4" w:space="0"/>
            </w:tcBorders>
            <w:noWrap w:val="0"/>
            <w:vAlign w:val="top"/>
          </w:tcPr>
          <w:p>
            <w:pPr>
              <w:keepNext w:val="0"/>
              <w:keepLines w:val="0"/>
              <w:suppressLineNumbers w:val="0"/>
              <w:snapToGrid w:val="0"/>
              <w:spacing w:before="0" w:beforeAutospacing="0" w:after="0" w:afterAutospacing="0"/>
              <w:ind w:left="0" w:right="0" w:firstLine="180" w:firstLineChars="100"/>
              <w:rPr>
                <w:rFonts w:hint="default" w:ascii="黑体" w:hAnsi="宋体" w:eastAsia="黑体"/>
                <w:color w:val="auto"/>
                <w:sz w:val="18"/>
              </w:rPr>
            </w:pPr>
            <w:r>
              <w:rPr>
                <w:rFonts w:hint="eastAsia" w:ascii="黑体" w:hAnsi="宋体" w:eastAsia="黑体"/>
                <w:color w:val="auto"/>
                <w:sz w:val="18"/>
              </w:rPr>
              <w:t>隶属关系</w:t>
            </w:r>
          </w:p>
          <w:p>
            <w:pPr>
              <w:keepNext w:val="0"/>
              <w:keepLines w:val="0"/>
              <w:suppressLineNumbers w:val="0"/>
              <w:snapToGrid w:val="0"/>
              <w:spacing w:before="0" w:beforeAutospacing="0" w:after="0" w:afterAutospacing="0"/>
              <w:ind w:left="0" w:right="0" w:firstLine="360" w:firstLineChars="200"/>
              <w:rPr>
                <w:rFonts w:hint="default" w:ascii="宋体" w:hAnsi="宋体"/>
                <w:color w:val="auto"/>
                <w:sz w:val="18"/>
              </w:rPr>
            </w:pPr>
            <w:r>
              <w:rPr>
                <w:rFonts w:hint="eastAsia" w:ascii="宋体" w:hAnsi="宋体"/>
                <w:color w:val="auto"/>
                <w:sz w:val="18"/>
              </w:rPr>
              <w:t>中央</w:t>
            </w:r>
          </w:p>
          <w:p>
            <w:pPr>
              <w:keepNext w:val="0"/>
              <w:keepLines w:val="0"/>
              <w:suppressLineNumbers w:val="0"/>
              <w:snapToGrid w:val="0"/>
              <w:spacing w:before="0" w:beforeAutospacing="0" w:after="0" w:afterAutospacing="0"/>
              <w:ind w:left="0" w:right="0" w:firstLine="360"/>
              <w:rPr>
                <w:rFonts w:hint="eastAsia" w:ascii="宋体" w:hAnsi="宋体"/>
                <w:color w:val="auto"/>
                <w:sz w:val="18"/>
              </w:rPr>
            </w:pPr>
            <w:r>
              <w:rPr>
                <w:rFonts w:hint="eastAsia" w:ascii="宋体" w:hAnsi="宋体"/>
                <w:color w:val="auto"/>
                <w:sz w:val="18"/>
              </w:rPr>
              <w:t>地方</w:t>
            </w:r>
          </w:p>
          <w:p>
            <w:pPr>
              <w:keepNext w:val="0"/>
              <w:keepLines w:val="0"/>
              <w:suppressLineNumbers w:val="0"/>
              <w:snapToGrid w:val="0"/>
              <w:spacing w:before="0" w:beforeAutospacing="0" w:after="0" w:afterAutospacing="0"/>
              <w:ind w:left="0" w:right="0" w:firstLine="360"/>
              <w:rPr>
                <w:rFonts w:hint="eastAsia" w:ascii="宋体" w:hAnsi="宋体"/>
                <w:color w:val="auto"/>
                <w:sz w:val="18"/>
              </w:rPr>
            </w:pPr>
            <w:r>
              <w:rPr>
                <w:rFonts w:hint="eastAsia" w:ascii="宋体" w:hAnsi="宋体"/>
                <w:color w:val="auto"/>
                <w:sz w:val="18"/>
              </w:rPr>
              <w:t>其他</w:t>
            </w:r>
          </w:p>
          <w:p>
            <w:pPr>
              <w:keepNext w:val="0"/>
              <w:keepLines w:val="0"/>
              <w:suppressLineNumbers w:val="0"/>
              <w:snapToGrid w:val="0"/>
              <w:spacing w:before="0" w:beforeAutospacing="0" w:after="0" w:afterAutospacing="0"/>
              <w:ind w:left="0" w:right="0" w:firstLine="180" w:firstLineChars="100"/>
              <w:rPr>
                <w:rFonts w:hint="default" w:ascii="黑体" w:hAnsi="宋体" w:eastAsia="黑体"/>
                <w:color w:val="auto"/>
                <w:sz w:val="18"/>
              </w:rPr>
            </w:pPr>
            <w:r>
              <w:rPr>
                <w:rFonts w:hint="eastAsia" w:ascii="黑体" w:hAnsi="宋体" w:eastAsia="黑体"/>
                <w:color w:val="auto"/>
                <w:sz w:val="18"/>
              </w:rPr>
              <w:t>建设性质</w:t>
            </w:r>
          </w:p>
          <w:p>
            <w:pPr>
              <w:keepNext w:val="0"/>
              <w:keepLines w:val="0"/>
              <w:suppressLineNumbers w:val="0"/>
              <w:snapToGrid w:val="0"/>
              <w:spacing w:before="0" w:beforeAutospacing="0" w:after="0" w:afterAutospacing="0"/>
              <w:ind w:left="0" w:right="0" w:firstLine="360" w:firstLineChars="200"/>
              <w:rPr>
                <w:rFonts w:hint="default" w:ascii="宋体" w:hAnsi="宋体"/>
                <w:color w:val="auto"/>
                <w:sz w:val="18"/>
              </w:rPr>
            </w:pPr>
            <w:r>
              <w:rPr>
                <w:rFonts w:hint="eastAsia" w:ascii="宋体" w:hAnsi="宋体"/>
                <w:color w:val="auto"/>
                <w:sz w:val="18"/>
              </w:rPr>
              <w:t>新建</w:t>
            </w:r>
          </w:p>
          <w:p>
            <w:pPr>
              <w:keepNext w:val="0"/>
              <w:keepLines w:val="0"/>
              <w:suppressLineNumbers w:val="0"/>
              <w:snapToGrid w:val="0"/>
              <w:spacing w:before="0" w:beforeAutospacing="0" w:after="0" w:afterAutospacing="0"/>
              <w:ind w:left="0" w:right="0" w:firstLine="360" w:firstLineChars="200"/>
              <w:rPr>
                <w:rFonts w:hint="default" w:ascii="宋体" w:hAnsi="宋体"/>
                <w:color w:val="auto"/>
                <w:sz w:val="18"/>
              </w:rPr>
            </w:pPr>
            <w:r>
              <w:rPr>
                <w:rFonts w:hint="eastAsia" w:ascii="宋体" w:hAnsi="宋体"/>
                <w:color w:val="auto"/>
                <w:sz w:val="18"/>
              </w:rPr>
              <w:t>扩建</w:t>
            </w:r>
          </w:p>
          <w:p>
            <w:pPr>
              <w:keepNext w:val="0"/>
              <w:keepLines w:val="0"/>
              <w:suppressLineNumbers w:val="0"/>
              <w:snapToGrid w:val="0"/>
              <w:spacing w:before="0" w:beforeAutospacing="0" w:after="0" w:afterAutospacing="0"/>
              <w:ind w:left="0" w:right="0" w:firstLine="360" w:firstLineChars="200"/>
              <w:rPr>
                <w:rFonts w:hint="default" w:ascii="宋体" w:hAnsi="宋体"/>
                <w:color w:val="auto"/>
                <w:sz w:val="18"/>
              </w:rPr>
            </w:pPr>
            <w:r>
              <w:rPr>
                <w:rFonts w:hint="eastAsia" w:ascii="宋体" w:hAnsi="宋体"/>
                <w:color w:val="auto"/>
                <w:sz w:val="18"/>
              </w:rPr>
              <w:t>改建和技术改造</w:t>
            </w:r>
          </w:p>
          <w:p>
            <w:pPr>
              <w:keepNext w:val="0"/>
              <w:keepLines w:val="0"/>
              <w:suppressLineNumbers w:val="0"/>
              <w:snapToGrid w:val="0"/>
              <w:spacing w:before="0" w:beforeAutospacing="0" w:after="0" w:afterAutospacing="0"/>
              <w:ind w:left="0" w:right="0" w:firstLine="360" w:firstLineChars="200"/>
              <w:rPr>
                <w:rFonts w:hint="default" w:ascii="宋体" w:hAnsi="宋体"/>
                <w:color w:val="auto"/>
                <w:sz w:val="18"/>
              </w:rPr>
            </w:pPr>
            <w:r>
              <w:rPr>
                <w:rFonts w:hint="eastAsia" w:ascii="宋体" w:hAnsi="宋体"/>
                <w:color w:val="auto"/>
                <w:sz w:val="18"/>
              </w:rPr>
              <w:t>单纯建造生活设施</w:t>
            </w:r>
          </w:p>
          <w:p>
            <w:pPr>
              <w:keepNext w:val="0"/>
              <w:keepLines w:val="0"/>
              <w:suppressLineNumbers w:val="0"/>
              <w:snapToGrid w:val="0"/>
              <w:spacing w:before="0" w:beforeAutospacing="0" w:after="0" w:afterAutospacing="0"/>
              <w:ind w:left="0" w:right="0" w:firstLine="360" w:firstLineChars="200"/>
              <w:rPr>
                <w:rFonts w:hint="default" w:ascii="宋体" w:hAnsi="宋体"/>
                <w:color w:val="auto"/>
                <w:sz w:val="18"/>
              </w:rPr>
            </w:pPr>
            <w:r>
              <w:rPr>
                <w:rFonts w:hint="eastAsia" w:ascii="宋体" w:hAnsi="宋体"/>
                <w:color w:val="auto"/>
                <w:sz w:val="18"/>
              </w:rPr>
              <w:t>迁建</w:t>
            </w:r>
          </w:p>
          <w:p>
            <w:pPr>
              <w:keepNext w:val="0"/>
              <w:keepLines w:val="0"/>
              <w:suppressLineNumbers w:val="0"/>
              <w:snapToGrid w:val="0"/>
              <w:spacing w:before="0" w:beforeAutospacing="0" w:after="0" w:afterAutospacing="0"/>
              <w:ind w:left="0" w:right="0" w:firstLine="360" w:firstLineChars="200"/>
              <w:rPr>
                <w:rFonts w:hint="default" w:ascii="宋体" w:hAnsi="宋体"/>
                <w:color w:val="auto"/>
                <w:sz w:val="18"/>
              </w:rPr>
            </w:pPr>
            <w:r>
              <w:rPr>
                <w:rFonts w:hint="eastAsia" w:ascii="宋体" w:hAnsi="宋体"/>
                <w:color w:val="auto"/>
                <w:sz w:val="18"/>
              </w:rPr>
              <w:t>恢复</w:t>
            </w:r>
          </w:p>
          <w:p>
            <w:pPr>
              <w:keepNext w:val="0"/>
              <w:keepLines w:val="0"/>
              <w:suppressLineNumbers w:val="0"/>
              <w:snapToGrid w:val="0"/>
              <w:spacing w:before="0" w:beforeAutospacing="0" w:after="0" w:afterAutospacing="0"/>
              <w:ind w:left="0" w:right="0" w:firstLine="360"/>
              <w:rPr>
                <w:rFonts w:hint="default" w:ascii="黑体" w:hAnsi="宋体" w:eastAsia="黑体"/>
                <w:color w:val="auto"/>
                <w:sz w:val="18"/>
              </w:rPr>
            </w:pPr>
            <w:r>
              <w:rPr>
                <w:rFonts w:hint="eastAsia" w:ascii="宋体" w:hAnsi="宋体"/>
                <w:color w:val="auto"/>
                <w:sz w:val="18"/>
              </w:rPr>
              <w:t>单纯购置</w:t>
            </w:r>
          </w:p>
        </w:tc>
        <w:tc>
          <w:tcPr>
            <w:tcW w:w="1260" w:type="dxa"/>
            <w:tcBorders>
              <w:top w:val="single" w:color="auto" w:sz="2" w:space="0"/>
              <w:left w:val="double" w:color="auto" w:sz="4" w:space="0"/>
              <w:bottom w:val="single" w:color="auto" w:sz="8" w:space="0"/>
            </w:tcBorders>
            <w:noWrap w:val="0"/>
            <w:vAlign w:val="top"/>
          </w:tcPr>
          <w:p>
            <w:pPr>
              <w:keepNext w:val="0"/>
              <w:keepLines w:val="0"/>
              <w:suppressLineNumbers w:val="0"/>
              <w:snapToGrid w:val="0"/>
              <w:spacing w:before="0" w:beforeAutospacing="0" w:after="0" w:afterAutospacing="0"/>
              <w:ind w:left="0" w:right="0"/>
              <w:jc w:val="center"/>
              <w:rPr>
                <w:rFonts w:hint="eastAsia" w:ascii="黑体" w:hAnsi="宋体" w:eastAsia="黑体"/>
                <w:color w:val="auto"/>
                <w:sz w:val="18"/>
              </w:rPr>
            </w:pPr>
            <w:r>
              <w:rPr>
                <w:rFonts w:hint="eastAsia" w:ascii="黑体" w:hAnsi="宋体" w:eastAsia="黑体"/>
                <w:color w:val="auto"/>
                <w:sz w:val="18"/>
              </w:rPr>
              <w:t>06</w:t>
            </w:r>
          </w:p>
          <w:p>
            <w:pPr>
              <w:pStyle w:val="15"/>
              <w:keepNext w:val="0"/>
              <w:keepLines w:val="0"/>
              <w:suppressLineNumbers w:val="0"/>
              <w:pBdr>
                <w:bottom w:val="none" w:color="auto" w:sz="0" w:space="0"/>
              </w:pBdr>
              <w:tabs>
                <w:tab w:val="clear" w:pos="4153"/>
                <w:tab w:val="clear" w:pos="8306"/>
              </w:tabs>
              <w:spacing w:before="0" w:beforeAutospacing="0" w:after="0" w:afterAutospacing="0"/>
              <w:ind w:left="0" w:right="0"/>
              <w:rPr>
                <w:rFonts w:hint="default" w:ascii="宋体" w:hAnsi="宋体"/>
                <w:color w:val="auto"/>
                <w:szCs w:val="24"/>
              </w:rPr>
            </w:pPr>
            <w:r>
              <w:rPr>
                <w:rFonts w:hint="default" w:ascii="宋体" w:hAnsi="宋体"/>
                <w:color w:val="auto"/>
                <w:szCs w:val="24"/>
              </w:rPr>
              <w:t>1</w:t>
            </w:r>
          </w:p>
          <w:p>
            <w:pPr>
              <w:keepNext w:val="0"/>
              <w:keepLines w:val="0"/>
              <w:suppressLineNumbers w:val="0"/>
              <w:snapToGrid w:val="0"/>
              <w:spacing w:before="0" w:beforeAutospacing="0" w:after="0" w:afterAutospacing="0"/>
              <w:ind w:left="0" w:right="0"/>
              <w:jc w:val="center"/>
              <w:rPr>
                <w:rFonts w:hint="eastAsia" w:ascii="宋体" w:hAnsi="宋体"/>
                <w:color w:val="auto"/>
                <w:sz w:val="18"/>
              </w:rPr>
            </w:pPr>
            <w:r>
              <w:rPr>
                <w:rFonts w:hint="default" w:ascii="宋体" w:hAnsi="宋体"/>
                <w:color w:val="auto"/>
                <w:sz w:val="18"/>
              </w:rPr>
              <w:t>2</w:t>
            </w:r>
          </w:p>
          <w:p>
            <w:pPr>
              <w:keepNext w:val="0"/>
              <w:keepLines w:val="0"/>
              <w:suppressLineNumbers w:val="0"/>
              <w:snapToGrid w:val="0"/>
              <w:spacing w:before="0" w:beforeAutospacing="0" w:after="0" w:afterAutospacing="0"/>
              <w:ind w:left="0" w:right="0"/>
              <w:jc w:val="center"/>
              <w:rPr>
                <w:rFonts w:hint="eastAsia" w:ascii="宋体" w:hAnsi="宋体"/>
                <w:color w:val="auto"/>
                <w:sz w:val="18"/>
              </w:rPr>
            </w:pPr>
            <w:r>
              <w:rPr>
                <w:rFonts w:hint="eastAsia" w:ascii="宋体" w:hAnsi="宋体"/>
                <w:color w:val="auto"/>
                <w:sz w:val="18"/>
              </w:rPr>
              <w:t>3</w:t>
            </w:r>
          </w:p>
          <w:p>
            <w:pPr>
              <w:keepNext w:val="0"/>
              <w:keepLines w:val="0"/>
              <w:suppressLineNumbers w:val="0"/>
              <w:snapToGrid w:val="0"/>
              <w:spacing w:before="0" w:beforeAutospacing="0" w:after="0" w:afterAutospacing="0"/>
              <w:ind w:left="0" w:right="0"/>
              <w:jc w:val="center"/>
              <w:rPr>
                <w:rFonts w:hint="eastAsia" w:ascii="宋体" w:hAnsi="宋体"/>
                <w:color w:val="auto"/>
                <w:sz w:val="18"/>
              </w:rPr>
            </w:pPr>
            <w:r>
              <w:rPr>
                <w:rFonts w:hint="eastAsia" w:ascii="宋体" w:hAnsi="宋体"/>
                <w:color w:val="auto"/>
                <w:sz w:val="18"/>
              </w:rPr>
              <w:t>4</w:t>
            </w:r>
          </w:p>
          <w:p>
            <w:pPr>
              <w:keepNext w:val="0"/>
              <w:keepLines w:val="0"/>
              <w:suppressLineNumbers w:val="0"/>
              <w:snapToGrid w:val="0"/>
              <w:spacing w:before="0" w:beforeAutospacing="0" w:after="0" w:afterAutospacing="0"/>
              <w:ind w:left="0" w:right="0"/>
              <w:jc w:val="center"/>
              <w:rPr>
                <w:rFonts w:hint="eastAsia" w:ascii="宋体" w:hAnsi="宋体"/>
                <w:color w:val="auto"/>
                <w:sz w:val="18"/>
              </w:rPr>
            </w:pPr>
            <w:r>
              <w:rPr>
                <w:rFonts w:hint="eastAsia" w:ascii="宋体" w:hAnsi="宋体"/>
                <w:color w:val="auto"/>
                <w:sz w:val="18"/>
              </w:rPr>
              <w:t>5</w:t>
            </w:r>
          </w:p>
          <w:p>
            <w:pPr>
              <w:keepNext w:val="0"/>
              <w:keepLines w:val="0"/>
              <w:suppressLineNumbers w:val="0"/>
              <w:snapToGrid w:val="0"/>
              <w:spacing w:before="0" w:beforeAutospacing="0" w:after="0" w:afterAutospacing="0"/>
              <w:ind w:left="0" w:right="0"/>
              <w:jc w:val="center"/>
              <w:rPr>
                <w:rFonts w:hint="eastAsia" w:ascii="宋体" w:hAnsi="宋体"/>
                <w:color w:val="auto"/>
                <w:sz w:val="18"/>
              </w:rPr>
            </w:pPr>
            <w:r>
              <w:rPr>
                <w:rFonts w:hint="eastAsia" w:ascii="宋体" w:hAnsi="宋体"/>
                <w:color w:val="auto"/>
                <w:sz w:val="18"/>
              </w:rPr>
              <w:t>9</w:t>
            </w:r>
          </w:p>
          <w:p>
            <w:pPr>
              <w:keepNext w:val="0"/>
              <w:keepLines w:val="0"/>
              <w:suppressLineNumbers w:val="0"/>
              <w:snapToGrid w:val="0"/>
              <w:spacing w:before="0" w:beforeAutospacing="0" w:after="0" w:afterAutospacing="0"/>
              <w:ind w:left="0" w:right="0"/>
              <w:jc w:val="center"/>
              <w:rPr>
                <w:rFonts w:hint="eastAsia" w:ascii="黑体" w:hAnsi="宋体" w:eastAsia="黑体"/>
                <w:color w:val="auto"/>
                <w:sz w:val="18"/>
              </w:rPr>
            </w:pPr>
            <w:r>
              <w:rPr>
                <w:rFonts w:hint="eastAsia" w:ascii="黑体" w:hAnsi="宋体" w:eastAsia="黑体"/>
                <w:color w:val="auto"/>
                <w:sz w:val="18"/>
              </w:rPr>
              <w:t>12</w:t>
            </w:r>
          </w:p>
          <w:p>
            <w:pPr>
              <w:pStyle w:val="15"/>
              <w:keepNext w:val="0"/>
              <w:keepLines w:val="0"/>
              <w:suppressLineNumbers w:val="0"/>
              <w:pBdr>
                <w:bottom w:val="none" w:color="auto" w:sz="0" w:space="0"/>
              </w:pBdr>
              <w:tabs>
                <w:tab w:val="clear" w:pos="4153"/>
                <w:tab w:val="clear" w:pos="8306"/>
              </w:tabs>
              <w:spacing w:before="0" w:beforeAutospacing="0" w:after="0" w:afterAutospacing="0"/>
              <w:ind w:left="0" w:right="0"/>
              <w:rPr>
                <w:rFonts w:hint="default" w:ascii="宋体" w:hAnsi="宋体"/>
                <w:color w:val="auto"/>
                <w:szCs w:val="24"/>
              </w:rPr>
            </w:pPr>
            <w:r>
              <w:rPr>
                <w:rFonts w:hint="default" w:ascii="宋体" w:hAnsi="宋体"/>
                <w:color w:val="auto"/>
                <w:szCs w:val="24"/>
              </w:rPr>
              <w:t>1</w:t>
            </w:r>
          </w:p>
          <w:p>
            <w:pPr>
              <w:keepNext w:val="0"/>
              <w:keepLines w:val="0"/>
              <w:suppressLineNumbers w:val="0"/>
              <w:snapToGrid w:val="0"/>
              <w:spacing w:before="0" w:beforeAutospacing="0" w:after="0" w:afterAutospacing="0"/>
              <w:ind w:left="0" w:right="0"/>
              <w:jc w:val="center"/>
              <w:rPr>
                <w:rFonts w:hint="eastAsia" w:ascii="宋体" w:hAnsi="宋体"/>
                <w:color w:val="auto"/>
                <w:sz w:val="18"/>
              </w:rPr>
            </w:pPr>
            <w:r>
              <w:rPr>
                <w:rFonts w:hint="default" w:ascii="宋体" w:hAnsi="宋体"/>
                <w:color w:val="auto"/>
                <w:sz w:val="18"/>
              </w:rPr>
              <w:t>2</w:t>
            </w:r>
          </w:p>
          <w:p>
            <w:pPr>
              <w:keepNext w:val="0"/>
              <w:keepLines w:val="0"/>
              <w:suppressLineNumbers w:val="0"/>
              <w:snapToGrid w:val="0"/>
              <w:spacing w:before="0" w:beforeAutospacing="0" w:after="0" w:afterAutospacing="0"/>
              <w:ind w:left="0" w:right="0"/>
              <w:jc w:val="center"/>
              <w:rPr>
                <w:rFonts w:hint="eastAsia" w:ascii="宋体" w:hAnsi="宋体"/>
                <w:color w:val="auto"/>
                <w:sz w:val="18"/>
              </w:rPr>
            </w:pPr>
            <w:r>
              <w:rPr>
                <w:rFonts w:hint="eastAsia" w:ascii="宋体" w:hAnsi="宋体"/>
                <w:color w:val="auto"/>
                <w:sz w:val="18"/>
              </w:rPr>
              <w:t>3</w:t>
            </w:r>
          </w:p>
          <w:p>
            <w:pPr>
              <w:keepNext w:val="0"/>
              <w:keepLines w:val="0"/>
              <w:suppressLineNumbers w:val="0"/>
              <w:snapToGrid w:val="0"/>
              <w:spacing w:before="0" w:beforeAutospacing="0" w:after="0" w:afterAutospacing="0"/>
              <w:ind w:left="0" w:right="0"/>
              <w:jc w:val="center"/>
              <w:rPr>
                <w:rFonts w:hint="eastAsia" w:ascii="宋体" w:hAnsi="宋体"/>
                <w:color w:val="auto"/>
                <w:sz w:val="18"/>
              </w:rPr>
            </w:pPr>
          </w:p>
        </w:tc>
        <w:tc>
          <w:tcPr>
            <w:tcW w:w="3585" w:type="dxa"/>
            <w:tcBorders>
              <w:top w:val="single" w:color="auto" w:sz="2" w:space="0"/>
              <w:bottom w:val="single" w:color="auto" w:sz="8" w:space="0"/>
            </w:tcBorders>
            <w:noWrap w:val="0"/>
            <w:vAlign w:val="top"/>
          </w:tcPr>
          <w:p>
            <w:pPr>
              <w:keepNext w:val="0"/>
              <w:keepLines w:val="0"/>
              <w:suppressLineNumbers w:val="0"/>
              <w:snapToGrid w:val="0"/>
              <w:spacing w:before="0" w:beforeAutospacing="0" w:after="0" w:afterAutospacing="0"/>
              <w:ind w:left="0" w:right="0" w:firstLine="180" w:firstLineChars="100"/>
              <w:rPr>
                <w:rFonts w:hint="default" w:ascii="黑体" w:hAnsi="宋体" w:eastAsia="黑体"/>
                <w:color w:val="auto"/>
                <w:sz w:val="18"/>
              </w:rPr>
            </w:pPr>
            <w:r>
              <w:rPr>
                <w:rFonts w:hint="eastAsia" w:ascii="黑体" w:hAnsi="宋体" w:eastAsia="黑体"/>
                <w:color w:val="auto"/>
                <w:sz w:val="18"/>
              </w:rPr>
              <w:t>控股情况</w:t>
            </w:r>
          </w:p>
          <w:p>
            <w:pPr>
              <w:keepNext w:val="0"/>
              <w:keepLines w:val="0"/>
              <w:suppressLineNumbers w:val="0"/>
              <w:snapToGrid w:val="0"/>
              <w:spacing w:before="0" w:beforeAutospacing="0" w:after="0" w:afterAutospacing="0"/>
              <w:ind w:left="0" w:right="0" w:firstLine="360" w:firstLineChars="200"/>
              <w:rPr>
                <w:rFonts w:hint="eastAsia" w:ascii="宋体"/>
                <w:color w:val="auto"/>
                <w:sz w:val="18"/>
                <w:szCs w:val="18"/>
              </w:rPr>
            </w:pPr>
            <w:r>
              <w:rPr>
                <w:rFonts w:hint="eastAsia" w:ascii="宋体"/>
                <w:color w:val="auto"/>
                <w:sz w:val="18"/>
                <w:szCs w:val="18"/>
              </w:rPr>
              <w:t>国有控股</w:t>
            </w:r>
          </w:p>
          <w:p>
            <w:pPr>
              <w:keepNext w:val="0"/>
              <w:keepLines w:val="0"/>
              <w:suppressLineNumbers w:val="0"/>
              <w:snapToGrid w:val="0"/>
              <w:spacing w:before="0" w:beforeAutospacing="0" w:after="0" w:afterAutospacing="0"/>
              <w:ind w:left="0" w:right="0" w:firstLine="360" w:firstLineChars="200"/>
              <w:rPr>
                <w:rFonts w:hint="eastAsia" w:ascii="宋体"/>
                <w:color w:val="auto"/>
                <w:sz w:val="18"/>
                <w:szCs w:val="18"/>
              </w:rPr>
            </w:pPr>
            <w:r>
              <w:rPr>
                <w:rFonts w:hint="eastAsia" w:ascii="宋体"/>
                <w:color w:val="auto"/>
                <w:sz w:val="18"/>
                <w:szCs w:val="18"/>
              </w:rPr>
              <w:t>集体控股</w:t>
            </w:r>
          </w:p>
          <w:p>
            <w:pPr>
              <w:keepNext w:val="0"/>
              <w:keepLines w:val="0"/>
              <w:suppressLineNumbers w:val="0"/>
              <w:snapToGrid w:val="0"/>
              <w:spacing w:before="0" w:beforeAutospacing="0" w:after="0" w:afterAutospacing="0"/>
              <w:ind w:left="0" w:right="0" w:firstLine="360" w:firstLineChars="200"/>
              <w:rPr>
                <w:rFonts w:hint="eastAsia" w:ascii="宋体"/>
                <w:color w:val="auto"/>
                <w:sz w:val="18"/>
                <w:szCs w:val="18"/>
              </w:rPr>
            </w:pPr>
            <w:r>
              <w:rPr>
                <w:rFonts w:hint="eastAsia" w:ascii="宋体"/>
                <w:color w:val="auto"/>
                <w:sz w:val="18"/>
                <w:szCs w:val="18"/>
              </w:rPr>
              <w:t>私人控股</w:t>
            </w:r>
          </w:p>
          <w:p>
            <w:pPr>
              <w:keepNext w:val="0"/>
              <w:keepLines w:val="0"/>
              <w:suppressLineNumbers w:val="0"/>
              <w:snapToGrid w:val="0"/>
              <w:spacing w:before="0" w:beforeAutospacing="0" w:after="0" w:afterAutospacing="0"/>
              <w:ind w:left="0" w:right="0" w:firstLine="360" w:firstLineChars="200"/>
              <w:rPr>
                <w:rFonts w:hint="eastAsia" w:ascii="宋体"/>
                <w:color w:val="auto"/>
                <w:sz w:val="18"/>
                <w:szCs w:val="18"/>
              </w:rPr>
            </w:pPr>
            <w:r>
              <w:rPr>
                <w:rFonts w:hint="eastAsia" w:ascii="宋体"/>
                <w:color w:val="auto"/>
                <w:sz w:val="18"/>
                <w:szCs w:val="18"/>
              </w:rPr>
              <w:t>港澳台商控股</w:t>
            </w:r>
          </w:p>
          <w:p>
            <w:pPr>
              <w:keepNext w:val="0"/>
              <w:keepLines w:val="0"/>
              <w:suppressLineNumbers w:val="0"/>
              <w:snapToGrid w:val="0"/>
              <w:spacing w:before="0" w:beforeAutospacing="0" w:after="0" w:afterAutospacing="0"/>
              <w:ind w:left="0" w:right="0" w:firstLine="360" w:firstLineChars="200"/>
              <w:rPr>
                <w:rFonts w:hint="eastAsia" w:ascii="宋体"/>
                <w:color w:val="auto"/>
                <w:sz w:val="18"/>
                <w:szCs w:val="18"/>
              </w:rPr>
            </w:pPr>
            <w:r>
              <w:rPr>
                <w:rFonts w:hint="eastAsia" w:ascii="宋体"/>
                <w:color w:val="auto"/>
                <w:sz w:val="18"/>
                <w:szCs w:val="18"/>
              </w:rPr>
              <w:t>外商控股</w:t>
            </w:r>
          </w:p>
          <w:p>
            <w:pPr>
              <w:keepNext w:val="0"/>
              <w:keepLines w:val="0"/>
              <w:suppressLineNumbers w:val="0"/>
              <w:snapToGrid w:val="0"/>
              <w:spacing w:before="0" w:beforeAutospacing="0" w:after="0" w:afterAutospacing="0"/>
              <w:ind w:left="0" w:right="0" w:firstLine="360" w:firstLineChars="200"/>
              <w:rPr>
                <w:rFonts w:hint="eastAsia" w:ascii="宋体"/>
                <w:color w:val="auto"/>
                <w:sz w:val="18"/>
                <w:szCs w:val="18"/>
              </w:rPr>
            </w:pPr>
            <w:r>
              <w:rPr>
                <w:rFonts w:hint="eastAsia" w:ascii="宋体"/>
                <w:color w:val="auto"/>
                <w:sz w:val="18"/>
                <w:szCs w:val="18"/>
              </w:rPr>
              <w:t>其他</w:t>
            </w:r>
          </w:p>
          <w:p>
            <w:pPr>
              <w:keepNext w:val="0"/>
              <w:keepLines w:val="0"/>
              <w:suppressLineNumbers w:val="0"/>
              <w:snapToGrid w:val="0"/>
              <w:spacing w:before="0" w:beforeAutospacing="0" w:after="0" w:afterAutospacing="0"/>
              <w:ind w:left="0" w:right="0" w:firstLine="180" w:firstLineChars="100"/>
              <w:rPr>
                <w:rFonts w:hint="default" w:ascii="黑体" w:hAnsi="宋体" w:eastAsia="黑体"/>
                <w:color w:val="auto"/>
                <w:sz w:val="18"/>
              </w:rPr>
            </w:pPr>
            <w:r>
              <w:rPr>
                <w:rFonts w:hint="eastAsia" w:ascii="黑体" w:hAnsi="宋体" w:eastAsia="黑体"/>
                <w:color w:val="auto"/>
                <w:sz w:val="18"/>
              </w:rPr>
              <w:t>期末项目建设状态</w:t>
            </w:r>
          </w:p>
          <w:p>
            <w:pPr>
              <w:keepNext w:val="0"/>
              <w:keepLines w:val="0"/>
              <w:suppressLineNumbers w:val="0"/>
              <w:snapToGrid w:val="0"/>
              <w:spacing w:before="0" w:beforeAutospacing="0" w:after="0" w:afterAutospacing="0"/>
              <w:ind w:left="0" w:right="0" w:firstLine="360" w:firstLineChars="200"/>
              <w:rPr>
                <w:rFonts w:hint="default" w:ascii="宋体" w:hAnsi="宋体"/>
                <w:color w:val="auto"/>
                <w:sz w:val="18"/>
              </w:rPr>
            </w:pPr>
            <w:r>
              <w:rPr>
                <w:rFonts w:hint="eastAsia" w:ascii="宋体" w:hAnsi="宋体"/>
                <w:color w:val="auto"/>
                <w:sz w:val="18"/>
              </w:rPr>
              <w:t>在建</w:t>
            </w:r>
          </w:p>
          <w:p>
            <w:pPr>
              <w:keepNext w:val="0"/>
              <w:keepLines w:val="0"/>
              <w:suppressLineNumbers w:val="0"/>
              <w:snapToGrid w:val="0"/>
              <w:spacing w:before="0" w:beforeAutospacing="0" w:after="0" w:afterAutospacing="0"/>
              <w:ind w:left="0" w:right="0" w:firstLine="360"/>
              <w:rPr>
                <w:rFonts w:hint="eastAsia" w:ascii="宋体" w:hAnsi="宋体"/>
                <w:color w:val="auto"/>
                <w:sz w:val="18"/>
              </w:rPr>
            </w:pPr>
            <w:r>
              <w:rPr>
                <w:rFonts w:hint="eastAsia" w:ascii="宋体" w:hAnsi="宋体"/>
                <w:color w:val="auto"/>
                <w:sz w:val="18"/>
              </w:rPr>
              <w:t>全部投产</w:t>
            </w:r>
          </w:p>
          <w:p>
            <w:pPr>
              <w:keepNext w:val="0"/>
              <w:keepLines w:val="0"/>
              <w:suppressLineNumbers w:val="0"/>
              <w:snapToGrid w:val="0"/>
              <w:spacing w:before="0" w:beforeAutospacing="0" w:after="0" w:afterAutospacing="0"/>
              <w:ind w:left="0" w:right="0" w:firstLine="360"/>
              <w:rPr>
                <w:rFonts w:hint="eastAsia" w:ascii="宋体" w:hAnsi="宋体"/>
                <w:color w:val="auto"/>
                <w:sz w:val="18"/>
              </w:rPr>
            </w:pPr>
            <w:r>
              <w:rPr>
                <w:rFonts w:hint="eastAsia" w:ascii="宋体" w:hAnsi="宋体"/>
                <w:color w:val="auto"/>
                <w:sz w:val="18"/>
              </w:rPr>
              <w:t>全部停缓建</w:t>
            </w:r>
          </w:p>
          <w:p>
            <w:pPr>
              <w:keepNext w:val="0"/>
              <w:keepLines w:val="0"/>
              <w:suppressLineNumbers w:val="0"/>
              <w:snapToGrid w:val="0"/>
              <w:spacing w:before="0" w:beforeAutospacing="0" w:after="0" w:afterAutospacing="0"/>
              <w:ind w:left="0" w:right="0" w:firstLine="180" w:firstLineChars="100"/>
              <w:rPr>
                <w:rFonts w:hint="eastAsia" w:ascii="黑体" w:hAnsi="宋体" w:eastAsia="黑体"/>
                <w:color w:val="auto"/>
                <w:sz w:val="18"/>
              </w:rPr>
            </w:pPr>
          </w:p>
        </w:tc>
      </w:tr>
    </w:tbl>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1"/>
        <w:rPr>
          <w:rFonts w:hint="eastAsia" w:ascii="黑体" w:hAnsi="黑体" w:eastAsia="黑体"/>
          <w:color w:val="auto"/>
          <w:sz w:val="28"/>
          <w:szCs w:val="28"/>
        </w:rPr>
      </w:pP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1"/>
        <w:rPr>
          <w:rFonts w:hint="eastAsia" w:ascii="黑体" w:hAnsi="黑体" w:eastAsia="黑体"/>
          <w:color w:val="auto"/>
          <w:sz w:val="28"/>
          <w:szCs w:val="28"/>
        </w:rPr>
      </w:pP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1"/>
        <w:rPr>
          <w:rFonts w:hint="eastAsia" w:ascii="黑体" w:hAnsi="黑体" w:eastAsia="黑体"/>
          <w:color w:val="auto"/>
          <w:sz w:val="28"/>
          <w:szCs w:val="28"/>
        </w:rPr>
      </w:pP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1"/>
        <w:rPr>
          <w:rFonts w:hint="eastAsia" w:ascii="黑体" w:hAnsi="黑体" w:eastAsia="黑体"/>
          <w:color w:val="auto"/>
          <w:sz w:val="28"/>
          <w:szCs w:val="28"/>
        </w:rPr>
      </w:pP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1"/>
        <w:rPr>
          <w:rFonts w:hint="eastAsia" w:ascii="黑体" w:hAnsi="黑体" w:eastAsia="黑体"/>
          <w:color w:val="auto"/>
          <w:sz w:val="28"/>
          <w:szCs w:val="28"/>
        </w:rPr>
      </w:pP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1"/>
        <w:rPr>
          <w:rFonts w:hint="eastAsia" w:ascii="黑体" w:hAnsi="黑体" w:eastAsia="黑体"/>
          <w:color w:val="auto"/>
          <w:sz w:val="28"/>
          <w:szCs w:val="28"/>
        </w:rPr>
      </w:pPr>
      <w:r>
        <w:rPr>
          <w:rFonts w:hint="eastAsia" w:ascii="黑体" w:hAnsi="黑体" w:eastAsia="黑体"/>
          <w:color w:val="auto"/>
          <w:sz w:val="28"/>
          <w:szCs w:val="28"/>
        </w:rPr>
        <w:t>（五）固定资产投资项目主要行业目录及代码（GB/T 4754-2017）</w:t>
      </w:r>
    </w:p>
    <w:tbl>
      <w:tblPr>
        <w:tblStyle w:val="21"/>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645"/>
        <w:gridCol w:w="4140"/>
        <w:gridCol w:w="720"/>
        <w:gridCol w:w="3912"/>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254" w:hRule="atLeast"/>
          <w:jc w:val="center"/>
        </w:trPr>
        <w:tc>
          <w:tcPr>
            <w:tcW w:w="645" w:type="dxa"/>
            <w:noWrap w:val="0"/>
            <w:tcMar>
              <w:top w:w="28" w:type="dxa"/>
              <w:left w:w="28" w:type="dxa"/>
              <w:bottom w:w="28" w:type="dxa"/>
              <w:right w:w="28" w:type="dxa"/>
            </w:tcMar>
            <w:vAlign w:val="top"/>
          </w:tcPr>
          <w:p>
            <w:pPr>
              <w:keepNext w:val="0"/>
              <w:keepLines w:val="0"/>
              <w:suppressLineNumbers w:val="0"/>
              <w:spacing w:before="0" w:beforeAutospacing="0" w:after="0" w:afterAutospacing="0"/>
              <w:ind w:left="0" w:right="0"/>
              <w:jc w:val="center"/>
              <w:rPr>
                <w:rFonts w:hint="default" w:ascii="黑体" w:hAnsi="黑体" w:eastAsia="黑体"/>
                <w:color w:val="auto"/>
                <w:sz w:val="18"/>
                <w:szCs w:val="18"/>
              </w:rPr>
            </w:pPr>
            <w:r>
              <w:rPr>
                <w:rFonts w:hint="eastAsia" w:ascii="黑体" w:hAnsi="黑体" w:eastAsia="黑体"/>
                <w:color w:val="auto"/>
                <w:sz w:val="18"/>
                <w:szCs w:val="18"/>
              </w:rPr>
              <w:t>代码</w:t>
            </w:r>
          </w:p>
        </w:tc>
        <w:tc>
          <w:tcPr>
            <w:tcW w:w="4140" w:type="dxa"/>
            <w:noWrap w:val="0"/>
            <w:vAlign w:val="top"/>
          </w:tcPr>
          <w:p>
            <w:pPr>
              <w:keepNext w:val="0"/>
              <w:keepLines w:val="0"/>
              <w:suppressLineNumbers w:val="0"/>
              <w:spacing w:before="0" w:beforeAutospacing="0" w:after="0" w:afterAutospacing="0"/>
              <w:ind w:left="0" w:right="0"/>
              <w:jc w:val="center"/>
              <w:rPr>
                <w:rFonts w:hint="default" w:ascii="黑体" w:hAnsi="黑体" w:eastAsia="黑体"/>
                <w:color w:val="auto"/>
                <w:sz w:val="18"/>
                <w:szCs w:val="18"/>
              </w:rPr>
            </w:pPr>
            <w:r>
              <w:rPr>
                <w:rFonts w:hint="eastAsia" w:ascii="黑体" w:hAnsi="黑体" w:eastAsia="黑体"/>
                <w:color w:val="auto"/>
                <w:sz w:val="18"/>
                <w:szCs w:val="18"/>
              </w:rPr>
              <w:t>行</w:t>
            </w:r>
            <w:r>
              <w:rPr>
                <w:rFonts w:hint="default" w:ascii="黑体" w:hAnsi="黑体" w:eastAsia="黑体"/>
                <w:color w:val="auto"/>
                <w:sz w:val="18"/>
                <w:szCs w:val="18"/>
              </w:rPr>
              <w:t xml:space="preserve">  业  名  称</w:t>
            </w:r>
          </w:p>
        </w:tc>
        <w:tc>
          <w:tcPr>
            <w:tcW w:w="720" w:type="dxa"/>
            <w:noWrap w:val="0"/>
            <w:tcMar>
              <w:top w:w="28" w:type="dxa"/>
              <w:left w:w="28" w:type="dxa"/>
              <w:bottom w:w="28" w:type="dxa"/>
              <w:right w:w="28" w:type="dxa"/>
            </w:tcMar>
            <w:vAlign w:val="top"/>
          </w:tcPr>
          <w:p>
            <w:pPr>
              <w:keepNext w:val="0"/>
              <w:keepLines w:val="0"/>
              <w:suppressLineNumbers w:val="0"/>
              <w:spacing w:before="0" w:beforeAutospacing="0" w:after="0" w:afterAutospacing="0"/>
              <w:ind w:left="0" w:right="0"/>
              <w:jc w:val="center"/>
              <w:rPr>
                <w:rFonts w:hint="default" w:ascii="黑体" w:hAnsi="黑体" w:eastAsia="黑体"/>
                <w:color w:val="auto"/>
                <w:sz w:val="18"/>
                <w:szCs w:val="18"/>
              </w:rPr>
            </w:pPr>
            <w:r>
              <w:rPr>
                <w:rFonts w:hint="eastAsia" w:ascii="黑体" w:hAnsi="黑体" w:eastAsia="黑体"/>
                <w:color w:val="auto"/>
                <w:sz w:val="18"/>
                <w:szCs w:val="18"/>
              </w:rPr>
              <w:t>代码</w:t>
            </w:r>
          </w:p>
        </w:tc>
        <w:tc>
          <w:tcPr>
            <w:tcW w:w="3912" w:type="dxa"/>
            <w:noWrap w:val="0"/>
            <w:vAlign w:val="top"/>
          </w:tcPr>
          <w:p>
            <w:pPr>
              <w:keepNext w:val="0"/>
              <w:keepLines w:val="0"/>
              <w:suppressLineNumbers w:val="0"/>
              <w:spacing w:before="0" w:beforeAutospacing="0" w:after="0" w:afterAutospacing="0"/>
              <w:ind w:left="0" w:right="0"/>
              <w:jc w:val="center"/>
              <w:rPr>
                <w:rFonts w:hint="default" w:ascii="黑体" w:hAnsi="黑体" w:eastAsia="黑体"/>
                <w:color w:val="auto"/>
                <w:sz w:val="18"/>
                <w:szCs w:val="18"/>
              </w:rPr>
            </w:pPr>
            <w:r>
              <w:rPr>
                <w:rFonts w:hint="eastAsia" w:ascii="黑体" w:hAnsi="黑体" w:eastAsia="黑体"/>
                <w:color w:val="auto"/>
                <w:sz w:val="18"/>
                <w:szCs w:val="18"/>
              </w:rPr>
              <w:t>行</w:t>
            </w:r>
            <w:r>
              <w:rPr>
                <w:rFonts w:hint="default" w:ascii="黑体" w:hAnsi="黑体" w:eastAsia="黑体"/>
                <w:color w:val="auto"/>
                <w:sz w:val="18"/>
                <w:szCs w:val="18"/>
              </w:rPr>
              <w:t xml:space="preserve">  业  名  称</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117" w:hRule="atLeast"/>
          <w:jc w:val="center"/>
        </w:trPr>
        <w:tc>
          <w:tcPr>
            <w:tcW w:w="645" w:type="dxa"/>
            <w:noWrap w:val="0"/>
            <w:tcMar>
              <w:top w:w="28" w:type="dxa"/>
              <w:left w:w="28" w:type="dxa"/>
              <w:bottom w:w="28" w:type="dxa"/>
              <w:right w:w="28" w:type="dxa"/>
            </w:tcMar>
            <w:vAlign w:val="top"/>
          </w:tcPr>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HAA</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H01</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H02</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H03</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H04</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H05</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HBB</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H06</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H07</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H08</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H09</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H10</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H11</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H1</w:t>
            </w:r>
            <w:r>
              <w:rPr>
                <w:rFonts w:hint="eastAsia" w:ascii="宋体" w:hAnsi="宋体"/>
                <w:color w:val="auto"/>
                <w:sz w:val="18"/>
                <w:szCs w:val="18"/>
              </w:rPr>
              <w:t>2</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HCC</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H13</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H14</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H15</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H16</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H17</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H18</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H19</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H20</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H21</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H22</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H23</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H24</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H25</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H26</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H27</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H28</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H29</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H30</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H31</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H32</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H33</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H34</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H35</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H36</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H37</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H3</w:t>
            </w:r>
            <w:r>
              <w:rPr>
                <w:rFonts w:hint="eastAsia" w:ascii="宋体" w:hAnsi="宋体"/>
                <w:color w:val="auto"/>
                <w:sz w:val="18"/>
                <w:szCs w:val="18"/>
              </w:rPr>
              <w:t>8</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H39</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H40</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H41</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H42</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H43</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HDD</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H44</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H45</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H46</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HEE</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H47</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H48</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H49</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H50</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HFF</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H51</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H52</w:t>
            </w:r>
          </w:p>
        </w:tc>
        <w:tc>
          <w:tcPr>
            <w:tcW w:w="4140" w:type="dxa"/>
            <w:noWrap w:val="0"/>
            <w:vAlign w:val="top"/>
          </w:tcPr>
          <w:p>
            <w:pPr>
              <w:keepNext w:val="0"/>
              <w:keepLines w:val="0"/>
              <w:suppressLineNumbers w:val="0"/>
              <w:snapToGrid w:val="0"/>
              <w:spacing w:before="0" w:beforeAutospacing="0" w:after="0" w:afterAutospacing="0" w:line="220" w:lineRule="exact"/>
              <w:ind w:left="0" w:right="0"/>
              <w:rPr>
                <w:rFonts w:hint="default" w:ascii="宋体" w:hAnsi="宋体"/>
                <w:color w:val="auto"/>
                <w:sz w:val="18"/>
                <w:szCs w:val="18"/>
              </w:rPr>
            </w:pPr>
            <w:r>
              <w:rPr>
                <w:rFonts w:hint="default" w:ascii="宋体" w:hAnsi="宋体"/>
                <w:color w:val="auto"/>
                <w:sz w:val="18"/>
                <w:szCs w:val="18"/>
              </w:rPr>
              <w:t>A.</w:t>
            </w:r>
            <w:r>
              <w:rPr>
                <w:rFonts w:hint="eastAsia" w:ascii="宋体" w:hAnsi="宋体"/>
                <w:color w:val="auto"/>
                <w:sz w:val="18"/>
                <w:szCs w:val="18"/>
              </w:rPr>
              <w:t>农、林、牧、渔业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农 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林 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畜牧业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渔 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农、林、牧、渔专业及辅助性活动</w:t>
            </w:r>
          </w:p>
          <w:p>
            <w:pPr>
              <w:keepNext w:val="0"/>
              <w:keepLines w:val="0"/>
              <w:suppressLineNumbers w:val="0"/>
              <w:snapToGrid w:val="0"/>
              <w:spacing w:before="0" w:beforeAutospacing="0" w:after="0" w:afterAutospacing="0" w:line="220" w:lineRule="exact"/>
              <w:ind w:left="0" w:right="0"/>
              <w:rPr>
                <w:rFonts w:hint="default" w:ascii="宋体" w:hAnsi="宋体"/>
                <w:color w:val="auto"/>
                <w:sz w:val="18"/>
                <w:szCs w:val="18"/>
              </w:rPr>
            </w:pPr>
            <w:r>
              <w:rPr>
                <w:rFonts w:hint="default" w:ascii="宋体" w:hAnsi="宋体"/>
                <w:color w:val="auto"/>
                <w:sz w:val="18"/>
                <w:szCs w:val="18"/>
              </w:rPr>
              <w:t>B.</w:t>
            </w:r>
            <w:r>
              <w:rPr>
                <w:rFonts w:hint="eastAsia" w:ascii="宋体" w:hAnsi="宋体"/>
                <w:color w:val="auto"/>
                <w:sz w:val="18"/>
                <w:szCs w:val="18"/>
              </w:rPr>
              <w:t>采矿业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煤炭开采和洗选业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石油和天然气开采业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黑色金属矿采选业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有色金属矿采选业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非金属矿采选业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开采专业及辅助性活动</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其他采矿业</w:t>
            </w:r>
          </w:p>
          <w:p>
            <w:pPr>
              <w:keepNext w:val="0"/>
              <w:keepLines w:val="0"/>
              <w:suppressLineNumbers w:val="0"/>
              <w:snapToGrid w:val="0"/>
              <w:spacing w:before="0" w:beforeAutospacing="0" w:after="0" w:afterAutospacing="0" w:line="220" w:lineRule="exact"/>
              <w:ind w:left="0" w:right="0"/>
              <w:rPr>
                <w:rFonts w:hint="default" w:ascii="宋体" w:hAnsi="宋体"/>
                <w:color w:val="auto"/>
                <w:sz w:val="18"/>
                <w:szCs w:val="18"/>
              </w:rPr>
            </w:pPr>
            <w:r>
              <w:rPr>
                <w:rFonts w:hint="default" w:ascii="宋体" w:hAnsi="宋体"/>
                <w:color w:val="auto"/>
                <w:sz w:val="18"/>
                <w:szCs w:val="18"/>
              </w:rPr>
              <w:t>C.</w:t>
            </w:r>
            <w:r>
              <w:rPr>
                <w:rFonts w:hint="eastAsia" w:ascii="宋体" w:hAnsi="宋体"/>
                <w:color w:val="auto"/>
                <w:sz w:val="18"/>
                <w:szCs w:val="18"/>
              </w:rPr>
              <w:t>制造业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农副食品加工业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食品制造业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酒、饮料和精制茶制造业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烟草制品业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纺织业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纺织服装、服饰业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皮革、毛皮、羽毛</w:t>
            </w:r>
            <w:r>
              <w:rPr>
                <w:rFonts w:hint="default" w:ascii="宋体" w:hAnsi="宋体"/>
                <w:color w:val="auto"/>
                <w:sz w:val="18"/>
                <w:szCs w:val="18"/>
              </w:rPr>
              <w:t>及其制品</w:t>
            </w:r>
            <w:r>
              <w:rPr>
                <w:rFonts w:hint="eastAsia" w:ascii="宋体" w:hAnsi="宋体"/>
                <w:color w:val="auto"/>
                <w:sz w:val="18"/>
                <w:szCs w:val="18"/>
              </w:rPr>
              <w:t>和制鞋</w:t>
            </w:r>
            <w:r>
              <w:rPr>
                <w:rFonts w:hint="default" w:ascii="宋体" w:hAnsi="宋体"/>
                <w:color w:val="auto"/>
                <w:sz w:val="18"/>
                <w:szCs w:val="18"/>
              </w:rPr>
              <w:t>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木材加工和木、竹、藤、棕、草制品业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家具制造业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造纸和纸制品业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印刷和记录媒介复制业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文教、工美、体育和娱乐用品制造业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石油、煤炭及其他燃料加工业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化学原料和化学制品制造业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医药制造业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化学纤维制造业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橡胶和塑料制品业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非金属矿物制品业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黑色金属冶炼和压延加工业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有色金属冶炼和压延加工业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金属制品业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通用设备制造业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专用设备制造业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汽车制造业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铁路、船舶、航空航天和其他运输设备制造业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电气机械和器材制造业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计算机、通信和其他电子设备制造业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仪器仪表制造业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其他制造业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废弃资源综合利用业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金属制品、机械和设备修理业</w:t>
            </w:r>
          </w:p>
          <w:p>
            <w:pPr>
              <w:keepNext w:val="0"/>
              <w:keepLines w:val="0"/>
              <w:suppressLineNumbers w:val="0"/>
              <w:snapToGrid w:val="0"/>
              <w:spacing w:before="0" w:beforeAutospacing="0" w:after="0" w:afterAutospacing="0" w:line="220" w:lineRule="exact"/>
              <w:ind w:left="0" w:right="0"/>
              <w:rPr>
                <w:rFonts w:hint="default" w:ascii="宋体" w:hAnsi="宋体"/>
                <w:color w:val="auto"/>
                <w:sz w:val="18"/>
                <w:szCs w:val="18"/>
              </w:rPr>
            </w:pPr>
            <w:r>
              <w:rPr>
                <w:rFonts w:hint="default" w:ascii="宋体" w:hAnsi="宋体"/>
                <w:color w:val="auto"/>
                <w:sz w:val="18"/>
                <w:szCs w:val="18"/>
              </w:rPr>
              <w:t>D.</w:t>
            </w:r>
            <w:r>
              <w:rPr>
                <w:rFonts w:hint="eastAsia" w:ascii="宋体" w:hAnsi="宋体"/>
                <w:color w:val="auto"/>
                <w:sz w:val="18"/>
                <w:szCs w:val="18"/>
              </w:rPr>
              <w:t>电力、热力、燃气及水生产和供应业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电力、热力生产和供应业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燃气生产和供应业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水的生产和供应业</w:t>
            </w:r>
          </w:p>
          <w:p>
            <w:pPr>
              <w:keepNext w:val="0"/>
              <w:keepLines w:val="0"/>
              <w:suppressLineNumbers w:val="0"/>
              <w:snapToGrid w:val="0"/>
              <w:spacing w:before="0" w:beforeAutospacing="0" w:after="0" w:afterAutospacing="0" w:line="220" w:lineRule="exact"/>
              <w:ind w:left="0" w:right="0"/>
              <w:rPr>
                <w:rFonts w:hint="default" w:ascii="宋体" w:hAnsi="宋体"/>
                <w:color w:val="auto"/>
                <w:sz w:val="18"/>
                <w:szCs w:val="18"/>
              </w:rPr>
            </w:pPr>
            <w:r>
              <w:rPr>
                <w:rFonts w:hint="default" w:ascii="宋体" w:hAnsi="宋体"/>
                <w:color w:val="auto"/>
                <w:sz w:val="18"/>
                <w:szCs w:val="18"/>
              </w:rPr>
              <w:t>E.</w:t>
            </w:r>
            <w:r>
              <w:rPr>
                <w:rFonts w:hint="eastAsia" w:ascii="宋体" w:hAnsi="宋体"/>
                <w:color w:val="auto"/>
                <w:sz w:val="18"/>
                <w:szCs w:val="18"/>
              </w:rPr>
              <w:t>建筑业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房屋建筑业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土木工程建筑业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建筑安装业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建筑装饰、装修和其他建筑业</w:t>
            </w:r>
          </w:p>
          <w:p>
            <w:pPr>
              <w:keepNext w:val="0"/>
              <w:keepLines w:val="0"/>
              <w:suppressLineNumbers w:val="0"/>
              <w:snapToGrid w:val="0"/>
              <w:spacing w:before="0" w:beforeAutospacing="0" w:after="0" w:afterAutospacing="0" w:line="220" w:lineRule="exact"/>
              <w:ind w:left="0" w:right="0"/>
              <w:rPr>
                <w:rFonts w:hint="eastAsia" w:ascii="宋体" w:hAnsi="宋体"/>
                <w:color w:val="auto"/>
                <w:sz w:val="18"/>
                <w:szCs w:val="18"/>
              </w:rPr>
            </w:pPr>
            <w:r>
              <w:rPr>
                <w:rFonts w:hint="default" w:ascii="宋体" w:hAnsi="宋体"/>
                <w:color w:val="auto"/>
                <w:sz w:val="18"/>
                <w:szCs w:val="18"/>
              </w:rPr>
              <w:t>F.</w:t>
            </w:r>
            <w:r>
              <w:rPr>
                <w:rFonts w:hint="eastAsia" w:ascii="宋体" w:hAnsi="宋体"/>
                <w:color w:val="auto"/>
                <w:sz w:val="18"/>
                <w:szCs w:val="18"/>
              </w:rPr>
              <w:t>批发和零售业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批发业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零售业</w:t>
            </w:r>
          </w:p>
        </w:tc>
        <w:tc>
          <w:tcPr>
            <w:tcW w:w="720" w:type="dxa"/>
            <w:noWrap w:val="0"/>
            <w:tcMar>
              <w:top w:w="28" w:type="dxa"/>
              <w:left w:w="28" w:type="dxa"/>
              <w:bottom w:w="28" w:type="dxa"/>
              <w:right w:w="28" w:type="dxa"/>
            </w:tcMar>
            <w:vAlign w:val="top"/>
          </w:tcPr>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eastAsia" w:ascii="宋体" w:hAnsi="宋体"/>
                <w:color w:val="auto"/>
                <w:sz w:val="18"/>
                <w:szCs w:val="18"/>
              </w:rPr>
              <w:t>HGG</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eastAsia" w:ascii="宋体" w:hAnsi="宋体"/>
                <w:color w:val="auto"/>
                <w:sz w:val="18"/>
                <w:szCs w:val="18"/>
              </w:rPr>
              <w:t>H53</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eastAsia" w:ascii="宋体" w:hAnsi="宋体"/>
                <w:color w:val="auto"/>
                <w:sz w:val="18"/>
                <w:szCs w:val="18"/>
              </w:rPr>
              <w:t>H54</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H55</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H56</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H57</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H58</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H59</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w:t>
            </w:r>
            <w:r>
              <w:rPr>
                <w:rFonts w:hint="eastAsia" w:ascii="宋体" w:hAnsi="宋体"/>
                <w:color w:val="auto"/>
                <w:sz w:val="18"/>
                <w:szCs w:val="18"/>
              </w:rPr>
              <w:t>60</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w:t>
            </w:r>
            <w:r>
              <w:rPr>
                <w:rFonts w:hint="eastAsia" w:ascii="宋体" w:hAnsi="宋体"/>
                <w:color w:val="auto"/>
                <w:sz w:val="18"/>
                <w:szCs w:val="18"/>
              </w:rPr>
              <w:t>HH</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H61</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H62</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w:t>
            </w:r>
            <w:r>
              <w:rPr>
                <w:rFonts w:hint="eastAsia" w:ascii="宋体" w:hAnsi="宋体"/>
                <w:color w:val="auto"/>
                <w:sz w:val="18"/>
                <w:szCs w:val="18"/>
              </w:rPr>
              <w:t>II</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H63</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H6</w:t>
            </w:r>
            <w:r>
              <w:rPr>
                <w:rFonts w:hint="eastAsia" w:ascii="宋体" w:hAnsi="宋体"/>
                <w:color w:val="auto"/>
                <w:sz w:val="18"/>
                <w:szCs w:val="18"/>
              </w:rPr>
              <w:t>4</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eastAsia" w:ascii="宋体" w:hAnsi="宋体"/>
                <w:color w:val="auto"/>
                <w:sz w:val="18"/>
                <w:szCs w:val="18"/>
              </w:rPr>
              <w:t>H65</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w:t>
            </w:r>
            <w:r>
              <w:rPr>
                <w:rFonts w:hint="eastAsia" w:ascii="宋体" w:hAnsi="宋体"/>
                <w:color w:val="auto"/>
                <w:sz w:val="18"/>
                <w:szCs w:val="18"/>
              </w:rPr>
              <w:t>JJ</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H66</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H67</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H68</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H69</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eastAsia" w:ascii="宋体" w:hAnsi="宋体"/>
                <w:color w:val="auto"/>
                <w:sz w:val="18"/>
                <w:szCs w:val="18"/>
              </w:rPr>
              <w:t>HKK</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H70</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eastAsia" w:ascii="宋体" w:hAnsi="宋体"/>
                <w:color w:val="auto"/>
                <w:sz w:val="18"/>
                <w:szCs w:val="18"/>
              </w:rPr>
              <w:t>HLL</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lang w:val="de-DE"/>
              </w:rPr>
            </w:pPr>
            <w:r>
              <w:rPr>
                <w:rFonts w:hint="default" w:ascii="宋体" w:hAnsi="宋体"/>
                <w:color w:val="auto"/>
                <w:sz w:val="18"/>
                <w:szCs w:val="18"/>
                <w:lang w:val="de-DE"/>
              </w:rPr>
              <w:t>H71</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lang w:val="de-DE"/>
              </w:rPr>
            </w:pPr>
            <w:r>
              <w:rPr>
                <w:rFonts w:hint="default" w:ascii="宋体" w:hAnsi="宋体"/>
                <w:color w:val="auto"/>
                <w:sz w:val="18"/>
                <w:szCs w:val="18"/>
                <w:lang w:val="de-DE"/>
              </w:rPr>
              <w:t>H72</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lang w:val="de-DE"/>
              </w:rPr>
            </w:pPr>
            <w:r>
              <w:rPr>
                <w:rFonts w:hint="default" w:ascii="宋体" w:hAnsi="宋体"/>
                <w:color w:val="auto"/>
                <w:sz w:val="18"/>
                <w:szCs w:val="18"/>
                <w:lang w:val="de-DE"/>
              </w:rPr>
              <w:t>H</w:t>
            </w:r>
            <w:r>
              <w:rPr>
                <w:rFonts w:hint="eastAsia" w:ascii="宋体" w:hAnsi="宋体"/>
                <w:color w:val="auto"/>
                <w:sz w:val="18"/>
                <w:szCs w:val="18"/>
                <w:lang w:val="de-DE"/>
              </w:rPr>
              <w:t>MM</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lang w:val="de-DE"/>
              </w:rPr>
            </w:pPr>
            <w:r>
              <w:rPr>
                <w:rFonts w:hint="default" w:ascii="宋体" w:hAnsi="宋体"/>
                <w:color w:val="auto"/>
                <w:sz w:val="18"/>
                <w:szCs w:val="18"/>
                <w:lang w:val="de-DE"/>
              </w:rPr>
              <w:t>H73</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lang w:val="de-DE"/>
              </w:rPr>
            </w:pPr>
            <w:r>
              <w:rPr>
                <w:rFonts w:hint="default" w:ascii="宋体" w:hAnsi="宋体"/>
                <w:color w:val="auto"/>
                <w:sz w:val="18"/>
                <w:szCs w:val="18"/>
                <w:lang w:val="de-DE"/>
              </w:rPr>
              <w:t>H74</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lang w:val="de-DE"/>
              </w:rPr>
            </w:pPr>
            <w:r>
              <w:rPr>
                <w:rFonts w:hint="default" w:ascii="宋体" w:hAnsi="宋体"/>
                <w:color w:val="auto"/>
                <w:sz w:val="18"/>
                <w:szCs w:val="18"/>
                <w:lang w:val="de-DE"/>
              </w:rPr>
              <w:t>H</w:t>
            </w:r>
            <w:r>
              <w:rPr>
                <w:rFonts w:hint="eastAsia" w:ascii="宋体" w:hAnsi="宋体"/>
                <w:color w:val="auto"/>
                <w:sz w:val="18"/>
                <w:szCs w:val="18"/>
                <w:lang w:val="de-DE"/>
              </w:rPr>
              <w:t>75</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lang w:val="de-DE"/>
              </w:rPr>
            </w:pPr>
            <w:r>
              <w:rPr>
                <w:rFonts w:hint="default" w:ascii="宋体" w:hAnsi="宋体"/>
                <w:color w:val="auto"/>
                <w:sz w:val="18"/>
                <w:szCs w:val="18"/>
                <w:lang w:val="de-DE"/>
              </w:rPr>
              <w:t>H</w:t>
            </w:r>
            <w:r>
              <w:rPr>
                <w:rFonts w:hint="eastAsia" w:ascii="宋体" w:hAnsi="宋体"/>
                <w:color w:val="auto"/>
                <w:sz w:val="18"/>
                <w:szCs w:val="18"/>
                <w:lang w:val="de-DE"/>
              </w:rPr>
              <w:t>NN</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H76</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H77</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H78</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eastAsia" w:ascii="宋体" w:hAnsi="宋体"/>
                <w:color w:val="auto"/>
                <w:sz w:val="18"/>
                <w:szCs w:val="18"/>
              </w:rPr>
              <w:t>H79</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w:t>
            </w:r>
            <w:r>
              <w:rPr>
                <w:rFonts w:hint="eastAsia" w:ascii="宋体" w:hAnsi="宋体"/>
                <w:color w:val="auto"/>
                <w:sz w:val="18"/>
                <w:szCs w:val="18"/>
              </w:rPr>
              <w:t>OO</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H80</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H81</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H82</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w:t>
            </w:r>
            <w:r>
              <w:rPr>
                <w:rFonts w:hint="eastAsia" w:ascii="宋体" w:hAnsi="宋体"/>
                <w:color w:val="auto"/>
                <w:sz w:val="18"/>
                <w:szCs w:val="18"/>
              </w:rPr>
              <w:t>PP</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w:t>
            </w:r>
            <w:r>
              <w:rPr>
                <w:rFonts w:hint="eastAsia" w:ascii="宋体" w:hAnsi="宋体"/>
                <w:color w:val="auto"/>
                <w:sz w:val="18"/>
                <w:szCs w:val="18"/>
              </w:rPr>
              <w:t>83</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w:t>
            </w:r>
            <w:r>
              <w:rPr>
                <w:rFonts w:hint="eastAsia" w:ascii="宋体" w:hAnsi="宋体"/>
                <w:color w:val="auto"/>
                <w:sz w:val="18"/>
                <w:szCs w:val="18"/>
              </w:rPr>
              <w:t>QQ</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H84</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H85</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w:t>
            </w:r>
            <w:r>
              <w:rPr>
                <w:rFonts w:hint="eastAsia" w:ascii="宋体" w:hAnsi="宋体"/>
                <w:color w:val="auto"/>
                <w:sz w:val="18"/>
                <w:szCs w:val="18"/>
              </w:rPr>
              <w:t>RR</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H86</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H87</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H88</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H89</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H9</w:t>
            </w:r>
            <w:r>
              <w:rPr>
                <w:rFonts w:hint="eastAsia" w:ascii="宋体" w:hAnsi="宋体"/>
                <w:color w:val="auto"/>
                <w:sz w:val="18"/>
                <w:szCs w:val="18"/>
              </w:rPr>
              <w:t>0</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w:t>
            </w:r>
            <w:r>
              <w:rPr>
                <w:rFonts w:hint="eastAsia" w:ascii="宋体" w:hAnsi="宋体"/>
                <w:color w:val="auto"/>
                <w:sz w:val="18"/>
                <w:szCs w:val="18"/>
              </w:rPr>
              <w:t>SS</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H9</w:t>
            </w:r>
            <w:r>
              <w:rPr>
                <w:rFonts w:hint="eastAsia" w:ascii="宋体" w:hAnsi="宋体"/>
                <w:color w:val="auto"/>
                <w:sz w:val="18"/>
                <w:szCs w:val="18"/>
              </w:rPr>
              <w:t>1</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w:t>
            </w:r>
            <w:r>
              <w:rPr>
                <w:rFonts w:hint="eastAsia" w:ascii="宋体" w:hAnsi="宋体"/>
                <w:color w:val="auto"/>
                <w:sz w:val="18"/>
                <w:szCs w:val="18"/>
              </w:rPr>
              <w:t>92</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H93</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H94</w:t>
            </w:r>
          </w:p>
          <w:p>
            <w:pPr>
              <w:keepNext w:val="0"/>
              <w:keepLines w:val="0"/>
              <w:suppressLineNumbers w:val="0"/>
              <w:snapToGrid w:val="0"/>
              <w:spacing w:before="0" w:beforeAutospacing="0" w:after="0" w:afterAutospacing="0" w:line="220" w:lineRule="exact"/>
              <w:ind w:left="0" w:right="0"/>
              <w:jc w:val="center"/>
              <w:rPr>
                <w:rFonts w:hint="default" w:ascii="宋体" w:hAnsi="宋体"/>
                <w:color w:val="auto"/>
                <w:sz w:val="18"/>
                <w:szCs w:val="18"/>
              </w:rPr>
            </w:pPr>
            <w:r>
              <w:rPr>
                <w:rFonts w:hint="default" w:ascii="宋体" w:hAnsi="宋体"/>
                <w:color w:val="auto"/>
                <w:sz w:val="18"/>
                <w:szCs w:val="18"/>
              </w:rPr>
              <w:t>H95</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eastAsia" w:ascii="宋体" w:hAnsi="宋体"/>
                <w:color w:val="auto"/>
                <w:sz w:val="18"/>
                <w:szCs w:val="18"/>
              </w:rPr>
              <w:t>H96</w:t>
            </w:r>
          </w:p>
          <w:p>
            <w:pPr>
              <w:keepNext w:val="0"/>
              <w:keepLines w:val="0"/>
              <w:suppressLineNumbers w:val="0"/>
              <w:snapToGrid w:val="0"/>
              <w:spacing w:before="0" w:beforeAutospacing="0" w:after="0" w:afterAutospacing="0" w:line="220" w:lineRule="exact"/>
              <w:ind w:left="0" w:right="0"/>
              <w:jc w:val="center"/>
              <w:rPr>
                <w:rFonts w:hint="eastAsia" w:ascii="宋体" w:hAnsi="宋体"/>
                <w:color w:val="auto"/>
                <w:sz w:val="18"/>
                <w:szCs w:val="18"/>
              </w:rPr>
            </w:pPr>
            <w:r>
              <w:rPr>
                <w:rFonts w:hint="default" w:ascii="宋体" w:hAnsi="宋体"/>
                <w:color w:val="auto"/>
                <w:sz w:val="18"/>
                <w:szCs w:val="18"/>
              </w:rPr>
              <w:t>H</w:t>
            </w:r>
            <w:r>
              <w:rPr>
                <w:rFonts w:hint="eastAsia" w:ascii="宋体" w:hAnsi="宋体"/>
                <w:color w:val="auto"/>
                <w:sz w:val="18"/>
                <w:szCs w:val="18"/>
              </w:rPr>
              <w:t>TT</w:t>
            </w:r>
          </w:p>
        </w:tc>
        <w:tc>
          <w:tcPr>
            <w:tcW w:w="3912" w:type="dxa"/>
            <w:noWrap w:val="0"/>
            <w:vAlign w:val="top"/>
          </w:tcPr>
          <w:p>
            <w:pPr>
              <w:keepNext w:val="0"/>
              <w:keepLines w:val="0"/>
              <w:suppressLineNumbers w:val="0"/>
              <w:snapToGrid w:val="0"/>
              <w:spacing w:before="0" w:beforeAutospacing="0" w:after="0" w:afterAutospacing="0" w:line="220" w:lineRule="exact"/>
              <w:ind w:left="0" w:right="0"/>
              <w:rPr>
                <w:rFonts w:hint="eastAsia" w:ascii="宋体" w:hAnsi="宋体"/>
                <w:color w:val="auto"/>
                <w:sz w:val="18"/>
                <w:szCs w:val="18"/>
              </w:rPr>
            </w:pPr>
            <w:r>
              <w:rPr>
                <w:rFonts w:hint="eastAsia" w:ascii="宋体" w:hAnsi="宋体"/>
                <w:color w:val="auto"/>
                <w:sz w:val="18"/>
                <w:szCs w:val="18"/>
              </w:rPr>
              <w:t>G.交通运输、仓储和邮政业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铁路运输业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道路运输业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水上运输业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航空运输业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管道运输业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多式联运和运输代理业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装卸搬运和仓储业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邮政业</w:t>
            </w:r>
          </w:p>
          <w:p>
            <w:pPr>
              <w:keepNext w:val="0"/>
              <w:keepLines w:val="0"/>
              <w:suppressLineNumbers w:val="0"/>
              <w:snapToGrid w:val="0"/>
              <w:spacing w:before="0" w:beforeAutospacing="0" w:after="0" w:afterAutospacing="0" w:line="220" w:lineRule="exact"/>
              <w:ind w:left="0" w:right="0"/>
              <w:rPr>
                <w:rFonts w:hint="default" w:ascii="宋体" w:hAnsi="宋体"/>
                <w:color w:val="auto"/>
                <w:sz w:val="18"/>
                <w:szCs w:val="18"/>
              </w:rPr>
            </w:pPr>
            <w:r>
              <w:rPr>
                <w:rFonts w:hint="eastAsia" w:ascii="宋体" w:hAnsi="宋体"/>
                <w:color w:val="auto"/>
                <w:sz w:val="18"/>
                <w:szCs w:val="18"/>
              </w:rPr>
              <w:t>H</w:t>
            </w:r>
            <w:r>
              <w:rPr>
                <w:rFonts w:hint="default" w:ascii="宋体" w:hAnsi="宋体"/>
                <w:color w:val="auto"/>
                <w:sz w:val="18"/>
                <w:szCs w:val="18"/>
              </w:rPr>
              <w:t>.</w:t>
            </w:r>
            <w:r>
              <w:rPr>
                <w:rFonts w:hint="eastAsia" w:ascii="宋体" w:hAnsi="宋体"/>
                <w:color w:val="auto"/>
                <w:sz w:val="18"/>
                <w:szCs w:val="18"/>
              </w:rPr>
              <w:t>住宿和餐饮业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住宿业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餐饮业</w:t>
            </w:r>
          </w:p>
          <w:p>
            <w:pPr>
              <w:keepNext w:val="0"/>
              <w:keepLines w:val="0"/>
              <w:suppressLineNumbers w:val="0"/>
              <w:snapToGrid w:val="0"/>
              <w:spacing w:before="0" w:beforeAutospacing="0" w:after="0" w:afterAutospacing="0" w:line="220" w:lineRule="exact"/>
              <w:ind w:left="0" w:right="0"/>
              <w:rPr>
                <w:rFonts w:hint="eastAsia" w:ascii="宋体" w:hAnsi="宋体"/>
                <w:color w:val="auto"/>
                <w:sz w:val="18"/>
                <w:szCs w:val="18"/>
              </w:rPr>
            </w:pPr>
            <w:r>
              <w:rPr>
                <w:rFonts w:hint="eastAsia" w:ascii="宋体" w:hAnsi="宋体"/>
                <w:color w:val="auto"/>
                <w:sz w:val="18"/>
                <w:szCs w:val="18"/>
              </w:rPr>
              <w:t>I.信息传输、软件和信息技术服务业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电信、广播电视和卫星传输服务</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互联网和相关服务</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软件和信息技术服务业</w:t>
            </w:r>
          </w:p>
          <w:p>
            <w:pPr>
              <w:keepNext w:val="0"/>
              <w:keepLines w:val="0"/>
              <w:suppressLineNumbers w:val="0"/>
              <w:snapToGrid w:val="0"/>
              <w:spacing w:before="0" w:beforeAutospacing="0" w:after="0" w:afterAutospacing="0" w:line="220" w:lineRule="exact"/>
              <w:ind w:left="0" w:right="0"/>
              <w:rPr>
                <w:rFonts w:hint="default" w:ascii="宋体" w:hAnsi="宋体"/>
                <w:color w:val="auto"/>
                <w:sz w:val="18"/>
                <w:szCs w:val="18"/>
              </w:rPr>
            </w:pPr>
            <w:r>
              <w:rPr>
                <w:rFonts w:hint="default" w:ascii="宋体" w:hAnsi="宋体"/>
                <w:color w:val="auto"/>
                <w:sz w:val="18"/>
                <w:szCs w:val="18"/>
              </w:rPr>
              <w:t>J.</w:t>
            </w:r>
            <w:r>
              <w:rPr>
                <w:rFonts w:hint="eastAsia" w:ascii="宋体" w:hAnsi="宋体"/>
                <w:color w:val="auto"/>
                <w:sz w:val="18"/>
                <w:szCs w:val="18"/>
              </w:rPr>
              <w:t>金融业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货币金融服务</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资本市场服务</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保险业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其他金融业</w:t>
            </w:r>
          </w:p>
          <w:p>
            <w:pPr>
              <w:keepNext w:val="0"/>
              <w:keepLines w:val="0"/>
              <w:suppressLineNumbers w:val="0"/>
              <w:snapToGrid w:val="0"/>
              <w:spacing w:before="0" w:beforeAutospacing="0" w:after="0" w:afterAutospacing="0" w:line="220" w:lineRule="exact"/>
              <w:ind w:left="0" w:right="0"/>
              <w:rPr>
                <w:rFonts w:hint="default" w:ascii="宋体" w:hAnsi="宋体"/>
                <w:color w:val="auto"/>
                <w:sz w:val="18"/>
                <w:szCs w:val="18"/>
              </w:rPr>
            </w:pPr>
            <w:r>
              <w:rPr>
                <w:rFonts w:hint="default" w:ascii="宋体" w:hAnsi="宋体"/>
                <w:color w:val="auto"/>
                <w:sz w:val="18"/>
                <w:szCs w:val="18"/>
              </w:rPr>
              <w:t>K.</w:t>
            </w:r>
            <w:r>
              <w:rPr>
                <w:rFonts w:hint="eastAsia" w:ascii="宋体" w:hAnsi="宋体"/>
                <w:color w:val="auto"/>
                <w:sz w:val="18"/>
                <w:szCs w:val="18"/>
              </w:rPr>
              <w:t>房地产业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房地产业</w:t>
            </w:r>
          </w:p>
          <w:p>
            <w:pPr>
              <w:keepNext w:val="0"/>
              <w:keepLines w:val="0"/>
              <w:suppressLineNumbers w:val="0"/>
              <w:snapToGrid w:val="0"/>
              <w:spacing w:before="0" w:beforeAutospacing="0" w:after="0" w:afterAutospacing="0" w:line="220" w:lineRule="exact"/>
              <w:ind w:left="0" w:right="0"/>
              <w:rPr>
                <w:rFonts w:hint="default" w:ascii="宋体" w:hAnsi="宋体"/>
                <w:color w:val="auto"/>
                <w:sz w:val="18"/>
                <w:szCs w:val="18"/>
              </w:rPr>
            </w:pPr>
            <w:r>
              <w:rPr>
                <w:rFonts w:hint="default" w:ascii="宋体" w:hAnsi="宋体"/>
                <w:color w:val="auto"/>
                <w:sz w:val="18"/>
                <w:szCs w:val="18"/>
              </w:rPr>
              <w:t>L.</w:t>
            </w:r>
            <w:r>
              <w:rPr>
                <w:rFonts w:hint="eastAsia" w:ascii="宋体" w:hAnsi="宋体"/>
                <w:color w:val="auto"/>
                <w:sz w:val="18"/>
                <w:szCs w:val="18"/>
              </w:rPr>
              <w:t>租赁和商务服务业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租赁业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商务服务业</w:t>
            </w:r>
          </w:p>
          <w:p>
            <w:pPr>
              <w:keepNext w:val="0"/>
              <w:keepLines w:val="0"/>
              <w:suppressLineNumbers w:val="0"/>
              <w:snapToGrid w:val="0"/>
              <w:spacing w:before="0" w:beforeAutospacing="0" w:after="0" w:afterAutospacing="0" w:line="220" w:lineRule="exact"/>
              <w:ind w:left="0" w:right="0"/>
              <w:rPr>
                <w:rFonts w:hint="eastAsia" w:ascii="宋体" w:hAnsi="宋体"/>
                <w:color w:val="auto"/>
                <w:sz w:val="18"/>
                <w:szCs w:val="18"/>
              </w:rPr>
            </w:pPr>
            <w:r>
              <w:rPr>
                <w:rFonts w:hint="eastAsia" w:ascii="宋体" w:hAnsi="宋体"/>
                <w:color w:val="auto"/>
                <w:sz w:val="18"/>
                <w:szCs w:val="18"/>
              </w:rPr>
              <w:t>M.科学研究和技术服务业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研究和试验发展</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专业技术服务业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科技推广和应用服务业</w:t>
            </w:r>
          </w:p>
          <w:p>
            <w:pPr>
              <w:keepNext w:val="0"/>
              <w:keepLines w:val="0"/>
              <w:suppressLineNumbers w:val="0"/>
              <w:snapToGrid w:val="0"/>
              <w:spacing w:before="0" w:beforeAutospacing="0" w:after="0" w:afterAutospacing="0" w:line="220" w:lineRule="exact"/>
              <w:ind w:left="0" w:right="0"/>
              <w:rPr>
                <w:rFonts w:hint="default" w:ascii="宋体" w:hAnsi="宋体"/>
                <w:color w:val="auto"/>
                <w:sz w:val="18"/>
                <w:szCs w:val="18"/>
              </w:rPr>
            </w:pPr>
            <w:r>
              <w:rPr>
                <w:rFonts w:hint="default" w:ascii="宋体" w:hAnsi="宋体"/>
                <w:color w:val="auto"/>
                <w:sz w:val="18"/>
                <w:szCs w:val="18"/>
              </w:rPr>
              <w:t>N.</w:t>
            </w:r>
            <w:r>
              <w:rPr>
                <w:rFonts w:hint="eastAsia" w:ascii="宋体" w:hAnsi="宋体"/>
                <w:color w:val="auto"/>
                <w:sz w:val="18"/>
                <w:szCs w:val="18"/>
              </w:rPr>
              <w:t>水利、环境和公共设施管理业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水利管理业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生态保护和环境治理业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公共设施管理业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土地管理业</w:t>
            </w:r>
          </w:p>
          <w:p>
            <w:pPr>
              <w:keepNext w:val="0"/>
              <w:keepLines w:val="0"/>
              <w:suppressLineNumbers w:val="0"/>
              <w:snapToGrid w:val="0"/>
              <w:spacing w:before="0" w:beforeAutospacing="0" w:after="0" w:afterAutospacing="0" w:line="220" w:lineRule="exact"/>
              <w:ind w:left="0" w:right="0"/>
              <w:rPr>
                <w:rFonts w:hint="eastAsia" w:ascii="宋体" w:hAnsi="宋体"/>
                <w:color w:val="auto"/>
                <w:sz w:val="18"/>
                <w:szCs w:val="18"/>
              </w:rPr>
            </w:pPr>
            <w:r>
              <w:rPr>
                <w:rFonts w:hint="default" w:ascii="宋体" w:hAnsi="宋体"/>
                <w:color w:val="auto"/>
                <w:sz w:val="18"/>
                <w:szCs w:val="18"/>
              </w:rPr>
              <w:t>O.</w:t>
            </w:r>
            <w:r>
              <w:rPr>
                <w:rFonts w:hint="eastAsia" w:ascii="宋体" w:hAnsi="宋体"/>
                <w:color w:val="auto"/>
                <w:sz w:val="18"/>
                <w:szCs w:val="18"/>
              </w:rPr>
              <w:t>居民服务、修理和其他服务业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居民服务业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机动车、电子产品和日用产品修理业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其他服务业</w:t>
            </w:r>
          </w:p>
          <w:p>
            <w:pPr>
              <w:keepNext w:val="0"/>
              <w:keepLines w:val="0"/>
              <w:suppressLineNumbers w:val="0"/>
              <w:snapToGrid w:val="0"/>
              <w:spacing w:before="0" w:beforeAutospacing="0" w:after="0" w:afterAutospacing="0" w:line="220" w:lineRule="exact"/>
              <w:ind w:left="0" w:right="0"/>
              <w:rPr>
                <w:rFonts w:hint="eastAsia" w:ascii="宋体" w:hAnsi="宋体"/>
                <w:color w:val="auto"/>
                <w:sz w:val="18"/>
                <w:szCs w:val="18"/>
              </w:rPr>
            </w:pPr>
            <w:r>
              <w:rPr>
                <w:rFonts w:hint="eastAsia" w:ascii="宋体" w:hAnsi="宋体"/>
                <w:color w:val="auto"/>
                <w:sz w:val="18"/>
                <w:szCs w:val="18"/>
              </w:rPr>
              <w:t>P.教育</w:t>
            </w:r>
          </w:p>
          <w:p>
            <w:pPr>
              <w:keepNext w:val="0"/>
              <w:keepLines w:val="0"/>
              <w:suppressLineNumbers w:val="0"/>
              <w:snapToGrid w:val="0"/>
              <w:spacing w:before="0" w:beforeAutospacing="0" w:after="0" w:afterAutospacing="0" w:line="220" w:lineRule="exact"/>
              <w:ind w:left="0" w:right="0"/>
              <w:rPr>
                <w:rFonts w:hint="default" w:ascii="宋体" w:hAnsi="宋体"/>
                <w:color w:val="auto"/>
                <w:sz w:val="18"/>
                <w:szCs w:val="18"/>
              </w:rPr>
            </w:pPr>
            <w:r>
              <w:rPr>
                <w:rFonts w:hint="eastAsia" w:ascii="宋体" w:hAnsi="宋体"/>
                <w:color w:val="auto"/>
                <w:sz w:val="18"/>
                <w:szCs w:val="18"/>
              </w:rPr>
              <w:t xml:space="preserve">    教育</w:t>
            </w:r>
          </w:p>
          <w:p>
            <w:pPr>
              <w:keepNext w:val="0"/>
              <w:keepLines w:val="0"/>
              <w:suppressLineNumbers w:val="0"/>
              <w:snapToGrid w:val="0"/>
              <w:spacing w:before="0" w:beforeAutospacing="0" w:after="0" w:afterAutospacing="0" w:line="220" w:lineRule="exact"/>
              <w:ind w:left="0" w:right="0"/>
              <w:rPr>
                <w:rFonts w:hint="default" w:ascii="宋体" w:hAnsi="宋体"/>
                <w:color w:val="auto"/>
                <w:sz w:val="18"/>
                <w:szCs w:val="18"/>
              </w:rPr>
            </w:pPr>
            <w:r>
              <w:rPr>
                <w:rFonts w:hint="default" w:ascii="宋体" w:hAnsi="宋体"/>
                <w:color w:val="auto"/>
                <w:sz w:val="18"/>
                <w:szCs w:val="18"/>
              </w:rPr>
              <w:t>Q.</w:t>
            </w:r>
            <w:r>
              <w:rPr>
                <w:rFonts w:hint="eastAsia" w:ascii="宋体" w:hAnsi="宋体"/>
                <w:color w:val="auto"/>
                <w:sz w:val="18"/>
                <w:szCs w:val="18"/>
              </w:rPr>
              <w:t>卫生和社会工作</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卫生</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社会工作</w:t>
            </w:r>
          </w:p>
          <w:p>
            <w:pPr>
              <w:keepNext w:val="0"/>
              <w:keepLines w:val="0"/>
              <w:suppressLineNumbers w:val="0"/>
              <w:snapToGrid w:val="0"/>
              <w:spacing w:before="0" w:beforeAutospacing="0" w:after="0" w:afterAutospacing="0" w:line="220" w:lineRule="exact"/>
              <w:ind w:left="0" w:right="0"/>
              <w:rPr>
                <w:rFonts w:hint="default" w:ascii="宋体" w:hAnsi="宋体"/>
                <w:color w:val="auto"/>
                <w:sz w:val="18"/>
                <w:szCs w:val="18"/>
              </w:rPr>
            </w:pPr>
            <w:r>
              <w:rPr>
                <w:rFonts w:hint="default" w:ascii="宋体" w:hAnsi="宋体"/>
                <w:color w:val="auto"/>
                <w:sz w:val="18"/>
                <w:szCs w:val="18"/>
              </w:rPr>
              <w:t>R.</w:t>
            </w:r>
            <w:r>
              <w:rPr>
                <w:rFonts w:hint="eastAsia" w:ascii="宋体" w:hAnsi="宋体"/>
                <w:color w:val="auto"/>
                <w:sz w:val="18"/>
                <w:szCs w:val="18"/>
              </w:rPr>
              <w:t>文化、体育和娱乐业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新闻和出版业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广播、电视、电影和录音制作业</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文化艺术业</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体育</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娱乐业</w:t>
            </w:r>
          </w:p>
          <w:p>
            <w:pPr>
              <w:keepNext w:val="0"/>
              <w:keepLines w:val="0"/>
              <w:suppressLineNumbers w:val="0"/>
              <w:snapToGrid w:val="0"/>
              <w:spacing w:before="0" w:beforeAutospacing="0" w:after="0" w:afterAutospacing="0" w:line="220" w:lineRule="exact"/>
              <w:ind w:left="0" w:right="0"/>
              <w:rPr>
                <w:rFonts w:hint="eastAsia" w:ascii="宋体" w:hAnsi="宋体"/>
                <w:color w:val="auto"/>
                <w:sz w:val="18"/>
                <w:szCs w:val="18"/>
              </w:rPr>
            </w:pPr>
            <w:r>
              <w:rPr>
                <w:rFonts w:hint="default" w:ascii="宋体" w:hAnsi="宋体"/>
                <w:color w:val="auto"/>
                <w:sz w:val="18"/>
                <w:szCs w:val="18"/>
              </w:rPr>
              <w:t>S.</w:t>
            </w:r>
            <w:r>
              <w:rPr>
                <w:rFonts w:hint="eastAsia" w:ascii="宋体" w:hAnsi="宋体"/>
                <w:color w:val="auto"/>
                <w:sz w:val="18"/>
                <w:szCs w:val="18"/>
              </w:rPr>
              <w:t>公共管理、社会保障和社会组织</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中国共产党机关</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国家机构</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人民政协、民主党派</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社会保障</w:t>
            </w:r>
          </w:p>
          <w:p>
            <w:pPr>
              <w:keepNext w:val="0"/>
              <w:keepLines w:val="0"/>
              <w:suppressLineNumbers w:val="0"/>
              <w:snapToGrid w:val="0"/>
              <w:spacing w:before="0" w:beforeAutospacing="0" w:after="0" w:afterAutospacing="0" w:line="220" w:lineRule="exact"/>
              <w:ind w:left="0" w:right="0" w:firstLine="360" w:firstLineChars="200"/>
              <w:rPr>
                <w:rFonts w:hint="default" w:ascii="宋体" w:hAnsi="宋体"/>
                <w:color w:val="auto"/>
                <w:sz w:val="18"/>
                <w:szCs w:val="18"/>
              </w:rPr>
            </w:pPr>
            <w:r>
              <w:rPr>
                <w:rFonts w:hint="eastAsia" w:ascii="宋体" w:hAnsi="宋体"/>
                <w:color w:val="auto"/>
                <w:sz w:val="18"/>
                <w:szCs w:val="18"/>
              </w:rPr>
              <w:t>群众团体、社会团体和其他成员组织</w:t>
            </w:r>
          </w:p>
          <w:p>
            <w:pPr>
              <w:keepNext w:val="0"/>
              <w:keepLines w:val="0"/>
              <w:suppressLineNumbers w:val="0"/>
              <w:snapToGrid w:val="0"/>
              <w:spacing w:before="0" w:beforeAutospacing="0" w:after="0" w:afterAutospacing="0" w:line="220" w:lineRule="exact"/>
              <w:ind w:left="0" w:right="0" w:firstLine="360" w:firstLineChars="200"/>
              <w:rPr>
                <w:rFonts w:hint="eastAsia" w:ascii="宋体" w:hAnsi="宋体"/>
                <w:color w:val="auto"/>
                <w:sz w:val="18"/>
                <w:szCs w:val="18"/>
              </w:rPr>
            </w:pPr>
            <w:r>
              <w:rPr>
                <w:rFonts w:hint="eastAsia" w:ascii="宋体" w:hAnsi="宋体"/>
                <w:color w:val="auto"/>
                <w:sz w:val="18"/>
                <w:szCs w:val="18"/>
              </w:rPr>
              <w:t>基层群众自治组织及其他组织</w:t>
            </w:r>
          </w:p>
          <w:p>
            <w:pPr>
              <w:keepNext w:val="0"/>
              <w:keepLines w:val="0"/>
              <w:suppressLineNumbers w:val="0"/>
              <w:snapToGrid w:val="0"/>
              <w:spacing w:before="0" w:beforeAutospacing="0" w:after="0" w:afterAutospacing="0" w:line="220" w:lineRule="exact"/>
              <w:ind w:left="0" w:right="0"/>
              <w:rPr>
                <w:rFonts w:hint="eastAsia" w:ascii="宋体" w:hAnsi="宋体"/>
                <w:color w:val="auto"/>
                <w:sz w:val="18"/>
                <w:szCs w:val="18"/>
              </w:rPr>
            </w:pPr>
            <w:r>
              <w:rPr>
                <w:rFonts w:hint="default" w:ascii="宋体" w:hAnsi="宋体"/>
                <w:color w:val="auto"/>
                <w:sz w:val="18"/>
                <w:szCs w:val="18"/>
              </w:rPr>
              <w:t>T.</w:t>
            </w:r>
            <w:r>
              <w:rPr>
                <w:rFonts w:hint="eastAsia" w:ascii="宋体" w:hAnsi="宋体"/>
                <w:color w:val="auto"/>
                <w:sz w:val="18"/>
                <w:szCs w:val="18"/>
              </w:rPr>
              <w:t>国际组织</w:t>
            </w:r>
          </w:p>
        </w:tc>
      </w:tr>
    </w:tbl>
    <w:p>
      <w:pPr>
        <w:pStyle w:val="11"/>
        <w:jc w:val="center"/>
        <w:rPr>
          <w:color w:val="auto"/>
          <w:sz w:val="32"/>
        </w:rPr>
        <w:sectPr>
          <w:headerReference r:id="rId9" w:type="default"/>
          <w:pgSz w:w="11906" w:h="16838"/>
          <w:pgMar w:top="1418" w:right="1247" w:bottom="1247" w:left="1247" w:header="851" w:footer="851" w:gutter="0"/>
          <w:pgBorders>
            <w:top w:val="none" w:sz="0" w:space="0"/>
            <w:left w:val="none" w:sz="0" w:space="0"/>
            <w:bottom w:val="none" w:sz="0" w:space="0"/>
            <w:right w:val="none" w:sz="0" w:space="0"/>
          </w:pgBorders>
          <w:pgNumType w:fmt="numberInDash"/>
          <w:cols w:space="720" w:num="1"/>
          <w:docGrid w:type="linesAndChars" w:linePitch="312" w:charSpace="0"/>
        </w:sectPr>
      </w:pP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1"/>
        <w:rPr>
          <w:rFonts w:hint="eastAsia" w:ascii="黑体" w:hAnsi="黑体" w:eastAsia="黑体"/>
          <w:color w:val="auto"/>
          <w:sz w:val="28"/>
          <w:szCs w:val="28"/>
        </w:rPr>
      </w:pPr>
      <w:r>
        <w:rPr>
          <w:rFonts w:hint="eastAsia" w:ascii="黑体" w:hAnsi="黑体" w:eastAsia="黑体"/>
          <w:color w:val="auto"/>
          <w:sz w:val="28"/>
          <w:szCs w:val="28"/>
        </w:rPr>
        <w:t>（</w:t>
      </w:r>
      <w:r>
        <w:rPr>
          <w:rFonts w:hint="eastAsia" w:ascii="黑体" w:hAnsi="黑体" w:eastAsia="黑体"/>
          <w:color w:val="auto"/>
          <w:sz w:val="28"/>
          <w:szCs w:val="28"/>
          <w:lang w:eastAsia="zh-CN"/>
        </w:rPr>
        <w:t>六</w:t>
      </w:r>
      <w:r>
        <w:rPr>
          <w:rFonts w:hint="eastAsia" w:ascii="黑体" w:hAnsi="黑体" w:eastAsia="黑体"/>
          <w:color w:val="auto"/>
          <w:sz w:val="28"/>
          <w:szCs w:val="28"/>
        </w:rPr>
        <w:t>）固定资产投资项目有关编码填写方法</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8"/>
        </w:rPr>
      </w:pPr>
      <w:r>
        <w:rPr>
          <w:rFonts w:hint="eastAsia" w:ascii="宋体" w:hAnsi="宋体"/>
          <w:color w:val="auto"/>
          <w:szCs w:val="28"/>
        </w:rPr>
        <w:t>与投资项目有关的编码有两个：一是投资项目编码；二是投资项目在线审批监管平台统一代码。</w:t>
      </w:r>
    </w:p>
    <w:p>
      <w:pPr>
        <w:keepNext w:val="0"/>
        <w:keepLines w:val="0"/>
        <w:pageBreakBefore w:val="0"/>
        <w:widowControl w:val="0"/>
        <w:kinsoku/>
        <w:wordWrap/>
        <w:overflowPunct/>
        <w:topLinePunct w:val="0"/>
        <w:autoSpaceDE/>
        <w:autoSpaceDN/>
        <w:bidi w:val="0"/>
        <w:adjustRightInd/>
        <w:snapToGrid/>
        <w:spacing w:after="157" w:afterLines="50" w:line="360" w:lineRule="exact"/>
        <w:ind w:firstLine="420" w:firstLineChars="200"/>
        <w:textAlignment w:val="auto"/>
        <w:rPr>
          <w:rFonts w:hint="eastAsia" w:ascii="宋体" w:hAnsi="宋体"/>
          <w:color w:val="auto"/>
          <w:szCs w:val="28"/>
        </w:rPr>
      </w:pPr>
      <w:r>
        <w:rPr>
          <w:rFonts w:hint="eastAsia" w:ascii="黑体" w:hAnsi="宋体" w:eastAsia="黑体"/>
          <w:color w:val="auto"/>
          <w:szCs w:val="28"/>
        </w:rPr>
        <w:t xml:space="preserve">投资项目编码  </w:t>
      </w:r>
      <w:r>
        <w:rPr>
          <w:rFonts w:hint="eastAsia" w:ascii="宋体" w:hAnsi="宋体"/>
          <w:color w:val="auto"/>
          <w:szCs w:val="28"/>
        </w:rPr>
        <w:t>由各级统计机构编写，规则如下：</w:t>
      </w:r>
    </w:p>
    <w:tbl>
      <w:tblPr>
        <w:tblStyle w:val="21"/>
        <w:tblW w:w="9878" w:type="dxa"/>
        <w:tblInd w:w="-8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523"/>
        <w:gridCol w:w="552"/>
        <w:gridCol w:w="552"/>
        <w:gridCol w:w="552"/>
        <w:gridCol w:w="553"/>
        <w:gridCol w:w="551"/>
        <w:gridCol w:w="551"/>
        <w:gridCol w:w="551"/>
        <w:gridCol w:w="563"/>
        <w:gridCol w:w="551"/>
        <w:gridCol w:w="551"/>
        <w:gridCol w:w="551"/>
        <w:gridCol w:w="551"/>
        <w:gridCol w:w="551"/>
        <w:gridCol w:w="558"/>
        <w:gridCol w:w="551"/>
        <w:gridCol w:w="551"/>
        <w:gridCol w:w="515"/>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402" w:hRule="atLeast"/>
        </w:trPr>
        <w:tc>
          <w:tcPr>
            <w:tcW w:w="4948" w:type="dxa"/>
            <w:gridSpan w:val="9"/>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组织机构代码</w:t>
            </w:r>
          </w:p>
        </w:tc>
        <w:tc>
          <w:tcPr>
            <w:tcW w:w="3313" w:type="dxa"/>
            <w:gridSpan w:val="6"/>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项目处理地</w:t>
            </w:r>
          </w:p>
        </w:tc>
        <w:tc>
          <w:tcPr>
            <w:tcW w:w="1617" w:type="dxa"/>
            <w:gridSpan w:val="3"/>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顺序号</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06" w:hRule="atLeast"/>
        </w:trPr>
        <w:tc>
          <w:tcPr>
            <w:tcW w:w="523"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2"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2"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2"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3"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1"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1"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1"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63"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1"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1"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1"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1"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1"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8"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1"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51"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c>
          <w:tcPr>
            <w:tcW w:w="515" w:type="dxa"/>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color w:val="auto"/>
                <w:szCs w:val="21"/>
              </w:rPr>
            </w:pPr>
          </w:p>
        </w:tc>
      </w:tr>
    </w:tbl>
    <w:p>
      <w:pPr>
        <w:adjustRightInd w:val="0"/>
        <w:spacing w:before="156" w:beforeLines="50" w:line="360" w:lineRule="exact"/>
        <w:ind w:firstLine="420" w:firstLineChars="200"/>
        <w:rPr>
          <w:rFonts w:hint="eastAsia" w:ascii="宋体" w:hAnsi="宋体"/>
          <w:color w:val="auto"/>
          <w:szCs w:val="28"/>
        </w:rPr>
      </w:pPr>
      <w:r>
        <w:rPr>
          <w:rFonts w:hint="eastAsia" w:ascii="宋体" w:hAnsi="宋体"/>
          <w:color w:val="auto"/>
          <w:szCs w:val="28"/>
        </w:rPr>
        <w:t>１.编码规则如下：</w:t>
      </w:r>
    </w:p>
    <w:p>
      <w:pPr>
        <w:adjustRightInd w:val="0"/>
        <w:spacing w:line="360" w:lineRule="exact"/>
        <w:ind w:firstLine="420" w:firstLineChars="200"/>
        <w:rPr>
          <w:rFonts w:hint="eastAsia" w:ascii="宋体" w:hAnsi="宋体"/>
          <w:color w:val="auto"/>
          <w:szCs w:val="28"/>
        </w:rPr>
      </w:pPr>
      <w:r>
        <w:rPr>
          <w:rFonts w:hint="eastAsia" w:ascii="宋体" w:hAnsi="宋体"/>
          <w:color w:val="auto"/>
          <w:szCs w:val="28"/>
        </w:rPr>
        <w:t>项目的编码共十八位，前九位是项目法人单位的组织机构代码，中间六位是项目归属统计机构管理的代码，后三位为项目顺序码。</w:t>
      </w:r>
    </w:p>
    <w:p>
      <w:pPr>
        <w:adjustRightInd w:val="0"/>
        <w:spacing w:line="360" w:lineRule="exact"/>
        <w:ind w:firstLine="420" w:firstLineChars="200"/>
        <w:rPr>
          <w:rFonts w:hint="eastAsia" w:ascii="宋体" w:hAnsi="宋体"/>
          <w:color w:val="auto"/>
          <w:szCs w:val="28"/>
        </w:rPr>
      </w:pPr>
      <w:r>
        <w:rPr>
          <w:rFonts w:hint="eastAsia" w:ascii="宋体" w:hAnsi="宋体"/>
          <w:color w:val="auto"/>
          <w:szCs w:val="28"/>
        </w:rPr>
        <w:t>(1)组织机构代码的填写方法：</w:t>
      </w:r>
    </w:p>
    <w:p>
      <w:pPr>
        <w:adjustRightInd w:val="0"/>
        <w:spacing w:line="360" w:lineRule="exact"/>
        <w:ind w:firstLine="420" w:firstLineChars="200"/>
        <w:rPr>
          <w:rFonts w:hint="eastAsia" w:ascii="宋体" w:hAnsi="宋体"/>
          <w:color w:val="auto"/>
          <w:szCs w:val="28"/>
        </w:rPr>
      </w:pPr>
      <w:r>
        <w:rPr>
          <w:rFonts w:hint="eastAsia" w:ascii="宋体" w:hAnsi="宋体"/>
          <w:color w:val="auto"/>
          <w:szCs w:val="28"/>
        </w:rPr>
        <w:t>组织机构代码</w:t>
      </w:r>
      <w:r>
        <w:rPr>
          <w:rFonts w:hint="eastAsia" w:ascii="宋体" w:hAnsi="宋体"/>
          <w:color w:val="auto"/>
          <w:spacing w:val="-6"/>
          <w:szCs w:val="21"/>
        </w:rPr>
        <w:t>指根据中华人民共和国国家标准《全国组织机构代码编制规则》（GB11714-1997），由组织机构代码登记主管部门给每个企业、事业单位、机关、社会团体和民办非企业等单位颁发的在全国范围内唯一的、始终不变的法定代码。组织机构代码共9位，由8位无属性的数字和1位校验码组成。</w:t>
      </w:r>
    </w:p>
    <w:p>
      <w:pPr>
        <w:adjustRightInd w:val="0"/>
        <w:spacing w:line="360" w:lineRule="exact"/>
        <w:ind w:firstLine="420" w:firstLineChars="200"/>
        <w:rPr>
          <w:rFonts w:hint="eastAsia" w:ascii="宋体" w:hAnsi="宋体"/>
          <w:color w:val="auto"/>
          <w:szCs w:val="28"/>
        </w:rPr>
      </w:pPr>
      <w:r>
        <w:rPr>
          <w:rFonts w:hint="eastAsia" w:ascii="宋体" w:hAnsi="宋体"/>
          <w:color w:val="auto"/>
          <w:szCs w:val="28"/>
        </w:rPr>
        <w:t>①法定代码填写：已经领取了法定代码的法人单位必须使用法人代码，不得使用临时代码。按照技术监督部门颁发的《中华人民共和国组织机构代码证》上的代码填写（也可参照税务部门颁发的税务登记证书上的税务登记号的后9位填写，营业执照上统一社会信用代码第9-17位填写）。</w:t>
      </w:r>
    </w:p>
    <w:p>
      <w:pPr>
        <w:adjustRightInd w:val="0"/>
        <w:spacing w:line="360" w:lineRule="exact"/>
        <w:ind w:firstLine="420" w:firstLineChars="200"/>
        <w:rPr>
          <w:rFonts w:hint="eastAsia" w:ascii="宋体" w:hAnsi="宋体"/>
          <w:color w:val="auto"/>
          <w:szCs w:val="28"/>
        </w:rPr>
      </w:pPr>
      <w:r>
        <w:rPr>
          <w:rFonts w:hint="eastAsia" w:ascii="宋体" w:hAnsi="宋体"/>
          <w:color w:val="auto"/>
          <w:szCs w:val="28"/>
        </w:rPr>
        <w:t>②临时代码使用：尚未领到法人代码或不属于法定代码赋码范围的单位，一律由各级统计部门从临时码段中赋予代码。</w:t>
      </w:r>
    </w:p>
    <w:p>
      <w:pPr>
        <w:adjustRightInd w:val="0"/>
        <w:spacing w:line="360" w:lineRule="exact"/>
        <w:ind w:firstLine="420" w:firstLineChars="200"/>
        <w:rPr>
          <w:rFonts w:hint="eastAsia" w:ascii="宋体" w:hAnsi="宋体"/>
          <w:color w:val="auto"/>
          <w:szCs w:val="28"/>
        </w:rPr>
      </w:pPr>
      <w:r>
        <w:rPr>
          <w:rFonts w:hint="eastAsia" w:ascii="宋体" w:hAnsi="宋体"/>
          <w:color w:val="auto"/>
          <w:szCs w:val="28"/>
        </w:rPr>
        <w:t>(2)项目处理地的填写方法：</w:t>
      </w:r>
    </w:p>
    <w:p>
      <w:pPr>
        <w:adjustRightInd w:val="0"/>
        <w:spacing w:line="360" w:lineRule="exact"/>
        <w:ind w:firstLine="420" w:firstLineChars="200"/>
        <w:rPr>
          <w:rFonts w:hint="eastAsia" w:ascii="宋体" w:hAnsi="宋体"/>
          <w:color w:val="auto"/>
          <w:szCs w:val="28"/>
        </w:rPr>
      </w:pPr>
      <w:r>
        <w:rPr>
          <w:rFonts w:hint="eastAsia" w:ascii="宋体" w:hAnsi="宋体"/>
          <w:color w:val="auto"/>
          <w:szCs w:val="28"/>
        </w:rPr>
        <w:t>按照项目在地统计原则，填写项目所归属管理的统计机构在数据处理平台中的代码。</w:t>
      </w:r>
    </w:p>
    <w:p>
      <w:pPr>
        <w:adjustRightInd w:val="0"/>
        <w:spacing w:line="360" w:lineRule="exact"/>
        <w:ind w:firstLine="420" w:firstLineChars="200"/>
        <w:rPr>
          <w:rFonts w:hint="eastAsia" w:ascii="宋体" w:hAnsi="宋体"/>
          <w:color w:val="auto"/>
          <w:szCs w:val="28"/>
        </w:rPr>
      </w:pPr>
      <w:r>
        <w:rPr>
          <w:rFonts w:hint="eastAsia" w:ascii="宋体" w:hAnsi="宋体"/>
          <w:color w:val="auto"/>
          <w:szCs w:val="28"/>
        </w:rPr>
        <w:t>(3)项目顺序码的填写方法：</w:t>
      </w:r>
    </w:p>
    <w:p>
      <w:pPr>
        <w:adjustRightInd w:val="0"/>
        <w:spacing w:line="360" w:lineRule="exact"/>
        <w:ind w:firstLine="420" w:firstLineChars="200"/>
        <w:rPr>
          <w:rFonts w:hint="eastAsia" w:ascii="宋体" w:hAnsi="宋体"/>
          <w:color w:val="auto"/>
          <w:szCs w:val="28"/>
        </w:rPr>
      </w:pPr>
      <w:r>
        <w:rPr>
          <w:rFonts w:hint="eastAsia" w:ascii="宋体" w:hAnsi="宋体"/>
          <w:color w:val="auto"/>
          <w:szCs w:val="28"/>
        </w:rPr>
        <w:t>项目顺序码共3位，在项目入库申报的时候确定顺序号，原则上根据项目入库的自然顺序编制，一般从001开始。为了避免和之前年份已完工的项目编码重复，也可以按照年份加顺序号的方式编制，由1位年份，2位顺序号组成，如2019年项目，编码从“901”开始。</w:t>
      </w:r>
    </w:p>
    <w:p>
      <w:pPr>
        <w:adjustRightInd w:val="0"/>
        <w:spacing w:line="360" w:lineRule="exact"/>
        <w:ind w:firstLine="420" w:firstLineChars="200"/>
        <w:rPr>
          <w:rFonts w:hint="eastAsia" w:ascii="宋体" w:hAnsi="宋体"/>
          <w:color w:val="auto"/>
          <w:szCs w:val="28"/>
        </w:rPr>
      </w:pPr>
      <w:r>
        <w:rPr>
          <w:rFonts w:hint="eastAsia" w:ascii="宋体" w:hAnsi="宋体"/>
          <w:color w:val="auto"/>
          <w:szCs w:val="28"/>
        </w:rPr>
        <w:t>2.在项目编码的过程中，应注意以下两点：</w:t>
      </w:r>
    </w:p>
    <w:p>
      <w:pPr>
        <w:adjustRightInd w:val="0"/>
        <w:spacing w:line="360" w:lineRule="exact"/>
        <w:ind w:firstLine="420" w:firstLineChars="200"/>
        <w:rPr>
          <w:rFonts w:hint="eastAsia" w:ascii="宋体" w:hAnsi="宋体"/>
          <w:color w:val="auto"/>
          <w:szCs w:val="28"/>
        </w:rPr>
      </w:pPr>
      <w:r>
        <w:rPr>
          <w:rFonts w:hint="eastAsia" w:ascii="宋体" w:hAnsi="宋体"/>
          <w:color w:val="auto"/>
          <w:szCs w:val="28"/>
        </w:rPr>
        <w:t>(1)项目编码的唯一性。一个项目只能对应一个代码，一个代码只能对应一个项目，且需要保持跨年度之间的唯一性。</w:t>
      </w:r>
    </w:p>
    <w:p>
      <w:pPr>
        <w:adjustRightInd w:val="0"/>
        <w:spacing w:line="360" w:lineRule="exact"/>
        <w:ind w:firstLine="420" w:firstLineChars="200"/>
        <w:rPr>
          <w:rFonts w:hint="eastAsia" w:ascii="宋体" w:hAnsi="宋体"/>
          <w:color w:val="auto"/>
          <w:szCs w:val="28"/>
        </w:rPr>
      </w:pPr>
      <w:r>
        <w:rPr>
          <w:rFonts w:hint="eastAsia" w:ascii="宋体" w:hAnsi="宋体"/>
          <w:color w:val="auto"/>
          <w:szCs w:val="28"/>
        </w:rPr>
        <w:t>(2)项目编码的稳定性。项目编码一经确定，不应该变化，直至项目完工。修改了编码的项目将被视为新开工项目，报送相应的新开工项目资料。</w:t>
      </w:r>
    </w:p>
    <w:p>
      <w:pPr>
        <w:adjustRightInd w:val="0"/>
        <w:spacing w:line="360" w:lineRule="exact"/>
        <w:ind w:firstLine="420" w:firstLineChars="200"/>
        <w:rPr>
          <w:rFonts w:ascii="黑体" w:hAnsi="宋体" w:eastAsia="黑体"/>
          <w:color w:val="auto"/>
          <w:szCs w:val="21"/>
        </w:rPr>
      </w:pPr>
      <w:r>
        <w:rPr>
          <w:rFonts w:hint="eastAsia" w:ascii="黑体" w:eastAsia="黑体"/>
          <w:color w:val="auto"/>
        </w:rPr>
        <w:t>投资项目</w:t>
      </w:r>
      <w:r>
        <w:rPr>
          <w:rFonts w:hint="eastAsia" w:ascii="黑体" w:hAnsi="宋体" w:eastAsia="黑体" w:cs="黑体"/>
          <w:color w:val="auto"/>
          <w:szCs w:val="21"/>
        </w:rPr>
        <w:t>在线审批监管平台统一代码</w:t>
      </w:r>
      <w:r>
        <w:rPr>
          <w:rFonts w:hint="eastAsia" w:ascii="黑体" w:hAnsi="宋体" w:eastAsia="黑体"/>
          <w:color w:val="auto"/>
          <w:szCs w:val="21"/>
        </w:rPr>
        <w:t xml:space="preserve">  </w:t>
      </w:r>
      <w:r>
        <w:rPr>
          <w:rFonts w:hint="eastAsia" w:ascii="宋体" w:hAnsi="宋体" w:cs="仿宋_GB2312"/>
          <w:color w:val="auto"/>
          <w:szCs w:val="21"/>
        </w:rPr>
        <w:t>根据项目审批、核准、备案机关不同，该代码由各级发改系统投资项目在线审批监管平台生成，该代码一旦生成，将跟随项目建设全周期使用。代码总体规范如下：</w:t>
      </w:r>
    </w:p>
    <w:p>
      <w:pPr>
        <w:adjustRightInd w:val="0"/>
        <w:spacing w:line="360" w:lineRule="exact"/>
        <w:ind w:firstLine="411" w:firstLineChars="196"/>
        <w:rPr>
          <w:rFonts w:ascii="宋体" w:hAnsi="宋体"/>
          <w:b/>
          <w:color w:val="auto"/>
          <w:szCs w:val="21"/>
        </w:rPr>
      </w:pPr>
      <w:r>
        <w:rPr>
          <w:rFonts w:hint="eastAsia" w:ascii="宋体" w:hAnsi="宋体" w:cs="楷体_GB2312"/>
          <w:b/>
          <w:color w:val="auto"/>
          <w:szCs w:val="21"/>
        </w:rPr>
        <w:t>代码范式</w:t>
      </w:r>
    </w:p>
    <w:p>
      <w:pPr>
        <w:adjustRightInd w:val="0"/>
        <w:spacing w:line="360" w:lineRule="exact"/>
        <w:ind w:firstLine="420" w:firstLineChars="200"/>
        <w:rPr>
          <w:rFonts w:ascii="宋体" w:hAnsi="宋体"/>
          <w:color w:val="auto"/>
          <w:szCs w:val="21"/>
        </w:rPr>
      </w:pPr>
      <w:r>
        <w:rPr>
          <w:rFonts w:ascii="宋体" w:hAnsi="宋体" w:cs="楷体_GB2312"/>
          <w:color w:val="auto"/>
          <w:szCs w:val="21"/>
        </w:rPr>
        <w:t>1</w:t>
      </w:r>
      <w:r>
        <w:rPr>
          <w:rFonts w:hint="eastAsia" w:ascii="宋体" w:hAnsi="宋体" w:cs="楷体_GB2312"/>
          <w:color w:val="auto"/>
          <w:szCs w:val="21"/>
        </w:rPr>
        <w:t>．</w:t>
      </w:r>
      <w:r>
        <w:rPr>
          <w:rFonts w:hint="eastAsia" w:ascii="宋体" w:hAnsi="宋体" w:cs="仿宋_GB2312"/>
          <w:color w:val="auto"/>
          <w:szCs w:val="21"/>
        </w:rPr>
        <w:t>代码长度：24位</w:t>
      </w:r>
      <w:r>
        <w:rPr>
          <w:rFonts w:ascii="宋体" w:hAnsi="宋体" w:cs="仿宋_GB2312"/>
          <w:color w:val="auto"/>
          <w:szCs w:val="21"/>
        </w:rPr>
        <w:t>，</w:t>
      </w:r>
      <w:r>
        <w:rPr>
          <w:rFonts w:hint="eastAsia" w:ascii="宋体" w:hAnsi="宋体" w:cs="仿宋_GB2312"/>
          <w:color w:val="auto"/>
          <w:szCs w:val="21"/>
        </w:rPr>
        <w:t>由20位数字和4位</w:t>
      </w:r>
      <w:r>
        <w:rPr>
          <w:rFonts w:ascii="宋体" w:hAnsi="宋体" w:cs="仿宋_GB2312"/>
          <w:color w:val="auto"/>
          <w:szCs w:val="21"/>
        </w:rPr>
        <w:t>连字符“-”</w:t>
      </w:r>
      <w:r>
        <w:rPr>
          <w:rFonts w:hint="eastAsia" w:ascii="宋体" w:hAnsi="宋体" w:cs="仿宋_GB2312"/>
          <w:color w:val="auto"/>
          <w:szCs w:val="21"/>
        </w:rPr>
        <w:t>组成。</w:t>
      </w:r>
    </w:p>
    <w:p>
      <w:pPr>
        <w:adjustRightInd w:val="0"/>
        <w:spacing w:line="360" w:lineRule="exact"/>
        <w:ind w:firstLine="420" w:firstLineChars="200"/>
        <w:rPr>
          <w:rFonts w:ascii="宋体" w:hAnsi="宋体"/>
          <w:color w:val="auto"/>
          <w:szCs w:val="21"/>
        </w:rPr>
      </w:pPr>
      <w:r>
        <w:rPr>
          <w:rFonts w:ascii="宋体" w:hAnsi="宋体" w:cs="仿宋_GB2312"/>
          <w:color w:val="auto"/>
          <w:szCs w:val="21"/>
        </w:rPr>
        <w:t>2</w:t>
      </w:r>
      <w:r>
        <w:rPr>
          <w:rFonts w:hint="eastAsia" w:ascii="宋体" w:hAnsi="宋体" w:cs="楷体_GB2312"/>
          <w:color w:val="auto"/>
          <w:szCs w:val="21"/>
        </w:rPr>
        <w:t>．</w:t>
      </w:r>
      <w:r>
        <w:rPr>
          <w:rFonts w:hint="eastAsia" w:ascii="宋体" w:hAnsi="宋体" w:cs="仿宋_GB2312"/>
          <w:color w:val="auto"/>
          <w:szCs w:val="21"/>
        </w:rPr>
        <w:t>代码格式：时间代码-地区代码-中央</w:t>
      </w:r>
      <w:r>
        <w:rPr>
          <w:rFonts w:ascii="宋体" w:hAnsi="宋体" w:cs="仿宋_GB2312"/>
          <w:color w:val="auto"/>
          <w:szCs w:val="21"/>
        </w:rPr>
        <w:t>业务</w:t>
      </w:r>
      <w:r>
        <w:rPr>
          <w:rFonts w:hint="eastAsia" w:ascii="宋体" w:hAnsi="宋体" w:cs="仿宋_GB2312"/>
          <w:color w:val="auto"/>
          <w:szCs w:val="21"/>
        </w:rPr>
        <w:t>指导</w:t>
      </w:r>
      <w:r>
        <w:rPr>
          <w:rFonts w:ascii="宋体" w:hAnsi="宋体" w:cs="仿宋_GB2312"/>
          <w:color w:val="auto"/>
          <w:szCs w:val="21"/>
        </w:rPr>
        <w:t>部门</w:t>
      </w:r>
      <w:r>
        <w:rPr>
          <w:rFonts w:hint="eastAsia" w:ascii="宋体" w:hAnsi="宋体" w:cs="仿宋_GB2312"/>
          <w:color w:val="auto"/>
          <w:szCs w:val="21"/>
        </w:rPr>
        <w:t>代码-项目类型代码-随机</w:t>
      </w:r>
      <w:r>
        <w:rPr>
          <w:rFonts w:ascii="宋体" w:hAnsi="宋体" w:cs="仿宋_GB2312"/>
          <w:color w:val="auto"/>
          <w:szCs w:val="21"/>
        </w:rPr>
        <w:t>码</w:t>
      </w:r>
      <w:r>
        <w:rPr>
          <w:rFonts w:hint="eastAsia" w:ascii="宋体" w:hAnsi="宋体" w:cs="仿宋_GB2312"/>
          <w:color w:val="auto"/>
          <w:szCs w:val="21"/>
        </w:rPr>
        <w:t>校验</w:t>
      </w:r>
      <w:r>
        <w:rPr>
          <w:rFonts w:ascii="宋体" w:hAnsi="宋体" w:cs="仿宋_GB2312"/>
          <w:color w:val="auto"/>
          <w:szCs w:val="21"/>
        </w:rPr>
        <w:t>码</w:t>
      </w:r>
      <w:r>
        <w:rPr>
          <w:rFonts w:hint="eastAsia" w:ascii="宋体" w:hAnsi="宋体" w:cs="仿宋_GB2312"/>
          <w:color w:val="auto"/>
          <w:szCs w:val="21"/>
        </w:rPr>
        <w:t>，具体标准如下。</w:t>
      </w:r>
    </w:p>
    <w:p>
      <w:pPr>
        <w:adjustRightInd w:val="0"/>
        <w:spacing w:line="360" w:lineRule="exact"/>
        <w:ind w:firstLine="315" w:firstLineChars="150"/>
        <w:rPr>
          <w:rFonts w:hint="eastAsia" w:ascii="宋体" w:hAnsi="宋体"/>
          <w:color w:val="auto"/>
          <w:szCs w:val="21"/>
        </w:rPr>
      </w:pPr>
      <w:r>
        <w:rPr>
          <w:rFonts w:hint="eastAsia" w:ascii="宋体" w:hAnsi="宋体" w:cs="仿宋_GB2312"/>
          <w:color w:val="auto"/>
          <w:szCs w:val="21"/>
        </w:rPr>
        <w:t>（</w:t>
      </w:r>
      <w:r>
        <w:rPr>
          <w:rFonts w:ascii="宋体" w:hAnsi="宋体" w:cs="仿宋_GB2312"/>
          <w:color w:val="auto"/>
          <w:szCs w:val="21"/>
        </w:rPr>
        <w:t>1</w:t>
      </w:r>
      <w:r>
        <w:rPr>
          <w:rFonts w:hint="eastAsia" w:ascii="宋体" w:hAnsi="宋体" w:cs="仿宋_GB2312"/>
          <w:color w:val="auto"/>
          <w:szCs w:val="21"/>
        </w:rPr>
        <w:t>）时间代码：</w:t>
      </w:r>
      <w:r>
        <w:rPr>
          <w:rFonts w:ascii="宋体" w:hAnsi="宋体" w:cs="仿宋_GB2312"/>
          <w:color w:val="auto"/>
          <w:szCs w:val="21"/>
        </w:rPr>
        <w:t>4</w:t>
      </w:r>
      <w:r>
        <w:rPr>
          <w:rFonts w:hint="eastAsia" w:ascii="宋体" w:hAnsi="宋体" w:cs="仿宋_GB2312"/>
          <w:color w:val="auto"/>
          <w:szCs w:val="21"/>
        </w:rPr>
        <w:t>位数字组成（2位</w:t>
      </w:r>
      <w:r>
        <w:rPr>
          <w:rFonts w:ascii="宋体" w:hAnsi="宋体" w:cs="仿宋_GB2312"/>
          <w:color w:val="auto"/>
          <w:szCs w:val="21"/>
        </w:rPr>
        <w:t>年份和</w:t>
      </w:r>
      <w:r>
        <w:rPr>
          <w:rFonts w:hint="eastAsia" w:ascii="宋体" w:hAnsi="宋体" w:cs="仿宋_GB2312"/>
          <w:color w:val="auto"/>
          <w:szCs w:val="21"/>
        </w:rPr>
        <w:t>2位月份），例如，、</w:t>
      </w:r>
      <w:r>
        <w:rPr>
          <w:rFonts w:ascii="宋体" w:hAnsi="宋体" w:cs="仿宋_GB2312"/>
          <w:color w:val="auto"/>
          <w:szCs w:val="21"/>
        </w:rPr>
        <w:t>2011</w:t>
      </w:r>
      <w:r>
        <w:rPr>
          <w:rFonts w:hint="eastAsia" w:ascii="宋体" w:hAnsi="宋体" w:cs="仿宋_GB2312"/>
          <w:color w:val="auto"/>
          <w:szCs w:val="21"/>
        </w:rPr>
        <w:t>、2105</w:t>
      </w:r>
    </w:p>
    <w:p>
      <w:pPr>
        <w:adjustRightInd w:val="0"/>
        <w:spacing w:line="360" w:lineRule="exact"/>
        <w:ind w:firstLine="315" w:firstLineChars="150"/>
        <w:rPr>
          <w:rFonts w:hint="eastAsia" w:ascii="宋体" w:hAnsi="宋体"/>
          <w:color w:val="auto"/>
          <w:szCs w:val="21"/>
        </w:rPr>
      </w:pPr>
      <w:r>
        <w:rPr>
          <w:rFonts w:hint="eastAsia" w:ascii="宋体" w:hAnsi="宋体" w:cs="仿宋_GB2312"/>
          <w:color w:val="auto"/>
          <w:szCs w:val="21"/>
        </w:rPr>
        <w:t>（</w:t>
      </w:r>
      <w:r>
        <w:rPr>
          <w:rFonts w:ascii="宋体" w:hAnsi="宋体" w:cs="仿宋_GB2312"/>
          <w:color w:val="auto"/>
          <w:szCs w:val="21"/>
        </w:rPr>
        <w:t>2</w:t>
      </w:r>
      <w:r>
        <w:rPr>
          <w:rFonts w:hint="eastAsia" w:ascii="宋体" w:hAnsi="宋体" w:cs="仿宋_GB2312"/>
          <w:color w:val="auto"/>
          <w:szCs w:val="21"/>
        </w:rPr>
        <w:t>）地区代码：</w:t>
      </w:r>
      <w:r>
        <w:rPr>
          <w:rFonts w:ascii="宋体" w:hAnsi="宋体" w:cs="仿宋_GB2312"/>
          <w:color w:val="auto"/>
          <w:szCs w:val="21"/>
        </w:rPr>
        <w:t>6</w:t>
      </w:r>
      <w:r>
        <w:rPr>
          <w:rFonts w:hint="eastAsia" w:ascii="宋体" w:hAnsi="宋体" w:cs="仿宋_GB2312"/>
          <w:color w:val="auto"/>
          <w:szCs w:val="21"/>
        </w:rPr>
        <w:t>位数字组成，例如，</w:t>
      </w:r>
      <w:r>
        <w:rPr>
          <w:rFonts w:ascii="宋体" w:hAnsi="宋体" w:cs="仿宋_GB2312"/>
          <w:color w:val="auto"/>
          <w:szCs w:val="21"/>
        </w:rPr>
        <w:t>110000</w:t>
      </w:r>
      <w:r>
        <w:rPr>
          <w:rFonts w:hint="eastAsia" w:ascii="宋体" w:hAnsi="宋体" w:cs="仿宋_GB2312"/>
          <w:color w:val="auto"/>
          <w:szCs w:val="21"/>
        </w:rPr>
        <w:t>、000000</w:t>
      </w:r>
    </w:p>
    <w:p>
      <w:pPr>
        <w:adjustRightInd w:val="0"/>
        <w:spacing w:line="360" w:lineRule="exact"/>
        <w:ind w:firstLine="315" w:firstLineChars="150"/>
        <w:rPr>
          <w:rFonts w:ascii="宋体" w:hAnsi="宋体"/>
          <w:color w:val="auto"/>
          <w:szCs w:val="21"/>
        </w:rPr>
      </w:pPr>
      <w:r>
        <w:rPr>
          <w:rFonts w:hint="eastAsia" w:ascii="宋体" w:hAnsi="宋体" w:cs="仿宋_GB2312"/>
          <w:color w:val="auto"/>
          <w:szCs w:val="21"/>
        </w:rPr>
        <w:t>（</w:t>
      </w:r>
      <w:r>
        <w:rPr>
          <w:rFonts w:ascii="宋体" w:hAnsi="宋体" w:cs="仿宋_GB2312"/>
          <w:color w:val="auto"/>
          <w:szCs w:val="21"/>
        </w:rPr>
        <w:t>3</w:t>
      </w:r>
      <w:r>
        <w:rPr>
          <w:rFonts w:hint="eastAsia" w:ascii="宋体" w:hAnsi="宋体" w:cs="仿宋_GB2312"/>
          <w:color w:val="auto"/>
          <w:szCs w:val="21"/>
        </w:rPr>
        <w:t>）中央</w:t>
      </w:r>
      <w:r>
        <w:rPr>
          <w:rFonts w:ascii="宋体" w:hAnsi="宋体" w:cs="仿宋_GB2312"/>
          <w:color w:val="auto"/>
          <w:szCs w:val="21"/>
        </w:rPr>
        <w:t>业务指导部门</w:t>
      </w:r>
      <w:r>
        <w:rPr>
          <w:rFonts w:hint="eastAsia" w:ascii="宋体" w:hAnsi="宋体" w:cs="仿宋_GB2312"/>
          <w:color w:val="auto"/>
          <w:szCs w:val="21"/>
        </w:rPr>
        <w:t>代码：</w:t>
      </w:r>
      <w:r>
        <w:rPr>
          <w:rFonts w:ascii="宋体" w:hAnsi="宋体" w:cs="仿宋_GB2312"/>
          <w:color w:val="auto"/>
          <w:szCs w:val="21"/>
        </w:rPr>
        <w:t>2</w:t>
      </w:r>
      <w:r>
        <w:rPr>
          <w:rFonts w:hint="eastAsia" w:ascii="宋体" w:hAnsi="宋体" w:cs="仿宋_GB2312"/>
          <w:color w:val="auto"/>
          <w:szCs w:val="21"/>
        </w:rPr>
        <w:t>位数字组成，例如，</w:t>
      </w:r>
      <w:r>
        <w:rPr>
          <w:rFonts w:ascii="宋体" w:hAnsi="宋体" w:cs="仿宋_GB2312"/>
          <w:color w:val="auto"/>
          <w:szCs w:val="21"/>
        </w:rPr>
        <w:t>01</w:t>
      </w:r>
      <w:r>
        <w:rPr>
          <w:rFonts w:hint="eastAsia" w:ascii="宋体" w:hAnsi="宋体" w:cs="仿宋_GB2312"/>
          <w:color w:val="auto"/>
          <w:szCs w:val="21"/>
        </w:rPr>
        <w:t>、</w:t>
      </w:r>
      <w:r>
        <w:rPr>
          <w:rFonts w:ascii="宋体" w:hAnsi="宋体" w:cs="仿宋_GB2312"/>
          <w:color w:val="auto"/>
          <w:szCs w:val="21"/>
        </w:rPr>
        <w:t>31</w:t>
      </w:r>
    </w:p>
    <w:p>
      <w:pPr>
        <w:adjustRightInd w:val="0"/>
        <w:spacing w:line="360" w:lineRule="exact"/>
        <w:ind w:firstLine="315" w:firstLineChars="150"/>
        <w:rPr>
          <w:rFonts w:ascii="宋体" w:hAnsi="宋体"/>
          <w:color w:val="auto"/>
          <w:szCs w:val="21"/>
        </w:rPr>
      </w:pPr>
      <w:r>
        <w:rPr>
          <w:rFonts w:hint="eastAsia" w:ascii="宋体" w:hAnsi="宋体" w:cs="仿宋_GB2312"/>
          <w:color w:val="auto"/>
          <w:szCs w:val="21"/>
        </w:rPr>
        <w:t>（</w:t>
      </w:r>
      <w:r>
        <w:rPr>
          <w:rFonts w:ascii="宋体" w:hAnsi="宋体" w:cs="仿宋_GB2312"/>
          <w:color w:val="auto"/>
          <w:szCs w:val="21"/>
        </w:rPr>
        <w:t>4</w:t>
      </w:r>
      <w:r>
        <w:rPr>
          <w:rFonts w:hint="eastAsia" w:ascii="宋体" w:hAnsi="宋体" w:cs="仿宋_GB2312"/>
          <w:color w:val="auto"/>
          <w:szCs w:val="21"/>
        </w:rPr>
        <w:t>）项目类型代码：</w:t>
      </w:r>
      <w:r>
        <w:rPr>
          <w:rFonts w:ascii="宋体" w:hAnsi="宋体" w:cs="仿宋_GB2312"/>
          <w:color w:val="auto"/>
          <w:szCs w:val="21"/>
        </w:rPr>
        <w:t>2</w:t>
      </w:r>
      <w:r>
        <w:rPr>
          <w:rFonts w:hint="eastAsia" w:ascii="宋体" w:hAnsi="宋体" w:cs="仿宋_GB2312"/>
          <w:color w:val="auto"/>
          <w:szCs w:val="21"/>
        </w:rPr>
        <w:t>位数字组成</w:t>
      </w:r>
      <w:r>
        <w:rPr>
          <w:rFonts w:ascii="宋体" w:hAnsi="宋体" w:cs="仿宋_GB2312"/>
          <w:color w:val="auto"/>
          <w:szCs w:val="21"/>
        </w:rPr>
        <w:t>,</w:t>
      </w:r>
      <w:r>
        <w:rPr>
          <w:rFonts w:hint="eastAsia" w:ascii="宋体" w:hAnsi="宋体" w:cs="仿宋_GB2312"/>
          <w:color w:val="auto"/>
          <w:szCs w:val="21"/>
        </w:rPr>
        <w:t>例如，</w:t>
      </w:r>
      <w:r>
        <w:rPr>
          <w:rFonts w:ascii="宋体" w:hAnsi="宋体" w:cs="仿宋_GB2312"/>
          <w:color w:val="auto"/>
          <w:szCs w:val="21"/>
        </w:rPr>
        <w:t>01</w:t>
      </w:r>
      <w:r>
        <w:rPr>
          <w:rFonts w:hint="eastAsia" w:ascii="宋体" w:hAnsi="宋体" w:cs="仿宋_GB2312"/>
          <w:color w:val="auto"/>
          <w:szCs w:val="21"/>
        </w:rPr>
        <w:t>、</w:t>
      </w:r>
      <w:r>
        <w:rPr>
          <w:rFonts w:ascii="宋体" w:hAnsi="宋体" w:cs="仿宋_GB2312"/>
          <w:color w:val="auto"/>
          <w:szCs w:val="21"/>
        </w:rPr>
        <w:t>03</w:t>
      </w:r>
    </w:p>
    <w:p>
      <w:pPr>
        <w:adjustRightInd w:val="0"/>
        <w:spacing w:line="360" w:lineRule="exact"/>
        <w:ind w:firstLine="315" w:firstLineChars="150"/>
        <w:rPr>
          <w:rFonts w:ascii="宋体" w:hAnsi="宋体"/>
          <w:color w:val="auto"/>
          <w:szCs w:val="21"/>
        </w:rPr>
      </w:pPr>
      <w:r>
        <w:rPr>
          <w:rFonts w:hint="eastAsia" w:ascii="宋体" w:hAnsi="宋体" w:cs="仿宋_GB2312"/>
          <w:color w:val="auto"/>
          <w:szCs w:val="21"/>
        </w:rPr>
        <w:t>（</w:t>
      </w:r>
      <w:r>
        <w:rPr>
          <w:rFonts w:ascii="宋体" w:hAnsi="宋体" w:cs="仿宋_GB2312"/>
          <w:color w:val="auto"/>
          <w:szCs w:val="21"/>
        </w:rPr>
        <w:t>5</w:t>
      </w:r>
      <w:r>
        <w:rPr>
          <w:rFonts w:hint="eastAsia" w:ascii="宋体" w:hAnsi="宋体" w:cs="仿宋_GB2312"/>
          <w:color w:val="auto"/>
          <w:szCs w:val="21"/>
        </w:rPr>
        <w:t>）随机</w:t>
      </w:r>
      <w:r>
        <w:rPr>
          <w:rFonts w:ascii="宋体" w:hAnsi="宋体" w:cs="仿宋_GB2312"/>
          <w:color w:val="auto"/>
          <w:szCs w:val="21"/>
        </w:rPr>
        <w:t>码校验码</w:t>
      </w:r>
      <w:r>
        <w:rPr>
          <w:rFonts w:hint="eastAsia" w:ascii="宋体" w:hAnsi="宋体" w:cs="仿宋_GB2312"/>
          <w:color w:val="auto"/>
          <w:szCs w:val="21"/>
        </w:rPr>
        <w:t>：</w:t>
      </w:r>
      <w:r>
        <w:rPr>
          <w:rFonts w:ascii="宋体" w:hAnsi="宋体" w:cs="仿宋_GB2312"/>
          <w:color w:val="auto"/>
          <w:szCs w:val="21"/>
        </w:rPr>
        <w:t>6</w:t>
      </w:r>
      <w:r>
        <w:rPr>
          <w:rFonts w:hint="eastAsia" w:ascii="宋体" w:hAnsi="宋体" w:cs="仿宋_GB2312"/>
          <w:color w:val="auto"/>
          <w:szCs w:val="21"/>
        </w:rPr>
        <w:t>位数字组成（5位随机码</w:t>
      </w:r>
      <w:r>
        <w:rPr>
          <w:rFonts w:ascii="宋体" w:hAnsi="宋体" w:cs="仿宋_GB2312"/>
          <w:color w:val="auto"/>
          <w:szCs w:val="21"/>
        </w:rPr>
        <w:t>和</w:t>
      </w:r>
      <w:r>
        <w:rPr>
          <w:rFonts w:hint="eastAsia" w:ascii="宋体" w:hAnsi="宋体" w:cs="仿宋_GB2312"/>
          <w:color w:val="auto"/>
          <w:szCs w:val="21"/>
        </w:rPr>
        <w:t>1位</w:t>
      </w:r>
      <w:r>
        <w:rPr>
          <w:rFonts w:ascii="宋体" w:hAnsi="宋体" w:cs="仿宋_GB2312"/>
          <w:color w:val="auto"/>
          <w:szCs w:val="21"/>
        </w:rPr>
        <w:t>校验码</w:t>
      </w:r>
      <w:r>
        <w:rPr>
          <w:rFonts w:hint="eastAsia" w:ascii="宋体" w:hAnsi="宋体" w:cs="仿宋_GB2312"/>
          <w:color w:val="auto"/>
          <w:szCs w:val="21"/>
        </w:rPr>
        <w:t>），例如，</w:t>
      </w:r>
      <w:r>
        <w:rPr>
          <w:rFonts w:ascii="宋体" w:hAnsi="宋体" w:cs="仿宋_GB2312"/>
          <w:color w:val="auto"/>
          <w:szCs w:val="21"/>
        </w:rPr>
        <w:t>000001</w:t>
      </w:r>
      <w:r>
        <w:rPr>
          <w:rFonts w:hint="eastAsia" w:ascii="宋体" w:hAnsi="宋体" w:cs="仿宋_GB2312"/>
          <w:color w:val="auto"/>
          <w:szCs w:val="21"/>
        </w:rPr>
        <w:t>，</w:t>
      </w:r>
      <w:r>
        <w:rPr>
          <w:rFonts w:ascii="宋体" w:hAnsi="宋体" w:cs="仿宋_GB2312"/>
          <w:color w:val="auto"/>
          <w:szCs w:val="21"/>
        </w:rPr>
        <w:t>012345</w:t>
      </w:r>
    </w:p>
    <w:p>
      <w:pPr>
        <w:adjustRightInd w:val="0"/>
        <w:spacing w:line="360" w:lineRule="exact"/>
        <w:ind w:firstLine="411" w:firstLineChars="196"/>
        <w:rPr>
          <w:rFonts w:ascii="宋体" w:hAnsi="宋体"/>
          <w:b/>
          <w:color w:val="auto"/>
          <w:szCs w:val="21"/>
        </w:rPr>
      </w:pPr>
      <w:r>
        <w:rPr>
          <w:rFonts w:hint="eastAsia" w:ascii="宋体" w:hAnsi="宋体" w:cs="楷体_GB2312"/>
          <w:b/>
          <w:color w:val="auto"/>
          <w:szCs w:val="21"/>
        </w:rPr>
        <w:t>代码组成说明</w:t>
      </w:r>
    </w:p>
    <w:p>
      <w:pPr>
        <w:adjustRightInd w:val="0"/>
        <w:spacing w:line="360" w:lineRule="exact"/>
        <w:ind w:firstLine="420" w:firstLineChars="200"/>
        <w:rPr>
          <w:rFonts w:ascii="宋体" w:hAnsi="宋体"/>
          <w:color w:val="auto"/>
          <w:szCs w:val="21"/>
        </w:rPr>
      </w:pPr>
      <w:r>
        <w:rPr>
          <w:rFonts w:ascii="宋体" w:hAnsi="宋体" w:cs="楷体_GB2312"/>
          <w:color w:val="auto"/>
          <w:szCs w:val="21"/>
        </w:rPr>
        <w:t>1</w:t>
      </w:r>
      <w:r>
        <w:rPr>
          <w:rFonts w:hint="eastAsia" w:ascii="宋体" w:hAnsi="宋体" w:cs="楷体_GB2312"/>
          <w:color w:val="auto"/>
          <w:szCs w:val="21"/>
        </w:rPr>
        <w:t>．</w:t>
      </w:r>
      <w:r>
        <w:rPr>
          <w:rFonts w:hint="eastAsia" w:ascii="宋体" w:hAnsi="宋体" w:cs="仿宋_GB2312"/>
          <w:color w:val="auto"/>
          <w:szCs w:val="21"/>
        </w:rPr>
        <w:t>时间代码：以项目在审批监管平台申报（以下简称申报）后首次通过预审，正式受理的时间为准。</w:t>
      </w:r>
    </w:p>
    <w:p>
      <w:pPr>
        <w:adjustRightInd w:val="0"/>
        <w:spacing w:line="360" w:lineRule="exact"/>
        <w:ind w:firstLine="420" w:firstLineChars="200"/>
        <w:rPr>
          <w:rFonts w:ascii="宋体" w:hAnsi="宋体"/>
          <w:color w:val="auto"/>
          <w:szCs w:val="21"/>
        </w:rPr>
      </w:pPr>
      <w:r>
        <w:rPr>
          <w:rFonts w:ascii="宋体" w:hAnsi="宋体" w:cs="仿宋_GB2312"/>
          <w:color w:val="auto"/>
          <w:szCs w:val="21"/>
        </w:rPr>
        <w:t>2</w:t>
      </w:r>
      <w:r>
        <w:rPr>
          <w:rFonts w:hint="eastAsia" w:ascii="宋体" w:hAnsi="宋体" w:cs="楷体_GB2312"/>
          <w:color w:val="auto"/>
          <w:szCs w:val="21"/>
        </w:rPr>
        <w:t>．</w:t>
      </w:r>
      <w:r>
        <w:rPr>
          <w:rFonts w:hint="eastAsia" w:ascii="宋体" w:hAnsi="宋体" w:cs="仿宋_GB2312"/>
          <w:color w:val="auto"/>
          <w:szCs w:val="21"/>
        </w:rPr>
        <w:t>地区代码：</w:t>
      </w:r>
    </w:p>
    <w:p>
      <w:pPr>
        <w:adjustRightInd w:val="0"/>
        <w:spacing w:line="360" w:lineRule="exact"/>
        <w:ind w:firstLine="315" w:firstLineChars="150"/>
        <w:rPr>
          <w:rFonts w:ascii="宋体" w:hAnsi="宋体"/>
          <w:color w:val="auto"/>
          <w:szCs w:val="21"/>
        </w:rPr>
      </w:pPr>
      <w:r>
        <w:rPr>
          <w:rFonts w:hint="eastAsia" w:ascii="宋体" w:hAnsi="宋体" w:cs="仿宋_GB2312"/>
          <w:color w:val="auto"/>
          <w:szCs w:val="21"/>
        </w:rPr>
        <w:t>（</w:t>
      </w:r>
      <w:r>
        <w:rPr>
          <w:rFonts w:ascii="宋体" w:hAnsi="宋体" w:cs="仿宋_GB2312"/>
          <w:color w:val="auto"/>
          <w:szCs w:val="21"/>
        </w:rPr>
        <w:t>1</w:t>
      </w:r>
      <w:r>
        <w:rPr>
          <w:rFonts w:hint="eastAsia" w:ascii="宋体" w:hAnsi="宋体" w:cs="仿宋_GB2312"/>
          <w:color w:val="auto"/>
          <w:szCs w:val="21"/>
        </w:rPr>
        <w:t>）地方平台负责管理的项目地区代码为赋码机关所属地区的县以上统计用区划代码，由在线平台综合管理部门统一负责更新管理。</w:t>
      </w:r>
    </w:p>
    <w:p>
      <w:pPr>
        <w:adjustRightInd w:val="0"/>
        <w:spacing w:line="360" w:lineRule="exact"/>
        <w:ind w:firstLine="315" w:firstLineChars="150"/>
        <w:rPr>
          <w:rFonts w:ascii="宋体" w:hAnsi="宋体"/>
          <w:color w:val="auto"/>
          <w:szCs w:val="21"/>
        </w:rPr>
      </w:pPr>
      <w:r>
        <w:rPr>
          <w:rFonts w:hint="eastAsia" w:ascii="宋体" w:hAnsi="宋体" w:cs="仿宋_GB2312"/>
          <w:color w:val="auto"/>
          <w:szCs w:val="21"/>
        </w:rPr>
        <w:t>（</w:t>
      </w:r>
      <w:r>
        <w:rPr>
          <w:rFonts w:ascii="宋体" w:hAnsi="宋体" w:cs="仿宋_GB2312"/>
          <w:color w:val="auto"/>
          <w:szCs w:val="21"/>
        </w:rPr>
        <w:t>2</w:t>
      </w:r>
      <w:r>
        <w:rPr>
          <w:rFonts w:hint="eastAsia" w:ascii="宋体" w:hAnsi="宋体" w:cs="仿宋_GB2312"/>
          <w:color w:val="auto"/>
          <w:szCs w:val="21"/>
        </w:rPr>
        <w:t>）中央平台负责管理的项目地区代码统一标注为000000。</w:t>
      </w:r>
    </w:p>
    <w:p>
      <w:pPr>
        <w:adjustRightInd w:val="0"/>
        <w:spacing w:line="360" w:lineRule="exact"/>
        <w:ind w:firstLine="420" w:firstLineChars="200"/>
        <w:rPr>
          <w:rFonts w:ascii="宋体" w:hAnsi="宋体" w:cs="楷体_GB2312"/>
          <w:color w:val="auto"/>
          <w:szCs w:val="21"/>
        </w:rPr>
      </w:pPr>
      <w:r>
        <w:rPr>
          <w:rFonts w:ascii="宋体" w:hAnsi="宋体" w:cs="仿宋_GB2312"/>
          <w:color w:val="auto"/>
          <w:szCs w:val="21"/>
        </w:rPr>
        <w:t>3</w:t>
      </w:r>
      <w:r>
        <w:rPr>
          <w:rFonts w:hint="eastAsia" w:ascii="宋体" w:hAnsi="宋体" w:cs="楷体_GB2312"/>
          <w:color w:val="auto"/>
          <w:szCs w:val="21"/>
        </w:rPr>
        <w:t>．中央业务指导部门代码：是指对有赋码职责的地方部门对应的中央业务指导部门进行编码，以 2 位数字代码标识。审批局、 政务服务管理局、大数据局等对应的中央业务指导部门，统一编码为 89；其他未列入编码表的业务部门，统一编码为 99。</w:t>
      </w:r>
    </w:p>
    <w:p>
      <w:pPr>
        <w:adjustRightInd w:val="0"/>
        <w:spacing w:line="360" w:lineRule="exact"/>
        <w:ind w:firstLine="420" w:firstLineChars="200"/>
        <w:rPr>
          <w:rFonts w:ascii="宋体" w:hAnsi="宋体"/>
          <w:color w:val="auto"/>
          <w:szCs w:val="21"/>
        </w:rPr>
      </w:pPr>
      <w:r>
        <w:rPr>
          <w:rFonts w:ascii="宋体" w:hAnsi="宋体" w:cs="仿宋_GB2312"/>
          <w:color w:val="auto"/>
          <w:szCs w:val="21"/>
        </w:rPr>
        <w:t>4</w:t>
      </w:r>
      <w:r>
        <w:rPr>
          <w:rFonts w:hint="eastAsia" w:ascii="宋体" w:hAnsi="宋体" w:cs="楷体_GB2312"/>
          <w:color w:val="auto"/>
          <w:szCs w:val="21"/>
        </w:rPr>
        <w:t>．</w:t>
      </w:r>
      <w:r>
        <w:rPr>
          <w:rFonts w:hint="eastAsia" w:ascii="宋体" w:hAnsi="宋体" w:cs="仿宋_GB2312"/>
          <w:color w:val="auto"/>
          <w:szCs w:val="21"/>
        </w:rPr>
        <w:t>项目类型代码：以项目申报时填写的项目所属类型为准</w:t>
      </w:r>
    </w:p>
    <w:p>
      <w:pPr>
        <w:adjustRightInd w:val="0"/>
        <w:spacing w:line="360" w:lineRule="exact"/>
        <w:ind w:firstLine="315" w:firstLineChars="150"/>
        <w:rPr>
          <w:rFonts w:ascii="宋体" w:hAnsi="宋体"/>
          <w:color w:val="auto"/>
          <w:szCs w:val="21"/>
        </w:rPr>
      </w:pPr>
      <w:r>
        <w:rPr>
          <w:rFonts w:hint="eastAsia" w:ascii="宋体" w:hAnsi="宋体" w:cs="仿宋_GB2312"/>
          <w:color w:val="auto"/>
          <w:szCs w:val="21"/>
        </w:rPr>
        <w:t>（</w:t>
      </w:r>
      <w:r>
        <w:rPr>
          <w:rFonts w:ascii="宋体" w:hAnsi="宋体" w:cs="仿宋_GB2312"/>
          <w:color w:val="auto"/>
          <w:szCs w:val="21"/>
        </w:rPr>
        <w:t>1</w:t>
      </w:r>
      <w:r>
        <w:rPr>
          <w:rFonts w:hint="eastAsia" w:ascii="宋体" w:hAnsi="宋体" w:cs="仿宋_GB2312"/>
          <w:color w:val="auto"/>
          <w:szCs w:val="21"/>
        </w:rPr>
        <w:t>）基本</w:t>
      </w:r>
      <w:r>
        <w:rPr>
          <w:rFonts w:ascii="宋体" w:hAnsi="宋体" w:cs="仿宋_GB2312"/>
          <w:color w:val="auto"/>
          <w:szCs w:val="21"/>
        </w:rPr>
        <w:t>建设</w:t>
      </w:r>
      <w:r>
        <w:rPr>
          <w:rFonts w:hint="eastAsia" w:ascii="宋体" w:hAnsi="宋体" w:cs="仿宋_GB2312"/>
          <w:color w:val="auto"/>
          <w:szCs w:val="21"/>
        </w:rPr>
        <w:t>项目为</w:t>
      </w:r>
      <w:r>
        <w:rPr>
          <w:rFonts w:ascii="宋体" w:hAnsi="宋体" w:cs="仿宋_GB2312"/>
          <w:color w:val="auto"/>
          <w:szCs w:val="21"/>
        </w:rPr>
        <w:t>01</w:t>
      </w:r>
      <w:r>
        <w:rPr>
          <w:rFonts w:hint="eastAsia" w:ascii="宋体" w:hAnsi="宋体" w:cs="仿宋_GB2312"/>
          <w:color w:val="auto"/>
          <w:szCs w:val="21"/>
        </w:rPr>
        <w:t>。</w:t>
      </w:r>
    </w:p>
    <w:p>
      <w:pPr>
        <w:adjustRightInd w:val="0"/>
        <w:spacing w:line="360" w:lineRule="exact"/>
        <w:ind w:firstLine="315" w:firstLineChars="150"/>
        <w:rPr>
          <w:rFonts w:ascii="宋体" w:hAnsi="宋体"/>
          <w:color w:val="auto"/>
          <w:szCs w:val="21"/>
        </w:rPr>
      </w:pPr>
      <w:r>
        <w:rPr>
          <w:rFonts w:hint="eastAsia" w:ascii="宋体" w:hAnsi="宋体" w:cs="仿宋_GB2312"/>
          <w:color w:val="auto"/>
          <w:szCs w:val="21"/>
        </w:rPr>
        <w:t>（</w:t>
      </w:r>
      <w:r>
        <w:rPr>
          <w:rFonts w:ascii="宋体" w:hAnsi="宋体" w:cs="仿宋_GB2312"/>
          <w:color w:val="auto"/>
          <w:szCs w:val="21"/>
        </w:rPr>
        <w:t>2</w:t>
      </w:r>
      <w:r>
        <w:rPr>
          <w:rFonts w:hint="eastAsia" w:ascii="宋体" w:hAnsi="宋体" w:cs="仿宋_GB2312"/>
          <w:color w:val="auto"/>
          <w:szCs w:val="21"/>
        </w:rPr>
        <w:t>）技术</w:t>
      </w:r>
      <w:r>
        <w:rPr>
          <w:rFonts w:ascii="宋体" w:hAnsi="宋体" w:cs="仿宋_GB2312"/>
          <w:color w:val="auto"/>
          <w:szCs w:val="21"/>
        </w:rPr>
        <w:t>改造</w:t>
      </w:r>
      <w:r>
        <w:rPr>
          <w:rFonts w:hint="eastAsia" w:ascii="宋体" w:hAnsi="宋体" w:cs="仿宋_GB2312"/>
          <w:color w:val="auto"/>
          <w:szCs w:val="21"/>
        </w:rPr>
        <w:t>项目为</w:t>
      </w:r>
      <w:r>
        <w:rPr>
          <w:rFonts w:ascii="宋体" w:hAnsi="宋体" w:cs="仿宋_GB2312"/>
          <w:color w:val="auto"/>
          <w:szCs w:val="21"/>
        </w:rPr>
        <w:t>02</w:t>
      </w:r>
      <w:r>
        <w:rPr>
          <w:rFonts w:hint="eastAsia" w:ascii="宋体" w:hAnsi="宋体" w:cs="仿宋_GB2312"/>
          <w:color w:val="auto"/>
          <w:szCs w:val="21"/>
        </w:rPr>
        <w:t>。</w:t>
      </w:r>
    </w:p>
    <w:p>
      <w:pPr>
        <w:adjustRightInd w:val="0"/>
        <w:spacing w:line="360" w:lineRule="exact"/>
        <w:ind w:firstLine="315" w:firstLineChars="150"/>
        <w:rPr>
          <w:rFonts w:ascii="宋体" w:hAnsi="宋体"/>
          <w:color w:val="auto"/>
          <w:szCs w:val="21"/>
        </w:rPr>
      </w:pPr>
      <w:r>
        <w:rPr>
          <w:rFonts w:hint="eastAsia" w:ascii="宋体" w:hAnsi="宋体" w:cs="仿宋_GB2312"/>
          <w:color w:val="auto"/>
          <w:szCs w:val="21"/>
        </w:rPr>
        <w:t>（</w:t>
      </w:r>
      <w:r>
        <w:rPr>
          <w:rFonts w:ascii="宋体" w:hAnsi="宋体" w:cs="仿宋_GB2312"/>
          <w:color w:val="auto"/>
          <w:szCs w:val="21"/>
        </w:rPr>
        <w:t>3</w:t>
      </w:r>
      <w:r>
        <w:rPr>
          <w:rFonts w:hint="eastAsia" w:ascii="宋体" w:hAnsi="宋体" w:cs="仿宋_GB2312"/>
          <w:color w:val="auto"/>
          <w:szCs w:val="21"/>
        </w:rPr>
        <w:t>）单纯</w:t>
      </w:r>
      <w:r>
        <w:rPr>
          <w:rFonts w:ascii="宋体" w:hAnsi="宋体" w:cs="仿宋_GB2312"/>
          <w:color w:val="auto"/>
          <w:szCs w:val="21"/>
        </w:rPr>
        <w:t>购置</w:t>
      </w:r>
      <w:r>
        <w:rPr>
          <w:rFonts w:hint="eastAsia" w:ascii="宋体" w:hAnsi="宋体" w:cs="仿宋_GB2312"/>
          <w:color w:val="auto"/>
          <w:szCs w:val="21"/>
        </w:rPr>
        <w:t>项目为</w:t>
      </w:r>
      <w:r>
        <w:rPr>
          <w:rFonts w:ascii="宋体" w:hAnsi="宋体" w:cs="仿宋_GB2312"/>
          <w:color w:val="auto"/>
          <w:szCs w:val="21"/>
        </w:rPr>
        <w:t>03</w:t>
      </w:r>
      <w:r>
        <w:rPr>
          <w:rFonts w:hint="eastAsia" w:ascii="宋体" w:hAnsi="宋体" w:cs="仿宋_GB2312"/>
          <w:color w:val="auto"/>
          <w:szCs w:val="21"/>
        </w:rPr>
        <w:t>。</w:t>
      </w:r>
    </w:p>
    <w:p>
      <w:pPr>
        <w:adjustRightInd w:val="0"/>
        <w:spacing w:line="360" w:lineRule="exact"/>
        <w:ind w:firstLine="315" w:firstLineChars="150"/>
        <w:rPr>
          <w:rFonts w:hint="eastAsia" w:ascii="宋体" w:hAnsi="宋体" w:cs="仿宋_GB2312"/>
          <w:color w:val="auto"/>
          <w:szCs w:val="21"/>
        </w:rPr>
      </w:pPr>
      <w:r>
        <w:rPr>
          <w:rFonts w:hint="eastAsia" w:ascii="宋体" w:hAnsi="宋体" w:cs="仿宋_GB2312"/>
          <w:color w:val="auto"/>
          <w:szCs w:val="21"/>
        </w:rPr>
        <w:t>（</w:t>
      </w:r>
      <w:r>
        <w:rPr>
          <w:rFonts w:ascii="宋体" w:hAnsi="宋体" w:cs="仿宋_GB2312"/>
          <w:color w:val="auto"/>
          <w:szCs w:val="21"/>
        </w:rPr>
        <w:t>4</w:t>
      </w:r>
      <w:r>
        <w:rPr>
          <w:rFonts w:hint="eastAsia" w:ascii="宋体" w:hAnsi="宋体" w:cs="仿宋_GB2312"/>
          <w:color w:val="auto"/>
          <w:szCs w:val="21"/>
        </w:rPr>
        <w:t>）信息</w:t>
      </w:r>
      <w:r>
        <w:rPr>
          <w:rFonts w:ascii="宋体" w:hAnsi="宋体" w:cs="仿宋_GB2312"/>
          <w:color w:val="auto"/>
          <w:szCs w:val="21"/>
        </w:rPr>
        <w:t>化项目为</w:t>
      </w:r>
      <w:r>
        <w:rPr>
          <w:rFonts w:hint="eastAsia" w:ascii="宋体" w:hAnsi="宋体" w:cs="仿宋_GB2312"/>
          <w:color w:val="auto"/>
          <w:szCs w:val="21"/>
        </w:rPr>
        <w:t>04。</w:t>
      </w:r>
    </w:p>
    <w:p>
      <w:pPr>
        <w:adjustRightInd w:val="0"/>
        <w:spacing w:line="360" w:lineRule="exact"/>
        <w:ind w:firstLine="315" w:firstLineChars="150"/>
        <w:rPr>
          <w:rFonts w:hint="eastAsia" w:ascii="宋体" w:hAnsi="宋体" w:cs="仿宋_GB2312"/>
          <w:color w:val="auto"/>
          <w:szCs w:val="21"/>
        </w:rPr>
      </w:pPr>
      <w:r>
        <w:rPr>
          <w:rFonts w:hint="eastAsia" w:ascii="宋体" w:hAnsi="宋体" w:cs="仿宋_GB2312"/>
          <w:color w:val="auto"/>
          <w:szCs w:val="21"/>
        </w:rPr>
        <w:t>（5）其他</w:t>
      </w:r>
      <w:r>
        <w:rPr>
          <w:rFonts w:ascii="宋体" w:hAnsi="宋体" w:cs="仿宋_GB2312"/>
          <w:color w:val="auto"/>
          <w:szCs w:val="21"/>
        </w:rPr>
        <w:t>项目为</w:t>
      </w:r>
      <w:r>
        <w:rPr>
          <w:rFonts w:hint="eastAsia" w:ascii="宋体" w:hAnsi="宋体" w:cs="仿宋_GB2312"/>
          <w:color w:val="auto"/>
          <w:szCs w:val="21"/>
        </w:rPr>
        <w:t>05。</w:t>
      </w:r>
    </w:p>
    <w:p>
      <w:pPr>
        <w:adjustRightInd w:val="0"/>
        <w:spacing w:line="360" w:lineRule="exact"/>
        <w:ind w:firstLine="315" w:firstLineChars="150"/>
        <w:rPr>
          <w:rFonts w:ascii="宋体" w:hAnsi="宋体" w:cs="楷体_GB2312"/>
          <w:color w:val="auto"/>
          <w:szCs w:val="21"/>
        </w:rPr>
      </w:pPr>
      <w:r>
        <w:rPr>
          <w:rFonts w:ascii="宋体" w:hAnsi="宋体" w:cs="仿宋_GB2312"/>
          <w:color w:val="auto"/>
          <w:szCs w:val="21"/>
        </w:rPr>
        <w:t>5</w:t>
      </w:r>
      <w:r>
        <w:rPr>
          <w:rFonts w:hint="eastAsia" w:ascii="宋体" w:hAnsi="宋体" w:cs="楷体_GB2312"/>
          <w:color w:val="auto"/>
          <w:szCs w:val="21"/>
        </w:rPr>
        <w:t>．随机码：是在线平台生成的 5 位唯一随机数。校验码：范围为 0—9，根据前 19 位数字按照校验码计算方法确定。</w:t>
      </w:r>
    </w:p>
    <w:p>
      <w:pPr>
        <w:adjustRightInd w:val="0"/>
        <w:spacing w:line="360" w:lineRule="exact"/>
        <w:ind w:firstLine="420" w:firstLineChars="200"/>
        <w:rPr>
          <w:rFonts w:hint="eastAsia" w:ascii="宋体" w:hAnsi="宋体" w:cs="仿宋_GB2312"/>
          <w:color w:val="auto"/>
          <w:szCs w:val="21"/>
        </w:rPr>
      </w:pPr>
      <w:r>
        <w:rPr>
          <w:rFonts w:hint="eastAsia" w:ascii="宋体" w:hAnsi="宋体" w:cs="仿宋_GB2312"/>
          <w:color w:val="auto"/>
          <w:szCs w:val="21"/>
        </w:rPr>
        <w:t>6</w:t>
      </w:r>
      <w:r>
        <w:rPr>
          <w:rFonts w:hint="eastAsia" w:ascii="宋体" w:hAnsi="宋体" w:cs="楷体_GB2312"/>
          <w:color w:val="auto"/>
          <w:szCs w:val="21"/>
        </w:rPr>
        <w:t>．</w:t>
      </w:r>
      <w:r>
        <w:rPr>
          <w:rFonts w:hint="eastAsia" w:ascii="宋体" w:hAnsi="宋体" w:cs="仿宋_GB2312"/>
          <w:color w:val="auto"/>
          <w:szCs w:val="21"/>
        </w:rPr>
        <w:t>其他说明</w:t>
      </w:r>
    </w:p>
    <w:p>
      <w:pPr>
        <w:adjustRightInd w:val="0"/>
        <w:spacing w:line="360" w:lineRule="exact"/>
        <w:ind w:firstLine="315" w:firstLineChars="150"/>
        <w:rPr>
          <w:rFonts w:ascii="宋体" w:hAnsi="宋体"/>
          <w:color w:val="auto"/>
          <w:szCs w:val="21"/>
        </w:rPr>
      </w:pPr>
      <w:r>
        <w:rPr>
          <w:rFonts w:hint="eastAsia" w:ascii="宋体" w:hAnsi="宋体" w:cs="仿宋_GB2312"/>
          <w:color w:val="auto"/>
          <w:szCs w:val="21"/>
        </w:rPr>
        <w:t>（1）行政区划代码以国家统计局正式公布为准，每年年底根据国家统计局最新公布信息进行调整，已正式生成的项目代码不进行调整。</w:t>
      </w:r>
    </w:p>
    <w:p>
      <w:pPr>
        <w:adjustRightInd w:val="0"/>
        <w:spacing w:line="360" w:lineRule="exact"/>
        <w:ind w:firstLine="315" w:firstLineChars="150"/>
        <w:rPr>
          <w:rFonts w:ascii="宋体" w:hAnsi="宋体"/>
          <w:color w:val="auto"/>
          <w:szCs w:val="21"/>
        </w:rPr>
      </w:pPr>
      <w:r>
        <w:rPr>
          <w:rFonts w:hint="eastAsia" w:ascii="宋体" w:hAnsi="宋体" w:cs="仿宋_GB2312"/>
          <w:color w:val="auto"/>
          <w:szCs w:val="21"/>
        </w:rPr>
        <w:t>（2）新疆生产建设兵团属于部门机构，项目代码中的六位地区（部门）代码应填写该部门的代码（</w:t>
      </w:r>
      <w:r>
        <w:rPr>
          <w:rFonts w:ascii="宋体" w:hAnsi="宋体" w:cs="仿宋_GB2312"/>
          <w:color w:val="auto"/>
          <w:szCs w:val="21"/>
        </w:rPr>
        <w:t>000015</w:t>
      </w:r>
      <w:r>
        <w:rPr>
          <w:rFonts w:hint="eastAsia" w:ascii="宋体" w:hAnsi="宋体" w:cs="仿宋_GB2312"/>
          <w:color w:val="auto"/>
          <w:szCs w:val="21"/>
        </w:rPr>
        <w:t>），项目指标中所属地区仍填写具体建设所在地。</w:t>
      </w:r>
    </w:p>
    <w:p>
      <w:pPr>
        <w:adjustRightInd w:val="0"/>
        <w:spacing w:line="360" w:lineRule="exact"/>
        <w:ind w:firstLine="315" w:firstLineChars="150"/>
        <w:rPr>
          <w:rFonts w:hint="eastAsia" w:ascii="宋体" w:hAnsi="宋体" w:cs="仿宋_GB2312"/>
          <w:color w:val="auto"/>
          <w:szCs w:val="21"/>
        </w:rPr>
      </w:pPr>
      <w:r>
        <w:rPr>
          <w:rFonts w:hint="eastAsia" w:ascii="宋体" w:hAnsi="宋体" w:cs="仿宋_GB2312"/>
          <w:color w:val="auto"/>
          <w:szCs w:val="21"/>
        </w:rPr>
        <w:t>（3）行业代码以国家统计局发布的国民经济行业分类标准（</w:t>
      </w:r>
      <w:r>
        <w:rPr>
          <w:rFonts w:ascii="宋体" w:hAnsi="宋体" w:cs="仿宋_GB2312"/>
          <w:color w:val="auto"/>
          <w:szCs w:val="21"/>
        </w:rPr>
        <w:t>GB/T 4754-201</w:t>
      </w:r>
      <w:r>
        <w:rPr>
          <w:rFonts w:hint="eastAsia" w:ascii="宋体" w:hAnsi="宋体" w:cs="仿宋_GB2312"/>
          <w:color w:val="auto"/>
          <w:szCs w:val="21"/>
        </w:rPr>
        <w:t>7）为准，每年年底根据国家统计局最新公布标准进行调整，已正式生成的项目代码不进行调整。</w:t>
      </w:r>
    </w:p>
    <w:p>
      <w:pPr>
        <w:adjustRightInd w:val="0"/>
        <w:spacing w:line="360" w:lineRule="exact"/>
        <w:ind w:firstLine="315" w:firstLineChars="150"/>
        <w:rPr>
          <w:rFonts w:hint="eastAsia" w:ascii="宋体" w:hAnsi="宋体"/>
          <w:color w:val="auto"/>
          <w:szCs w:val="28"/>
        </w:rPr>
      </w:pPr>
      <w:r>
        <w:rPr>
          <w:rFonts w:hint="eastAsia" w:ascii="宋体" w:hAnsi="宋体" w:cs="仿宋_GB2312"/>
          <w:color w:val="auto"/>
          <w:szCs w:val="21"/>
        </w:rPr>
        <w:t>（4）在固定资产投资项目基层表中增加“投资项目在线审批监管平台统一代码”，是落实国家统计局做好部门信息共享工作的体现。通过此代码，统计部门可以及时掌握投资项目主管部门审批、核准、备案的项目信息，为确保项目及时入库创造条件。</w:t>
      </w:r>
    </w:p>
    <w:p>
      <w:pPr>
        <w:pStyle w:val="11"/>
        <w:keepNext w:val="0"/>
        <w:keepLines w:val="0"/>
        <w:pageBreakBefore w:val="0"/>
        <w:widowControl w:val="0"/>
        <w:kinsoku/>
        <w:wordWrap/>
        <w:overflowPunct/>
        <w:topLinePunct w:val="0"/>
        <w:autoSpaceDE/>
        <w:autoSpaceDN/>
        <w:bidi w:val="0"/>
        <w:adjustRightInd/>
        <w:snapToGrid/>
        <w:spacing w:after="312" w:afterLines="100"/>
        <w:jc w:val="center"/>
        <w:textAlignment w:val="auto"/>
        <w:outlineLvl w:val="1"/>
        <w:rPr>
          <w:rFonts w:hint="eastAsia" w:ascii="黑体" w:hAnsi="黑体" w:eastAsia="黑体" w:cs="Times New Roman"/>
          <w:color w:val="auto"/>
          <w:kern w:val="2"/>
          <w:sz w:val="28"/>
          <w:szCs w:val="28"/>
          <w:lang w:val="en-US" w:eastAsia="zh-CN" w:bidi="ar-SA"/>
        </w:rPr>
      </w:pPr>
      <w:r>
        <w:rPr>
          <w:color w:val="auto"/>
        </w:rPr>
        <w:br w:type="page"/>
      </w:r>
      <w:r>
        <w:rPr>
          <w:rFonts w:hint="eastAsia" w:ascii="黑体" w:hAnsi="黑体" w:eastAsia="黑体" w:cs="Times New Roman"/>
          <w:color w:val="auto"/>
          <w:kern w:val="2"/>
          <w:sz w:val="28"/>
          <w:szCs w:val="28"/>
          <w:lang w:val="en-US" w:eastAsia="zh-CN" w:bidi="ar-SA"/>
        </w:rPr>
        <w:t>（七）指标解释及填写说明</w:t>
      </w:r>
    </w:p>
    <w:p>
      <w:pPr>
        <w:adjustRightInd w:val="0"/>
        <w:snapToGrid w:val="0"/>
        <w:spacing w:before="360" w:beforeLines="150" w:after="120" w:afterLines="50"/>
        <w:ind w:firstLine="420" w:firstLineChars="200"/>
        <w:outlineLvl w:val="2"/>
        <w:rPr>
          <w:rFonts w:hint="eastAsia" w:ascii="黑体" w:eastAsia="黑体"/>
          <w:color w:val="auto"/>
          <w:szCs w:val="21"/>
        </w:rPr>
      </w:pPr>
      <w:r>
        <w:rPr>
          <w:rFonts w:hint="eastAsia" w:ascii="黑体" w:eastAsia="黑体"/>
          <w:color w:val="auto"/>
          <w:szCs w:val="21"/>
        </w:rPr>
        <w:t>1.一套表调查单位基本概况指标</w:t>
      </w:r>
    </w:p>
    <w:p>
      <w:pPr>
        <w:spacing w:line="360" w:lineRule="exact"/>
        <w:ind w:firstLine="420" w:firstLineChars="200"/>
        <w:rPr>
          <w:rFonts w:ascii="黑体" w:eastAsia="黑体"/>
          <w:color w:val="auto"/>
        </w:rPr>
      </w:pPr>
      <w:r>
        <w:rPr>
          <w:rFonts w:hint="eastAsia" w:ascii="黑体" w:eastAsia="黑体"/>
          <w:color w:val="auto"/>
        </w:rPr>
        <w:t>是否</w:t>
      </w:r>
      <w:r>
        <w:rPr>
          <w:rFonts w:ascii="黑体" w:eastAsia="黑体"/>
          <w:color w:val="auto"/>
        </w:rPr>
        <w:t>为</w:t>
      </w:r>
      <w:r>
        <w:rPr>
          <w:rFonts w:hint="eastAsia" w:ascii="黑体" w:eastAsia="黑体"/>
          <w:color w:val="auto"/>
        </w:rPr>
        <w:t>“视同</w:t>
      </w:r>
      <w:r>
        <w:rPr>
          <w:rFonts w:ascii="黑体" w:eastAsia="黑体"/>
          <w:color w:val="auto"/>
        </w:rPr>
        <w:t>法人单位</w:t>
      </w:r>
      <w:r>
        <w:rPr>
          <w:rFonts w:hint="eastAsia" w:ascii="黑体" w:eastAsia="黑体"/>
          <w:color w:val="auto"/>
        </w:rPr>
        <w:t>”？如是，</w:t>
      </w:r>
      <w:r>
        <w:rPr>
          <w:rFonts w:ascii="黑体" w:eastAsia="黑体"/>
          <w:color w:val="auto"/>
        </w:rPr>
        <w:t>请勾选</w:t>
      </w:r>
      <w:r>
        <w:rPr>
          <w:rFonts w:hint="eastAsia" w:ascii="黑体" w:eastAsia="黑体"/>
          <w:color w:val="auto"/>
        </w:rPr>
        <w:t xml:space="preserve"> </w:t>
      </w:r>
      <w:r>
        <w:rPr>
          <w:rFonts w:ascii="黑体" w:eastAsia="黑体"/>
          <w:color w:val="auto"/>
        </w:rPr>
        <w:t xml:space="preserve"> </w:t>
      </w:r>
      <w:r>
        <w:rPr>
          <w:rFonts w:hint="eastAsia" w:ascii="宋体" w:hAnsi="宋体"/>
          <w:color w:val="auto"/>
          <w:szCs w:val="21"/>
          <w:u w:val="single"/>
        </w:rPr>
        <w:t>填报单位免填</w:t>
      </w:r>
      <w:r>
        <w:rPr>
          <w:rFonts w:hint="eastAsia" w:ascii="宋体" w:hAnsi="宋体"/>
          <w:color w:val="auto"/>
          <w:szCs w:val="21"/>
        </w:rPr>
        <w:t>，由所在地统计机构</w:t>
      </w:r>
      <w:r>
        <w:rPr>
          <w:rFonts w:hint="eastAsia" w:ascii="宋体"/>
          <w:color w:val="auto"/>
          <w:kern w:val="0"/>
        </w:rPr>
        <w:t>按照统计单位划分有关规定，对各类视同法人单位统计的产业活动单位进行</w:t>
      </w:r>
      <w:r>
        <w:rPr>
          <w:rFonts w:ascii="宋体"/>
          <w:color w:val="auto"/>
          <w:kern w:val="0"/>
        </w:rPr>
        <w:t>勾选</w:t>
      </w:r>
      <w:r>
        <w:rPr>
          <w:rFonts w:hint="eastAsia" w:ascii="宋体"/>
          <w:color w:val="auto"/>
          <w:kern w:val="0"/>
        </w:rPr>
        <w:t>。</w:t>
      </w:r>
    </w:p>
    <w:p>
      <w:pPr>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统一社会信用代码  </w:t>
      </w:r>
      <w:r>
        <w:rPr>
          <w:rFonts w:ascii="宋体" w:hAnsi="宋体" w:cs="宋体"/>
          <w:color w:val="auto"/>
          <w:kern w:val="0"/>
          <w:szCs w:val="21"/>
        </w:rPr>
        <w:t>指按照《国务院关于批转发展改革委等部门法人和其他组织统一社会信用代码制度建设总体方案的通知》（国发〔2015〕33号）规定，由赋码主管部门给</w:t>
      </w:r>
      <w:r>
        <w:rPr>
          <w:rFonts w:ascii="宋体" w:hAnsi="宋体" w:cs="宋体"/>
          <w:color w:val="auto"/>
          <w:szCs w:val="21"/>
        </w:rPr>
        <w:t>每一个法人单位和其他组织颁发的在全国范围内唯一的、终身不变的法定身份识别码。</w:t>
      </w:r>
      <w:r>
        <w:rPr>
          <w:rFonts w:hint="eastAsia"/>
          <w:color w:val="auto"/>
          <w:u w:val="single"/>
        </w:rPr>
        <w:t>所</w:t>
      </w:r>
      <w:r>
        <w:rPr>
          <w:color w:val="auto"/>
          <w:u w:val="single"/>
        </w:rPr>
        <w:t>有单位均填写本项。</w:t>
      </w:r>
    </w:p>
    <w:p>
      <w:pPr>
        <w:spacing w:line="360" w:lineRule="exact"/>
        <w:ind w:firstLine="420" w:firstLineChars="200"/>
        <w:rPr>
          <w:rFonts w:ascii="宋体" w:hAnsi="宋体" w:cs="宋体"/>
          <w:color w:val="auto"/>
          <w:szCs w:val="21"/>
        </w:rPr>
      </w:pPr>
      <w:r>
        <w:rPr>
          <w:rFonts w:ascii="宋体" w:hAnsi="宋体" w:cs="宋体"/>
          <w:color w:val="auto"/>
          <w:szCs w:val="21"/>
        </w:rPr>
        <w:t>已经领取了统一社会信用代码的单位必须填写统一社会信用代码。在填写时，要按照《营业执照》或其他证照上的统一社会信用代码填写。尚未领取统一社会信用代码的单位，由统计部门赋予统计用临时代码。</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单位详细名称  </w:t>
      </w:r>
      <w:r>
        <w:rPr>
          <w:rFonts w:ascii="宋体" w:hAnsi="宋体" w:cs="宋体"/>
          <w:color w:val="auto"/>
          <w:szCs w:val="21"/>
        </w:rPr>
        <w:t>指经有关部门批准正式使用的单位全称。</w:t>
      </w:r>
      <w:r>
        <w:rPr>
          <w:rFonts w:hint="eastAsia"/>
          <w:color w:val="auto"/>
          <w:u w:val="single"/>
        </w:rPr>
        <w:t>所</w:t>
      </w:r>
      <w:r>
        <w:rPr>
          <w:color w:val="auto"/>
          <w:u w:val="single"/>
        </w:rPr>
        <w:t>有单位均填写本项。</w:t>
      </w:r>
    </w:p>
    <w:p>
      <w:pPr>
        <w:snapToGrid w:val="0"/>
        <w:spacing w:line="360" w:lineRule="exact"/>
        <w:ind w:firstLine="420" w:firstLineChars="200"/>
        <w:rPr>
          <w:rFonts w:ascii="宋体" w:hAnsi="宋体" w:cs="宋体"/>
          <w:i/>
          <w:iCs/>
          <w:color w:val="auto"/>
          <w:szCs w:val="21"/>
          <w:u w:val="single"/>
        </w:rPr>
      </w:pPr>
      <w:r>
        <w:rPr>
          <w:rFonts w:ascii="宋体" w:hAnsi="宋体" w:cs="宋体"/>
          <w:color w:val="auto"/>
          <w:szCs w:val="21"/>
        </w:rPr>
        <w:t>企业的详细名称按市场监管部门登记的名称填写；机关、事业单位的详细名称按编制部门登记、批准的名称填写；社会团体、民办非企业单位、基金会</w:t>
      </w:r>
      <w:r>
        <w:rPr>
          <w:rFonts w:hint="eastAsia" w:ascii="宋体" w:hAnsi="宋体" w:cs="宋体"/>
          <w:color w:val="auto"/>
          <w:szCs w:val="21"/>
        </w:rPr>
        <w:t>、宗教活动场所法人</w:t>
      </w:r>
      <w:r>
        <w:rPr>
          <w:rFonts w:ascii="宋体" w:hAnsi="宋体" w:cs="宋体"/>
          <w:color w:val="auto"/>
          <w:szCs w:val="21"/>
        </w:rPr>
        <w:t>和基层群众自治组织的详细名称按民政部门登记、批准的名称填写。其他单位按相关部门登记、批准的名称填写。填写时要求使用规范化</w:t>
      </w:r>
      <w:r>
        <w:rPr>
          <w:rFonts w:hint="eastAsia" w:ascii="宋体" w:hAnsi="宋体" w:cs="宋体"/>
          <w:color w:val="auto"/>
          <w:szCs w:val="21"/>
        </w:rPr>
        <w:t>中文</w:t>
      </w:r>
      <w:r>
        <w:rPr>
          <w:rFonts w:ascii="宋体" w:hAnsi="宋体" w:cs="宋体"/>
          <w:color w:val="auto"/>
          <w:szCs w:val="21"/>
        </w:rPr>
        <w:t>，并与单位公章所使用的名称完全一致，不得使用简称、缩写等。</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凡经登记主管机关核准或批准，具有两个或两个以上名称的单位，</w:t>
      </w:r>
      <w:r>
        <w:rPr>
          <w:rFonts w:hint="eastAsia" w:ascii="宋体" w:hAnsi="宋体" w:cs="宋体"/>
          <w:color w:val="auto"/>
          <w:szCs w:val="21"/>
        </w:rPr>
        <w:t>应</w:t>
      </w:r>
      <w:r>
        <w:rPr>
          <w:rFonts w:ascii="宋体" w:hAnsi="宋体" w:cs="宋体"/>
          <w:color w:val="auto"/>
          <w:szCs w:val="21"/>
        </w:rPr>
        <w:t>填写一个单位名称，同时用括号注明其余的单位名称。</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法定代表人（单位负责人）  </w:t>
      </w:r>
      <w:r>
        <w:rPr>
          <w:rFonts w:ascii="宋体" w:hAnsi="宋体" w:cs="宋体"/>
          <w:color w:val="auto"/>
          <w:szCs w:val="21"/>
        </w:rPr>
        <w:t>指依照法律或者法人组织章程规定，代表法人行使职权的负责人。</w:t>
      </w:r>
      <w:r>
        <w:rPr>
          <w:rFonts w:hint="eastAsia"/>
          <w:color w:val="auto"/>
          <w:u w:val="single"/>
        </w:rPr>
        <w:t>所</w:t>
      </w:r>
      <w:r>
        <w:rPr>
          <w:color w:val="auto"/>
          <w:u w:val="single"/>
        </w:rPr>
        <w:t>有单位均填写本项。</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企业、事业单位、社会团体、民办非企业单位、基金会</w:t>
      </w:r>
      <w:r>
        <w:rPr>
          <w:rFonts w:hint="eastAsia" w:ascii="宋体" w:hAnsi="宋体" w:cs="宋体"/>
          <w:color w:val="auto"/>
          <w:szCs w:val="21"/>
        </w:rPr>
        <w:t>、宗教活动场所</w:t>
      </w:r>
      <w:r>
        <w:rPr>
          <w:rFonts w:ascii="宋体" w:hAnsi="宋体" w:cs="宋体"/>
          <w:color w:val="auto"/>
          <w:szCs w:val="21"/>
        </w:rPr>
        <w:t>和农民专业合作社法人的法定代表人分别按照《企业法人营业执照》（或新版《营业执照》）《事业单位法人证书》《社会团体法人登记证书》《民办非企业单位登记证书》《基金会法人登记证书》《宗教活动场所法人登记证书》《农民专业合作社法人营业执照》（或新版《营业执照》）填写，机关法定代表人填写单位主要负责人。产业活动单位填写本单位的主要负责人。</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成立时间  </w:t>
      </w:r>
      <w:r>
        <w:rPr>
          <w:rFonts w:ascii="宋体" w:hAnsi="宋体" w:cs="宋体"/>
          <w:color w:val="auto"/>
          <w:szCs w:val="21"/>
        </w:rPr>
        <w:t>指单位登记注册成立或行政管理部门批准成立的具体年月。</w:t>
      </w:r>
      <w:r>
        <w:rPr>
          <w:rFonts w:hint="eastAsia"/>
          <w:color w:val="auto"/>
          <w:u w:val="single"/>
        </w:rPr>
        <w:t>所</w:t>
      </w:r>
      <w:r>
        <w:rPr>
          <w:color w:val="auto"/>
          <w:u w:val="single"/>
        </w:rPr>
        <w:t>有单位均填写本项。</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中华人民共和国成立前</w:t>
      </w:r>
      <w:r>
        <w:rPr>
          <w:rFonts w:ascii="宋体" w:hAnsi="宋体" w:cs="宋体"/>
          <w:color w:val="auto"/>
          <w:szCs w:val="21"/>
        </w:rPr>
        <w:t>成立的单位填写最早开工或成立的年月；</w:t>
      </w:r>
      <w:r>
        <w:rPr>
          <w:rFonts w:hint="eastAsia" w:ascii="宋体" w:hAnsi="宋体" w:cs="宋体"/>
          <w:color w:val="auto"/>
          <w:szCs w:val="21"/>
        </w:rPr>
        <w:t>中华人民共和国成立</w:t>
      </w:r>
      <w:r>
        <w:rPr>
          <w:rFonts w:ascii="宋体" w:hAnsi="宋体" w:cs="宋体"/>
          <w:color w:val="auto"/>
          <w:szCs w:val="21"/>
        </w:rPr>
        <w:t>后成立的单位填写批准成立或登记注册成立的时间，如实际开业时间早于注册成立时间，填写最早开业年月。</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2.机关、事业单位的成立时间分三种情况：（1）新设立的单位成立时间填新设立时间；（2）恢复设立的单位（指中间因某种原因停顿，后又恢复的单位）成立时间填以前设立的时间；（3）机构改革中，因合并或分立新设的单位，其成立时间填新设立时间，继续存在的单位，填原成立时间，改革后有些单位虽然名称有变化，但其基本职能未变，成立时间要填写最早成立时间。</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3.乡镇</w:t>
      </w:r>
      <w:r>
        <w:rPr>
          <w:rFonts w:hint="eastAsia" w:ascii="宋体" w:hAnsi="宋体" w:cs="宋体"/>
          <w:color w:val="auto"/>
          <w:szCs w:val="21"/>
        </w:rPr>
        <w:t>人民政府</w:t>
      </w:r>
      <w:r>
        <w:rPr>
          <w:rFonts w:ascii="宋体" w:hAnsi="宋体" w:cs="宋体"/>
          <w:color w:val="auto"/>
          <w:szCs w:val="21"/>
        </w:rPr>
        <w:t>、街道</w:t>
      </w:r>
      <w:r>
        <w:rPr>
          <w:rFonts w:hint="eastAsia" w:ascii="宋体" w:hAnsi="宋体" w:cs="宋体"/>
          <w:color w:val="auto"/>
          <w:szCs w:val="21"/>
        </w:rPr>
        <w:t>办事处</w:t>
      </w:r>
      <w:r>
        <w:rPr>
          <w:rFonts w:ascii="宋体" w:hAnsi="宋体" w:cs="宋体"/>
          <w:color w:val="auto"/>
          <w:szCs w:val="21"/>
        </w:rPr>
        <w:t>、村委会</w:t>
      </w:r>
      <w:r>
        <w:rPr>
          <w:rFonts w:hint="eastAsia" w:ascii="宋体" w:hAnsi="宋体" w:cs="宋体"/>
          <w:color w:val="auto"/>
          <w:szCs w:val="21"/>
        </w:rPr>
        <w:t>、</w:t>
      </w:r>
      <w:r>
        <w:rPr>
          <w:rFonts w:ascii="宋体" w:hAnsi="宋体" w:cs="宋体"/>
          <w:color w:val="auto"/>
          <w:szCs w:val="21"/>
        </w:rPr>
        <w:t>居委会，如管辖区域基本未改变，其成立时间按原成立时间填写；否则，按新成立时间填写。</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4.改制企业的成立时间按原成立时间填写。</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5.企业分立、合并分两种情况：一种是因合并或分立而新设的企业，其成立时间按市场监管部门重新登记后的成立时间填写；另一种是合并或分立后继续存在的企业，填写原企业的成立时间。</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开业时间</w:t>
      </w:r>
      <w:r>
        <w:rPr>
          <w:rFonts w:ascii="宋体" w:hAnsi="宋体" w:eastAsia="黑体" w:cs="宋体"/>
          <w:color w:val="auto"/>
          <w:szCs w:val="21"/>
          <w:lang w:val="en"/>
        </w:rPr>
        <w:t xml:space="preserve"> </w:t>
      </w:r>
      <w:r>
        <w:rPr>
          <w:rFonts w:hint="eastAsia" w:ascii="宋体" w:hAnsi="宋体" w:eastAsia="黑体" w:cs="宋体"/>
          <w:color w:val="auto"/>
          <w:szCs w:val="21"/>
        </w:rPr>
        <w:t xml:space="preserve"> </w:t>
      </w:r>
      <w:r>
        <w:rPr>
          <w:rFonts w:ascii="宋体" w:hAnsi="宋体" w:cs="宋体"/>
          <w:color w:val="auto"/>
          <w:szCs w:val="21"/>
        </w:rPr>
        <w:t>指企业在市场监管部门登记注册后，经过一系列筹建工作，正式开始投入运营的具体年月。</w:t>
      </w:r>
      <w:r>
        <w:rPr>
          <w:rFonts w:hint="eastAsia" w:ascii="宋体" w:hAnsi="宋体" w:cs="宋体"/>
          <w:color w:val="auto"/>
          <w:u w:val="single"/>
        </w:rPr>
        <w:t>除筹建企业外，所有企业均填写本项。</w:t>
      </w:r>
    </w:p>
    <w:p>
      <w:pPr>
        <w:snapToGrid w:val="0"/>
        <w:spacing w:line="360" w:lineRule="exact"/>
        <w:ind w:firstLine="420" w:firstLineChars="200"/>
        <w:rPr>
          <w:rFonts w:ascii="宋体" w:hAnsi="宋体"/>
          <w:color w:val="auto"/>
          <w:szCs w:val="21"/>
        </w:rPr>
      </w:pPr>
      <w:r>
        <w:rPr>
          <w:rFonts w:ascii="宋体" w:hAnsi="宋体" w:eastAsia="黑体" w:cs="宋体"/>
          <w:color w:val="auto"/>
          <w:szCs w:val="21"/>
        </w:rPr>
        <w:t xml:space="preserve">联系方式  </w:t>
      </w:r>
      <w:r>
        <w:rPr>
          <w:rFonts w:ascii="宋体" w:hAnsi="宋体" w:cs="宋体"/>
          <w:color w:val="auto"/>
          <w:szCs w:val="21"/>
        </w:rPr>
        <w:t>包括固定电话、移动电话、传真电话和邮政编码等能够与单位取得联系的信息。</w:t>
      </w:r>
      <w:r>
        <w:rPr>
          <w:rFonts w:hint="eastAsia" w:ascii="宋体" w:hAnsi="宋体" w:cs="宋体"/>
          <w:color w:val="auto"/>
          <w:u w:val="single"/>
        </w:rPr>
        <w:t>所有单位均填写本项。</w:t>
      </w:r>
    </w:p>
    <w:p>
      <w:pPr>
        <w:snapToGrid w:val="0"/>
        <w:spacing w:line="360" w:lineRule="exact"/>
        <w:ind w:firstLine="420" w:firstLineChars="200"/>
        <w:rPr>
          <w:rFonts w:ascii="宋体" w:hAnsi="宋体" w:eastAsia="黑体" w:cs="宋体"/>
          <w:color w:val="auto"/>
          <w:szCs w:val="21"/>
        </w:rPr>
      </w:pPr>
      <w:r>
        <w:rPr>
          <w:rFonts w:ascii="宋体" w:hAnsi="宋体" w:cs="宋体"/>
          <w:color w:val="auto"/>
          <w:szCs w:val="21"/>
        </w:rPr>
        <w:t>电话号码以填写固定电话号码为主，对于确实没有固定电话号码的单位，可以填写主要负责人的移动电话号码。</w:t>
      </w:r>
    </w:p>
    <w:p>
      <w:pPr>
        <w:snapToGrid w:val="0"/>
        <w:spacing w:line="360" w:lineRule="exact"/>
        <w:ind w:firstLine="420" w:firstLineChars="200"/>
        <w:rPr>
          <w:rFonts w:ascii="宋体"/>
          <w:color w:val="auto"/>
        </w:rPr>
      </w:pPr>
      <w:r>
        <w:rPr>
          <w:rFonts w:ascii="宋体" w:hAnsi="宋体" w:eastAsia="黑体" w:cs="宋体"/>
          <w:color w:val="auto"/>
          <w:szCs w:val="21"/>
        </w:rPr>
        <w:t xml:space="preserve">单位所在地区划及详细地址  </w:t>
      </w:r>
      <w:r>
        <w:rPr>
          <w:rFonts w:hint="eastAsia" w:ascii="宋体" w:hAnsi="宋体" w:cs="宋体"/>
          <w:color w:val="auto"/>
        </w:rPr>
        <w:t>指单位主要经营地所处的详细地址等。本栏分两部分填写：</w:t>
      </w:r>
    </w:p>
    <w:p>
      <w:pPr>
        <w:snapToGrid w:val="0"/>
        <w:spacing w:line="360" w:lineRule="exact"/>
        <w:ind w:firstLine="420" w:firstLineChars="200"/>
        <w:rPr>
          <w:rFonts w:ascii="宋体"/>
          <w:color w:val="auto"/>
        </w:rPr>
      </w:pPr>
      <w:r>
        <w:rPr>
          <w:rFonts w:hint="eastAsia" w:ascii="宋体" w:hAnsi="宋体" w:cs="宋体"/>
          <w:color w:val="auto"/>
        </w:rPr>
        <w:t>第一部分：单位主要</w:t>
      </w:r>
      <w:r>
        <w:rPr>
          <w:rFonts w:ascii="宋体" w:hAnsi="宋体" w:cs="宋体"/>
          <w:color w:val="auto"/>
        </w:rPr>
        <w:t>经营地</w:t>
      </w:r>
      <w:r>
        <w:rPr>
          <w:rFonts w:hint="eastAsia" w:ascii="宋体" w:hAnsi="宋体" w:cs="宋体"/>
          <w:color w:val="auto"/>
        </w:rPr>
        <w:t>所处的详细地址。要写明单位主要经营地所在的省</w:t>
      </w:r>
      <w:r>
        <w:rPr>
          <w:rFonts w:ascii="宋体" w:hAnsi="宋体" w:cs="宋体"/>
          <w:color w:val="auto"/>
        </w:rPr>
        <w:t>（</w:t>
      </w:r>
      <w:r>
        <w:rPr>
          <w:rFonts w:hint="eastAsia" w:ascii="宋体" w:hAnsi="宋体" w:cs="宋体"/>
          <w:color w:val="auto"/>
        </w:rPr>
        <w:t>自治区、直辖市</w:t>
      </w:r>
      <w:r>
        <w:rPr>
          <w:rFonts w:ascii="宋体" w:hAnsi="宋体" w:cs="宋体"/>
          <w:color w:val="auto"/>
        </w:rPr>
        <w:t>）</w:t>
      </w:r>
      <w:r>
        <w:rPr>
          <w:rFonts w:hint="eastAsia" w:ascii="宋体" w:hAnsi="宋体" w:cs="宋体"/>
          <w:color w:val="auto"/>
        </w:rPr>
        <w:t>、地</w:t>
      </w:r>
      <w:r>
        <w:rPr>
          <w:rFonts w:ascii="宋体" w:hAnsi="宋体" w:cs="宋体"/>
          <w:color w:val="auto"/>
        </w:rPr>
        <w:t>（</w:t>
      </w:r>
      <w:r>
        <w:rPr>
          <w:rFonts w:hint="eastAsia" w:ascii="宋体" w:hAnsi="宋体" w:cs="宋体"/>
          <w:color w:val="auto"/>
        </w:rPr>
        <w:t>市、州、盟</w:t>
      </w:r>
      <w:r>
        <w:rPr>
          <w:rFonts w:ascii="宋体" w:hAnsi="宋体" w:cs="宋体"/>
          <w:color w:val="auto"/>
        </w:rPr>
        <w:t>）</w:t>
      </w:r>
      <w:r>
        <w:rPr>
          <w:rFonts w:hint="eastAsia" w:ascii="宋体" w:hAnsi="宋体" w:cs="宋体"/>
          <w:color w:val="auto"/>
        </w:rPr>
        <w:t>、县</w:t>
      </w:r>
      <w:r>
        <w:rPr>
          <w:rFonts w:ascii="宋体" w:hAnsi="宋体" w:cs="宋体"/>
          <w:color w:val="auto"/>
        </w:rPr>
        <w:t>（</w:t>
      </w:r>
      <w:r>
        <w:rPr>
          <w:rFonts w:hint="eastAsia" w:ascii="宋体" w:hAnsi="宋体" w:cs="宋体"/>
          <w:color w:val="auto"/>
        </w:rPr>
        <w:t>市、区、旗</w:t>
      </w:r>
      <w:r>
        <w:rPr>
          <w:rFonts w:ascii="宋体" w:hAnsi="宋体" w:cs="宋体"/>
          <w:color w:val="auto"/>
        </w:rPr>
        <w:t>）</w:t>
      </w:r>
      <w:r>
        <w:rPr>
          <w:rFonts w:hint="eastAsia" w:ascii="宋体" w:hAnsi="宋体" w:cs="宋体"/>
          <w:color w:val="auto"/>
        </w:rPr>
        <w:t>、乡</w:t>
      </w:r>
      <w:r>
        <w:rPr>
          <w:rFonts w:ascii="宋体" w:hAnsi="宋体" w:cs="宋体"/>
          <w:color w:val="auto"/>
        </w:rPr>
        <w:t>（</w:t>
      </w:r>
      <w:r>
        <w:rPr>
          <w:rFonts w:hint="eastAsia" w:ascii="宋体" w:hAnsi="宋体" w:cs="宋体"/>
          <w:color w:val="auto"/>
        </w:rPr>
        <w:t>镇、街道</w:t>
      </w:r>
      <w:r>
        <w:rPr>
          <w:rFonts w:ascii="宋体" w:hAnsi="宋体" w:cs="宋体"/>
          <w:color w:val="auto"/>
        </w:rPr>
        <w:t>）</w:t>
      </w:r>
      <w:r>
        <w:rPr>
          <w:rFonts w:hint="eastAsia" w:ascii="宋体" w:hAnsi="宋体" w:cs="宋体"/>
          <w:color w:val="auto"/>
        </w:rPr>
        <w:t>、村（居）委会以及具体街（路）的名称和详细的门牌号码，不能填写通讯号码或通讯信箱号码。</w:t>
      </w:r>
    </w:p>
    <w:p>
      <w:pPr>
        <w:snapToGrid w:val="0"/>
        <w:spacing w:line="360" w:lineRule="exact"/>
        <w:ind w:firstLine="420" w:firstLineChars="200"/>
        <w:rPr>
          <w:rFonts w:ascii="宋体"/>
          <w:color w:val="auto"/>
        </w:rPr>
      </w:pPr>
      <w:r>
        <w:rPr>
          <w:rFonts w:hint="eastAsia" w:ascii="宋体" w:hAnsi="宋体" w:cs="宋体"/>
          <w:color w:val="auto"/>
        </w:rPr>
        <w:t>第二部分：区划代码和城乡代码，按2</w:t>
      </w:r>
      <w:r>
        <w:rPr>
          <w:rFonts w:ascii="宋体" w:hAnsi="宋体" w:cs="宋体"/>
          <w:color w:val="auto"/>
        </w:rPr>
        <w:t>025</w:t>
      </w:r>
      <w:r>
        <w:rPr>
          <w:rFonts w:hint="eastAsia" w:ascii="宋体" w:hAnsi="宋体" w:cs="宋体"/>
          <w:color w:val="auto"/>
        </w:rPr>
        <w:t>年《统计用</w:t>
      </w:r>
      <w:r>
        <w:rPr>
          <w:rFonts w:ascii="宋体" w:hAnsi="宋体" w:cs="宋体"/>
          <w:color w:val="auto"/>
        </w:rPr>
        <w:t>区划代码</w:t>
      </w:r>
      <w:r>
        <w:rPr>
          <w:rFonts w:hint="eastAsia" w:ascii="宋体" w:hAnsi="宋体" w:cs="宋体"/>
          <w:color w:val="auto"/>
        </w:rPr>
        <w:t>和</w:t>
      </w:r>
      <w:r>
        <w:rPr>
          <w:rFonts w:ascii="宋体" w:hAnsi="宋体" w:cs="宋体"/>
          <w:color w:val="auto"/>
        </w:rPr>
        <w:t>城乡</w:t>
      </w:r>
      <w:r>
        <w:rPr>
          <w:rFonts w:hint="eastAsia" w:ascii="宋体" w:hAnsi="宋体" w:cs="宋体"/>
          <w:color w:val="auto"/>
        </w:rPr>
        <w:t>划分</w:t>
      </w:r>
      <w:r>
        <w:rPr>
          <w:rFonts w:ascii="宋体" w:hAnsi="宋体" w:cs="宋体"/>
          <w:color w:val="auto"/>
        </w:rPr>
        <w:t>代码》</w:t>
      </w:r>
      <w:r>
        <w:rPr>
          <w:rFonts w:hint="eastAsia" w:ascii="宋体" w:hAnsi="宋体" w:cs="宋体"/>
          <w:color w:val="auto"/>
        </w:rPr>
        <w:t>填写，</w:t>
      </w:r>
      <w:r>
        <w:rPr>
          <w:rFonts w:hint="eastAsia" w:ascii="宋体" w:hAnsi="宋体" w:cs="宋体"/>
          <w:color w:val="auto"/>
          <w:u w:val="single"/>
        </w:rPr>
        <w:t>由所在地统计机构统一填写，填报单位免填</w:t>
      </w:r>
      <w:r>
        <w:rPr>
          <w:rFonts w:hint="eastAsia" w:ascii="宋体" w:hAnsi="宋体" w:cs="宋体"/>
          <w:color w:val="auto"/>
        </w:rPr>
        <w:t>。</w:t>
      </w:r>
    </w:p>
    <w:p>
      <w:pPr>
        <w:snapToGrid w:val="0"/>
        <w:spacing w:line="360" w:lineRule="exact"/>
        <w:ind w:firstLine="420" w:firstLineChars="200"/>
        <w:rPr>
          <w:rFonts w:ascii="宋体"/>
          <w:color w:val="auto"/>
        </w:rPr>
      </w:pPr>
      <w:r>
        <w:rPr>
          <w:rFonts w:ascii="宋体" w:hAnsi="宋体" w:eastAsia="黑体" w:cs="宋体"/>
          <w:color w:val="auto"/>
          <w:szCs w:val="21"/>
        </w:rPr>
        <w:t xml:space="preserve">单位注册地址区划及详细地址  </w:t>
      </w:r>
      <w:r>
        <w:rPr>
          <w:rFonts w:hint="eastAsia" w:ascii="宋体" w:hAnsi="宋体" w:cs="宋体"/>
          <w:color w:val="auto"/>
        </w:rPr>
        <w:t>指单位在审批登记部门登记注册的地址。本栏分为两部分填写：</w:t>
      </w:r>
    </w:p>
    <w:p>
      <w:pPr>
        <w:snapToGrid w:val="0"/>
        <w:spacing w:line="360" w:lineRule="exact"/>
        <w:ind w:firstLine="420" w:firstLineChars="200"/>
        <w:rPr>
          <w:rFonts w:ascii="宋体"/>
          <w:color w:val="auto"/>
          <w:u w:val="single"/>
        </w:rPr>
      </w:pPr>
      <w:r>
        <w:rPr>
          <w:rFonts w:hint="eastAsia" w:ascii="宋体" w:hAnsi="宋体" w:cs="宋体"/>
          <w:color w:val="auto"/>
        </w:rPr>
        <w:t>第一部分：单位注册的详细地址，</w:t>
      </w:r>
      <w:r>
        <w:rPr>
          <w:rFonts w:hint="eastAsia" w:ascii="宋体" w:hAnsi="宋体" w:cs="宋体"/>
          <w:color w:val="auto"/>
          <w:u w:val="single"/>
        </w:rPr>
        <w:t>建筑业单位必须填写；</w:t>
      </w:r>
      <w:r>
        <w:rPr>
          <w:rFonts w:hint="eastAsia" w:ascii="宋体" w:hAnsi="宋体" w:cs="宋体"/>
          <w:color w:val="auto"/>
        </w:rPr>
        <w:t>其他行业单位注册地与经营地不一致的需填写本项，地址相同的可免填。要写明单位注册地所在的省</w:t>
      </w:r>
      <w:r>
        <w:rPr>
          <w:rFonts w:ascii="宋体" w:hAnsi="宋体" w:cs="宋体"/>
          <w:color w:val="auto"/>
        </w:rPr>
        <w:t>（</w:t>
      </w:r>
      <w:r>
        <w:rPr>
          <w:rFonts w:hint="eastAsia" w:ascii="宋体" w:hAnsi="宋体" w:cs="宋体"/>
          <w:color w:val="auto"/>
        </w:rPr>
        <w:t>自治区、直辖市</w:t>
      </w:r>
      <w:r>
        <w:rPr>
          <w:rFonts w:ascii="宋体" w:hAnsi="宋体" w:cs="宋体"/>
          <w:color w:val="auto"/>
        </w:rPr>
        <w:t>）</w:t>
      </w:r>
      <w:r>
        <w:rPr>
          <w:rFonts w:hint="eastAsia" w:ascii="宋体" w:hAnsi="宋体" w:cs="宋体"/>
          <w:color w:val="auto"/>
        </w:rPr>
        <w:t>、地</w:t>
      </w:r>
      <w:r>
        <w:rPr>
          <w:rFonts w:ascii="宋体" w:hAnsi="宋体" w:cs="宋体"/>
          <w:color w:val="auto"/>
        </w:rPr>
        <w:t>（</w:t>
      </w:r>
      <w:r>
        <w:rPr>
          <w:rFonts w:hint="eastAsia" w:ascii="宋体" w:hAnsi="宋体" w:cs="宋体"/>
          <w:color w:val="auto"/>
        </w:rPr>
        <w:t>市、州、盟</w:t>
      </w:r>
      <w:r>
        <w:rPr>
          <w:rFonts w:ascii="宋体" w:hAnsi="宋体" w:cs="宋体"/>
          <w:color w:val="auto"/>
        </w:rPr>
        <w:t>）</w:t>
      </w:r>
      <w:r>
        <w:rPr>
          <w:rFonts w:hint="eastAsia" w:ascii="宋体" w:hAnsi="宋体" w:cs="宋体"/>
          <w:color w:val="auto"/>
        </w:rPr>
        <w:t>、县</w:t>
      </w:r>
      <w:r>
        <w:rPr>
          <w:rFonts w:ascii="宋体" w:hAnsi="宋体" w:cs="宋体"/>
          <w:color w:val="auto"/>
        </w:rPr>
        <w:t>（</w:t>
      </w:r>
      <w:r>
        <w:rPr>
          <w:rFonts w:hint="eastAsia" w:ascii="宋体" w:hAnsi="宋体" w:cs="宋体"/>
          <w:color w:val="auto"/>
        </w:rPr>
        <w:t>市、区、旗</w:t>
      </w:r>
      <w:r>
        <w:rPr>
          <w:rFonts w:ascii="宋体" w:hAnsi="宋体" w:cs="宋体"/>
          <w:color w:val="auto"/>
        </w:rPr>
        <w:t>）</w:t>
      </w:r>
      <w:r>
        <w:rPr>
          <w:rFonts w:hint="eastAsia" w:ascii="宋体" w:hAnsi="宋体" w:cs="宋体"/>
          <w:color w:val="auto"/>
        </w:rPr>
        <w:t>、乡</w:t>
      </w:r>
      <w:r>
        <w:rPr>
          <w:rFonts w:ascii="宋体" w:hAnsi="宋体" w:cs="宋体"/>
          <w:color w:val="auto"/>
        </w:rPr>
        <w:t>（</w:t>
      </w:r>
      <w:r>
        <w:rPr>
          <w:rFonts w:hint="eastAsia" w:ascii="宋体" w:hAnsi="宋体" w:cs="宋体"/>
          <w:color w:val="auto"/>
        </w:rPr>
        <w:t>镇、街道</w:t>
      </w:r>
      <w:r>
        <w:rPr>
          <w:rFonts w:ascii="宋体" w:hAnsi="宋体" w:cs="宋体"/>
          <w:color w:val="auto"/>
        </w:rPr>
        <w:t>）</w:t>
      </w:r>
      <w:r>
        <w:rPr>
          <w:rFonts w:hint="eastAsia" w:ascii="宋体" w:hAnsi="宋体" w:cs="宋体"/>
          <w:color w:val="auto"/>
        </w:rPr>
        <w:t>、村（居）委会以及具体街（路）的名称和详细的门牌号码，不能填写通讯号码或通讯信箱号码。</w:t>
      </w:r>
    </w:p>
    <w:p>
      <w:pPr>
        <w:snapToGrid w:val="0"/>
        <w:spacing w:line="360" w:lineRule="exact"/>
        <w:ind w:firstLine="420" w:firstLineChars="200"/>
        <w:rPr>
          <w:rFonts w:ascii="宋体"/>
          <w:color w:val="auto"/>
        </w:rPr>
      </w:pPr>
      <w:r>
        <w:rPr>
          <w:rFonts w:hint="eastAsia" w:ascii="宋体" w:hAnsi="宋体" w:cs="宋体"/>
          <w:color w:val="auto"/>
        </w:rPr>
        <w:t>第二部分：区划代码和城乡代码，按2</w:t>
      </w:r>
      <w:r>
        <w:rPr>
          <w:rFonts w:ascii="宋体" w:hAnsi="宋体" w:cs="宋体"/>
          <w:color w:val="auto"/>
        </w:rPr>
        <w:t>025</w:t>
      </w:r>
      <w:r>
        <w:rPr>
          <w:rFonts w:hint="eastAsia" w:ascii="宋体" w:hAnsi="宋体" w:cs="宋体"/>
          <w:color w:val="auto"/>
        </w:rPr>
        <w:t>年《统计用</w:t>
      </w:r>
      <w:r>
        <w:rPr>
          <w:rFonts w:ascii="宋体" w:hAnsi="宋体" w:cs="宋体"/>
          <w:color w:val="auto"/>
        </w:rPr>
        <w:t>区划代码</w:t>
      </w:r>
      <w:r>
        <w:rPr>
          <w:rFonts w:hint="eastAsia" w:ascii="宋体" w:hAnsi="宋体" w:cs="宋体"/>
          <w:color w:val="auto"/>
        </w:rPr>
        <w:t>和</w:t>
      </w:r>
      <w:r>
        <w:rPr>
          <w:rFonts w:ascii="宋体" w:hAnsi="宋体" w:cs="宋体"/>
          <w:color w:val="auto"/>
        </w:rPr>
        <w:t>城乡</w:t>
      </w:r>
      <w:r>
        <w:rPr>
          <w:rFonts w:hint="eastAsia" w:ascii="宋体" w:hAnsi="宋体" w:cs="宋体"/>
          <w:color w:val="auto"/>
        </w:rPr>
        <w:t>划分</w:t>
      </w:r>
      <w:r>
        <w:rPr>
          <w:rFonts w:ascii="宋体" w:hAnsi="宋体" w:cs="宋体"/>
          <w:color w:val="auto"/>
        </w:rPr>
        <w:t>代码》</w:t>
      </w:r>
      <w:r>
        <w:rPr>
          <w:rFonts w:hint="eastAsia" w:ascii="宋体" w:hAnsi="宋体" w:cs="宋体"/>
          <w:color w:val="auto"/>
        </w:rPr>
        <w:t>填写，</w:t>
      </w:r>
      <w:r>
        <w:rPr>
          <w:rFonts w:hint="eastAsia" w:ascii="宋体" w:hAnsi="宋体" w:cs="宋体"/>
          <w:color w:val="auto"/>
          <w:u w:val="single"/>
        </w:rPr>
        <w:t>由所在地统计机构统一填写，填报单位免填</w:t>
      </w:r>
      <w:r>
        <w:rPr>
          <w:rFonts w:hint="eastAsia" w:ascii="宋体" w:hAnsi="宋体" w:cs="宋体"/>
          <w:color w:val="auto"/>
        </w:rPr>
        <w:t>。</w:t>
      </w:r>
    </w:p>
    <w:p>
      <w:pPr>
        <w:snapToGrid w:val="0"/>
        <w:spacing w:line="360" w:lineRule="exact"/>
        <w:ind w:firstLine="420" w:firstLineChars="200"/>
        <w:rPr>
          <w:rFonts w:hint="eastAsia" w:ascii="宋体" w:hAnsi="宋体" w:eastAsia="黑体" w:cs="宋体"/>
          <w:color w:val="auto"/>
          <w:szCs w:val="21"/>
        </w:rPr>
      </w:pPr>
      <w:r>
        <w:rPr>
          <w:rFonts w:hint="eastAsia" w:ascii="宋体" w:hAnsi="宋体" w:eastAsia="黑体" w:cs="宋体"/>
          <w:color w:val="auto"/>
          <w:szCs w:val="21"/>
        </w:rPr>
        <w:t xml:space="preserve">单位所在园区详细名称  </w:t>
      </w:r>
      <w:r>
        <w:rPr>
          <w:rFonts w:hint="eastAsia" w:ascii="宋体" w:hAnsi="宋体" w:cs="宋体"/>
          <w:color w:val="auto"/>
          <w:szCs w:val="21"/>
        </w:rPr>
        <w:t>指经有关部门批准正式使用的园区全称。园区是指依据国家经济社会的发展目标与任务分工，通过公共管理赋予的、集中统一规划且具有一定经济社会功能的区域。包括各级政府（部门）机构批准设立的具有相对固定管辖区域的开发区、保税区、工业园区、科技园区、物流园区、文化产业园区、农业示范区等各类园区。</w:t>
      </w:r>
      <w:r>
        <w:rPr>
          <w:rFonts w:hint="eastAsia" w:ascii="宋体" w:hAnsi="宋体" w:cs="宋体"/>
          <w:color w:val="auto"/>
          <w:szCs w:val="21"/>
          <w:u w:val="single"/>
        </w:rPr>
        <w:t>本项由普查机构填写，调查单位免填。</w:t>
      </w:r>
    </w:p>
    <w:p>
      <w:pPr>
        <w:snapToGrid w:val="0"/>
        <w:spacing w:line="360" w:lineRule="exact"/>
        <w:ind w:firstLine="420" w:firstLineChars="200"/>
        <w:rPr>
          <w:rFonts w:ascii="宋体" w:hAnsi="宋体" w:eastAsia="黑体" w:cs="宋体"/>
          <w:color w:val="auto"/>
          <w:szCs w:val="21"/>
        </w:rPr>
      </w:pPr>
      <w:r>
        <w:rPr>
          <w:rFonts w:hint="eastAsia" w:ascii="宋体" w:hAnsi="宋体" w:eastAsia="黑体" w:cs="宋体"/>
          <w:color w:val="auto"/>
          <w:szCs w:val="21"/>
        </w:rPr>
        <w:t xml:space="preserve">所在园区代码  </w:t>
      </w:r>
      <w:r>
        <w:rPr>
          <w:rFonts w:hint="eastAsia" w:ascii="宋体" w:hAnsi="宋体" w:cs="宋体"/>
          <w:color w:val="auto"/>
          <w:szCs w:val="21"/>
        </w:rPr>
        <w:t>指普查机构按照《园区代码编制规则（试行）》编写的代码。</w:t>
      </w:r>
      <w:r>
        <w:rPr>
          <w:rFonts w:hint="eastAsia" w:ascii="宋体" w:hAnsi="宋体" w:cs="宋体"/>
          <w:color w:val="auto"/>
          <w:szCs w:val="21"/>
          <w:u w:val="single"/>
        </w:rPr>
        <w:t>本项由普查机构填写，调查单位免填。</w:t>
      </w:r>
    </w:p>
    <w:p>
      <w:pPr>
        <w:snapToGrid w:val="0"/>
        <w:spacing w:line="360" w:lineRule="exact"/>
        <w:ind w:firstLine="420" w:firstLineChars="200"/>
        <w:rPr>
          <w:rFonts w:ascii="宋体" w:hAnsi="宋体" w:cs="宋体"/>
          <w:color w:val="auto"/>
          <w:szCs w:val="21"/>
          <w:u w:val="single"/>
        </w:rPr>
      </w:pPr>
      <w:r>
        <w:rPr>
          <w:rFonts w:ascii="宋体" w:hAnsi="宋体" w:eastAsia="黑体" w:cs="宋体"/>
          <w:color w:val="auto"/>
          <w:szCs w:val="21"/>
        </w:rPr>
        <w:t xml:space="preserve">运营状态  </w:t>
      </w:r>
      <w:r>
        <w:rPr>
          <w:rFonts w:ascii="宋体" w:hAnsi="宋体" w:cs="宋体"/>
          <w:color w:val="auto"/>
          <w:szCs w:val="21"/>
        </w:rPr>
        <w:t>指企业（单位）的经济活动状态。</w:t>
      </w:r>
      <w:r>
        <w:rPr>
          <w:rFonts w:hint="eastAsia" w:ascii="宋体" w:hAnsi="宋体" w:cs="宋体"/>
          <w:color w:val="auto"/>
          <w:u w:val="single"/>
        </w:rPr>
        <w:t>所有单位均填写本项。</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1.正常运营：指正常运转的单位，全年正常开业的企业（单位）和季节性生产开工三个月以上的企业（单位）。包括部分投产的新建企业（单位），临时性停产和季节性停产的企业（单位）。</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2.停业（歇业）：指由于某种原因已处于停止经营或活动的状态，待条件改变后将恢复经营或活动的企业（单位）。</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3.筹建：指已经在行政登记管理部门注册登记，正在进行经营或活动前筹建工作的企业（单位）。如研究和论证建设、投产或经营方案，办理征地拆迁，订购设备材料，进行基建等。有些行业的企业，由于行业管理或其他政策性管理的需要必须经过一定时间的试营业才能正式开业，这些处于试营业状态的单位也属于筹建。</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4.当年关闭：指当年因某种原因终止经营或活动的企业（单位）。</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5.当年破产：指当年依照《</w:t>
      </w:r>
      <w:r>
        <w:rPr>
          <w:rFonts w:hint="eastAsia" w:ascii="宋体" w:hAnsi="宋体" w:cs="宋体"/>
          <w:color w:val="auto"/>
          <w:szCs w:val="21"/>
        </w:rPr>
        <w:t>中华人民共和国企业</w:t>
      </w:r>
      <w:r>
        <w:rPr>
          <w:rFonts w:ascii="宋体" w:hAnsi="宋体" w:cs="宋体"/>
          <w:color w:val="auto"/>
          <w:szCs w:val="21"/>
        </w:rPr>
        <w:t>破产法》或相关法律法规宣布破产的企业（单位）。</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6.当年注销：指当年因歇业、宣告破产、自行解散或因其他原因终止活动，在行政登记管理部门主动申请退出的企业（单位）。</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7.当年撤（吊）销：指当年被</w:t>
      </w:r>
      <w:r>
        <w:rPr>
          <w:rFonts w:ascii="宋体" w:hAnsi="宋体" w:cs="宋体"/>
          <w:color w:val="auto"/>
          <w:szCs w:val="21"/>
          <w:u w:val="none"/>
        </w:rPr>
        <w:t>行政登记管理部门</w:t>
      </w:r>
      <w:r>
        <w:rPr>
          <w:rFonts w:ascii="宋体" w:hAnsi="宋体" w:cs="宋体"/>
          <w:color w:val="auto"/>
          <w:szCs w:val="21"/>
        </w:rPr>
        <w:t>根据国家相关法律法规，对其进行吊销营业执照（证书）行政处罚的企业（单位）或撤销登记的企业（单位）。</w:t>
      </w:r>
    </w:p>
    <w:p>
      <w:pPr>
        <w:snapToGrid w:val="0"/>
        <w:spacing w:line="360" w:lineRule="exact"/>
        <w:ind w:firstLine="420" w:firstLineChars="200"/>
        <w:rPr>
          <w:rFonts w:ascii="宋体" w:hAnsi="宋体" w:eastAsia="黑体" w:cs="宋体"/>
          <w:color w:val="auto"/>
          <w:szCs w:val="21"/>
        </w:rPr>
      </w:pPr>
      <w:r>
        <w:rPr>
          <w:rFonts w:ascii="宋体" w:hAnsi="宋体" w:cs="宋体"/>
          <w:color w:val="auto"/>
          <w:szCs w:val="21"/>
        </w:rPr>
        <w:t>8.其他：指上述情况以外的其他企业（单位）。</w:t>
      </w:r>
    </w:p>
    <w:p>
      <w:pPr>
        <w:snapToGrid w:val="0"/>
        <w:spacing w:line="360" w:lineRule="exact"/>
        <w:ind w:firstLine="420" w:firstLineChars="200"/>
        <w:rPr>
          <w:rFonts w:hint="eastAsia" w:ascii="宋体" w:hAnsi="宋体" w:cs="宋体"/>
          <w:color w:val="auto"/>
          <w:szCs w:val="21"/>
        </w:rPr>
      </w:pPr>
      <w:r>
        <w:rPr>
          <w:rFonts w:ascii="宋体" w:hAnsi="宋体" w:eastAsia="黑体" w:cs="宋体"/>
          <w:color w:val="auto"/>
          <w:szCs w:val="21"/>
        </w:rPr>
        <w:t xml:space="preserve">行业类别  </w:t>
      </w:r>
      <w:r>
        <w:rPr>
          <w:rFonts w:ascii="宋体" w:hAnsi="宋体" w:cs="宋体"/>
          <w:color w:val="auto"/>
          <w:szCs w:val="21"/>
        </w:rPr>
        <w:t>指根据其从事的社会经济活动性质对各类单位进行的分类。本项分两部分填写</w:t>
      </w:r>
      <w:r>
        <w:rPr>
          <w:rFonts w:hint="eastAsia" w:ascii="宋体" w:hAnsi="宋体" w:cs="宋体"/>
          <w:color w:val="auto"/>
          <w:szCs w:val="21"/>
        </w:rPr>
        <w:t>。</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1.</w:t>
      </w:r>
      <w:r>
        <w:rPr>
          <w:rFonts w:ascii="宋体" w:hAnsi="宋体" w:cs="宋体"/>
          <w:color w:val="auto"/>
          <w:spacing w:val="-4"/>
          <w:szCs w:val="21"/>
        </w:rPr>
        <w:t>主要业务活动：</w:t>
      </w:r>
      <w:r>
        <w:rPr>
          <w:rFonts w:hint="eastAsia" w:ascii="宋体" w:hAnsi="宋体" w:cs="宋体"/>
          <w:color w:val="auto"/>
          <w:spacing w:val="-4"/>
          <w:szCs w:val="21"/>
        </w:rPr>
        <w:t>指企业为完成经营目标而从事的日常业务活动中的主要活动。</w:t>
      </w:r>
      <w:r>
        <w:rPr>
          <w:rFonts w:hint="eastAsia" w:ascii="宋体" w:hAnsi="宋体" w:cs="宋体"/>
          <w:color w:val="auto"/>
          <w:spacing w:val="-4"/>
          <w:szCs w:val="21"/>
          <w:u w:val="single"/>
        </w:rPr>
        <w:t>所有单位均填写本项</w:t>
      </w:r>
      <w:r>
        <w:rPr>
          <w:rFonts w:hint="eastAsia" w:ascii="宋体" w:hAnsi="宋体" w:cs="宋体"/>
          <w:color w:val="auto"/>
          <w:spacing w:val="-4"/>
          <w:szCs w:val="21"/>
        </w:rPr>
        <w:t>。</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（1）主要业务活动的填报要求</w:t>
      </w:r>
      <w:r>
        <w:rPr>
          <w:rFonts w:hint="eastAsia" w:ascii="宋体" w:hAnsi="宋体" w:cs="宋体"/>
          <w:color w:val="auto"/>
          <w:szCs w:val="21"/>
        </w:rPr>
        <w:t>。</w:t>
      </w:r>
    </w:p>
    <w:p>
      <w:pPr>
        <w:widowControl/>
        <w:snapToGrid w:val="0"/>
        <w:spacing w:line="360" w:lineRule="exact"/>
        <w:ind w:firstLine="420" w:firstLineChars="200"/>
        <w:jc w:val="left"/>
        <w:rPr>
          <w:rFonts w:ascii="宋体" w:hAnsi="宋体" w:cs="宋体"/>
          <w:color w:val="auto"/>
          <w:szCs w:val="21"/>
        </w:rPr>
      </w:pPr>
      <w:r>
        <w:rPr>
          <w:rFonts w:ascii="宋体" w:hAnsi="宋体" w:cs="宋体"/>
          <w:color w:val="auto"/>
          <w:szCs w:val="21"/>
        </w:rPr>
        <w:t>①</w:t>
      </w:r>
      <w:r>
        <w:rPr>
          <w:rFonts w:ascii="宋体" w:hAnsi="宋体" w:cs="宋体"/>
          <w:color w:val="auto"/>
          <w:szCs w:val="21"/>
          <w:lang w:bidi="ar"/>
        </w:rPr>
        <w:t>在确定主要业务活动时</w:t>
      </w:r>
      <w:r>
        <w:rPr>
          <w:rFonts w:hint="eastAsia" w:ascii="宋体" w:hAnsi="宋体" w:cs="宋体"/>
          <w:color w:val="auto"/>
          <w:szCs w:val="21"/>
          <w:lang w:bidi="ar"/>
        </w:rPr>
        <w:t>，应</w:t>
      </w:r>
      <w:r>
        <w:rPr>
          <w:rFonts w:ascii="宋体" w:hAnsi="宋体" w:cs="宋体"/>
          <w:color w:val="auto"/>
          <w:szCs w:val="21"/>
          <w:lang w:bidi="ar"/>
        </w:rPr>
        <w:t>以入户登记的当时被调查对象实际从事的经济活动为依据。</w:t>
      </w:r>
    </w:p>
    <w:p>
      <w:pPr>
        <w:widowControl/>
        <w:snapToGrid w:val="0"/>
        <w:spacing w:line="360" w:lineRule="exact"/>
        <w:ind w:firstLine="420" w:firstLineChars="200"/>
        <w:jc w:val="left"/>
        <w:rPr>
          <w:rFonts w:ascii="宋体" w:hAnsi="宋体" w:cs="宋体"/>
          <w:color w:val="auto"/>
          <w:spacing w:val="2"/>
          <w:szCs w:val="21"/>
        </w:rPr>
      </w:pPr>
      <w:r>
        <w:rPr>
          <w:rFonts w:ascii="宋体" w:hAnsi="宋体" w:cs="宋体"/>
          <w:color w:val="auto"/>
          <w:szCs w:val="21"/>
        </w:rPr>
        <w:t>②</w:t>
      </w:r>
      <w:r>
        <w:rPr>
          <w:rFonts w:ascii="宋体" w:hAnsi="宋体" w:cs="宋体"/>
          <w:color w:val="auto"/>
          <w:spacing w:val="2"/>
          <w:szCs w:val="21"/>
          <w:lang w:bidi="ar"/>
        </w:rPr>
        <w:t>当一个单位对外从事多项经济活动时，</w:t>
      </w:r>
      <w:r>
        <w:rPr>
          <w:rFonts w:ascii="宋体" w:hAnsi="宋体" w:cs="宋体"/>
          <w:color w:val="auto"/>
          <w:spacing w:val="2"/>
          <w:szCs w:val="21"/>
        </w:rPr>
        <w:t>应考虑根据其经济活动的主要性和次要性，依次确定三项主要业务活动。理论上按照各项业务活动增加值大小依次确定。如果</w:t>
      </w:r>
      <w:r>
        <w:rPr>
          <w:rFonts w:ascii="宋体" w:hAnsi="宋体" w:cs="宋体"/>
          <w:color w:val="auto"/>
          <w:spacing w:val="2"/>
          <w:szCs w:val="21"/>
          <w:lang w:bidi="ar"/>
        </w:rPr>
        <w:t>无法用增加值确定单位的主要活动，按照</w:t>
      </w:r>
      <w:r>
        <w:rPr>
          <w:rFonts w:ascii="宋体" w:hAnsi="宋体" w:cs="宋体"/>
          <w:color w:val="auto"/>
          <w:spacing w:val="2"/>
          <w:szCs w:val="21"/>
        </w:rPr>
        <w:t>《国民经济行业分类》（GB/T 4754－2017）相关规定，依据销售收入、营业收入或从业人员来确定。</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③</w:t>
      </w:r>
      <w:r>
        <w:rPr>
          <w:rFonts w:ascii="宋体" w:hAnsi="宋体" w:cs="宋体"/>
          <w:color w:val="auto"/>
          <w:szCs w:val="21"/>
        </w:rPr>
        <w:t>筹建单位按建成投产（营业）后活动性质填写主要业务活动名称。</w:t>
      </w:r>
    </w:p>
    <w:p>
      <w:pPr>
        <w:widowControl/>
        <w:snapToGrid w:val="0"/>
        <w:spacing w:line="360" w:lineRule="exact"/>
        <w:ind w:firstLine="420" w:firstLineChars="200"/>
        <w:jc w:val="left"/>
        <w:rPr>
          <w:rFonts w:ascii="宋体" w:hAnsi="宋体" w:cs="宋体"/>
          <w:color w:val="auto"/>
          <w:szCs w:val="21"/>
          <w:lang w:bidi="ar"/>
        </w:rPr>
      </w:pPr>
      <w:r>
        <w:rPr>
          <w:rFonts w:hint="eastAsia" w:ascii="宋体" w:hAnsi="宋体" w:cs="宋体"/>
          <w:color w:val="auto"/>
          <w:szCs w:val="21"/>
          <w:lang w:bidi="ar"/>
        </w:rPr>
        <w:t>④</w:t>
      </w:r>
      <w:r>
        <w:rPr>
          <w:rFonts w:ascii="宋体" w:hAnsi="宋体" w:cs="宋体"/>
          <w:color w:val="auto"/>
          <w:szCs w:val="21"/>
          <w:lang w:bidi="ar"/>
        </w:rPr>
        <w:t>主要业务活动</w:t>
      </w:r>
      <w:r>
        <w:rPr>
          <w:rFonts w:hint="eastAsia" w:ascii="宋体" w:hAnsi="宋体" w:cs="宋体"/>
          <w:color w:val="auto"/>
          <w:szCs w:val="21"/>
          <w:lang w:bidi="ar"/>
        </w:rPr>
        <w:t>一般是</w:t>
      </w:r>
      <w:r>
        <w:rPr>
          <w:rFonts w:ascii="宋体" w:hAnsi="宋体" w:cs="宋体"/>
          <w:color w:val="auto"/>
          <w:szCs w:val="21"/>
          <w:lang w:bidi="ar"/>
        </w:rPr>
        <w:t>对外提供产品或服务的活动，</w:t>
      </w:r>
      <w:r>
        <w:rPr>
          <w:rFonts w:hint="eastAsia" w:ascii="宋体" w:hAnsi="宋体" w:cs="宋体"/>
          <w:color w:val="auto"/>
          <w:szCs w:val="21"/>
          <w:lang w:bidi="ar"/>
        </w:rPr>
        <w:t>诸如单位内部的计算机管理、财务管理等</w:t>
      </w:r>
      <w:r>
        <w:rPr>
          <w:rFonts w:ascii="宋体" w:hAnsi="宋体" w:cs="宋体"/>
          <w:color w:val="auto"/>
          <w:szCs w:val="21"/>
          <w:lang w:bidi="ar"/>
        </w:rPr>
        <w:t>保障单位正常运转的辅助活动不是主要业务活动。</w:t>
      </w:r>
    </w:p>
    <w:p>
      <w:pPr>
        <w:widowControl/>
        <w:snapToGrid w:val="0"/>
        <w:spacing w:line="360" w:lineRule="exact"/>
        <w:ind w:firstLine="420" w:firstLineChars="200"/>
        <w:jc w:val="left"/>
        <w:rPr>
          <w:rFonts w:hint="eastAsia" w:ascii="宋体" w:hAnsi="宋体" w:cs="宋体"/>
          <w:color w:val="auto"/>
          <w:szCs w:val="21"/>
          <w:lang w:bidi="ar"/>
        </w:rPr>
      </w:pPr>
      <w:r>
        <w:rPr>
          <w:rFonts w:hint="eastAsia" w:ascii="宋体" w:hAnsi="宋体" w:cs="宋体"/>
          <w:color w:val="auto"/>
          <w:szCs w:val="21"/>
          <w:lang w:bidi="ar"/>
        </w:rPr>
        <w:t>⑤主要业务活动是一段文字描述，应根据不同类型的业务活动特点，分字段逐项填写完整和详细的主要业务活动文字信息。</w:t>
      </w:r>
      <w:r>
        <w:rPr>
          <w:rFonts w:hint="eastAsia" w:ascii="宋体" w:hAnsi="宋体" w:cs="宋体"/>
          <w:color w:val="auto"/>
          <w:szCs w:val="21"/>
        </w:rPr>
        <w:t>一般</w:t>
      </w:r>
      <w:r>
        <w:rPr>
          <w:rFonts w:ascii="宋体" w:hAnsi="宋体" w:cs="宋体"/>
          <w:color w:val="auto"/>
          <w:szCs w:val="21"/>
        </w:rPr>
        <w:t>按照“动词</w:t>
      </w:r>
      <w:r>
        <w:rPr>
          <w:rFonts w:hint="eastAsia" w:ascii="宋体" w:hAnsi="宋体" w:cs="宋体"/>
          <w:color w:val="auto"/>
          <w:szCs w:val="21"/>
        </w:rPr>
        <w:t>＋</w:t>
      </w:r>
      <w:r>
        <w:rPr>
          <w:rFonts w:ascii="宋体" w:hAnsi="宋体" w:cs="宋体"/>
          <w:color w:val="auto"/>
          <w:szCs w:val="21"/>
        </w:rPr>
        <w:t>（修饰性定语）名词”或“（修饰性定语）名词</w:t>
      </w:r>
      <w:r>
        <w:rPr>
          <w:rFonts w:hint="eastAsia" w:ascii="宋体" w:hAnsi="宋体" w:cs="宋体"/>
          <w:color w:val="auto"/>
          <w:szCs w:val="21"/>
        </w:rPr>
        <w:t>＋</w:t>
      </w:r>
      <w:r>
        <w:rPr>
          <w:rFonts w:ascii="宋体" w:hAnsi="宋体" w:cs="宋体"/>
          <w:color w:val="auto"/>
          <w:szCs w:val="21"/>
        </w:rPr>
        <w:t>动词”的形式填写，动词用于描述业务活动的类型，名词用于描述商品或服务的名称</w:t>
      </w:r>
      <w:r>
        <w:rPr>
          <w:rFonts w:hint="eastAsia" w:ascii="宋体" w:hAnsi="宋体" w:cs="宋体"/>
          <w:color w:val="auto"/>
          <w:szCs w:val="21"/>
        </w:rPr>
        <w:t>。</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主要业务活动的填报规则</w:t>
      </w:r>
      <w:r>
        <w:rPr>
          <w:rFonts w:hint="eastAsia" w:ascii="宋体" w:hAnsi="宋体" w:cs="宋体"/>
          <w:color w:val="auto"/>
          <w:szCs w:val="21"/>
        </w:rPr>
        <w:t>。</w:t>
      </w:r>
    </w:p>
    <w:p>
      <w:pPr>
        <w:snapToGrid w:val="0"/>
        <w:spacing w:line="360" w:lineRule="exact"/>
        <w:rPr>
          <w:rFonts w:ascii="宋体" w:hAnsi="宋体" w:cs="宋体"/>
          <w:color w:val="auto"/>
          <w:szCs w:val="21"/>
        </w:rPr>
      </w:pPr>
      <w:r>
        <w:rPr>
          <w:rFonts w:hint="eastAsia" w:ascii="宋体" w:hAnsi="宋体" w:cs="宋体"/>
          <w:color w:val="auto"/>
          <w:szCs w:val="21"/>
        </w:rPr>
        <w:t xml:space="preserve">    ①</w:t>
      </w:r>
      <w:r>
        <w:rPr>
          <w:rFonts w:ascii="宋体" w:hAnsi="宋体" w:cs="宋体"/>
          <w:color w:val="auto"/>
          <w:szCs w:val="21"/>
        </w:rPr>
        <w:t>采矿业</w:t>
      </w:r>
    </w:p>
    <w:p>
      <w:pPr>
        <w:snapToGrid w:val="0"/>
        <w:spacing w:line="360" w:lineRule="exact"/>
        <w:ind w:firstLine="420" w:firstLineChars="200"/>
        <w:rPr>
          <w:rFonts w:hint="eastAsia" w:ascii="宋体" w:hAnsi="宋体" w:cs="宋体"/>
          <w:color w:val="auto"/>
          <w:lang w:val="en"/>
        </w:rPr>
      </w:pPr>
      <w:r>
        <w:rPr>
          <w:rFonts w:hint="eastAsia" w:ascii="宋体" w:hAnsi="宋体" w:cs="宋体"/>
          <w:color w:val="auto"/>
          <w:szCs w:val="21"/>
        </w:rPr>
        <w:t>主要包括采矿、采石、采掘，其</w:t>
      </w:r>
      <w:r>
        <w:rPr>
          <w:rFonts w:ascii="宋体" w:hAnsi="宋体" w:cs="宋体"/>
          <w:color w:val="auto"/>
          <w:szCs w:val="21"/>
        </w:rPr>
        <w:t>主要业务活动描述由</w:t>
      </w:r>
      <w:r>
        <w:rPr>
          <w:rFonts w:hint="eastAsia" w:ascii="宋体" w:hAnsi="宋体" w:cs="宋体"/>
          <w:color w:val="auto"/>
          <w:szCs w:val="21"/>
        </w:rPr>
        <w:t>两</w:t>
      </w:r>
      <w:r>
        <w:rPr>
          <w:rFonts w:ascii="宋体" w:hAnsi="宋体" w:cs="宋体"/>
          <w:color w:val="auto"/>
          <w:szCs w:val="21"/>
        </w:rPr>
        <w:t>部分组成</w:t>
      </w:r>
      <w:r>
        <w:rPr>
          <w:rFonts w:hint="eastAsia" w:ascii="宋体" w:hAnsi="宋体" w:cs="宋体"/>
          <w:color w:val="auto"/>
          <w:szCs w:val="21"/>
        </w:rPr>
        <w:t>，</w:t>
      </w:r>
      <w:r>
        <w:rPr>
          <w:rFonts w:ascii="宋体" w:hAnsi="宋体" w:cs="宋体"/>
          <w:color w:val="auto"/>
          <w:szCs w:val="21"/>
        </w:rPr>
        <w:t>一般是“开采对象”+“开采”/“采掘”/“洗选”的格式。</w:t>
      </w:r>
      <w:r>
        <w:rPr>
          <w:rFonts w:hint="eastAsia" w:ascii="宋体" w:hAnsi="宋体" w:cs="宋体"/>
          <w:color w:val="auto"/>
          <w:szCs w:val="21"/>
          <w:lang w:val="en"/>
        </w:rPr>
        <w:t>在第一部分填写明确的开采对象，第二部分填写动词关键字。如“铝矿采掘”，而不能填写“矿山采掘”。</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从事此类活动的被调查对象具有较强的地域特点，在个别省份比较多，有些省份可能很少或没有。</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开采过程中的排水、泵吸、试井、试钻、井架的建立修复和拆除、矿山开采过程中对掘进巷道的支撑搭建等辅助性服务活动，请在</w:t>
      </w:r>
      <w:r>
        <w:rPr>
          <w:rFonts w:hint="eastAsia" w:ascii="宋体" w:hAnsi="宋体" w:cs="宋体"/>
          <w:color w:val="auto"/>
          <w:szCs w:val="21"/>
        </w:rPr>
        <w:t>第二部分</w:t>
      </w:r>
      <w:r>
        <w:rPr>
          <w:rFonts w:ascii="宋体" w:hAnsi="宋体" w:cs="宋体"/>
          <w:color w:val="auto"/>
          <w:szCs w:val="21"/>
        </w:rPr>
        <w:t>填写“开采辅助性服务”。</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②</w:t>
      </w:r>
      <w:r>
        <w:rPr>
          <w:rFonts w:ascii="宋体" w:hAnsi="宋体" w:cs="宋体"/>
          <w:color w:val="auto"/>
          <w:szCs w:val="21"/>
        </w:rPr>
        <w:t>制造业</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主要包括产品的制造和加工，其</w:t>
      </w:r>
      <w:r>
        <w:rPr>
          <w:rFonts w:ascii="宋体" w:hAnsi="宋体" w:cs="宋体"/>
          <w:color w:val="auto"/>
          <w:szCs w:val="21"/>
        </w:rPr>
        <w:t>主要业务活动描述由</w:t>
      </w:r>
      <w:r>
        <w:rPr>
          <w:rFonts w:hint="eastAsia" w:ascii="宋体" w:hAnsi="宋体" w:cs="宋体"/>
          <w:color w:val="auto"/>
          <w:szCs w:val="21"/>
        </w:rPr>
        <w:t>三</w:t>
      </w:r>
      <w:r>
        <w:rPr>
          <w:rFonts w:ascii="宋体" w:hAnsi="宋体" w:cs="宋体"/>
          <w:color w:val="auto"/>
          <w:szCs w:val="21"/>
        </w:rPr>
        <w:t>部分组成，一般是“产品属性”+“产品名称”+“制造”/“加工”的格式。产品的属性信息要尽可能完备和丰富，以便于基层普查人员后期编制行业代码时综合参考。</w:t>
      </w:r>
      <w:r>
        <w:rPr>
          <w:rFonts w:hint="eastAsia" w:ascii="宋体" w:hAnsi="宋体" w:cs="宋体"/>
          <w:color w:val="auto"/>
          <w:szCs w:val="21"/>
        </w:rPr>
        <w:t>如“机织背心服装加工”，而不能填写“服装加工”。</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填写产品名称请尽量使用正式中文产品名称，不要使用英文字母、字母缩写、阿拉伯数字等单位自定义的产品名称和代码。</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汽车制造，请写明是整车制造还是改装车制造，或是汽车车身制造，同时，请写明汽车使用的能源类型。</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机械设备制造、金属制品制造、塑料和橡胶制品制造，请写明产品的具体用途。</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③</w:t>
      </w:r>
      <w:r>
        <w:rPr>
          <w:rFonts w:ascii="宋体" w:hAnsi="宋体" w:cs="宋体"/>
          <w:color w:val="auto"/>
          <w:szCs w:val="21"/>
        </w:rPr>
        <w:t>建筑业</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主要包括房屋建筑、土木工程、建筑装饰等，其</w:t>
      </w:r>
      <w:r>
        <w:rPr>
          <w:rFonts w:ascii="宋体" w:hAnsi="宋体" w:cs="宋体"/>
          <w:color w:val="auto"/>
          <w:szCs w:val="21"/>
        </w:rPr>
        <w:t>主要业务活动描述由</w:t>
      </w:r>
      <w:r>
        <w:rPr>
          <w:rFonts w:hint="eastAsia" w:ascii="宋体" w:hAnsi="宋体" w:cs="宋体"/>
          <w:color w:val="auto"/>
          <w:szCs w:val="21"/>
        </w:rPr>
        <w:t>两</w:t>
      </w:r>
      <w:r>
        <w:rPr>
          <w:rFonts w:ascii="宋体" w:hAnsi="宋体" w:cs="宋体"/>
          <w:color w:val="auto"/>
          <w:szCs w:val="21"/>
        </w:rPr>
        <w:t>部分组成，一般是“建筑物类型”+“建筑”/“施工”/“安装”/“装修”的格式。</w:t>
      </w:r>
      <w:r>
        <w:rPr>
          <w:rFonts w:hint="eastAsia" w:ascii="宋体" w:hAnsi="宋体" w:cs="宋体"/>
          <w:color w:val="auto"/>
          <w:szCs w:val="21"/>
        </w:rPr>
        <w:t>如“住宅装修”，而不能填写“装修装潢设计”。</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建筑物拆除、场地准备、施工设备提供等，请按实际情况填写。</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④</w:t>
      </w:r>
      <w:r>
        <w:rPr>
          <w:rFonts w:ascii="宋体" w:hAnsi="宋体" w:cs="宋体"/>
          <w:color w:val="auto"/>
          <w:szCs w:val="21"/>
        </w:rPr>
        <w:t>房地产</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主要包括房地产开发经营，其主要业务活动</w:t>
      </w:r>
      <w:r>
        <w:rPr>
          <w:rFonts w:ascii="宋体" w:hAnsi="宋体" w:cs="宋体"/>
          <w:color w:val="auto"/>
          <w:szCs w:val="21"/>
        </w:rPr>
        <w:t>描述由</w:t>
      </w:r>
      <w:r>
        <w:rPr>
          <w:rFonts w:hint="eastAsia" w:ascii="宋体" w:hAnsi="宋体" w:cs="宋体"/>
          <w:color w:val="auto"/>
          <w:szCs w:val="21"/>
        </w:rPr>
        <w:t>两</w:t>
      </w:r>
      <w:r>
        <w:rPr>
          <w:rFonts w:ascii="宋体" w:hAnsi="宋体" w:cs="宋体"/>
          <w:color w:val="auto"/>
          <w:szCs w:val="21"/>
        </w:rPr>
        <w:t>部分组成，一般是</w:t>
      </w:r>
      <w:r>
        <w:rPr>
          <w:rFonts w:hint="eastAsia" w:ascii="宋体" w:hAnsi="宋体" w:cs="宋体"/>
          <w:color w:val="auto"/>
          <w:szCs w:val="21"/>
        </w:rPr>
        <w:t>“</w:t>
      </w:r>
      <w:r>
        <w:rPr>
          <w:rFonts w:ascii="宋体" w:hAnsi="宋体" w:cs="宋体"/>
          <w:color w:val="auto"/>
          <w:szCs w:val="21"/>
        </w:rPr>
        <w:t>房地产</w:t>
      </w:r>
      <w:r>
        <w:rPr>
          <w:rFonts w:hint="eastAsia" w:ascii="宋体" w:hAnsi="宋体" w:cs="宋体"/>
          <w:color w:val="auto"/>
          <w:szCs w:val="21"/>
        </w:rPr>
        <w:t>”</w:t>
      </w:r>
      <w:r>
        <w:rPr>
          <w:rFonts w:ascii="宋体" w:hAnsi="宋体" w:cs="宋体"/>
          <w:color w:val="auto"/>
          <w:szCs w:val="21"/>
        </w:rPr>
        <w:t>/“房屋（住宅、办公楼等）”+“开发”/“建设”/“销售”/“开发项目转让”/“开发经营”等的格式。</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应填写企业具体从事的活动，</w:t>
      </w:r>
      <w:r>
        <w:rPr>
          <w:rFonts w:hint="eastAsia" w:ascii="宋体" w:hAnsi="宋体" w:cs="宋体"/>
          <w:color w:val="auto"/>
          <w:szCs w:val="21"/>
        </w:rPr>
        <w:t>如“房地产开发经营”“房地产中介服务”，而</w:t>
      </w:r>
      <w:r>
        <w:rPr>
          <w:rFonts w:ascii="宋体" w:hAnsi="宋体" w:cs="宋体"/>
          <w:color w:val="auto"/>
          <w:szCs w:val="21"/>
        </w:rPr>
        <w:t>不能仅填“房地产”。</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企业进行的房屋开发，以及转让房地产开发项目或者销售房屋等活动，可填写“房地产开发”“房地产建设”“房地产销售”“房地产开发项目转让”“房地产开发经营”或“房屋（住宅、办公楼等）开发”。</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房地产销售仅指销售本企业开发的房屋，不包括房地产中介活动。</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房地产开发经营不包括房地产物业、中介、租赁、投资、维修（护）、咨询、评估、经纪、出租、管理等活动。</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⑤</w:t>
      </w:r>
      <w:r>
        <w:rPr>
          <w:rFonts w:ascii="宋体" w:hAnsi="宋体" w:cs="宋体"/>
          <w:color w:val="auto"/>
          <w:szCs w:val="21"/>
        </w:rPr>
        <w:t>修理活动</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当被调查对象从事修理活动，要写明修理的对象，例如：</w:t>
      </w:r>
      <w:r>
        <w:rPr>
          <w:rFonts w:hint="eastAsia" w:ascii="宋体" w:hAnsi="宋体" w:cs="宋体"/>
          <w:color w:val="auto"/>
          <w:szCs w:val="21"/>
        </w:rPr>
        <w:t>“</w:t>
      </w:r>
      <w:r>
        <w:rPr>
          <w:rFonts w:ascii="宋体" w:hAnsi="宋体" w:cs="宋体"/>
          <w:color w:val="auto"/>
          <w:szCs w:val="21"/>
        </w:rPr>
        <w:t>通用设备修理</w:t>
      </w:r>
      <w:r>
        <w:rPr>
          <w:rFonts w:hint="eastAsia" w:ascii="宋体" w:hAnsi="宋体" w:cs="宋体"/>
          <w:color w:val="auto"/>
          <w:szCs w:val="21"/>
        </w:rPr>
        <w:t>”</w:t>
      </w:r>
      <w:r>
        <w:rPr>
          <w:rFonts w:ascii="宋体" w:hAnsi="宋体" w:cs="宋体"/>
          <w:color w:val="auto"/>
          <w:szCs w:val="21"/>
        </w:rPr>
        <w:t>等。</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汽车零售和修理一体化活动（汽车4S店)，应写明“汽车修理和零售”。</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日常修理活动，应写明修理的具体对象，例如计算机修理、电子产品修理等。</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⑥</w:t>
      </w:r>
      <w:r>
        <w:rPr>
          <w:rFonts w:ascii="宋体" w:hAnsi="宋体" w:cs="宋体"/>
          <w:color w:val="auto"/>
          <w:szCs w:val="21"/>
        </w:rPr>
        <w:t>电力、热力、燃气和水生产与供应</w:t>
      </w:r>
    </w:p>
    <w:p>
      <w:pPr>
        <w:snapToGrid w:val="0"/>
        <w:spacing w:line="360" w:lineRule="exact"/>
        <w:ind w:firstLine="420" w:firstLineChars="200"/>
        <w:rPr>
          <w:rFonts w:hint="eastAsia" w:ascii="宋体" w:hAnsi="宋体" w:cs="宋体"/>
          <w:color w:val="auto"/>
          <w:szCs w:val="21"/>
        </w:rPr>
      </w:pPr>
      <w:r>
        <w:rPr>
          <w:rFonts w:ascii="宋体" w:hAnsi="宋体" w:cs="宋体"/>
          <w:color w:val="auto"/>
          <w:szCs w:val="21"/>
        </w:rPr>
        <w:t>电力、热力、燃气和水生产与供应相关业务活动，要写明能源类型，包括火力、水力、核力、太阳能等，还要写明是“生产”还是“供应”、或者是“生产供应”。</w:t>
      </w:r>
      <w:r>
        <w:rPr>
          <w:rFonts w:hint="eastAsia" w:ascii="宋体" w:hAnsi="宋体" w:cs="宋体"/>
          <w:color w:val="auto"/>
          <w:szCs w:val="21"/>
        </w:rPr>
        <w:t>如“天然气生产供应”。</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⑦</w:t>
      </w:r>
      <w:r>
        <w:rPr>
          <w:rFonts w:ascii="宋体" w:hAnsi="宋体" w:cs="宋体"/>
          <w:color w:val="auto"/>
          <w:szCs w:val="21"/>
        </w:rPr>
        <w:t>批发和零售</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主要业务活动描述由</w:t>
      </w:r>
      <w:r>
        <w:rPr>
          <w:rFonts w:hint="eastAsia" w:ascii="宋体" w:hAnsi="宋体" w:cs="宋体"/>
          <w:color w:val="auto"/>
          <w:szCs w:val="21"/>
        </w:rPr>
        <w:t>两</w:t>
      </w:r>
      <w:r>
        <w:rPr>
          <w:rFonts w:ascii="宋体" w:hAnsi="宋体" w:cs="宋体"/>
          <w:color w:val="auto"/>
          <w:szCs w:val="21"/>
        </w:rPr>
        <w:t>部分组成，一般是“销售商品的名称”+“活动类型”。</w:t>
      </w:r>
      <w:r>
        <w:rPr>
          <w:rFonts w:hint="eastAsia" w:ascii="宋体" w:hAnsi="宋体" w:cs="宋体"/>
          <w:color w:val="auto"/>
          <w:szCs w:val="21"/>
        </w:rPr>
        <w:t>要确定活动类型，即判断贸易活动是批发还是零售。如“五金制品批发”，不能填写“综合销售”。</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自己不生产，通过下订单将生产活动外包</w:t>
      </w:r>
      <w:r>
        <w:rPr>
          <w:rFonts w:hint="eastAsia" w:ascii="宋体" w:hAnsi="宋体" w:cs="宋体"/>
          <w:color w:val="auto"/>
          <w:szCs w:val="21"/>
        </w:rPr>
        <w:t>（不提供原材料）</w:t>
      </w:r>
      <w:r>
        <w:rPr>
          <w:rFonts w:ascii="宋体" w:hAnsi="宋体" w:cs="宋体"/>
          <w:color w:val="auto"/>
          <w:szCs w:val="21"/>
        </w:rPr>
        <w:t>，自己只负责销售的被调查对象，活动类型填写“批发”。</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零售可现成食用的餐饮品等，活动类型填写“零售”。</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零售多种商品时，请填写包含“百货商场、超市或便利店”字样的描述。</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⑧</w:t>
      </w:r>
      <w:r>
        <w:rPr>
          <w:rFonts w:ascii="宋体" w:hAnsi="宋体" w:cs="宋体"/>
          <w:color w:val="auto"/>
          <w:szCs w:val="21"/>
        </w:rPr>
        <w:t>住宿和餐饮</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主要业务活动由</w:t>
      </w:r>
      <w:r>
        <w:rPr>
          <w:rFonts w:hint="eastAsia" w:ascii="宋体" w:hAnsi="宋体" w:cs="宋体"/>
          <w:color w:val="auto"/>
          <w:szCs w:val="21"/>
        </w:rPr>
        <w:t>两</w:t>
      </w:r>
      <w:r>
        <w:rPr>
          <w:rFonts w:ascii="宋体" w:hAnsi="宋体" w:cs="宋体"/>
          <w:color w:val="auto"/>
          <w:szCs w:val="21"/>
        </w:rPr>
        <w:t>部分组成，一般是“业务内容”+“经营”。</w:t>
      </w:r>
      <w:r>
        <w:rPr>
          <w:rFonts w:hint="eastAsia" w:ascii="宋体" w:hAnsi="宋体" w:cs="宋体"/>
          <w:color w:val="auto"/>
          <w:szCs w:val="21"/>
        </w:rPr>
        <w:t>如“连锁酒店经营”。</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提供餐饮品制作，并将餐饮品送至顾客处（无现场就餐地点），</w:t>
      </w:r>
      <w:r>
        <w:rPr>
          <w:rFonts w:hint="eastAsia" w:ascii="宋体" w:hAnsi="宋体" w:cs="宋体"/>
          <w:color w:val="auto"/>
          <w:szCs w:val="21"/>
        </w:rPr>
        <w:t>“业务内容”</w:t>
      </w:r>
      <w:r>
        <w:rPr>
          <w:rFonts w:ascii="宋体" w:hAnsi="宋体" w:cs="宋体"/>
          <w:color w:val="auto"/>
          <w:szCs w:val="21"/>
        </w:rPr>
        <w:t>填写为“</w:t>
      </w:r>
      <w:r>
        <w:rPr>
          <w:rFonts w:hint="eastAsia" w:ascii="宋体" w:hAnsi="宋体" w:cs="宋体"/>
          <w:color w:val="auto"/>
          <w:szCs w:val="21"/>
        </w:rPr>
        <w:t>某某</w:t>
      </w:r>
      <w:r>
        <w:rPr>
          <w:rFonts w:ascii="宋体" w:hAnsi="宋体" w:cs="宋体"/>
          <w:color w:val="auto"/>
          <w:szCs w:val="21"/>
        </w:rPr>
        <w:t>外卖”。</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提供餐饮品制作，可现场就餐也可将餐饮品送至顾客处，</w:t>
      </w:r>
      <w:r>
        <w:rPr>
          <w:rFonts w:hint="eastAsia" w:ascii="宋体" w:hAnsi="宋体" w:cs="宋体"/>
          <w:color w:val="auto"/>
          <w:szCs w:val="21"/>
        </w:rPr>
        <w:t>“业务内容”</w:t>
      </w:r>
      <w:r>
        <w:rPr>
          <w:rFonts w:ascii="宋体" w:hAnsi="宋体" w:cs="宋体"/>
          <w:color w:val="auto"/>
          <w:szCs w:val="21"/>
        </w:rPr>
        <w:t>填写为“正餐”或“快餐”。</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销售可现成食用的食品、餐品、饮品等，如没有现场就餐地点的，不属于餐饮业范围，归入零售业范围。</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⑨</w:t>
      </w:r>
      <w:r>
        <w:rPr>
          <w:rFonts w:ascii="宋体" w:hAnsi="宋体" w:cs="宋体"/>
          <w:color w:val="auto"/>
          <w:szCs w:val="21"/>
        </w:rPr>
        <w:t>交通运输、仓储</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主要包括</w:t>
      </w:r>
      <w:r>
        <w:rPr>
          <w:rFonts w:ascii="宋体" w:hAnsi="宋体" w:cs="宋体"/>
          <w:color w:val="auto"/>
          <w:szCs w:val="21"/>
        </w:rPr>
        <w:t>运输活动、仓储活动</w:t>
      </w:r>
      <w:r>
        <w:rPr>
          <w:rFonts w:hint="eastAsia" w:ascii="宋体" w:hAnsi="宋体" w:cs="宋体"/>
          <w:color w:val="auto"/>
          <w:szCs w:val="21"/>
        </w:rPr>
        <w:t>，其</w:t>
      </w:r>
      <w:r>
        <w:rPr>
          <w:rFonts w:ascii="宋体" w:hAnsi="宋体" w:cs="宋体"/>
          <w:color w:val="auto"/>
          <w:szCs w:val="21"/>
        </w:rPr>
        <w:t>主要业务活动描述由</w:t>
      </w:r>
      <w:r>
        <w:rPr>
          <w:rFonts w:hint="eastAsia" w:ascii="宋体" w:hAnsi="宋体" w:cs="宋体"/>
          <w:color w:val="auto"/>
          <w:szCs w:val="21"/>
        </w:rPr>
        <w:t>三</w:t>
      </w:r>
      <w:r>
        <w:rPr>
          <w:rFonts w:ascii="宋体" w:hAnsi="宋体" w:cs="宋体"/>
          <w:color w:val="auto"/>
          <w:szCs w:val="21"/>
        </w:rPr>
        <w:t>部分组成，一般是“运输对象”+“运输途径”+“运输”。</w:t>
      </w:r>
      <w:r>
        <w:rPr>
          <w:rFonts w:hint="eastAsia" w:ascii="宋体" w:hAnsi="宋体" w:cs="宋体"/>
          <w:color w:val="auto"/>
          <w:szCs w:val="21"/>
        </w:rPr>
        <w:t>如“旅客公路运输”，而不能填写“蔬菜运输”。</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货物运输代理、旅客票务代理请填写实际业务活动。</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码头辅助服务活动、机场辅助服务活动、各类客运车站业务活动请按实际情况填写。</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仓储服务请填写仓储物品的具体名称：油气、危险化学品、谷物、棉花、中药材等，再注明“仓储”字样。</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城市配送中心请按实际情况填写。</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采用有两种以上的运输方式</w:t>
      </w:r>
      <w:r>
        <w:rPr>
          <w:rFonts w:hint="eastAsia" w:ascii="宋体" w:hAnsi="宋体" w:cs="宋体"/>
          <w:color w:val="auto"/>
          <w:szCs w:val="21"/>
        </w:rPr>
        <w:t>并</w:t>
      </w:r>
      <w:r>
        <w:rPr>
          <w:rFonts w:ascii="宋体" w:hAnsi="宋体" w:cs="宋体"/>
          <w:color w:val="auto"/>
          <w:szCs w:val="21"/>
        </w:rPr>
        <w:t>运输同一对象，请填写多式联运。</w:t>
      </w:r>
    </w:p>
    <w:p>
      <w:pPr>
        <w:snapToGrid w:val="0"/>
        <w:spacing w:line="360" w:lineRule="exact"/>
        <w:ind w:firstLine="420" w:firstLineChars="200"/>
        <w:rPr>
          <w:rFonts w:ascii="宋体" w:hAnsi="宋体" w:cs="宋体"/>
          <w:color w:val="auto"/>
          <w:szCs w:val="21"/>
        </w:rPr>
      </w:pPr>
      <w:r>
        <w:rPr>
          <w:rFonts w:ascii="Cambria Math" w:hAnsi="Cambria Math" w:cs="Cambria Math"/>
          <w:color w:val="auto"/>
          <w:szCs w:val="21"/>
        </w:rPr>
        <w:t>⑩</w:t>
      </w:r>
      <w:r>
        <w:rPr>
          <w:rFonts w:ascii="宋体" w:hAnsi="宋体" w:cs="宋体"/>
          <w:color w:val="auto"/>
          <w:szCs w:val="21"/>
        </w:rPr>
        <w:t>软件、信息技术和互联网相关活动</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软件开发活动，要写明开发的软件类型：应包含“基础软件”“支撑软件”“应用软件”等字样</w:t>
      </w:r>
      <w:r>
        <w:rPr>
          <w:rFonts w:hint="eastAsia" w:ascii="宋体" w:hAnsi="宋体" w:cs="宋体"/>
          <w:color w:val="auto"/>
          <w:szCs w:val="21"/>
        </w:rPr>
        <w:t>，而不能仅填写“软件开发”</w:t>
      </w:r>
      <w:r>
        <w:rPr>
          <w:rFonts w:ascii="宋体" w:hAnsi="宋体" w:cs="宋体"/>
          <w:color w:val="auto"/>
          <w:szCs w:val="21"/>
        </w:rPr>
        <w:t>。</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互联网相关活动是新兴的经济活动，请尽可能详细填写活动具体内容，例如，</w:t>
      </w:r>
      <w:r>
        <w:rPr>
          <w:rFonts w:hint="eastAsia" w:ascii="宋体" w:hAnsi="宋体" w:cs="宋体"/>
          <w:color w:val="auto"/>
          <w:szCs w:val="21"/>
        </w:rPr>
        <w:t>“</w:t>
      </w:r>
      <w:r>
        <w:rPr>
          <w:rFonts w:ascii="宋体" w:hAnsi="宋体" w:cs="宋体"/>
          <w:color w:val="auto"/>
          <w:szCs w:val="21"/>
        </w:rPr>
        <w:t>互联网游戏平台服务</w:t>
      </w:r>
      <w:r>
        <w:rPr>
          <w:rFonts w:hint="eastAsia" w:ascii="宋体" w:hAnsi="宋体" w:cs="宋体"/>
          <w:color w:val="auto"/>
          <w:szCs w:val="21"/>
        </w:rPr>
        <w:t>”“</w:t>
      </w:r>
      <w:r>
        <w:rPr>
          <w:rFonts w:ascii="宋体" w:hAnsi="宋体" w:cs="宋体"/>
          <w:color w:val="auto"/>
          <w:szCs w:val="21"/>
        </w:rPr>
        <w:t>互联网搜索服务</w:t>
      </w:r>
      <w:r>
        <w:rPr>
          <w:rFonts w:hint="eastAsia" w:ascii="宋体" w:hAnsi="宋体" w:cs="宋体"/>
          <w:color w:val="auto"/>
          <w:szCs w:val="21"/>
        </w:rPr>
        <w:t>”“</w:t>
      </w:r>
      <w:r>
        <w:rPr>
          <w:rFonts w:ascii="宋体" w:hAnsi="宋体" w:cs="宋体"/>
          <w:color w:val="auto"/>
          <w:szCs w:val="21"/>
        </w:rPr>
        <w:t>数字化技术加工处理服务</w:t>
      </w:r>
      <w:r>
        <w:rPr>
          <w:rFonts w:hint="eastAsia" w:ascii="宋体" w:hAnsi="宋体" w:cs="宋体"/>
          <w:color w:val="auto"/>
          <w:szCs w:val="21"/>
        </w:rPr>
        <w:t>”</w:t>
      </w:r>
      <w:r>
        <w:rPr>
          <w:rFonts w:ascii="宋体" w:hAnsi="宋体" w:cs="宋体"/>
          <w:color w:val="auto"/>
          <w:szCs w:val="21"/>
        </w:rPr>
        <w:t>等。</w:t>
      </w:r>
    </w:p>
    <w:p>
      <w:pPr>
        <w:snapToGrid w:val="0"/>
        <w:spacing w:line="360" w:lineRule="exact"/>
        <w:ind w:firstLine="420" w:firstLineChars="200"/>
        <w:rPr>
          <w:rFonts w:hint="eastAsia" w:ascii="宋体" w:hAnsi="宋体" w:cs="宋体"/>
          <w:color w:val="auto"/>
          <w:szCs w:val="21"/>
        </w:rPr>
      </w:pPr>
      <w:r>
        <w:rPr>
          <w:rFonts w:ascii="Cambria Math" w:hAnsi="Cambria Math" w:cs="Cambria Math"/>
          <w:color w:val="auto"/>
          <w:szCs w:val="21"/>
        </w:rPr>
        <w:t>⑪</w:t>
      </w:r>
      <w:r>
        <w:rPr>
          <w:rFonts w:ascii="宋体" w:hAnsi="宋体" w:cs="宋体"/>
          <w:color w:val="auto"/>
          <w:szCs w:val="21"/>
        </w:rPr>
        <w:t>商务活动</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会展、展览服务应写明会展和展览的具体内容。</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人力资源服务应写明就业服务、职业中介、劳务派遣、创业指导等具体内容。</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票务代理服务应写明代理票务的类型，应不包含交通运输业的旅客票务代理服务。</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咨询、调查活动，应写明针对的领域，包含“会计”“审计”“税务”“市场调查”“健康”“体育”“环保”等字样。</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广告设计服务应包含“互联网广告”或“非互联网广告”字样。</w:t>
      </w:r>
    </w:p>
    <w:p>
      <w:pPr>
        <w:snapToGrid w:val="0"/>
        <w:spacing w:line="360" w:lineRule="exact"/>
        <w:ind w:firstLine="420" w:firstLineChars="200"/>
        <w:rPr>
          <w:rFonts w:ascii="宋体" w:hAnsi="宋体" w:cs="宋体"/>
          <w:color w:val="auto"/>
          <w:szCs w:val="21"/>
        </w:rPr>
      </w:pPr>
      <w:r>
        <w:rPr>
          <w:rFonts w:ascii="Cambria Math" w:hAnsi="Cambria Math" w:eastAsia="华文宋体" w:cs="Cambria Math"/>
          <w:color w:val="auto"/>
          <w:szCs w:val="21"/>
        </w:rPr>
        <w:t>⑫</w:t>
      </w:r>
      <w:r>
        <w:rPr>
          <w:rFonts w:ascii="宋体" w:hAnsi="宋体" w:cs="宋体"/>
          <w:color w:val="auto"/>
          <w:szCs w:val="21"/>
        </w:rPr>
        <w:t>科学研究、专业技术</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设计类活动应详细描述设计的具体内容，需要包含“工程设计”“软件设计”“集成电路设计”“工业设计”“建筑设计”等字样。</w:t>
      </w:r>
    </w:p>
    <w:p>
      <w:pPr>
        <w:snapToGrid w:val="0"/>
        <w:spacing w:line="360" w:lineRule="exact"/>
        <w:ind w:firstLine="420" w:firstLineChars="200"/>
        <w:rPr>
          <w:rFonts w:ascii="宋体" w:hAnsi="宋体" w:cs="宋体"/>
          <w:color w:val="auto"/>
          <w:szCs w:val="21"/>
        </w:rPr>
      </w:pPr>
      <w:r>
        <w:rPr>
          <w:rFonts w:ascii="Cambria Math" w:hAnsi="Cambria Math" w:eastAsia="华文宋体" w:cs="Cambria Math"/>
          <w:color w:val="auto"/>
          <w:szCs w:val="21"/>
        </w:rPr>
        <w:t>⑬</w:t>
      </w:r>
      <w:r>
        <w:rPr>
          <w:rFonts w:ascii="宋体" w:hAnsi="宋体" w:cs="宋体"/>
          <w:color w:val="auto"/>
          <w:szCs w:val="21"/>
        </w:rPr>
        <w:t>居民服务</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清洁服务，应写明清洁的具体对象，例如</w:t>
      </w:r>
      <w:r>
        <w:rPr>
          <w:rFonts w:hint="eastAsia" w:ascii="宋体" w:hAnsi="宋体" w:cs="宋体"/>
          <w:color w:val="auto"/>
          <w:szCs w:val="21"/>
        </w:rPr>
        <w:t>“</w:t>
      </w:r>
      <w:r>
        <w:rPr>
          <w:rFonts w:ascii="宋体" w:hAnsi="宋体" w:cs="宋体"/>
          <w:color w:val="auto"/>
          <w:szCs w:val="21"/>
        </w:rPr>
        <w:t>建筑物外墙清洁</w:t>
      </w:r>
      <w:r>
        <w:rPr>
          <w:rFonts w:hint="eastAsia" w:ascii="宋体" w:hAnsi="宋体" w:cs="宋体"/>
          <w:color w:val="auto"/>
          <w:szCs w:val="21"/>
        </w:rPr>
        <w:t>”“</w:t>
      </w:r>
      <w:r>
        <w:rPr>
          <w:rFonts w:ascii="宋体" w:hAnsi="宋体" w:cs="宋体"/>
          <w:color w:val="auto"/>
          <w:szCs w:val="21"/>
        </w:rPr>
        <w:t>写字楼清洁</w:t>
      </w:r>
      <w:r>
        <w:rPr>
          <w:rFonts w:hint="eastAsia" w:ascii="宋体" w:hAnsi="宋体" w:cs="宋体"/>
          <w:color w:val="auto"/>
          <w:szCs w:val="21"/>
        </w:rPr>
        <w:t>”</w:t>
      </w:r>
      <w:r>
        <w:rPr>
          <w:rFonts w:ascii="宋体" w:hAnsi="宋体" w:cs="宋体"/>
          <w:color w:val="auto"/>
          <w:szCs w:val="21"/>
        </w:rPr>
        <w:t>等。</w:t>
      </w:r>
    </w:p>
    <w:p>
      <w:pPr>
        <w:snapToGrid w:val="0"/>
        <w:spacing w:line="360" w:lineRule="exact"/>
        <w:ind w:firstLine="420" w:firstLineChars="200"/>
        <w:rPr>
          <w:rFonts w:ascii="宋体" w:hAnsi="宋体" w:cs="宋体"/>
          <w:color w:val="auto"/>
          <w:szCs w:val="21"/>
        </w:rPr>
      </w:pPr>
      <w:r>
        <w:rPr>
          <w:rFonts w:ascii="Cambria Math" w:hAnsi="Cambria Math" w:eastAsia="华文宋体" w:cs="Cambria Math"/>
          <w:color w:val="auto"/>
          <w:szCs w:val="21"/>
        </w:rPr>
        <w:t>⑭</w:t>
      </w:r>
      <w:r>
        <w:rPr>
          <w:rFonts w:ascii="宋体" w:hAnsi="宋体" w:cs="宋体"/>
          <w:color w:val="auto"/>
          <w:szCs w:val="21"/>
        </w:rPr>
        <w:t>卫生、教育、邮政、博物馆和宗教相关的主要业务活动以部门提供的行政记录资料名录中的信息为准。</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行业代码</w:t>
      </w:r>
      <w:r>
        <w:rPr>
          <w:rFonts w:hint="eastAsia" w:ascii="宋体" w:hAnsi="宋体" w:cs="宋体"/>
          <w:color w:val="auto"/>
          <w:szCs w:val="21"/>
        </w:rPr>
        <w:t>：</w:t>
      </w:r>
      <w:r>
        <w:rPr>
          <w:rFonts w:hint="eastAsia" w:ascii="宋体" w:hAnsi="宋体" w:cs="宋体"/>
          <w:color w:val="auto"/>
          <w:szCs w:val="21"/>
          <w:u w:val="single"/>
        </w:rPr>
        <w:t>调查</w:t>
      </w:r>
      <w:r>
        <w:rPr>
          <w:rFonts w:ascii="宋体" w:hAnsi="宋体" w:cs="宋体"/>
          <w:color w:val="auto"/>
          <w:szCs w:val="21"/>
          <w:u w:val="single"/>
        </w:rPr>
        <w:t>单位免填。</w:t>
      </w:r>
      <w:r>
        <w:rPr>
          <w:rFonts w:ascii="宋体" w:hAnsi="宋体" w:cs="宋体"/>
          <w:color w:val="auto"/>
          <w:szCs w:val="21"/>
        </w:rPr>
        <w:t>由所在地</w:t>
      </w:r>
      <w:r>
        <w:rPr>
          <w:rFonts w:hint="eastAsia" w:ascii="宋体" w:hAnsi="宋体" w:cs="宋体"/>
          <w:color w:val="auto"/>
          <w:szCs w:val="21"/>
        </w:rPr>
        <w:t>普查机构</w:t>
      </w:r>
      <w:r>
        <w:rPr>
          <w:rFonts w:ascii="宋体" w:hAnsi="宋体" w:cs="宋体"/>
          <w:color w:val="auto"/>
          <w:szCs w:val="21"/>
        </w:rPr>
        <w:t>根据各单位填写的主要业务活动，对照《国民经济行业分类》（GB/T 4754－2017）填写行业代码</w:t>
      </w:r>
      <w:r>
        <w:rPr>
          <w:rFonts w:hint="eastAsia" w:ascii="宋体" w:hAnsi="宋体" w:cs="宋体"/>
          <w:color w:val="auto"/>
          <w:szCs w:val="21"/>
        </w:rPr>
        <w:t>（未做特殊规定的填写行业小类代码，下同）</w:t>
      </w:r>
      <w:r>
        <w:rPr>
          <w:rFonts w:ascii="宋体" w:hAnsi="宋体" w:cs="宋体"/>
          <w:color w:val="auto"/>
          <w:szCs w:val="21"/>
        </w:rPr>
        <w:t>。</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筹建单位按建成投产（营业）后的活动性质填写行业代码。</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报表类别 </w:t>
      </w:r>
      <w:r>
        <w:rPr>
          <w:rFonts w:ascii="宋体" w:hAnsi="宋体" w:cs="宋体"/>
          <w:color w:val="auto"/>
          <w:szCs w:val="21"/>
        </w:rPr>
        <w:t xml:space="preserve"> 指调查单位需要填报某一行业报表的类别，包括农业、规模以上工业、规模以下工业、建筑业、批发和零售业、住宿和餐饮业、房地产开发经营业、规模以上服务业、投资和其他。调查单位通过报表类别来确定需要填报的报表内容。</w:t>
      </w:r>
      <w:r>
        <w:rPr>
          <w:rFonts w:hint="eastAsia" w:ascii="宋体" w:hAnsi="宋体"/>
          <w:color w:val="auto"/>
          <w:szCs w:val="21"/>
          <w:u w:val="single"/>
        </w:rPr>
        <w:t>由国</w:t>
      </w:r>
      <w:r>
        <w:rPr>
          <w:rFonts w:ascii="宋体" w:hAnsi="宋体"/>
          <w:color w:val="auto"/>
          <w:szCs w:val="21"/>
          <w:u w:val="single"/>
        </w:rPr>
        <w:t>家</w:t>
      </w:r>
      <w:r>
        <w:rPr>
          <w:rFonts w:hint="eastAsia" w:ascii="宋体" w:hAnsi="宋体"/>
          <w:color w:val="auto"/>
          <w:szCs w:val="21"/>
          <w:u w:val="single"/>
        </w:rPr>
        <w:t>统计机构统一填写，填报单位免填。</w:t>
      </w:r>
    </w:p>
    <w:p>
      <w:pPr>
        <w:snapToGrid w:val="0"/>
        <w:spacing w:line="360" w:lineRule="exact"/>
        <w:ind w:firstLine="420" w:firstLineChars="200"/>
        <w:rPr>
          <w:rFonts w:ascii="宋体" w:hAnsi="宋体" w:cs="宋体"/>
          <w:color w:val="auto"/>
          <w:szCs w:val="21"/>
          <w:u w:val="single"/>
        </w:rPr>
      </w:pPr>
      <w:r>
        <w:rPr>
          <w:rFonts w:ascii="宋体" w:hAnsi="宋体" w:eastAsia="黑体" w:cs="宋体"/>
          <w:color w:val="auto"/>
          <w:szCs w:val="21"/>
        </w:rPr>
        <w:t xml:space="preserve">单位规模 </w:t>
      </w:r>
      <w:r>
        <w:rPr>
          <w:rFonts w:ascii="宋体" w:hAnsi="宋体" w:cs="宋体"/>
          <w:color w:val="auto"/>
          <w:szCs w:val="21"/>
        </w:rPr>
        <w:t xml:space="preserve"> 根据《统计上大中小微型企业划分办法（2017）》规定，依据从业人员、营业收入、资产总额等指标或替代指标将单位划分为大型、中型、小型和微型。</w:t>
      </w:r>
      <w:r>
        <w:rPr>
          <w:rFonts w:hint="eastAsia" w:ascii="宋体" w:hAnsi="宋体" w:cs="宋体"/>
          <w:color w:val="auto"/>
          <w:szCs w:val="21"/>
          <w:u w:val="single"/>
        </w:rPr>
        <w:t>本项</w:t>
      </w:r>
      <w:r>
        <w:rPr>
          <w:rFonts w:ascii="宋体" w:hAnsi="宋体" w:cs="宋体"/>
          <w:color w:val="auto"/>
          <w:szCs w:val="21"/>
          <w:u w:val="single"/>
        </w:rPr>
        <w:t>为计算指标，</w:t>
      </w:r>
      <w:r>
        <w:rPr>
          <w:rFonts w:hint="eastAsia" w:ascii="宋体" w:hAnsi="宋体" w:cs="宋体"/>
          <w:color w:val="auto"/>
          <w:szCs w:val="21"/>
          <w:u w:val="single"/>
        </w:rPr>
        <w:t>调查</w:t>
      </w:r>
      <w:r>
        <w:rPr>
          <w:rFonts w:ascii="宋体" w:hAnsi="宋体" w:cs="宋体"/>
          <w:color w:val="auto"/>
          <w:szCs w:val="21"/>
          <w:u w:val="single"/>
        </w:rPr>
        <w:t>单位免填。</w:t>
      </w:r>
    </w:p>
    <w:p>
      <w:pPr>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从业人员期末人数  </w:t>
      </w:r>
      <w:r>
        <w:rPr>
          <w:rFonts w:ascii="宋体" w:hAnsi="宋体" w:cs="宋体"/>
          <w:color w:val="auto"/>
          <w:szCs w:val="21"/>
        </w:rPr>
        <w:t>指年度最后一日在本单位工作，并取得工资或其他形式劳动报酬的人员数。该指标为时点指标，不包括最后一日当天及以前已经与单位解除劳动合同关系的人员，是在岗职工、劳务派遣人员及其他从业人员之和。其中不包括离开本单位仍保留劳动关系，并定期领取生活费的人员和在单位实习的各类在校学生。</w:t>
      </w:r>
      <w:r>
        <w:rPr>
          <w:rFonts w:hint="eastAsia" w:ascii="宋体" w:hAnsi="宋体" w:cs="宋体"/>
          <w:color w:val="auto"/>
          <w:u w:val="single"/>
        </w:rPr>
        <w:t>此</w:t>
      </w:r>
      <w:r>
        <w:rPr>
          <w:rFonts w:ascii="宋体" w:hAnsi="宋体" w:cs="宋体"/>
          <w:color w:val="auto"/>
          <w:u w:val="single"/>
        </w:rPr>
        <w:t>指标为</w:t>
      </w:r>
      <w:r>
        <w:rPr>
          <w:rFonts w:hint="eastAsia" w:ascii="宋体" w:hAnsi="宋体" w:cs="宋体"/>
          <w:color w:val="auto"/>
          <w:u w:val="single"/>
        </w:rPr>
        <w:t>从</w:t>
      </w:r>
      <w:r>
        <w:rPr>
          <w:rFonts w:ascii="宋体" w:hAnsi="宋体" w:cs="宋体"/>
          <w:color w:val="auto"/>
          <w:u w:val="single"/>
        </w:rPr>
        <w:t>后续表摘抄指标，调查单位</w:t>
      </w:r>
      <w:r>
        <w:rPr>
          <w:rFonts w:hint="eastAsia" w:ascii="宋体" w:hAnsi="宋体" w:cs="宋体"/>
          <w:color w:val="auto"/>
          <w:u w:val="single"/>
        </w:rPr>
        <w:t>免</w:t>
      </w:r>
      <w:r>
        <w:rPr>
          <w:rFonts w:ascii="宋体" w:hAnsi="宋体" w:cs="宋体"/>
          <w:color w:val="auto"/>
          <w:u w:val="single"/>
        </w:rPr>
        <w:t>填。</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营业收入</w:t>
      </w:r>
      <w:r>
        <w:rPr>
          <w:rFonts w:ascii="宋体" w:hAnsi="宋体" w:cs="宋体"/>
          <w:color w:val="auto"/>
          <w:szCs w:val="21"/>
        </w:rPr>
        <w:t xml:space="preserve">  指企业从事销售商品、提供劳务和让渡资产使用权等生产经营活动形成的经济利益流入。包括“主营业务收入”和“其他业务收入”。根据会计“利润表”中“营业收入”项目的本年累计数填报。</w:t>
      </w:r>
      <w:r>
        <w:rPr>
          <w:rFonts w:hint="eastAsia" w:ascii="宋体" w:hAnsi="宋体" w:cs="宋体"/>
          <w:color w:val="auto"/>
          <w:u w:val="single"/>
        </w:rPr>
        <w:t>此</w:t>
      </w:r>
      <w:r>
        <w:rPr>
          <w:rFonts w:ascii="宋体" w:hAnsi="宋体" w:cs="宋体"/>
          <w:color w:val="auto"/>
          <w:u w:val="single"/>
        </w:rPr>
        <w:t>指标为</w:t>
      </w:r>
      <w:r>
        <w:rPr>
          <w:rFonts w:hint="eastAsia" w:ascii="宋体" w:hAnsi="宋体" w:cs="宋体"/>
          <w:color w:val="auto"/>
          <w:u w:val="single"/>
        </w:rPr>
        <w:t>从</w:t>
      </w:r>
      <w:r>
        <w:rPr>
          <w:rFonts w:ascii="宋体" w:hAnsi="宋体" w:cs="宋体"/>
          <w:color w:val="auto"/>
          <w:u w:val="single"/>
        </w:rPr>
        <w:t>后续表摘抄指标，调查单位</w:t>
      </w:r>
      <w:r>
        <w:rPr>
          <w:rFonts w:hint="eastAsia" w:ascii="宋体" w:hAnsi="宋体" w:cs="宋体"/>
          <w:color w:val="auto"/>
          <w:u w:val="single"/>
        </w:rPr>
        <w:t>免</w:t>
      </w:r>
      <w:r>
        <w:rPr>
          <w:rFonts w:ascii="宋体" w:hAnsi="宋体" w:cs="宋体"/>
          <w:color w:val="auto"/>
          <w:u w:val="single"/>
        </w:rPr>
        <w:t>填。</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主营业务收入 </w:t>
      </w:r>
      <w:r>
        <w:rPr>
          <w:rFonts w:ascii="宋体" w:hAnsi="宋体" w:cs="宋体"/>
          <w:color w:val="auto"/>
          <w:szCs w:val="21"/>
        </w:rPr>
        <w:t xml:space="preserve"> 指企业经营主要业务所实现的收入。如果会计“利润表”列示“主营业务收入”项目，则根据其本年累计数填报；或者，根据会计“主营业务收入”科目的本年各月贷方余额（结转前）之和填报，如未设置该科目，以“营业收入”代替填报。</w:t>
      </w:r>
      <w:r>
        <w:rPr>
          <w:rFonts w:hint="eastAsia" w:ascii="宋体" w:hAnsi="宋体" w:cs="宋体"/>
          <w:color w:val="auto"/>
          <w:u w:val="single"/>
        </w:rPr>
        <w:t>此</w:t>
      </w:r>
      <w:r>
        <w:rPr>
          <w:rFonts w:ascii="宋体" w:hAnsi="宋体" w:cs="宋体"/>
          <w:color w:val="auto"/>
          <w:u w:val="single"/>
        </w:rPr>
        <w:t>指标为</w:t>
      </w:r>
      <w:r>
        <w:rPr>
          <w:rFonts w:hint="eastAsia" w:ascii="宋体" w:hAnsi="宋体" w:cs="宋体"/>
          <w:color w:val="auto"/>
          <w:u w:val="single"/>
        </w:rPr>
        <w:t>从</w:t>
      </w:r>
      <w:r>
        <w:rPr>
          <w:rFonts w:ascii="宋体" w:hAnsi="宋体" w:cs="宋体"/>
          <w:color w:val="auto"/>
          <w:u w:val="single"/>
        </w:rPr>
        <w:t>后续表摘抄指标，调查单位</w:t>
      </w:r>
      <w:r>
        <w:rPr>
          <w:rFonts w:hint="eastAsia" w:ascii="宋体" w:hAnsi="宋体" w:cs="宋体"/>
          <w:color w:val="auto"/>
          <w:u w:val="single"/>
        </w:rPr>
        <w:t>免</w:t>
      </w:r>
      <w:r>
        <w:rPr>
          <w:rFonts w:ascii="宋体" w:hAnsi="宋体" w:cs="宋体"/>
          <w:color w:val="auto"/>
          <w:u w:val="single"/>
        </w:rPr>
        <w:t>填。</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资产总计</w:t>
      </w:r>
      <w:r>
        <w:rPr>
          <w:rFonts w:ascii="宋体" w:hAnsi="宋体" w:cs="宋体"/>
          <w:color w:val="auto"/>
          <w:szCs w:val="21"/>
        </w:rPr>
        <w:t xml:space="preserve">  指企业过去的交易或者事项形成的、由企业拥有或者控制的、预期会给企业带来经济利益的资源。包括企业拥有的土地、办公楼、厂房、机器、运输工具、存货等实物资产和现金、存款、应收账款和预付账款等金融资产。资产一般按流动性（资产的变现或耗用时间长短）分为流动资产和非流动资产。其中流动资产可分为货币资金、交易性金融资产、应收票据、应收账款、预付款项、其他应收款、存货等；非流动资产可分为长期股权投资、固定资产、无形资产及其他非流动资产等。根据会计“资产负债表”中“资产总计”项目的期末余额数填报。</w:t>
      </w:r>
      <w:r>
        <w:rPr>
          <w:rFonts w:hint="eastAsia" w:ascii="宋体" w:hAnsi="宋体" w:cs="宋体"/>
          <w:color w:val="auto"/>
          <w:u w:val="single"/>
        </w:rPr>
        <w:t>此</w:t>
      </w:r>
      <w:r>
        <w:rPr>
          <w:rFonts w:ascii="宋体" w:hAnsi="宋体" w:cs="宋体"/>
          <w:color w:val="auto"/>
          <w:u w:val="single"/>
        </w:rPr>
        <w:t>指标为</w:t>
      </w:r>
      <w:r>
        <w:rPr>
          <w:rFonts w:hint="eastAsia" w:ascii="宋体" w:hAnsi="宋体" w:cs="宋体"/>
          <w:color w:val="auto"/>
          <w:u w:val="single"/>
        </w:rPr>
        <w:t>从</w:t>
      </w:r>
      <w:r>
        <w:rPr>
          <w:rFonts w:ascii="宋体" w:hAnsi="宋体" w:cs="宋体"/>
          <w:color w:val="auto"/>
          <w:u w:val="single"/>
        </w:rPr>
        <w:t>后续表摘抄指标，调查单位</w:t>
      </w:r>
      <w:r>
        <w:rPr>
          <w:rFonts w:hint="eastAsia" w:ascii="宋体" w:hAnsi="宋体" w:cs="宋体"/>
          <w:color w:val="auto"/>
          <w:u w:val="single"/>
        </w:rPr>
        <w:t>免</w:t>
      </w:r>
      <w:r>
        <w:rPr>
          <w:rFonts w:ascii="宋体" w:hAnsi="宋体" w:cs="宋体"/>
          <w:color w:val="auto"/>
          <w:u w:val="single"/>
        </w:rPr>
        <w:t>填。</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营业利润  </w:t>
      </w:r>
      <w:r>
        <w:rPr>
          <w:rFonts w:ascii="宋体" w:hAnsi="宋体" w:cs="宋体"/>
          <w:color w:val="auto"/>
          <w:szCs w:val="21"/>
        </w:rPr>
        <w:t>指企业从事生产经营活动所取得的利润。执行</w:t>
      </w:r>
      <w:r>
        <w:rPr>
          <w:rFonts w:hint="eastAsia" w:ascii="宋体" w:hAnsi="宋体" w:cs="宋体"/>
          <w:color w:val="auto"/>
          <w:szCs w:val="21"/>
        </w:rPr>
        <w:t>《</w:t>
      </w:r>
      <w:r>
        <w:rPr>
          <w:rFonts w:ascii="宋体" w:hAnsi="宋体" w:cs="宋体"/>
          <w:color w:val="auto"/>
          <w:szCs w:val="21"/>
        </w:rPr>
        <w:t>企业会计准则</w:t>
      </w:r>
      <w:r>
        <w:rPr>
          <w:rFonts w:hint="eastAsia" w:ascii="宋体" w:hAnsi="宋体" w:cs="宋体"/>
          <w:color w:val="auto"/>
          <w:szCs w:val="21"/>
        </w:rPr>
        <w:t>》</w:t>
      </w:r>
      <w:r>
        <w:rPr>
          <w:rFonts w:ascii="宋体" w:hAnsi="宋体" w:cs="宋体"/>
          <w:color w:val="auto"/>
          <w:szCs w:val="21"/>
        </w:rPr>
        <w:t>或《小企业会计准则》的企业，根据会计“利润表”中“营业利润”项目的本年累计数填报；执行</w:t>
      </w:r>
      <w:r>
        <w:rPr>
          <w:rFonts w:hint="eastAsia" w:ascii="宋体" w:hAnsi="宋体" w:cs="宋体"/>
          <w:color w:val="auto"/>
          <w:szCs w:val="21"/>
        </w:rPr>
        <w:t>《</w:t>
      </w:r>
      <w:r>
        <w:rPr>
          <w:rFonts w:ascii="宋体" w:hAnsi="宋体" w:cs="宋体"/>
          <w:color w:val="auto"/>
          <w:szCs w:val="21"/>
        </w:rPr>
        <w:t>企业会计制度</w:t>
      </w:r>
      <w:r>
        <w:rPr>
          <w:rFonts w:hint="eastAsia" w:ascii="宋体" w:hAnsi="宋体" w:cs="宋体"/>
          <w:color w:val="auto"/>
          <w:szCs w:val="21"/>
        </w:rPr>
        <w:t>》</w:t>
      </w:r>
      <w:r>
        <w:rPr>
          <w:rFonts w:ascii="宋体" w:hAnsi="宋体" w:cs="宋体"/>
          <w:color w:val="auto"/>
          <w:szCs w:val="21"/>
        </w:rPr>
        <w:t>的企业，根据会计“损益表”中“营业利润”项目、“投资收益”项目的本年累计数之和填报。</w:t>
      </w:r>
      <w:r>
        <w:rPr>
          <w:rFonts w:hint="eastAsia" w:ascii="宋体" w:hAnsi="宋体" w:cs="宋体"/>
          <w:color w:val="auto"/>
          <w:u w:val="single"/>
        </w:rPr>
        <w:t>此</w:t>
      </w:r>
      <w:r>
        <w:rPr>
          <w:rFonts w:ascii="宋体" w:hAnsi="宋体" w:cs="宋体"/>
          <w:color w:val="auto"/>
          <w:u w:val="single"/>
        </w:rPr>
        <w:t>指标为</w:t>
      </w:r>
      <w:r>
        <w:rPr>
          <w:rFonts w:hint="eastAsia" w:ascii="宋体" w:hAnsi="宋体" w:cs="宋体"/>
          <w:color w:val="auto"/>
          <w:u w:val="single"/>
        </w:rPr>
        <w:t>从</w:t>
      </w:r>
      <w:r>
        <w:rPr>
          <w:rFonts w:ascii="宋体" w:hAnsi="宋体" w:cs="宋体"/>
          <w:color w:val="auto"/>
          <w:u w:val="single"/>
        </w:rPr>
        <w:t>后续表摘抄指标，调查单位</w:t>
      </w:r>
      <w:r>
        <w:rPr>
          <w:rFonts w:hint="eastAsia" w:ascii="宋体" w:hAnsi="宋体" w:cs="宋体"/>
          <w:color w:val="auto"/>
          <w:u w:val="single"/>
        </w:rPr>
        <w:t>免</w:t>
      </w:r>
      <w:r>
        <w:rPr>
          <w:rFonts w:ascii="宋体" w:hAnsi="宋体" w:cs="宋体"/>
          <w:color w:val="auto"/>
          <w:u w:val="single"/>
        </w:rPr>
        <w:t>填。</w:t>
      </w:r>
    </w:p>
    <w:p>
      <w:pPr>
        <w:spacing w:line="360" w:lineRule="exact"/>
        <w:ind w:firstLine="420" w:firstLineChars="200"/>
        <w:rPr>
          <w:rFonts w:ascii="黑体" w:eastAsia="黑体"/>
          <w:color w:val="auto"/>
        </w:rPr>
      </w:pPr>
      <w:r>
        <w:rPr>
          <w:rFonts w:hint="eastAsia" w:ascii="黑体" w:eastAsia="黑体"/>
          <w:color w:val="auto"/>
        </w:rPr>
        <w:t>是否</w:t>
      </w:r>
      <w:r>
        <w:rPr>
          <w:rFonts w:ascii="黑体" w:eastAsia="黑体"/>
          <w:color w:val="auto"/>
        </w:rPr>
        <w:t>为</w:t>
      </w:r>
      <w:r>
        <w:rPr>
          <w:rFonts w:hint="eastAsia" w:ascii="黑体" w:eastAsia="黑体"/>
          <w:color w:val="auto"/>
        </w:rPr>
        <w:t>“视同</w:t>
      </w:r>
      <w:r>
        <w:rPr>
          <w:rFonts w:ascii="黑体" w:eastAsia="黑体"/>
          <w:color w:val="auto"/>
        </w:rPr>
        <w:t>法人单位</w:t>
      </w:r>
      <w:r>
        <w:rPr>
          <w:rFonts w:hint="eastAsia" w:ascii="黑体" w:eastAsia="黑体"/>
          <w:color w:val="auto"/>
        </w:rPr>
        <w:t>”？如是，</w:t>
      </w:r>
      <w:r>
        <w:rPr>
          <w:rFonts w:ascii="黑体" w:eastAsia="黑体"/>
          <w:color w:val="auto"/>
        </w:rPr>
        <w:t>请勾选</w:t>
      </w:r>
      <w:r>
        <w:rPr>
          <w:rFonts w:hint="eastAsia" w:ascii="黑体" w:eastAsia="黑体"/>
          <w:color w:val="auto"/>
        </w:rPr>
        <w:t xml:space="preserve"> </w:t>
      </w:r>
      <w:r>
        <w:rPr>
          <w:rFonts w:ascii="黑体" w:eastAsia="黑体"/>
          <w:color w:val="auto"/>
        </w:rPr>
        <w:t xml:space="preserve"> </w:t>
      </w:r>
      <w:r>
        <w:rPr>
          <w:rFonts w:hint="eastAsia" w:ascii="宋体" w:hAnsi="宋体"/>
          <w:color w:val="auto"/>
          <w:szCs w:val="21"/>
          <w:u w:val="single"/>
        </w:rPr>
        <w:t>填报单位免填</w:t>
      </w:r>
      <w:r>
        <w:rPr>
          <w:rFonts w:hint="eastAsia" w:ascii="宋体" w:hAnsi="宋体"/>
          <w:color w:val="auto"/>
          <w:szCs w:val="21"/>
        </w:rPr>
        <w:t>，由所在地统计机构</w:t>
      </w:r>
      <w:r>
        <w:rPr>
          <w:rFonts w:hint="eastAsia" w:ascii="宋体"/>
          <w:color w:val="auto"/>
          <w:kern w:val="0"/>
        </w:rPr>
        <w:t>按照统计单位划分有关规定，对各类视同法人单位统计的产业活动单位进行</w:t>
      </w:r>
      <w:r>
        <w:rPr>
          <w:rFonts w:ascii="宋体"/>
          <w:color w:val="auto"/>
          <w:kern w:val="0"/>
        </w:rPr>
        <w:t>勾选</w:t>
      </w:r>
      <w:r>
        <w:rPr>
          <w:rFonts w:hint="eastAsia" w:ascii="宋体"/>
          <w:color w:val="auto"/>
          <w:kern w:val="0"/>
        </w:rPr>
        <w:t>。</w:t>
      </w:r>
    </w:p>
    <w:p>
      <w:pPr>
        <w:snapToGrid w:val="0"/>
        <w:spacing w:line="360" w:lineRule="exact"/>
        <w:ind w:firstLine="420" w:firstLineChars="200"/>
        <w:rPr>
          <w:rFonts w:ascii="宋体" w:hAnsi="宋体" w:eastAsia="黑体" w:cs="宋体"/>
          <w:color w:val="auto"/>
          <w:szCs w:val="21"/>
        </w:rPr>
      </w:pPr>
      <w:r>
        <w:rPr>
          <w:rFonts w:ascii="宋体" w:hAnsi="宋体" w:eastAsia="黑体" w:cs="宋体"/>
          <w:color w:val="auto"/>
          <w:szCs w:val="21"/>
        </w:rPr>
        <w:t xml:space="preserve">机构类型  </w:t>
      </w:r>
      <w:r>
        <w:rPr>
          <w:rFonts w:ascii="宋体" w:hAnsi="宋体" w:cs="宋体"/>
          <w:color w:val="auto"/>
          <w:szCs w:val="21"/>
        </w:rPr>
        <w:t>分为企业、事业单位、机关、社会团体、民办非企业单位、基金会、居委会、村委会、农民专业合作社、农村集体经济组织和其他组织机构。</w:t>
      </w:r>
      <w:r>
        <w:rPr>
          <w:rFonts w:hint="eastAsia" w:ascii="宋体" w:hAnsi="宋体"/>
          <w:color w:val="auto"/>
          <w:szCs w:val="21"/>
          <w:u w:val="single"/>
        </w:rPr>
        <w:t>所有</w:t>
      </w:r>
      <w:r>
        <w:rPr>
          <w:rFonts w:ascii="宋体" w:hAnsi="宋体"/>
          <w:color w:val="auto"/>
          <w:szCs w:val="21"/>
          <w:u w:val="single"/>
        </w:rPr>
        <w:t>单位均填写本项。</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1.企业：包括（1）领取《企业法人营业执照》（或新版《营业执照》）的各类企业法人；（2）个人独资企业、合伙企业；（3）领取《营业执照》的企业法人分支机构或经营单位，个人独资企业和合伙企业的分支机构；（4）未经有关部门批准但实际从事生产经营活动、且符合产业活动单位条件的企业法人的组成部分。</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2.事业单位：包括（1）经机构编制部门批准成立和登记或备案，领取《事业单位法人证书》，取得法人资格的单位；（2）事业法人单位的本部及分支机构或派出机构。</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3.机关：包括国家权力机关、国家行政机关、国家监察机关、司法机关、政党机关、政协组织和其他机关法人；机关法人单位的本部，以及国家权力机关分支机构、国家行政机关分支或派出机构、监察机关分支机构、人民法院分支机构、人民检察院分支机构等。</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（1）国家权力机关：指全国人民代表大会及其常务委员会、地方各级人民代表大会及其常务委员会和办事机构。</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（2）国家行政机关：指国务院和地方各级人民政府及其工作部门，以及地区行政行署。</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（3）国家监察机关：指行使监察职能的机关。</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（4）国家司法机关：指国家审判机关和检察机关。</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（5）政党机关：指中国共产党各级机关和所属办事机构、各民主党派各级机关和办事机构。</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（6）政协组织：指中国人民政治协商会议全国委员会和地方各级委员会及其办事机构。</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4.社会团体：指中国公民自愿组成，为实现会员共同意愿，按照其章程开展活动的非营利性社会组织。包括（1）经各级民政部门核准登记，领取《社会团体法人登记证书》的各类社会团体；（2）由各级机构编制管理部门直接管理其机构编制的群众团体；（3）经国务院批准可以免于登记的社会团体。</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5.民办非企业单位：指企业单位、事业单位、社会团体和其他社会力量以及公民个人利用非国有资产举办的，从事非营利性社会服务的社会组织。民办非企业法人指经各级民政部门核准登记，领取《民办非企业单位登记证书》的民办非企业单位。</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6.基金会：指民政部门核准登记的，颁发《基金会法人登记证书》的基金会。</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7.居民委员会：由不设区的市、市辖区的人民政府决定设立的社区（居委会）。</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8.村民委员会：由乡、民族乡、镇的人民政府提出，经村民会议讨论同意后，报县级人民政府批准，设立的村民委员会。</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9.农民专业合作社：指以农村</w:t>
      </w:r>
      <w:r>
        <w:rPr>
          <w:rFonts w:ascii="宋体" w:hAnsi="宋体" w:cs="宋体"/>
          <w:color w:val="auto"/>
          <w:szCs w:val="21"/>
          <w:u w:val="none"/>
        </w:rPr>
        <w:t>家庭承包经营</w:t>
      </w:r>
      <w:r>
        <w:rPr>
          <w:rFonts w:ascii="宋体" w:hAnsi="宋体" w:cs="宋体"/>
          <w:color w:val="auto"/>
          <w:szCs w:val="21"/>
        </w:rPr>
        <w:t>为基础，通过提供农产品的销售、加工、运输、</w:t>
      </w:r>
      <w:r>
        <w:rPr>
          <w:rFonts w:ascii="宋体" w:hAnsi="宋体" w:cs="宋体"/>
          <w:color w:val="auto"/>
          <w:szCs w:val="21"/>
          <w:u w:val="none"/>
        </w:rPr>
        <w:t>贮藏</w:t>
      </w:r>
      <w:r>
        <w:rPr>
          <w:rFonts w:ascii="宋体" w:hAnsi="宋体" w:cs="宋体"/>
          <w:color w:val="auto"/>
          <w:szCs w:val="21"/>
        </w:rPr>
        <w:t>以及与农业生产经营有关的技术、信息等服务来实现成员互助目的的组织。包括（1）经各级市场监管部门核准登记，领取《农民专业合作社法人营业执照》或新版《营业执照》的农民专业合作社法人，领取新版《营业执照》的农民专业合作社联合社法人；（2）经各级市场监管部门核准登记的农民专业合作社（或农民专业合作社联合社）分支机构。</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10.农村集体经济组织：在农村双层经营体制下，耕地、河道、灌溉设施等生产资料集体所有，合作经营、民主管理、服务村民的经济组织，主要是由原人民公社（现乡、镇）、生产大队（现村）、生产队（现村民组）建制经过改革、改造、改组形成的合作经济组织，包括经济联合总社、经济联合社、经济合作社、股份合作经济联合总社、股份合作经济联合社、股份合作社等。农村集体经济组织的设立需经县级及以上农业行政主管部门审核，颁发登记证书或证明书。</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11.其他组织机构：指除企业、事业单位、机关、社会团体、民办非企业单位、基金会、居民委员会、村民委员会、农民专业合作社和农村集体经济组织以外的其他符合法人和产业活动单位条件的机构。包括：律师事务所</w:t>
      </w:r>
      <w:r>
        <w:rPr>
          <w:rFonts w:hint="eastAsia" w:ascii="宋体" w:hAnsi="宋体" w:cs="宋体"/>
          <w:color w:val="auto"/>
          <w:szCs w:val="21"/>
        </w:rPr>
        <w:t>、基层法律服务机构</w:t>
      </w:r>
      <w:r>
        <w:rPr>
          <w:rFonts w:ascii="宋体" w:hAnsi="宋体" w:cs="宋体"/>
          <w:color w:val="auto"/>
          <w:szCs w:val="21"/>
        </w:rPr>
        <w:t>和各类</w:t>
      </w:r>
      <w:r>
        <w:rPr>
          <w:rFonts w:hint="eastAsia" w:ascii="宋体" w:hAnsi="宋体" w:cs="宋体"/>
          <w:color w:val="auto"/>
          <w:szCs w:val="21"/>
        </w:rPr>
        <w:t>宗教活动场所</w:t>
      </w:r>
      <w:r>
        <w:rPr>
          <w:rFonts w:ascii="宋体" w:hAnsi="宋体" w:cs="宋体"/>
          <w:color w:val="auto"/>
          <w:szCs w:val="21"/>
        </w:rPr>
        <w:t>等。</w:t>
      </w:r>
    </w:p>
    <w:p>
      <w:pPr>
        <w:snapToGrid w:val="0"/>
        <w:spacing w:line="360" w:lineRule="exact"/>
        <w:ind w:firstLine="420" w:firstLineChars="200"/>
        <w:rPr>
          <w:rFonts w:ascii="宋体"/>
          <w:color w:val="auto"/>
        </w:rPr>
      </w:pPr>
      <w:r>
        <w:rPr>
          <w:rFonts w:hint="eastAsia" w:ascii="宋体" w:hAnsi="宋体" w:eastAsia="黑体" w:cs="宋体"/>
          <w:color w:val="auto"/>
          <w:szCs w:val="21"/>
        </w:rPr>
        <w:t>登记注册统计类别</w:t>
      </w:r>
      <w:r>
        <w:rPr>
          <w:rFonts w:ascii="宋体" w:hAnsi="宋体" w:eastAsia="黑体" w:cs="宋体"/>
          <w:color w:val="auto"/>
          <w:szCs w:val="21"/>
        </w:rPr>
        <w:t xml:space="preserve">  </w:t>
      </w:r>
      <w:r>
        <w:rPr>
          <w:rFonts w:hint="eastAsia" w:ascii="宋体" w:hAnsi="宋体" w:cs="宋体"/>
          <w:color w:val="auto"/>
        </w:rPr>
        <w:t>企业单位的登记注册统计类别，依据《关于市场主体统计分类的划分规定》填写。机关、事业单位和社会团体及其他组织的登记注册统计类别，依据主要经费来源和管理方式，根据实际情况，比照《关于市场主体统计分类的划分规定》确定。</w:t>
      </w:r>
    </w:p>
    <w:p>
      <w:pPr>
        <w:snapToGrid w:val="0"/>
        <w:spacing w:line="360" w:lineRule="exact"/>
        <w:ind w:firstLine="420" w:firstLineChars="200"/>
        <w:rPr>
          <w:rFonts w:ascii="宋体"/>
          <w:color w:val="auto"/>
        </w:rPr>
      </w:pPr>
      <w:r>
        <w:rPr>
          <w:rFonts w:hint="eastAsia" w:ascii="宋体" w:hAnsi="宋体" w:cs="宋体"/>
          <w:color w:val="auto"/>
        </w:rPr>
        <w:t>在具体填报时应注意：</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（1）企业参照《营业执照》中的“类型”“公司类型”“合伙企业类型”“经营范围及方式”等填写，无法直接根据登记事项填写的，需根据投资人情况填写。</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登记注册为“有限责任公司（国有独资）”“有限责任公司分公司（国有独资）”，选填“111国有独资公司”。</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有限责任公司（自然人投资或控股）”“有限责任公司（自然人独资）”“有限责任公司（自然人投资或控股的法人独资）”“有限责任公司分公司（自然人投资或控股）”“有限责任公司分公司（自然人独资）”“有限责任公司分公司（自然人投资或控股的法人独资）”，选填“112私营有限责任公司”。</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有限责任公司（外商投资企业投资）”“有限责任公司（国有控股）”“有限责任公司（非自然人投资或控股的法人独资）”“其他有限责任公司”“有限责任公司分公司（外商投资企业投资）”“有限责任分公司（国有控股）”“有限责任分公司（非自然人投资或控股的法人独资）”“其他有限责任公司分公司”，选填“119其他有限责任公司”。</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股份有限公司（上市、自然人投资或控股）”“股份有限公司（非上市、自然人投资或控股）”“股份有限公司分公司（上市、自然人投资或控股）”“股份有限公司分公司（非上市、自然人投资或控股）”，选填“121私营股份有限公司”。</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股份有限公司（上市、外商投资企业投资）”“股份有限公司（上市、国有控股）”“其他股份有限公司（上市）”“股份有限公司（非上市、外商投资企业投资）”“股份有限公司（非上市、国有控股）”“其他股份有限公司（非上市）”“股份有限公司分公司（上市、外商投资企业投资）”“股份有限公司分公司（上市、国有控股）”“其他股份有限公司分公司（上市）”“股份有限公司分公司（非上市、外商投资企业投资）”“股份有限公司分公司（非上市、国有控股）”“其他股份有限公司分公司（非上市）”，选填“129其他股份有限公司”。</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登记注册为“全民所有制”“国有事业单位营业”“国有社团法人营业”“全民所有制分支机构（非法人）”“国有经营单位（非法人）”，选填“131全民所有制企业（国有企业）”。</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登记注册为“集体所有制”“集体事业单位营业”“集体社团法人营业”“集体分支机构（非法人）”“集体经营单位（非法人）”，选填“132集体所有制企业（集体企业）”。</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登记注册为“股份合作制”“股份合作制分支机构”，选填“133股份合作企业”。</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登记注册为“联营”，选填“134联营企业”。</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登记注册为“个人独资企业”“个人独资企业分支机构”，选填“140个人独资企业”。</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登记注册为“股份制”“股份制分支机构”“股份制企业（非法人）”，选填“190其他内资企业”。</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有限责任公司(港澳台与境内合资)”“有限责任公司(港澳台与境内合作)”“有限责任公司(港澳台合资)”“有限责任公司(港澳台自然人独资)”“有限责任公司(港澳台法人独资)”“有限责任公司(港澳台非法人经济组织独资)”“有限责任公司(港澳台与外国投资者合资)”“有限责任公司(港澳台投资、非独资)”，选填“210港澳台投资有限责任公司”。</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股份有限公司(港澳台与境内合资、未上市)”“股份有限公司(港澳台与境内合资、上市)”“股份有限公司(港澳台合资、未上市)”“股份有限公司(港澳台合资、上市)”“股份有限公司(港澳台与外国投资者合资、未上市)”“股份有限公司(港澳台与外国投资者合资、上市)”“股份有限公司(港澳台投资、未上市)”“股份有限公司(港澳台投资、上市)”，选填“220港澳台投资股份有限公司”。</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登记注册为“非公司港、澳、台企业(港澳台与境内合作)”“非公司港、澳、台企业(港澳台合资)”“非公司港、澳、台投资企业分支机构”，选填“290其他港澳台投资企业”。</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有限责任公司(中外合资)”“有限责任公司(中外合作)”“有限责任公司(外商合资)”“有限责任公司(外国自然人独资)”“有限责任公司(外国法人独资)”“有限责任公司(外国非法人经济组织独资)”“有限责任公司(外商投资、非独资)”“外国(地区)有限责任公司分支机构”，选填“310外商投资有限责任公司”。</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股份有限公司(中外合资、未上市)”“股份有限公司(中外合资、上市)”“股份有限公司(外商合资、未上市)”“股份有限公司(外商合资、上市)”“股份有限公司(外商投资、未上市)”“股份有限公司(外商投资、上市)”“外国(地区)股份有限责任公司分支机构”，选填“320外商投资股份有限公司”。</w:t>
      </w:r>
    </w:p>
    <w:p>
      <w:pPr>
        <w:snapToGrid w:val="0"/>
        <w:spacing w:line="360" w:lineRule="exact"/>
        <w:ind w:firstLine="420" w:firstLineChars="200"/>
        <w:rPr>
          <w:rFonts w:hint="eastAsia" w:ascii="宋体" w:hAnsi="宋体" w:cs="宋体"/>
          <w:color w:val="auto"/>
          <w:szCs w:val="21"/>
        </w:rPr>
      </w:pPr>
      <w:r>
        <w:rPr>
          <w:rFonts w:hint="eastAsia" w:ascii="宋体" w:hAnsi="宋体" w:cs="宋体"/>
          <w:color w:val="auto"/>
          <w:szCs w:val="21"/>
        </w:rPr>
        <w:t>登记注册为“非公司外商投资企业(中外合作)”“非公司外商投资企业(外商合资)”“非公司外商投资企业分支机构”“外国(地区)无限责任公司分支机构”“外国(地区)其他形式公司分支机构”“外国(地区)企业常驻代表机构”，选填“390其他外商投资企业”。</w:t>
      </w:r>
    </w:p>
    <w:p>
      <w:pPr>
        <w:numPr>
          <w:ilvl w:val="0"/>
          <w:numId w:val="4"/>
        </w:numPr>
        <w:snapToGrid w:val="0"/>
        <w:spacing w:line="360" w:lineRule="exact"/>
        <w:ind w:firstLine="420" w:firstLineChars="200"/>
        <w:rPr>
          <w:rFonts w:hint="eastAsia" w:ascii="宋体" w:hAnsi="宋体" w:cs="宋体"/>
          <w:color w:val="auto"/>
        </w:rPr>
      </w:pPr>
      <w:r>
        <w:rPr>
          <w:rFonts w:hint="eastAsia" w:ascii="宋体" w:hAnsi="宋体" w:cs="宋体"/>
          <w:color w:val="auto"/>
        </w:rPr>
        <w:t>机关、事业单位、机构编制部门管理的群众团体，应选填“131全民所有制企业（国有企业）”；</w:t>
      </w:r>
    </w:p>
    <w:p>
      <w:pPr>
        <w:numPr>
          <w:ilvl w:val="0"/>
          <w:numId w:val="4"/>
        </w:numPr>
        <w:snapToGrid w:val="0"/>
        <w:spacing w:line="360" w:lineRule="exact"/>
        <w:ind w:firstLine="420" w:firstLineChars="200"/>
        <w:rPr>
          <w:rFonts w:hint="eastAsia" w:ascii="宋体" w:hAnsi="宋体" w:cs="宋体"/>
          <w:color w:val="auto"/>
        </w:rPr>
      </w:pPr>
      <w:r>
        <w:rPr>
          <w:rFonts w:hint="eastAsia" w:ascii="宋体" w:hAnsi="宋体" w:cs="宋体"/>
          <w:color w:val="auto"/>
          <w:szCs w:val="21"/>
        </w:rPr>
        <w:t>登记注册为“农民专业合作社”“农民专业合作社分支机构”，选填“400农民专业合作社（联合社）”。</w:t>
      </w:r>
    </w:p>
    <w:p>
      <w:pPr>
        <w:snapToGrid w:val="0"/>
        <w:spacing w:line="360" w:lineRule="exact"/>
        <w:ind w:firstLine="420" w:firstLineChars="200"/>
        <w:rPr>
          <w:rFonts w:hint="eastAsia" w:ascii="宋体" w:hAnsi="宋体" w:cs="宋体"/>
          <w:color w:val="auto"/>
        </w:rPr>
      </w:pPr>
      <w:r>
        <w:rPr>
          <w:rFonts w:hint="eastAsia" w:ascii="宋体" w:hAnsi="宋体" w:cs="宋体"/>
          <w:color w:val="auto"/>
        </w:rPr>
        <w:t>（4）农村</w:t>
      </w:r>
      <w:r>
        <w:rPr>
          <w:rFonts w:ascii="宋体" w:hAnsi="宋体" w:cs="宋体"/>
          <w:color w:val="auto"/>
        </w:rPr>
        <w:t>集体经济组织</w:t>
      </w:r>
      <w:r>
        <w:rPr>
          <w:rFonts w:hint="eastAsia" w:ascii="宋体" w:hAnsi="宋体" w:cs="宋体"/>
          <w:color w:val="auto"/>
        </w:rPr>
        <w:t>、社区（居委会）、村委会应选填</w:t>
      </w:r>
      <w:r>
        <w:rPr>
          <w:rFonts w:ascii="宋体" w:hAnsi="宋体" w:cs="宋体"/>
          <w:color w:val="auto"/>
        </w:rPr>
        <w:t>“</w:t>
      </w:r>
      <w:r>
        <w:rPr>
          <w:rFonts w:hint="eastAsia" w:ascii="宋体" w:hAnsi="宋体" w:cs="宋体"/>
          <w:color w:val="auto"/>
        </w:rPr>
        <w:t>132集体所有制企业（集体企业）</w:t>
      </w:r>
      <w:r>
        <w:rPr>
          <w:rFonts w:ascii="宋体" w:hAnsi="宋体" w:cs="宋体"/>
          <w:color w:val="auto"/>
        </w:rPr>
        <w:t>”</w:t>
      </w:r>
      <w:r>
        <w:rPr>
          <w:rFonts w:hint="eastAsia" w:ascii="宋体" w:hAnsi="宋体" w:cs="宋体"/>
          <w:color w:val="auto"/>
        </w:rPr>
        <w:t>；</w:t>
      </w:r>
    </w:p>
    <w:p>
      <w:pPr>
        <w:snapToGrid w:val="0"/>
        <w:spacing w:line="360" w:lineRule="exact"/>
        <w:ind w:firstLine="420" w:firstLineChars="200"/>
        <w:rPr>
          <w:rFonts w:ascii="宋体"/>
          <w:color w:val="auto"/>
        </w:rPr>
      </w:pPr>
      <w:r>
        <w:rPr>
          <w:rFonts w:hint="eastAsia" w:ascii="宋体" w:hAnsi="宋体" w:cs="宋体"/>
          <w:color w:val="auto"/>
        </w:rPr>
        <w:t>（5）其他非企业单位根据主要经费来源和管理方式填写；</w:t>
      </w:r>
      <w:r>
        <w:rPr>
          <w:rFonts w:hint="eastAsia" w:ascii="宋体" w:hAnsi="宋体" w:cs="宋体"/>
          <w:color w:val="auto"/>
          <w:szCs w:val="21"/>
        </w:rPr>
        <w:t>国家负担经费或管理的，应选填“131全民所有制企业（国有企业）”；集体负担经费或管理的，应选填“132集体所有制企业（集体企业）”；个人负担经费或管理的，应选填“140个人独资企业”；合伙负担经费或管理的，应选填“150合伙企业”。</w:t>
      </w:r>
    </w:p>
    <w:p>
      <w:pPr>
        <w:snapToGrid w:val="0"/>
        <w:spacing w:line="360" w:lineRule="exact"/>
        <w:ind w:firstLine="420" w:firstLineChars="200"/>
        <w:rPr>
          <w:rFonts w:ascii="宋体"/>
          <w:color w:val="auto"/>
        </w:rPr>
      </w:pPr>
      <w:r>
        <w:rPr>
          <w:rFonts w:hint="eastAsia" w:ascii="宋体" w:hAnsi="宋体" w:cs="宋体"/>
          <w:color w:val="auto"/>
        </w:rPr>
        <w:t>（6）如单位登记注册统计类别改变，但未重新办理变更登记，应按原登记注册统计类别填写。</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港澳台商投资情况  </w:t>
      </w:r>
      <w:r>
        <w:rPr>
          <w:rFonts w:ascii="宋体" w:hAnsi="宋体" w:cs="宋体"/>
          <w:color w:val="auto"/>
          <w:szCs w:val="21"/>
        </w:rPr>
        <w:t>港商投资、澳商投资和台商投资分别指香港地区、澳门地区和台湾地区投资者依照相关法律规定在中国内地进行各种直接投资的形式。限全部港澳台投资企业填写。</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暂未投资，是指单位在市场监管部门登记注册的类型是港澳台商投资单位，但是尚未有港、澳、台商的资金投入。</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企业控股情况  </w:t>
      </w:r>
      <w:r>
        <w:rPr>
          <w:rFonts w:ascii="宋体" w:hAnsi="宋体" w:cs="宋体"/>
          <w:color w:val="auto"/>
          <w:szCs w:val="21"/>
        </w:rPr>
        <w:t>根据企业实收资本中某种经济成分的出资人的实际投资情况，或出资人对企业资产的实际控制、支配程度进行分类。具体分为国有控股、集体控股、私人控股、港澳台商控股、外商控股和其他六类。</w:t>
      </w:r>
      <w:r>
        <w:rPr>
          <w:rFonts w:ascii="宋体" w:hAnsi="宋体"/>
          <w:color w:val="auto"/>
          <w:szCs w:val="21"/>
          <w:u w:val="single"/>
        </w:rPr>
        <w:t>限企业法人</w:t>
      </w:r>
      <w:r>
        <w:rPr>
          <w:rFonts w:hint="eastAsia" w:ascii="宋体" w:hAnsi="宋体"/>
          <w:color w:val="auto"/>
          <w:szCs w:val="21"/>
          <w:u w:val="single"/>
        </w:rPr>
        <w:t>单位填</w:t>
      </w:r>
      <w:r>
        <w:rPr>
          <w:rFonts w:ascii="宋体" w:hAnsi="宋体"/>
          <w:color w:val="auto"/>
          <w:szCs w:val="21"/>
          <w:u w:val="single"/>
        </w:rPr>
        <w:t>写。</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1.国有控股：包括（1）在企业的全部实收资本中，国有经济成分的出资人拥有的实收资本（股本）所占企业全部实收资本（股本）的比例大于50%的国有绝对控股；（2）在企业的全部实收资本中，国有经济成分的出资人拥有的实收资本（股本）所占比例虽未大于50%，但相对大于其他任何一方经济成分的出资人所占比例的国有相对控股；或者虽不大于其他经济成分，但根据协议规定拥有企业实际控制权的国有协议控股。（3）投资双方各占50%，且未明确由谁绝对控股的企业，若其中一方为国有经济成分的，一律按国有控股处理。</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2.集体控股：包括（1）在企业的全部实收资本中，集体经济成分的出资人拥有的实收资本（股本）所占企业全部实收资本（股本）的比例大于50%的集体绝对控股；（2）在企业的全部实收资本中，集体经济成分的出资人拥有的实收资本（股本）所占比例虽未大于50%，但相对大于其他任何一方经济成分的出资人所占比例的集体相对控股；或者虽不大于其他经济成分，但根据协议规定拥有企业实际控制权的集体协议控股。</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3.私人控股：包括（1）在企业的全部实收资本中，私人经济成分的出资人拥有的实收资本（股本）所占企业全部实收资本（股本）的比例大于50%的私人绝对控股；（2）在企业的全部实收资本中，私人经济成分的出资人拥有的实收资本（股本）所占比例虽未大于50%，但相对大于其他任何一方经济成分的出资人所占比例的私人相对控股；或者虽不大于其他经济成分，但根据协议规定拥有企业实际控制权的私人协议控股。</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4.港澳台商控股：包括（1）在企业的全部实收资本中，港澳台商经济成分的出资人拥有的实收资本（股本）所占企业全部实收资本（股本）的比例大于50%的港澳台商绝对控股；（2）在企业的全部实收资本中，港澳台商经济成分的出资人拥有的实收资本（股本）所占比例虽未大于50%，但相对大于其他任何一方经济成分的出资人所占比例的港澳台商相对控股；或者虽不大于其他经济成分，但根据协议规定拥有企业实际控制权的港澳台商协议控股。</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5.外商控股：包括（1）在企业的全部实收资本中，外商经济成分的出资人拥有的实收资本（股本）所占企业全部实收资本（股本）的比例大于50%的外商绝对控股；（2）在企业的全部实收资本中，外商经济成分的出资人拥有的实收资本（股本）所占比例虽未大于50%，但相对大于其他任何一方经济成分的出资人所占比例的外商相对控股；或者虽不大于其他经济成分，但根据协议规定拥有企业实际控制权的外商协议控股。</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6.其他：除上述五类以外的企业控股情况。</w:t>
      </w:r>
    </w:p>
    <w:p>
      <w:pPr>
        <w:snapToGrid w:val="0"/>
        <w:spacing w:line="360" w:lineRule="exact"/>
        <w:ind w:firstLine="420" w:firstLineChars="200"/>
        <w:rPr>
          <w:rFonts w:ascii="宋体" w:hAnsi="宋体" w:eastAsia="黑体" w:cs="宋体"/>
          <w:color w:val="auto"/>
          <w:szCs w:val="21"/>
        </w:rPr>
      </w:pPr>
      <w:r>
        <w:rPr>
          <w:rFonts w:hint="eastAsia" w:ascii="宋体" w:hAnsi="宋体" w:eastAsia="黑体" w:cs="宋体"/>
          <w:color w:val="auto"/>
          <w:szCs w:val="21"/>
        </w:rPr>
        <w:t xml:space="preserve">隶属关系  </w:t>
      </w:r>
      <w:r>
        <w:rPr>
          <w:rFonts w:hint="eastAsia" w:ascii="宋体" w:hAnsi="宋体" w:cs="宋体"/>
          <w:color w:val="auto"/>
        </w:rPr>
        <w:t>指本单位隶属于哪一级行政管理单位，</w:t>
      </w:r>
      <w:r>
        <w:rPr>
          <w:rFonts w:hint="eastAsia" w:ascii="宋体" w:hAnsi="宋体"/>
          <w:color w:val="auto"/>
        </w:rPr>
        <w:t>分为中央和地方。</w:t>
      </w:r>
      <w:r>
        <w:rPr>
          <w:rFonts w:hint="eastAsia" w:ascii="宋体" w:hAnsi="宋体" w:cs="宋体"/>
          <w:color w:val="auto"/>
        </w:rPr>
        <w:t>中央与地方双重领导的单位，以领导为主的一方来划分隶属中央或地方。限国有控股企业法人单位填写</w:t>
      </w:r>
      <w:r>
        <w:rPr>
          <w:rFonts w:ascii="宋体" w:hAnsi="宋体"/>
          <w:color w:val="auto"/>
        </w:rPr>
        <w:t>。</w:t>
      </w:r>
    </w:p>
    <w:p>
      <w:pPr>
        <w:snapToGrid w:val="0"/>
        <w:spacing w:line="360" w:lineRule="exact"/>
        <w:ind w:firstLine="420" w:firstLineChars="200"/>
        <w:rPr>
          <w:rFonts w:ascii="宋体" w:hAnsi="宋体" w:cs="宋体"/>
          <w:color w:val="auto"/>
          <w:szCs w:val="21"/>
          <w:u w:val="single"/>
        </w:rPr>
      </w:pPr>
      <w:r>
        <w:rPr>
          <w:rFonts w:ascii="宋体" w:hAnsi="宋体" w:eastAsia="黑体" w:cs="宋体"/>
          <w:color w:val="auto"/>
          <w:szCs w:val="21"/>
        </w:rPr>
        <w:t xml:space="preserve">执行会计标准类别  </w:t>
      </w:r>
      <w:r>
        <w:rPr>
          <w:rFonts w:ascii="宋体" w:hAnsi="宋体" w:cs="宋体"/>
          <w:color w:val="auto"/>
          <w:szCs w:val="21"/>
        </w:rPr>
        <w:t>分为执行企业会计准则制度、政府会计准则制度、民间非营利组织会计制度和其他四种情况。</w:t>
      </w:r>
      <w:r>
        <w:rPr>
          <w:rFonts w:hint="eastAsia" w:ascii="宋体" w:hAnsi="宋体"/>
          <w:color w:val="auto"/>
          <w:szCs w:val="21"/>
          <w:u w:val="single"/>
        </w:rPr>
        <w:t>所有单位均</w:t>
      </w:r>
      <w:r>
        <w:rPr>
          <w:rFonts w:ascii="宋体" w:hAnsi="宋体"/>
          <w:color w:val="auto"/>
          <w:szCs w:val="21"/>
          <w:u w:val="single"/>
        </w:rPr>
        <w:t>填</w:t>
      </w:r>
      <w:r>
        <w:rPr>
          <w:rFonts w:hint="eastAsia" w:ascii="宋体" w:hAnsi="宋体"/>
          <w:color w:val="auto"/>
          <w:szCs w:val="21"/>
          <w:u w:val="single"/>
        </w:rPr>
        <w:t>写本项。</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1.企业会计准则制度：执行企业会计准则、小企业会计准则和企业会计制度的企业选填此项。包括已纳入企业财务管理体系的单位。</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2.政府会计准则制度：执行政府会计准则的单位填报此项。包括与本级政府财政部门直接或者间接发生预算拨款关系的国家机关、政党组织、社会团体、事业单位和其他单位。不包括已纳入企业财务管理体系的单位。</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3.民间非营利组织会计制度：执行民间非营利组织会计制度的单位选填此项。包括执行民间非营利组织会计制度的社会团体、基金会、民办非企业单位和寺院、宫、观、清真寺、教堂等。</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4.其他：不执行以上三类会计制度的单位选填此项。</w:t>
      </w:r>
    </w:p>
    <w:p>
      <w:pPr>
        <w:spacing w:line="360" w:lineRule="exact"/>
        <w:ind w:firstLine="359" w:firstLineChars="171"/>
        <w:rPr>
          <w:rFonts w:ascii="宋体" w:hAnsi="宋体" w:cs="宋体"/>
          <w:color w:val="auto"/>
          <w:szCs w:val="21"/>
        </w:rPr>
      </w:pPr>
      <w:r>
        <w:rPr>
          <w:rFonts w:ascii="宋体" w:hAnsi="宋体" w:eastAsia="黑体" w:cs="宋体"/>
          <w:color w:val="auto"/>
          <w:szCs w:val="21"/>
        </w:rPr>
        <w:t>执行企业会计准则</w:t>
      </w:r>
      <w:r>
        <w:rPr>
          <w:rFonts w:hint="eastAsia" w:ascii="宋体" w:hAnsi="宋体" w:eastAsia="黑体" w:cs="宋体"/>
          <w:color w:val="auto"/>
          <w:szCs w:val="21"/>
        </w:rPr>
        <w:t>制度</w:t>
      </w:r>
      <w:r>
        <w:rPr>
          <w:rFonts w:ascii="宋体" w:hAnsi="宋体" w:eastAsia="黑体" w:cs="宋体"/>
          <w:color w:val="auto"/>
          <w:szCs w:val="21"/>
        </w:rPr>
        <w:t xml:space="preserve">情况  </w:t>
      </w:r>
      <w:r>
        <w:rPr>
          <w:rFonts w:hint="eastAsia" w:ascii="宋体" w:hAnsi="宋体"/>
          <w:color w:val="auto"/>
          <w:szCs w:val="21"/>
          <w:u w:val="single"/>
        </w:rPr>
        <w:t>限执行企业会计准则制度的法人单位填写。</w:t>
      </w:r>
      <w:r>
        <w:rPr>
          <w:rFonts w:ascii="宋体" w:hAnsi="宋体" w:cs="宋体"/>
          <w:color w:val="auto"/>
          <w:szCs w:val="21"/>
        </w:rPr>
        <w:t>执行企业会计准则制度的法人单位按相应分类填写代码，具体的分类及代码是：</w:t>
      </w:r>
    </w:p>
    <w:p>
      <w:pPr>
        <w:spacing w:line="360" w:lineRule="exact"/>
        <w:ind w:firstLine="359" w:firstLineChars="171"/>
        <w:rPr>
          <w:rFonts w:hint="eastAsia" w:ascii="宋体" w:hAnsi="宋体" w:cs="宋体"/>
          <w:color w:val="auto"/>
          <w:szCs w:val="21"/>
        </w:rPr>
      </w:pPr>
      <w:r>
        <w:rPr>
          <w:rFonts w:ascii="宋体" w:hAnsi="宋体" w:cs="宋体"/>
          <w:color w:val="auto"/>
          <w:szCs w:val="21"/>
        </w:rPr>
        <w:t>1.执行《企业会计准则》</w:t>
      </w:r>
      <w:r>
        <w:rPr>
          <w:rFonts w:hint="eastAsia" w:ascii="宋体" w:hAnsi="宋体" w:cs="宋体"/>
          <w:color w:val="auto"/>
          <w:szCs w:val="21"/>
        </w:rPr>
        <w:t>（《企业会计准则--基本准则》见财政部第76号令，各项具体准则、准则解释等见财政部有关财会字文件）；</w:t>
      </w:r>
    </w:p>
    <w:p>
      <w:pPr>
        <w:spacing w:line="360" w:lineRule="exact"/>
        <w:ind w:firstLine="359" w:firstLineChars="171"/>
        <w:rPr>
          <w:rFonts w:hint="eastAsia" w:ascii="宋体" w:hAnsi="宋体" w:cs="宋体"/>
          <w:color w:val="auto"/>
          <w:szCs w:val="21"/>
        </w:rPr>
      </w:pPr>
      <w:r>
        <w:rPr>
          <w:rFonts w:ascii="宋体" w:hAnsi="宋体" w:cs="宋体"/>
          <w:color w:val="auto"/>
          <w:szCs w:val="21"/>
        </w:rPr>
        <w:t>2.执行《小企业会计准则》（见财政部财会</w:t>
      </w:r>
      <w:r>
        <w:rPr>
          <w:rFonts w:hint="eastAsia" w:ascii="宋体" w:hAnsi="宋体" w:cs="宋体"/>
          <w:color w:val="auto"/>
          <w:szCs w:val="21"/>
        </w:rPr>
        <w:t>〔</w:t>
      </w:r>
      <w:r>
        <w:rPr>
          <w:rFonts w:ascii="宋体" w:hAnsi="宋体" w:cs="宋体"/>
          <w:color w:val="auto"/>
          <w:szCs w:val="21"/>
        </w:rPr>
        <w:t>20</w:t>
      </w:r>
      <w:r>
        <w:rPr>
          <w:rFonts w:hint="eastAsia" w:ascii="宋体" w:hAnsi="宋体" w:cs="宋体"/>
          <w:color w:val="auto"/>
          <w:szCs w:val="21"/>
        </w:rPr>
        <w:t>1</w:t>
      </w:r>
      <w:r>
        <w:rPr>
          <w:rFonts w:ascii="宋体" w:hAnsi="宋体" w:cs="宋体"/>
          <w:color w:val="auto"/>
          <w:szCs w:val="21"/>
        </w:rPr>
        <w:t>1</w:t>
      </w:r>
      <w:r>
        <w:rPr>
          <w:rFonts w:hint="eastAsia" w:ascii="宋体" w:hAnsi="宋体" w:cs="宋体"/>
          <w:color w:val="auto"/>
          <w:szCs w:val="21"/>
        </w:rPr>
        <w:t>〕</w:t>
      </w:r>
      <w:r>
        <w:rPr>
          <w:rFonts w:ascii="宋体" w:hAnsi="宋体" w:cs="宋体"/>
          <w:color w:val="auto"/>
          <w:szCs w:val="21"/>
        </w:rPr>
        <w:t>17号文）</w:t>
      </w:r>
      <w:r>
        <w:rPr>
          <w:rFonts w:hint="eastAsia" w:ascii="宋体" w:hAnsi="宋体" w:cs="宋体"/>
          <w:color w:val="auto"/>
          <w:szCs w:val="21"/>
        </w:rPr>
        <w:t>；</w:t>
      </w:r>
    </w:p>
    <w:p>
      <w:pPr>
        <w:spacing w:line="360" w:lineRule="exact"/>
        <w:ind w:firstLine="359" w:firstLineChars="171"/>
        <w:rPr>
          <w:rFonts w:hint="eastAsia" w:ascii="宋体" w:hAnsi="宋体" w:cs="宋体"/>
          <w:color w:val="auto"/>
          <w:szCs w:val="21"/>
        </w:rPr>
      </w:pPr>
      <w:r>
        <w:rPr>
          <w:rFonts w:hint="eastAsia" w:ascii="宋体" w:hAnsi="宋体" w:cs="宋体"/>
          <w:color w:val="auto"/>
          <w:szCs w:val="21"/>
        </w:rPr>
        <w:t>3</w:t>
      </w:r>
      <w:r>
        <w:rPr>
          <w:rFonts w:ascii="宋体" w:hAnsi="宋体" w:cs="宋体"/>
          <w:color w:val="auto"/>
          <w:szCs w:val="21"/>
        </w:rPr>
        <w:t>.执行</w:t>
      </w:r>
      <w:r>
        <w:rPr>
          <w:rFonts w:hint="eastAsia" w:ascii="宋体" w:hAnsi="宋体" w:cs="宋体"/>
          <w:color w:val="auto"/>
          <w:szCs w:val="21"/>
        </w:rPr>
        <w:t>《</w:t>
      </w:r>
      <w:r>
        <w:rPr>
          <w:rFonts w:ascii="宋体" w:hAnsi="宋体" w:cs="宋体"/>
          <w:color w:val="auto"/>
          <w:szCs w:val="21"/>
        </w:rPr>
        <w:t>企业会计制度</w:t>
      </w:r>
      <w:r>
        <w:rPr>
          <w:rFonts w:hint="eastAsia" w:ascii="宋体" w:hAnsi="宋体" w:cs="宋体"/>
          <w:color w:val="auto"/>
          <w:szCs w:val="21"/>
        </w:rPr>
        <w:t>》（见财政部财会〔</w:t>
      </w:r>
      <w:r>
        <w:rPr>
          <w:rFonts w:ascii="宋体" w:hAnsi="宋体" w:cs="宋体"/>
          <w:color w:val="auto"/>
          <w:szCs w:val="21"/>
        </w:rPr>
        <w:t>20</w:t>
      </w:r>
      <w:r>
        <w:rPr>
          <w:rFonts w:hint="eastAsia" w:ascii="宋体" w:hAnsi="宋体" w:cs="宋体"/>
          <w:color w:val="auto"/>
          <w:szCs w:val="21"/>
        </w:rPr>
        <w:t>00〕25</w:t>
      </w:r>
      <w:r>
        <w:rPr>
          <w:rFonts w:ascii="宋体" w:hAnsi="宋体" w:cs="宋体"/>
          <w:color w:val="auto"/>
          <w:szCs w:val="21"/>
        </w:rPr>
        <w:t>号文</w:t>
      </w:r>
      <w:r>
        <w:rPr>
          <w:rFonts w:hint="eastAsia" w:ascii="宋体" w:hAnsi="宋体" w:cs="宋体"/>
          <w:color w:val="auto"/>
          <w:szCs w:val="21"/>
        </w:rPr>
        <w:t>）。</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企业集团情况  </w:t>
      </w:r>
      <w:r>
        <w:rPr>
          <w:rFonts w:hint="eastAsia" w:ascii="宋体" w:hAnsi="宋体"/>
          <w:color w:val="auto"/>
          <w:szCs w:val="21"/>
          <w:u w:val="single"/>
        </w:rPr>
        <w:t>限企业集团母公司及成员企业填写。</w:t>
      </w:r>
      <w:r>
        <w:rPr>
          <w:rFonts w:ascii="宋体" w:hAnsi="宋体" w:cs="宋体"/>
          <w:color w:val="auto"/>
          <w:szCs w:val="21"/>
        </w:rPr>
        <w:t>企业集团是指以资本为主要联结纽带的母子公司为主体，以集团章程为共同行为规范的母公司、子公司、参股公司及其他成员企业或机构共同组成的具有一定规模的企业法人联合体。企业集团不具有企业法人资格。母公司应当是依法登记注册，取得企业法人资格的控股企业；子公司应当是母公司对其拥有全部股权或者控制权的企业法人；</w:t>
      </w:r>
      <w:r>
        <w:rPr>
          <w:rFonts w:ascii="宋体" w:hAnsi="宋体" w:cs="宋体"/>
          <w:color w:val="auto"/>
          <w:szCs w:val="21"/>
          <w:shd w:val="clear" w:color="auto" w:fill="FFFFFF"/>
        </w:rPr>
        <w:t>企业集团的其他成员应当是母公司对其参股或者与母、子公司形成生产经营、协作联系的其他企业法人、事业单位法人或者社会团体法人。</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本</w:t>
      </w:r>
      <w:r>
        <w:rPr>
          <w:rFonts w:hint="eastAsia" w:ascii="宋体" w:hAnsi="宋体" w:cs="宋体"/>
          <w:color w:val="auto"/>
          <w:szCs w:val="21"/>
        </w:rPr>
        <w:t>方案</w:t>
      </w:r>
      <w:r>
        <w:rPr>
          <w:rFonts w:ascii="宋体" w:hAnsi="宋体" w:cs="宋体"/>
          <w:color w:val="auto"/>
          <w:szCs w:val="21"/>
        </w:rPr>
        <w:t>所指企业集团包括：一是中央管理的企业集团；二是由国务院批准的国家试点企业集团；三是由国务院主管部门批准的企业集团；四是由省、自治区、直辖市人民政府批准的企业集团；五是企业集团的母公司注册资本在5000万元人民币以上，并至少拥有5家子公司。母公司和其子公司的注册资本总和在1亿元人民币以上，集团成员单位均具有法人资格。</w:t>
      </w:r>
    </w:p>
    <w:p>
      <w:pPr>
        <w:snapToGrid w:val="0"/>
        <w:spacing w:line="360" w:lineRule="exact"/>
        <w:ind w:firstLine="420" w:firstLineChars="200"/>
        <w:rPr>
          <w:rFonts w:ascii="宋体" w:hAnsi="宋体" w:eastAsia="黑体" w:cs="宋体"/>
          <w:color w:val="auto"/>
          <w:szCs w:val="21"/>
        </w:rPr>
      </w:pPr>
      <w:r>
        <w:rPr>
          <w:rFonts w:ascii="宋体" w:hAnsi="宋体" w:eastAsia="黑体" w:cs="宋体"/>
          <w:color w:val="auto"/>
          <w:szCs w:val="21"/>
        </w:rPr>
        <w:t xml:space="preserve">建筑业企业资质等级编码 </w:t>
      </w:r>
      <w:r>
        <w:rPr>
          <w:rFonts w:hint="eastAsia" w:ascii="宋体" w:hAnsi="宋体" w:eastAsia="黑体" w:cs="宋体"/>
          <w:color w:val="auto"/>
          <w:szCs w:val="21"/>
        </w:rPr>
        <w:t xml:space="preserve"> </w:t>
      </w:r>
      <w:r>
        <w:rPr>
          <w:rFonts w:hint="eastAsia" w:ascii="宋体" w:hAnsi="宋体" w:cs="宋体"/>
          <w:color w:val="auto"/>
          <w:szCs w:val="21"/>
          <w:u w:val="single"/>
        </w:rPr>
        <w:t>限</w:t>
      </w:r>
      <w:r>
        <w:rPr>
          <w:rFonts w:ascii="宋体" w:hAnsi="宋体" w:cs="宋体"/>
          <w:color w:val="auto"/>
          <w:szCs w:val="21"/>
          <w:u w:val="single"/>
        </w:rPr>
        <w:t>建筑业企业填写。</w:t>
      </w:r>
      <w:r>
        <w:rPr>
          <w:rFonts w:ascii="宋体" w:hAnsi="宋体" w:cs="宋体"/>
          <w:color w:val="auto"/>
          <w:szCs w:val="21"/>
        </w:rPr>
        <w:t>根据企业的人员素质、管理水平、资金数量、承包能力和建设业绩进行综合评价划分的等级。依据《建筑业企业资质管理规定》（中华人民共和国住房和城乡建设部令2015年第22号）和《建筑业企业资质标准》（建市</w:t>
      </w:r>
      <w:r>
        <w:rPr>
          <w:rFonts w:hint="eastAsia" w:ascii="宋体" w:hAnsi="宋体" w:cs="宋体"/>
          <w:color w:val="auto"/>
          <w:szCs w:val="21"/>
        </w:rPr>
        <w:t>〔</w:t>
      </w:r>
      <w:r>
        <w:rPr>
          <w:rFonts w:ascii="宋体" w:hAnsi="宋体" w:cs="宋体"/>
          <w:color w:val="auto"/>
          <w:szCs w:val="21"/>
        </w:rPr>
        <w:t>2014</w:t>
      </w:r>
      <w:r>
        <w:rPr>
          <w:rFonts w:hint="eastAsia" w:ascii="宋体" w:hAnsi="宋体" w:cs="宋体"/>
          <w:color w:val="auto"/>
          <w:szCs w:val="21"/>
        </w:rPr>
        <w:t>〕</w:t>
      </w:r>
      <w:r>
        <w:rPr>
          <w:rFonts w:ascii="宋体" w:hAnsi="宋体" w:cs="宋体"/>
          <w:color w:val="auto"/>
          <w:szCs w:val="21"/>
        </w:rPr>
        <w:t>159号）已领取新版《建筑业企业资质证书》的企业，需根据新版证书的主项资质等级项中的文字，暂仍对照《建筑业企业资质等级标准》（建建</w:t>
      </w:r>
      <w:r>
        <w:rPr>
          <w:rFonts w:hint="eastAsia" w:ascii="宋体" w:hAnsi="宋体" w:cs="宋体"/>
          <w:color w:val="auto"/>
          <w:szCs w:val="21"/>
        </w:rPr>
        <w:t>〔</w:t>
      </w:r>
      <w:r>
        <w:rPr>
          <w:rFonts w:ascii="宋体" w:hAnsi="宋体" w:cs="宋体"/>
          <w:color w:val="auto"/>
          <w:szCs w:val="21"/>
        </w:rPr>
        <w:t>2001</w:t>
      </w:r>
      <w:r>
        <w:rPr>
          <w:rFonts w:hint="eastAsia" w:ascii="宋体" w:hAnsi="宋体" w:cs="宋体"/>
          <w:color w:val="auto"/>
          <w:szCs w:val="21"/>
        </w:rPr>
        <w:t>〕</w:t>
      </w:r>
      <w:r>
        <w:rPr>
          <w:rFonts w:ascii="宋体" w:hAnsi="宋体" w:cs="宋体"/>
          <w:color w:val="auto"/>
          <w:szCs w:val="21"/>
        </w:rPr>
        <w:t>82号）的资质等级填列4位资质等级编码（劳务资质证书的劳务分包建筑业企业填报C990）。</w:t>
      </w:r>
    </w:p>
    <w:p>
      <w:pPr>
        <w:spacing w:line="360" w:lineRule="exact"/>
        <w:ind w:firstLine="424" w:firstLineChars="202"/>
        <w:rPr>
          <w:rFonts w:ascii="宋体" w:hAnsi="宋体" w:cs="宋体"/>
          <w:color w:val="auto"/>
          <w:szCs w:val="21"/>
        </w:rPr>
      </w:pPr>
      <w:r>
        <w:rPr>
          <w:rFonts w:ascii="宋体" w:hAnsi="宋体" w:eastAsia="黑体" w:cs="宋体"/>
          <w:color w:val="auto"/>
          <w:szCs w:val="21"/>
        </w:rPr>
        <w:t>房地产开发经营业企业资质等级</w:t>
      </w:r>
      <w:r>
        <w:rPr>
          <w:rFonts w:ascii="宋体" w:hAnsi="宋体" w:cs="宋体"/>
          <w:color w:val="auto"/>
          <w:szCs w:val="21"/>
        </w:rPr>
        <w:t xml:space="preserve"> </w:t>
      </w:r>
      <w:r>
        <w:rPr>
          <w:rFonts w:hint="eastAsia" w:ascii="宋体" w:hAnsi="宋体" w:cs="宋体"/>
          <w:color w:val="auto"/>
          <w:szCs w:val="21"/>
        </w:rPr>
        <w:t xml:space="preserve"> </w:t>
      </w:r>
      <w:r>
        <w:rPr>
          <w:rFonts w:hint="eastAsia" w:ascii="宋体" w:hAnsi="宋体"/>
          <w:color w:val="auto"/>
          <w:szCs w:val="21"/>
          <w:u w:val="single"/>
        </w:rPr>
        <w:t>限</w:t>
      </w:r>
      <w:r>
        <w:rPr>
          <w:rFonts w:ascii="宋体" w:hAnsi="宋体"/>
          <w:color w:val="auto"/>
          <w:szCs w:val="21"/>
          <w:u w:val="single"/>
        </w:rPr>
        <w:t>房地产开发经营企业填写。</w:t>
      </w:r>
      <w:r>
        <w:rPr>
          <w:rFonts w:ascii="宋体" w:hAnsi="宋体" w:cs="宋体"/>
          <w:color w:val="auto"/>
          <w:szCs w:val="21"/>
        </w:rPr>
        <w:t>根据企业的人员素质、管理水平、资金数量、承包能力和建设业绩进行综合评价划分的等级。依据建设部《房地产开发企业资质管理规定》（中华人民共和国建设部令</w:t>
      </w:r>
      <w:r>
        <w:rPr>
          <w:rFonts w:hint="eastAsia" w:ascii="宋体" w:hAnsi="宋体" w:cs="宋体"/>
          <w:color w:val="auto"/>
          <w:szCs w:val="21"/>
        </w:rPr>
        <w:t>〔</w:t>
      </w:r>
      <w:r>
        <w:rPr>
          <w:rFonts w:ascii="宋体" w:hAnsi="宋体" w:cs="宋体"/>
          <w:color w:val="auto"/>
          <w:szCs w:val="21"/>
        </w:rPr>
        <w:t>200</w:t>
      </w:r>
      <w:r>
        <w:rPr>
          <w:rFonts w:hint="eastAsia" w:ascii="宋体" w:hAnsi="宋体" w:cs="宋体"/>
          <w:color w:val="auto"/>
          <w:szCs w:val="21"/>
        </w:rPr>
        <w:t>0〕</w:t>
      </w:r>
      <w:r>
        <w:rPr>
          <w:rFonts w:ascii="宋体" w:hAnsi="宋体" w:cs="宋体"/>
          <w:color w:val="auto"/>
          <w:szCs w:val="21"/>
        </w:rPr>
        <w:t>77号）划分为一级、二级、三级、四级、暂定级，没有级别的填写“9其他”。</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批发和零售业、住宿和餐饮业单位经营形式</w:t>
      </w:r>
      <w:r>
        <w:rPr>
          <w:rFonts w:ascii="宋体" w:hAnsi="宋体" w:eastAsia="仿宋_GB2312" w:cs="宋体"/>
          <w:color w:val="auto"/>
          <w:szCs w:val="21"/>
        </w:rPr>
        <w:t xml:space="preserve">  </w:t>
      </w:r>
      <w:r>
        <w:rPr>
          <w:rFonts w:hint="eastAsia" w:ascii="宋体" w:hAnsi="宋体"/>
          <w:color w:val="auto"/>
          <w:szCs w:val="21"/>
          <w:u w:val="single"/>
        </w:rPr>
        <w:t>限批发和零售业、住宿和餐饮业单位</w:t>
      </w:r>
      <w:r>
        <w:rPr>
          <w:rFonts w:ascii="宋体" w:hAnsi="宋体"/>
          <w:color w:val="auto"/>
          <w:szCs w:val="21"/>
          <w:u w:val="single"/>
        </w:rPr>
        <w:t>填写。</w:t>
      </w:r>
      <w:r>
        <w:rPr>
          <w:rFonts w:ascii="宋体" w:hAnsi="宋体" w:cs="宋体"/>
          <w:color w:val="auto"/>
          <w:szCs w:val="21"/>
        </w:rPr>
        <w:t>批发和零售业、住宿和餐饮业单位经营的基本形式，包括：</w:t>
      </w:r>
    </w:p>
    <w:p>
      <w:pPr>
        <w:spacing w:line="360" w:lineRule="exact"/>
        <w:ind w:firstLine="420" w:firstLineChars="200"/>
        <w:rPr>
          <w:rFonts w:ascii="宋体" w:hAnsi="宋体" w:cs="宋体"/>
          <w:color w:val="auto"/>
          <w:szCs w:val="21"/>
        </w:rPr>
      </w:pPr>
      <w:r>
        <w:rPr>
          <w:rFonts w:ascii="宋体" w:hAnsi="宋体" w:cs="宋体"/>
          <w:color w:val="auto"/>
          <w:szCs w:val="21"/>
        </w:rPr>
        <w:t>1.独立门店：以相对独立的店铺形式，单独组织批发和零售业、住宿和餐饮业经营活动的企业。</w:t>
      </w:r>
    </w:p>
    <w:p>
      <w:pPr>
        <w:spacing w:line="360" w:lineRule="exact"/>
        <w:ind w:firstLine="420" w:firstLineChars="200"/>
        <w:rPr>
          <w:rFonts w:ascii="宋体" w:hAnsi="宋体" w:cs="宋体"/>
          <w:color w:val="auto"/>
          <w:szCs w:val="21"/>
        </w:rPr>
      </w:pPr>
      <w:r>
        <w:rPr>
          <w:rFonts w:ascii="宋体" w:hAnsi="宋体" w:cs="宋体"/>
          <w:color w:val="auto"/>
          <w:szCs w:val="21"/>
        </w:rPr>
        <w:t>2.连锁总店（总部）：负责连锁企业资源（如商号、商誉、经营模式、服务标准、管理模式等）的开发、配置、控制或使用等功能的企业核心管理机构。连锁经营是指经营同类商品或服务，使用统一商号的若干店铺，在同一总店（总部）的管理下，采取统一采购或特许经营等方式，实现规模效益的组织形式，包括直营连锁、特许连锁和自愿连锁三种形式。</w:t>
      </w:r>
    </w:p>
    <w:p>
      <w:pPr>
        <w:spacing w:line="360" w:lineRule="exact"/>
        <w:ind w:firstLine="420" w:firstLineChars="200"/>
        <w:rPr>
          <w:rFonts w:ascii="宋体" w:hAnsi="宋体" w:cs="宋体"/>
          <w:color w:val="auto"/>
          <w:szCs w:val="21"/>
        </w:rPr>
      </w:pPr>
      <w:r>
        <w:rPr>
          <w:rFonts w:ascii="宋体" w:hAnsi="宋体" w:cs="宋体"/>
          <w:color w:val="auto"/>
          <w:szCs w:val="21"/>
        </w:rPr>
        <w:t>3.连锁直营店：由连锁企业总部投资开设，按连锁经营管理模式，由总店（总部）统一管理，按照总店（总部）的指示和服务规范要求，承担日常销售业务的店铺。</w:t>
      </w:r>
    </w:p>
    <w:p>
      <w:pPr>
        <w:spacing w:line="360" w:lineRule="exact"/>
        <w:ind w:firstLine="420" w:firstLineChars="200"/>
        <w:rPr>
          <w:rFonts w:ascii="宋体" w:hAnsi="宋体" w:cs="宋体"/>
          <w:color w:val="auto"/>
          <w:szCs w:val="21"/>
        </w:rPr>
      </w:pPr>
      <w:r>
        <w:rPr>
          <w:rFonts w:ascii="宋体" w:hAnsi="宋体" w:cs="宋体"/>
          <w:color w:val="auto"/>
          <w:szCs w:val="21"/>
        </w:rPr>
        <w:t>4.连锁加盟店：在特许连锁中，被特许人获得特许人授权后，使用其商标、商号、经营模式、专利和专有技术等经营资源建立的，按照总店（总部）的指示和服务规范要求，承担日常销售业务的店铺，也包括自愿连锁的成员店。</w:t>
      </w:r>
    </w:p>
    <w:p>
      <w:pPr>
        <w:snapToGrid w:val="0"/>
        <w:spacing w:line="360" w:lineRule="exact"/>
        <w:ind w:firstLine="420" w:firstLineChars="200"/>
        <w:rPr>
          <w:rFonts w:ascii="宋体" w:hAnsi="宋体" w:eastAsia="黑体" w:cs="宋体"/>
          <w:color w:val="auto"/>
        </w:rPr>
      </w:pPr>
      <w:r>
        <w:rPr>
          <w:rFonts w:ascii="宋体" w:hAnsi="宋体" w:cs="宋体"/>
          <w:color w:val="auto"/>
          <w:szCs w:val="21"/>
        </w:rPr>
        <w:t>5.其他方式：指不属于上述经营形式的企业，如摊位。</w:t>
      </w:r>
    </w:p>
    <w:p>
      <w:pPr>
        <w:snapToGrid w:val="0"/>
        <w:spacing w:line="360" w:lineRule="exact"/>
        <w:ind w:firstLine="420" w:firstLineChars="200"/>
        <w:rPr>
          <w:rFonts w:ascii="宋体" w:hAnsi="宋体" w:cs="宋体"/>
          <w:color w:val="auto"/>
        </w:rPr>
      </w:pPr>
      <w:r>
        <w:rPr>
          <w:rFonts w:ascii="宋体" w:hAnsi="宋体" w:eastAsia="黑体" w:cs="宋体"/>
          <w:color w:val="auto"/>
        </w:rPr>
        <w:t>连锁品牌（商标或商号名称）　</w:t>
      </w:r>
      <w:r>
        <w:rPr>
          <w:rFonts w:hint="eastAsia" w:cs="Courier New"/>
          <w:color w:val="auto"/>
          <w:u w:val="single"/>
        </w:rPr>
        <w:t>限连锁</w:t>
      </w:r>
      <w:r>
        <w:rPr>
          <w:rFonts w:cs="Courier New"/>
          <w:color w:val="auto"/>
          <w:u w:val="single"/>
        </w:rPr>
        <w:t>总</w:t>
      </w:r>
      <w:r>
        <w:rPr>
          <w:rFonts w:hint="eastAsia" w:cs="Courier New"/>
          <w:color w:val="auto"/>
          <w:u w:val="single"/>
        </w:rPr>
        <w:t>店</w:t>
      </w:r>
      <w:r>
        <w:rPr>
          <w:rFonts w:hint="eastAsia" w:ascii="宋体" w:hAnsi="宋体"/>
          <w:color w:val="auto"/>
          <w:szCs w:val="21"/>
        </w:rPr>
        <w:t>（总部）</w:t>
      </w:r>
      <w:r>
        <w:rPr>
          <w:rFonts w:cs="Courier New"/>
          <w:color w:val="auto"/>
          <w:u w:val="single"/>
        </w:rPr>
        <w:t>、连锁直营店、连锁加盟店填写。</w:t>
      </w:r>
      <w:r>
        <w:rPr>
          <w:rFonts w:ascii="宋体" w:hAnsi="宋体" w:cs="宋体"/>
          <w:color w:val="auto"/>
        </w:rPr>
        <w:t>指连锁经营使用的统一的商号或商标名称，如“国美电器”“麦当劳”“汉庭酒店”等，拥有多个品牌的连锁总店应填写所属全部品牌。</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零售业态  </w:t>
      </w:r>
      <w:r>
        <w:rPr>
          <w:rFonts w:hint="eastAsia" w:cs="Courier New"/>
          <w:color w:val="auto"/>
          <w:u w:val="single"/>
        </w:rPr>
        <w:t>限零售企业</w:t>
      </w:r>
      <w:r>
        <w:rPr>
          <w:rFonts w:cs="Courier New"/>
          <w:color w:val="auto"/>
          <w:u w:val="single"/>
        </w:rPr>
        <w:t>填写。</w:t>
      </w:r>
      <w:r>
        <w:rPr>
          <w:rFonts w:ascii="宋体" w:hAnsi="宋体" w:cs="宋体"/>
          <w:color w:val="auto"/>
          <w:szCs w:val="21"/>
        </w:rPr>
        <w:t>指零售企业（单位）为满足不同的消费需求进行相应的要素组合而形成的不同经营形态；分类原则是，零售业态按零售店铺的结构特点，根据其经营方式、商品结构、服务功能，以及选址、商圈、规模、店堂设施、目标顾客和有无固定营业场所进行分类。</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零售业态从总体上可以分为有店铺零售业态和无店铺零售业态两类。有店铺零售业态分为便利店、超市、折扣店、仓储会员店、百货店、购物中心、专业店、品牌专卖店、集合店、无人值守商店等；无店铺零售业态分为网络零售、电视/广播零售、邮寄零售、无人售货设备零售、电话零售、直销、流动货摊零售、其他等。</w:t>
      </w:r>
    </w:p>
    <w:p>
      <w:pPr>
        <w:snapToGrid w:val="0"/>
        <w:spacing w:line="360" w:lineRule="exact"/>
        <w:ind w:firstLine="420" w:firstLineChars="200"/>
        <w:rPr>
          <w:rFonts w:ascii="宋体" w:hAnsi="宋体"/>
          <w:color w:val="auto"/>
          <w:szCs w:val="21"/>
        </w:rPr>
      </w:pPr>
      <w:r>
        <w:rPr>
          <w:rFonts w:hint="eastAsia" w:ascii="宋体" w:hAnsi="宋体" w:cs="宋体"/>
          <w:color w:val="auto"/>
          <w:szCs w:val="21"/>
        </w:rPr>
        <w:t>有店铺零售  有相对固定的、进行商品陈列、展示和销售的场所和设施，并且消费者的购买行为主要在这一场所内完成的零售活动。</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便利店：以销售即食商品为主，满足顾客即时性、服务性等便利需求为主要目的的小型综合零售形式的业态。</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超市：以销售食品、日用品为主，满足消费者日常生活需要的零售业态。通常采取开架销售，也可同时采取在线销售。门店内可提供食品现场加工服务及现场就餐服务。</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折扣店：店铺装修简单、提供有限服务、商品价格低廉的一种小型超市业态，通常拥有不到2000个单品，自有品牌商品数量高于普通超市的自有品牌商品数量。</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仓储会员店：以会员为目标顾客，实行储销一体、批零兼营，以提供基本服务、优惠价格和大包装商品为主要特征的零售业态。</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百货店：以经营品牌服装服饰、化妆品、家居用品、箱包、鞋品、珠宝、钟表等为主，统一经营，满足顾客对品质商品多样化需求的零售业态。</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购物中心：由不同类型的零售、餐饮、休闲娱乐及提供其他服务的商铺按照统一规划，在一个相对固定的建筑空间或区域内，统一运营的商业集合体。</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专业店：经营某一类或相关品类商品及服务的零售业态。如办公用品专业店（office supply）、家电专业店（home appliance）、药品专业店（drug store）、服饰店（apparel shop）、体育用品专业店（sporting goods store）和家居建材商店（home center）等。</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品牌专卖店：经营或被授权经营某一品牌商品的零售业态。</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集合店：汇集多个品牌及多个系列的商品，可涵盖服饰、鞋、包、文具、电子产品、食品等多种品类的零售店。</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无人值守商店：在营业现场无人工服务的情况下，自助完成商品销售或服务的零售店。</w:t>
      </w:r>
    </w:p>
    <w:p>
      <w:pPr>
        <w:adjustRightInd w:val="0"/>
        <w:snapToGrid w:val="0"/>
        <w:spacing w:line="360" w:lineRule="exact"/>
        <w:ind w:firstLine="420" w:firstLineChars="200"/>
        <w:textAlignment w:val="baseline"/>
        <w:rPr>
          <w:rFonts w:ascii="宋体" w:hAnsi="宋体"/>
          <w:color w:val="auto"/>
          <w:szCs w:val="21"/>
        </w:rPr>
      </w:pPr>
      <w:r>
        <w:rPr>
          <w:rFonts w:hint="eastAsia" w:ascii="宋体" w:hAnsi="宋体" w:cs="宋体"/>
          <w:color w:val="auto"/>
          <w:szCs w:val="21"/>
        </w:rPr>
        <w:t>无店铺零售  通过互联网、电视/广播、邮寄、无人售货设备、流动售货车或直销等，将自营或合作经营的商品，通过物流配送、或消费者自提、或面对面销售等方式送达消费者的零售活动。</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网络零售：通过电子商务平台、物联网设备等开展商品零售的活动。</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电视/广播零售：以电视、广播作为商品展示、推介渠道，提供使用效果、方法等推介内容并取得订单的零售业态。</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邮寄零售：以邮寄商品目录为主，向消费者进行商品展示、推介，并通过邮寄等方式将商品送达给消费者的零售业态。</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无人售货设备零售：通过售货设备、智能货柜或贴有支付码的货架等进行商品售卖的零售业态。</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电话零售：通过电话完成销售的零售业态。</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直销：在固定营业场所之外，直销企业招募的直销员直接向最终消费者推销产品的零售业态。</w:t>
      </w:r>
    </w:p>
    <w:p>
      <w:pPr>
        <w:numPr>
          <w:ilvl w:val="1"/>
          <w:numId w:val="5"/>
        </w:numPr>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流动货摊销售：通过移动售货车或其他展示、陈列工具销售食品、饮料、服饰、鞋帽等日常消费品的零售形式。</w:t>
      </w:r>
    </w:p>
    <w:p>
      <w:pPr>
        <w:numPr>
          <w:ilvl w:val="1"/>
          <w:numId w:val="6"/>
        </w:numPr>
        <w:tabs>
          <w:tab w:val="left" w:pos="902"/>
        </w:tabs>
        <w:adjustRightInd w:val="0"/>
        <w:snapToGrid w:val="0"/>
        <w:spacing w:line="36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其他：以上未提及的无店铺零售业态。</w:t>
      </w:r>
    </w:p>
    <w:p>
      <w:pPr>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住宿业单位星级评定情况  </w:t>
      </w:r>
      <w:r>
        <w:rPr>
          <w:rFonts w:hint="eastAsia" w:cs="Courier New"/>
          <w:color w:val="auto"/>
          <w:u w:val="single"/>
        </w:rPr>
        <w:t>限住宿业企业</w:t>
      </w:r>
      <w:r>
        <w:rPr>
          <w:rFonts w:cs="Courier New"/>
          <w:color w:val="auto"/>
          <w:u w:val="single"/>
        </w:rPr>
        <w:t>填写。</w:t>
      </w:r>
      <w:r>
        <w:rPr>
          <w:rFonts w:ascii="宋体" w:hAnsi="宋体" w:cs="宋体"/>
          <w:color w:val="auto"/>
          <w:szCs w:val="21"/>
        </w:rPr>
        <w:t>星级等级指根据《旅游饭店星级的划分与评定》（GB/T14308-2010）标准，经过有关旅游管理权威部门评定（验收）后授予的“星级”称号填写，分为一星级到五星级5个标准。没有星级等级的填写“9其他”。</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单位组织结构情况 </w:t>
      </w:r>
      <w:r>
        <w:rPr>
          <w:rFonts w:hint="eastAsia" w:ascii="宋体" w:hAnsi="宋体" w:eastAsia="黑体" w:cs="宋体"/>
          <w:color w:val="auto"/>
          <w:szCs w:val="21"/>
        </w:rPr>
        <w:t xml:space="preserve"> </w:t>
      </w:r>
      <w:r>
        <w:rPr>
          <w:rFonts w:ascii="宋体" w:hAnsi="宋体" w:cs="宋体"/>
          <w:color w:val="auto"/>
          <w:szCs w:val="21"/>
        </w:rPr>
        <w:t>反映法人单位的上一级法人单位基本情况和是否有所属产业活动单位。</w:t>
      </w:r>
      <w:r>
        <w:rPr>
          <w:rFonts w:hint="eastAsia" w:ascii="宋体" w:hAnsi="宋体" w:cs="宋体"/>
          <w:color w:val="auto"/>
          <w:spacing w:val="4"/>
          <w:kern w:val="0"/>
          <w:szCs w:val="21"/>
          <w:u w:val="single"/>
        </w:rPr>
        <w:t>所有单位均填写本项。</w:t>
      </w:r>
    </w:p>
    <w:p>
      <w:pPr>
        <w:snapToGrid w:val="0"/>
        <w:spacing w:line="360" w:lineRule="exact"/>
        <w:ind w:firstLine="420" w:firstLineChars="200"/>
        <w:rPr>
          <w:rFonts w:ascii="宋体" w:hAnsi="宋体" w:cs="宋体"/>
          <w:color w:val="auto"/>
          <w:szCs w:val="21"/>
        </w:rPr>
      </w:pPr>
      <w:r>
        <w:rPr>
          <w:rFonts w:ascii="宋体" w:hAnsi="宋体" w:cs="宋体"/>
          <w:color w:val="auto"/>
          <w:szCs w:val="21"/>
        </w:rPr>
        <w:t>企业的上一级法人单位指根据本企业实收资本中出资人的实际投资情况，或根据出资人对企业资产的实际控制、支配程度情况，对企业进行绝对控股和相对控股的法人单位。非企业单位的上一级法人单位指本单位的直接上级行政管理单位。如本单位上一级为视同法人的产业活动单位，则上一级法人单位情况填写该视同法人情况。具体填报上一级法人统一社会信用代码、单位名称。</w:t>
      </w:r>
    </w:p>
    <w:p>
      <w:pPr>
        <w:snapToGrid w:val="0"/>
        <w:spacing w:line="360" w:lineRule="exact"/>
        <w:ind w:firstLine="420" w:firstLineChars="200"/>
        <w:rPr>
          <w:rFonts w:ascii="宋体" w:hAnsi="宋体" w:cs="宋体"/>
          <w:b/>
          <w:bCs/>
          <w:color w:val="auto"/>
          <w:szCs w:val="21"/>
        </w:rPr>
      </w:pPr>
      <w:r>
        <w:rPr>
          <w:rFonts w:ascii="宋体" w:hAnsi="宋体" w:eastAsia="黑体" w:cs="宋体"/>
          <w:color w:val="auto"/>
          <w:szCs w:val="21"/>
        </w:rPr>
        <w:t xml:space="preserve">法人单位所属产业活动单位情况 </w:t>
      </w:r>
      <w:r>
        <w:rPr>
          <w:rFonts w:ascii="宋体" w:hAnsi="宋体" w:cs="宋体"/>
          <w:color w:val="auto"/>
          <w:szCs w:val="21"/>
        </w:rPr>
        <w:t xml:space="preserve"> </w:t>
      </w:r>
      <w:r>
        <w:rPr>
          <w:rFonts w:hint="eastAsia" w:ascii="宋体" w:hAnsi="宋体" w:cs="宋体"/>
          <w:color w:val="auto"/>
          <w:kern w:val="0"/>
          <w:szCs w:val="21"/>
          <w:u w:val="single"/>
        </w:rPr>
        <w:t>有所属产业活动单位的法人单位填写本表。</w:t>
      </w:r>
      <w:r>
        <w:rPr>
          <w:rFonts w:ascii="宋体" w:hAnsi="宋体" w:cs="宋体"/>
          <w:color w:val="auto"/>
          <w:szCs w:val="21"/>
        </w:rPr>
        <w:t>具体包括法人单位所属产业活动单位（包括在外省、自治区、直辖市开办的产业活动单位）的个数，法人单位所属产业活动单位的单位类别、统一社会信用代码、单位详细名称、详细地址、区划代码、联系电话、主要业务活动、行业代码（小类）、从业人员期末人数、经营性单位收入或非经营性单位支出。若所属产业活动单位已作为视同法人单位，则该视同法人单位不再属于此法人单位所属的产业活动单位</w:t>
      </w:r>
      <w:r>
        <w:rPr>
          <w:rFonts w:hint="eastAsia" w:ascii="宋体" w:hAnsi="宋体" w:cs="宋体"/>
          <w:color w:val="auto"/>
          <w:szCs w:val="21"/>
        </w:rPr>
        <w:t>填报</w:t>
      </w:r>
      <w:r>
        <w:rPr>
          <w:rFonts w:ascii="宋体" w:hAnsi="宋体" w:cs="宋体"/>
          <w:color w:val="auto"/>
          <w:szCs w:val="21"/>
        </w:rPr>
        <w:t>。</w:t>
      </w:r>
    </w:p>
    <w:p>
      <w:pPr>
        <w:spacing w:line="360" w:lineRule="exact"/>
        <w:ind w:firstLine="420" w:firstLineChars="200"/>
        <w:rPr>
          <w:rFonts w:hint="eastAsia" w:ascii="宋体" w:hAnsi="宋体" w:cs="宋体"/>
          <w:color w:val="auto"/>
          <w:szCs w:val="21"/>
        </w:rPr>
      </w:pPr>
      <w:r>
        <w:rPr>
          <w:rFonts w:hint="eastAsia" w:ascii="宋体" w:hAnsi="宋体" w:eastAsia="黑体" w:cs="宋体"/>
          <w:color w:val="auto"/>
          <w:szCs w:val="21"/>
        </w:rPr>
        <w:t xml:space="preserve">单位类别  </w:t>
      </w:r>
      <w:r>
        <w:rPr>
          <w:rFonts w:hint="eastAsia" w:ascii="宋体" w:hAnsi="宋体" w:cs="宋体"/>
          <w:color w:val="auto"/>
          <w:szCs w:val="21"/>
        </w:rPr>
        <w:t>产业活动单位分为法人单位本部和分支机构。</w:t>
      </w:r>
      <w:r>
        <w:rPr>
          <w:rFonts w:hint="eastAsia" w:ascii="宋体" w:hAnsi="宋体" w:cs="宋体"/>
          <w:color w:val="auto"/>
          <w:kern w:val="0"/>
          <w:szCs w:val="21"/>
          <w:u w:val="single"/>
        </w:rPr>
        <w:t>所有产业活动单位均填写本项。</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1.法人单位本部（总部、本店、本所等）：指法人单位中起领导和核心作用的产业活动单位。</w:t>
      </w:r>
    </w:p>
    <w:p>
      <w:pPr>
        <w:spacing w:line="360" w:lineRule="exact"/>
        <w:ind w:firstLine="420" w:firstLineChars="200"/>
        <w:rPr>
          <w:rFonts w:ascii="宋体" w:hAnsi="宋体" w:eastAsia="黑体" w:cs="宋体"/>
          <w:color w:val="auto"/>
          <w:szCs w:val="21"/>
        </w:rPr>
      </w:pPr>
      <w:r>
        <w:rPr>
          <w:rFonts w:hint="eastAsia" w:ascii="宋体" w:hAnsi="宋体" w:cs="宋体"/>
          <w:color w:val="auto"/>
          <w:szCs w:val="21"/>
        </w:rPr>
        <w:t>2.法人单位分支机构（分部、分厂、分店、支所等）：指法人单位中符合产业活动单位条件的除本部以外的其他产业活动单位。</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经营性单位收入  </w:t>
      </w:r>
      <w:r>
        <w:rPr>
          <w:rFonts w:ascii="宋体" w:hAnsi="宋体" w:cs="宋体"/>
          <w:color w:val="auto"/>
          <w:szCs w:val="21"/>
        </w:rPr>
        <w:t>指经营性产业活动单位在全年生产经营活动中取得的收入。</w:t>
      </w:r>
      <w:r>
        <w:rPr>
          <w:rFonts w:hint="eastAsia" w:ascii="宋体" w:hAnsi="宋体"/>
          <w:color w:val="auto"/>
          <w:szCs w:val="21"/>
          <w:u w:val="single"/>
        </w:rPr>
        <w:t>限经营性产业活动单位填写本项。</w:t>
      </w:r>
    </w:p>
    <w:p>
      <w:pPr>
        <w:snapToGrid w:val="0"/>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非经营性单位支出（费用）  </w:t>
      </w:r>
      <w:r>
        <w:rPr>
          <w:rFonts w:hint="eastAsia" w:ascii="宋体" w:hAnsi="宋体"/>
          <w:color w:val="auto"/>
          <w:szCs w:val="21"/>
          <w:u w:val="single"/>
        </w:rPr>
        <w:t>限事业、机关、居村委会等</w:t>
      </w:r>
      <w:r>
        <w:rPr>
          <w:rFonts w:ascii="宋体" w:hAnsi="宋体"/>
          <w:color w:val="auto"/>
          <w:szCs w:val="21"/>
          <w:u w:val="single"/>
        </w:rPr>
        <w:t>非经营性</w:t>
      </w:r>
      <w:r>
        <w:rPr>
          <w:rFonts w:hint="eastAsia" w:ascii="宋体" w:hAnsi="宋体"/>
          <w:color w:val="auto"/>
          <w:szCs w:val="21"/>
          <w:u w:val="single"/>
        </w:rPr>
        <w:t>产业活动单位填写本项。</w:t>
      </w:r>
      <w:r>
        <w:rPr>
          <w:rFonts w:ascii="宋体" w:hAnsi="宋体" w:cs="宋体"/>
          <w:color w:val="auto"/>
          <w:szCs w:val="21"/>
        </w:rPr>
        <w:t>其中具有行政事业性质的产业活动单位填报日常业务支出，包括除固定资产购置以外的所有经常性业务支出；其他产业活动单位填报各种费用合计，包括业务活动成本、管理费用、筹资费用和其他费用。</w:t>
      </w:r>
    </w:p>
    <w:p>
      <w:pPr>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单位负责人  </w:t>
      </w:r>
      <w:r>
        <w:rPr>
          <w:rFonts w:hint="eastAsia" w:ascii="宋体" w:hAnsi="宋体" w:cs="宋体"/>
          <w:color w:val="auto"/>
          <w:szCs w:val="21"/>
        </w:rPr>
        <w:t>本项应</w:t>
      </w:r>
      <w:r>
        <w:rPr>
          <w:rFonts w:ascii="宋体" w:hAnsi="宋体" w:cs="宋体"/>
          <w:color w:val="auto"/>
          <w:szCs w:val="21"/>
        </w:rPr>
        <w:t>在单位负责人对本表填报内容进行确认后填写。电子调查表</w:t>
      </w:r>
      <w:r>
        <w:rPr>
          <w:rFonts w:hint="eastAsia" w:ascii="宋体" w:hAnsi="宋体" w:cs="宋体"/>
          <w:color w:val="auto"/>
          <w:szCs w:val="21"/>
        </w:rPr>
        <w:t>应</w:t>
      </w:r>
      <w:r>
        <w:rPr>
          <w:rFonts w:ascii="宋体" w:hAnsi="宋体" w:cs="宋体"/>
          <w:color w:val="auto"/>
          <w:szCs w:val="21"/>
        </w:rPr>
        <w:t>经单位负责人确认后，在指标中填写单位负责人姓名。</w:t>
      </w:r>
      <w:r>
        <w:rPr>
          <w:rFonts w:ascii="宋体" w:hAnsi="宋体" w:cs="宋体"/>
          <w:color w:val="auto"/>
          <w:szCs w:val="21"/>
          <w:u w:val="single"/>
        </w:rPr>
        <w:t>所有单位均填写本项。</w:t>
      </w:r>
    </w:p>
    <w:p>
      <w:pPr>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统计负责人  </w:t>
      </w:r>
      <w:r>
        <w:rPr>
          <w:rFonts w:hint="eastAsia" w:ascii="宋体" w:hAnsi="宋体" w:cs="宋体"/>
          <w:color w:val="auto"/>
          <w:szCs w:val="21"/>
        </w:rPr>
        <w:t>本项</w:t>
      </w:r>
      <w:r>
        <w:rPr>
          <w:rFonts w:ascii="宋体" w:hAnsi="宋体" w:cs="宋体"/>
          <w:color w:val="auto"/>
          <w:szCs w:val="21"/>
        </w:rPr>
        <w:t>需在专职统计人员对本表填报内容进行确认后填写。纸质调查表需由专职统计人员签字；电子调查表需经专职统计人员确认后，在指标中填写专职统计人员姓名。</w:t>
      </w:r>
      <w:r>
        <w:rPr>
          <w:rFonts w:ascii="宋体" w:hAnsi="宋体" w:cs="宋体"/>
          <w:color w:val="auto"/>
          <w:szCs w:val="21"/>
          <w:u w:val="single"/>
        </w:rPr>
        <w:t>设立专职统计人员的单位填写本项。</w:t>
      </w:r>
    </w:p>
    <w:p>
      <w:pPr>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填表人  </w:t>
      </w:r>
      <w:r>
        <w:rPr>
          <w:rFonts w:ascii="宋体" w:hAnsi="宋体" w:cs="宋体"/>
          <w:color w:val="auto"/>
          <w:szCs w:val="21"/>
        </w:rPr>
        <w:t>填写具体负责填报本调查表的人员姓名。</w:t>
      </w:r>
      <w:r>
        <w:rPr>
          <w:rFonts w:ascii="宋体" w:hAnsi="宋体" w:cs="宋体"/>
          <w:color w:val="auto"/>
          <w:szCs w:val="21"/>
          <w:u w:val="single"/>
        </w:rPr>
        <w:t>所有单位均填写本项。</w:t>
      </w:r>
    </w:p>
    <w:p>
      <w:pPr>
        <w:spacing w:line="360" w:lineRule="exact"/>
        <w:ind w:firstLine="420" w:firstLineChars="200"/>
        <w:rPr>
          <w:rFonts w:ascii="宋体" w:hAnsi="宋体" w:cs="宋体"/>
          <w:color w:val="auto"/>
          <w:szCs w:val="21"/>
        </w:rPr>
      </w:pPr>
      <w:r>
        <w:rPr>
          <w:rFonts w:ascii="宋体" w:hAnsi="宋体" w:eastAsia="黑体" w:cs="宋体"/>
          <w:color w:val="auto"/>
          <w:szCs w:val="21"/>
        </w:rPr>
        <w:t xml:space="preserve">联系电话  </w:t>
      </w:r>
      <w:r>
        <w:rPr>
          <w:rFonts w:ascii="宋体" w:hAnsi="宋体" w:cs="宋体"/>
          <w:color w:val="auto"/>
          <w:szCs w:val="21"/>
        </w:rPr>
        <w:t>以填写填表人移动电话为主，对于无移动电话的，可以填写填表人固定电话号码。</w:t>
      </w:r>
      <w:r>
        <w:rPr>
          <w:rFonts w:ascii="宋体" w:hAnsi="宋体" w:cs="宋体"/>
          <w:color w:val="auto"/>
          <w:szCs w:val="21"/>
          <w:u w:val="single"/>
        </w:rPr>
        <w:t>所有单位均填写本项。</w:t>
      </w:r>
    </w:p>
    <w:p>
      <w:pPr>
        <w:snapToGrid w:val="0"/>
        <w:spacing w:line="360" w:lineRule="exact"/>
        <w:ind w:firstLine="420" w:firstLineChars="200"/>
        <w:rPr>
          <w:rFonts w:ascii="宋体" w:hAnsi="宋体" w:cs="宋体"/>
          <w:color w:val="auto"/>
          <w:szCs w:val="21"/>
        </w:rPr>
      </w:pPr>
      <w:r>
        <w:rPr>
          <w:rFonts w:hint="eastAsia" w:ascii="宋体" w:hAnsi="宋体" w:eastAsia="黑体" w:cs="宋体"/>
          <w:color w:val="auto"/>
          <w:szCs w:val="21"/>
        </w:rPr>
        <w:t>报出</w:t>
      </w:r>
      <w:r>
        <w:rPr>
          <w:rFonts w:ascii="宋体" w:hAnsi="宋体" w:eastAsia="黑体" w:cs="宋体"/>
          <w:color w:val="auto"/>
          <w:szCs w:val="21"/>
        </w:rPr>
        <w:t xml:space="preserve">日期  </w:t>
      </w:r>
      <w:r>
        <w:rPr>
          <w:rFonts w:hint="eastAsia" w:ascii="宋体" w:hAnsi="宋体" w:cs="宋体"/>
          <w:color w:val="auto"/>
          <w:u w:val="single"/>
        </w:rPr>
        <w:t>由系统自动生成，无需填写此项。</w:t>
      </w:r>
    </w:p>
    <w:p>
      <w:pPr>
        <w:adjustRightInd w:val="0"/>
        <w:snapToGrid w:val="0"/>
        <w:spacing w:line="360" w:lineRule="exact"/>
        <w:ind w:firstLine="420" w:firstLineChars="200"/>
        <w:textAlignment w:val="baseline"/>
        <w:rPr>
          <w:rFonts w:ascii="黑体" w:eastAsia="黑体"/>
          <w:color w:val="auto"/>
          <w:szCs w:val="21"/>
        </w:rPr>
      </w:pPr>
    </w:p>
    <w:p>
      <w:pPr>
        <w:adjustRightInd w:val="0"/>
        <w:snapToGrid w:val="0"/>
        <w:spacing w:line="360" w:lineRule="exact"/>
        <w:ind w:firstLine="420" w:firstLineChars="200"/>
        <w:textAlignment w:val="baseline"/>
        <w:rPr>
          <w:rFonts w:hint="eastAsia" w:ascii="黑体" w:eastAsia="黑体"/>
          <w:color w:val="auto"/>
          <w:szCs w:val="21"/>
        </w:rPr>
      </w:pPr>
      <w:r>
        <w:rPr>
          <w:rFonts w:ascii="黑体" w:eastAsia="黑体"/>
          <w:color w:val="auto"/>
          <w:szCs w:val="21"/>
        </w:rPr>
        <w:t>2</w:t>
      </w:r>
      <w:r>
        <w:rPr>
          <w:rFonts w:hint="eastAsia" w:ascii="黑体" w:eastAsia="黑体"/>
          <w:color w:val="auto"/>
          <w:szCs w:val="21"/>
        </w:rPr>
        <w:t>.项目基本概况指标</w:t>
      </w:r>
    </w:p>
    <w:p>
      <w:pPr>
        <w:adjustRightInd w:val="0"/>
        <w:spacing w:line="360" w:lineRule="atLeast"/>
        <w:ind w:firstLine="420" w:firstLineChars="200"/>
        <w:rPr>
          <w:rFonts w:ascii="宋体"/>
          <w:color w:val="auto"/>
        </w:rPr>
      </w:pPr>
      <w:r>
        <w:rPr>
          <w:rFonts w:hint="eastAsia" w:ascii="黑体" w:eastAsia="黑体"/>
          <w:color w:val="auto"/>
        </w:rPr>
        <w:t>项目名称</w:t>
      </w:r>
      <w:r>
        <w:rPr>
          <w:rFonts w:hint="eastAsia" w:ascii="宋体" w:hAnsi="宋体"/>
          <w:color w:val="auto"/>
          <w:spacing w:val="-6"/>
          <w:szCs w:val="21"/>
        </w:rPr>
        <w:t xml:space="preserve"> </w:t>
      </w:r>
      <w:r>
        <w:rPr>
          <w:rFonts w:hint="eastAsia" w:ascii="宋体" w:hAnsi="宋体"/>
          <w:bCs/>
          <w:color w:val="auto"/>
          <w:spacing w:val="-6"/>
          <w:szCs w:val="21"/>
        </w:rPr>
        <w:t xml:space="preserve"> </w:t>
      </w:r>
      <w:r>
        <w:rPr>
          <w:rFonts w:hint="eastAsia" w:ascii="宋体"/>
          <w:color w:val="auto"/>
        </w:rPr>
        <w:t>依据项目主管部门审批、核准、备案里的项目名称填写。</w:t>
      </w:r>
    </w:p>
    <w:p>
      <w:pPr>
        <w:adjustRightInd w:val="0"/>
        <w:spacing w:line="360" w:lineRule="atLeast"/>
        <w:ind w:firstLine="420" w:firstLineChars="200"/>
        <w:rPr>
          <w:rFonts w:hint="eastAsia" w:ascii="宋体"/>
          <w:color w:val="auto"/>
        </w:rPr>
      </w:pPr>
      <w:r>
        <w:rPr>
          <w:rFonts w:hint="eastAsia" w:ascii="宋体"/>
          <w:color w:val="auto"/>
        </w:rPr>
        <w:t>没有审批、核准、备案的，根据项目的具体建设内容填写。项目名称应能体现项目内容，不应过于简单。</w:t>
      </w:r>
    </w:p>
    <w:p>
      <w:pPr>
        <w:adjustRightInd w:val="0"/>
        <w:spacing w:line="360" w:lineRule="atLeast"/>
        <w:ind w:firstLine="420" w:firstLineChars="200"/>
        <w:rPr>
          <w:rFonts w:hint="eastAsia" w:ascii="黑体" w:eastAsia="黑体"/>
          <w:color w:val="auto"/>
        </w:rPr>
      </w:pPr>
      <w:r>
        <w:rPr>
          <w:rFonts w:hint="eastAsia" w:ascii="黑体" w:hAnsi="宋体" w:eastAsia="黑体"/>
          <w:color w:val="auto"/>
          <w:szCs w:val="21"/>
        </w:rPr>
        <w:t>项目建设所在地及区划</w:t>
      </w:r>
      <w:r>
        <w:rPr>
          <w:rFonts w:hint="eastAsia" w:ascii="仿宋_GB2312" w:hAnsi="宋体" w:eastAsia="仿宋_GB2312" w:cs="宋体"/>
          <w:color w:val="auto"/>
          <w:szCs w:val="21"/>
        </w:rPr>
        <w:t xml:space="preserve">  </w:t>
      </w:r>
      <w:r>
        <w:rPr>
          <w:rFonts w:hint="eastAsia" w:ascii="宋体" w:hAnsi="宋体"/>
          <w:color w:val="auto"/>
          <w:szCs w:val="21"/>
        </w:rPr>
        <w:t>指项目实际所处的详细地址及相应的区划代码。其中，项目实际所在地的详细地址，要求写明项目所在的省（自治区、直辖市）、市（地、州、盟）、县（市、区、旗）、乡（镇）以及具体街（村）的名称和详细的门牌号码，不能填写通讯号码或通讯信箱号码。区划代码指项目所在地区的区划代码，共12位，按统计制度设计管理部门最新更新的统计用区划代码填写。</w:t>
      </w:r>
    </w:p>
    <w:p>
      <w:pPr>
        <w:adjustRightInd w:val="0"/>
        <w:spacing w:line="360" w:lineRule="atLeast"/>
        <w:ind w:firstLine="420" w:firstLineChars="200"/>
        <w:rPr>
          <w:rFonts w:hint="eastAsia" w:ascii="宋体"/>
          <w:color w:val="auto"/>
          <w:spacing w:val="4"/>
        </w:rPr>
      </w:pPr>
      <w:r>
        <w:rPr>
          <w:rFonts w:hint="eastAsia" w:ascii="黑体" w:eastAsia="黑体"/>
          <w:color w:val="auto"/>
        </w:rPr>
        <w:t xml:space="preserve">项目行业编码 </w:t>
      </w:r>
      <w:r>
        <w:rPr>
          <w:rFonts w:hint="eastAsia" w:ascii="黑体" w:eastAsia="黑体"/>
          <w:color w:val="auto"/>
          <w:spacing w:val="4"/>
        </w:rPr>
        <w:t xml:space="preserve"> </w:t>
      </w:r>
      <w:r>
        <w:rPr>
          <w:rFonts w:hint="eastAsia" w:ascii="宋体"/>
          <w:color w:val="auto"/>
          <w:spacing w:val="4"/>
        </w:rPr>
        <w:t>根据建设项目建成投产后的主要产品种类或主要用途及社会经济活动种类来填报，不根据项目单位本身的行业类别来划分。如果项目投产后有几种产品，应根据主要产品来确定行业类别。如某矿业公司的“镁及镁合金生产线”项目，行业类别应为“镁冶炼（3</w:t>
      </w:r>
      <w:r>
        <w:rPr>
          <w:rFonts w:ascii="宋体"/>
          <w:color w:val="auto"/>
          <w:spacing w:val="4"/>
        </w:rPr>
        <w:t>217</w:t>
      </w:r>
      <w:r>
        <w:rPr>
          <w:rFonts w:hint="eastAsia" w:ascii="宋体"/>
          <w:color w:val="auto"/>
          <w:spacing w:val="4"/>
        </w:rPr>
        <w:t>）”。建筑业企业承建的项目，应按项目用途填写行业类别，如某建筑</w:t>
      </w:r>
      <w:r>
        <w:rPr>
          <w:rFonts w:ascii="宋体"/>
          <w:color w:val="auto"/>
          <w:spacing w:val="4"/>
        </w:rPr>
        <w:t>企业承建的</w:t>
      </w:r>
      <w:r>
        <w:rPr>
          <w:rFonts w:hint="eastAsia" w:ascii="宋体"/>
          <w:color w:val="auto"/>
          <w:spacing w:val="4"/>
        </w:rPr>
        <w:t>棚户区</w:t>
      </w:r>
      <w:r>
        <w:rPr>
          <w:rFonts w:ascii="宋体"/>
          <w:color w:val="auto"/>
          <w:spacing w:val="4"/>
        </w:rPr>
        <w:t>改造项目</w:t>
      </w:r>
      <w:r>
        <w:rPr>
          <w:rFonts w:hint="eastAsia" w:ascii="宋体"/>
          <w:color w:val="auto"/>
          <w:spacing w:val="4"/>
        </w:rPr>
        <w:t>，</w:t>
      </w:r>
      <w:r>
        <w:rPr>
          <w:rFonts w:ascii="宋体"/>
          <w:color w:val="auto"/>
          <w:spacing w:val="4"/>
        </w:rPr>
        <w:t>行业类别应为</w:t>
      </w:r>
      <w:r>
        <w:rPr>
          <w:rFonts w:hint="eastAsia" w:ascii="宋体"/>
          <w:color w:val="auto"/>
          <w:spacing w:val="4"/>
        </w:rPr>
        <w:t>“</w:t>
      </w:r>
      <w:r>
        <w:rPr>
          <w:rFonts w:ascii="宋体"/>
          <w:color w:val="auto"/>
          <w:spacing w:val="4"/>
        </w:rPr>
        <w:t>其他房地产</w:t>
      </w:r>
      <w:r>
        <w:rPr>
          <w:rFonts w:hint="eastAsia" w:ascii="宋体"/>
          <w:color w:val="auto"/>
          <w:spacing w:val="4"/>
        </w:rPr>
        <w:t>业（7</w:t>
      </w:r>
      <w:r>
        <w:rPr>
          <w:rFonts w:ascii="宋体"/>
          <w:color w:val="auto"/>
          <w:spacing w:val="4"/>
        </w:rPr>
        <w:t>090</w:t>
      </w:r>
      <w:r>
        <w:rPr>
          <w:rFonts w:hint="eastAsia" w:ascii="宋体"/>
          <w:color w:val="auto"/>
          <w:spacing w:val="4"/>
        </w:rPr>
        <w:t>）”。</w:t>
      </w:r>
      <w:r>
        <w:rPr>
          <w:rFonts w:ascii="宋体"/>
          <w:color w:val="auto"/>
          <w:spacing w:val="4"/>
        </w:rPr>
        <w:t>行政事业单位报送的基础设施项目</w:t>
      </w:r>
      <w:r>
        <w:rPr>
          <w:rFonts w:hint="eastAsia" w:ascii="宋体"/>
          <w:color w:val="auto"/>
          <w:spacing w:val="4"/>
        </w:rPr>
        <w:t>，</w:t>
      </w:r>
      <w:r>
        <w:rPr>
          <w:rFonts w:ascii="宋体"/>
          <w:color w:val="auto"/>
          <w:spacing w:val="4"/>
        </w:rPr>
        <w:t>应按项目用途填写行业</w:t>
      </w:r>
      <w:r>
        <w:rPr>
          <w:rFonts w:hint="eastAsia" w:ascii="宋体"/>
          <w:color w:val="auto"/>
          <w:spacing w:val="4"/>
        </w:rPr>
        <w:t>类别，</w:t>
      </w:r>
      <w:r>
        <w:rPr>
          <w:rFonts w:ascii="宋体"/>
          <w:color w:val="auto"/>
          <w:spacing w:val="4"/>
        </w:rPr>
        <w:t>如某地政府部门报送的污水管网工程</w:t>
      </w:r>
      <w:r>
        <w:rPr>
          <w:rFonts w:hint="eastAsia" w:ascii="宋体"/>
          <w:color w:val="auto"/>
          <w:spacing w:val="4"/>
        </w:rPr>
        <w:t>，</w:t>
      </w:r>
      <w:r>
        <w:rPr>
          <w:rFonts w:ascii="宋体"/>
          <w:color w:val="auto"/>
          <w:spacing w:val="4"/>
        </w:rPr>
        <w:t>行业类别应为</w:t>
      </w:r>
      <w:r>
        <w:rPr>
          <w:rFonts w:hint="eastAsia" w:ascii="宋体"/>
          <w:color w:val="auto"/>
          <w:spacing w:val="4"/>
        </w:rPr>
        <w:t>“市政设施管理业（7</w:t>
      </w:r>
      <w:r>
        <w:rPr>
          <w:rFonts w:ascii="宋体"/>
          <w:color w:val="auto"/>
          <w:spacing w:val="4"/>
        </w:rPr>
        <w:t>810</w:t>
      </w:r>
      <w:r>
        <w:rPr>
          <w:rFonts w:hint="eastAsia" w:ascii="宋体"/>
          <w:color w:val="auto"/>
          <w:spacing w:val="4"/>
        </w:rPr>
        <w:t>）”。高标准农田建设应根据项目用途填写相应的种植业行业代码。标准厂房建设项目，如厂房用途明确，应按建成后主要用途填报行业类别，如仅用作出租经营且没有明确用途，行业类别应为“其他房地产业（7090）”。</w:t>
      </w:r>
    </w:p>
    <w:p>
      <w:pPr>
        <w:adjustRightInd w:val="0"/>
        <w:spacing w:line="360" w:lineRule="atLeast"/>
        <w:ind w:firstLine="420" w:firstLineChars="200"/>
        <w:rPr>
          <w:rFonts w:hint="eastAsia" w:ascii="宋体"/>
          <w:color w:val="auto"/>
        </w:rPr>
      </w:pPr>
      <w:r>
        <w:rPr>
          <w:rFonts w:hint="eastAsia" w:ascii="宋体"/>
          <w:color w:val="auto"/>
        </w:rPr>
        <w:t>行业编码要根据最新的《国民经济行业分类和代码》（GB/T 4754-2017）来填报。行业编码为四位，根据行业小类填写,一个建设项目只能属于一种国民经济行业。</w:t>
      </w:r>
    </w:p>
    <w:p>
      <w:pPr>
        <w:adjustRightInd w:val="0"/>
        <w:spacing w:line="360" w:lineRule="atLeast"/>
        <w:ind w:firstLine="420" w:firstLineChars="200"/>
        <w:rPr>
          <w:rFonts w:ascii="宋体" w:hAnsi="宋体"/>
          <w:color w:val="auto"/>
          <w:spacing w:val="-6"/>
          <w:szCs w:val="21"/>
        </w:rPr>
      </w:pPr>
      <w:r>
        <w:rPr>
          <w:rFonts w:hint="eastAsia" w:ascii="宋体"/>
          <w:color w:val="auto"/>
        </w:rPr>
        <w:t>在现有调查单位中，为适应市场变化而全厂性转产，改变原有主要产品种类或主要经济活动性质的，则可根据转产后的主要产品种类或主要经济活动性质来划分国民经济行业种类</w:t>
      </w:r>
      <w:r>
        <w:rPr>
          <w:rFonts w:hint="eastAsia" w:ascii="宋体" w:hAnsi="宋体"/>
          <w:color w:val="auto"/>
          <w:spacing w:val="-6"/>
          <w:szCs w:val="21"/>
        </w:rPr>
        <w:t>。</w:t>
      </w:r>
    </w:p>
    <w:p>
      <w:pPr>
        <w:adjustRightInd w:val="0"/>
        <w:spacing w:line="360" w:lineRule="atLeast"/>
        <w:ind w:firstLine="420" w:firstLineChars="200"/>
        <w:rPr>
          <w:rFonts w:hint="eastAsia" w:ascii="宋体" w:hAnsi="宋体"/>
          <w:color w:val="auto"/>
          <w:spacing w:val="-6"/>
          <w:szCs w:val="21"/>
        </w:rPr>
      </w:pPr>
      <w:r>
        <w:rPr>
          <w:rFonts w:ascii="黑体" w:eastAsia="黑体"/>
          <w:color w:val="auto"/>
        </w:rPr>
        <w:t>控股情况</w:t>
      </w:r>
      <w:r>
        <w:rPr>
          <w:rFonts w:hint="eastAsia" w:ascii="宋体" w:hAnsi="宋体"/>
          <w:color w:val="auto"/>
          <w:spacing w:val="-6"/>
          <w:szCs w:val="21"/>
        </w:rPr>
        <w:t xml:space="preserve">  </w:t>
      </w:r>
      <w:r>
        <w:rPr>
          <w:rFonts w:hint="eastAsia" w:ascii="宋体" w:hAnsi="宋体"/>
          <w:color w:val="auto"/>
          <w:szCs w:val="21"/>
        </w:rPr>
        <w:t>根据企业实收资本中某种经济成分的出资人的实际投资情况，或出资人对企业资产的实际控制、支配程度进行分类。具体分为国有控股、集体控股、私人控股、港澳台商控股、外商控股和其他六类。非企业按照项目出资比例划分。</w:t>
      </w:r>
    </w:p>
    <w:p>
      <w:pPr>
        <w:adjustRightInd w:val="0"/>
        <w:spacing w:line="360" w:lineRule="atLeast"/>
        <w:ind w:firstLine="420" w:firstLineChars="200"/>
        <w:rPr>
          <w:rFonts w:hint="eastAsia" w:ascii="宋体" w:hAnsi="宋体"/>
          <w:color w:val="auto"/>
          <w:spacing w:val="-6"/>
          <w:szCs w:val="21"/>
        </w:rPr>
      </w:pPr>
      <w:r>
        <w:rPr>
          <w:rFonts w:hint="eastAsia" w:ascii="黑体" w:eastAsia="黑体"/>
          <w:color w:val="auto"/>
        </w:rPr>
        <w:t xml:space="preserve">建设性质  </w:t>
      </w:r>
      <w:r>
        <w:rPr>
          <w:rFonts w:hint="eastAsia" w:ascii="宋体"/>
          <w:color w:val="auto"/>
        </w:rPr>
        <w:t>指固定资产再生产的性质，按整个建设项目的具体情况确定。一个建设项目只能有一种建设性质。</w:t>
      </w:r>
    </w:p>
    <w:p>
      <w:pPr>
        <w:adjustRightInd w:val="0"/>
        <w:spacing w:line="360" w:lineRule="atLeast"/>
        <w:ind w:firstLine="420" w:firstLineChars="200"/>
        <w:rPr>
          <w:rFonts w:hint="eastAsia" w:ascii="宋体" w:hAnsi="宋体"/>
          <w:color w:val="auto"/>
          <w:spacing w:val="-6"/>
          <w:szCs w:val="21"/>
        </w:rPr>
      </w:pPr>
      <w:r>
        <w:rPr>
          <w:rFonts w:hint="eastAsia" w:ascii="黑体" w:eastAsia="黑体"/>
          <w:color w:val="auto"/>
        </w:rPr>
        <w:t xml:space="preserve">新建  </w:t>
      </w:r>
      <w:r>
        <w:rPr>
          <w:rFonts w:hint="eastAsia" w:ascii="宋体"/>
          <w:color w:val="auto"/>
        </w:rPr>
        <w:t>指从无到有“平地起家”开始建设的项目。现有企业、事业、行政单位投资的项目一般不属于新建。但如有的单位原有基础很小，经过建设后新增的固定资产价值超过该企业、事业、行政单位原有固定资产价值（原值）三倍以上的，也应作为新建。</w:t>
      </w:r>
    </w:p>
    <w:p>
      <w:pPr>
        <w:adjustRightInd w:val="0"/>
        <w:spacing w:line="360" w:lineRule="atLeast"/>
        <w:ind w:firstLine="420" w:firstLineChars="200"/>
        <w:rPr>
          <w:rFonts w:hint="eastAsia" w:ascii="宋体"/>
          <w:color w:val="auto"/>
        </w:rPr>
      </w:pPr>
      <w:r>
        <w:rPr>
          <w:rFonts w:hint="eastAsia" w:ascii="黑体" w:eastAsia="黑体"/>
          <w:color w:val="auto"/>
        </w:rPr>
        <w:t xml:space="preserve">扩建  </w:t>
      </w:r>
      <w:r>
        <w:rPr>
          <w:rFonts w:hint="eastAsia" w:ascii="宋体"/>
          <w:color w:val="auto"/>
        </w:rPr>
        <w:t>指为扩大原有产品的生产能力（或效益）或增加新的产品生产能力，而增建的生产车间（或主要工程）、分厂、独立的生产线等项目。行政、事业单位在原单位增建业务性用房（如学校增建教学用房、医院增建门诊部、病房等）也作为扩建。</w:t>
      </w:r>
    </w:p>
    <w:p>
      <w:pPr>
        <w:adjustRightInd w:val="0"/>
        <w:spacing w:line="360" w:lineRule="atLeast"/>
        <w:ind w:firstLine="420" w:firstLineChars="200"/>
        <w:rPr>
          <w:rFonts w:ascii="宋体"/>
          <w:color w:val="auto"/>
        </w:rPr>
      </w:pPr>
      <w:r>
        <w:rPr>
          <w:rFonts w:hint="eastAsia" w:ascii="宋体"/>
          <w:color w:val="auto"/>
        </w:rPr>
        <w:t>现有调查单位为扩大原有主要产品生产能力或增加新的产品生产能力，增建一个或几个主要生产车间（或主要工程）、分厂，同时进行一些更新改造工程的，也应作为扩建。</w:t>
      </w:r>
    </w:p>
    <w:p>
      <w:pPr>
        <w:adjustRightInd w:val="0"/>
        <w:spacing w:line="360" w:lineRule="atLeast"/>
        <w:ind w:firstLine="420" w:firstLineChars="200"/>
        <w:rPr>
          <w:rFonts w:hint="eastAsia" w:ascii="宋体"/>
          <w:color w:val="auto"/>
        </w:rPr>
      </w:pPr>
      <w:r>
        <w:rPr>
          <w:rFonts w:hint="eastAsia" w:ascii="黑体" w:eastAsia="黑体"/>
          <w:color w:val="auto"/>
        </w:rPr>
        <w:t xml:space="preserve">改建和技术改造  </w:t>
      </w:r>
      <w:r>
        <w:rPr>
          <w:rFonts w:hint="eastAsia" w:ascii="宋体"/>
          <w:color w:val="auto"/>
        </w:rPr>
        <w:t>指对原有设施进行技术改造或更新（包括相应配套的辅助性生产、生活福利设施）的建设项目。改建项目包括调查单位为适应市场变化的需要，而改变的主要产品种类（如军工企业转民用产品等）的建设项目；原有产品生产作业线由于各工序（车间）之间能力不平衡，为填平补齐充分发挥原有生产能力而增建但不增加主要产品生产能力的建设项目。技术改造是指调查单位在现有基础上用先进的技术代替落后的技术，用先进的工艺和装备代替落后的工艺和装备，以改变企业落后的技术经济面貌，实现以内涵为主的扩大再生产，达到提高产品质量、促进产品更新换代、节约能源、降低消耗、扩大生产规模、全面提高社会经济效益的目的。</w:t>
      </w:r>
    </w:p>
    <w:p>
      <w:pPr>
        <w:adjustRightInd w:val="0"/>
        <w:spacing w:line="360" w:lineRule="atLeast"/>
        <w:ind w:firstLine="436" w:firstLineChars="200"/>
        <w:rPr>
          <w:rFonts w:hint="eastAsia" w:ascii="宋体"/>
          <w:color w:val="auto"/>
          <w:spacing w:val="4"/>
        </w:rPr>
      </w:pPr>
      <w:r>
        <w:rPr>
          <w:rFonts w:hint="eastAsia" w:ascii="宋体"/>
          <w:color w:val="auto"/>
          <w:spacing w:val="4"/>
        </w:rPr>
        <w:t>技术改造具体包括以下内容：机器设备和工具的更新改造；生产工艺改革、节约能源和原材料的改造；厂房建筑和公共设施的改造；保护环境进行的“三废”治理改造；劳动条件和生产环境的改造等。</w:t>
      </w:r>
    </w:p>
    <w:p>
      <w:pPr>
        <w:adjustRightInd w:val="0"/>
        <w:spacing w:line="360" w:lineRule="atLeast"/>
        <w:rPr>
          <w:rFonts w:ascii="宋体"/>
          <w:color w:val="auto"/>
        </w:rPr>
      </w:pPr>
      <w:r>
        <w:rPr>
          <w:rFonts w:ascii="宋体"/>
          <w:color w:val="auto"/>
        </w:rPr>
        <w:t xml:space="preserve">    </w:t>
      </w:r>
      <w:r>
        <w:rPr>
          <w:rFonts w:hint="eastAsia" w:ascii="黑体" w:eastAsia="黑体"/>
          <w:color w:val="auto"/>
        </w:rPr>
        <w:t xml:space="preserve">单纯建造生活设施  </w:t>
      </w:r>
      <w:r>
        <w:rPr>
          <w:rFonts w:hint="eastAsia" w:ascii="宋体"/>
          <w:color w:val="auto"/>
        </w:rPr>
        <w:t>指在不扩建、改建生产性工程和业务用房的情况下，单纯建造职工住宅、托儿所、子弟学校、医务室、浴室、食堂等生活设施的项目。</w:t>
      </w:r>
    </w:p>
    <w:p>
      <w:pPr>
        <w:adjustRightInd w:val="0"/>
        <w:spacing w:line="360" w:lineRule="atLeast"/>
        <w:ind w:firstLine="420" w:firstLineChars="200"/>
        <w:rPr>
          <w:rFonts w:hint="eastAsia" w:ascii="宋体" w:hAnsi="宋体"/>
          <w:color w:val="auto"/>
          <w:spacing w:val="-6"/>
          <w:szCs w:val="21"/>
        </w:rPr>
      </w:pPr>
      <w:r>
        <w:rPr>
          <w:rFonts w:hint="eastAsia" w:ascii="黑体" w:eastAsia="黑体"/>
          <w:color w:val="auto"/>
        </w:rPr>
        <w:t xml:space="preserve">迁建  </w:t>
      </w:r>
      <w:r>
        <w:rPr>
          <w:rFonts w:hint="eastAsia" w:ascii="宋体" w:hAnsi="宋体"/>
          <w:color w:val="auto"/>
          <w:spacing w:val="-6"/>
          <w:szCs w:val="21"/>
        </w:rPr>
        <w:t>指为改变生产能力布局或由于城市环境保护和安全生产的需要等原因而搬迁到另地建设的项目。在搬迁另地的建设过程中，不论是维持原来规模还是扩大规模都按迁建来统计。</w:t>
      </w:r>
    </w:p>
    <w:p>
      <w:pPr>
        <w:adjustRightInd w:val="0"/>
        <w:spacing w:line="360" w:lineRule="atLeast"/>
        <w:rPr>
          <w:rFonts w:ascii="宋体"/>
          <w:color w:val="auto"/>
        </w:rPr>
      </w:pPr>
      <w:r>
        <w:rPr>
          <w:rFonts w:ascii="宋体"/>
          <w:color w:val="auto"/>
        </w:rPr>
        <w:t xml:space="preserve">    </w:t>
      </w:r>
      <w:r>
        <w:rPr>
          <w:rFonts w:hint="eastAsia" w:ascii="黑体" w:eastAsia="黑体"/>
          <w:color w:val="auto"/>
        </w:rPr>
        <w:t xml:space="preserve">恢复  </w:t>
      </w:r>
      <w:r>
        <w:rPr>
          <w:rFonts w:hint="eastAsia" w:ascii="宋体"/>
          <w:color w:val="auto"/>
        </w:rPr>
        <w:t>指因自然灾害、战争等原因，使原有固定资产全部或部分报废，以后又投资恢复建设的项目。不论是按原规模恢复还是在恢复的同时进行扩建的都按恢复项目统计。尚未建成投产的建设项目因自然灾害而损坏重建的，仍按原有建设性质划分。</w:t>
      </w:r>
    </w:p>
    <w:p>
      <w:pPr>
        <w:adjustRightInd w:val="0"/>
        <w:spacing w:line="360" w:lineRule="atLeast"/>
        <w:ind w:firstLine="420"/>
        <w:rPr>
          <w:rFonts w:hint="eastAsia" w:ascii="宋体"/>
          <w:color w:val="auto"/>
        </w:rPr>
      </w:pPr>
      <w:r>
        <w:rPr>
          <w:rFonts w:hint="eastAsia" w:ascii="黑体" w:eastAsia="黑体"/>
          <w:color w:val="auto"/>
        </w:rPr>
        <w:t xml:space="preserve">单纯购置  </w:t>
      </w:r>
      <w:r>
        <w:rPr>
          <w:rFonts w:hint="eastAsia" w:ascii="宋体"/>
          <w:color w:val="auto"/>
        </w:rPr>
        <w:t>指单纯购置不需要安装的设备、工具、器具而不进行工程建设的项目。有些调查单位当年虽然只从事一些购置活动，但其设计中规定有建筑安装活动，应根据设计文件的内容来确定建设性质，不得作为单纯购置统计。</w:t>
      </w:r>
    </w:p>
    <w:p>
      <w:pPr>
        <w:adjustRightInd w:val="0"/>
        <w:spacing w:line="360" w:lineRule="atLeast"/>
        <w:ind w:firstLine="420"/>
        <w:rPr>
          <w:rFonts w:hint="eastAsia" w:ascii="宋体"/>
          <w:color w:val="auto"/>
        </w:rPr>
      </w:pPr>
      <w:r>
        <w:rPr>
          <w:rFonts w:hint="eastAsia" w:ascii="黑体" w:eastAsia="黑体"/>
          <w:color w:val="auto"/>
        </w:rPr>
        <w:t xml:space="preserve">项目类别  </w:t>
      </w:r>
      <w:r>
        <w:rPr>
          <w:rFonts w:hint="eastAsia" w:ascii="宋体"/>
          <w:color w:val="auto"/>
        </w:rPr>
        <w:t>所有项目均需填写，具体分为工业企业技术改造项目、保障性住房项目、涉农项目、老旧小区改造项目、信息类新型基础设施项目、融合类新型基础设施项目、创新类新型基础设施项目和其他项目。</w:t>
      </w:r>
    </w:p>
    <w:p>
      <w:pPr>
        <w:adjustRightInd w:val="0"/>
        <w:spacing w:line="360" w:lineRule="atLeast"/>
        <w:ind w:firstLine="420"/>
        <w:rPr>
          <w:rFonts w:ascii="宋体" w:hAnsi="宋体"/>
          <w:color w:val="auto"/>
          <w:szCs w:val="21"/>
        </w:rPr>
      </w:pPr>
      <w:r>
        <w:rPr>
          <w:rFonts w:hint="eastAsia" w:ascii="黑体" w:eastAsia="黑体"/>
          <w:color w:val="auto"/>
        </w:rPr>
        <w:t>工业</w:t>
      </w:r>
      <w:r>
        <w:rPr>
          <w:rFonts w:hint="eastAsia" w:ascii="黑体" w:hAnsi="宋体" w:eastAsia="黑体"/>
          <w:color w:val="auto"/>
          <w:szCs w:val="21"/>
        </w:rPr>
        <w:t>企业技术改造项目</w:t>
      </w:r>
      <w:r>
        <w:rPr>
          <w:rFonts w:hint="eastAsia" w:ascii="宋体" w:hAnsi="宋体"/>
          <w:b/>
          <w:color w:val="auto"/>
          <w:szCs w:val="21"/>
        </w:rPr>
        <w:t xml:space="preserve">  </w:t>
      </w:r>
      <w:r>
        <w:rPr>
          <w:rFonts w:hint="eastAsia" w:ascii="宋体" w:hAnsi="宋体"/>
          <w:color w:val="auto"/>
          <w:szCs w:val="21"/>
        </w:rPr>
        <w:t>指工业企业采用新技术、新工艺、新设备、新材料对现有设施、工艺条件及生产服务等进行改造提升，实现内涵式发展的投资活动。该指标用于反映投资转型升级情况。工业企业技术改造项目必须是工业投资项目（项目行业编码在0610到4690之间）；工业企业技术改造项目包括建设性质为改建和技术改造的全部工业投资项目，以及扩建、迁建、恢复和单纯购置项目中属于技术改造性质的工业投资项目。</w:t>
      </w:r>
    </w:p>
    <w:p>
      <w:pPr>
        <w:adjustRightInd w:val="0"/>
        <w:spacing w:line="360" w:lineRule="atLeast"/>
        <w:ind w:firstLine="420"/>
        <w:rPr>
          <w:rFonts w:ascii="宋体" w:hAnsi="宋体"/>
          <w:color w:val="auto"/>
          <w:szCs w:val="21"/>
        </w:rPr>
      </w:pPr>
      <w:r>
        <w:rPr>
          <w:rFonts w:hint="eastAsia" w:ascii="黑体" w:hAnsi="宋体" w:eastAsia="黑体"/>
          <w:color w:val="auto"/>
          <w:szCs w:val="21"/>
        </w:rPr>
        <w:t>保障性住房项目</w:t>
      </w:r>
      <w:r>
        <w:rPr>
          <w:rFonts w:hint="eastAsia" w:ascii="宋体" w:hAnsi="宋体"/>
          <w:b/>
          <w:color w:val="auto"/>
          <w:szCs w:val="21"/>
        </w:rPr>
        <w:t xml:space="preserve">  </w:t>
      </w:r>
      <w:r>
        <w:rPr>
          <w:rFonts w:hint="eastAsia" w:ascii="宋体" w:hAnsi="宋体"/>
          <w:color w:val="auto"/>
          <w:szCs w:val="21"/>
        </w:rPr>
        <w:t>政府主导，为特定对象提供的限定标准、限定价格或租金的住房的项目。包括保障性租赁住房、公租房、共有产权房、配售型保障房、回迁安置房等政策保障性住房项目。</w:t>
      </w:r>
    </w:p>
    <w:p>
      <w:pPr>
        <w:adjustRightInd w:val="0"/>
        <w:spacing w:line="360" w:lineRule="atLeast"/>
        <w:ind w:firstLine="420" w:firstLineChars="200"/>
        <w:rPr>
          <w:rFonts w:ascii="宋体" w:hAnsi="宋体"/>
          <w:color w:val="auto"/>
          <w:szCs w:val="21"/>
        </w:rPr>
      </w:pPr>
      <w:r>
        <w:rPr>
          <w:rFonts w:hint="eastAsia" w:ascii="黑体" w:hAnsi="宋体" w:eastAsia="黑体"/>
          <w:color w:val="auto"/>
          <w:szCs w:val="21"/>
        </w:rPr>
        <w:t>涉农项目</w:t>
      </w:r>
      <w:r>
        <w:rPr>
          <w:rFonts w:hint="eastAsia" w:ascii="宋体" w:hAnsi="宋体"/>
          <w:b/>
          <w:color w:val="auto"/>
          <w:szCs w:val="21"/>
        </w:rPr>
        <w:t xml:space="preserve">  </w:t>
      </w:r>
      <w:r>
        <w:rPr>
          <w:rFonts w:hint="eastAsia" w:ascii="宋体" w:hAnsi="宋体"/>
          <w:color w:val="auto"/>
          <w:szCs w:val="21"/>
        </w:rPr>
        <w:t>指第一产业的所有项目；第二、三产业中的建设在农村区域并主要服务于三农领域的项目，包括农村基础设施建设（道路、水利、燃气、供水等）项目、乡村旅游建设、农村物流园建设等。</w:t>
      </w:r>
    </w:p>
    <w:p>
      <w:pPr>
        <w:adjustRightInd w:val="0"/>
        <w:spacing w:line="360" w:lineRule="atLeast"/>
        <w:ind w:firstLine="420" w:firstLineChars="200"/>
        <w:rPr>
          <w:rFonts w:hint="eastAsia" w:ascii="宋体" w:hAnsi="宋体"/>
          <w:color w:val="auto"/>
          <w:szCs w:val="21"/>
        </w:rPr>
      </w:pPr>
      <w:r>
        <w:rPr>
          <w:rFonts w:hint="eastAsia" w:ascii="黑体" w:hAnsi="宋体" w:eastAsia="黑体"/>
          <w:color w:val="auto"/>
          <w:szCs w:val="21"/>
        </w:rPr>
        <w:t xml:space="preserve">老旧小区改造项目 </w:t>
      </w:r>
      <w:r>
        <w:rPr>
          <w:rFonts w:ascii="黑体" w:hAnsi="宋体" w:eastAsia="黑体"/>
          <w:color w:val="auto"/>
          <w:szCs w:val="21"/>
        </w:rPr>
        <w:t xml:space="preserve"> </w:t>
      </w:r>
      <w:r>
        <w:rPr>
          <w:rFonts w:hint="eastAsia" w:ascii="宋体" w:hAnsi="宋体"/>
          <w:color w:val="auto"/>
          <w:szCs w:val="21"/>
        </w:rPr>
        <w:t>老旧小区改造指对城市、县城（城关镇）建成于2000年以前、公共设施落后影响居民基本生活、居民改造意愿强烈的住宅小区的改造提升项目。改造内容包括小区内道路、供排水、供电、供气、供热、绿化、照明、围墙等基础设施的更新改造；小区内配套养老扶幼、无障碍设施、便民市场等服务设施的建设、改造；小区内房屋公共区域修缮、建筑节能改造，有条件的居住建筑加装电梯等；与小区直接相关的城市、县城（城关镇）道路和公共交通、通信、供排水、供气、供热、停车库（场）、污水与垃圾处理等基础设施的改造提升。老旧小区项目应列入本地区老旧小区改造计划。</w:t>
      </w:r>
    </w:p>
    <w:p>
      <w:pPr>
        <w:adjustRightInd w:val="0"/>
        <w:spacing w:line="360" w:lineRule="atLeast"/>
        <w:ind w:firstLine="420"/>
        <w:rPr>
          <w:rFonts w:ascii="宋体" w:hAnsi="宋体"/>
          <w:color w:val="auto"/>
          <w:szCs w:val="21"/>
        </w:rPr>
      </w:pPr>
      <w:r>
        <w:rPr>
          <w:rFonts w:ascii="黑体" w:hAnsi="宋体" w:eastAsia="黑体"/>
          <w:color w:val="auto"/>
          <w:szCs w:val="21"/>
        </w:rPr>
        <w:t>信息类新型基础设施项目</w:t>
      </w:r>
      <w:r>
        <w:rPr>
          <w:rFonts w:hint="eastAsia" w:ascii="黑体" w:hAnsi="宋体" w:eastAsia="黑体"/>
          <w:color w:val="auto"/>
          <w:szCs w:val="21"/>
        </w:rPr>
        <w:t xml:space="preserve"> </w:t>
      </w:r>
      <w:r>
        <w:rPr>
          <w:rFonts w:ascii="黑体" w:hAnsi="宋体" w:eastAsia="黑体"/>
          <w:color w:val="auto"/>
          <w:szCs w:val="21"/>
        </w:rPr>
        <w:t xml:space="preserve"> </w:t>
      </w:r>
      <w:r>
        <w:rPr>
          <w:rFonts w:hint="eastAsia" w:ascii="宋体" w:hAnsi="宋体"/>
          <w:color w:val="auto"/>
          <w:szCs w:val="21"/>
        </w:rPr>
        <w:t>主要指基于新一代信息技术演化生成的基础设施。包括：以5G、千兆光纤宽带、物联网等为代表的通信网络建设项目；以人工智能、云计算、区块链为代表的新技术投资项目；以数据中心、智能计算中心为代表的算力基础设施项目。</w:t>
      </w:r>
    </w:p>
    <w:p>
      <w:pPr>
        <w:adjustRightInd w:val="0"/>
        <w:spacing w:line="360" w:lineRule="atLeast"/>
        <w:ind w:firstLine="420"/>
        <w:rPr>
          <w:rFonts w:ascii="宋体" w:hAnsi="宋体"/>
          <w:color w:val="auto"/>
          <w:szCs w:val="21"/>
        </w:rPr>
      </w:pPr>
      <w:r>
        <w:rPr>
          <w:rFonts w:ascii="黑体" w:hAnsi="宋体" w:eastAsia="黑体"/>
          <w:color w:val="auto"/>
          <w:szCs w:val="21"/>
        </w:rPr>
        <w:t>融合类新型基础设施项目</w:t>
      </w:r>
      <w:r>
        <w:rPr>
          <w:rFonts w:hint="eastAsia" w:ascii="黑体" w:hAnsi="宋体" w:eastAsia="黑体"/>
          <w:color w:val="auto"/>
          <w:szCs w:val="21"/>
        </w:rPr>
        <w:t xml:space="preserve"> </w:t>
      </w:r>
      <w:r>
        <w:rPr>
          <w:rFonts w:ascii="黑体" w:hAnsi="宋体" w:eastAsia="黑体"/>
          <w:color w:val="auto"/>
          <w:szCs w:val="21"/>
        </w:rPr>
        <w:t xml:space="preserve"> </w:t>
      </w:r>
      <w:r>
        <w:rPr>
          <w:rFonts w:hint="eastAsia" w:ascii="宋体" w:hAnsi="宋体"/>
          <w:color w:val="auto"/>
          <w:szCs w:val="21"/>
        </w:rPr>
        <w:t>主要指深度应用互联网、大数据、人工智能等技术，支撑传统基础设施转型升级，进而形成传统与新科技相融合的基础设施。主要包括：</w:t>
      </w:r>
      <w:r>
        <w:rPr>
          <w:rFonts w:ascii="宋体" w:hAnsi="宋体"/>
          <w:color w:val="auto"/>
          <w:szCs w:val="21"/>
        </w:rPr>
        <w:t xml:space="preserve"> </w:t>
      </w:r>
    </w:p>
    <w:p>
      <w:pPr>
        <w:adjustRightInd w:val="0"/>
        <w:spacing w:line="360" w:lineRule="atLeast"/>
        <w:ind w:firstLine="420"/>
        <w:rPr>
          <w:rFonts w:ascii="宋体" w:hAnsi="宋体"/>
          <w:color w:val="auto"/>
          <w:szCs w:val="21"/>
        </w:rPr>
      </w:pPr>
      <w:r>
        <w:rPr>
          <w:rFonts w:hint="eastAsia" w:ascii="宋体" w:hAnsi="宋体"/>
          <w:color w:val="auto"/>
          <w:szCs w:val="21"/>
        </w:rPr>
        <w:t>（1）智能交通设施：如，充电桩建设，公路、铁路、水运、民航、管道、邮政等领域智能化升级建设项目。</w:t>
      </w:r>
      <w:r>
        <w:rPr>
          <w:rFonts w:ascii="宋体" w:hAnsi="宋体"/>
          <w:color w:val="auto"/>
          <w:szCs w:val="21"/>
        </w:rPr>
        <w:t xml:space="preserve"> </w:t>
      </w:r>
    </w:p>
    <w:p>
      <w:pPr>
        <w:adjustRightInd w:val="0"/>
        <w:spacing w:line="360" w:lineRule="atLeast"/>
        <w:ind w:firstLine="420"/>
        <w:rPr>
          <w:rFonts w:ascii="宋体" w:hAnsi="宋体"/>
          <w:color w:val="auto"/>
          <w:szCs w:val="21"/>
        </w:rPr>
      </w:pPr>
      <w:r>
        <w:rPr>
          <w:rFonts w:hint="eastAsia" w:ascii="宋体" w:hAnsi="宋体"/>
          <w:color w:val="auto"/>
          <w:szCs w:val="21"/>
        </w:rPr>
        <w:t>（2）智慧能源基础设施：以智能化能源生产和消费为目的的基础设施建设，如，综合能源网络建设、能源生产和消费等实时监控系统、能源智能终端及接入设施的研制等。</w:t>
      </w:r>
      <w:r>
        <w:rPr>
          <w:rFonts w:ascii="宋体" w:hAnsi="宋体"/>
          <w:color w:val="auto"/>
          <w:szCs w:val="21"/>
        </w:rPr>
        <w:t xml:space="preserve"> </w:t>
      </w:r>
    </w:p>
    <w:p>
      <w:pPr>
        <w:adjustRightInd w:val="0"/>
        <w:spacing w:line="360" w:lineRule="atLeast"/>
        <w:ind w:firstLine="420"/>
        <w:rPr>
          <w:rFonts w:ascii="宋体" w:hAnsi="宋体"/>
          <w:color w:val="auto"/>
          <w:szCs w:val="21"/>
        </w:rPr>
      </w:pPr>
      <w:r>
        <w:rPr>
          <w:rFonts w:hint="eastAsia" w:ascii="宋体" w:hAnsi="宋体"/>
          <w:color w:val="auto"/>
          <w:szCs w:val="21"/>
        </w:rPr>
        <w:t>（3）先进的社会生活基础设施：开展基于5G网络的智慧医疗、智慧养老、智慧教育、智慧城市等建设项目。</w:t>
      </w:r>
    </w:p>
    <w:p>
      <w:pPr>
        <w:adjustRightInd w:val="0"/>
        <w:spacing w:line="360" w:lineRule="atLeast"/>
        <w:ind w:firstLine="420"/>
        <w:rPr>
          <w:rFonts w:hint="eastAsia" w:ascii="宋体" w:hAns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）智能绿色生态环保基础设施：智能环保监测、智慧环卫设施、智慧海绵城市等建设项目。</w:t>
      </w:r>
    </w:p>
    <w:p>
      <w:pPr>
        <w:adjustRightInd w:val="0"/>
        <w:spacing w:line="360" w:lineRule="atLeast"/>
        <w:ind w:firstLine="420"/>
        <w:rPr>
          <w:rFonts w:ascii="宋体" w:hAnsi="宋体"/>
          <w:color w:val="auto"/>
          <w:szCs w:val="21"/>
        </w:rPr>
      </w:pPr>
      <w:r>
        <w:rPr>
          <w:rFonts w:hint="eastAsia" w:ascii="宋体" w:hAnsi="宋体"/>
          <w:color w:val="auto"/>
          <w:szCs w:val="21"/>
        </w:rPr>
        <w:t>（5）工业互联网：建设适用于工业生产的高可靠、广覆盖、大带宽、可定制的网络基础设施，包括建设服务企业或园区的5G网络，搭建基于5G网络的工业协同制造平台等项目。</w:t>
      </w:r>
    </w:p>
    <w:p>
      <w:pPr>
        <w:adjustRightInd w:val="0"/>
        <w:spacing w:line="360" w:lineRule="atLeast"/>
        <w:ind w:firstLine="420"/>
        <w:rPr>
          <w:rFonts w:hint="eastAsia" w:ascii="宋体" w:hAnsi="宋体"/>
          <w:color w:val="auto"/>
          <w:szCs w:val="21"/>
        </w:rPr>
      </w:pPr>
      <w:r>
        <w:rPr>
          <w:rFonts w:ascii="黑体" w:hAnsi="宋体" w:eastAsia="黑体"/>
          <w:color w:val="auto"/>
          <w:szCs w:val="21"/>
        </w:rPr>
        <w:t>创新类新型基础设施项目</w:t>
      </w:r>
      <w:r>
        <w:rPr>
          <w:rFonts w:hint="eastAsia" w:ascii="黑体" w:hAnsi="宋体" w:eastAsia="黑体"/>
          <w:color w:val="auto"/>
          <w:szCs w:val="21"/>
        </w:rPr>
        <w:t xml:space="preserve"> </w:t>
      </w:r>
      <w:r>
        <w:rPr>
          <w:rFonts w:ascii="黑体" w:hAnsi="宋体" w:eastAsia="黑体"/>
          <w:color w:val="auto"/>
          <w:szCs w:val="21"/>
        </w:rPr>
        <w:t xml:space="preserve"> </w:t>
      </w:r>
      <w:r>
        <w:rPr>
          <w:rFonts w:hint="eastAsia" w:ascii="宋体" w:hAnsi="宋体"/>
          <w:color w:val="auto"/>
          <w:szCs w:val="21"/>
        </w:rPr>
        <w:t>主要指支撑科学研究、技术开发、产品研制的具有公益属性的基础设施。如，重大科技、科学研究、产业技术创新等建设项目。</w:t>
      </w:r>
    </w:p>
    <w:p>
      <w:pPr>
        <w:adjustRightInd w:val="0"/>
        <w:spacing w:line="360" w:lineRule="atLeast"/>
        <w:ind w:firstLine="420" w:firstLineChars="200"/>
        <w:rPr>
          <w:rFonts w:ascii="宋体"/>
          <w:color w:val="auto"/>
        </w:rPr>
      </w:pPr>
      <w:r>
        <w:rPr>
          <w:rFonts w:hint="eastAsia" w:ascii="黑体" w:eastAsia="黑体"/>
          <w:color w:val="auto"/>
        </w:rPr>
        <w:t>项目</w:t>
      </w:r>
      <w:r>
        <w:rPr>
          <w:rFonts w:ascii="黑体" w:eastAsia="黑体"/>
          <w:color w:val="auto"/>
        </w:rPr>
        <w:t>开工时间</w:t>
      </w:r>
      <w:r>
        <w:rPr>
          <w:rFonts w:hint="eastAsia" w:ascii="宋体"/>
          <w:color w:val="auto"/>
        </w:rPr>
        <w:t xml:space="preserve">  </w:t>
      </w:r>
      <w:r>
        <w:rPr>
          <w:rFonts w:ascii="宋体"/>
          <w:color w:val="auto"/>
        </w:rPr>
        <w:t>指项目开始建设的年月。代码6位，代码前4位为年份，后2位为月份，在填写1—9月份编码时，十位上应补“0”。按建设项目设计文件中规定的永久性工程第一次开始施工的年月填写。如果没有设计文件，就以计划方案规定的永久性工程实际开始施工的年月为准。建设项目永久性工程的开工时间，一般是指永久性工程正式破土开槽开始施工的时间，作为建筑物组成部分的正式打桩也算为开工。在此以前的准备工作，如工程地质勘察、平整场地、旧有建筑物的拆除、临时建筑、施工用临时道路、水、电等工程都不算正式开工。总体设计内的工程开工之前，用迁移补偿费先进行拆迁还建工程的项目不算正式开工。以前年度全部停缓建在本年复工的项目，仍按设计文件中规定的永久性工程第一次正式开工的年月填报，不按复工的时间填报开工年月。</w:t>
      </w:r>
    </w:p>
    <w:p>
      <w:pPr>
        <w:adjustRightInd w:val="0"/>
        <w:spacing w:line="360" w:lineRule="atLeast"/>
        <w:ind w:firstLine="420" w:firstLineChars="200"/>
        <w:rPr>
          <w:rFonts w:hint="eastAsia" w:ascii="宋体"/>
          <w:color w:val="auto"/>
        </w:rPr>
      </w:pPr>
      <w:r>
        <w:rPr>
          <w:rFonts w:hint="eastAsia" w:ascii="宋体"/>
          <w:color w:val="auto"/>
        </w:rPr>
        <w:t>没有土建工程的项目，开工时间填写安装工程开始施工的时间。水利、交通、铁路等需要进行大量土、石方工程的项目，开工时间按开始进行土、石方工程的时间填写。项目正式开工才能报送数据。</w:t>
      </w:r>
    </w:p>
    <w:p>
      <w:pPr>
        <w:adjustRightInd w:val="0"/>
        <w:spacing w:line="360" w:lineRule="atLeast"/>
        <w:ind w:firstLine="420"/>
        <w:rPr>
          <w:rFonts w:hint="eastAsia" w:ascii="宋体"/>
          <w:color w:val="auto"/>
        </w:rPr>
      </w:pPr>
      <w:r>
        <w:rPr>
          <w:rFonts w:hint="eastAsia" w:ascii="黑体" w:eastAsia="黑体"/>
          <w:color w:val="auto"/>
        </w:rPr>
        <w:t xml:space="preserve">本年全部投产时间  </w:t>
      </w:r>
      <w:r>
        <w:rPr>
          <w:rFonts w:hint="eastAsia" w:ascii="宋体"/>
          <w:color w:val="auto"/>
        </w:rPr>
        <w:t>指建设项目按计划规定的生产能力（或效益）在本年内按合同规定全部建成，经验收合格或达到竣工验收标准(引进项目并应按合同规定经过试生产考核达到验收标准，经双方签字确认)正式移交生产或交付使用的时间。</w:t>
      </w:r>
    </w:p>
    <w:p>
      <w:pPr>
        <w:adjustRightInd w:val="0"/>
        <w:spacing w:line="360" w:lineRule="atLeast"/>
        <w:ind w:firstLine="420" w:firstLineChars="200"/>
        <w:rPr>
          <w:rFonts w:hint="eastAsia" w:ascii="宋体" w:hAnsi="宋体"/>
          <w:color w:val="auto"/>
        </w:rPr>
      </w:pPr>
      <w:r>
        <w:rPr>
          <w:rFonts w:hint="eastAsia" w:ascii="黑体" w:hAnsi="宋体" w:eastAsia="黑体"/>
          <w:color w:val="auto"/>
        </w:rPr>
        <w:t xml:space="preserve">期末项目建设状态 </w:t>
      </w:r>
      <w:r>
        <w:rPr>
          <w:rFonts w:hint="eastAsia" w:ascii="宋体" w:hAnsi="宋体"/>
          <w:color w:val="auto"/>
        </w:rPr>
        <w:t xml:space="preserve"> 指报告期末建设项目状态情况。</w:t>
      </w:r>
    </w:p>
    <w:p>
      <w:pPr>
        <w:adjustRightInd w:val="0"/>
        <w:spacing w:line="360" w:lineRule="atLeast"/>
        <w:ind w:firstLine="420" w:firstLineChars="200"/>
        <w:rPr>
          <w:rFonts w:hint="eastAsia" w:ascii="宋体"/>
          <w:color w:val="auto"/>
        </w:rPr>
      </w:pPr>
      <w:r>
        <w:rPr>
          <w:rFonts w:hint="eastAsia" w:ascii="黑体" w:eastAsia="黑体"/>
          <w:color w:val="auto"/>
        </w:rPr>
        <w:t xml:space="preserve">在建 </w:t>
      </w:r>
      <w:r>
        <w:rPr>
          <w:rFonts w:hint="eastAsia" w:ascii="宋体"/>
          <w:color w:val="auto"/>
        </w:rPr>
        <w:t xml:space="preserve"> 指项目本年正式进行过建筑或安装施工活动，但在报告期末尚未建成投产,处于建设阶段。包括本期施工项目，也包括以前年度施过工结转到本期尚未开工的建设项目。</w:t>
      </w:r>
    </w:p>
    <w:p>
      <w:pPr>
        <w:adjustRightInd w:val="0"/>
        <w:spacing w:line="360" w:lineRule="atLeast"/>
        <w:ind w:firstLine="420" w:firstLineChars="200"/>
        <w:rPr>
          <w:rFonts w:hint="eastAsia" w:ascii="宋体" w:hAnsi="宋体"/>
          <w:color w:val="auto"/>
          <w:szCs w:val="30"/>
        </w:rPr>
      </w:pPr>
      <w:r>
        <w:rPr>
          <w:rFonts w:hint="eastAsia" w:ascii="宋体"/>
          <w:color w:val="auto"/>
        </w:rPr>
        <w:t>报告期末已经成立专门的筹集机构，且财务上可以独立核算的筹建项目，期末建设状态也可以填“在建”，但不能报送建设用地费，建设用地费只有在项目正式开工时才能报送。不能满足成立筹建机构和独立核算两个条件的项目，只有在项目正式开工时才能上报，不能按筹建项目上报。</w:t>
      </w:r>
    </w:p>
    <w:p>
      <w:pPr>
        <w:adjustRightInd w:val="0"/>
        <w:spacing w:line="360" w:lineRule="atLeast"/>
        <w:ind w:firstLine="420" w:firstLineChars="200"/>
        <w:rPr>
          <w:rFonts w:ascii="宋体"/>
          <w:color w:val="auto"/>
        </w:rPr>
      </w:pPr>
      <w:r>
        <w:rPr>
          <w:rFonts w:hint="eastAsia" w:ascii="黑体" w:eastAsia="黑体"/>
          <w:color w:val="auto"/>
        </w:rPr>
        <w:t xml:space="preserve">全部投产 </w:t>
      </w:r>
      <w:r>
        <w:rPr>
          <w:rFonts w:hint="eastAsia" w:ascii="宋体" w:hAnsi="宋体"/>
          <w:color w:val="auto"/>
          <w:szCs w:val="30"/>
        </w:rPr>
        <w:t xml:space="preserve"> </w:t>
      </w:r>
      <w:r>
        <w:rPr>
          <w:rFonts w:hint="eastAsia" w:ascii="宋体"/>
          <w:color w:val="auto"/>
        </w:rPr>
        <w:t>指项目按计划规定的生产能力(或效益)在报告期内全部建成，经验收合格或达到竣工验收标准。</w:t>
      </w:r>
    </w:p>
    <w:p>
      <w:pPr>
        <w:adjustRightInd w:val="0"/>
        <w:spacing w:line="360" w:lineRule="atLeast"/>
        <w:ind w:firstLine="420" w:firstLineChars="200"/>
        <w:rPr>
          <w:rFonts w:hint="eastAsia" w:ascii="宋体"/>
          <w:color w:val="auto"/>
        </w:rPr>
      </w:pPr>
      <w:r>
        <w:rPr>
          <w:rFonts w:hint="eastAsia" w:ascii="黑体" w:eastAsia="黑体"/>
          <w:color w:val="auto"/>
        </w:rPr>
        <w:t>全部停缓建</w:t>
      </w:r>
      <w:r>
        <w:rPr>
          <w:rFonts w:hint="eastAsia" w:ascii="宋体" w:hAnsi="宋体"/>
          <w:color w:val="auto"/>
          <w:szCs w:val="30"/>
        </w:rPr>
        <w:t xml:space="preserve">  </w:t>
      </w:r>
      <w:r>
        <w:rPr>
          <w:rFonts w:hint="eastAsia" w:ascii="宋体"/>
          <w:color w:val="auto"/>
        </w:rPr>
        <w:t>指在报告期内经批准并已收到全部停缓建通知的项目。</w:t>
      </w:r>
    </w:p>
    <w:p>
      <w:pPr>
        <w:adjustRightInd w:val="0"/>
        <w:spacing w:line="360" w:lineRule="atLeast"/>
        <w:ind w:firstLine="420" w:firstLineChars="200"/>
        <w:rPr>
          <w:rFonts w:hint="eastAsia" w:ascii="宋体"/>
          <w:color w:val="auto"/>
        </w:rPr>
      </w:pPr>
      <w:r>
        <w:rPr>
          <w:rFonts w:hint="eastAsia" w:ascii="黑体" w:eastAsia="黑体"/>
          <w:color w:val="auto"/>
        </w:rPr>
        <w:t>“三新”项目</w:t>
      </w:r>
      <w:r>
        <w:rPr>
          <w:rFonts w:hint="eastAsia" w:ascii="宋体"/>
          <w:color w:val="auto"/>
        </w:rPr>
        <w:t xml:space="preserve">  “三新”指新产业、新业态、新商业模式。“三新”项目指建设</w:t>
      </w:r>
      <w:r>
        <w:rPr>
          <w:rFonts w:ascii="宋体"/>
          <w:color w:val="auto"/>
        </w:rPr>
        <w:t>内容</w:t>
      </w:r>
      <w:r>
        <w:rPr>
          <w:rFonts w:hint="eastAsia" w:ascii="宋体"/>
          <w:color w:val="auto"/>
        </w:rPr>
        <w:t>属于新产业、新业态、新商业模式的投资项目。“三新”</w:t>
      </w:r>
      <w:r>
        <w:rPr>
          <w:rFonts w:ascii="宋体"/>
          <w:color w:val="auto"/>
        </w:rPr>
        <w:t>包括</w:t>
      </w:r>
      <w:r>
        <w:rPr>
          <w:rFonts w:hint="eastAsia" w:ascii="宋体"/>
          <w:color w:val="auto"/>
        </w:rPr>
        <w:t>十大领域：新型现代农业、战略性新型产业、新服务、高技术</w:t>
      </w:r>
      <w:r>
        <w:rPr>
          <w:rFonts w:ascii="宋体"/>
          <w:color w:val="auto"/>
        </w:rPr>
        <w:t>产业</w:t>
      </w:r>
      <w:r>
        <w:rPr>
          <w:rFonts w:hint="eastAsia" w:ascii="宋体"/>
          <w:color w:val="auto"/>
        </w:rPr>
        <w:t>、科技</w:t>
      </w:r>
      <w:r>
        <w:rPr>
          <w:rFonts w:ascii="宋体"/>
          <w:color w:val="auto"/>
        </w:rPr>
        <w:t>企业孵化器</w:t>
      </w:r>
      <w:r>
        <w:rPr>
          <w:rFonts w:hint="eastAsia" w:ascii="宋体"/>
          <w:color w:val="auto"/>
        </w:rPr>
        <w:t>、互联网</w:t>
      </w:r>
      <w:r>
        <w:rPr>
          <w:rFonts w:ascii="宋体"/>
          <w:color w:val="auto"/>
        </w:rPr>
        <w:t>平台</w:t>
      </w:r>
      <w:r>
        <w:rPr>
          <w:rFonts w:hint="eastAsia" w:ascii="宋体"/>
          <w:color w:val="auto"/>
        </w:rPr>
        <w:t>、电子</w:t>
      </w:r>
      <w:r>
        <w:rPr>
          <w:rFonts w:ascii="宋体"/>
          <w:color w:val="auto"/>
        </w:rPr>
        <w:t>商务</w:t>
      </w:r>
      <w:r>
        <w:rPr>
          <w:rFonts w:hint="eastAsia" w:ascii="宋体"/>
          <w:color w:val="auto"/>
        </w:rPr>
        <w:t>、互联网</w:t>
      </w:r>
      <w:r>
        <w:rPr>
          <w:rFonts w:ascii="宋体"/>
          <w:color w:val="auto"/>
        </w:rPr>
        <w:t>金融</w:t>
      </w:r>
      <w:r>
        <w:rPr>
          <w:rFonts w:hint="eastAsia" w:ascii="宋体"/>
          <w:color w:val="auto"/>
        </w:rPr>
        <w:t>、城市</w:t>
      </w:r>
      <w:r>
        <w:rPr>
          <w:rFonts w:ascii="宋体"/>
          <w:color w:val="auto"/>
        </w:rPr>
        <w:t>商业综合体</w:t>
      </w:r>
      <w:r>
        <w:rPr>
          <w:rFonts w:hint="eastAsia" w:ascii="宋体"/>
          <w:color w:val="auto"/>
        </w:rPr>
        <w:t>、开发园区，具体分类详见《新产业新业态</w:t>
      </w:r>
      <w:r>
        <w:rPr>
          <w:rFonts w:ascii="宋体"/>
          <w:color w:val="auto"/>
        </w:rPr>
        <w:t>新商业模式</w:t>
      </w:r>
      <w:r>
        <w:rPr>
          <w:rFonts w:hint="eastAsia" w:ascii="宋体"/>
          <w:color w:val="auto"/>
        </w:rPr>
        <w:t>统计</w:t>
      </w:r>
      <w:r>
        <w:rPr>
          <w:rFonts w:ascii="宋体"/>
          <w:color w:val="auto"/>
        </w:rPr>
        <w:t>分类</w:t>
      </w:r>
      <w:r>
        <w:rPr>
          <w:rFonts w:hint="eastAsia" w:ascii="宋体"/>
          <w:color w:val="auto"/>
        </w:rPr>
        <w:t>表（2018）》。该指标根据《新产业新业态</w:t>
      </w:r>
      <w:r>
        <w:rPr>
          <w:rFonts w:ascii="宋体"/>
          <w:color w:val="auto"/>
        </w:rPr>
        <w:t>新商业模式</w:t>
      </w:r>
      <w:r>
        <w:rPr>
          <w:rFonts w:hint="eastAsia" w:ascii="宋体"/>
          <w:color w:val="auto"/>
        </w:rPr>
        <w:t>统计</w:t>
      </w:r>
      <w:r>
        <w:rPr>
          <w:rFonts w:ascii="宋体"/>
          <w:color w:val="auto"/>
        </w:rPr>
        <w:t>分类</w:t>
      </w:r>
      <w:r>
        <w:rPr>
          <w:rFonts w:hint="eastAsia" w:ascii="宋体"/>
          <w:color w:val="auto"/>
        </w:rPr>
        <w:t>表（2018）》填报，建设内容属于该分类表的项目填报“是”，不属于该统计分类表的项目填“否”。</w:t>
      </w:r>
    </w:p>
    <w:p>
      <w:pPr>
        <w:adjustRightInd w:val="0"/>
        <w:spacing w:line="360" w:lineRule="atLeast"/>
        <w:ind w:firstLine="420" w:firstLineChars="200"/>
        <w:rPr>
          <w:rFonts w:hint="eastAsia" w:ascii="宋体"/>
          <w:color w:val="auto"/>
        </w:rPr>
      </w:pPr>
      <w:r>
        <w:rPr>
          <w:rFonts w:hint="eastAsia" w:ascii="黑体" w:eastAsia="黑体"/>
          <w:color w:val="auto"/>
        </w:rPr>
        <w:t>政府</w:t>
      </w:r>
      <w:r>
        <w:rPr>
          <w:rFonts w:ascii="黑体" w:eastAsia="黑体"/>
          <w:color w:val="auto"/>
        </w:rPr>
        <w:t>专项债</w:t>
      </w:r>
      <w:r>
        <w:rPr>
          <w:rFonts w:hint="eastAsia" w:ascii="黑体" w:eastAsia="黑体"/>
          <w:color w:val="auto"/>
        </w:rPr>
        <w:t>项目</w:t>
      </w:r>
      <w:r>
        <w:rPr>
          <w:rFonts w:hint="eastAsia" w:ascii="宋体"/>
          <w:color w:val="auto"/>
        </w:rPr>
        <w:t xml:space="preserve">  指使用地方政府专项债券资金的项目。地方政府专项债券指省级政府为有一定收益的公益性项目发行的、以公益性项目对应的政府性基金收入或专项收入作为还本付息资金来源的政府债券，包括新增专项债券和再融资专项债券等。</w:t>
      </w:r>
    </w:p>
    <w:p>
      <w:pPr>
        <w:adjustRightInd w:val="0"/>
        <w:spacing w:line="360" w:lineRule="atLeast"/>
        <w:ind w:firstLine="420" w:firstLineChars="200"/>
        <w:rPr>
          <w:rFonts w:hint="eastAsia" w:asciiTheme="minorEastAsia" w:hAnsiTheme="minorEastAsia" w:eastAsiaTheme="minorEastAsia" w:cstheme="minorEastAsia"/>
          <w:color w:val="auto"/>
          <w:lang w:val="en-US" w:eastAsia="zh-CN"/>
        </w:rPr>
      </w:pPr>
      <w:r>
        <w:rPr>
          <w:rFonts w:hint="eastAsia" w:ascii="黑体" w:eastAsia="黑体"/>
          <w:color w:val="auto"/>
          <w:lang w:val="en-US" w:eastAsia="zh-CN"/>
        </w:rPr>
        <w:t xml:space="preserve">超长期国债项目 </w:t>
      </w:r>
      <w:r>
        <w:rPr>
          <w:rFonts w:hint="eastAsia" w:asciiTheme="minorEastAsia" w:hAnsiTheme="minorEastAsia" w:eastAsiaTheme="minorEastAsia" w:cstheme="minorEastAsia"/>
          <w:color w:val="auto"/>
          <w:lang w:val="en-US" w:eastAsia="zh-CN"/>
        </w:rPr>
        <w:t>一般指发行期限在 10 年以上的，为特定目标发行的、具有明确用途的国债， 超长期特别国债专项用于国家重大战略实施和重点领域安全能力建设。</w:t>
      </w:r>
    </w:p>
    <w:p>
      <w:pPr>
        <w:adjustRightInd w:val="0"/>
        <w:spacing w:line="360" w:lineRule="atLeast"/>
        <w:ind w:firstLine="420" w:firstLineChars="200"/>
        <w:rPr>
          <w:rFonts w:hint="eastAsia" w:ascii="宋体"/>
          <w:color w:val="auto"/>
          <w:lang w:val="en-US" w:eastAsia="zh-CN"/>
        </w:rPr>
      </w:pPr>
      <w:r>
        <w:rPr>
          <w:rFonts w:hint="eastAsia" w:ascii="黑体" w:eastAsia="黑体"/>
          <w:color w:val="auto"/>
          <w:lang w:val="en-US" w:eastAsia="zh-CN"/>
        </w:rPr>
        <w:t>城市更新项目</w:t>
      </w:r>
      <w:r>
        <w:rPr>
          <w:rFonts w:hint="eastAsia" w:ascii="宋体"/>
          <w:color w:val="auto"/>
          <w:lang w:val="en-US" w:eastAsia="zh-CN"/>
        </w:rPr>
        <w:t xml:space="preserve"> 指对本市建成区内城市空间形态和城市功能的持续完善和优化调整，具体包括：1. 以保障老旧平房院落、危旧楼房、老旧小区等房屋安全，提升居住品质为主的居住类城市更新；2.以推 动老旧厂房、低效产业园区、老旧低效楼宇、传统商业设施等存量空间资源提质增效为主的产业类城市 更新；3.以更新改造老旧市政基础设施、公共服务设施、公共安全设施，保障安全、补足短板为主的设 施类城市更新；4.以提升绿色空间、滨水空间、慢行系统等环境品质为主的公共空间类城市更新；5.以 统筹存量资源配置，优化功能布局，实现片区可持续发展的区域综合性城市更新；6.市人民政府确定的 其他城市更新活动。城市更新活动不包括土地储备、房地产一级开发等项目。 </w:t>
      </w:r>
    </w:p>
    <w:p>
      <w:pPr>
        <w:adjustRightInd w:val="0"/>
        <w:spacing w:line="360" w:lineRule="atLeast"/>
        <w:ind w:firstLine="420" w:firstLineChars="200"/>
        <w:rPr>
          <w:rFonts w:hint="eastAsia" w:ascii="黑体" w:eastAsia="黑体"/>
          <w:color w:val="auto"/>
          <w:lang w:val="en-US" w:eastAsia="zh-CN"/>
        </w:rPr>
      </w:pPr>
      <w:r>
        <w:rPr>
          <w:rFonts w:hint="eastAsia" w:ascii="黑体" w:eastAsia="黑体"/>
          <w:color w:val="auto"/>
          <w:lang w:val="en-US" w:eastAsia="zh-CN"/>
        </w:rPr>
        <w:t xml:space="preserve">城中村改造项目 </w:t>
      </w:r>
      <w:r>
        <w:rPr>
          <w:rFonts w:hint="eastAsia" w:ascii="宋体"/>
          <w:color w:val="auto"/>
          <w:lang w:val="en-US" w:eastAsia="zh-CN"/>
        </w:rPr>
        <w:t>城中村改造是指根据地区社会经济发展计划和城市总体规划，按照城市化要求， 对城中村进行综合改造的行为。超大特大城市城中村改造分三类推进实施。第一类是符合条件的实施拆 除新建，第二类是开展经常性整治提升，第三类是介于两者之间的实施拆整结合。城中村改造项目指城中村改造过程中实施的固定资产投资项目。填报该表识时应注意：一是该项目建设内容必须属于固定资 产投资；二是该标识仅限于行业代码为基础设施或房地产业的投资项目填报。</w:t>
      </w:r>
      <w:r>
        <w:rPr>
          <w:rFonts w:hint="eastAsia" w:ascii="黑体" w:eastAsia="黑体"/>
          <w:color w:val="auto"/>
          <w:lang w:val="en-US" w:eastAsia="zh-CN"/>
        </w:rPr>
        <w:t xml:space="preserve"> </w:t>
      </w:r>
    </w:p>
    <w:p>
      <w:pPr>
        <w:adjustRightInd w:val="0"/>
        <w:spacing w:line="360" w:lineRule="atLeast"/>
        <w:ind w:firstLine="420" w:firstLineChars="200"/>
        <w:rPr>
          <w:rFonts w:hint="eastAsia"/>
          <w:color w:val="auto"/>
        </w:rPr>
      </w:pPr>
      <w:r>
        <w:rPr>
          <w:rFonts w:hint="eastAsia" w:ascii="黑体" w:eastAsia="黑体"/>
          <w:color w:val="auto"/>
          <w:lang w:val="en-US" w:eastAsia="zh-CN"/>
        </w:rPr>
        <w:t>“平急两用”公共基础设施建设项目</w:t>
      </w:r>
      <w:r>
        <w:rPr>
          <w:rFonts w:hint="eastAsia" w:ascii="宋体"/>
          <w:color w:val="auto"/>
          <w:lang w:val="en-US" w:eastAsia="zh-CN"/>
        </w:rPr>
        <w:t xml:space="preserve"> 指既具备日常运营功能，又具备应急响应能力的公共基础设 施项目。该标识仅限于行业代码为基础设施领域的投资项目填报。</w:t>
      </w:r>
    </w:p>
    <w:p>
      <w:pPr>
        <w:adjustRightInd w:val="0"/>
        <w:spacing w:line="360" w:lineRule="atLeast"/>
        <w:ind w:firstLine="420"/>
        <w:rPr>
          <w:rFonts w:hint="eastAsia" w:ascii="宋体"/>
          <w:color w:val="auto"/>
        </w:rPr>
      </w:pPr>
      <w:r>
        <w:rPr>
          <w:rFonts w:ascii="黑体" w:eastAsia="黑体"/>
          <w:color w:val="auto"/>
        </w:rPr>
        <w:t>建筑安装工程填报依据</w:t>
      </w:r>
      <w:r>
        <w:rPr>
          <w:rFonts w:hint="eastAsia" w:ascii="黑体" w:eastAsia="黑体"/>
          <w:color w:val="auto"/>
        </w:rPr>
        <w:t xml:space="preserve"> </w:t>
      </w:r>
      <w:r>
        <w:rPr>
          <w:rFonts w:ascii="黑体" w:eastAsia="黑体"/>
          <w:color w:val="auto"/>
        </w:rPr>
        <w:t xml:space="preserve"> </w:t>
      </w:r>
      <w:r>
        <w:rPr>
          <w:rFonts w:ascii="宋体"/>
          <w:color w:val="auto"/>
        </w:rPr>
        <w:t>建筑安装工程投资额应按照依据</w:t>
      </w:r>
      <w:r>
        <w:rPr>
          <w:rFonts w:hint="eastAsia" w:ascii="宋体"/>
          <w:color w:val="auto"/>
        </w:rPr>
        <w:t>种类</w:t>
      </w:r>
      <w:r>
        <w:rPr>
          <w:rFonts w:ascii="宋体"/>
          <w:color w:val="auto"/>
        </w:rPr>
        <w:t>规范填报</w:t>
      </w:r>
      <w:r>
        <w:rPr>
          <w:rFonts w:hint="eastAsia" w:ascii="宋体"/>
          <w:color w:val="auto"/>
        </w:rPr>
        <w:t>，</w:t>
      </w:r>
      <w:r>
        <w:rPr>
          <w:rFonts w:ascii="宋体"/>
          <w:color w:val="auto"/>
        </w:rPr>
        <w:t>填报依据在整个项目上报期间应保持一致</w:t>
      </w:r>
      <w:r>
        <w:rPr>
          <w:rFonts w:hint="eastAsia" w:ascii="宋体"/>
          <w:color w:val="auto"/>
        </w:rPr>
        <w:t>。建筑安装工程可以选择以下两种方式之一填报：</w:t>
      </w:r>
      <w:r>
        <w:rPr>
          <w:rFonts w:hint="eastAsia" w:ascii="宋体" w:hAnsi="宋体"/>
          <w:color w:val="auto"/>
        </w:rPr>
        <w:t>①</w:t>
      </w:r>
      <w:r>
        <w:rPr>
          <w:rFonts w:hint="eastAsia" w:ascii="宋体"/>
          <w:color w:val="auto"/>
        </w:rPr>
        <w:t>工程结算单或进度单：工程结算单或进度单须由工程三方（建设方、施工方、监理方）签字盖章，单方或双方出具的进度单不作为填报依据。</w:t>
      </w:r>
      <w:r>
        <w:rPr>
          <w:rFonts w:hint="eastAsia" w:ascii="宋体" w:hAnsi="宋体"/>
          <w:color w:val="auto"/>
        </w:rPr>
        <w:t>②</w:t>
      </w:r>
      <w:r>
        <w:rPr>
          <w:rFonts w:hint="eastAsia" w:ascii="宋体"/>
          <w:color w:val="auto"/>
        </w:rPr>
        <w:t>会计科目或支付凭证。</w:t>
      </w:r>
    </w:p>
    <w:p>
      <w:pPr>
        <w:adjustRightInd w:val="0"/>
        <w:spacing w:line="360" w:lineRule="atLeast"/>
        <w:ind w:firstLine="420"/>
        <w:rPr>
          <w:rFonts w:ascii="宋体"/>
          <w:color w:val="auto"/>
        </w:rPr>
      </w:pPr>
      <w:r>
        <w:rPr>
          <w:rFonts w:hint="eastAsia" w:ascii="宋体"/>
          <w:b/>
          <w:bCs/>
          <w:color w:val="auto"/>
        </w:rPr>
        <w:t>民间资本参股比例</w:t>
      </w:r>
      <w:r>
        <w:rPr>
          <w:rFonts w:hint="eastAsia" w:ascii="宋体"/>
          <w:color w:val="auto"/>
        </w:rPr>
        <w:t xml:space="preserve"> 指固定资产投资建设项目的全体股东中，所有民间资本主体股东所持股份的股权占比合计。</w:t>
      </w:r>
    </w:p>
    <w:p>
      <w:pPr>
        <w:pStyle w:val="9"/>
        <w:spacing w:line="440" w:lineRule="exact"/>
        <w:rPr>
          <w:rFonts w:hint="eastAsia"/>
          <w:color w:val="auto"/>
        </w:rPr>
      </w:pPr>
    </w:p>
    <w:p>
      <w:pPr>
        <w:adjustRightInd w:val="0"/>
        <w:spacing w:line="360" w:lineRule="atLeast"/>
        <w:ind w:firstLine="420" w:firstLineChars="200"/>
        <w:rPr>
          <w:rFonts w:hint="eastAsia" w:ascii="黑体" w:eastAsia="黑体"/>
          <w:color w:val="auto"/>
        </w:rPr>
      </w:pPr>
      <w:r>
        <w:rPr>
          <w:rFonts w:hint="eastAsia" w:ascii="黑体" w:eastAsia="黑体"/>
          <w:color w:val="auto"/>
        </w:rPr>
        <w:t>3.固定资产投资额和新增固定资产</w:t>
      </w:r>
    </w:p>
    <w:p>
      <w:pPr>
        <w:adjustRightInd w:val="0"/>
        <w:spacing w:line="360" w:lineRule="atLeast"/>
        <w:ind w:firstLine="420" w:firstLineChars="200"/>
        <w:rPr>
          <w:rFonts w:hint="eastAsia" w:ascii="黑体" w:eastAsia="黑体"/>
          <w:color w:val="auto"/>
        </w:rPr>
      </w:pPr>
      <w:r>
        <w:rPr>
          <w:rFonts w:hint="eastAsia" w:ascii="黑体" w:eastAsia="黑体"/>
          <w:color w:val="auto"/>
        </w:rPr>
        <w:t>固定资产投资额  指以货币形式表现的在一定时期内建造和购置固定资产的工作量以及与此有关的费用的总称。固定资产投资统计范围不包括：</w:t>
      </w:r>
    </w:p>
    <w:p>
      <w:pPr>
        <w:adjustRightInd w:val="0"/>
        <w:spacing w:line="36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（1）不属于固定资产的。</w:t>
      </w:r>
    </w:p>
    <w:p>
      <w:pPr>
        <w:adjustRightInd w:val="0"/>
        <w:spacing w:line="36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①流动资产。无论是否</w:t>
      </w:r>
      <w:r>
        <w:rPr>
          <w:rFonts w:ascii="宋体" w:hAnsi="宋体" w:cs="宋体"/>
          <w:color w:val="auto"/>
          <w:kern w:val="0"/>
          <w:szCs w:val="21"/>
        </w:rPr>
        <w:t>与固定资产投资项目相关，均不能纳入</w:t>
      </w:r>
      <w:r>
        <w:rPr>
          <w:rFonts w:hint="eastAsia" w:ascii="宋体" w:hAnsi="宋体" w:cs="宋体"/>
          <w:color w:val="auto"/>
          <w:kern w:val="0"/>
          <w:szCs w:val="21"/>
        </w:rPr>
        <w:t>固定资产</w:t>
      </w:r>
      <w:r>
        <w:rPr>
          <w:rFonts w:ascii="宋体" w:hAnsi="宋体" w:cs="宋体"/>
          <w:color w:val="auto"/>
          <w:kern w:val="0"/>
          <w:szCs w:val="21"/>
        </w:rPr>
        <w:t>投资统计范围</w:t>
      </w:r>
      <w:r>
        <w:rPr>
          <w:rFonts w:hint="eastAsia" w:ascii="宋体" w:hAnsi="宋体" w:cs="宋体"/>
          <w:color w:val="auto"/>
          <w:kern w:val="0"/>
          <w:szCs w:val="21"/>
        </w:rPr>
        <w:t>。</w:t>
      </w:r>
    </w:p>
    <w:p>
      <w:pPr>
        <w:adjustRightInd w:val="0"/>
        <w:spacing w:line="36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②消耗品，如办公耗材（</w:t>
      </w:r>
      <w:r>
        <w:rPr>
          <w:rFonts w:ascii="宋体" w:hAnsi="宋体" w:cs="宋体"/>
          <w:color w:val="auto"/>
          <w:kern w:val="0"/>
          <w:szCs w:val="21"/>
        </w:rPr>
        <w:t>低值易耗品</w:t>
      </w:r>
      <w:r>
        <w:rPr>
          <w:rFonts w:hint="eastAsia" w:ascii="宋体" w:hAnsi="宋体" w:cs="宋体"/>
          <w:color w:val="auto"/>
          <w:kern w:val="0"/>
          <w:szCs w:val="21"/>
        </w:rPr>
        <w:t>）等。</w:t>
      </w:r>
    </w:p>
    <w:p>
      <w:pPr>
        <w:adjustRightInd w:val="0"/>
        <w:spacing w:line="36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③投资品，</w:t>
      </w:r>
      <w:r>
        <w:rPr>
          <w:rFonts w:ascii="宋体" w:hAnsi="宋体" w:cs="宋体"/>
          <w:color w:val="auto"/>
          <w:kern w:val="0"/>
          <w:szCs w:val="21"/>
        </w:rPr>
        <w:t>如</w:t>
      </w:r>
      <w:r>
        <w:rPr>
          <w:rFonts w:ascii="宋体" w:hAnsi="宋体" w:cs="宋体"/>
          <w:color w:val="auto"/>
          <w:kern w:val="0"/>
          <w:szCs w:val="21"/>
          <w:u w:val="none"/>
        </w:rPr>
        <w:t>股票</w:t>
      </w:r>
      <w:r>
        <w:rPr>
          <w:rFonts w:ascii="宋体" w:hAnsi="宋体" w:cs="宋体"/>
          <w:color w:val="auto"/>
          <w:kern w:val="0"/>
          <w:szCs w:val="21"/>
        </w:rPr>
        <w:t>（或股权）、</w:t>
      </w:r>
      <w:r>
        <w:rPr>
          <w:rFonts w:ascii="宋体" w:hAnsi="宋体" w:cs="宋体"/>
          <w:color w:val="auto"/>
          <w:kern w:val="0"/>
          <w:szCs w:val="21"/>
          <w:u w:val="none"/>
        </w:rPr>
        <w:t>期货</w:t>
      </w:r>
      <w:r>
        <w:rPr>
          <w:rFonts w:ascii="宋体" w:hAnsi="宋体" w:cs="宋体"/>
          <w:color w:val="auto"/>
          <w:kern w:val="0"/>
          <w:szCs w:val="21"/>
        </w:rPr>
        <w:t>、</w:t>
      </w:r>
      <w:r>
        <w:rPr>
          <w:rFonts w:ascii="宋体" w:hAnsi="宋体" w:cs="宋体"/>
          <w:color w:val="auto"/>
          <w:kern w:val="0"/>
          <w:szCs w:val="21"/>
          <w:u w:val="none"/>
        </w:rPr>
        <w:t>金融衍生产品</w:t>
      </w:r>
      <w:r>
        <w:rPr>
          <w:rFonts w:hint="eastAsia" w:ascii="宋体" w:hAnsi="宋体" w:cs="宋体"/>
          <w:color w:val="auto"/>
          <w:kern w:val="0"/>
          <w:szCs w:val="21"/>
        </w:rPr>
        <w:t>、古玩字画</w:t>
      </w:r>
      <w:r>
        <w:rPr>
          <w:rFonts w:ascii="宋体" w:hAnsi="宋体" w:cs="宋体"/>
          <w:color w:val="auto"/>
          <w:kern w:val="0"/>
          <w:szCs w:val="21"/>
        </w:rPr>
        <w:t>、文艺作品</w:t>
      </w:r>
      <w:r>
        <w:rPr>
          <w:rFonts w:hint="eastAsia" w:ascii="宋体" w:hAnsi="宋体" w:cs="宋体"/>
          <w:color w:val="auto"/>
          <w:kern w:val="0"/>
          <w:szCs w:val="21"/>
        </w:rPr>
        <w:t>等。</w:t>
      </w:r>
    </w:p>
    <w:p>
      <w:pPr>
        <w:adjustRightInd w:val="0"/>
        <w:spacing w:line="36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④消耗性生物资产，如农作物、待售林木和花卉、存栏待售的牲畜（非种畜、役畜）等。</w:t>
      </w:r>
    </w:p>
    <w:p>
      <w:pPr>
        <w:adjustRightInd w:val="0"/>
        <w:spacing w:line="36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⑤发放给农户的货币补贴，如美丽乡村、新农村建设等项目中的补贴。</w:t>
      </w:r>
    </w:p>
    <w:p>
      <w:pPr>
        <w:adjustRightInd w:val="0"/>
        <w:spacing w:line="36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⑥投资统计制度规定的其他不应纳入投资统计范围的内容。</w:t>
      </w:r>
    </w:p>
    <w:p>
      <w:pPr>
        <w:adjustRightInd w:val="0"/>
        <w:spacing w:line="36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（2）相关支出</w:t>
      </w:r>
      <w:r>
        <w:rPr>
          <w:rFonts w:ascii="宋体" w:hAnsi="宋体" w:cs="宋体"/>
          <w:color w:val="auto"/>
          <w:kern w:val="0"/>
          <w:szCs w:val="21"/>
        </w:rPr>
        <w:t>在会计</w:t>
      </w:r>
      <w:r>
        <w:rPr>
          <w:rFonts w:hint="eastAsia" w:ascii="宋体" w:hAnsi="宋体" w:cs="宋体"/>
          <w:color w:val="auto"/>
          <w:kern w:val="0"/>
          <w:szCs w:val="21"/>
        </w:rPr>
        <w:t>上</w:t>
      </w:r>
      <w:r>
        <w:rPr>
          <w:rFonts w:ascii="宋体" w:hAnsi="宋体" w:cs="宋体"/>
          <w:color w:val="auto"/>
          <w:kern w:val="0"/>
          <w:szCs w:val="21"/>
        </w:rPr>
        <w:t>作为</w:t>
      </w:r>
      <w:r>
        <w:rPr>
          <w:rFonts w:hint="eastAsia" w:ascii="宋体" w:hAnsi="宋体" w:cs="宋体"/>
          <w:color w:val="auto"/>
          <w:kern w:val="0"/>
          <w:szCs w:val="21"/>
        </w:rPr>
        <w:t>成本</w:t>
      </w:r>
      <w:r>
        <w:rPr>
          <w:rFonts w:ascii="宋体" w:hAnsi="宋体" w:cs="宋体"/>
          <w:color w:val="auto"/>
          <w:kern w:val="0"/>
          <w:szCs w:val="21"/>
        </w:rPr>
        <w:t>费用</w:t>
      </w:r>
      <w:r>
        <w:rPr>
          <w:rFonts w:hint="eastAsia" w:ascii="宋体" w:hAnsi="宋体" w:cs="宋体"/>
          <w:color w:val="auto"/>
          <w:kern w:val="0"/>
          <w:szCs w:val="21"/>
        </w:rPr>
        <w:t>处理的建设活动。</w:t>
      </w:r>
    </w:p>
    <w:p>
      <w:pPr>
        <w:adjustRightInd w:val="0"/>
        <w:spacing w:line="360" w:lineRule="atLeast"/>
        <w:ind w:firstLine="420" w:firstLineChars="200"/>
        <w:rPr>
          <w:rFonts w:hint="eastAsia" w:ascii="宋体" w:hAnsi="宋体" w:cs="宋体"/>
          <w:color w:val="auto"/>
          <w:kern w:val="0"/>
          <w:szCs w:val="21"/>
        </w:rPr>
      </w:pPr>
      <w:r>
        <w:rPr>
          <w:rFonts w:ascii="宋体" w:hAnsi="宋体" w:cs="宋体"/>
          <w:color w:val="auto"/>
          <w:kern w:val="0"/>
          <w:szCs w:val="21"/>
        </w:rPr>
        <w:t>一般</w:t>
      </w:r>
      <w:r>
        <w:rPr>
          <w:rFonts w:hint="eastAsia" w:ascii="宋体" w:hAnsi="宋体" w:cs="宋体"/>
          <w:color w:val="auto"/>
          <w:kern w:val="0"/>
          <w:szCs w:val="21"/>
        </w:rPr>
        <w:t>包括</w:t>
      </w:r>
      <w:r>
        <w:rPr>
          <w:rFonts w:ascii="宋体" w:hAnsi="宋体" w:cs="宋体"/>
          <w:color w:val="auto"/>
          <w:kern w:val="0"/>
          <w:szCs w:val="21"/>
        </w:rPr>
        <w:t>大修理、养护、维护性质的工程</w:t>
      </w:r>
      <w:r>
        <w:rPr>
          <w:rFonts w:hint="eastAsia" w:ascii="宋体" w:hAnsi="宋体" w:cs="宋体"/>
          <w:color w:val="auto"/>
          <w:kern w:val="0"/>
          <w:szCs w:val="21"/>
        </w:rPr>
        <w:t>，如设备维修、建筑物翻修和</w:t>
      </w:r>
      <w:r>
        <w:rPr>
          <w:rFonts w:ascii="宋体" w:hAnsi="宋体" w:cs="宋体"/>
          <w:color w:val="auto"/>
          <w:kern w:val="0"/>
          <w:szCs w:val="21"/>
        </w:rPr>
        <w:t>加固、单纯</w:t>
      </w:r>
      <w:r>
        <w:rPr>
          <w:rFonts w:hint="eastAsia" w:ascii="宋体" w:hAnsi="宋体" w:cs="宋体"/>
          <w:color w:val="auto"/>
          <w:kern w:val="0"/>
          <w:szCs w:val="21"/>
        </w:rPr>
        <w:t>装饰装修、农田水利</w:t>
      </w:r>
      <w:r>
        <w:rPr>
          <w:rFonts w:ascii="宋体" w:hAnsi="宋体" w:cs="宋体"/>
          <w:color w:val="auto"/>
          <w:kern w:val="0"/>
          <w:szCs w:val="21"/>
        </w:rPr>
        <w:t>工程（</w:t>
      </w:r>
      <w:r>
        <w:rPr>
          <w:rFonts w:hint="eastAsia" w:ascii="宋体" w:hAnsi="宋体" w:cs="宋体"/>
          <w:color w:val="auto"/>
          <w:kern w:val="0"/>
          <w:szCs w:val="21"/>
        </w:rPr>
        <w:t>堤防、水库</w:t>
      </w:r>
      <w:r>
        <w:rPr>
          <w:rFonts w:ascii="宋体" w:hAnsi="宋体" w:cs="宋体"/>
          <w:color w:val="auto"/>
          <w:kern w:val="0"/>
          <w:szCs w:val="21"/>
        </w:rPr>
        <w:t>）</w:t>
      </w:r>
      <w:r>
        <w:rPr>
          <w:rFonts w:hint="eastAsia" w:ascii="宋体" w:hAnsi="宋体" w:cs="宋体"/>
          <w:color w:val="auto"/>
          <w:kern w:val="0"/>
          <w:szCs w:val="21"/>
        </w:rPr>
        <w:t>维修</w:t>
      </w:r>
      <w:r>
        <w:rPr>
          <w:rFonts w:ascii="宋体" w:hAnsi="宋体" w:cs="宋体"/>
          <w:color w:val="auto"/>
          <w:kern w:val="0"/>
          <w:szCs w:val="21"/>
        </w:rPr>
        <w:t>、</w:t>
      </w:r>
      <w:r>
        <w:rPr>
          <w:rFonts w:hint="eastAsia" w:ascii="宋体" w:hAnsi="宋体" w:cs="宋体"/>
          <w:color w:val="auto"/>
          <w:kern w:val="0"/>
          <w:szCs w:val="21"/>
        </w:rPr>
        <w:t>铁路大修、道路日常养护、景观维护等。这类建设活动未替换原有的固定资产，也</w:t>
      </w:r>
      <w:r>
        <w:rPr>
          <w:rFonts w:ascii="宋体" w:hAnsi="宋体" w:cs="宋体"/>
          <w:color w:val="auto"/>
          <w:kern w:val="0"/>
          <w:szCs w:val="21"/>
        </w:rPr>
        <w:t>没有</w:t>
      </w:r>
      <w:r>
        <w:rPr>
          <w:rFonts w:hint="eastAsia" w:ascii="宋体" w:hAnsi="宋体" w:cs="宋体"/>
          <w:color w:val="auto"/>
          <w:kern w:val="0"/>
          <w:szCs w:val="21"/>
        </w:rPr>
        <w:t>增加新的固定资产，属于生产范畴，不属于投资活动。</w:t>
      </w:r>
    </w:p>
    <w:p>
      <w:pPr>
        <w:adjustRightInd w:val="0"/>
        <w:spacing w:line="36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（3）会造成</w:t>
      </w:r>
      <w:r>
        <w:rPr>
          <w:rFonts w:ascii="宋体" w:hAnsi="宋体" w:cs="宋体"/>
          <w:color w:val="auto"/>
          <w:kern w:val="0"/>
          <w:szCs w:val="21"/>
        </w:rPr>
        <w:t>重复统计的</w:t>
      </w:r>
      <w:r>
        <w:rPr>
          <w:rFonts w:hint="eastAsia" w:ascii="宋体" w:hAnsi="宋体" w:cs="宋体"/>
          <w:color w:val="auto"/>
          <w:kern w:val="0"/>
          <w:szCs w:val="21"/>
        </w:rPr>
        <w:t>。</w:t>
      </w:r>
    </w:p>
    <w:p>
      <w:pPr>
        <w:adjustRightInd w:val="0"/>
        <w:spacing w:line="360" w:lineRule="atLeast"/>
        <w:ind w:firstLine="422"/>
        <w:rPr>
          <w:rFonts w:hint="eastAsia" w:ascii="仿宋_GB2312" w:hAnsi="宋体" w:eastAsia="仿宋_GB2312"/>
          <w:color w:val="auto"/>
          <w:sz w:val="32"/>
          <w:szCs w:val="32"/>
        </w:rPr>
      </w:pPr>
      <w:r>
        <w:rPr>
          <w:rFonts w:hint="eastAsia" w:ascii="宋体" w:hAnsi="宋体" w:cs="宋体"/>
          <w:color w:val="auto"/>
          <w:kern w:val="0"/>
          <w:szCs w:val="21"/>
        </w:rPr>
        <w:t>一般包括单纯购置的旧建筑物和旧设备、临时性租赁租入（融资租赁除外）的固定资产、单位购置的商品房（包括主管部门</w:t>
      </w:r>
      <w:r>
        <w:rPr>
          <w:rFonts w:ascii="宋体" w:hAnsi="宋体" w:cs="宋体"/>
          <w:color w:val="auto"/>
          <w:kern w:val="0"/>
          <w:szCs w:val="21"/>
        </w:rPr>
        <w:t>购置商品房转换为保障性住房</w:t>
      </w:r>
      <w:r>
        <w:rPr>
          <w:rFonts w:hint="eastAsia" w:ascii="宋体" w:hAnsi="宋体" w:cs="宋体"/>
          <w:color w:val="auto"/>
          <w:kern w:val="0"/>
          <w:szCs w:val="21"/>
        </w:rPr>
        <w:t>）、单纯土地平整、土地一级开发、围海造地等。这类</w:t>
      </w:r>
      <w:r>
        <w:rPr>
          <w:rFonts w:ascii="宋体" w:hAnsi="宋体" w:cs="宋体"/>
          <w:color w:val="auto"/>
          <w:kern w:val="0"/>
          <w:szCs w:val="21"/>
        </w:rPr>
        <w:t>建设项目</w:t>
      </w:r>
      <w:r>
        <w:rPr>
          <w:rFonts w:hint="eastAsia" w:ascii="宋体" w:hAnsi="宋体" w:cs="宋体"/>
          <w:color w:val="auto"/>
          <w:kern w:val="0"/>
          <w:szCs w:val="21"/>
        </w:rPr>
        <w:t>虽然</w:t>
      </w:r>
      <w:r>
        <w:rPr>
          <w:rFonts w:ascii="宋体" w:hAnsi="宋体" w:cs="宋体"/>
          <w:color w:val="auto"/>
          <w:kern w:val="0"/>
          <w:szCs w:val="21"/>
        </w:rPr>
        <w:t>符合固定资产投资属性，但</w:t>
      </w:r>
      <w:r>
        <w:rPr>
          <w:rFonts w:hint="eastAsia" w:ascii="宋体" w:hAnsi="宋体" w:cs="宋体"/>
          <w:color w:val="auto"/>
          <w:kern w:val="0"/>
          <w:szCs w:val="21"/>
        </w:rPr>
        <w:t>由于</w:t>
      </w:r>
      <w:r>
        <w:rPr>
          <w:rFonts w:ascii="宋体" w:hAnsi="宋体" w:cs="宋体"/>
          <w:color w:val="auto"/>
          <w:kern w:val="0"/>
          <w:szCs w:val="21"/>
        </w:rPr>
        <w:t>其相关支出已经在前期</w:t>
      </w:r>
      <w:r>
        <w:rPr>
          <w:rFonts w:hint="eastAsia" w:ascii="宋体" w:hAnsi="宋体" w:cs="宋体"/>
          <w:color w:val="auto"/>
          <w:kern w:val="0"/>
          <w:szCs w:val="21"/>
        </w:rPr>
        <w:t>统计</w:t>
      </w:r>
      <w:r>
        <w:rPr>
          <w:rFonts w:ascii="宋体" w:hAnsi="宋体" w:cs="宋体"/>
          <w:color w:val="auto"/>
          <w:kern w:val="0"/>
          <w:szCs w:val="21"/>
        </w:rPr>
        <w:t>或</w:t>
      </w:r>
      <w:r>
        <w:rPr>
          <w:rFonts w:hint="eastAsia" w:ascii="宋体" w:hAnsi="宋体" w:cs="宋体"/>
          <w:color w:val="auto"/>
          <w:kern w:val="0"/>
          <w:szCs w:val="21"/>
        </w:rPr>
        <w:t>将在后期建设时进行统计</w:t>
      </w:r>
      <w:r>
        <w:rPr>
          <w:rFonts w:ascii="宋体" w:hAnsi="宋体" w:cs="宋体"/>
          <w:color w:val="auto"/>
          <w:kern w:val="0"/>
          <w:szCs w:val="21"/>
        </w:rPr>
        <w:t>，为避免重复</w:t>
      </w:r>
      <w:r>
        <w:rPr>
          <w:rFonts w:hint="eastAsia" w:ascii="宋体" w:hAnsi="宋体" w:cs="宋体"/>
          <w:color w:val="auto"/>
          <w:kern w:val="0"/>
          <w:szCs w:val="21"/>
        </w:rPr>
        <w:t>统计</w:t>
      </w:r>
      <w:r>
        <w:rPr>
          <w:rFonts w:ascii="宋体" w:hAnsi="宋体" w:cs="宋体"/>
          <w:color w:val="auto"/>
          <w:kern w:val="0"/>
          <w:szCs w:val="21"/>
        </w:rPr>
        <w:t>，</w:t>
      </w:r>
      <w:r>
        <w:rPr>
          <w:rFonts w:hint="eastAsia" w:ascii="宋体" w:hAnsi="宋体" w:cs="宋体"/>
          <w:color w:val="auto"/>
          <w:kern w:val="0"/>
          <w:szCs w:val="21"/>
        </w:rPr>
        <w:t>上述内容</w:t>
      </w:r>
      <w:r>
        <w:rPr>
          <w:rFonts w:ascii="宋体" w:hAnsi="宋体" w:cs="宋体"/>
          <w:color w:val="auto"/>
          <w:kern w:val="0"/>
          <w:szCs w:val="21"/>
        </w:rPr>
        <w:t>不</w:t>
      </w:r>
      <w:r>
        <w:rPr>
          <w:rFonts w:hint="eastAsia" w:ascii="宋体" w:hAnsi="宋体" w:cs="宋体"/>
          <w:color w:val="auto"/>
          <w:kern w:val="0"/>
          <w:szCs w:val="21"/>
        </w:rPr>
        <w:t>纳入固定资产投资统计范围。</w:t>
      </w:r>
    </w:p>
    <w:p>
      <w:pPr>
        <w:adjustRightInd w:val="0"/>
        <w:spacing w:line="360" w:lineRule="atLeast"/>
        <w:ind w:firstLine="420" w:firstLineChars="200"/>
        <w:rPr>
          <w:rFonts w:hint="eastAsia" w:ascii="宋体" w:hAnsi="宋体" w:cs="宋体"/>
          <w:color w:val="auto"/>
          <w:kern w:val="0"/>
          <w:szCs w:val="21"/>
        </w:rPr>
      </w:pPr>
      <w:r>
        <w:rPr>
          <w:rFonts w:hint="eastAsia" w:ascii="宋体" w:hAnsi="宋体" w:cs="宋体"/>
          <w:b/>
          <w:bCs/>
          <w:color w:val="auto"/>
          <w:kern w:val="0"/>
          <w:szCs w:val="21"/>
        </w:rPr>
        <w:t>下列内容应纳入固定资产投资统计范围：</w:t>
      </w:r>
    </w:p>
    <w:p>
      <w:pPr>
        <w:adjustRightInd w:val="0"/>
        <w:spacing w:line="360" w:lineRule="atLeast"/>
        <w:ind w:firstLine="420"/>
        <w:rPr>
          <w:rFonts w:hint="eastAsia" w:ascii="宋体" w:hAnsi="宋体" w:cs="宋体"/>
          <w:color w:val="auto"/>
          <w:kern w:val="0"/>
          <w:szCs w:val="21"/>
        </w:rPr>
      </w:pPr>
      <w:r>
        <w:rPr>
          <w:rFonts w:hint="eastAsia" w:ascii="宋体" w:hAnsi="宋体" w:cs="宋体"/>
          <w:color w:val="auto"/>
          <w:kern w:val="0"/>
          <w:szCs w:val="21"/>
        </w:rPr>
        <w:t>（1）对现有固定资产进行投入再建设，改变其使用价值，调查单位在会计上进行资本化处理，且达到投资项目报送起点的项目，可纳入固定资产投资统计范围。如在现有道路基础上进行路面拓宽（如4车道</w:t>
      </w:r>
      <w:r>
        <w:rPr>
          <w:rFonts w:ascii="宋体" w:hAnsi="宋体" w:cs="宋体"/>
          <w:color w:val="auto"/>
          <w:kern w:val="0"/>
          <w:szCs w:val="21"/>
        </w:rPr>
        <w:t>扩为</w:t>
      </w:r>
      <w:r>
        <w:rPr>
          <w:rFonts w:hint="eastAsia" w:ascii="宋体" w:hAnsi="宋体" w:cs="宋体"/>
          <w:color w:val="auto"/>
          <w:kern w:val="0"/>
          <w:szCs w:val="21"/>
        </w:rPr>
        <w:t>6车道）或升级（如低等级道路</w:t>
      </w:r>
      <w:r>
        <w:rPr>
          <w:rFonts w:ascii="宋体" w:hAnsi="宋体" w:cs="宋体"/>
          <w:color w:val="auto"/>
          <w:kern w:val="0"/>
          <w:szCs w:val="21"/>
        </w:rPr>
        <w:t>升级为</w:t>
      </w:r>
      <w:r>
        <w:rPr>
          <w:rFonts w:hint="eastAsia" w:ascii="宋体" w:hAnsi="宋体" w:cs="宋体"/>
          <w:color w:val="auto"/>
          <w:kern w:val="0"/>
          <w:szCs w:val="21"/>
        </w:rPr>
        <w:t>高等级</w:t>
      </w:r>
      <w:r>
        <w:rPr>
          <w:rFonts w:ascii="宋体" w:hAnsi="宋体" w:cs="宋体"/>
          <w:color w:val="auto"/>
          <w:kern w:val="0"/>
          <w:szCs w:val="21"/>
        </w:rPr>
        <w:t>公路</w:t>
      </w:r>
      <w:r>
        <w:rPr>
          <w:rFonts w:hint="eastAsia" w:ascii="宋体" w:hAnsi="宋体" w:cs="宋体"/>
          <w:color w:val="auto"/>
          <w:kern w:val="0"/>
          <w:szCs w:val="21"/>
        </w:rPr>
        <w:t>）。</w:t>
      </w:r>
    </w:p>
    <w:p>
      <w:pPr>
        <w:adjustRightInd w:val="0"/>
        <w:spacing w:line="360" w:lineRule="atLeast"/>
        <w:ind w:firstLine="422"/>
        <w:rPr>
          <w:rFonts w:hint="eastAsia" w:ascii="宋体" w:hAnsi="宋体" w:cs="宋体"/>
          <w:color w:val="auto"/>
          <w:kern w:val="0"/>
          <w:szCs w:val="21"/>
        </w:rPr>
      </w:pPr>
      <w:r>
        <w:rPr>
          <w:rFonts w:hint="eastAsia" w:ascii="宋体" w:hAnsi="宋体" w:cs="宋体"/>
          <w:color w:val="auto"/>
          <w:kern w:val="0"/>
          <w:szCs w:val="21"/>
        </w:rPr>
        <w:t>（2）生产性生物资产，如种畜、役畜和各种经济林木；公益性生物资产，如防风固沙林、水土保持林和水源涵养林；新建城市绿化或道路绿化项目中购置的苗木等，可纳入固定资产投资统计，填入其他费用。</w:t>
      </w:r>
    </w:p>
    <w:p>
      <w:pPr>
        <w:adjustRightInd w:val="0"/>
        <w:spacing w:line="360" w:lineRule="atLeast"/>
        <w:ind w:firstLine="422"/>
        <w:jc w:val="center"/>
        <w:rPr>
          <w:rFonts w:hint="eastAsia" w:ascii="黑体" w:hAnsi="黑体" w:eastAsia="黑体" w:cs="宋体"/>
          <w:color w:val="auto"/>
          <w:kern w:val="0"/>
          <w:sz w:val="18"/>
          <w:szCs w:val="18"/>
        </w:rPr>
      </w:pPr>
      <w:r>
        <w:rPr>
          <w:rFonts w:hint="eastAsia" w:ascii="黑体" w:hAnsi="黑体" w:eastAsia="黑体" w:cs="宋体"/>
          <w:color w:val="auto"/>
          <w:kern w:val="0"/>
          <w:sz w:val="18"/>
          <w:szCs w:val="18"/>
        </w:rPr>
        <w:t>固定资产投资项目纳统情况一览表</w:t>
      </w:r>
    </w:p>
    <w:tbl>
      <w:tblPr>
        <w:tblStyle w:val="21"/>
        <w:tblW w:w="4893"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7700"/>
        <w:gridCol w:w="1722"/>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44" w:hRule="atLeast"/>
          <w:jc w:val="center"/>
        </w:trPr>
        <w:tc>
          <w:tcPr>
            <w:tcW w:w="4086" w:type="pct"/>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kern w:val="0"/>
                <w:sz w:val="18"/>
                <w:szCs w:val="18"/>
              </w:rPr>
            </w:pPr>
            <w:r>
              <w:rPr>
                <w:rFonts w:hint="eastAsia" w:ascii="宋体" w:hAnsi="宋体" w:cs="宋体"/>
                <w:b/>
                <w:bCs/>
                <w:color w:val="auto"/>
                <w:kern w:val="0"/>
                <w:sz w:val="18"/>
                <w:szCs w:val="18"/>
              </w:rPr>
              <w:t>常 见 类 别</w:t>
            </w:r>
          </w:p>
        </w:tc>
        <w:tc>
          <w:tcPr>
            <w:tcW w:w="914" w:type="pct"/>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kern w:val="0"/>
                <w:sz w:val="18"/>
                <w:szCs w:val="18"/>
              </w:rPr>
            </w:pPr>
            <w:r>
              <w:rPr>
                <w:rFonts w:hint="default" w:ascii="宋体" w:hAnsi="宋体" w:cs="宋体"/>
                <w:b/>
                <w:bCs/>
                <w:color w:val="auto"/>
                <w:kern w:val="0"/>
                <w:sz w:val="18"/>
                <w:szCs w:val="18"/>
              </w:rPr>
              <w:t>是否能纳入固定资产投资统计</w:t>
            </w:r>
            <w:r>
              <w:rPr>
                <w:rFonts w:hint="eastAsia" w:ascii="宋体" w:hAnsi="宋体" w:cs="宋体"/>
                <w:b/>
                <w:bCs/>
                <w:color w:val="auto"/>
                <w:kern w:val="0"/>
                <w:sz w:val="18"/>
                <w:szCs w:val="18"/>
              </w:rPr>
              <w:t>范围</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s="宋体"/>
                <w:b/>
                <w:bCs/>
                <w:color w:val="auto"/>
                <w:kern w:val="0"/>
                <w:sz w:val="18"/>
                <w:szCs w:val="18"/>
              </w:rPr>
            </w:pPr>
            <w:r>
              <w:rPr>
                <w:rFonts w:hint="eastAsia" w:ascii="宋体" w:hAnsi="宋体"/>
                <w:color w:val="auto"/>
                <w:sz w:val="18"/>
                <w:szCs w:val="18"/>
              </w:rPr>
              <w:t>厂房、仓库、办公室、住宅、商店、学校、医院、俱乐部、食堂、招待所等房屋</w:t>
            </w:r>
            <w:r>
              <w:rPr>
                <w:rFonts w:hint="default" w:ascii="宋体" w:hAnsi="宋体"/>
                <w:color w:val="auto"/>
                <w:sz w:val="18"/>
                <w:szCs w:val="18"/>
              </w:rPr>
              <w:t>建设</w:t>
            </w:r>
            <w:r>
              <w:rPr>
                <w:rFonts w:hint="eastAsia" w:ascii="宋体" w:hAnsi="宋体"/>
                <w:color w:val="auto"/>
                <w:sz w:val="18"/>
                <w:szCs w:val="18"/>
              </w:rPr>
              <w:t>支出</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b/>
                <w:bCs/>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eastAsia" w:ascii="宋体" w:hAnsi="宋体"/>
                <w:color w:val="auto"/>
                <w:sz w:val="18"/>
                <w:szCs w:val="18"/>
              </w:rPr>
            </w:pPr>
            <w:r>
              <w:rPr>
                <w:rFonts w:hint="eastAsia" w:ascii="宋体" w:hAnsi="宋体"/>
                <w:color w:val="auto"/>
                <w:sz w:val="18"/>
                <w:szCs w:val="18"/>
              </w:rPr>
              <w:t>生产、动力、起重、运输、传动和医疗等设备的安装和调试费用</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eastAsia" w:ascii="宋体" w:hAnsi="宋体"/>
                <w:color w:val="auto"/>
                <w:sz w:val="18"/>
                <w:szCs w:val="18"/>
              </w:rPr>
            </w:pPr>
            <w:r>
              <w:rPr>
                <w:rFonts w:hint="eastAsia" w:ascii="宋体" w:hAnsi="宋体"/>
                <w:color w:val="auto"/>
                <w:sz w:val="18"/>
                <w:szCs w:val="18"/>
              </w:rPr>
              <w:t>各种生产设备、传导设备、动力设备、运输设备、生产工具、仪器仪表等的购置支出以及在</w:t>
            </w:r>
            <w:r>
              <w:rPr>
                <w:rFonts w:hint="default" w:ascii="宋体" w:hAnsi="宋体"/>
                <w:color w:val="auto"/>
                <w:sz w:val="18"/>
                <w:szCs w:val="18"/>
              </w:rPr>
              <w:t>项目建设</w:t>
            </w:r>
            <w:r>
              <w:rPr>
                <w:rFonts w:hint="eastAsia" w:ascii="宋体" w:hAnsi="宋体"/>
                <w:color w:val="auto"/>
                <w:sz w:val="18"/>
                <w:szCs w:val="18"/>
              </w:rPr>
              <w:t>内容</w:t>
            </w:r>
            <w:r>
              <w:rPr>
                <w:rFonts w:hint="default" w:ascii="宋体" w:hAnsi="宋体"/>
                <w:color w:val="auto"/>
                <w:sz w:val="18"/>
                <w:szCs w:val="18"/>
              </w:rPr>
              <w:t>中</w:t>
            </w:r>
            <w:r>
              <w:rPr>
                <w:rFonts w:hint="eastAsia" w:ascii="宋体" w:hAnsi="宋体"/>
                <w:color w:val="auto"/>
                <w:sz w:val="18"/>
                <w:szCs w:val="18"/>
              </w:rPr>
              <w:t>用于支持设备运转的软件系统购置支出</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eastAsia" w:ascii="宋体" w:hAnsi="宋体"/>
                <w:color w:val="auto"/>
                <w:sz w:val="18"/>
                <w:szCs w:val="18"/>
              </w:rPr>
            </w:pPr>
            <w:r>
              <w:rPr>
                <w:rFonts w:hint="eastAsia" w:ascii="宋体" w:hAnsi="宋体"/>
                <w:color w:val="auto"/>
                <w:sz w:val="18"/>
                <w:szCs w:val="18"/>
              </w:rPr>
              <w:t>项目管理人员的工资、贷款利息支出等</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eastAsia" w:ascii="宋体" w:hAnsi="宋体"/>
                <w:color w:val="auto"/>
                <w:sz w:val="18"/>
                <w:szCs w:val="18"/>
              </w:rPr>
            </w:pPr>
            <w:r>
              <w:rPr>
                <w:rFonts w:hint="eastAsia" w:ascii="宋体" w:hAnsi="宋体"/>
                <w:color w:val="auto"/>
                <w:sz w:val="18"/>
                <w:szCs w:val="18"/>
              </w:rPr>
              <w:t>项目可研费、勘察设计费、工程监理费、招标费、环评费等前期费用</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eastAsia" w:ascii="宋体" w:hAnsi="宋体"/>
                <w:color w:val="auto"/>
                <w:sz w:val="18"/>
                <w:szCs w:val="18"/>
              </w:rPr>
            </w:pPr>
            <w:r>
              <w:rPr>
                <w:rFonts w:hint="eastAsia" w:ascii="宋体" w:hAnsi="宋体"/>
                <w:color w:val="auto"/>
                <w:sz w:val="18"/>
                <w:szCs w:val="18"/>
              </w:rPr>
              <w:t>项目所属的专利权、采矿权支出、项目建设期利息支出</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eastAsia" w:ascii="宋体" w:hAnsi="宋体"/>
                <w:color w:val="auto"/>
                <w:sz w:val="18"/>
                <w:szCs w:val="18"/>
              </w:rPr>
            </w:pPr>
            <w:r>
              <w:rPr>
                <w:rFonts w:hint="eastAsia" w:ascii="宋体" w:hAnsi="宋体"/>
                <w:color w:val="auto"/>
                <w:sz w:val="18"/>
                <w:szCs w:val="18"/>
              </w:rPr>
              <w:t>项目建设用地费用（不含土地收储）</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olor w:val="auto"/>
                <w:sz w:val="18"/>
                <w:szCs w:val="18"/>
              </w:rPr>
            </w:pPr>
            <w:r>
              <w:rPr>
                <w:rFonts w:hint="default" w:ascii="宋体" w:hAnsi="宋体"/>
                <w:color w:val="auto"/>
                <w:sz w:val="18"/>
                <w:szCs w:val="18"/>
              </w:rPr>
              <w:t>原有固定资产改扩建，如4车道扩为6车道或低等级道路升级为高等级公路</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olor w:val="auto"/>
                <w:sz w:val="18"/>
                <w:szCs w:val="18"/>
              </w:rPr>
            </w:pPr>
            <w:r>
              <w:rPr>
                <w:rFonts w:hint="default" w:ascii="宋体" w:hAnsi="宋体"/>
                <w:color w:val="auto"/>
                <w:sz w:val="18"/>
                <w:szCs w:val="18"/>
              </w:rPr>
              <w:t>种畜、役畜和各种</w:t>
            </w:r>
            <w:r>
              <w:rPr>
                <w:rFonts w:hint="eastAsia" w:ascii="宋体" w:hAnsi="宋体"/>
                <w:color w:val="auto"/>
                <w:sz w:val="18"/>
                <w:szCs w:val="18"/>
              </w:rPr>
              <w:t>果树等</w:t>
            </w:r>
            <w:r>
              <w:rPr>
                <w:rFonts w:hint="default" w:ascii="宋体" w:hAnsi="宋体"/>
                <w:color w:val="auto"/>
                <w:sz w:val="18"/>
                <w:szCs w:val="18"/>
              </w:rPr>
              <w:t>经济林木</w:t>
            </w:r>
            <w:r>
              <w:rPr>
                <w:rFonts w:hint="eastAsia" w:ascii="宋体" w:hAnsi="宋体"/>
                <w:color w:val="auto"/>
                <w:sz w:val="18"/>
                <w:szCs w:val="18"/>
              </w:rPr>
              <w:t>购置支出</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olor w:val="auto"/>
                <w:sz w:val="18"/>
                <w:szCs w:val="18"/>
              </w:rPr>
            </w:pPr>
            <w:r>
              <w:rPr>
                <w:rFonts w:hint="default" w:ascii="宋体" w:hAnsi="宋体"/>
                <w:color w:val="auto"/>
                <w:sz w:val="18"/>
                <w:szCs w:val="18"/>
              </w:rPr>
              <w:t>防风固沙林、水土保持林和水源涵养林</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olor w:val="auto"/>
                <w:sz w:val="18"/>
                <w:szCs w:val="18"/>
              </w:rPr>
            </w:pPr>
            <w:r>
              <w:rPr>
                <w:rFonts w:hint="default" w:ascii="宋体" w:hAnsi="宋体"/>
                <w:color w:val="auto"/>
                <w:sz w:val="18"/>
                <w:szCs w:val="18"/>
              </w:rPr>
              <w:t>新建城市绿化或道路绿化项目中购置的苗木</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s="宋体"/>
                <w:color w:val="auto"/>
                <w:kern w:val="0"/>
                <w:sz w:val="18"/>
                <w:szCs w:val="18"/>
              </w:rPr>
            </w:pPr>
            <w:r>
              <w:rPr>
                <w:rFonts w:hint="default" w:ascii="宋体" w:hAnsi="宋体" w:cs="宋体"/>
                <w:color w:val="auto"/>
                <w:kern w:val="0"/>
                <w:sz w:val="18"/>
                <w:szCs w:val="18"/>
              </w:rPr>
              <w:t>单纯土地平整、土地一级开发、围海造地等</w:t>
            </w:r>
            <w:r>
              <w:rPr>
                <w:rFonts w:hint="eastAsia" w:ascii="宋体" w:hAnsi="宋体" w:cs="宋体"/>
                <w:color w:val="auto"/>
                <w:kern w:val="0"/>
                <w:sz w:val="18"/>
                <w:szCs w:val="18"/>
              </w:rPr>
              <w:t>支出</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s="宋体"/>
                <w:color w:val="auto"/>
                <w:kern w:val="0"/>
                <w:sz w:val="18"/>
                <w:szCs w:val="18"/>
              </w:rPr>
            </w:pPr>
            <w:r>
              <w:rPr>
                <w:rFonts w:hint="default" w:ascii="宋体" w:hAnsi="宋体" w:cs="宋体"/>
                <w:color w:val="auto"/>
                <w:kern w:val="0"/>
                <w:sz w:val="18"/>
                <w:szCs w:val="18"/>
              </w:rPr>
              <w:t>流动资产</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s="宋体"/>
                <w:color w:val="auto"/>
                <w:kern w:val="0"/>
                <w:sz w:val="18"/>
                <w:szCs w:val="18"/>
              </w:rPr>
            </w:pPr>
            <w:r>
              <w:rPr>
                <w:rFonts w:hint="default" w:ascii="宋体" w:hAnsi="宋体" w:cs="宋体"/>
                <w:color w:val="auto"/>
                <w:kern w:val="0"/>
                <w:sz w:val="18"/>
                <w:szCs w:val="18"/>
              </w:rPr>
              <w:t>办公耗材等低值易耗品</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s="宋体"/>
                <w:color w:val="auto"/>
                <w:kern w:val="0"/>
                <w:sz w:val="18"/>
                <w:szCs w:val="18"/>
              </w:rPr>
            </w:pPr>
            <w:r>
              <w:rPr>
                <w:rFonts w:hint="default" w:ascii="宋体" w:hAnsi="宋体" w:cs="宋体"/>
                <w:color w:val="auto"/>
                <w:kern w:val="0"/>
                <w:sz w:val="18"/>
                <w:szCs w:val="18"/>
              </w:rPr>
              <w:t>股票（或股权）、期货、金融衍生产品、古玩字画、艺术品等投资品</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s="宋体"/>
                <w:color w:val="auto"/>
                <w:kern w:val="0"/>
                <w:sz w:val="18"/>
                <w:szCs w:val="18"/>
              </w:rPr>
            </w:pPr>
            <w:r>
              <w:rPr>
                <w:rFonts w:hint="default" w:ascii="宋体" w:hAnsi="宋体" w:cs="宋体"/>
                <w:color w:val="auto"/>
                <w:kern w:val="0"/>
                <w:sz w:val="18"/>
                <w:szCs w:val="18"/>
              </w:rPr>
              <w:t>农作物、</w:t>
            </w:r>
            <w:r>
              <w:rPr>
                <w:rFonts w:hint="eastAsia" w:ascii="宋体" w:hAnsi="宋体" w:cs="宋体"/>
                <w:color w:val="auto"/>
                <w:kern w:val="0"/>
                <w:sz w:val="18"/>
                <w:szCs w:val="18"/>
              </w:rPr>
              <w:t>蔬菜、中药材、</w:t>
            </w:r>
            <w:r>
              <w:rPr>
                <w:rFonts w:hint="default" w:ascii="宋体" w:hAnsi="宋体" w:cs="宋体"/>
                <w:color w:val="auto"/>
                <w:kern w:val="0"/>
                <w:sz w:val="18"/>
                <w:szCs w:val="18"/>
              </w:rPr>
              <w:t>花卉、存栏待售的牲畜等消耗性生物资产</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s="宋体"/>
                <w:color w:val="auto"/>
                <w:kern w:val="0"/>
                <w:sz w:val="18"/>
                <w:szCs w:val="18"/>
              </w:rPr>
            </w:pPr>
            <w:r>
              <w:rPr>
                <w:rFonts w:hint="default" w:ascii="宋体" w:hAnsi="宋体" w:cs="宋体"/>
                <w:color w:val="auto"/>
                <w:kern w:val="0"/>
                <w:sz w:val="18"/>
                <w:szCs w:val="18"/>
              </w:rPr>
              <w:t>发放给农户的货币补贴</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s="宋体"/>
                <w:color w:val="auto"/>
                <w:kern w:val="0"/>
                <w:sz w:val="18"/>
                <w:szCs w:val="18"/>
              </w:rPr>
            </w:pPr>
            <w:r>
              <w:rPr>
                <w:rFonts w:hint="eastAsia" w:ascii="宋体" w:hAnsi="宋体" w:cs="宋体"/>
                <w:color w:val="auto"/>
                <w:kern w:val="0"/>
                <w:sz w:val="18"/>
                <w:szCs w:val="18"/>
              </w:rPr>
              <w:t>设备</w:t>
            </w:r>
            <w:r>
              <w:rPr>
                <w:rFonts w:hint="default" w:ascii="宋体" w:hAnsi="宋体" w:cs="宋体"/>
                <w:color w:val="auto"/>
                <w:kern w:val="0"/>
                <w:sz w:val="18"/>
                <w:szCs w:val="18"/>
              </w:rPr>
              <w:t>大修理、</w:t>
            </w:r>
            <w:r>
              <w:rPr>
                <w:rFonts w:hint="eastAsia" w:ascii="宋体" w:hAnsi="宋体" w:cs="宋体"/>
                <w:color w:val="auto"/>
                <w:kern w:val="0"/>
                <w:sz w:val="18"/>
                <w:szCs w:val="18"/>
              </w:rPr>
              <w:t>道路等基础设施</w:t>
            </w:r>
            <w:r>
              <w:rPr>
                <w:rFonts w:hint="default" w:ascii="宋体" w:hAnsi="宋体" w:cs="宋体"/>
                <w:color w:val="auto"/>
                <w:kern w:val="0"/>
                <w:sz w:val="18"/>
                <w:szCs w:val="18"/>
              </w:rPr>
              <w:t>养护维护工程</w:t>
            </w:r>
            <w:r>
              <w:rPr>
                <w:rFonts w:hint="eastAsia" w:ascii="宋体" w:hAnsi="宋体" w:cs="宋体"/>
                <w:color w:val="auto"/>
                <w:kern w:val="0"/>
                <w:sz w:val="18"/>
                <w:szCs w:val="18"/>
              </w:rPr>
              <w:t>、房屋建筑业维修工程、</w:t>
            </w:r>
            <w:r>
              <w:rPr>
                <w:rFonts w:hint="eastAsia" w:ascii="宋体" w:hAnsi="宋体"/>
                <w:color w:val="auto"/>
                <w:sz w:val="20"/>
                <w:szCs w:val="20"/>
              </w:rPr>
              <w:t>社区环境微改造工程</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s="宋体"/>
                <w:color w:val="auto"/>
                <w:kern w:val="0"/>
                <w:sz w:val="18"/>
                <w:szCs w:val="18"/>
              </w:rPr>
            </w:pPr>
            <w:r>
              <w:rPr>
                <w:rFonts w:hint="default" w:ascii="宋体" w:hAnsi="宋体" w:cs="宋体"/>
                <w:color w:val="auto"/>
                <w:kern w:val="0"/>
                <w:sz w:val="18"/>
                <w:szCs w:val="18"/>
              </w:rPr>
              <w:t>单纯购置旧建筑物和旧设备</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s="宋体"/>
                <w:color w:val="auto"/>
                <w:kern w:val="0"/>
                <w:sz w:val="18"/>
                <w:szCs w:val="18"/>
              </w:rPr>
            </w:pPr>
            <w:r>
              <w:rPr>
                <w:rFonts w:hint="default" w:ascii="宋体" w:hAnsi="宋体" w:cs="宋体"/>
                <w:color w:val="auto"/>
                <w:kern w:val="0"/>
                <w:sz w:val="18"/>
                <w:szCs w:val="18"/>
              </w:rPr>
              <w:t>经营租赁的固定资产</w:t>
            </w:r>
            <w:r>
              <w:rPr>
                <w:rFonts w:hint="eastAsia" w:ascii="宋体" w:hAnsi="宋体" w:cs="宋体"/>
                <w:color w:val="auto"/>
                <w:kern w:val="0"/>
                <w:sz w:val="18"/>
                <w:szCs w:val="18"/>
              </w:rPr>
              <w:t>的租金支出</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4086" w:type="pct"/>
            <w:noWrap w:val="0"/>
            <w:vAlign w:val="center"/>
          </w:tcPr>
          <w:p>
            <w:pPr>
              <w:keepNext w:val="0"/>
              <w:keepLines w:val="0"/>
              <w:suppressLineNumbers w:val="0"/>
              <w:spacing w:before="0" w:beforeAutospacing="0" w:after="0" w:afterAutospacing="0"/>
              <w:ind w:left="0" w:right="0" w:firstLine="360" w:firstLineChars="200"/>
              <w:rPr>
                <w:rFonts w:hint="default" w:ascii="宋体" w:hAnsi="宋体" w:cs="宋体"/>
                <w:color w:val="auto"/>
                <w:kern w:val="0"/>
                <w:sz w:val="18"/>
                <w:szCs w:val="18"/>
              </w:rPr>
            </w:pPr>
            <w:r>
              <w:rPr>
                <w:rFonts w:hint="default" w:ascii="宋体" w:hAnsi="宋体" w:cs="宋体"/>
                <w:color w:val="auto"/>
                <w:kern w:val="0"/>
                <w:sz w:val="18"/>
                <w:szCs w:val="18"/>
              </w:rPr>
              <w:t>单位购置商品房</w:t>
            </w:r>
            <w:r>
              <w:rPr>
                <w:rFonts w:hint="eastAsia" w:ascii="宋体" w:hAnsi="宋体" w:cs="宋体"/>
                <w:color w:val="auto"/>
                <w:kern w:val="0"/>
                <w:sz w:val="18"/>
                <w:szCs w:val="18"/>
              </w:rPr>
              <w:t>支出</w:t>
            </w:r>
          </w:p>
        </w:tc>
        <w:tc>
          <w:tcPr>
            <w:tcW w:w="914" w:type="pct"/>
            <w:noWrap w:val="0"/>
            <w:vAlign w:val="center"/>
          </w:tcPr>
          <w:p>
            <w:pPr>
              <w:keepNext w:val="0"/>
              <w:keepLines w:val="0"/>
              <w:suppressLineNumbers w:val="0"/>
              <w:spacing w:before="0" w:beforeAutospacing="0" w:after="0" w:afterAutospacing="0"/>
              <w:ind w:left="0" w:right="0" w:firstLine="360" w:firstLineChars="200"/>
              <w:jc w:val="center"/>
              <w:rPr>
                <w:rFonts w:hint="default" w:ascii="宋体" w:hAnsi="宋体" w:cs="宋体"/>
                <w:color w:val="auto"/>
                <w:kern w:val="0"/>
                <w:sz w:val="18"/>
                <w:szCs w:val="18"/>
              </w:rPr>
            </w:pPr>
            <w:r>
              <w:rPr>
                <w:rFonts w:hint="default" w:ascii="宋体" w:hAnsi="宋体" w:cs="宋体"/>
                <w:color w:val="auto"/>
                <w:kern w:val="0"/>
                <w:sz w:val="18"/>
                <w:szCs w:val="18"/>
              </w:rPr>
              <w:t>×</w:t>
            </w:r>
          </w:p>
        </w:tc>
      </w:tr>
    </w:tbl>
    <w:p>
      <w:pPr>
        <w:adjustRightInd w:val="0"/>
        <w:spacing w:line="360" w:lineRule="atLeast"/>
        <w:ind w:firstLine="411" w:firstLineChars="196"/>
        <w:rPr>
          <w:rFonts w:hint="eastAsia" w:ascii="宋体" w:hAnsi="宋体" w:cs="宋体"/>
          <w:color w:val="auto"/>
          <w:kern w:val="0"/>
          <w:szCs w:val="21"/>
        </w:rPr>
      </w:pPr>
      <w:r>
        <w:rPr>
          <w:rFonts w:hint="eastAsia" w:ascii="宋体" w:hAnsi="宋体" w:cs="宋体"/>
          <w:b/>
          <w:bCs/>
          <w:color w:val="auto"/>
          <w:kern w:val="0"/>
          <w:szCs w:val="21"/>
        </w:rPr>
        <w:t>部分领域固定资产投资填报应注意的问题:</w:t>
      </w:r>
    </w:p>
    <w:p>
      <w:pPr>
        <w:adjustRightInd w:val="0"/>
        <w:spacing w:line="360" w:lineRule="atLeast"/>
        <w:ind w:firstLine="420"/>
        <w:rPr>
          <w:rFonts w:hint="eastAsia" w:ascii="宋体" w:hAnsi="宋体" w:cs="宋体"/>
          <w:color w:val="auto"/>
          <w:kern w:val="0"/>
          <w:szCs w:val="21"/>
        </w:rPr>
      </w:pPr>
      <w:r>
        <w:rPr>
          <w:rFonts w:hint="eastAsia" w:ascii="宋体" w:hAnsi="宋体" w:cs="宋体"/>
          <w:color w:val="auto"/>
          <w:kern w:val="0"/>
          <w:szCs w:val="21"/>
        </w:rPr>
        <w:t>电信</w:t>
      </w:r>
      <w:r>
        <w:rPr>
          <w:rFonts w:ascii="宋体" w:hAnsi="宋体" w:cs="宋体"/>
          <w:color w:val="auto"/>
          <w:kern w:val="0"/>
          <w:szCs w:val="21"/>
        </w:rPr>
        <w:t>、</w:t>
      </w:r>
      <w:r>
        <w:rPr>
          <w:rFonts w:hint="eastAsia" w:ascii="宋体" w:hAnsi="宋体" w:cs="宋体"/>
          <w:color w:val="auto"/>
          <w:kern w:val="0"/>
          <w:szCs w:val="21"/>
        </w:rPr>
        <w:t>电力、燃气、市政、通信、交通、教育、</w:t>
      </w:r>
      <w:r>
        <w:rPr>
          <w:rFonts w:ascii="宋体" w:hAnsi="宋体" w:cs="宋体"/>
          <w:color w:val="auto"/>
          <w:kern w:val="0"/>
          <w:szCs w:val="21"/>
        </w:rPr>
        <w:t>农业</w:t>
      </w:r>
      <w:r>
        <w:rPr>
          <w:rFonts w:hint="eastAsia" w:ascii="宋体" w:hAnsi="宋体" w:cs="宋体"/>
          <w:color w:val="auto"/>
          <w:kern w:val="0"/>
          <w:szCs w:val="21"/>
        </w:rPr>
        <w:t>、卫生、水利等领域，存在一个建设项目包括多个建设内容相同、涉及多个行政区域项目的情况，在实际工作</w:t>
      </w:r>
      <w:r>
        <w:rPr>
          <w:rFonts w:ascii="宋体" w:hAnsi="宋体" w:cs="宋体"/>
          <w:color w:val="auto"/>
          <w:kern w:val="0"/>
          <w:szCs w:val="21"/>
        </w:rPr>
        <w:t>中，应遵循</w:t>
      </w:r>
      <w:r>
        <w:rPr>
          <w:rFonts w:hint="eastAsia" w:ascii="宋体" w:hAnsi="宋体" w:cs="宋体"/>
          <w:color w:val="auto"/>
          <w:kern w:val="0"/>
          <w:szCs w:val="21"/>
        </w:rPr>
        <w:t>不重不漏的原则进行报送。</w:t>
      </w:r>
    </w:p>
    <w:p>
      <w:pPr>
        <w:adjustRightInd w:val="0"/>
        <w:spacing w:line="360" w:lineRule="atLeast"/>
        <w:ind w:firstLine="420"/>
        <w:rPr>
          <w:rFonts w:hint="eastAsia" w:ascii="宋体" w:hAnsi="宋体" w:cs="宋体"/>
          <w:color w:val="auto"/>
          <w:kern w:val="0"/>
          <w:szCs w:val="21"/>
        </w:rPr>
      </w:pPr>
      <w:r>
        <w:rPr>
          <w:rFonts w:hint="eastAsia" w:ascii="宋体" w:hAnsi="宋体" w:cs="宋体"/>
          <w:color w:val="auto"/>
          <w:kern w:val="0"/>
          <w:szCs w:val="21"/>
        </w:rPr>
        <w:t>（1）依据发改等行业主管部门的批复、核准</w:t>
      </w:r>
      <w:r>
        <w:rPr>
          <w:rFonts w:ascii="宋体" w:hAnsi="宋体" w:cs="宋体"/>
          <w:color w:val="auto"/>
          <w:kern w:val="0"/>
          <w:szCs w:val="21"/>
        </w:rPr>
        <w:t>、备案文件</w:t>
      </w:r>
      <w:r>
        <w:rPr>
          <w:rFonts w:hint="eastAsia" w:ascii="宋体" w:hAnsi="宋体" w:cs="宋体"/>
          <w:color w:val="auto"/>
          <w:kern w:val="0"/>
          <w:szCs w:val="21"/>
        </w:rPr>
        <w:t>（投资项目在线监管平台登记信息）或规划文件填报，原则上一个文件只能作为一个投资项目的报送依据，由立项单位负责统计。</w:t>
      </w:r>
    </w:p>
    <w:p>
      <w:pPr>
        <w:adjustRightInd w:val="0"/>
        <w:spacing w:line="360" w:lineRule="atLeast"/>
        <w:ind w:firstLine="420"/>
        <w:rPr>
          <w:rFonts w:hint="eastAsia" w:ascii="宋体" w:hAnsi="宋体" w:cs="宋体"/>
          <w:color w:val="auto"/>
          <w:kern w:val="0"/>
          <w:szCs w:val="21"/>
        </w:rPr>
      </w:pPr>
      <w:r>
        <w:rPr>
          <w:rFonts w:hint="eastAsia" w:ascii="宋体" w:hAnsi="宋体" w:cs="宋体"/>
          <w:color w:val="auto"/>
          <w:kern w:val="0"/>
          <w:szCs w:val="21"/>
        </w:rPr>
        <w:t>（2）不得</w:t>
      </w:r>
      <w:r>
        <w:rPr>
          <w:rFonts w:ascii="宋体" w:hAnsi="宋体" w:cs="宋体"/>
          <w:color w:val="auto"/>
          <w:kern w:val="0"/>
          <w:szCs w:val="21"/>
        </w:rPr>
        <w:t>人为</w:t>
      </w:r>
      <w:r>
        <w:rPr>
          <w:rFonts w:hint="eastAsia" w:ascii="宋体" w:hAnsi="宋体" w:cs="宋体"/>
          <w:color w:val="auto"/>
          <w:kern w:val="0"/>
          <w:szCs w:val="21"/>
        </w:rPr>
        <w:t>合并</w:t>
      </w:r>
      <w:r>
        <w:rPr>
          <w:rFonts w:ascii="宋体" w:hAnsi="宋体" w:cs="宋体"/>
          <w:color w:val="auto"/>
          <w:kern w:val="0"/>
          <w:szCs w:val="21"/>
        </w:rPr>
        <w:t>项目</w:t>
      </w:r>
      <w:r>
        <w:rPr>
          <w:rFonts w:hint="eastAsia" w:ascii="宋体" w:hAnsi="宋体" w:cs="宋体"/>
          <w:color w:val="auto"/>
          <w:kern w:val="0"/>
          <w:szCs w:val="21"/>
        </w:rPr>
        <w:t>报送</w:t>
      </w:r>
      <w:r>
        <w:rPr>
          <w:rFonts w:ascii="宋体" w:hAnsi="宋体" w:cs="宋体"/>
          <w:color w:val="auto"/>
          <w:kern w:val="0"/>
          <w:szCs w:val="21"/>
        </w:rPr>
        <w:t>。</w:t>
      </w:r>
      <w:r>
        <w:rPr>
          <w:rFonts w:hint="eastAsia" w:ascii="宋体" w:hAnsi="宋体" w:cs="宋体"/>
          <w:color w:val="auto"/>
          <w:kern w:val="0"/>
          <w:szCs w:val="21"/>
        </w:rPr>
        <w:t>有单独批复、核准</w:t>
      </w:r>
      <w:r>
        <w:rPr>
          <w:rFonts w:ascii="宋体" w:hAnsi="宋体" w:cs="宋体"/>
          <w:color w:val="auto"/>
          <w:kern w:val="0"/>
          <w:szCs w:val="21"/>
        </w:rPr>
        <w:t>、备案</w:t>
      </w:r>
      <w:r>
        <w:rPr>
          <w:rFonts w:hint="eastAsia" w:ascii="宋体" w:hAnsi="宋体" w:cs="宋体"/>
          <w:color w:val="auto"/>
          <w:kern w:val="0"/>
          <w:szCs w:val="21"/>
        </w:rPr>
        <w:t>或规划文件但未达到500万元标准的投资项目，不能与</w:t>
      </w:r>
      <w:r>
        <w:rPr>
          <w:rFonts w:ascii="宋体" w:hAnsi="宋体" w:cs="宋体"/>
          <w:color w:val="auto"/>
          <w:kern w:val="0"/>
          <w:szCs w:val="21"/>
        </w:rPr>
        <w:t>其它项目合并</w:t>
      </w:r>
      <w:r>
        <w:rPr>
          <w:rFonts w:hint="eastAsia" w:ascii="宋体" w:hAnsi="宋体" w:cs="宋体"/>
          <w:color w:val="auto"/>
          <w:kern w:val="0"/>
          <w:szCs w:val="21"/>
        </w:rPr>
        <w:t>纳入500万元以上固定资产投资项目统计。</w:t>
      </w:r>
    </w:p>
    <w:p>
      <w:pPr>
        <w:adjustRightInd w:val="0"/>
        <w:spacing w:line="360" w:lineRule="atLeast"/>
        <w:ind w:firstLine="420"/>
        <w:rPr>
          <w:rFonts w:hint="eastAsia" w:ascii="宋体" w:hAnsi="宋体" w:cs="宋体"/>
          <w:color w:val="auto"/>
          <w:kern w:val="0"/>
          <w:szCs w:val="21"/>
        </w:rPr>
      </w:pPr>
      <w:r>
        <w:rPr>
          <w:rFonts w:hint="eastAsia" w:ascii="宋体" w:hAnsi="宋体" w:cs="宋体"/>
          <w:color w:val="auto"/>
          <w:kern w:val="0"/>
          <w:szCs w:val="21"/>
        </w:rPr>
        <w:t>（3）各级统计部门要加强对该类项目入库</w:t>
      </w:r>
      <w:r>
        <w:rPr>
          <w:rFonts w:ascii="宋体" w:hAnsi="宋体" w:cs="宋体"/>
          <w:color w:val="auto"/>
          <w:kern w:val="0"/>
          <w:szCs w:val="21"/>
        </w:rPr>
        <w:t>及数据</w:t>
      </w:r>
      <w:r>
        <w:rPr>
          <w:rFonts w:hint="eastAsia" w:ascii="宋体" w:hAnsi="宋体" w:cs="宋体"/>
          <w:color w:val="auto"/>
          <w:kern w:val="0"/>
          <w:szCs w:val="21"/>
        </w:rPr>
        <w:t>质量的审核</w:t>
      </w:r>
      <w:r>
        <w:rPr>
          <w:rFonts w:ascii="宋体" w:hAnsi="宋体" w:cs="宋体"/>
          <w:color w:val="auto"/>
          <w:kern w:val="0"/>
          <w:szCs w:val="21"/>
        </w:rPr>
        <w:t>。</w:t>
      </w:r>
    </w:p>
    <w:p>
      <w:pPr>
        <w:adjustRightInd w:val="0"/>
        <w:spacing w:line="360" w:lineRule="atLeast"/>
        <w:ind w:firstLine="420" w:firstLineChars="200"/>
        <w:rPr>
          <w:rFonts w:hint="eastAsia" w:ascii="宋体" w:hAnsi="宋体" w:cs="宋体"/>
          <w:b/>
          <w:bCs/>
          <w:color w:val="auto"/>
          <w:kern w:val="0"/>
          <w:szCs w:val="21"/>
        </w:rPr>
      </w:pPr>
      <w:r>
        <w:rPr>
          <w:rFonts w:hint="eastAsia" w:ascii="宋体" w:hAnsi="宋体" w:cs="宋体"/>
          <w:b/>
          <w:bCs/>
          <w:color w:val="auto"/>
          <w:kern w:val="0"/>
          <w:szCs w:val="21"/>
        </w:rPr>
        <w:t>单纯设备购置项目填报应注意的问题:</w:t>
      </w:r>
    </w:p>
    <w:p>
      <w:pPr>
        <w:adjustRightInd w:val="0"/>
        <w:spacing w:line="360" w:lineRule="atLeast"/>
        <w:ind w:firstLine="420" w:firstLineChars="200"/>
        <w:rPr>
          <w:rFonts w:ascii="黑体" w:hAnsi="黑体" w:eastAsia="黑体" w:cs="宋体"/>
          <w:color w:val="auto"/>
          <w:kern w:val="0"/>
          <w:szCs w:val="21"/>
        </w:rPr>
      </w:pPr>
      <w:r>
        <w:rPr>
          <w:rFonts w:hint="eastAsia" w:ascii="宋体" w:hAnsi="宋体" w:cs="宋体"/>
          <w:color w:val="auto"/>
          <w:kern w:val="0"/>
          <w:szCs w:val="21"/>
        </w:rPr>
        <w:t>部分调查单位的单纯设备购置在年初没有统一计划，且在年内分批多次实施，如果在报告期内达到500万元的报送标准，可在当月纳入统计范围。</w:t>
      </w:r>
    </w:p>
    <w:p>
      <w:pPr>
        <w:adjustRightInd w:val="0"/>
        <w:spacing w:line="360" w:lineRule="atLeast"/>
        <w:ind w:firstLine="420" w:firstLineChars="200"/>
        <w:rPr>
          <w:rFonts w:hint="eastAsia" w:ascii="宋体" w:hAnsi="宋体" w:cs="宋体"/>
          <w:color w:val="auto"/>
          <w:kern w:val="0"/>
          <w:szCs w:val="21"/>
          <w:highlight w:val="none"/>
        </w:rPr>
      </w:pPr>
      <w:r>
        <w:rPr>
          <w:rFonts w:hint="eastAsia" w:ascii="黑体" w:hAnsi="黑体" w:eastAsia="黑体" w:cs="宋体"/>
          <w:color w:val="auto"/>
          <w:kern w:val="0"/>
          <w:szCs w:val="21"/>
        </w:rPr>
        <w:t>民间固定资产投资</w:t>
      </w:r>
      <w:r>
        <w:rPr>
          <w:rFonts w:hint="eastAsia" w:ascii="宋体" w:hAnsi="宋体" w:cs="宋体"/>
          <w:color w:val="auto"/>
          <w:kern w:val="0"/>
          <w:szCs w:val="21"/>
        </w:rPr>
        <w:t xml:space="preserve">  指具有集体、私营、个人性质的内资调查单位以及由其控股（包括绝对控股和相对控股）的调查单位在中华人民共和国境内建造或购置固定资</w:t>
      </w:r>
      <w:r>
        <w:rPr>
          <w:rFonts w:hint="eastAsia" w:ascii="宋体" w:hAnsi="宋体" w:cs="宋体"/>
          <w:color w:val="auto"/>
          <w:kern w:val="0"/>
          <w:szCs w:val="21"/>
          <w:highlight w:val="none"/>
        </w:rPr>
        <w:t xml:space="preserve">产的投资。 </w:t>
      </w:r>
    </w:p>
    <w:p>
      <w:pPr>
        <w:adjustRightInd w:val="0"/>
        <w:spacing w:line="360" w:lineRule="atLeast"/>
        <w:ind w:firstLine="420" w:firstLineChars="200"/>
        <w:rPr>
          <w:rFonts w:hint="eastAsia" w:ascii="宋体" w:hAnsi="宋体" w:cs="宋体"/>
          <w:color w:val="auto"/>
          <w:kern w:val="0"/>
          <w:szCs w:val="21"/>
        </w:rPr>
      </w:pPr>
      <w:r>
        <w:rPr>
          <w:rFonts w:hint="eastAsia" w:ascii="宋体" w:hAnsi="宋体" w:cs="宋体"/>
          <w:color w:val="auto"/>
          <w:kern w:val="0"/>
          <w:szCs w:val="21"/>
          <w:highlight w:val="none"/>
        </w:rPr>
        <w:t>民间固定资产投资统计范围根据固定资产投资项目单位的市场主体登记注册类型和控</w:t>
      </w:r>
      <w:r>
        <w:rPr>
          <w:rFonts w:hint="eastAsia" w:ascii="宋体" w:hAnsi="宋体" w:cs="宋体"/>
          <w:color w:val="auto"/>
          <w:kern w:val="0"/>
          <w:szCs w:val="21"/>
        </w:rPr>
        <w:t>股情况来确定，包括：</w:t>
      </w:r>
    </w:p>
    <w:p>
      <w:pPr>
        <w:adjustRightInd w:val="0"/>
        <w:spacing w:line="360" w:lineRule="atLeast"/>
        <w:ind w:firstLine="420" w:firstLineChars="200"/>
        <w:rPr>
          <w:rFonts w:hint="eastAsia" w:ascii="仿宋_GB2312" w:eastAsia="仿宋_GB2312"/>
          <w:color w:val="auto"/>
          <w:spacing w:val="8"/>
          <w:sz w:val="30"/>
          <w:szCs w:val="30"/>
        </w:rPr>
      </w:pPr>
      <w:r>
        <w:rPr>
          <w:rFonts w:hint="eastAsia" w:ascii="宋体" w:hAnsi="宋体" w:cs="宋体"/>
          <w:color w:val="auto"/>
          <w:kern w:val="0"/>
          <w:szCs w:val="21"/>
        </w:rPr>
        <w:t>（1）市场</w:t>
      </w:r>
      <w:r>
        <w:rPr>
          <w:rFonts w:ascii="宋体" w:hAnsi="宋体" w:cs="宋体"/>
          <w:color w:val="auto"/>
          <w:kern w:val="0"/>
          <w:szCs w:val="21"/>
        </w:rPr>
        <w:t>主体</w:t>
      </w:r>
      <w:r>
        <w:rPr>
          <w:rFonts w:hint="eastAsia" w:ascii="宋体" w:hAnsi="宋体" w:cs="宋体"/>
          <w:color w:val="auto"/>
          <w:kern w:val="0"/>
          <w:szCs w:val="21"/>
        </w:rPr>
        <w:t>登记注册的集体、股份合作、私营独资、私营合伙、私营有限责任公司、个体户、个人合伙等纯民间主体的固定资产投资；</w:t>
      </w:r>
    </w:p>
    <w:p>
      <w:pPr>
        <w:adjustRightInd w:val="0"/>
        <w:spacing w:line="36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（2）市场</w:t>
      </w:r>
      <w:r>
        <w:rPr>
          <w:rFonts w:ascii="宋体" w:hAnsi="宋体" w:cs="宋体"/>
          <w:color w:val="auto"/>
          <w:kern w:val="0"/>
          <w:szCs w:val="21"/>
        </w:rPr>
        <w:t>主体</w:t>
      </w:r>
      <w:r>
        <w:rPr>
          <w:rFonts w:hint="eastAsia" w:ascii="宋体" w:hAnsi="宋体" w:cs="宋体"/>
          <w:color w:val="auto"/>
          <w:kern w:val="0"/>
          <w:szCs w:val="21"/>
        </w:rPr>
        <w:t>登记注册的混合经济成分中由集体、私营、个人控股的投资主体单位的全部固定资产投资。</w:t>
      </w:r>
    </w:p>
    <w:p>
      <w:pPr>
        <w:spacing w:after="120" w:afterLines="50" w:line="360" w:lineRule="atLeast"/>
        <w:ind w:firstLine="420" w:firstLineChars="200"/>
        <w:rPr>
          <w:rFonts w:hint="eastAsia" w:ascii="宋体" w:hAnsi="宋体" w:cs="宋体"/>
          <w:color w:val="auto"/>
          <w:kern w:val="0"/>
          <w:szCs w:val="21"/>
        </w:rPr>
      </w:pPr>
      <w:r>
        <w:rPr>
          <w:rFonts w:hint="eastAsia" w:ascii="宋体" w:hAnsi="宋体" w:cs="宋体"/>
          <w:color w:val="auto"/>
          <w:kern w:val="0"/>
          <w:szCs w:val="21"/>
        </w:rPr>
        <w:t>民间固定资产投资主体划分如下：</w:t>
      </w:r>
    </w:p>
    <w:tbl>
      <w:tblPr>
        <w:tblStyle w:val="21"/>
        <w:tblW w:w="0" w:type="auto"/>
        <w:tblInd w:w="122"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703"/>
        <w:gridCol w:w="4704"/>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703" w:type="dxa"/>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cs="宋体"/>
                <w:b/>
                <w:bCs/>
                <w:color w:val="auto"/>
                <w:kern w:val="0"/>
                <w:sz w:val="18"/>
                <w:szCs w:val="18"/>
              </w:rPr>
            </w:pPr>
            <w:r>
              <w:rPr>
                <w:rFonts w:hint="eastAsia" w:ascii="宋体" w:hAnsi="宋体" w:cs="宋体"/>
                <w:b/>
                <w:bCs/>
                <w:color w:val="auto"/>
                <w:kern w:val="0"/>
                <w:sz w:val="18"/>
                <w:szCs w:val="18"/>
              </w:rPr>
              <w:t>纯民间固定资产投资主体</w:t>
            </w:r>
          </w:p>
        </w:tc>
        <w:tc>
          <w:tcPr>
            <w:tcW w:w="4704" w:type="dxa"/>
            <w:noWrap w:val="0"/>
            <w:vAlign w:val="center"/>
          </w:tcPr>
          <w:p>
            <w:pPr>
              <w:keepNext w:val="0"/>
              <w:keepLines w:val="0"/>
              <w:suppressLineNumbers w:val="0"/>
              <w:spacing w:before="0" w:beforeAutospacing="0" w:after="0" w:afterAutospacing="0" w:line="240" w:lineRule="exact"/>
              <w:ind w:left="0" w:right="0" w:firstLine="360" w:firstLineChars="200"/>
              <w:jc w:val="center"/>
              <w:rPr>
                <w:rFonts w:hint="default" w:ascii="宋体" w:hAnsi="宋体" w:cs="宋体"/>
                <w:b/>
                <w:color w:val="auto"/>
                <w:kern w:val="0"/>
                <w:sz w:val="18"/>
                <w:szCs w:val="18"/>
              </w:rPr>
            </w:pPr>
            <w:r>
              <w:rPr>
                <w:rFonts w:hint="eastAsia" w:ascii="宋体" w:hAnsi="宋体" w:cs="宋体"/>
                <w:b/>
                <w:color w:val="auto"/>
                <w:kern w:val="0"/>
                <w:sz w:val="18"/>
                <w:szCs w:val="18"/>
              </w:rPr>
              <w:t>混合经济投资主体</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03"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kern w:val="0"/>
                <w:sz w:val="18"/>
                <w:szCs w:val="18"/>
              </w:rPr>
            </w:pPr>
            <w:r>
              <w:rPr>
                <w:rFonts w:hint="eastAsia" w:ascii="宋体" w:hAnsi="宋体" w:cs="宋体"/>
                <w:color w:val="auto"/>
                <w:spacing w:val="-4"/>
                <w:kern w:val="0"/>
                <w:sz w:val="18"/>
                <w:szCs w:val="18"/>
              </w:rPr>
              <w:t xml:space="preserve">112 </w:t>
            </w:r>
            <w:r>
              <w:rPr>
                <w:rFonts w:hint="eastAsia" w:ascii="宋体" w:hAnsi="宋体" w:cs="宋体"/>
                <w:color w:val="auto"/>
                <w:spacing w:val="-4"/>
                <w:kern w:val="0"/>
                <w:sz w:val="18"/>
                <w:szCs w:val="18"/>
                <w:lang w:bidi="ar"/>
              </w:rPr>
              <w:t>私营有限责任公司</w:t>
            </w:r>
          </w:p>
        </w:tc>
        <w:tc>
          <w:tcPr>
            <w:tcW w:w="4704"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119 </w:t>
            </w:r>
            <w:r>
              <w:rPr>
                <w:rFonts w:hint="eastAsia" w:ascii="宋体" w:hAnsi="宋体" w:cs="宋体"/>
                <w:color w:val="auto"/>
                <w:spacing w:val="-4"/>
                <w:kern w:val="0"/>
                <w:sz w:val="18"/>
                <w:szCs w:val="18"/>
                <w:lang w:bidi="ar"/>
              </w:rPr>
              <w:t>其他有限责任公司</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03"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132 </w:t>
            </w:r>
            <w:r>
              <w:rPr>
                <w:rFonts w:hint="eastAsia" w:ascii="宋体" w:hAnsi="宋体" w:cs="宋体"/>
                <w:color w:val="auto"/>
                <w:spacing w:val="-4"/>
                <w:kern w:val="0"/>
                <w:sz w:val="18"/>
                <w:szCs w:val="18"/>
                <w:lang w:bidi="ar"/>
              </w:rPr>
              <w:t>集体所有制企业(集体企业)</w:t>
            </w:r>
          </w:p>
        </w:tc>
        <w:tc>
          <w:tcPr>
            <w:tcW w:w="4704"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121 </w:t>
            </w:r>
            <w:r>
              <w:rPr>
                <w:rFonts w:hint="eastAsia" w:ascii="宋体" w:hAnsi="宋体" w:cs="宋体"/>
                <w:color w:val="auto"/>
                <w:spacing w:val="-4"/>
                <w:kern w:val="0"/>
                <w:sz w:val="18"/>
                <w:szCs w:val="18"/>
                <w:lang w:bidi="ar"/>
              </w:rPr>
              <w:t>私营股份有限公司</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03"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133 股份合作企业</w:t>
            </w:r>
          </w:p>
        </w:tc>
        <w:tc>
          <w:tcPr>
            <w:tcW w:w="4704"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129 </w:t>
            </w:r>
            <w:r>
              <w:rPr>
                <w:rFonts w:hint="eastAsia" w:ascii="宋体" w:hAnsi="宋体" w:cs="宋体"/>
                <w:color w:val="auto"/>
                <w:spacing w:val="-4"/>
                <w:kern w:val="0"/>
                <w:sz w:val="18"/>
                <w:szCs w:val="18"/>
                <w:lang w:bidi="ar"/>
              </w:rPr>
              <w:t>其他股份有限公司</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03"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134 </w:t>
            </w:r>
            <w:r>
              <w:rPr>
                <w:rFonts w:hint="eastAsia" w:ascii="宋体" w:hAnsi="宋体" w:cs="宋体"/>
                <w:color w:val="auto"/>
                <w:spacing w:val="-4"/>
                <w:kern w:val="0"/>
                <w:sz w:val="18"/>
                <w:szCs w:val="18"/>
                <w:lang w:bidi="ar"/>
              </w:rPr>
              <w:t>联营企业</w:t>
            </w:r>
          </w:p>
        </w:tc>
        <w:tc>
          <w:tcPr>
            <w:tcW w:w="4704"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150 </w:t>
            </w:r>
            <w:r>
              <w:rPr>
                <w:rFonts w:hint="eastAsia" w:ascii="宋体" w:hAnsi="宋体" w:cs="宋体"/>
                <w:color w:val="auto"/>
                <w:spacing w:val="-4"/>
                <w:kern w:val="0"/>
                <w:sz w:val="18"/>
                <w:szCs w:val="18"/>
                <w:lang w:bidi="ar"/>
              </w:rPr>
              <w:t>合伙企业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03"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140 </w:t>
            </w:r>
            <w:r>
              <w:rPr>
                <w:rFonts w:hint="eastAsia" w:ascii="宋体" w:hAnsi="宋体" w:cs="宋体"/>
                <w:color w:val="auto"/>
                <w:spacing w:val="-4"/>
                <w:kern w:val="0"/>
                <w:sz w:val="18"/>
                <w:szCs w:val="18"/>
                <w:lang w:bidi="ar"/>
              </w:rPr>
              <w:t>个人独资企业</w:t>
            </w:r>
          </w:p>
        </w:tc>
        <w:tc>
          <w:tcPr>
            <w:tcW w:w="4704"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210 </w:t>
            </w:r>
            <w:r>
              <w:rPr>
                <w:rFonts w:hint="eastAsia" w:ascii="宋体" w:hAnsi="宋体" w:cs="宋体"/>
                <w:color w:val="auto"/>
                <w:spacing w:val="-4"/>
                <w:kern w:val="0"/>
                <w:sz w:val="18"/>
                <w:szCs w:val="18"/>
                <w:lang w:bidi="ar"/>
              </w:rPr>
              <w:t>港澳台投资有限责任公司</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03"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190 </w:t>
            </w:r>
            <w:r>
              <w:rPr>
                <w:rFonts w:hint="eastAsia" w:ascii="宋体" w:hAnsi="宋体" w:cs="宋体"/>
                <w:color w:val="auto"/>
                <w:spacing w:val="-4"/>
                <w:kern w:val="0"/>
                <w:sz w:val="18"/>
                <w:szCs w:val="18"/>
                <w:lang w:bidi="ar"/>
              </w:rPr>
              <w:t>其他内资企业</w:t>
            </w:r>
          </w:p>
        </w:tc>
        <w:tc>
          <w:tcPr>
            <w:tcW w:w="4704"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220 </w:t>
            </w:r>
            <w:r>
              <w:rPr>
                <w:rFonts w:hint="eastAsia" w:ascii="宋体" w:hAnsi="宋体" w:cs="宋体"/>
                <w:color w:val="auto"/>
                <w:spacing w:val="-4"/>
                <w:kern w:val="0"/>
                <w:sz w:val="18"/>
                <w:szCs w:val="18"/>
                <w:lang w:bidi="ar"/>
              </w:rPr>
              <w:t>港澳台投资股份有限公司</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03"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400 </w:t>
            </w:r>
            <w:r>
              <w:rPr>
                <w:rFonts w:hint="eastAsia" w:ascii="宋体" w:hAnsi="宋体" w:cs="宋体"/>
                <w:color w:val="auto"/>
                <w:spacing w:val="-4"/>
                <w:kern w:val="0"/>
                <w:sz w:val="18"/>
                <w:szCs w:val="18"/>
                <w:lang w:bidi="ar"/>
              </w:rPr>
              <w:t>农民专业合作社（联合社）</w:t>
            </w:r>
          </w:p>
        </w:tc>
        <w:tc>
          <w:tcPr>
            <w:tcW w:w="4704"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230 </w:t>
            </w:r>
            <w:r>
              <w:rPr>
                <w:rFonts w:hint="eastAsia" w:ascii="宋体" w:hAnsi="宋体" w:cs="宋体"/>
                <w:color w:val="auto"/>
                <w:spacing w:val="-4"/>
                <w:kern w:val="0"/>
                <w:sz w:val="18"/>
                <w:szCs w:val="18"/>
                <w:lang w:bidi="ar"/>
              </w:rPr>
              <w:t>港澳台投资合伙企业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03"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500 </w:t>
            </w:r>
            <w:r>
              <w:rPr>
                <w:rFonts w:hint="eastAsia" w:ascii="宋体" w:hAnsi="宋体" w:cs="宋体"/>
                <w:color w:val="auto"/>
                <w:spacing w:val="-4"/>
                <w:kern w:val="0"/>
                <w:sz w:val="18"/>
                <w:szCs w:val="18"/>
                <w:lang w:bidi="ar"/>
              </w:rPr>
              <w:t>个体工商户</w:t>
            </w:r>
          </w:p>
        </w:tc>
        <w:tc>
          <w:tcPr>
            <w:tcW w:w="4704"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290 其他港澳台商投资企业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03"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900 </w:t>
            </w:r>
            <w:r>
              <w:rPr>
                <w:rFonts w:hint="eastAsia" w:ascii="宋体" w:hAnsi="宋体" w:cs="宋体"/>
                <w:color w:val="auto"/>
                <w:spacing w:val="-4"/>
                <w:kern w:val="0"/>
                <w:sz w:val="18"/>
                <w:szCs w:val="18"/>
                <w:lang w:bidi="ar"/>
              </w:rPr>
              <w:t>其他市场主体</w:t>
            </w:r>
          </w:p>
        </w:tc>
        <w:tc>
          <w:tcPr>
            <w:tcW w:w="4704"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310 </w:t>
            </w:r>
            <w:r>
              <w:rPr>
                <w:rFonts w:hint="eastAsia" w:ascii="宋体" w:hAnsi="宋体" w:cs="宋体"/>
                <w:color w:val="auto"/>
                <w:spacing w:val="-4"/>
                <w:kern w:val="0"/>
                <w:sz w:val="18"/>
                <w:szCs w:val="18"/>
                <w:lang w:bidi="ar"/>
              </w:rPr>
              <w:t>外商投资有限责任公司</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03" w:type="dxa"/>
            <w:noWrap w:val="0"/>
            <w:vAlign w:val="center"/>
          </w:tcPr>
          <w:p>
            <w:pPr>
              <w:keepNext w:val="0"/>
              <w:keepLines w:val="0"/>
              <w:widowControl/>
              <w:suppressLineNumbers w:val="0"/>
              <w:spacing w:before="0" w:beforeAutospacing="0" w:after="0" w:afterAutospacing="0" w:line="240" w:lineRule="exact"/>
              <w:ind w:left="0" w:right="0" w:firstLine="297" w:firstLineChars="165"/>
              <w:rPr>
                <w:rFonts w:hint="eastAsia" w:ascii="宋体" w:hAnsi="宋体" w:cs="宋体"/>
                <w:color w:val="auto"/>
                <w:kern w:val="0"/>
                <w:sz w:val="18"/>
                <w:szCs w:val="18"/>
              </w:rPr>
            </w:pPr>
          </w:p>
        </w:tc>
        <w:tc>
          <w:tcPr>
            <w:tcW w:w="4704"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320</w:t>
            </w:r>
            <w:r>
              <w:rPr>
                <w:rFonts w:hint="eastAsia" w:ascii="宋体" w:hAnsi="宋体" w:cs="宋体"/>
                <w:color w:val="auto"/>
                <w:spacing w:val="-4"/>
                <w:kern w:val="0"/>
                <w:sz w:val="18"/>
                <w:szCs w:val="18"/>
                <w:lang w:bidi="ar"/>
              </w:rPr>
              <w:t>外商投资股份有限公司</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03" w:type="dxa"/>
            <w:noWrap w:val="0"/>
            <w:vAlign w:val="center"/>
          </w:tcPr>
          <w:p>
            <w:pPr>
              <w:keepNext w:val="0"/>
              <w:keepLines w:val="0"/>
              <w:widowControl/>
              <w:suppressLineNumbers w:val="0"/>
              <w:spacing w:before="0" w:beforeAutospacing="0" w:after="0" w:afterAutospacing="0" w:line="240" w:lineRule="exact"/>
              <w:ind w:left="0" w:right="0" w:firstLine="297" w:firstLineChars="165"/>
              <w:rPr>
                <w:rFonts w:hint="eastAsia" w:ascii="宋体" w:hAnsi="宋体" w:cs="宋体"/>
                <w:color w:val="auto"/>
                <w:kern w:val="0"/>
                <w:sz w:val="18"/>
                <w:szCs w:val="18"/>
              </w:rPr>
            </w:pPr>
          </w:p>
        </w:tc>
        <w:tc>
          <w:tcPr>
            <w:tcW w:w="4704"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 xml:space="preserve">330 </w:t>
            </w:r>
            <w:r>
              <w:rPr>
                <w:rFonts w:hint="eastAsia" w:ascii="宋体" w:hAnsi="宋体" w:cs="宋体"/>
                <w:color w:val="auto"/>
                <w:spacing w:val="-4"/>
                <w:kern w:val="0"/>
                <w:sz w:val="18"/>
                <w:szCs w:val="18"/>
                <w:lang w:bidi="ar"/>
              </w:rPr>
              <w:t>外商投资合伙企业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03" w:type="dxa"/>
            <w:noWrap w:val="0"/>
            <w:vAlign w:val="center"/>
          </w:tcPr>
          <w:p>
            <w:pPr>
              <w:keepNext w:val="0"/>
              <w:keepLines w:val="0"/>
              <w:widowControl/>
              <w:suppressLineNumbers w:val="0"/>
              <w:spacing w:before="0" w:beforeAutospacing="0" w:after="0" w:afterAutospacing="0" w:line="240" w:lineRule="exact"/>
              <w:ind w:left="0" w:right="0" w:firstLine="297" w:firstLineChars="165"/>
              <w:rPr>
                <w:rFonts w:hint="eastAsia" w:ascii="宋体" w:hAnsi="宋体" w:cs="宋体"/>
                <w:color w:val="auto"/>
                <w:kern w:val="0"/>
                <w:sz w:val="18"/>
                <w:szCs w:val="18"/>
              </w:rPr>
            </w:pPr>
            <w:r>
              <w:rPr>
                <w:rFonts w:hint="eastAsia" w:ascii="宋体" w:hAnsi="宋体" w:cs="宋体"/>
                <w:color w:val="auto"/>
                <w:kern w:val="0"/>
                <w:sz w:val="18"/>
                <w:szCs w:val="18"/>
              </w:rPr>
              <w:t>　</w:t>
            </w:r>
          </w:p>
        </w:tc>
        <w:tc>
          <w:tcPr>
            <w:tcW w:w="4704" w:type="dxa"/>
            <w:noWrap w:val="0"/>
            <w:vAlign w:val="center"/>
          </w:tcPr>
          <w:p>
            <w:pPr>
              <w:keepNext w:val="0"/>
              <w:keepLines w:val="0"/>
              <w:widowControl/>
              <w:suppressLineNumbers w:val="0"/>
              <w:spacing w:before="0" w:beforeAutospacing="0" w:after="0" w:afterAutospacing="0" w:line="240" w:lineRule="exact"/>
              <w:ind w:left="0" w:right="0" w:firstLine="283" w:firstLineChars="165"/>
              <w:rPr>
                <w:rFonts w:hint="eastAsia" w:ascii="宋体" w:hAnsi="宋体" w:cs="宋体"/>
                <w:color w:val="auto"/>
                <w:spacing w:val="-4"/>
                <w:kern w:val="0"/>
                <w:sz w:val="18"/>
                <w:szCs w:val="18"/>
              </w:rPr>
            </w:pPr>
            <w:r>
              <w:rPr>
                <w:rFonts w:hint="eastAsia" w:ascii="宋体" w:hAnsi="宋体" w:cs="宋体"/>
                <w:color w:val="auto"/>
                <w:spacing w:val="-4"/>
                <w:kern w:val="0"/>
                <w:sz w:val="18"/>
                <w:szCs w:val="18"/>
              </w:rPr>
              <w:t>390 其他外商投资企业</w:t>
            </w:r>
          </w:p>
        </w:tc>
      </w:tr>
    </w:tbl>
    <w:p>
      <w:pPr>
        <w:ind w:firstLine="360" w:firstLineChars="200"/>
        <w:jc w:val="left"/>
        <w:rPr>
          <w:rFonts w:hint="eastAsia" w:ascii="宋体" w:hAnsi="宋体" w:cs="宋体"/>
          <w:color w:val="auto"/>
          <w:kern w:val="0"/>
          <w:sz w:val="18"/>
          <w:szCs w:val="18"/>
        </w:rPr>
      </w:pPr>
      <w:r>
        <w:rPr>
          <w:rFonts w:hint="eastAsia" w:ascii="宋体" w:hAnsi="宋体"/>
          <w:color w:val="auto"/>
          <w:sz w:val="18"/>
          <w:szCs w:val="18"/>
        </w:rPr>
        <w:t>注：</w:t>
      </w:r>
      <w:r>
        <w:rPr>
          <w:rFonts w:hint="eastAsia" w:ascii="宋体" w:hAnsi="宋体" w:cs="宋体"/>
          <w:color w:val="auto"/>
          <w:kern w:val="0"/>
          <w:sz w:val="18"/>
          <w:szCs w:val="18"/>
        </w:rPr>
        <w:t>混合经济投资主体是否属于民间固定资产投资主体需根据统计报表中填报的控股情况确定。</w:t>
      </w:r>
    </w:p>
    <w:p>
      <w:pPr>
        <w:adjustRightInd w:val="0"/>
        <w:spacing w:after="120" w:afterLines="50" w:line="360" w:lineRule="exact"/>
        <w:ind w:firstLine="420" w:firstLineChars="200"/>
        <w:rPr>
          <w:rFonts w:ascii="宋体" w:hAnsi="宋体"/>
          <w:color w:val="auto"/>
          <w:spacing w:val="-3"/>
          <w:szCs w:val="21"/>
        </w:rPr>
      </w:pPr>
      <w:r>
        <w:rPr>
          <w:rFonts w:hint="eastAsia" w:ascii="黑体" w:eastAsia="黑体"/>
          <w:color w:val="auto"/>
        </w:rPr>
        <w:t xml:space="preserve">基础设施投资  </w:t>
      </w:r>
      <w:r>
        <w:rPr>
          <w:rFonts w:hint="eastAsia" w:ascii="宋体" w:hAnsi="宋体"/>
          <w:color w:val="auto"/>
          <w:spacing w:val="-3"/>
          <w:szCs w:val="21"/>
        </w:rPr>
        <w:t>指为</w:t>
      </w:r>
      <w:r>
        <w:rPr>
          <w:rFonts w:hint="eastAsia" w:ascii="宋体" w:hAnsi="宋体"/>
          <w:color w:val="auto"/>
          <w:spacing w:val="-3"/>
          <w:szCs w:val="21"/>
          <w:u w:val="none"/>
        </w:rPr>
        <w:t>社会</w:t>
      </w:r>
      <w:r>
        <w:rPr>
          <w:rFonts w:hint="eastAsia" w:ascii="宋体" w:hAnsi="宋体"/>
          <w:color w:val="auto"/>
          <w:spacing w:val="-3"/>
          <w:szCs w:val="21"/>
        </w:rPr>
        <w:t>生产和生活提供基础性、大众性服务的工程和设施，是社会赖以生存和发展的基本条件。一般包括以下几个方面的内容：1.公共设施，如电力、电信、自来水、管道煤气、卫生设施、排污、固体废弃物的收集与处理；2.公共工程，如大坝、灌溉及排水用的渠道工程；3.交通运输设施，如公路、铁路、港口、机场、水路。按我国国民经济行业分类，具体包括下列行业：</w:t>
      </w:r>
    </w:p>
    <w:tbl>
      <w:tblPr>
        <w:tblStyle w:val="21"/>
        <w:tblW w:w="0" w:type="auto"/>
        <w:tblInd w:w="10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710"/>
        <w:gridCol w:w="4711"/>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b/>
                <w:color w:val="auto"/>
                <w:kern w:val="0"/>
                <w:sz w:val="18"/>
                <w:szCs w:val="18"/>
              </w:rPr>
            </w:pPr>
            <w:r>
              <w:rPr>
                <w:rFonts w:hint="eastAsia" w:ascii="宋体" w:hAnsi="宋体" w:cs="宋体"/>
                <w:b/>
                <w:color w:val="auto"/>
                <w:kern w:val="0"/>
                <w:sz w:val="18"/>
                <w:szCs w:val="18"/>
              </w:rPr>
              <w:t>行业代码</w:t>
            </w:r>
          </w:p>
        </w:tc>
        <w:tc>
          <w:tcPr>
            <w:tcW w:w="4711"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b/>
                <w:color w:val="auto"/>
                <w:kern w:val="0"/>
                <w:sz w:val="18"/>
                <w:szCs w:val="18"/>
              </w:rPr>
            </w:pPr>
            <w:r>
              <w:rPr>
                <w:rFonts w:hint="eastAsia" w:ascii="宋体" w:hAnsi="宋体" w:cs="宋体"/>
                <w:b/>
                <w:color w:val="auto"/>
                <w:kern w:val="0"/>
                <w:sz w:val="18"/>
                <w:szCs w:val="18"/>
              </w:rPr>
              <w:t>行业名称</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44</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电力、热力生产和供应业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45</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燃气生产和供应业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46</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水的生产和供应业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53</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铁路运输业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54</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道路运输业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55</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水上运输业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56</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航空运输业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57</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管道运输业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58</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多式联运和运输代理业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591</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装卸搬运</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60</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邮政业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63</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电信、广播电视和卫星传输服务</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64</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互联网和相关服务</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76</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水利管理业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77</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生态保护和环境治理业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71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kern w:val="0"/>
                <w:sz w:val="18"/>
                <w:szCs w:val="18"/>
              </w:rPr>
            </w:pPr>
            <w:r>
              <w:rPr>
                <w:rFonts w:hint="eastAsia" w:ascii="宋体" w:hAnsi="宋体" w:cs="宋体"/>
                <w:color w:val="auto"/>
                <w:kern w:val="0"/>
                <w:sz w:val="18"/>
                <w:szCs w:val="18"/>
              </w:rPr>
              <w:t>78</w:t>
            </w:r>
          </w:p>
        </w:tc>
        <w:tc>
          <w:tcPr>
            <w:tcW w:w="4711" w:type="dxa"/>
            <w:noWrap w:val="0"/>
            <w:vAlign w:val="center"/>
          </w:tcPr>
          <w:p>
            <w:pPr>
              <w:keepNext w:val="0"/>
              <w:keepLines w:val="0"/>
              <w:suppressLineNumbers w:val="0"/>
              <w:spacing w:before="0" w:beforeAutospacing="0" w:after="0" w:afterAutospacing="0"/>
              <w:ind w:left="0" w:right="0" w:firstLine="221" w:firstLineChars="123"/>
              <w:rPr>
                <w:rFonts w:hint="eastAsia" w:ascii="宋体" w:hAnsi="宋体" w:cs="宋体"/>
                <w:color w:val="auto"/>
                <w:kern w:val="0"/>
                <w:sz w:val="18"/>
                <w:szCs w:val="18"/>
              </w:rPr>
            </w:pPr>
            <w:r>
              <w:rPr>
                <w:rFonts w:hint="eastAsia" w:ascii="宋体" w:hAnsi="宋体" w:cs="宋体"/>
                <w:color w:val="auto"/>
                <w:kern w:val="0"/>
                <w:sz w:val="18"/>
                <w:szCs w:val="18"/>
              </w:rPr>
              <w:t>公共设施管理业</w:t>
            </w:r>
          </w:p>
        </w:tc>
      </w:tr>
    </w:tbl>
    <w:p>
      <w:pPr>
        <w:adjustRightInd w:val="0"/>
        <w:spacing w:line="360" w:lineRule="atLeast"/>
        <w:rPr>
          <w:rFonts w:hint="eastAsia" w:ascii="宋体" w:hAnsi="宋体"/>
          <w:color w:val="auto"/>
          <w:szCs w:val="21"/>
        </w:rPr>
      </w:pPr>
      <w:r>
        <w:rPr>
          <w:rFonts w:hint="eastAsia" w:ascii="宋体" w:hAnsi="宋体"/>
          <w:color w:val="auto"/>
          <w:szCs w:val="21"/>
        </w:rPr>
        <w:t xml:space="preserve">    说明：为了避免工业和基础设施两大领域之间的数据重复，国家统计局通常发布的基础设施投资口径为基础设施投资（不含电力、热力、燃气及水生产和供应业），具体包括铁路运输业，道路运输业，水上运输业，航空运输业，管道运输业，多式联运和运输代理业，装卸搬运，邮政业，电信、广播电视和卫星传输服务，互联网和相关服务，水利管理业，生态保护和环境治理业，公共设施管理业。</w:t>
      </w:r>
    </w:p>
    <w:p>
      <w:pPr>
        <w:adjustRightInd w:val="0"/>
        <w:spacing w:line="360" w:lineRule="atLeast"/>
        <w:ind w:firstLine="420" w:firstLineChars="200"/>
        <w:rPr>
          <w:rFonts w:ascii="宋体"/>
          <w:color w:val="auto"/>
          <w:szCs w:val="21"/>
        </w:rPr>
      </w:pPr>
      <w:r>
        <w:rPr>
          <w:rFonts w:hint="eastAsia" w:ascii="黑体" w:eastAsia="黑体"/>
          <w:color w:val="auto"/>
        </w:rPr>
        <w:t xml:space="preserve">计划总投资  </w:t>
      </w:r>
      <w:r>
        <w:rPr>
          <w:rFonts w:hint="eastAsia" w:ascii="宋体"/>
          <w:color w:val="auto"/>
          <w:szCs w:val="21"/>
        </w:rPr>
        <w:t>指在建的建设工程按照总体设计（</w:t>
      </w:r>
      <w:r>
        <w:rPr>
          <w:rFonts w:hint="eastAsia" w:ascii="宋体" w:hAnsi="宋体" w:cs="宋体"/>
          <w:color w:val="auto"/>
          <w:kern w:val="0"/>
          <w:szCs w:val="21"/>
        </w:rPr>
        <w:t>或按设计概算或预算</w:t>
      </w:r>
      <w:r>
        <w:rPr>
          <w:rFonts w:hint="eastAsia" w:ascii="宋体"/>
          <w:color w:val="auto"/>
          <w:szCs w:val="21"/>
        </w:rPr>
        <w:t>）规定的内容全部建成</w:t>
      </w:r>
      <w:r>
        <w:rPr>
          <w:rFonts w:hint="eastAsia" w:ascii="宋体" w:hAnsi="宋体" w:cs="宋体"/>
          <w:color w:val="auto"/>
          <w:kern w:val="0"/>
          <w:szCs w:val="21"/>
        </w:rPr>
        <w:t>计划</w:t>
      </w:r>
      <w:r>
        <w:rPr>
          <w:rFonts w:hint="eastAsia" w:ascii="宋体"/>
          <w:color w:val="auto"/>
          <w:szCs w:val="21"/>
        </w:rPr>
        <w:t>需要的总投资。</w:t>
      </w:r>
    </w:p>
    <w:p>
      <w:pPr>
        <w:adjustRightInd w:val="0"/>
        <w:spacing w:line="360" w:lineRule="atLeast"/>
        <w:ind w:firstLine="420" w:firstLineChars="200"/>
        <w:rPr>
          <w:rFonts w:hint="eastAsia" w:ascii="宋体"/>
          <w:color w:val="auto"/>
        </w:rPr>
      </w:pPr>
      <w:r>
        <w:rPr>
          <w:rFonts w:hint="eastAsia" w:ascii="宋体"/>
          <w:color w:val="auto"/>
          <w:szCs w:val="21"/>
        </w:rPr>
        <w:t>没有总体设计的</w:t>
      </w:r>
      <w:r>
        <w:rPr>
          <w:rFonts w:hint="eastAsia" w:ascii="宋体" w:hAnsi="宋体" w:cs="宋体"/>
          <w:color w:val="auto"/>
          <w:kern w:val="0"/>
          <w:szCs w:val="21"/>
        </w:rPr>
        <w:t>建设工程</w:t>
      </w:r>
      <w:r>
        <w:rPr>
          <w:rFonts w:hint="eastAsia" w:ascii="宋体"/>
          <w:color w:val="auto"/>
          <w:szCs w:val="21"/>
        </w:rPr>
        <w:t>，分别按报告期施工工程的计划总投资合计数填报。单纯购置单位应填报单纯购置的计划总投资。计划总投资是反映固定资产投资在建总规模的重要指标，也是检查工程进度，计算建设周期的依据之一</w:t>
      </w:r>
      <w:r>
        <w:rPr>
          <w:rFonts w:hint="eastAsia" w:ascii="宋体"/>
          <w:color w:val="auto"/>
        </w:rPr>
        <w:t>。</w:t>
      </w:r>
    </w:p>
    <w:p>
      <w:pPr>
        <w:adjustRightInd w:val="0"/>
        <w:spacing w:line="360" w:lineRule="atLeast"/>
        <w:ind w:firstLine="420" w:firstLineChars="200"/>
        <w:rPr>
          <w:rFonts w:hint="eastAsia" w:ascii="宋体"/>
          <w:b/>
          <w:color w:val="auto"/>
        </w:rPr>
      </w:pPr>
      <w:r>
        <w:rPr>
          <w:rFonts w:hint="eastAsia" w:ascii="宋体"/>
          <w:b/>
          <w:color w:val="auto"/>
        </w:rPr>
        <w:t>填报计划总投资应扣除铺底流动资金。</w:t>
      </w:r>
    </w:p>
    <w:p>
      <w:pPr>
        <w:adjustRightInd w:val="0"/>
        <w:spacing w:line="360" w:lineRule="atLeast"/>
        <w:ind w:firstLine="420" w:firstLineChars="200"/>
        <w:rPr>
          <w:rFonts w:ascii="宋体"/>
          <w:color w:val="auto"/>
        </w:rPr>
      </w:pPr>
      <w:r>
        <w:rPr>
          <w:rFonts w:hint="eastAsia" w:ascii="宋体"/>
          <w:color w:val="auto"/>
        </w:rPr>
        <w:t>计划总投资按以下办法确定填报：</w:t>
      </w:r>
    </w:p>
    <w:p>
      <w:pPr>
        <w:adjustRightInd w:val="0"/>
        <w:spacing w:line="360" w:lineRule="atLeast"/>
        <w:ind w:firstLine="420" w:firstLineChars="200"/>
        <w:rPr>
          <w:rFonts w:ascii="宋体"/>
          <w:color w:val="auto"/>
        </w:rPr>
      </w:pPr>
      <w:r>
        <w:rPr>
          <w:rFonts w:hint="eastAsia" w:ascii="宋体"/>
          <w:color w:val="auto"/>
        </w:rPr>
        <w:t>（1）有上级批准计划总投资的，填列上级批准数额。在上级批准计划总投资后，又批准调整（追加或减少）时，应填列批准后的调整数字；</w:t>
      </w:r>
    </w:p>
    <w:p>
      <w:pPr>
        <w:adjustRightInd w:val="0"/>
        <w:spacing w:line="360" w:lineRule="atLeast"/>
        <w:ind w:firstLine="420" w:firstLineChars="200"/>
        <w:rPr>
          <w:rFonts w:hint="eastAsia" w:ascii="宋体"/>
          <w:color w:val="auto"/>
        </w:rPr>
      </w:pPr>
      <w:r>
        <w:rPr>
          <w:rFonts w:hint="eastAsia" w:ascii="宋体"/>
          <w:color w:val="auto"/>
        </w:rPr>
        <w:t>（2）无上级批准的计划总投资的，填列有关权威单位编制的概算或预算中的计划总投资；</w:t>
      </w:r>
    </w:p>
    <w:p>
      <w:pPr>
        <w:adjustRightInd w:val="0"/>
        <w:spacing w:line="360" w:lineRule="atLeast"/>
        <w:ind w:firstLine="420" w:firstLineChars="200"/>
        <w:rPr>
          <w:rFonts w:hint="eastAsia" w:ascii="宋体"/>
          <w:color w:val="auto"/>
        </w:rPr>
      </w:pPr>
      <w:r>
        <w:rPr>
          <w:rFonts w:hint="eastAsia" w:ascii="宋体"/>
          <w:color w:val="auto"/>
        </w:rPr>
        <w:t>（3）前两者都没有的，填列年内施工工程计划总投资。</w:t>
      </w:r>
    </w:p>
    <w:p>
      <w:pPr>
        <w:adjustRightInd w:val="0"/>
        <w:spacing w:line="360" w:lineRule="atLeast"/>
        <w:ind w:firstLine="420" w:firstLineChars="200"/>
        <w:rPr>
          <w:rFonts w:hint="eastAsia" w:ascii="宋体"/>
          <w:color w:val="auto"/>
        </w:rPr>
      </w:pPr>
      <w:r>
        <w:rPr>
          <w:rFonts w:hint="eastAsia" w:ascii="黑体" w:eastAsia="黑体"/>
          <w:color w:val="auto"/>
        </w:rPr>
        <w:t xml:space="preserve">已签订合同总额 </w:t>
      </w:r>
      <w:r>
        <w:rPr>
          <w:rFonts w:hint="eastAsia" w:ascii="宋体"/>
          <w:color w:val="auto"/>
        </w:rPr>
        <w:t>指项目投资主体签订的与项目建设相关的各种施工、设备购置安装、咨询、监理、设计等合同总价款。包括本年新签订的和以前年度签订的合同总价款，不包括土地购置合同。</w:t>
      </w:r>
    </w:p>
    <w:p>
      <w:pPr>
        <w:adjustRightInd w:val="0"/>
        <w:spacing w:line="360" w:lineRule="atLeast"/>
        <w:ind w:firstLine="420" w:firstLineChars="200"/>
        <w:rPr>
          <w:rFonts w:ascii="宋体"/>
          <w:color w:val="auto"/>
        </w:rPr>
      </w:pPr>
      <w:r>
        <w:rPr>
          <w:rFonts w:hint="eastAsia" w:ascii="黑体" w:eastAsia="黑体"/>
          <w:color w:val="auto"/>
        </w:rPr>
        <w:t xml:space="preserve">自开始建设累计完成投资  </w:t>
      </w:r>
      <w:r>
        <w:rPr>
          <w:rFonts w:hint="eastAsia" w:ascii="宋体"/>
          <w:color w:val="auto"/>
        </w:rPr>
        <w:t>指从开始建设至</w:t>
      </w:r>
      <w:r>
        <w:rPr>
          <w:rFonts w:ascii="宋体"/>
          <w:color w:val="auto"/>
        </w:rPr>
        <w:t>报告期</w:t>
      </w:r>
      <w:r>
        <w:rPr>
          <w:rFonts w:hint="eastAsia" w:ascii="宋体"/>
          <w:color w:val="auto"/>
        </w:rPr>
        <w:t>累计完成的全部投资。其计算范围原则上应与“计划总投资”指标包括的工程内容相一致。</w:t>
      </w:r>
    </w:p>
    <w:p>
      <w:pPr>
        <w:adjustRightInd w:val="0"/>
        <w:spacing w:line="360" w:lineRule="atLeast"/>
        <w:ind w:firstLine="420" w:firstLineChars="200"/>
        <w:rPr>
          <w:rFonts w:ascii="宋体"/>
          <w:color w:val="auto"/>
        </w:rPr>
      </w:pPr>
      <w:r>
        <w:rPr>
          <w:rFonts w:hint="eastAsia" w:ascii="宋体"/>
          <w:color w:val="auto"/>
        </w:rPr>
        <w:t>报告期以前已建成投产或停、缓建工程完成的投资以及拆除、报废工程的投资，仍应包括在内。但转出的“在建工程”累计投资应予以扣除，转入的“在建工程”以前年度完成的投资应当包括。</w:t>
      </w:r>
    </w:p>
    <w:p>
      <w:pPr>
        <w:adjustRightInd w:val="0"/>
        <w:spacing w:line="360" w:lineRule="atLeast"/>
        <w:ind w:firstLine="420" w:firstLineChars="200"/>
        <w:rPr>
          <w:rFonts w:ascii="宋体"/>
          <w:color w:val="auto"/>
        </w:rPr>
      </w:pPr>
      <w:r>
        <w:rPr>
          <w:rFonts w:hint="eastAsia" w:ascii="黑体" w:eastAsia="黑体"/>
          <w:color w:val="auto"/>
        </w:rPr>
        <w:t xml:space="preserve">本年完成投资  </w:t>
      </w:r>
      <w:r>
        <w:rPr>
          <w:rFonts w:hint="eastAsia" w:ascii="宋体"/>
          <w:color w:val="auto"/>
        </w:rPr>
        <w:t>指从本年1月1日起至报告期完成的全部投资额。</w:t>
      </w:r>
    </w:p>
    <w:p>
      <w:pPr>
        <w:adjustRightInd w:val="0"/>
        <w:spacing w:line="360" w:lineRule="atLeast"/>
        <w:ind w:firstLine="420" w:firstLineChars="200"/>
        <w:rPr>
          <w:rFonts w:hint="eastAsia" w:ascii="宋体"/>
          <w:color w:val="auto"/>
        </w:rPr>
      </w:pPr>
      <w:r>
        <w:rPr>
          <w:rFonts w:hint="eastAsia" w:ascii="宋体"/>
          <w:color w:val="auto"/>
        </w:rPr>
        <w:t>本年完成投资是反映本年的实际投资规模、计算有关投资效果、进行国民经济核算和经济分析的重要指标。</w:t>
      </w:r>
    </w:p>
    <w:p>
      <w:pPr>
        <w:adjustRightInd w:val="0"/>
        <w:spacing w:line="360" w:lineRule="atLeast"/>
        <w:ind w:firstLine="420"/>
        <w:rPr>
          <w:rFonts w:ascii="宋体"/>
          <w:color w:val="auto"/>
        </w:rPr>
      </w:pPr>
      <w:r>
        <w:rPr>
          <w:rFonts w:hint="eastAsia" w:ascii="宋体"/>
          <w:color w:val="auto"/>
        </w:rPr>
        <w:t>完成投资额包括实际完成的建筑安装工程价值，设备、工具、器具的购置费，以及实际发生的其他费用。</w:t>
      </w:r>
    </w:p>
    <w:p>
      <w:pPr>
        <w:adjustRightInd w:val="0"/>
        <w:spacing w:line="360" w:lineRule="atLeast"/>
        <w:ind w:firstLine="420"/>
        <w:rPr>
          <w:rFonts w:ascii="黑体" w:eastAsia="黑体"/>
          <w:color w:val="auto"/>
        </w:rPr>
      </w:pPr>
      <w:r>
        <w:rPr>
          <w:rFonts w:hint="eastAsia" w:ascii="宋体"/>
          <w:b/>
          <w:color w:val="auto"/>
        </w:rPr>
        <w:t>项目投资额</w:t>
      </w:r>
      <w:r>
        <w:rPr>
          <w:rFonts w:ascii="宋体"/>
          <w:b/>
          <w:color w:val="auto"/>
        </w:rPr>
        <w:t>的</w:t>
      </w:r>
      <w:r>
        <w:rPr>
          <w:rFonts w:hint="eastAsia" w:ascii="宋体"/>
          <w:b/>
          <w:color w:val="auto"/>
        </w:rPr>
        <w:t>填报原则：</w:t>
      </w:r>
      <w:r>
        <w:rPr>
          <w:rFonts w:hint="eastAsia" w:ascii="宋体" w:hAnsi="宋体"/>
          <w:b/>
          <w:color w:val="auto"/>
        </w:rPr>
        <w:t>①投资额应依据凭证规范填报，按照凭证取得时点</w:t>
      </w:r>
      <w:r>
        <w:rPr>
          <w:rFonts w:ascii="宋体" w:hAnsi="宋体"/>
          <w:b/>
          <w:color w:val="auto"/>
        </w:rPr>
        <w:t>作</w:t>
      </w:r>
      <w:r>
        <w:rPr>
          <w:rFonts w:hint="eastAsia" w:ascii="宋体" w:hAnsi="宋体"/>
          <w:b/>
          <w:color w:val="auto"/>
        </w:rPr>
        <w:t>为计量时点。</w:t>
      </w:r>
      <w:r>
        <w:rPr>
          <w:rFonts w:hint="eastAsia" w:ascii="宋体"/>
          <w:color w:val="auto"/>
        </w:rPr>
        <w:t>以工程结算单或进度单为依据的，按照三方签章中最后一方签章时间为计量时点；以会计科目为计量依据的，按照入账时间为计量时点；以支付凭证为依据的，按照开票日期为计量时点。</w:t>
      </w:r>
      <w:r>
        <w:rPr>
          <w:rFonts w:hint="eastAsia" w:ascii="宋体" w:hAnsi="宋体"/>
          <w:b/>
          <w:color w:val="auto"/>
        </w:rPr>
        <w:t>②</w:t>
      </w:r>
      <w:r>
        <w:rPr>
          <w:rFonts w:hint="eastAsia" w:ascii="宋体"/>
          <w:b/>
          <w:color w:val="auto"/>
        </w:rPr>
        <w:t>入库当</w:t>
      </w:r>
      <w:r>
        <w:rPr>
          <w:rFonts w:ascii="宋体"/>
          <w:b/>
          <w:color w:val="auto"/>
        </w:rPr>
        <w:t>年</w:t>
      </w:r>
      <w:r>
        <w:rPr>
          <w:rFonts w:hint="eastAsia" w:ascii="宋体"/>
          <w:b/>
          <w:color w:val="auto"/>
        </w:rPr>
        <w:t>的投资额计入“本年完成投资”；入库之前年度的投资</w:t>
      </w:r>
      <w:r>
        <w:rPr>
          <w:rFonts w:ascii="宋体"/>
          <w:b/>
          <w:color w:val="auto"/>
        </w:rPr>
        <w:t>额</w:t>
      </w:r>
      <w:r>
        <w:rPr>
          <w:rFonts w:hint="eastAsia" w:ascii="宋体"/>
          <w:b/>
          <w:color w:val="auto"/>
        </w:rPr>
        <w:t>中除</w:t>
      </w:r>
      <w:r>
        <w:rPr>
          <w:rFonts w:ascii="宋体"/>
          <w:b/>
          <w:color w:val="auto"/>
        </w:rPr>
        <w:t>其他费用</w:t>
      </w:r>
      <w:r>
        <w:rPr>
          <w:rFonts w:hint="eastAsia" w:ascii="宋体"/>
          <w:b/>
          <w:color w:val="auto"/>
        </w:rPr>
        <w:t>可</w:t>
      </w:r>
      <w:r>
        <w:rPr>
          <w:rFonts w:ascii="宋体"/>
          <w:b/>
          <w:color w:val="auto"/>
        </w:rPr>
        <w:t>计入</w:t>
      </w:r>
      <w:r>
        <w:rPr>
          <w:rFonts w:hint="eastAsia" w:ascii="宋体"/>
          <w:b/>
          <w:color w:val="auto"/>
        </w:rPr>
        <w:t>“本年完成投资”外</w:t>
      </w:r>
      <w:r>
        <w:rPr>
          <w:rFonts w:ascii="宋体"/>
          <w:b/>
          <w:color w:val="auto"/>
        </w:rPr>
        <w:t>，建安工程等投资额不得计入“</w:t>
      </w:r>
      <w:r>
        <w:rPr>
          <w:rFonts w:hint="eastAsia" w:ascii="宋体"/>
          <w:b/>
          <w:color w:val="auto"/>
        </w:rPr>
        <w:t>本年</w:t>
      </w:r>
      <w:r>
        <w:rPr>
          <w:rFonts w:ascii="宋体"/>
          <w:b/>
          <w:color w:val="auto"/>
        </w:rPr>
        <w:t>完成投资</w:t>
      </w:r>
      <w:r>
        <w:rPr>
          <w:rFonts w:hint="eastAsia" w:ascii="宋体"/>
          <w:b/>
          <w:color w:val="auto"/>
        </w:rPr>
        <w:t>”</w:t>
      </w:r>
      <w:r>
        <w:rPr>
          <w:rFonts w:ascii="宋体"/>
          <w:b/>
          <w:color w:val="auto"/>
        </w:rPr>
        <w:t>，只计入</w:t>
      </w:r>
      <w:r>
        <w:rPr>
          <w:rFonts w:hint="eastAsia" w:ascii="宋体"/>
          <w:b/>
          <w:color w:val="auto"/>
        </w:rPr>
        <w:t>“自开始建设累计完成投资”。</w:t>
      </w:r>
      <w:r>
        <w:rPr>
          <w:rFonts w:hint="eastAsia" w:ascii="宋体" w:hAnsi="宋体"/>
          <w:b/>
          <w:color w:val="auto"/>
        </w:rPr>
        <w:t>③按会计科目或支付凭证为依据报送的</w:t>
      </w:r>
      <w:r>
        <w:rPr>
          <w:rFonts w:hint="eastAsia" w:ascii="宋体"/>
          <w:b/>
          <w:color w:val="auto"/>
        </w:rPr>
        <w:t>项目，竣工投产后，项目质保金和尾款可一次性纳入。</w:t>
      </w:r>
    </w:p>
    <w:p>
      <w:pPr>
        <w:adjustRightInd w:val="0"/>
        <w:spacing w:line="360" w:lineRule="atLeast"/>
        <w:ind w:firstLine="420"/>
        <w:rPr>
          <w:rFonts w:ascii="黑体" w:eastAsia="黑体"/>
          <w:color w:val="auto"/>
        </w:rPr>
      </w:pPr>
      <w:r>
        <w:rPr>
          <w:rFonts w:hint="eastAsia" w:ascii="黑体" w:eastAsia="黑体"/>
          <w:color w:val="auto"/>
        </w:rPr>
        <w:t xml:space="preserve">本月完成投资  </w:t>
      </w:r>
      <w:r>
        <w:rPr>
          <w:rFonts w:hint="eastAsia" w:ascii="宋体" w:hAnsi="宋体"/>
          <w:color w:val="auto"/>
        </w:rPr>
        <w:t>指从本月1日起至报告期完成的全部投资额。按照本月实际发生的投资额，依据工程形象进度、会计科目或付款凭证进行填报。</w:t>
      </w:r>
    </w:p>
    <w:p>
      <w:pPr>
        <w:adjustRightInd w:val="0"/>
        <w:spacing w:line="360" w:lineRule="atLeast"/>
        <w:ind w:firstLine="420"/>
        <w:rPr>
          <w:rFonts w:hint="eastAsia" w:ascii="宋体" w:hAnsi="宋体"/>
          <w:color w:val="auto"/>
        </w:rPr>
      </w:pPr>
      <w:r>
        <w:rPr>
          <w:rFonts w:hint="eastAsia" w:ascii="黑体" w:eastAsia="黑体"/>
          <w:color w:val="auto"/>
        </w:rPr>
        <w:t xml:space="preserve">住宅投资 </w:t>
      </w:r>
      <w:r>
        <w:rPr>
          <w:rFonts w:hint="eastAsia" w:ascii="宋体"/>
          <w:color w:val="auto"/>
        </w:rPr>
        <w:t xml:space="preserve"> 指为建造专供居住使用的房屋而进行的投资，包括建造职工家属宿舍和集体宿舍（包括职工单身宿舍、学生宿舍）等完成的投资。住宅是根据单项工程的直接用途确定的，在计算住宅投资时应将与其有关的设备购置和其他费用一并计入。调查单位只填报自己建造的住宅，不包括购置的商品房。</w:t>
      </w:r>
    </w:p>
    <w:p>
      <w:pPr>
        <w:adjustRightInd w:val="0"/>
        <w:spacing w:line="360" w:lineRule="atLeast"/>
        <w:ind w:firstLine="420" w:firstLineChars="200"/>
        <w:rPr>
          <w:rFonts w:hint="eastAsia" w:ascii="宋体"/>
          <w:color w:val="auto"/>
        </w:rPr>
      </w:pPr>
      <w:r>
        <w:rPr>
          <w:rFonts w:hint="eastAsia" w:ascii="黑体" w:eastAsia="黑体"/>
          <w:color w:val="auto"/>
        </w:rPr>
        <w:t>建筑工程</w:t>
      </w:r>
      <w:r>
        <w:rPr>
          <w:rFonts w:hint="eastAsia" w:ascii="宋体" w:hAnsi="宋体"/>
          <w:color w:val="auto"/>
          <w:spacing w:val="-6"/>
          <w:szCs w:val="21"/>
        </w:rPr>
        <w:t xml:space="preserve">  </w:t>
      </w:r>
      <w:r>
        <w:rPr>
          <w:rFonts w:hint="eastAsia" w:ascii="宋体"/>
          <w:color w:val="auto"/>
        </w:rPr>
        <w:t xml:space="preserve">指各种房屋、建筑物的建造工程。这部分投资额必须兴工动料，通过施工活动才能实现。      </w:t>
      </w:r>
    </w:p>
    <w:p>
      <w:pPr>
        <w:adjustRightInd w:val="0"/>
        <w:spacing w:line="360" w:lineRule="atLeast"/>
        <w:ind w:firstLine="420" w:firstLineChars="200"/>
        <w:rPr>
          <w:rFonts w:ascii="宋体"/>
          <w:color w:val="auto"/>
        </w:rPr>
      </w:pPr>
      <w:r>
        <w:rPr>
          <w:rFonts w:hint="eastAsia" w:ascii="宋体"/>
          <w:color w:val="auto"/>
        </w:rPr>
        <w:t>建筑工程包括：</w:t>
      </w:r>
    </w:p>
    <w:p>
      <w:pPr>
        <w:adjustRightInd w:val="0"/>
        <w:spacing w:line="360" w:lineRule="atLeast"/>
        <w:ind w:firstLine="420" w:firstLineChars="200"/>
        <w:rPr>
          <w:rFonts w:ascii="宋体"/>
          <w:color w:val="auto"/>
        </w:rPr>
      </w:pPr>
      <w:r>
        <w:rPr>
          <w:rFonts w:hint="eastAsia" w:ascii="宋体"/>
          <w:color w:val="auto"/>
        </w:rPr>
        <w:t>（1）各种房屋如厂房、仓库、办公室、住宅、商店、学校、医院、俱乐部、食堂、招待所。包括：房屋的土建工程；列入房屋工程预算内的暖气、卫生、通风、照明、煤气等设备的价值及装设油饰工程；列入建筑工程预算内的各种管道（如蒸汽、压缩空气、石油、给排水等管道）、电力、电讯电缆导线等的敷设工程。</w:t>
      </w:r>
    </w:p>
    <w:p>
      <w:pPr>
        <w:adjustRightInd w:val="0"/>
        <w:spacing w:line="360" w:lineRule="atLeast"/>
        <w:ind w:firstLine="420" w:firstLineChars="200"/>
        <w:rPr>
          <w:rFonts w:ascii="宋体"/>
          <w:color w:val="auto"/>
        </w:rPr>
      </w:pPr>
      <w:r>
        <w:rPr>
          <w:rFonts w:hint="eastAsia" w:ascii="宋体"/>
          <w:color w:val="auto"/>
        </w:rPr>
        <w:t>（2）设备基础、支柱、操作平台、梯子、烟囱、凉水塔、水池、灰塔等建筑工程；炼焦炉、裂解炉、蒸汽炉等各种窖炉的砌筑工程及金属结构工程。</w:t>
      </w:r>
    </w:p>
    <w:p>
      <w:pPr>
        <w:adjustRightInd w:val="0"/>
        <w:spacing w:line="360" w:lineRule="atLeast"/>
        <w:ind w:firstLine="420" w:firstLineChars="200"/>
        <w:rPr>
          <w:rFonts w:ascii="宋体"/>
          <w:color w:val="auto"/>
        </w:rPr>
      </w:pPr>
      <w:r>
        <w:rPr>
          <w:rFonts w:hint="eastAsia" w:ascii="宋体"/>
          <w:color w:val="auto"/>
        </w:rPr>
        <w:t>（3）为施工而进行的建筑场地的布置、工程地质勘探，原有建筑物和障碍物的拆除，平整场地、施工临时用水、电、汽、道路工程，以及完工后建筑场地的清理、环境绿化美化工作等。</w:t>
      </w:r>
    </w:p>
    <w:p>
      <w:pPr>
        <w:adjustRightInd w:val="0"/>
        <w:spacing w:line="360" w:lineRule="atLeast"/>
        <w:ind w:firstLine="420" w:firstLineChars="200"/>
        <w:rPr>
          <w:rFonts w:ascii="宋体"/>
          <w:color w:val="auto"/>
        </w:rPr>
      </w:pPr>
      <w:r>
        <w:rPr>
          <w:rFonts w:hint="eastAsia" w:ascii="宋体"/>
          <w:color w:val="auto"/>
        </w:rPr>
        <w:t>（4）矿井的开凿，井巷掘进延伸，露天矿的剥离，石油、天然气钻井工程和铁路、公路、港口、桥梁等工程。</w:t>
      </w:r>
    </w:p>
    <w:p>
      <w:pPr>
        <w:adjustRightInd w:val="0"/>
        <w:spacing w:line="360" w:lineRule="atLeast"/>
        <w:ind w:firstLine="420" w:firstLineChars="200"/>
        <w:rPr>
          <w:rFonts w:ascii="宋体"/>
          <w:color w:val="auto"/>
        </w:rPr>
      </w:pPr>
      <w:r>
        <w:rPr>
          <w:rFonts w:hint="eastAsia" w:ascii="宋体"/>
          <w:color w:val="auto"/>
        </w:rPr>
        <w:t>（5）水利工程，如水库、堤坝、灌溉以及河道整治等工程。</w:t>
      </w:r>
    </w:p>
    <w:p>
      <w:pPr>
        <w:adjustRightInd w:val="0"/>
        <w:spacing w:line="360" w:lineRule="atLeast"/>
        <w:ind w:firstLine="420" w:firstLineChars="200"/>
        <w:rPr>
          <w:rFonts w:ascii="宋体"/>
          <w:color w:val="auto"/>
        </w:rPr>
      </w:pPr>
      <w:r>
        <w:rPr>
          <w:rFonts w:hint="eastAsia" w:ascii="宋体"/>
          <w:color w:val="auto"/>
        </w:rPr>
        <w:t>（6）防空、地下建筑等特殊工程及其他建筑工程。</w:t>
      </w:r>
    </w:p>
    <w:p>
      <w:pPr>
        <w:adjustRightInd w:val="0"/>
        <w:spacing w:line="360" w:lineRule="atLeast"/>
        <w:ind w:firstLine="420" w:firstLineChars="200"/>
        <w:rPr>
          <w:rFonts w:ascii="宋体"/>
          <w:color w:val="auto"/>
        </w:rPr>
      </w:pPr>
      <w:r>
        <w:rPr>
          <w:rFonts w:hint="eastAsia" w:ascii="黑体" w:eastAsia="黑体"/>
          <w:color w:val="auto"/>
        </w:rPr>
        <w:t>安装工程</w:t>
      </w:r>
      <w:r>
        <w:rPr>
          <w:rStyle w:val="41"/>
          <w:rFonts w:hint="eastAsia" w:hAnsi="宋体"/>
          <w:color w:val="auto"/>
          <w:spacing w:val="-6"/>
          <w:szCs w:val="21"/>
        </w:rPr>
        <w:t xml:space="preserve"> </w:t>
      </w:r>
      <w:r>
        <w:rPr>
          <w:rFonts w:hint="eastAsia" w:ascii="宋体" w:hAnsi="宋体"/>
          <w:color w:val="auto"/>
          <w:spacing w:val="-6"/>
          <w:szCs w:val="21"/>
        </w:rPr>
        <w:t xml:space="preserve"> </w:t>
      </w:r>
      <w:r>
        <w:rPr>
          <w:rFonts w:hint="eastAsia" w:ascii="宋体"/>
          <w:color w:val="auto"/>
        </w:rPr>
        <w:t>指各种设备、装置的安装工程。</w:t>
      </w:r>
    </w:p>
    <w:p>
      <w:pPr>
        <w:adjustRightInd w:val="0"/>
        <w:spacing w:line="360" w:lineRule="atLeast"/>
        <w:ind w:firstLine="420" w:firstLineChars="200"/>
        <w:rPr>
          <w:rFonts w:ascii="宋体"/>
          <w:color w:val="auto"/>
        </w:rPr>
      </w:pPr>
      <w:r>
        <w:rPr>
          <w:rFonts w:hint="eastAsia" w:ascii="宋体"/>
          <w:color w:val="auto"/>
        </w:rPr>
        <w:t>安装工程包括：</w:t>
      </w:r>
    </w:p>
    <w:p>
      <w:pPr>
        <w:adjustRightInd w:val="0"/>
        <w:spacing w:line="360" w:lineRule="atLeast"/>
        <w:ind w:firstLine="420" w:firstLineChars="200"/>
        <w:rPr>
          <w:rFonts w:ascii="宋体"/>
          <w:color w:val="auto"/>
        </w:rPr>
      </w:pPr>
      <w:r>
        <w:rPr>
          <w:rFonts w:hint="eastAsia" w:ascii="宋体"/>
          <w:color w:val="auto"/>
        </w:rPr>
        <w:t>（1）生产、动力、起重、运输、传动和医疗、实验等各种需要安装设备的装配和安装，与设备相连的工作台、梯子、栏杆等装设工程，附属于被安装设备的管线敷设工程，被安装设备的绝缘、防腐、保温、油漆等工作。</w:t>
      </w:r>
    </w:p>
    <w:p>
      <w:pPr>
        <w:adjustRightInd w:val="0"/>
        <w:spacing w:line="360" w:lineRule="atLeast"/>
        <w:ind w:firstLine="420" w:firstLineChars="200"/>
        <w:rPr>
          <w:rFonts w:ascii="宋体"/>
          <w:color w:val="auto"/>
        </w:rPr>
      </w:pPr>
      <w:r>
        <w:rPr>
          <w:rFonts w:hint="eastAsia" w:ascii="宋体"/>
          <w:color w:val="auto"/>
        </w:rPr>
        <w:t>（2）为测定安装工程质量，对单个设备、系统设备进行单机试运、系统联动无负荷试运工作（投料试运工作不包括在内）。</w:t>
      </w:r>
    </w:p>
    <w:p>
      <w:pPr>
        <w:adjustRightInd w:val="0"/>
        <w:spacing w:line="360" w:lineRule="atLeast"/>
        <w:ind w:firstLine="420" w:firstLineChars="200"/>
        <w:rPr>
          <w:rFonts w:ascii="宋体"/>
          <w:color w:val="auto"/>
        </w:rPr>
      </w:pPr>
      <w:r>
        <w:rPr>
          <w:rFonts w:hint="eastAsia" w:ascii="宋体"/>
          <w:color w:val="auto"/>
        </w:rPr>
        <w:t>在安装工程中，不包括被安装设备本身价值。</w:t>
      </w:r>
    </w:p>
    <w:p>
      <w:pPr>
        <w:adjustRightInd w:val="0"/>
        <w:spacing w:line="360" w:lineRule="atLeast"/>
        <w:ind w:firstLine="420" w:firstLineChars="200"/>
        <w:rPr>
          <w:rFonts w:ascii="宋体"/>
          <w:color w:val="auto"/>
        </w:rPr>
      </w:pPr>
      <w:r>
        <w:rPr>
          <w:rFonts w:hint="eastAsia" w:ascii="宋体"/>
          <w:color w:val="auto"/>
        </w:rPr>
        <w:t>建筑安装工程投资额一般按预算价格计算。实行招标的工程，按中标价格计算。凡经建设单位与施工单位双方协商同意的工程价差、量差，且经建设单位同意拨款的，应视同修改预算价格。建筑安装工程应按修改后的预算价格计算投资完成额。对于某些工程已进入施工但施工预算尚未编出的，统计报表可根据工程进度先按设计概算或套用相同的结构、类型工程的预算综合价格计算，待预算编出后再进行调整。建设单位议价购料供应给施工单位，材料价差部分未转给施工单位的，建设单位应将这部分价差包括在建筑安装工程投资中。</w:t>
      </w:r>
    </w:p>
    <w:p>
      <w:pPr>
        <w:adjustRightInd w:val="0"/>
        <w:spacing w:line="360" w:lineRule="atLeast"/>
        <w:ind w:firstLine="420" w:firstLineChars="200"/>
        <w:rPr>
          <w:rFonts w:hint="eastAsia" w:ascii="宋体"/>
          <w:color w:val="auto"/>
        </w:rPr>
      </w:pPr>
      <w:r>
        <w:rPr>
          <w:rFonts w:hint="eastAsia" w:ascii="宋体"/>
          <w:color w:val="auto"/>
        </w:rPr>
        <w:t>建筑工程及安装工程的填报依据为：</w:t>
      </w:r>
      <w:r>
        <w:rPr>
          <w:rFonts w:hint="eastAsia" w:ascii="宋体" w:hAnsi="宋体"/>
          <w:color w:val="auto"/>
        </w:rPr>
        <w:t>①工程结算单或进度单：工程三方（建设方、施工方、监理方）签字盖章的工程结算单或进度单；②会计科目或支付凭证。</w:t>
      </w:r>
    </w:p>
    <w:p>
      <w:pPr>
        <w:adjustRightInd w:val="0"/>
        <w:spacing w:line="360" w:lineRule="atLeast"/>
        <w:ind w:firstLine="420" w:firstLineChars="200"/>
        <w:rPr>
          <w:rFonts w:hint="eastAsia" w:ascii="宋体"/>
          <w:color w:val="auto"/>
        </w:rPr>
      </w:pPr>
      <w:r>
        <w:rPr>
          <w:rFonts w:hint="eastAsia" w:ascii="黑体" w:eastAsia="黑体"/>
          <w:color w:val="auto"/>
        </w:rPr>
        <w:t>设备工器具购置</w:t>
      </w:r>
      <w:r>
        <w:rPr>
          <w:rStyle w:val="41"/>
          <w:rFonts w:hint="eastAsia" w:hAnsi="宋体"/>
          <w:color w:val="auto"/>
          <w:spacing w:val="-6"/>
          <w:szCs w:val="21"/>
        </w:rPr>
        <w:t xml:space="preserve"> </w:t>
      </w:r>
      <w:r>
        <w:rPr>
          <w:rFonts w:hint="eastAsia" w:ascii="宋体" w:hAnsi="宋体"/>
          <w:color w:val="auto"/>
          <w:spacing w:val="-6"/>
          <w:szCs w:val="21"/>
        </w:rPr>
        <w:t xml:space="preserve"> </w:t>
      </w:r>
      <w:r>
        <w:rPr>
          <w:rFonts w:hint="eastAsia" w:ascii="宋体"/>
          <w:color w:val="auto"/>
        </w:rPr>
        <w:t>指</w:t>
      </w:r>
      <w:r>
        <w:rPr>
          <w:rFonts w:hint="eastAsia" w:ascii="Arial Unicode MS" w:hAnsi="Arial Unicode MS"/>
          <w:color w:val="auto"/>
          <w:szCs w:val="21"/>
        </w:rPr>
        <w:t>报告期内</w:t>
      </w:r>
      <w:r>
        <w:rPr>
          <w:rFonts w:hint="eastAsia" w:ascii="宋体"/>
          <w:color w:val="auto"/>
        </w:rPr>
        <w:t>购置或自制的，达到固定资产标准的设备、工具、器具的价值。</w:t>
      </w:r>
    </w:p>
    <w:p>
      <w:pPr>
        <w:adjustRightInd w:val="0"/>
        <w:spacing w:line="360" w:lineRule="atLeast"/>
        <w:ind w:firstLine="420" w:firstLineChars="200"/>
        <w:rPr>
          <w:rFonts w:ascii="宋体"/>
          <w:color w:val="auto"/>
        </w:rPr>
      </w:pPr>
      <w:r>
        <w:rPr>
          <w:rFonts w:hint="eastAsia" w:ascii="宋体"/>
          <w:color w:val="auto"/>
        </w:rPr>
        <w:t>（1）设备：指各种生产设备、传导设备、动力设备、运输设备等。分为需要安装的设备和不需要安装的设备两种。</w:t>
      </w:r>
    </w:p>
    <w:p>
      <w:pPr>
        <w:adjustRightInd w:val="0"/>
        <w:spacing w:line="360" w:lineRule="atLeast"/>
        <w:ind w:firstLine="420" w:firstLineChars="200"/>
        <w:rPr>
          <w:rFonts w:ascii="宋体"/>
          <w:color w:val="auto"/>
        </w:rPr>
      </w:pPr>
      <w:r>
        <w:rPr>
          <w:rFonts w:hint="eastAsia" w:ascii="宋体"/>
          <w:color w:val="auto"/>
        </w:rPr>
        <w:t>需要安装的设备（简称“需安设备”）：是指必须将其整体或几个部位装配起来，安装在基础上或建筑物支架上才能使用的设备。如轧钢机、发电机、蒸汽锅炉、变压器、塔、换热器、各种泵、机床等。有的设备虽不要基础，但必须进行组装工作，并在一定范围内使用，如生产用电铲、塔吊、门吊、皮带运输机等也作为需要安装的设备统计。</w:t>
      </w:r>
    </w:p>
    <w:p>
      <w:pPr>
        <w:adjustRightInd w:val="0"/>
        <w:spacing w:line="360" w:lineRule="atLeast"/>
        <w:ind w:firstLine="420" w:firstLineChars="200"/>
        <w:rPr>
          <w:rFonts w:ascii="宋体"/>
          <w:color w:val="auto"/>
        </w:rPr>
      </w:pPr>
      <w:r>
        <w:rPr>
          <w:rFonts w:hint="eastAsia" w:ascii="宋体"/>
          <w:color w:val="auto"/>
        </w:rPr>
        <w:t>不需要安装的设备（简称“不需安设备”）：指不必固定在一定位置或支架上就可以使用的各种设备，如电焊机、叉车、汽车、机车、飞机、船舶以及生产上流动使用的空压机、泵等。</w:t>
      </w:r>
    </w:p>
    <w:p>
      <w:pPr>
        <w:adjustRightInd w:val="0"/>
        <w:spacing w:line="360" w:lineRule="atLeast"/>
        <w:ind w:firstLine="420" w:firstLineChars="200"/>
        <w:rPr>
          <w:rFonts w:hint="eastAsia" w:ascii="宋体"/>
          <w:color w:val="auto"/>
        </w:rPr>
      </w:pPr>
      <w:r>
        <w:rPr>
          <w:rFonts w:hint="eastAsia" w:ascii="宋体"/>
          <w:color w:val="auto"/>
        </w:rPr>
        <w:t>（2）工具、器具：指具有独立用途的各种生产用具、工作工具和仪器。如生产和维修用的切削工具、压延工具、铆焊工具、模压器、铸型、风镐等，检验、实验测量用的各种计量、分析、化验仪器，以及达到固定资产标准的包装容器等。</w:t>
      </w:r>
    </w:p>
    <w:p>
      <w:pPr>
        <w:adjustRightInd w:val="0"/>
        <w:spacing w:line="360" w:lineRule="atLeast"/>
        <w:ind w:firstLine="420" w:firstLineChars="200"/>
        <w:rPr>
          <w:rFonts w:hint="eastAsia" w:ascii="宋体"/>
          <w:color w:val="auto"/>
        </w:rPr>
      </w:pPr>
      <w:r>
        <w:rPr>
          <w:rFonts w:hint="eastAsia" w:ascii="宋体"/>
          <w:color w:val="auto"/>
        </w:rPr>
        <w:t>以融资租赁方式购置的设备，原则上应在设备到位开始安装或调试后，将租赁合同约定的价款或租金等支出结合项目实际进度及企业在会计科目中的处理情况，分批计算投资额，由承租人填报，出租人不得填报。项目建设中以经营租赁方式购置的设备，不能纳入该项目固定资产投资统计。</w:t>
      </w:r>
    </w:p>
    <w:p>
      <w:pPr>
        <w:adjustRightInd w:val="0"/>
        <w:spacing w:line="360" w:lineRule="atLeast"/>
        <w:ind w:firstLine="420" w:firstLineChars="200"/>
        <w:rPr>
          <w:rFonts w:ascii="宋体"/>
          <w:color w:val="auto"/>
        </w:rPr>
      </w:pPr>
      <w:r>
        <w:rPr>
          <w:rFonts w:hint="eastAsia" w:ascii="宋体"/>
          <w:color w:val="auto"/>
        </w:rPr>
        <w:t>外购设备、工具、器具除设备本身的价格外，还应包括运杂费、仓库保管费、购买支持设备运行的软件系统的费用等，但不包括软件系统的后续技术服务费。自制的设备、工具、器具，按实际发生的全部支出计算。</w:t>
      </w:r>
    </w:p>
    <w:p>
      <w:pPr>
        <w:adjustRightInd w:val="0"/>
        <w:spacing w:line="360" w:lineRule="atLeast"/>
        <w:ind w:firstLine="420"/>
        <w:rPr>
          <w:rFonts w:hint="eastAsia" w:ascii="宋体"/>
          <w:color w:val="auto"/>
        </w:rPr>
      </w:pPr>
      <w:r>
        <w:rPr>
          <w:rFonts w:hint="eastAsia" w:ascii="宋体"/>
          <w:color w:val="auto"/>
        </w:rPr>
        <w:t>设备工器具购置投资额应在设备到位后，结合实际安装或调试进度依据设备购置合同金额、会计科目或支付凭证填报。</w:t>
      </w:r>
    </w:p>
    <w:p>
      <w:pPr>
        <w:adjustRightInd w:val="0"/>
        <w:spacing w:line="360" w:lineRule="atLeast"/>
        <w:ind w:firstLine="420" w:firstLineChars="200"/>
        <w:rPr>
          <w:rFonts w:hint="eastAsia" w:ascii="宋体"/>
          <w:color w:val="auto"/>
        </w:rPr>
      </w:pPr>
      <w:r>
        <w:rPr>
          <w:rFonts w:ascii="黑体" w:eastAsia="黑体"/>
          <w:color w:val="auto"/>
        </w:rPr>
        <w:t>购</w:t>
      </w:r>
      <w:r>
        <w:rPr>
          <w:rFonts w:hint="eastAsia" w:ascii="黑体" w:eastAsia="黑体"/>
          <w:color w:val="auto"/>
        </w:rPr>
        <w:t>置旧设备</w:t>
      </w:r>
      <w:r>
        <w:rPr>
          <w:rStyle w:val="41"/>
          <w:rFonts w:hint="eastAsia" w:hAnsi="宋体"/>
          <w:color w:val="auto"/>
          <w:spacing w:val="-6"/>
          <w:szCs w:val="21"/>
        </w:rPr>
        <w:t xml:space="preserve">  </w:t>
      </w:r>
      <w:r>
        <w:rPr>
          <w:rFonts w:hint="eastAsia" w:ascii="宋体"/>
          <w:color w:val="auto"/>
        </w:rPr>
        <w:t>指从外单位购入的，已经使用过的各种设备，不包括从国外购进的旧设备。旧设备一般是指在国内其他单位作为固定资产使用过的设备。</w:t>
      </w:r>
    </w:p>
    <w:p>
      <w:pPr>
        <w:adjustRightInd w:val="0"/>
        <w:spacing w:line="360" w:lineRule="atLeast"/>
        <w:ind w:firstLine="420" w:firstLineChars="200"/>
        <w:rPr>
          <w:rFonts w:hint="eastAsia" w:ascii="宋体" w:hAnsi="宋体"/>
          <w:color w:val="auto"/>
          <w:spacing w:val="-6"/>
          <w:szCs w:val="21"/>
        </w:rPr>
      </w:pPr>
      <w:r>
        <w:rPr>
          <w:rFonts w:hint="eastAsia" w:ascii="宋体"/>
          <w:color w:val="auto"/>
        </w:rPr>
        <w:t>单纯购置旧设备的项目不填报固定资产投资项目表。为避免重复统计，非单纯购置项目中旧设备费用超过500万及以上，旧设备购置费用不得纳入固定资产投资统计。</w:t>
      </w:r>
    </w:p>
    <w:p>
      <w:pPr>
        <w:adjustRightInd w:val="0"/>
        <w:spacing w:line="360" w:lineRule="atLeast"/>
        <w:ind w:firstLine="420" w:firstLineChars="200"/>
        <w:rPr>
          <w:rFonts w:ascii="Arial Unicode MS" w:hAnsi="Arial Unicode MS"/>
          <w:color w:val="auto"/>
          <w:spacing w:val="4"/>
          <w:szCs w:val="21"/>
        </w:rPr>
      </w:pPr>
      <w:r>
        <w:rPr>
          <w:rFonts w:hint="eastAsia" w:ascii="黑体" w:eastAsia="黑体"/>
          <w:color w:val="auto"/>
        </w:rPr>
        <w:t>其他费用</w:t>
      </w:r>
      <w:r>
        <w:rPr>
          <w:rFonts w:ascii="宋体" w:hAnsi="宋体"/>
          <w:color w:val="auto"/>
          <w:spacing w:val="-6"/>
          <w:szCs w:val="21"/>
        </w:rPr>
        <w:t xml:space="preserve">  </w:t>
      </w:r>
      <w:r>
        <w:rPr>
          <w:rFonts w:hint="eastAsia" w:ascii="宋体"/>
          <w:color w:val="auto"/>
          <w:spacing w:val="4"/>
        </w:rPr>
        <w:t>指在项目</w:t>
      </w:r>
      <w:r>
        <w:rPr>
          <w:rFonts w:ascii="宋体"/>
          <w:color w:val="auto"/>
          <w:spacing w:val="4"/>
        </w:rPr>
        <w:t>建设</w:t>
      </w:r>
      <w:r>
        <w:rPr>
          <w:rFonts w:hint="eastAsia" w:ascii="宋体"/>
          <w:color w:val="auto"/>
          <w:spacing w:val="4"/>
        </w:rPr>
        <w:t>过程中发生的，</w:t>
      </w:r>
      <w:r>
        <w:rPr>
          <w:rFonts w:hint="eastAsia" w:ascii="Arial Unicode MS" w:hAnsi="Arial Unicode MS"/>
          <w:color w:val="auto"/>
          <w:spacing w:val="4"/>
          <w:szCs w:val="21"/>
        </w:rPr>
        <w:t>除建筑安装工程和设备、工器具购置投资完成额以外的费用，不指经营中财务上的其他费用。用于项目建设的贷款的利息支出，在项目建设期应纳入统计，项目建成投产后不应纳入。</w:t>
      </w:r>
    </w:p>
    <w:p>
      <w:pPr>
        <w:adjustRightInd w:val="0"/>
        <w:spacing w:line="360" w:lineRule="atLeast"/>
        <w:ind w:firstLine="435"/>
        <w:rPr>
          <w:rFonts w:ascii="宋体"/>
          <w:color w:val="auto"/>
        </w:rPr>
      </w:pPr>
      <w:r>
        <w:rPr>
          <w:rFonts w:hint="eastAsia" w:ascii="宋体"/>
          <w:color w:val="auto"/>
        </w:rPr>
        <w:t>其他费用的价格一般按财务部门实际支付的金额计算。</w:t>
      </w:r>
    </w:p>
    <w:p>
      <w:pPr>
        <w:adjustRightInd w:val="0"/>
        <w:spacing w:line="360" w:lineRule="atLeast"/>
        <w:ind w:firstLine="435"/>
        <w:rPr>
          <w:rFonts w:ascii="宋体"/>
          <w:color w:val="auto"/>
        </w:rPr>
      </w:pPr>
      <w:r>
        <w:rPr>
          <w:rFonts w:hint="eastAsia" w:ascii="宋体"/>
          <w:color w:val="auto"/>
        </w:rPr>
        <w:t>项目前期费用（如设计勘察费、土地购置费等）在项目正式开工动土时计入投资。</w:t>
      </w:r>
    </w:p>
    <w:p>
      <w:pPr>
        <w:adjustRightInd w:val="0"/>
        <w:spacing w:line="360" w:lineRule="atLeast"/>
        <w:ind w:firstLine="420"/>
        <w:rPr>
          <w:rFonts w:hint="eastAsia" w:ascii="宋体"/>
          <w:color w:val="auto"/>
        </w:rPr>
      </w:pPr>
      <w:r>
        <w:rPr>
          <w:rFonts w:hint="eastAsia" w:ascii="宋体"/>
          <w:color w:val="auto"/>
        </w:rPr>
        <w:t>国内贷款利息按报告期实际支付的利息计算投资完成额，并作为增加固定资产的费用处理。利用国外资金或国家自有外汇购置的国外设备、工具、器具、材料以及支付的各种费用，按实际结算价格折合人民币计算。</w:t>
      </w:r>
    </w:p>
    <w:p>
      <w:pPr>
        <w:adjustRightInd w:val="0"/>
        <w:spacing w:line="360" w:lineRule="atLeast"/>
        <w:ind w:firstLine="420"/>
        <w:rPr>
          <w:rFonts w:ascii="宋体"/>
          <w:color w:val="auto"/>
        </w:rPr>
      </w:pPr>
      <w:r>
        <w:rPr>
          <w:rFonts w:hint="eastAsia" w:ascii="宋体"/>
          <w:color w:val="auto"/>
        </w:rPr>
        <w:t>其他费用的分摊问题：若多个项目统一征地拆迁，土地费用按照项目实际用地面积占比分摊，不得重复报送；若一笔贷款用于多个项目建设，且无法区分每个项目实际使用贷款数额，则利息支出按项目工程进度占比分摊。</w:t>
      </w:r>
    </w:p>
    <w:p>
      <w:pPr>
        <w:adjustRightInd w:val="0"/>
        <w:spacing w:line="360" w:lineRule="atLeast"/>
        <w:ind w:firstLine="420"/>
        <w:rPr>
          <w:rFonts w:hint="eastAsia" w:ascii="宋体"/>
          <w:color w:val="auto"/>
        </w:rPr>
      </w:pPr>
      <w:r>
        <w:rPr>
          <w:rFonts w:hint="eastAsia" w:ascii="宋体"/>
          <w:color w:val="auto"/>
        </w:rPr>
        <w:t>其他费用依据与项目相关的待摊支出、土地使用权（建设用地费）等会计科目或支付凭证填报。</w:t>
      </w:r>
    </w:p>
    <w:p>
      <w:pPr>
        <w:adjustRightInd w:val="0"/>
        <w:snapToGrid w:val="0"/>
        <w:spacing w:line="360" w:lineRule="exact"/>
        <w:ind w:firstLine="420" w:firstLineChars="200"/>
        <w:rPr>
          <w:rFonts w:hint="eastAsia" w:ascii="Arial Unicode MS" w:hAnsi="Arial Unicode MS"/>
          <w:color w:val="auto"/>
          <w:spacing w:val="8"/>
          <w:szCs w:val="21"/>
        </w:rPr>
      </w:pPr>
      <w:r>
        <w:rPr>
          <w:rFonts w:hint="eastAsia" w:ascii="黑体" w:hAnsi="Arial Unicode MS" w:eastAsia="黑体"/>
          <w:color w:val="auto"/>
          <w:szCs w:val="21"/>
        </w:rPr>
        <w:t xml:space="preserve">旧建筑物购置费  </w:t>
      </w:r>
      <w:r>
        <w:rPr>
          <w:rFonts w:hint="eastAsia" w:ascii="Arial Unicode MS" w:hAnsi="Arial Unicode MS"/>
          <w:color w:val="auto"/>
          <w:spacing w:val="8"/>
          <w:szCs w:val="21"/>
        </w:rPr>
        <w:t>指购置已使用过的各种旧房屋及其他建筑物，即对旧房屋及其他建筑物的赔偿费。</w:t>
      </w:r>
    </w:p>
    <w:p>
      <w:pPr>
        <w:adjustRightInd w:val="0"/>
        <w:spacing w:line="360" w:lineRule="atLeast"/>
        <w:ind w:firstLine="420"/>
        <w:rPr>
          <w:rFonts w:hint="eastAsia" w:ascii="宋体"/>
          <w:color w:val="auto"/>
        </w:rPr>
      </w:pPr>
      <w:r>
        <w:rPr>
          <w:rFonts w:hint="eastAsia" w:ascii="宋体"/>
          <w:color w:val="auto"/>
        </w:rPr>
        <w:t>单纯购置旧建筑物的项目不填报固定资产投资项目表。购买建筑物（无论新旧）后进行单纯装修，不得纳入固定资产投资统计。</w:t>
      </w:r>
    </w:p>
    <w:p>
      <w:pPr>
        <w:adjustRightInd w:val="0"/>
        <w:spacing w:line="360" w:lineRule="atLeast"/>
        <w:ind w:firstLine="420" w:firstLineChars="200"/>
        <w:rPr>
          <w:rFonts w:hint="eastAsia" w:ascii="宋体"/>
          <w:color w:val="auto"/>
        </w:rPr>
      </w:pPr>
      <w:r>
        <w:rPr>
          <w:rFonts w:hint="eastAsia" w:ascii="黑体" w:eastAsia="黑体"/>
          <w:color w:val="auto"/>
        </w:rPr>
        <w:t>建设用地费</w:t>
      </w:r>
      <w:r>
        <w:rPr>
          <w:rFonts w:hint="eastAsia" w:ascii="宋体"/>
          <w:color w:val="auto"/>
        </w:rPr>
        <w:t xml:space="preserve">  指建设项目通过各种方式取得土地使用权而支付的费用，包括以下内容：</w:t>
      </w:r>
    </w:p>
    <w:p>
      <w:pPr>
        <w:adjustRightInd w:val="0"/>
        <w:spacing w:line="360" w:lineRule="atLeast"/>
        <w:ind w:firstLine="420" w:firstLineChars="200"/>
        <w:rPr>
          <w:rFonts w:hint="eastAsia" w:ascii="宋体"/>
          <w:color w:val="auto"/>
        </w:rPr>
      </w:pPr>
      <w:r>
        <w:rPr>
          <w:rFonts w:hint="eastAsia" w:ascii="宋体"/>
          <w:color w:val="auto"/>
        </w:rPr>
        <w:t>（1）土地购置费</w:t>
      </w:r>
    </w:p>
    <w:p>
      <w:pPr>
        <w:adjustRightInd w:val="0"/>
        <w:spacing w:line="360" w:lineRule="atLeast"/>
        <w:ind w:firstLine="420" w:firstLineChars="200"/>
        <w:rPr>
          <w:rFonts w:hint="eastAsia" w:ascii="宋体"/>
          <w:color w:val="auto"/>
        </w:rPr>
      </w:pPr>
      <w:r>
        <w:rPr>
          <w:rFonts w:hint="eastAsia" w:ascii="宋体"/>
          <w:color w:val="auto"/>
        </w:rPr>
        <w:t>指通过出让方式取得土地使用权而支付的出让金。</w:t>
      </w:r>
    </w:p>
    <w:p>
      <w:pPr>
        <w:adjustRightInd w:val="0"/>
        <w:spacing w:line="360" w:lineRule="atLeast"/>
        <w:ind w:firstLine="420" w:firstLineChars="200"/>
        <w:rPr>
          <w:rFonts w:hint="eastAsia" w:ascii="宋体"/>
          <w:color w:val="auto"/>
        </w:rPr>
      </w:pPr>
      <w:r>
        <w:rPr>
          <w:rFonts w:hint="eastAsia" w:ascii="宋体"/>
          <w:color w:val="auto"/>
        </w:rPr>
        <w:t>（2）土地征用及迁移补偿费</w:t>
      </w:r>
    </w:p>
    <w:p>
      <w:pPr>
        <w:adjustRightInd w:val="0"/>
        <w:spacing w:line="360" w:lineRule="atLeast"/>
        <w:ind w:firstLine="420" w:firstLineChars="200"/>
        <w:rPr>
          <w:rFonts w:hint="eastAsia" w:ascii="宋体"/>
          <w:color w:val="auto"/>
        </w:rPr>
      </w:pPr>
      <w:r>
        <w:rPr>
          <w:rFonts w:hint="eastAsia" w:ascii="宋体"/>
          <w:color w:val="auto"/>
        </w:rPr>
        <w:t>指通过划拨方式取得的土地使用权所支付的土地补偿费、附着物（房屋和树木等）和青苗补偿费、安置补偿费、征地动迁费、水利、水电工程、水库淹没处理补偿费以及土地征收管理费等。</w:t>
      </w:r>
    </w:p>
    <w:p>
      <w:pPr>
        <w:adjustRightInd w:val="0"/>
        <w:spacing w:line="360" w:lineRule="atLeast"/>
        <w:ind w:firstLine="420" w:firstLineChars="200"/>
        <w:rPr>
          <w:rFonts w:hint="eastAsia" w:ascii="宋体"/>
          <w:color w:val="auto"/>
        </w:rPr>
      </w:pPr>
      <w:r>
        <w:rPr>
          <w:rFonts w:hint="eastAsia" w:ascii="宋体"/>
          <w:color w:val="auto"/>
        </w:rPr>
        <w:t>（3）土地复垦及补偿费</w:t>
      </w:r>
    </w:p>
    <w:p>
      <w:pPr>
        <w:adjustRightInd w:val="0"/>
        <w:spacing w:line="360" w:lineRule="atLeast"/>
        <w:ind w:firstLine="420" w:firstLineChars="200"/>
        <w:rPr>
          <w:rFonts w:hint="eastAsia" w:ascii="宋体"/>
          <w:color w:val="auto"/>
        </w:rPr>
      </w:pPr>
      <w:r>
        <w:rPr>
          <w:rFonts w:hint="eastAsia" w:ascii="宋体"/>
          <w:color w:val="auto"/>
        </w:rPr>
        <w:t>指建设单位在建设过程中破坏的土地，按规定支付的土地复垦费用和土地损失补偿费用。</w:t>
      </w:r>
    </w:p>
    <w:p>
      <w:pPr>
        <w:adjustRightInd w:val="0"/>
        <w:spacing w:line="360" w:lineRule="atLeast"/>
        <w:ind w:firstLine="420" w:firstLineChars="200"/>
        <w:rPr>
          <w:rFonts w:hint="eastAsia" w:ascii="宋体"/>
          <w:color w:val="auto"/>
        </w:rPr>
      </w:pPr>
      <w:r>
        <w:rPr>
          <w:rFonts w:hint="eastAsia" w:ascii="宋体"/>
          <w:color w:val="auto"/>
        </w:rPr>
        <w:t>（4）土地使用税</w:t>
      </w:r>
    </w:p>
    <w:p>
      <w:pPr>
        <w:adjustRightInd w:val="0"/>
        <w:spacing w:line="360" w:lineRule="atLeast"/>
        <w:ind w:firstLine="420" w:firstLineChars="200"/>
        <w:rPr>
          <w:rFonts w:hint="eastAsia" w:ascii="宋体"/>
          <w:color w:val="auto"/>
        </w:rPr>
      </w:pPr>
      <w:r>
        <w:rPr>
          <w:rFonts w:hint="eastAsia" w:ascii="宋体"/>
          <w:color w:val="auto"/>
        </w:rPr>
        <w:t>指建设期间按规定缴纳的土地使用税。</w:t>
      </w:r>
      <w:r>
        <w:rPr>
          <w:rFonts w:ascii="宋体"/>
          <w:color w:val="auto"/>
        </w:rPr>
        <w:t>土地使用税，是指在城市、县城、建制镇、工矿区范围内使用土地的单位和个人，以实际占用的土地面积为计税依据，依照规定由土地所在地的税务机关征收的一种税赋。由于土地使用税只在县城以上城市征收，因此也称城镇土地使用税</w:t>
      </w:r>
      <w:r>
        <w:rPr>
          <w:rFonts w:hint="eastAsia" w:ascii="宋体"/>
          <w:color w:val="auto"/>
        </w:rPr>
        <w:t>。</w:t>
      </w:r>
    </w:p>
    <w:p>
      <w:pPr>
        <w:adjustRightInd w:val="0"/>
        <w:spacing w:line="360" w:lineRule="atLeast"/>
        <w:ind w:firstLine="420" w:firstLineChars="200"/>
        <w:rPr>
          <w:rFonts w:hint="eastAsia" w:ascii="宋体"/>
          <w:color w:val="auto"/>
        </w:rPr>
      </w:pPr>
      <w:r>
        <w:rPr>
          <w:rFonts w:hint="eastAsia" w:ascii="宋体"/>
          <w:color w:val="auto"/>
        </w:rPr>
        <w:t>（5）耕地占用税</w:t>
      </w:r>
    </w:p>
    <w:p>
      <w:pPr>
        <w:adjustRightInd w:val="0"/>
        <w:spacing w:line="360" w:lineRule="atLeast"/>
        <w:ind w:firstLine="420" w:firstLineChars="200"/>
        <w:rPr>
          <w:rFonts w:hint="eastAsia" w:ascii="宋体"/>
          <w:color w:val="auto"/>
        </w:rPr>
      </w:pPr>
      <w:r>
        <w:rPr>
          <w:rFonts w:hint="eastAsia" w:ascii="宋体"/>
          <w:color w:val="auto"/>
        </w:rPr>
        <w:t>指建设单位按规定缴纳的耕地占用税。</w:t>
      </w:r>
      <w:r>
        <w:rPr>
          <w:rFonts w:ascii="宋体"/>
          <w:color w:val="auto"/>
        </w:rPr>
        <w:t>对占用耕地建房或者从事其他非农建设为征收对象的税种，属于一次性税收。纳税人是占用耕地建房或从事其他非农建设的单位和个人。耕地占用税采用定额税率，其标准取决于人均占有耕地的数量和经济发达程度</w:t>
      </w:r>
      <w:r>
        <w:rPr>
          <w:rFonts w:hint="eastAsia" w:ascii="宋体"/>
          <w:color w:val="auto"/>
        </w:rPr>
        <w:t>。</w:t>
      </w:r>
    </w:p>
    <w:p>
      <w:pPr>
        <w:adjustRightInd w:val="0"/>
        <w:spacing w:line="360" w:lineRule="atLeast"/>
        <w:ind w:firstLine="420" w:firstLineChars="200"/>
        <w:rPr>
          <w:rFonts w:hint="eastAsia" w:ascii="宋体" w:hAnsi="宋体"/>
          <w:color w:val="auto"/>
        </w:rPr>
      </w:pPr>
      <w:r>
        <w:rPr>
          <w:rFonts w:hint="eastAsia" w:ascii="宋体" w:hAnsi="宋体"/>
          <w:color w:val="auto"/>
        </w:rPr>
        <w:t>（6）</w:t>
      </w:r>
      <w:r>
        <w:rPr>
          <w:rFonts w:ascii="宋体" w:hAnsi="宋体"/>
          <w:color w:val="auto"/>
        </w:rPr>
        <w:t>契税</w:t>
      </w:r>
    </w:p>
    <w:p>
      <w:pPr>
        <w:adjustRightInd w:val="0"/>
        <w:spacing w:line="360" w:lineRule="atLeast"/>
        <w:ind w:firstLine="420" w:firstLineChars="200"/>
        <w:rPr>
          <w:rStyle w:val="27"/>
          <w:rFonts w:ascii="宋体" w:hAnsi="宋体"/>
          <w:i w:val="0"/>
          <w:color w:val="auto"/>
        </w:rPr>
      </w:pPr>
      <w:r>
        <w:rPr>
          <w:rStyle w:val="27"/>
          <w:rFonts w:ascii="宋体" w:hAnsi="宋体"/>
          <w:i w:val="0"/>
          <w:color w:val="auto"/>
        </w:rPr>
        <w:t>是以所有权发生转移变动的不动产为征税对象，向产权承受人征收的一种财产税。应缴税范围包括：土地使用权出售、赠与和交换</w:t>
      </w:r>
      <w:r>
        <w:rPr>
          <w:rStyle w:val="27"/>
          <w:rFonts w:hint="eastAsia" w:ascii="宋体" w:hAnsi="宋体"/>
          <w:i w:val="0"/>
          <w:color w:val="auto"/>
        </w:rPr>
        <w:t>、</w:t>
      </w:r>
      <w:r>
        <w:rPr>
          <w:rStyle w:val="27"/>
          <w:rFonts w:ascii="宋体" w:hAnsi="宋体"/>
          <w:i w:val="0"/>
          <w:color w:val="auto"/>
        </w:rPr>
        <w:t>房屋买卖</w:t>
      </w:r>
      <w:r>
        <w:rPr>
          <w:rStyle w:val="27"/>
          <w:rFonts w:hint="eastAsia" w:ascii="宋体" w:hAnsi="宋体"/>
          <w:i w:val="0"/>
          <w:color w:val="auto"/>
        </w:rPr>
        <w:t>、</w:t>
      </w:r>
      <w:r>
        <w:rPr>
          <w:rStyle w:val="27"/>
          <w:rFonts w:ascii="宋体" w:hAnsi="宋体"/>
          <w:i w:val="0"/>
          <w:color w:val="auto"/>
        </w:rPr>
        <w:t>房屋赠与</w:t>
      </w:r>
      <w:r>
        <w:rPr>
          <w:rStyle w:val="27"/>
          <w:rFonts w:hint="eastAsia" w:ascii="宋体" w:hAnsi="宋体"/>
          <w:i w:val="0"/>
          <w:color w:val="auto"/>
        </w:rPr>
        <w:t>、</w:t>
      </w:r>
      <w:r>
        <w:rPr>
          <w:rStyle w:val="27"/>
          <w:rFonts w:ascii="宋体" w:hAnsi="宋体"/>
          <w:i w:val="0"/>
          <w:color w:val="auto"/>
        </w:rPr>
        <w:t>房屋交换等。</w:t>
      </w:r>
    </w:p>
    <w:p>
      <w:pPr>
        <w:pStyle w:val="2"/>
        <w:spacing w:after="0"/>
        <w:ind w:left="0" w:leftChars="0" w:firstLine="420"/>
        <w:rPr>
          <w:rStyle w:val="27"/>
          <w:rFonts w:ascii="宋体" w:hAnsi="宋体"/>
          <w:i w:val="0"/>
          <w:color w:val="auto"/>
        </w:rPr>
      </w:pPr>
      <w:r>
        <w:rPr>
          <w:rStyle w:val="27"/>
          <w:rFonts w:hint="eastAsia" w:ascii="宋体" w:hAnsi="宋体"/>
          <w:i w:val="0"/>
          <w:color w:val="auto"/>
        </w:rPr>
        <w:t>（7）失地农民养老保险。</w:t>
      </w:r>
    </w:p>
    <w:p>
      <w:pPr>
        <w:pStyle w:val="2"/>
        <w:spacing w:after="0"/>
        <w:ind w:left="0" w:leftChars="0" w:firstLine="420"/>
        <w:rPr>
          <w:rStyle w:val="27"/>
          <w:rFonts w:hint="eastAsia" w:ascii="宋体" w:hAnsi="宋体"/>
          <w:i w:val="0"/>
          <w:color w:val="auto"/>
        </w:rPr>
      </w:pPr>
      <w:r>
        <w:rPr>
          <w:rStyle w:val="27"/>
          <w:rFonts w:hint="eastAsia" w:ascii="宋体" w:hAnsi="宋体"/>
          <w:i w:val="0"/>
          <w:color w:val="auto"/>
        </w:rPr>
        <w:t>指为保障失地农民的权益，政府出台失地养老保险制度，将失地农民纳入社保，从而解决其长期基本生活保障的需要。包括：失地农民基本生活保障资金、社会保障风险准备金、政府补助资金等。</w:t>
      </w:r>
    </w:p>
    <w:p>
      <w:pPr>
        <w:spacing w:before="120" w:beforeLines="50" w:line="360" w:lineRule="atLeast"/>
        <w:jc w:val="center"/>
        <w:rPr>
          <w:rFonts w:hint="eastAsia" w:ascii="黑体" w:hAnsi="黑体" w:eastAsia="黑体"/>
          <w:color w:val="auto"/>
          <w:sz w:val="18"/>
          <w:szCs w:val="18"/>
        </w:rPr>
      </w:pPr>
      <w:r>
        <w:rPr>
          <w:rFonts w:hint="eastAsia" w:ascii="黑体" w:hAnsi="黑体" w:eastAsia="黑体" w:cs="宋体"/>
          <w:color w:val="auto"/>
          <w:kern w:val="0"/>
          <w:sz w:val="18"/>
          <w:szCs w:val="18"/>
        </w:rPr>
        <w:t>投资</w:t>
      </w:r>
      <w:r>
        <w:rPr>
          <w:rFonts w:ascii="黑体" w:hAnsi="黑体" w:eastAsia="黑体" w:cs="宋体"/>
          <w:color w:val="auto"/>
          <w:kern w:val="0"/>
          <w:sz w:val="18"/>
          <w:szCs w:val="18"/>
        </w:rPr>
        <w:t>项目</w:t>
      </w:r>
      <w:r>
        <w:rPr>
          <w:rFonts w:hint="eastAsia" w:ascii="黑体" w:hAnsi="黑体" w:eastAsia="黑体" w:cs="宋体"/>
          <w:color w:val="auto"/>
          <w:kern w:val="0"/>
          <w:sz w:val="18"/>
          <w:szCs w:val="18"/>
        </w:rPr>
        <w:t>主要指标填报依据一览表</w:t>
      </w:r>
    </w:p>
    <w:tbl>
      <w:tblPr>
        <w:tblStyle w:val="21"/>
        <w:tblW w:w="4925" w:type="pct"/>
        <w:jc w:val="center"/>
        <w:tblBorders>
          <w:top w:val="single" w:color="auto" w:sz="8" w:space="0"/>
          <w:left w:val="single" w:color="FFFFFF" w:sz="8" w:space="0"/>
          <w:bottom w:val="single" w:color="auto" w:sz="8" w:space="0"/>
          <w:right w:val="single" w:color="FFFFFF" w:sz="8" w:space="0"/>
          <w:insideH w:val="single" w:color="auto" w:sz="2" w:space="0"/>
          <w:insideV w:val="single" w:color="auto" w:sz="2" w:space="0"/>
        </w:tblBorders>
        <w:tblLayout w:type="autofit"/>
        <w:tblCellMar>
          <w:top w:w="0" w:type="dxa"/>
          <w:left w:w="0" w:type="dxa"/>
          <w:bottom w:w="0" w:type="dxa"/>
          <w:right w:w="0" w:type="dxa"/>
        </w:tblCellMar>
      </w:tblPr>
      <w:tblGrid>
        <w:gridCol w:w="1302"/>
        <w:gridCol w:w="3453"/>
        <w:gridCol w:w="4668"/>
      </w:tblGrid>
      <w:tr>
        <w:tblPrEx>
          <w:tblBorders>
            <w:top w:val="single" w:color="auto" w:sz="8" w:space="0"/>
            <w:left w:val="single" w:color="FFFFFF" w:sz="8" w:space="0"/>
            <w:bottom w:val="single" w:color="auto" w:sz="8" w:space="0"/>
            <w:right w:val="single" w:color="FFFFFF" w:sz="8" w:space="0"/>
            <w:insideH w:val="single" w:color="auto" w:sz="2" w:space="0"/>
            <w:insideV w:val="single" w:color="auto" w:sz="2" w:space="0"/>
          </w:tblBorders>
          <w:tblCellMar>
            <w:top w:w="0" w:type="dxa"/>
            <w:left w:w="0" w:type="dxa"/>
            <w:bottom w:w="0" w:type="dxa"/>
            <w:right w:w="0" w:type="dxa"/>
          </w:tblCellMar>
        </w:tblPrEx>
        <w:trPr>
          <w:trHeight w:val="363" w:hRule="atLeast"/>
          <w:jc w:val="center"/>
        </w:trPr>
        <w:tc>
          <w:tcPr>
            <w:tcW w:w="691" w:type="pct"/>
            <w:noWrap w:val="0"/>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宋体"/>
                <w:b/>
                <w:color w:val="auto"/>
                <w:sz w:val="18"/>
                <w:szCs w:val="18"/>
              </w:rPr>
            </w:pPr>
            <w:r>
              <w:rPr>
                <w:rFonts w:hint="default" w:ascii="宋体"/>
                <w:b/>
                <w:bCs/>
                <w:color w:val="auto"/>
                <w:sz w:val="18"/>
                <w:szCs w:val="18"/>
              </w:rPr>
              <w:t>指标名称</w:t>
            </w:r>
          </w:p>
        </w:tc>
        <w:tc>
          <w:tcPr>
            <w:tcW w:w="1832" w:type="pct"/>
            <w:noWrap w:val="0"/>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宋体"/>
                <w:b/>
                <w:color w:val="auto"/>
                <w:sz w:val="18"/>
                <w:szCs w:val="18"/>
              </w:rPr>
            </w:pPr>
            <w:r>
              <w:rPr>
                <w:rFonts w:hint="default" w:ascii="宋体"/>
                <w:b/>
                <w:bCs/>
                <w:color w:val="auto"/>
                <w:sz w:val="18"/>
                <w:szCs w:val="18"/>
              </w:rPr>
              <w:t>填报依据</w:t>
            </w:r>
          </w:p>
        </w:tc>
        <w:tc>
          <w:tcPr>
            <w:tcW w:w="2477" w:type="pct"/>
            <w:noWrap w:val="0"/>
            <w:vAlign w:val="center"/>
          </w:tcPr>
          <w:p>
            <w:pPr>
              <w:keepNext w:val="0"/>
              <w:keepLines w:val="0"/>
              <w:suppressLineNumbers w:val="0"/>
              <w:spacing w:before="0" w:beforeAutospacing="0" w:after="0" w:afterAutospacing="0"/>
              <w:ind w:left="0" w:right="0"/>
              <w:jc w:val="center"/>
              <w:rPr>
                <w:rFonts w:hint="default" w:ascii="宋体"/>
                <w:b/>
                <w:bCs/>
                <w:color w:val="auto"/>
                <w:sz w:val="18"/>
                <w:szCs w:val="18"/>
              </w:rPr>
            </w:pPr>
            <w:r>
              <w:rPr>
                <w:rFonts w:hint="default" w:ascii="宋体"/>
                <w:b/>
                <w:bCs/>
                <w:color w:val="auto"/>
                <w:sz w:val="18"/>
                <w:szCs w:val="18"/>
              </w:rPr>
              <w:t>注意事项及报送要求</w:t>
            </w:r>
          </w:p>
        </w:tc>
      </w:tr>
      <w:tr>
        <w:tblPrEx>
          <w:tblBorders>
            <w:top w:val="single" w:color="auto" w:sz="8" w:space="0"/>
            <w:left w:val="single" w:color="FFFFFF" w:sz="8" w:space="0"/>
            <w:bottom w:val="single" w:color="auto" w:sz="8" w:space="0"/>
            <w:right w:val="single" w:color="FFFFFF" w:sz="8" w:space="0"/>
            <w:insideH w:val="single" w:color="auto" w:sz="2" w:space="0"/>
            <w:insideV w:val="single" w:color="auto" w:sz="2" w:space="0"/>
          </w:tblBorders>
          <w:tblCellMar>
            <w:top w:w="0" w:type="dxa"/>
            <w:left w:w="0" w:type="dxa"/>
            <w:bottom w:w="0" w:type="dxa"/>
            <w:right w:w="0" w:type="dxa"/>
          </w:tblCellMar>
        </w:tblPrEx>
        <w:trPr>
          <w:trHeight w:val="73" w:hRule="atLeast"/>
          <w:jc w:val="center"/>
        </w:trPr>
        <w:tc>
          <w:tcPr>
            <w:tcW w:w="691" w:type="pct"/>
            <w:noWrap w:val="0"/>
            <w:tcMar>
              <w:top w:w="72" w:type="dxa"/>
              <w:left w:w="144" w:type="dxa"/>
              <w:bottom w:w="72" w:type="dxa"/>
              <w:right w:w="144"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宋体"/>
                <w:bCs/>
                <w:color w:val="auto"/>
                <w:sz w:val="18"/>
                <w:szCs w:val="18"/>
              </w:rPr>
            </w:pPr>
            <w:r>
              <w:rPr>
                <w:rFonts w:hint="eastAsia" w:ascii="宋体"/>
                <w:bCs/>
                <w:color w:val="auto"/>
                <w:sz w:val="18"/>
                <w:szCs w:val="18"/>
              </w:rPr>
              <w:t>（1）</w:t>
            </w:r>
            <w:r>
              <w:rPr>
                <w:rFonts w:hint="default" w:ascii="宋体"/>
                <w:bCs/>
                <w:color w:val="auto"/>
                <w:sz w:val="18"/>
                <w:szCs w:val="18"/>
              </w:rPr>
              <w:t>建筑工程</w:t>
            </w:r>
            <w:r>
              <w:rPr>
                <w:rFonts w:hint="eastAsia" w:ascii="宋体"/>
                <w:bCs/>
                <w:color w:val="auto"/>
                <w:sz w:val="18"/>
                <w:szCs w:val="18"/>
              </w:rPr>
              <w:t>、</w:t>
            </w:r>
            <w:r>
              <w:rPr>
                <w:rFonts w:hint="default" w:ascii="宋体"/>
                <w:bCs/>
                <w:color w:val="auto"/>
                <w:sz w:val="18"/>
                <w:szCs w:val="18"/>
              </w:rPr>
              <w:t>安装工程</w:t>
            </w:r>
          </w:p>
        </w:tc>
        <w:tc>
          <w:tcPr>
            <w:tcW w:w="1832" w:type="pct"/>
            <w:noWrap w:val="0"/>
            <w:tcMar>
              <w:top w:w="72" w:type="dxa"/>
              <w:left w:w="144" w:type="dxa"/>
              <w:bottom w:w="72" w:type="dxa"/>
              <w:right w:w="144"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宋体"/>
                <w:bCs/>
                <w:color w:val="auto"/>
                <w:sz w:val="18"/>
                <w:szCs w:val="18"/>
              </w:rPr>
            </w:pPr>
            <w:r>
              <w:rPr>
                <w:rFonts w:hint="eastAsia" w:ascii="宋体"/>
                <w:bCs/>
                <w:color w:val="auto"/>
                <w:sz w:val="18"/>
                <w:szCs w:val="18"/>
              </w:rPr>
              <w:t>①工程结算单或进度单（三方签字盖章）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宋体"/>
                <w:bCs/>
                <w:color w:val="auto"/>
                <w:sz w:val="18"/>
                <w:szCs w:val="18"/>
              </w:rPr>
            </w:pPr>
            <w:r>
              <w:rPr>
                <w:rFonts w:hint="eastAsia" w:ascii="宋体"/>
                <w:bCs/>
                <w:color w:val="auto"/>
                <w:sz w:val="18"/>
                <w:szCs w:val="18"/>
              </w:rPr>
              <w:t>②会计科目或支付凭证，主要对应会计科目为：在建工程</w:t>
            </w:r>
            <w:r>
              <w:rPr>
                <w:rFonts w:hint="default" w:ascii="宋体"/>
                <w:bCs/>
                <w:color w:val="auto"/>
                <w:sz w:val="18"/>
                <w:szCs w:val="18"/>
              </w:rPr>
              <w:t>—</w:t>
            </w:r>
            <w:r>
              <w:rPr>
                <w:rFonts w:hint="eastAsia" w:ascii="宋体"/>
                <w:bCs/>
                <w:color w:val="auto"/>
                <w:sz w:val="18"/>
                <w:szCs w:val="18"/>
              </w:rPr>
              <w:t>建筑安装工程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宋体"/>
                <w:bCs/>
                <w:color w:val="auto"/>
                <w:sz w:val="18"/>
                <w:szCs w:val="18"/>
              </w:rPr>
            </w:pPr>
          </w:p>
        </w:tc>
        <w:tc>
          <w:tcPr>
            <w:tcW w:w="2477" w:type="pct"/>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08" w:right="0"/>
              <w:textAlignment w:val="auto"/>
              <w:rPr>
                <w:rFonts w:hint="eastAsia" w:ascii="宋体"/>
                <w:bCs/>
                <w:color w:val="auto"/>
                <w:sz w:val="18"/>
                <w:szCs w:val="18"/>
              </w:rPr>
            </w:pPr>
            <w:r>
              <w:rPr>
                <w:rFonts w:hint="eastAsia" w:ascii="宋体"/>
                <w:bCs/>
                <w:color w:val="auto"/>
                <w:sz w:val="18"/>
                <w:szCs w:val="18"/>
              </w:rPr>
              <w:t>①</w:t>
            </w:r>
            <w:r>
              <w:rPr>
                <w:rFonts w:hint="default" w:ascii="宋体"/>
                <w:bCs/>
                <w:color w:val="auto"/>
                <w:sz w:val="18"/>
                <w:szCs w:val="18"/>
              </w:rPr>
              <w:t>调查单位可在两</w:t>
            </w:r>
            <w:r>
              <w:rPr>
                <w:rFonts w:hint="eastAsia" w:ascii="宋体"/>
                <w:bCs/>
                <w:color w:val="auto"/>
                <w:sz w:val="18"/>
                <w:szCs w:val="18"/>
              </w:rPr>
              <w:t>类</w:t>
            </w:r>
            <w:r>
              <w:rPr>
                <w:rFonts w:hint="default" w:ascii="宋体"/>
                <w:bCs/>
                <w:color w:val="auto"/>
                <w:sz w:val="18"/>
                <w:szCs w:val="18"/>
              </w:rPr>
              <w:t>中择一</w:t>
            </w:r>
            <w:r>
              <w:rPr>
                <w:rFonts w:hint="eastAsia" w:ascii="宋体"/>
                <w:bCs/>
                <w:color w:val="auto"/>
                <w:sz w:val="18"/>
                <w:szCs w:val="18"/>
              </w:rPr>
              <w:t>作为</w:t>
            </w:r>
            <w:r>
              <w:rPr>
                <w:rFonts w:hint="default" w:ascii="宋体"/>
                <w:bCs/>
                <w:color w:val="auto"/>
                <w:sz w:val="18"/>
                <w:szCs w:val="18"/>
              </w:rPr>
              <w:t>填报</w:t>
            </w:r>
            <w:r>
              <w:rPr>
                <w:rFonts w:hint="eastAsia" w:ascii="宋体"/>
                <w:bCs/>
                <w:color w:val="auto"/>
                <w:sz w:val="18"/>
                <w:szCs w:val="18"/>
              </w:rPr>
              <w:t>项目</w:t>
            </w:r>
            <w:r>
              <w:rPr>
                <w:rFonts w:hint="default" w:ascii="宋体"/>
                <w:bCs/>
                <w:color w:val="auto"/>
                <w:sz w:val="18"/>
                <w:szCs w:val="18"/>
              </w:rPr>
              <w:t>建筑</w:t>
            </w:r>
            <w:r>
              <w:rPr>
                <w:rFonts w:hint="eastAsia" w:ascii="宋体"/>
                <w:bCs/>
                <w:color w:val="auto"/>
                <w:sz w:val="18"/>
                <w:szCs w:val="18"/>
              </w:rPr>
              <w:t>工程</w:t>
            </w:r>
            <w:r>
              <w:rPr>
                <w:rFonts w:hint="default" w:ascii="宋体"/>
                <w:bCs/>
                <w:color w:val="auto"/>
                <w:sz w:val="18"/>
                <w:szCs w:val="18"/>
              </w:rPr>
              <w:t>、安装工程投资</w:t>
            </w:r>
            <w:r>
              <w:rPr>
                <w:rFonts w:hint="eastAsia" w:ascii="宋体"/>
                <w:bCs/>
                <w:color w:val="auto"/>
                <w:sz w:val="18"/>
                <w:szCs w:val="18"/>
              </w:rPr>
              <w:t>的</w:t>
            </w:r>
            <w:r>
              <w:rPr>
                <w:rFonts w:hint="default" w:ascii="宋体"/>
                <w:bCs/>
                <w:color w:val="auto"/>
                <w:sz w:val="18"/>
                <w:szCs w:val="18"/>
              </w:rPr>
              <w:t>依据</w:t>
            </w:r>
            <w:r>
              <w:rPr>
                <w:rFonts w:hint="eastAsia" w:ascii="宋体"/>
                <w:bCs/>
                <w:color w:val="auto"/>
                <w:sz w:val="18"/>
                <w:szCs w:val="18"/>
              </w:rPr>
              <w:t>，</w:t>
            </w:r>
            <w:r>
              <w:rPr>
                <w:rFonts w:hint="default" w:ascii="宋体"/>
                <w:bCs/>
                <w:color w:val="auto"/>
                <w:sz w:val="18"/>
                <w:szCs w:val="18"/>
              </w:rPr>
              <w:t>并在</w:t>
            </w:r>
            <w:r>
              <w:rPr>
                <w:rFonts w:hint="eastAsia" w:ascii="宋体"/>
                <w:bCs/>
                <w:color w:val="auto"/>
                <w:sz w:val="18"/>
                <w:szCs w:val="18"/>
              </w:rPr>
              <w:t>该</w:t>
            </w:r>
            <w:r>
              <w:rPr>
                <w:rFonts w:hint="default" w:ascii="宋体"/>
                <w:bCs/>
                <w:color w:val="auto"/>
                <w:sz w:val="18"/>
                <w:szCs w:val="18"/>
              </w:rPr>
              <w:t>项目期间保持一致</w:t>
            </w:r>
            <w:r>
              <w:rPr>
                <w:rFonts w:hint="eastAsia" w:ascii="宋体"/>
                <w:bCs/>
                <w:color w:val="auto"/>
                <w:sz w:val="18"/>
                <w:szCs w:val="18"/>
              </w:rPr>
              <w:t>。若确</w:t>
            </w:r>
            <w:r>
              <w:rPr>
                <w:rFonts w:hint="default" w:ascii="宋体"/>
                <w:bCs/>
                <w:color w:val="auto"/>
                <w:sz w:val="18"/>
                <w:szCs w:val="18"/>
              </w:rPr>
              <w:t>需变更</w:t>
            </w:r>
            <w:r>
              <w:rPr>
                <w:rFonts w:hint="eastAsia" w:ascii="宋体"/>
                <w:bCs/>
                <w:color w:val="auto"/>
                <w:sz w:val="18"/>
                <w:szCs w:val="18"/>
              </w:rPr>
              <w:t>填报</w:t>
            </w:r>
            <w:r>
              <w:rPr>
                <w:rFonts w:hint="default" w:ascii="宋体"/>
                <w:bCs/>
                <w:color w:val="auto"/>
                <w:sz w:val="18"/>
                <w:szCs w:val="18"/>
              </w:rPr>
              <w:t>依据，调查单位按照变更前后的依据分别计算项目的累计投资额和本年完成投资额，报省级投资处审核确定后，</w:t>
            </w:r>
            <w:r>
              <w:rPr>
                <w:rFonts w:hint="eastAsia" w:ascii="宋体"/>
                <w:bCs/>
                <w:color w:val="auto"/>
                <w:sz w:val="18"/>
                <w:szCs w:val="18"/>
              </w:rPr>
              <w:t>由</w:t>
            </w:r>
            <w:r>
              <w:rPr>
                <w:rFonts w:hint="default" w:ascii="宋体"/>
                <w:bCs/>
                <w:color w:val="auto"/>
                <w:sz w:val="18"/>
                <w:szCs w:val="18"/>
              </w:rPr>
              <w:t>投资司变更。对</w:t>
            </w:r>
            <w:r>
              <w:rPr>
                <w:rFonts w:hint="eastAsia" w:ascii="宋体"/>
                <w:bCs/>
                <w:color w:val="auto"/>
                <w:sz w:val="18"/>
                <w:szCs w:val="18"/>
              </w:rPr>
              <w:t>执行</w:t>
            </w:r>
            <w:r>
              <w:rPr>
                <w:rFonts w:hint="default" w:ascii="宋体"/>
                <w:bCs/>
                <w:color w:val="auto"/>
                <w:sz w:val="18"/>
                <w:szCs w:val="18"/>
              </w:rPr>
              <w:t>企业会计准则的调查</w:t>
            </w:r>
            <w:r>
              <w:rPr>
                <w:rFonts w:hint="eastAsia" w:ascii="宋体"/>
                <w:bCs/>
                <w:color w:val="auto"/>
                <w:sz w:val="18"/>
                <w:szCs w:val="18"/>
              </w:rPr>
              <w:t>单位</w:t>
            </w:r>
            <w:r>
              <w:rPr>
                <w:rFonts w:hint="default" w:ascii="宋体"/>
                <w:bCs/>
                <w:color w:val="auto"/>
                <w:sz w:val="18"/>
                <w:szCs w:val="18"/>
              </w:rPr>
              <w:t>的新入库项目，建议采用会计科目或支付凭证作为填报依据。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08" w:right="0"/>
              <w:textAlignment w:val="auto"/>
              <w:rPr>
                <w:rFonts w:hint="default" w:ascii="宋体"/>
                <w:bCs/>
                <w:color w:val="auto"/>
                <w:sz w:val="18"/>
                <w:szCs w:val="18"/>
              </w:rPr>
            </w:pPr>
            <w:r>
              <w:rPr>
                <w:rFonts w:hint="eastAsia" w:ascii="宋体"/>
                <w:bCs/>
                <w:color w:val="auto"/>
                <w:sz w:val="18"/>
                <w:szCs w:val="18"/>
              </w:rPr>
              <w:t>②项目开工后报送建筑安装工程投资。依据会计科目填报</w:t>
            </w:r>
            <w:r>
              <w:rPr>
                <w:rFonts w:hint="default" w:ascii="宋体"/>
                <w:bCs/>
                <w:color w:val="auto"/>
                <w:sz w:val="18"/>
                <w:szCs w:val="18"/>
              </w:rPr>
              <w:t>的，</w:t>
            </w:r>
            <w:r>
              <w:rPr>
                <w:rFonts w:hint="eastAsia" w:ascii="宋体"/>
                <w:bCs/>
                <w:color w:val="auto"/>
                <w:sz w:val="18"/>
                <w:szCs w:val="18"/>
              </w:rPr>
              <w:t>项目竣工投产后，会计</w:t>
            </w:r>
            <w:r>
              <w:rPr>
                <w:rFonts w:hint="default" w:ascii="宋体"/>
                <w:bCs/>
                <w:color w:val="auto"/>
                <w:sz w:val="18"/>
                <w:szCs w:val="18"/>
              </w:rPr>
              <w:t>科目中将</w:t>
            </w:r>
            <w:r>
              <w:rPr>
                <w:rFonts w:hint="eastAsia" w:ascii="宋体"/>
                <w:bCs/>
                <w:color w:val="auto"/>
                <w:sz w:val="18"/>
                <w:szCs w:val="18"/>
              </w:rPr>
              <w:t>质保金和尾款计入在建</w:t>
            </w:r>
            <w:r>
              <w:rPr>
                <w:rFonts w:hint="default" w:ascii="宋体"/>
                <w:bCs/>
                <w:color w:val="auto"/>
                <w:sz w:val="18"/>
                <w:szCs w:val="18"/>
              </w:rPr>
              <w:t>工程，则可一次性计入投资额</w:t>
            </w:r>
            <w:r>
              <w:rPr>
                <w:rFonts w:hint="eastAsia" w:ascii="宋体"/>
                <w:bCs/>
                <w:color w:val="auto"/>
                <w:sz w:val="18"/>
                <w:szCs w:val="18"/>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08" w:right="0"/>
              <w:textAlignment w:val="auto"/>
              <w:rPr>
                <w:rFonts w:hint="default" w:ascii="宋体"/>
                <w:bCs/>
                <w:color w:val="auto"/>
                <w:sz w:val="18"/>
                <w:szCs w:val="18"/>
              </w:rPr>
            </w:pPr>
            <w:r>
              <w:rPr>
                <w:rFonts w:hint="eastAsia" w:ascii="宋体"/>
                <w:bCs/>
                <w:color w:val="auto"/>
                <w:sz w:val="18"/>
                <w:szCs w:val="18"/>
              </w:rPr>
              <w:t>③工程结算单或进度单标准格式：三方签字盖章的进度工程</w:t>
            </w:r>
            <w:r>
              <w:rPr>
                <w:rFonts w:hint="default" w:ascii="宋体"/>
                <w:bCs/>
                <w:color w:val="auto"/>
                <w:sz w:val="18"/>
                <w:szCs w:val="18"/>
              </w:rPr>
              <w:t>结算单或进度</w:t>
            </w:r>
            <w:r>
              <w:rPr>
                <w:rFonts w:hint="eastAsia" w:ascii="宋体"/>
                <w:bCs/>
                <w:color w:val="auto"/>
                <w:sz w:val="18"/>
                <w:szCs w:val="18"/>
              </w:rPr>
              <w:t>单，按照建设方</w:t>
            </w:r>
            <w:r>
              <w:rPr>
                <w:rFonts w:hint="default" w:ascii="宋体"/>
                <w:bCs/>
                <w:color w:val="auto"/>
                <w:sz w:val="18"/>
                <w:szCs w:val="18"/>
              </w:rPr>
              <w:t>认定的工程完成量填报</w:t>
            </w:r>
            <w:r>
              <w:rPr>
                <w:rFonts w:hint="eastAsia" w:ascii="宋体"/>
                <w:bCs/>
                <w:color w:val="auto"/>
                <w:sz w:val="18"/>
                <w:szCs w:val="18"/>
              </w:rPr>
              <w:t>投资</w:t>
            </w:r>
            <w:r>
              <w:rPr>
                <w:rFonts w:hint="default" w:ascii="宋体"/>
                <w:bCs/>
                <w:color w:val="auto"/>
                <w:sz w:val="18"/>
                <w:szCs w:val="18"/>
              </w:rPr>
              <w:t>额。在</w:t>
            </w:r>
            <w:r>
              <w:rPr>
                <w:rFonts w:hint="eastAsia" w:ascii="宋体"/>
                <w:bCs/>
                <w:color w:val="auto"/>
                <w:sz w:val="18"/>
                <w:szCs w:val="18"/>
              </w:rPr>
              <w:t>统计</w:t>
            </w:r>
            <w:r>
              <w:rPr>
                <w:rFonts w:hint="default" w:ascii="宋体"/>
                <w:bCs/>
                <w:color w:val="auto"/>
                <w:sz w:val="18"/>
                <w:szCs w:val="18"/>
              </w:rPr>
              <w:t>部门核查数据</w:t>
            </w:r>
            <w:r>
              <w:rPr>
                <w:rFonts w:hint="eastAsia" w:ascii="宋体"/>
                <w:bCs/>
                <w:color w:val="auto"/>
                <w:sz w:val="18"/>
                <w:szCs w:val="18"/>
              </w:rPr>
              <w:t>时</w:t>
            </w:r>
            <w:r>
              <w:rPr>
                <w:rFonts w:hint="default" w:ascii="宋体"/>
                <w:bCs/>
                <w:color w:val="auto"/>
                <w:sz w:val="18"/>
                <w:szCs w:val="18"/>
              </w:rPr>
              <w:t>，提供</w:t>
            </w:r>
            <w:r>
              <w:rPr>
                <w:rFonts w:hint="eastAsia" w:ascii="宋体"/>
                <w:bCs/>
                <w:color w:val="auto"/>
                <w:sz w:val="18"/>
                <w:szCs w:val="18"/>
              </w:rPr>
              <w:t>结算</w:t>
            </w:r>
            <w:r>
              <w:rPr>
                <w:rFonts w:hint="default" w:ascii="宋体"/>
                <w:bCs/>
                <w:color w:val="auto"/>
                <w:sz w:val="18"/>
                <w:szCs w:val="18"/>
              </w:rPr>
              <w:t>单或进度单的同</w:t>
            </w:r>
            <w:r>
              <w:rPr>
                <w:rFonts w:hint="eastAsia" w:ascii="宋体"/>
                <w:bCs/>
                <w:color w:val="auto"/>
                <w:sz w:val="18"/>
                <w:szCs w:val="18"/>
              </w:rPr>
              <w:t>时</w:t>
            </w:r>
            <w:r>
              <w:rPr>
                <w:rFonts w:hint="default" w:ascii="宋体"/>
                <w:bCs/>
                <w:color w:val="auto"/>
                <w:sz w:val="18"/>
                <w:szCs w:val="18"/>
              </w:rPr>
              <w:t>，应</w:t>
            </w:r>
            <w:r>
              <w:rPr>
                <w:rFonts w:hint="eastAsia" w:ascii="宋体"/>
                <w:bCs/>
                <w:color w:val="auto"/>
                <w:sz w:val="18"/>
                <w:szCs w:val="18"/>
              </w:rPr>
              <w:t>附工程计价明细表、</w:t>
            </w:r>
            <w:r>
              <w:rPr>
                <w:rFonts w:hint="default" w:ascii="宋体"/>
                <w:bCs/>
                <w:color w:val="auto"/>
                <w:sz w:val="18"/>
                <w:szCs w:val="18"/>
              </w:rPr>
              <w:t>相关合同和可佐证项目施工的财务资料</w:t>
            </w:r>
            <w:r>
              <w:rPr>
                <w:rFonts w:hint="eastAsia" w:ascii="宋体"/>
                <w:bCs/>
                <w:color w:val="auto"/>
                <w:sz w:val="18"/>
                <w:szCs w:val="18"/>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08" w:right="0"/>
              <w:textAlignment w:val="auto"/>
              <w:rPr>
                <w:rFonts w:hint="default" w:ascii="宋体"/>
                <w:bCs/>
                <w:color w:val="auto"/>
                <w:sz w:val="18"/>
                <w:szCs w:val="18"/>
              </w:rPr>
            </w:pPr>
            <w:r>
              <w:rPr>
                <w:rFonts w:hint="eastAsia" w:ascii="宋体"/>
                <w:bCs/>
                <w:color w:val="auto"/>
                <w:sz w:val="18"/>
                <w:szCs w:val="18"/>
              </w:rPr>
              <w:t>④依据会计科目填报的，数据</w:t>
            </w:r>
            <w:r>
              <w:rPr>
                <w:rFonts w:hint="default" w:ascii="宋体"/>
                <w:bCs/>
                <w:color w:val="auto"/>
                <w:sz w:val="18"/>
                <w:szCs w:val="18"/>
              </w:rPr>
              <w:t>核查</w:t>
            </w:r>
            <w:r>
              <w:rPr>
                <w:rFonts w:hint="eastAsia" w:ascii="宋体"/>
                <w:bCs/>
                <w:color w:val="auto"/>
                <w:sz w:val="18"/>
                <w:szCs w:val="18"/>
              </w:rPr>
              <w:t>时</w:t>
            </w:r>
            <w:r>
              <w:rPr>
                <w:rFonts w:hint="default" w:ascii="宋体"/>
                <w:bCs/>
                <w:color w:val="auto"/>
                <w:sz w:val="18"/>
                <w:szCs w:val="18"/>
              </w:rPr>
              <w:t>，</w:t>
            </w:r>
            <w:r>
              <w:rPr>
                <w:rFonts w:hint="eastAsia" w:ascii="宋体"/>
                <w:bCs/>
                <w:color w:val="auto"/>
                <w:sz w:val="18"/>
                <w:szCs w:val="18"/>
              </w:rPr>
              <w:t>在财务软件导出的相关账目中标出所取数据，明确数据汇总过程并盖章确认。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08" w:right="0"/>
              <w:textAlignment w:val="auto"/>
              <w:rPr>
                <w:rFonts w:hint="eastAsia" w:ascii="宋体"/>
                <w:bCs/>
                <w:color w:val="auto"/>
                <w:sz w:val="18"/>
                <w:szCs w:val="18"/>
              </w:rPr>
            </w:pPr>
            <w:r>
              <w:rPr>
                <w:rFonts w:hint="eastAsia" w:ascii="宋体"/>
                <w:bCs/>
                <w:color w:val="auto"/>
                <w:sz w:val="18"/>
                <w:szCs w:val="18"/>
              </w:rPr>
              <w:t>⑤依据支付凭证填报的，数据</w:t>
            </w:r>
            <w:r>
              <w:rPr>
                <w:rFonts w:hint="default" w:ascii="宋体"/>
                <w:bCs/>
                <w:color w:val="auto"/>
                <w:sz w:val="18"/>
                <w:szCs w:val="18"/>
              </w:rPr>
              <w:t>核查时，</w:t>
            </w:r>
            <w:r>
              <w:rPr>
                <w:rFonts w:hint="eastAsia" w:ascii="宋体"/>
                <w:bCs/>
                <w:color w:val="auto"/>
                <w:sz w:val="18"/>
                <w:szCs w:val="18"/>
              </w:rPr>
              <w:t>应将凭证分类汇总。原则上商业承兑汇票不作为支付凭证参考，银行承兑汇票、银行回单</w:t>
            </w:r>
            <w:r>
              <w:rPr>
                <w:rFonts w:hint="default" w:ascii="宋体"/>
                <w:bCs/>
                <w:color w:val="auto"/>
                <w:sz w:val="18"/>
                <w:szCs w:val="18"/>
              </w:rPr>
              <w:t>需体现与项目有</w:t>
            </w:r>
            <w:r>
              <w:rPr>
                <w:rFonts w:hint="eastAsia" w:ascii="宋体"/>
                <w:bCs/>
                <w:color w:val="auto"/>
                <w:sz w:val="18"/>
                <w:szCs w:val="18"/>
              </w:rPr>
              <w:t>关</w:t>
            </w:r>
            <w:r>
              <w:rPr>
                <w:rFonts w:hint="default" w:ascii="宋体"/>
                <w:bCs/>
                <w:color w:val="auto"/>
                <w:sz w:val="18"/>
                <w:szCs w:val="18"/>
              </w:rPr>
              <w:t>的</w:t>
            </w:r>
            <w:r>
              <w:rPr>
                <w:rFonts w:hint="eastAsia" w:ascii="宋体"/>
                <w:bCs/>
                <w:color w:val="auto"/>
                <w:sz w:val="18"/>
                <w:szCs w:val="18"/>
              </w:rPr>
              <w:t>信息</w:t>
            </w:r>
            <w:r>
              <w:rPr>
                <w:rFonts w:hint="default" w:ascii="宋体"/>
                <w:bCs/>
                <w:color w:val="auto"/>
                <w:sz w:val="18"/>
                <w:szCs w:val="18"/>
              </w:rPr>
              <w:t>，发票需可验证。</w:t>
            </w:r>
          </w:p>
        </w:tc>
      </w:tr>
      <w:tr>
        <w:tblPrEx>
          <w:tblBorders>
            <w:top w:val="single" w:color="auto" w:sz="8" w:space="0"/>
            <w:left w:val="single" w:color="FFFFFF" w:sz="8" w:space="0"/>
            <w:bottom w:val="single" w:color="auto" w:sz="8" w:space="0"/>
            <w:right w:val="single" w:color="FFFFFF" w:sz="8" w:space="0"/>
            <w:insideH w:val="single" w:color="auto" w:sz="2" w:space="0"/>
            <w:insideV w:val="single" w:color="auto" w:sz="2" w:space="0"/>
          </w:tblBorders>
          <w:tblCellMar>
            <w:top w:w="0" w:type="dxa"/>
            <w:left w:w="0" w:type="dxa"/>
            <w:bottom w:w="0" w:type="dxa"/>
            <w:right w:w="0" w:type="dxa"/>
          </w:tblCellMar>
        </w:tblPrEx>
        <w:trPr>
          <w:trHeight w:val="1512" w:hRule="atLeast"/>
          <w:jc w:val="center"/>
        </w:trPr>
        <w:tc>
          <w:tcPr>
            <w:tcW w:w="691" w:type="pct"/>
            <w:noWrap w:val="0"/>
            <w:tcMar>
              <w:top w:w="72" w:type="dxa"/>
              <w:left w:w="144" w:type="dxa"/>
              <w:bottom w:w="72" w:type="dxa"/>
              <w:right w:w="144"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宋体"/>
                <w:bCs/>
                <w:color w:val="auto"/>
                <w:sz w:val="18"/>
                <w:szCs w:val="18"/>
              </w:rPr>
            </w:pPr>
            <w:r>
              <w:rPr>
                <w:rFonts w:hint="eastAsia" w:ascii="宋体"/>
                <w:bCs/>
                <w:color w:val="auto"/>
                <w:sz w:val="18"/>
                <w:szCs w:val="18"/>
              </w:rPr>
              <w:t>（2）</w:t>
            </w:r>
            <w:r>
              <w:rPr>
                <w:rFonts w:hint="default" w:ascii="宋体"/>
                <w:bCs/>
                <w:color w:val="auto"/>
                <w:sz w:val="18"/>
                <w:szCs w:val="18"/>
              </w:rPr>
              <w:t>设备工器具购置</w:t>
            </w:r>
          </w:p>
        </w:tc>
        <w:tc>
          <w:tcPr>
            <w:tcW w:w="1832" w:type="pct"/>
            <w:noWrap w:val="0"/>
            <w:tcMar>
              <w:top w:w="72" w:type="dxa"/>
              <w:left w:w="144" w:type="dxa"/>
              <w:bottom w:w="72" w:type="dxa"/>
              <w:right w:w="144"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宋体"/>
                <w:bCs/>
                <w:color w:val="auto"/>
                <w:sz w:val="18"/>
                <w:szCs w:val="18"/>
              </w:rPr>
            </w:pPr>
            <w:r>
              <w:rPr>
                <w:rFonts w:hint="eastAsia" w:ascii="宋体"/>
                <w:bCs/>
                <w:color w:val="auto"/>
                <w:sz w:val="18"/>
                <w:szCs w:val="18"/>
              </w:rPr>
              <w:t>会计科目或支付凭证，</w:t>
            </w:r>
            <w:r>
              <w:rPr>
                <w:rFonts w:hint="default" w:ascii="宋体"/>
                <w:bCs/>
                <w:color w:val="auto"/>
                <w:sz w:val="18"/>
                <w:szCs w:val="18"/>
              </w:rPr>
              <w:t>根据明细科目</w:t>
            </w:r>
            <w:r>
              <w:rPr>
                <w:rFonts w:hint="eastAsia" w:ascii="宋体"/>
                <w:bCs/>
                <w:color w:val="auto"/>
                <w:sz w:val="18"/>
                <w:szCs w:val="18"/>
              </w:rPr>
              <w:t>本年借方累计或</w:t>
            </w:r>
            <w:r>
              <w:rPr>
                <w:rFonts w:hint="default" w:ascii="宋体"/>
                <w:bCs/>
                <w:color w:val="auto"/>
                <w:sz w:val="18"/>
                <w:szCs w:val="18"/>
              </w:rPr>
              <w:t>相关会计分录</w:t>
            </w:r>
            <w:r>
              <w:rPr>
                <w:rFonts w:hint="eastAsia" w:ascii="宋体"/>
                <w:bCs/>
                <w:color w:val="auto"/>
                <w:sz w:val="18"/>
                <w:szCs w:val="18"/>
              </w:rPr>
              <w:t>借方发生额加总填报。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宋体"/>
                <w:bCs/>
                <w:color w:val="auto"/>
                <w:sz w:val="18"/>
                <w:szCs w:val="18"/>
              </w:rPr>
            </w:pPr>
            <w:r>
              <w:rPr>
                <w:rFonts w:hint="eastAsia" w:ascii="宋体"/>
                <w:bCs/>
                <w:color w:val="auto"/>
                <w:sz w:val="18"/>
                <w:szCs w:val="18"/>
              </w:rPr>
              <w:t>主要对应会计科目为：在建工程—</w:t>
            </w:r>
            <w:r>
              <w:rPr>
                <w:rFonts w:hint="default" w:ascii="宋体"/>
                <w:bCs/>
                <w:color w:val="auto"/>
                <w:sz w:val="18"/>
                <w:szCs w:val="18"/>
              </w:rPr>
              <w:t>在安装设备</w:t>
            </w:r>
            <w:r>
              <w:rPr>
                <w:rFonts w:hint="eastAsia" w:ascii="宋体"/>
                <w:bCs/>
                <w:color w:val="auto"/>
                <w:sz w:val="18"/>
                <w:szCs w:val="18"/>
              </w:rPr>
              <w:t>（需安装设备）；</w:t>
            </w:r>
            <w:r>
              <w:rPr>
                <w:rFonts w:hint="default" w:ascii="宋体"/>
                <w:bCs/>
                <w:color w:val="auto"/>
                <w:sz w:val="18"/>
                <w:szCs w:val="18"/>
              </w:rPr>
              <w:t>固定资产下</w:t>
            </w:r>
            <w:r>
              <w:rPr>
                <w:rFonts w:hint="eastAsia" w:ascii="宋体"/>
                <w:bCs/>
                <w:color w:val="auto"/>
                <w:sz w:val="18"/>
                <w:szCs w:val="18"/>
              </w:rPr>
              <w:t>二级</w:t>
            </w:r>
            <w:r>
              <w:rPr>
                <w:rFonts w:hint="default" w:ascii="宋体"/>
                <w:bCs/>
                <w:color w:val="auto"/>
                <w:sz w:val="18"/>
                <w:szCs w:val="18"/>
              </w:rPr>
              <w:t>科目</w:t>
            </w:r>
            <w:r>
              <w:rPr>
                <w:rFonts w:hint="eastAsia" w:ascii="宋体"/>
                <w:bCs/>
                <w:color w:val="auto"/>
                <w:sz w:val="18"/>
                <w:szCs w:val="18"/>
              </w:rPr>
              <w:t>（不需安装设备）</w:t>
            </w:r>
          </w:p>
        </w:tc>
        <w:tc>
          <w:tcPr>
            <w:tcW w:w="2477" w:type="pct"/>
            <w:vMerge w:val="restart"/>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05" w:right="0"/>
              <w:textAlignment w:val="auto"/>
              <w:rPr>
                <w:rFonts w:hint="default" w:ascii="宋体"/>
                <w:bCs/>
                <w:color w:val="auto"/>
                <w:sz w:val="18"/>
                <w:szCs w:val="18"/>
              </w:rPr>
            </w:pPr>
            <w:r>
              <w:rPr>
                <w:rFonts w:hint="eastAsia" w:ascii="宋体" w:hAnsi="宋体"/>
                <w:bCs/>
                <w:color w:val="auto"/>
                <w:sz w:val="18"/>
                <w:szCs w:val="18"/>
              </w:rPr>
              <w:t>①依据</w:t>
            </w:r>
            <w:r>
              <w:rPr>
                <w:rFonts w:hint="default" w:ascii="宋体" w:hAnsi="宋体"/>
                <w:bCs/>
                <w:color w:val="auto"/>
                <w:sz w:val="18"/>
                <w:szCs w:val="18"/>
              </w:rPr>
              <w:t>会计科目填报的，购置完成后，会计科目中将</w:t>
            </w:r>
            <w:r>
              <w:rPr>
                <w:rFonts w:hint="eastAsia" w:ascii="宋体"/>
                <w:bCs/>
                <w:color w:val="auto"/>
                <w:sz w:val="18"/>
                <w:szCs w:val="18"/>
              </w:rPr>
              <w:t>质保金和尾款计入</w:t>
            </w:r>
            <w:r>
              <w:rPr>
                <w:rFonts w:hint="default" w:ascii="宋体"/>
                <w:bCs/>
                <w:color w:val="auto"/>
                <w:sz w:val="18"/>
                <w:szCs w:val="18"/>
              </w:rPr>
              <w:t>固定资产，</w:t>
            </w:r>
            <w:r>
              <w:rPr>
                <w:rFonts w:hint="eastAsia" w:ascii="宋体"/>
                <w:bCs/>
                <w:color w:val="auto"/>
                <w:sz w:val="18"/>
                <w:szCs w:val="18"/>
              </w:rPr>
              <w:t>则可一次性计入投资额。数据核查</w:t>
            </w:r>
            <w:r>
              <w:rPr>
                <w:rFonts w:hint="default" w:ascii="宋体"/>
                <w:bCs/>
                <w:color w:val="auto"/>
                <w:sz w:val="18"/>
                <w:szCs w:val="18"/>
              </w:rPr>
              <w:t>时，在</w:t>
            </w:r>
            <w:r>
              <w:rPr>
                <w:rFonts w:hint="eastAsia" w:ascii="宋体"/>
                <w:bCs/>
                <w:color w:val="auto"/>
                <w:sz w:val="18"/>
                <w:szCs w:val="18"/>
              </w:rPr>
              <w:t>财务</w:t>
            </w:r>
            <w:r>
              <w:rPr>
                <w:rFonts w:hint="default" w:ascii="宋体"/>
                <w:bCs/>
                <w:color w:val="auto"/>
                <w:sz w:val="18"/>
                <w:szCs w:val="18"/>
              </w:rPr>
              <w:t>软件导出的相关账目中标出所取数据，明确数据汇总过程并盖章确认</w:t>
            </w:r>
            <w:r>
              <w:rPr>
                <w:rFonts w:hint="eastAsia" w:ascii="宋体"/>
                <w:bCs/>
                <w:color w:val="auto"/>
                <w:sz w:val="18"/>
                <w:szCs w:val="18"/>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05" w:leftChars="50" w:right="0"/>
              <w:textAlignment w:val="auto"/>
              <w:rPr>
                <w:rFonts w:hint="default" w:ascii="宋体"/>
                <w:bCs/>
                <w:color w:val="auto"/>
                <w:sz w:val="18"/>
                <w:szCs w:val="18"/>
              </w:rPr>
            </w:pPr>
            <w:r>
              <w:rPr>
                <w:rFonts w:hint="eastAsia" w:ascii="宋体" w:hAnsi="宋体"/>
                <w:bCs/>
                <w:color w:val="auto"/>
                <w:sz w:val="18"/>
                <w:szCs w:val="18"/>
              </w:rPr>
              <w:t>②依据支付凭证填报的，数据</w:t>
            </w:r>
            <w:r>
              <w:rPr>
                <w:rFonts w:hint="default" w:ascii="宋体" w:hAnsi="宋体"/>
                <w:bCs/>
                <w:color w:val="auto"/>
                <w:sz w:val="18"/>
                <w:szCs w:val="18"/>
              </w:rPr>
              <w:t>核查时，</w:t>
            </w:r>
            <w:r>
              <w:rPr>
                <w:rFonts w:hint="eastAsia" w:ascii="宋体" w:hAnsi="宋体"/>
                <w:bCs/>
                <w:color w:val="auto"/>
                <w:sz w:val="18"/>
                <w:szCs w:val="18"/>
              </w:rPr>
              <w:t>应将凭证分类汇总。原则上商业承兑汇票不作为支付凭证参考，银行承兑汇票、</w:t>
            </w:r>
            <w:r>
              <w:rPr>
                <w:rFonts w:hint="default" w:ascii="宋体" w:hAnsi="宋体"/>
                <w:bCs/>
                <w:color w:val="auto"/>
                <w:sz w:val="18"/>
                <w:szCs w:val="18"/>
              </w:rPr>
              <w:t>银行回单需体现与项目有</w:t>
            </w:r>
            <w:r>
              <w:rPr>
                <w:rFonts w:hint="eastAsia" w:ascii="宋体" w:hAnsi="宋体"/>
                <w:bCs/>
                <w:color w:val="auto"/>
                <w:sz w:val="18"/>
                <w:szCs w:val="18"/>
              </w:rPr>
              <w:t>关</w:t>
            </w:r>
            <w:r>
              <w:rPr>
                <w:rFonts w:hint="default" w:ascii="宋体" w:hAnsi="宋体"/>
                <w:bCs/>
                <w:color w:val="auto"/>
                <w:sz w:val="18"/>
                <w:szCs w:val="18"/>
              </w:rPr>
              <w:t>的</w:t>
            </w:r>
            <w:r>
              <w:rPr>
                <w:rFonts w:hint="eastAsia" w:ascii="宋体" w:hAnsi="宋体"/>
                <w:bCs/>
                <w:color w:val="auto"/>
                <w:sz w:val="18"/>
                <w:szCs w:val="18"/>
              </w:rPr>
              <w:t>信息</w:t>
            </w:r>
            <w:r>
              <w:rPr>
                <w:rFonts w:hint="default" w:ascii="宋体" w:hAnsi="宋体"/>
                <w:bCs/>
                <w:color w:val="auto"/>
                <w:sz w:val="18"/>
                <w:szCs w:val="18"/>
              </w:rPr>
              <w:t>，发票需可验证。</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05" w:leftChars="50" w:right="0"/>
              <w:textAlignment w:val="auto"/>
              <w:rPr>
                <w:rFonts w:hint="eastAsia" w:ascii="宋体"/>
                <w:bCs/>
                <w:color w:val="auto"/>
                <w:sz w:val="18"/>
                <w:szCs w:val="18"/>
              </w:rPr>
            </w:pPr>
            <w:r>
              <w:rPr>
                <w:rFonts w:hint="eastAsia" w:ascii="宋体" w:hAnsi="宋体"/>
                <w:bCs/>
                <w:color w:val="auto"/>
                <w:sz w:val="18"/>
                <w:szCs w:val="18"/>
              </w:rPr>
              <w:t>③项目完工时，设备应到位或安装完毕。</w:t>
            </w:r>
          </w:p>
        </w:tc>
      </w:tr>
      <w:tr>
        <w:tblPrEx>
          <w:tblBorders>
            <w:top w:val="single" w:color="auto" w:sz="8" w:space="0"/>
            <w:left w:val="single" w:color="FFFFFF" w:sz="8" w:space="0"/>
            <w:bottom w:val="single" w:color="auto" w:sz="8" w:space="0"/>
            <w:right w:val="single" w:color="FFFFFF" w:sz="8" w:space="0"/>
            <w:insideH w:val="single" w:color="auto" w:sz="2" w:space="0"/>
            <w:insideV w:val="single" w:color="auto" w:sz="2" w:space="0"/>
          </w:tblBorders>
          <w:tblCellMar>
            <w:top w:w="0" w:type="dxa"/>
            <w:left w:w="0" w:type="dxa"/>
            <w:bottom w:w="0" w:type="dxa"/>
            <w:right w:w="0" w:type="dxa"/>
          </w:tblCellMar>
        </w:tblPrEx>
        <w:trPr>
          <w:trHeight w:val="1335" w:hRule="atLeast"/>
          <w:jc w:val="center"/>
        </w:trPr>
        <w:tc>
          <w:tcPr>
            <w:tcW w:w="691" w:type="pct"/>
            <w:noWrap w:val="0"/>
            <w:tcMar>
              <w:top w:w="72" w:type="dxa"/>
              <w:left w:w="144" w:type="dxa"/>
              <w:bottom w:w="72" w:type="dxa"/>
              <w:right w:w="144"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宋体"/>
                <w:bCs/>
                <w:color w:val="auto"/>
                <w:spacing w:val="-8"/>
                <w:sz w:val="18"/>
                <w:szCs w:val="18"/>
              </w:rPr>
            </w:pPr>
            <w:r>
              <w:rPr>
                <w:rFonts w:hint="eastAsia" w:ascii="宋体"/>
                <w:bCs/>
                <w:color w:val="auto"/>
                <w:spacing w:val="-8"/>
                <w:sz w:val="18"/>
                <w:szCs w:val="18"/>
              </w:rPr>
              <w:t>（3）</w:t>
            </w:r>
            <w:r>
              <w:rPr>
                <w:rFonts w:hint="default" w:ascii="宋体"/>
                <w:bCs/>
                <w:color w:val="auto"/>
                <w:spacing w:val="-8"/>
                <w:sz w:val="18"/>
                <w:szCs w:val="18"/>
              </w:rPr>
              <w:t>其他费用</w:t>
            </w:r>
          </w:p>
        </w:tc>
        <w:tc>
          <w:tcPr>
            <w:tcW w:w="1832" w:type="pct"/>
            <w:noWrap w:val="0"/>
            <w:tcMar>
              <w:top w:w="72" w:type="dxa"/>
              <w:left w:w="144" w:type="dxa"/>
              <w:bottom w:w="72" w:type="dxa"/>
              <w:right w:w="144"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宋体"/>
                <w:bCs/>
                <w:color w:val="auto"/>
                <w:sz w:val="18"/>
                <w:szCs w:val="18"/>
              </w:rPr>
            </w:pPr>
            <w:r>
              <w:rPr>
                <w:rFonts w:hint="eastAsia" w:ascii="宋体"/>
                <w:bCs/>
                <w:color w:val="auto"/>
                <w:sz w:val="18"/>
                <w:szCs w:val="18"/>
              </w:rPr>
              <w:t>会计科目或支付凭证，</w:t>
            </w:r>
            <w:r>
              <w:rPr>
                <w:rFonts w:hint="default" w:ascii="宋体"/>
                <w:bCs/>
                <w:color w:val="auto"/>
                <w:sz w:val="18"/>
                <w:szCs w:val="18"/>
              </w:rPr>
              <w:t>根据明细科目</w:t>
            </w:r>
            <w:r>
              <w:rPr>
                <w:rFonts w:hint="eastAsia" w:ascii="宋体"/>
                <w:bCs/>
                <w:color w:val="auto"/>
                <w:sz w:val="18"/>
                <w:szCs w:val="18"/>
              </w:rPr>
              <w:t>本年借方累计或</w:t>
            </w:r>
            <w:r>
              <w:rPr>
                <w:rFonts w:hint="default" w:ascii="宋体"/>
                <w:bCs/>
                <w:color w:val="auto"/>
                <w:sz w:val="18"/>
                <w:szCs w:val="18"/>
              </w:rPr>
              <w:t>相关会计分录</w:t>
            </w:r>
            <w:r>
              <w:rPr>
                <w:rFonts w:hint="eastAsia" w:ascii="宋体"/>
                <w:bCs/>
                <w:color w:val="auto"/>
                <w:sz w:val="18"/>
                <w:szCs w:val="18"/>
              </w:rPr>
              <w:t>借方发生额加总填报。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宋体"/>
                <w:bCs/>
                <w:color w:val="auto"/>
                <w:sz w:val="18"/>
                <w:szCs w:val="18"/>
              </w:rPr>
            </w:pPr>
            <w:r>
              <w:rPr>
                <w:rFonts w:hint="eastAsia" w:ascii="宋体"/>
                <w:bCs/>
                <w:color w:val="auto"/>
                <w:sz w:val="18"/>
                <w:szCs w:val="18"/>
              </w:rPr>
              <w:t>主要对应会计科目为：在建工程—</w:t>
            </w:r>
            <w:r>
              <w:rPr>
                <w:rFonts w:hint="default" w:ascii="宋体"/>
                <w:bCs/>
                <w:color w:val="auto"/>
                <w:sz w:val="18"/>
                <w:szCs w:val="18"/>
              </w:rPr>
              <w:t>待摊支出</w:t>
            </w:r>
            <w:r>
              <w:rPr>
                <w:rFonts w:hint="eastAsia" w:ascii="宋体"/>
                <w:bCs/>
                <w:color w:val="auto"/>
                <w:sz w:val="18"/>
                <w:szCs w:val="18"/>
              </w:rPr>
              <w:t>；无形资产—</w:t>
            </w:r>
            <w:r>
              <w:rPr>
                <w:rFonts w:hint="default" w:ascii="宋体"/>
                <w:bCs/>
                <w:color w:val="auto"/>
                <w:sz w:val="18"/>
                <w:szCs w:val="18"/>
              </w:rPr>
              <w:t>土地使用权等</w:t>
            </w:r>
          </w:p>
        </w:tc>
        <w:tc>
          <w:tcPr>
            <w:tcW w:w="2477" w:type="pct"/>
            <w:vMerge w:val="continue"/>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05" w:leftChars="50" w:right="0"/>
              <w:textAlignment w:val="auto"/>
              <w:rPr>
                <w:rFonts w:hint="eastAsia" w:ascii="宋体" w:hAnsi="宋体"/>
                <w:bCs/>
                <w:color w:val="auto"/>
                <w:sz w:val="18"/>
                <w:szCs w:val="18"/>
              </w:rPr>
            </w:pPr>
          </w:p>
        </w:tc>
      </w:tr>
      <w:tr>
        <w:tblPrEx>
          <w:tblBorders>
            <w:top w:val="single" w:color="auto" w:sz="8" w:space="0"/>
            <w:left w:val="single" w:color="FFFFFF" w:sz="8" w:space="0"/>
            <w:bottom w:val="single" w:color="auto" w:sz="8" w:space="0"/>
            <w:right w:val="single" w:color="FFFFFF" w:sz="8" w:space="0"/>
            <w:insideH w:val="single" w:color="auto" w:sz="2" w:space="0"/>
            <w:insideV w:val="single" w:color="auto" w:sz="2" w:space="0"/>
          </w:tblBorders>
          <w:tblCellMar>
            <w:top w:w="0" w:type="dxa"/>
            <w:left w:w="0" w:type="dxa"/>
            <w:bottom w:w="0" w:type="dxa"/>
            <w:right w:w="0" w:type="dxa"/>
          </w:tblCellMar>
        </w:tblPrEx>
        <w:trPr>
          <w:trHeight w:val="621" w:hRule="atLeast"/>
          <w:jc w:val="center"/>
        </w:trPr>
        <w:tc>
          <w:tcPr>
            <w:tcW w:w="691" w:type="pct"/>
            <w:noWrap w:val="0"/>
            <w:tcMar>
              <w:top w:w="72" w:type="dxa"/>
              <w:left w:w="144" w:type="dxa"/>
              <w:bottom w:w="72" w:type="dxa"/>
              <w:right w:w="144"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宋体"/>
                <w:bCs/>
                <w:color w:val="auto"/>
                <w:sz w:val="18"/>
                <w:szCs w:val="18"/>
              </w:rPr>
            </w:pPr>
            <w:r>
              <w:rPr>
                <w:rFonts w:hint="eastAsia" w:ascii="宋体"/>
                <w:bCs/>
                <w:color w:val="auto"/>
                <w:sz w:val="18"/>
                <w:szCs w:val="18"/>
              </w:rPr>
              <w:t>其中：建设</w:t>
            </w:r>
            <w:r>
              <w:rPr>
                <w:rFonts w:hint="default" w:ascii="宋体"/>
                <w:bCs/>
                <w:color w:val="auto"/>
                <w:sz w:val="18"/>
                <w:szCs w:val="18"/>
              </w:rPr>
              <w:t>用地费</w:t>
            </w:r>
          </w:p>
        </w:tc>
        <w:tc>
          <w:tcPr>
            <w:tcW w:w="1832" w:type="pct"/>
            <w:noWrap w:val="0"/>
            <w:tcMar>
              <w:top w:w="72" w:type="dxa"/>
              <w:left w:w="144" w:type="dxa"/>
              <w:bottom w:w="72" w:type="dxa"/>
              <w:right w:w="144"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宋体"/>
                <w:bCs/>
                <w:color w:val="auto"/>
                <w:sz w:val="18"/>
                <w:szCs w:val="18"/>
              </w:rPr>
            </w:pPr>
            <w:r>
              <w:rPr>
                <w:rFonts w:hint="eastAsia" w:ascii="宋体"/>
                <w:bCs/>
                <w:color w:val="auto"/>
                <w:sz w:val="18"/>
                <w:szCs w:val="18"/>
              </w:rPr>
              <w:t>会计</w:t>
            </w:r>
            <w:r>
              <w:rPr>
                <w:rFonts w:hint="default" w:ascii="宋体"/>
                <w:bCs/>
                <w:color w:val="auto"/>
                <w:sz w:val="18"/>
                <w:szCs w:val="18"/>
              </w:rPr>
              <w:t>科目</w:t>
            </w:r>
            <w:r>
              <w:rPr>
                <w:rFonts w:hint="eastAsia" w:ascii="宋体"/>
                <w:bCs/>
                <w:color w:val="auto"/>
                <w:sz w:val="18"/>
                <w:szCs w:val="18"/>
              </w:rPr>
              <w:t>或支付凭证。根据明细</w:t>
            </w:r>
            <w:r>
              <w:rPr>
                <w:rFonts w:hint="default" w:ascii="宋体"/>
                <w:bCs/>
                <w:color w:val="auto"/>
                <w:sz w:val="18"/>
                <w:szCs w:val="18"/>
              </w:rPr>
              <w:t>科目</w:t>
            </w:r>
            <w:r>
              <w:rPr>
                <w:rFonts w:hint="eastAsia" w:ascii="宋体"/>
                <w:bCs/>
                <w:color w:val="auto"/>
                <w:sz w:val="18"/>
                <w:szCs w:val="18"/>
              </w:rPr>
              <w:t>本年借方累计填报。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宋体"/>
                <w:bCs/>
                <w:color w:val="auto"/>
                <w:sz w:val="18"/>
                <w:szCs w:val="18"/>
              </w:rPr>
            </w:pPr>
            <w:r>
              <w:rPr>
                <w:rFonts w:hint="eastAsia" w:ascii="宋体"/>
                <w:bCs/>
                <w:color w:val="auto"/>
                <w:sz w:val="18"/>
                <w:szCs w:val="18"/>
              </w:rPr>
              <w:t>对应会计科目为：无形资产—土地使用权</w:t>
            </w:r>
          </w:p>
        </w:tc>
        <w:tc>
          <w:tcPr>
            <w:tcW w:w="2477" w:type="pct"/>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90" w:firstLineChars="50"/>
              <w:textAlignment w:val="auto"/>
              <w:rPr>
                <w:rFonts w:hint="default" w:ascii="宋体" w:hAnsi="宋体"/>
                <w:bCs/>
                <w:color w:val="auto"/>
                <w:sz w:val="18"/>
                <w:szCs w:val="18"/>
              </w:rPr>
            </w:pPr>
            <w:r>
              <w:rPr>
                <w:rFonts w:hint="eastAsia" w:ascii="宋体" w:hAnsi="宋体"/>
                <w:bCs/>
                <w:color w:val="auto"/>
                <w:sz w:val="18"/>
                <w:szCs w:val="18"/>
              </w:rPr>
              <w:t>建设用地费在项目入库</w:t>
            </w:r>
            <w:r>
              <w:rPr>
                <w:rFonts w:hint="default" w:ascii="宋体" w:hAnsi="宋体"/>
                <w:bCs/>
                <w:color w:val="auto"/>
                <w:sz w:val="18"/>
                <w:szCs w:val="18"/>
              </w:rPr>
              <w:t>纳统</w:t>
            </w:r>
            <w:r>
              <w:rPr>
                <w:rFonts w:hint="eastAsia" w:ascii="宋体" w:hAnsi="宋体"/>
                <w:bCs/>
                <w:color w:val="auto"/>
                <w:sz w:val="18"/>
                <w:szCs w:val="18"/>
              </w:rPr>
              <w:t>时计入本年完成投资。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宋体"/>
                <w:bCs/>
                <w:color w:val="auto"/>
                <w:sz w:val="18"/>
                <w:szCs w:val="18"/>
              </w:rPr>
            </w:pPr>
          </w:p>
        </w:tc>
      </w:tr>
    </w:tbl>
    <w:p>
      <w:pPr>
        <w:adjustRightInd w:val="0"/>
        <w:spacing w:line="360" w:lineRule="atLeast"/>
        <w:ind w:firstLine="420" w:firstLineChars="200"/>
        <w:rPr>
          <w:rStyle w:val="27"/>
          <w:i w:val="0"/>
          <w:color w:val="auto"/>
        </w:rPr>
      </w:pPr>
      <w:r>
        <w:rPr>
          <w:rFonts w:hint="eastAsia" w:ascii="黑体" w:eastAsia="黑体"/>
          <w:color w:val="auto"/>
        </w:rPr>
        <w:t>本年新增固定资产</w:t>
      </w:r>
      <w:r>
        <w:rPr>
          <w:rStyle w:val="27"/>
          <w:rFonts w:hint="eastAsia"/>
          <w:i w:val="0"/>
          <w:color w:val="auto"/>
        </w:rPr>
        <w:t xml:space="preserve">  指在报告期已经完成建造和购置过程，并已交付生产或使用单位的固定资产的价值。</w:t>
      </w:r>
    </w:p>
    <w:p>
      <w:pPr>
        <w:adjustRightInd w:val="0"/>
        <w:spacing w:line="360" w:lineRule="atLeast"/>
        <w:ind w:firstLine="428" w:firstLineChars="200"/>
        <w:rPr>
          <w:rFonts w:hint="eastAsia" w:ascii="宋体"/>
          <w:color w:val="auto"/>
          <w:spacing w:val="2"/>
        </w:rPr>
      </w:pPr>
      <w:r>
        <w:rPr>
          <w:rFonts w:hint="eastAsia" w:ascii="宋体"/>
          <w:color w:val="auto"/>
          <w:spacing w:val="2"/>
        </w:rPr>
        <w:t>包括已经建成投入生产或交付使用的工程投资和达到固定资产标准的设备、工具、器具的投资及有关应摊入的费用。属于增加固定资产价值的其他建设费用，应随同交付使用的工程一并计入新增固定资产。</w:t>
      </w:r>
    </w:p>
    <w:p>
      <w:pPr>
        <w:adjustRightInd w:val="0"/>
        <w:spacing w:line="360" w:lineRule="atLeast"/>
        <w:ind w:firstLine="420" w:firstLineChars="200"/>
        <w:rPr>
          <w:rFonts w:ascii="宋体"/>
          <w:color w:val="auto"/>
        </w:rPr>
      </w:pPr>
      <w:r>
        <w:rPr>
          <w:rFonts w:hint="eastAsia" w:ascii="宋体"/>
          <w:color w:val="auto"/>
        </w:rPr>
        <w:t>调查单位通过划拨方式取得土地使用权所发生的建设用地费计入新增固定资产；房地产开发企业、工业商业等企业通过出让或“招拍挂”方式取得土地使用权而发生的建设用地费不计入新增固定资产；租用建设用地的费用，不计入新增固定资产投资。</w:t>
      </w:r>
    </w:p>
    <w:p>
      <w:pPr>
        <w:adjustRightInd w:val="0"/>
        <w:spacing w:line="360" w:lineRule="atLeast"/>
        <w:ind w:firstLine="420" w:firstLineChars="200"/>
        <w:rPr>
          <w:rFonts w:hint="eastAsia" w:ascii="宋体"/>
          <w:color w:val="auto"/>
        </w:rPr>
      </w:pPr>
    </w:p>
    <w:p>
      <w:pPr>
        <w:adjustRightInd w:val="0"/>
        <w:snapToGrid w:val="0"/>
        <w:ind w:firstLine="420" w:firstLineChars="200"/>
        <w:outlineLvl w:val="2"/>
        <w:rPr>
          <w:rFonts w:hint="eastAsia" w:ascii="黑体" w:eastAsia="黑体"/>
          <w:color w:val="auto"/>
          <w:szCs w:val="21"/>
        </w:rPr>
      </w:pPr>
      <w:r>
        <w:rPr>
          <w:rFonts w:ascii="黑体" w:eastAsia="黑体"/>
          <w:color w:val="auto"/>
          <w:szCs w:val="21"/>
        </w:rPr>
        <w:t>4</w:t>
      </w:r>
      <w:r>
        <w:rPr>
          <w:rFonts w:hint="eastAsia" w:ascii="黑体" w:eastAsia="黑体"/>
          <w:color w:val="auto"/>
          <w:szCs w:val="21"/>
        </w:rPr>
        <w:t>.到位资金</w:t>
      </w:r>
    </w:p>
    <w:p>
      <w:pPr>
        <w:adjustRightInd w:val="0"/>
        <w:spacing w:line="360" w:lineRule="atLeast"/>
        <w:ind w:firstLine="409" w:firstLineChars="195"/>
        <w:rPr>
          <w:rFonts w:ascii="宋体"/>
          <w:color w:val="auto"/>
        </w:rPr>
      </w:pPr>
      <w:r>
        <w:rPr>
          <w:rFonts w:hint="eastAsia" w:ascii="黑体" w:eastAsia="黑体"/>
          <w:color w:val="auto"/>
        </w:rPr>
        <w:t xml:space="preserve">上年末结余资金  </w:t>
      </w:r>
      <w:r>
        <w:rPr>
          <w:rFonts w:hint="eastAsia" w:ascii="宋体"/>
          <w:color w:val="auto"/>
        </w:rPr>
        <w:t>指上年资金来源中没有形成投资额而结余的资金。</w:t>
      </w:r>
    </w:p>
    <w:p>
      <w:pPr>
        <w:adjustRightInd w:val="0"/>
        <w:spacing w:line="360" w:lineRule="atLeast"/>
        <w:ind w:firstLine="409" w:firstLineChars="195"/>
        <w:rPr>
          <w:rFonts w:ascii="宋体"/>
          <w:color w:val="auto"/>
        </w:rPr>
      </w:pPr>
      <w:r>
        <w:rPr>
          <w:rFonts w:hint="eastAsia" w:ascii="宋体"/>
          <w:color w:val="auto"/>
        </w:rPr>
        <w:t>包括尚未用到工程中的材料价值、未开始安装的需要安装设备价值及结存的现金和银行存款等。可根据有关财务数字填报。上年末结余资金不能出现负数，即不能把上年应付工程、材料款作为上年末结余资金的负数来处理。</w:t>
      </w:r>
    </w:p>
    <w:p>
      <w:pPr>
        <w:adjustRightInd w:val="0"/>
        <w:spacing w:line="360" w:lineRule="atLeast"/>
        <w:ind w:firstLine="409" w:firstLineChars="195"/>
        <w:rPr>
          <w:rFonts w:ascii="宋体"/>
          <w:color w:val="auto"/>
        </w:rPr>
      </w:pPr>
      <w:r>
        <w:rPr>
          <w:rFonts w:hint="eastAsia" w:ascii="黑体" w:eastAsia="黑体"/>
          <w:color w:val="auto"/>
        </w:rPr>
        <w:t xml:space="preserve">本年实际到位资金  </w:t>
      </w:r>
      <w:r>
        <w:rPr>
          <w:rFonts w:hint="eastAsia" w:ascii="宋体"/>
          <w:color w:val="auto"/>
        </w:rPr>
        <w:t>指在报告期收到的，用于在建</w:t>
      </w:r>
      <w:r>
        <w:rPr>
          <w:rFonts w:ascii="宋体"/>
          <w:color w:val="auto"/>
        </w:rPr>
        <w:t>项目</w:t>
      </w:r>
      <w:r>
        <w:rPr>
          <w:rFonts w:hint="eastAsia" w:ascii="宋体"/>
          <w:color w:val="auto"/>
        </w:rPr>
        <w:t>投资的各种货币资金。包括国家预算资金、国内贷款、利用外资、自筹资金和其他资金。</w:t>
      </w:r>
    </w:p>
    <w:p>
      <w:pPr>
        <w:adjustRightInd w:val="0"/>
        <w:spacing w:line="360" w:lineRule="atLeast"/>
        <w:ind w:firstLine="420" w:firstLineChars="200"/>
        <w:rPr>
          <w:rFonts w:hint="eastAsia" w:ascii="宋体" w:hAnsi="宋体"/>
          <w:color w:val="auto"/>
        </w:rPr>
      </w:pPr>
      <w:r>
        <w:rPr>
          <w:rFonts w:hint="eastAsia" w:ascii="黑体" w:hAnsi="宋体" w:eastAsia="黑体"/>
          <w:color w:val="auto"/>
        </w:rPr>
        <w:t>国家预算资金</w:t>
      </w:r>
      <w:r>
        <w:rPr>
          <w:rFonts w:hint="eastAsia" w:ascii="宋体" w:hAnsi="宋体"/>
          <w:color w:val="auto"/>
        </w:rPr>
        <w:t xml:space="preserve">  指各级政府用于固定资产投资的财政资金，包括中央预算资金和地方预算资金。</w:t>
      </w:r>
    </w:p>
    <w:p>
      <w:pPr>
        <w:adjustRightInd w:val="0"/>
        <w:spacing w:line="360" w:lineRule="atLeast"/>
        <w:ind w:firstLine="420" w:firstLineChars="200"/>
        <w:rPr>
          <w:rFonts w:hint="eastAsia" w:ascii="宋体" w:hAnsi="宋体"/>
          <w:color w:val="auto"/>
        </w:rPr>
      </w:pPr>
      <w:r>
        <w:rPr>
          <w:rFonts w:hint="eastAsia" w:ascii="宋体" w:hAnsi="宋体"/>
          <w:color w:val="auto"/>
        </w:rPr>
        <w:t>国家预算包括一般预算、政府性基金预算、国有资本经营预算和社保基金预算。各类预算中用于固定资产投资的资金全部作为国家预算资金填报，其中一般预算中用于固定资产投资的部分包括基建投资、车购税、灾后恢复重建基金和其他财政投资。各级政府债券、政府专项债也应归入国家预算资金。</w:t>
      </w:r>
    </w:p>
    <w:p>
      <w:pPr>
        <w:adjustRightInd w:val="0"/>
        <w:spacing w:line="360" w:lineRule="atLeast"/>
        <w:ind w:firstLine="420" w:firstLineChars="200"/>
        <w:rPr>
          <w:rFonts w:hint="eastAsia" w:ascii="宋体"/>
          <w:color w:val="auto"/>
        </w:rPr>
      </w:pPr>
      <w:r>
        <w:rPr>
          <w:rFonts w:hint="eastAsia" w:ascii="黑体" w:hAnsi="宋体" w:eastAsia="黑体"/>
          <w:color w:val="auto"/>
        </w:rPr>
        <w:t xml:space="preserve">中央预算资金 </w:t>
      </w:r>
      <w:r>
        <w:rPr>
          <w:rFonts w:hint="eastAsia" w:ascii="宋体" w:hAnsi="宋体"/>
          <w:color w:val="auto"/>
        </w:rPr>
        <w:t xml:space="preserve"> 指国家预算资金中，来源于中央公共预算安排的用于项目建设的资金数额。</w:t>
      </w:r>
      <w:r>
        <w:rPr>
          <w:rFonts w:ascii="宋体" w:hAnsi="宋体"/>
          <w:color w:val="auto"/>
        </w:rPr>
        <w:t xml:space="preserve"> </w:t>
      </w:r>
      <w:r>
        <w:rPr>
          <w:rFonts w:ascii="宋体"/>
          <w:color w:val="auto"/>
        </w:rPr>
        <w:t xml:space="preserve">  </w:t>
      </w:r>
    </w:p>
    <w:p>
      <w:pPr>
        <w:adjustRightInd w:val="0"/>
        <w:spacing w:line="360" w:lineRule="atLeast"/>
        <w:ind w:firstLine="420" w:firstLineChars="200"/>
        <w:rPr>
          <w:rFonts w:hint="eastAsia" w:ascii="宋体" w:hAnsi="宋体"/>
          <w:color w:val="auto"/>
        </w:rPr>
      </w:pPr>
      <w:r>
        <w:rPr>
          <w:rFonts w:hint="eastAsia" w:ascii="黑体" w:eastAsia="黑体"/>
          <w:color w:val="auto"/>
        </w:rPr>
        <w:t xml:space="preserve">国内贷款  </w:t>
      </w:r>
      <w:r>
        <w:rPr>
          <w:rFonts w:hint="eastAsia" w:ascii="宋体" w:hAnsi="宋体"/>
          <w:color w:val="auto"/>
        </w:rPr>
        <w:t>指报告期向银行及非银行金融机构借入</w:t>
      </w:r>
      <w:r>
        <w:rPr>
          <w:rFonts w:hint="eastAsia"/>
          <w:color w:val="auto"/>
        </w:rPr>
        <w:t>用于在建</w:t>
      </w:r>
      <w:r>
        <w:rPr>
          <w:color w:val="auto"/>
        </w:rPr>
        <w:t>项目</w:t>
      </w:r>
      <w:r>
        <w:rPr>
          <w:rFonts w:hint="eastAsia"/>
          <w:color w:val="auto"/>
        </w:rPr>
        <w:t>投资</w:t>
      </w:r>
      <w:r>
        <w:rPr>
          <w:rFonts w:hint="eastAsia" w:ascii="宋体" w:hAnsi="宋体"/>
          <w:color w:val="auto"/>
        </w:rPr>
        <w:t>的各种国内借款，包括</w:t>
      </w:r>
      <w:r>
        <w:rPr>
          <w:rFonts w:hint="eastAsia" w:ascii="Arial Unicode MS" w:hAnsi="Arial Unicode MS"/>
          <w:color w:val="auto"/>
          <w:szCs w:val="21"/>
        </w:rPr>
        <w:t>银行利用自有资金及吸收存款发放的贷款、上级拨入的国内贷款、国家专项贷款，地方财政专项资金安排的贷款、国内储备贷款、周转贷款等。</w:t>
      </w:r>
    </w:p>
    <w:p>
      <w:pPr>
        <w:adjustRightInd w:val="0"/>
        <w:spacing w:line="360" w:lineRule="atLeast"/>
        <w:ind w:firstLine="420" w:firstLineChars="200"/>
        <w:rPr>
          <w:rFonts w:ascii="宋体" w:hAnsi="宋体"/>
          <w:color w:val="auto"/>
          <w:szCs w:val="21"/>
        </w:rPr>
      </w:pPr>
      <w:r>
        <w:rPr>
          <w:rFonts w:hint="eastAsia" w:ascii="黑体" w:eastAsia="黑体"/>
          <w:color w:val="auto"/>
        </w:rPr>
        <w:t xml:space="preserve">利用外资  </w:t>
      </w:r>
      <w:r>
        <w:rPr>
          <w:rFonts w:hint="eastAsia" w:ascii="宋体" w:hAnsi="宋体"/>
          <w:color w:val="auto"/>
          <w:szCs w:val="21"/>
        </w:rPr>
        <w:t>指报告期内收到的</w:t>
      </w:r>
      <w:r>
        <w:rPr>
          <w:rFonts w:hint="eastAsia" w:ascii="Arial Unicode MS" w:hAnsi="Arial Unicode MS"/>
          <w:color w:val="auto"/>
          <w:szCs w:val="21"/>
        </w:rPr>
        <w:t>境外（包括外国及港澳台地区）</w:t>
      </w:r>
      <w:r>
        <w:rPr>
          <w:rFonts w:hint="eastAsia" w:ascii="宋体" w:hAnsi="宋体"/>
          <w:color w:val="auto"/>
          <w:szCs w:val="21"/>
        </w:rPr>
        <w:t>资金(包括设备、材料、技术在内)。包括对外借款(外国政府贷款、国际金融组织贷款、出口信贷、外国银行商业贷款、对外发行债券和股票)、外商直接投资、外商其他投资(包括补偿贸易、加工装配由外商提供的设备价款、国际租赁，外商投资收益的再投资资金)。不包括我国自有外汇资金(国家外汇、地方外汇、留成外汇、调济外汇和</w:t>
      </w:r>
      <w:r>
        <w:rPr>
          <w:rFonts w:hint="eastAsia" w:ascii="宋体" w:hAnsi="宋体" w:cs="宋体"/>
          <w:color w:val="auto"/>
          <w:szCs w:val="21"/>
        </w:rPr>
        <w:t>中国境内</w:t>
      </w:r>
      <w:r>
        <w:rPr>
          <w:rFonts w:hint="eastAsia" w:ascii="宋体" w:hAnsi="宋体"/>
          <w:color w:val="auto"/>
          <w:szCs w:val="21"/>
        </w:rPr>
        <w:t>银行自有资金发放的外汇贷款等)。</w:t>
      </w:r>
      <w:r>
        <w:rPr>
          <w:rFonts w:hint="eastAsia" w:ascii="Arial Unicode MS" w:hAnsi="Arial Unicode MS"/>
          <w:color w:val="auto"/>
          <w:szCs w:val="21"/>
        </w:rPr>
        <w:t>各类外资按报告期的外汇牌价（中间价）折成人民币计算。</w:t>
      </w:r>
    </w:p>
    <w:p>
      <w:pPr>
        <w:adjustRightInd w:val="0"/>
        <w:spacing w:line="360" w:lineRule="atLeast"/>
        <w:ind w:firstLine="420" w:firstLineChars="200"/>
        <w:rPr>
          <w:rFonts w:ascii="宋体" w:hAnsi="宋体"/>
          <w:color w:val="auto"/>
          <w:szCs w:val="21"/>
        </w:rPr>
      </w:pPr>
      <w:r>
        <w:rPr>
          <w:rFonts w:hint="eastAsia" w:ascii="黑体" w:eastAsia="黑体"/>
          <w:color w:val="auto"/>
        </w:rPr>
        <w:t xml:space="preserve">自筹资金  </w:t>
      </w:r>
      <w:r>
        <w:rPr>
          <w:rFonts w:hint="eastAsia" w:ascii="宋体" w:hAnsi="宋体"/>
          <w:color w:val="auto"/>
          <w:szCs w:val="21"/>
        </w:rPr>
        <w:t>指在报告期内筹集的用于在建项目投资的资金。包括自有资金、股东投入资金和借入资金，但不包括各类财政性资金、从各类金融机构借入资金和国外资金。</w:t>
      </w:r>
    </w:p>
    <w:p>
      <w:pPr>
        <w:adjustRightInd w:val="0"/>
        <w:spacing w:line="360" w:lineRule="atLeast"/>
        <w:ind w:firstLine="420" w:firstLineChars="200"/>
        <w:rPr>
          <w:rFonts w:ascii="宋体"/>
          <w:color w:val="auto"/>
        </w:rPr>
      </w:pPr>
      <w:r>
        <w:rPr>
          <w:rFonts w:hint="eastAsia" w:ascii="黑体" w:eastAsia="黑体"/>
          <w:color w:val="auto"/>
        </w:rPr>
        <w:t xml:space="preserve">其他资金来源  </w:t>
      </w:r>
      <w:r>
        <w:rPr>
          <w:rFonts w:hint="eastAsia" w:ascii="宋体" w:hAnsi="宋体"/>
          <w:color w:val="auto"/>
          <w:szCs w:val="21"/>
        </w:rPr>
        <w:t>指在报告期收到的除以上各种资金之外的用于固定资产投资的资金。包括债券（不含对外发行债券）</w:t>
      </w:r>
      <w:r>
        <w:rPr>
          <w:rFonts w:ascii="宋体" w:hAnsi="宋体"/>
          <w:color w:val="auto"/>
          <w:szCs w:val="21"/>
        </w:rPr>
        <w:t>、</w:t>
      </w:r>
      <w:r>
        <w:rPr>
          <w:rFonts w:hint="eastAsia" w:ascii="宋体" w:hAnsi="宋体"/>
          <w:color w:val="auto"/>
          <w:szCs w:val="21"/>
        </w:rPr>
        <w:t>社会集资、个人资金、无偿捐赠的资金及其他单位拨入的资金等。</w:t>
      </w:r>
    </w:p>
    <w:p>
      <w:pPr>
        <w:adjustRightInd w:val="0"/>
        <w:spacing w:line="360" w:lineRule="atLeast"/>
        <w:ind w:firstLine="420" w:firstLineChars="200"/>
        <w:rPr>
          <w:rFonts w:ascii="宋体" w:hAnsi="宋体"/>
          <w:color w:val="auto"/>
        </w:rPr>
      </w:pPr>
      <w:r>
        <w:rPr>
          <w:rFonts w:hint="eastAsia" w:ascii="黑体" w:eastAsia="黑体"/>
          <w:color w:val="auto"/>
        </w:rPr>
        <w:t xml:space="preserve">债券  </w:t>
      </w:r>
      <w:r>
        <w:rPr>
          <w:rFonts w:hint="eastAsia" w:ascii="宋体" w:hAnsi="宋体"/>
          <w:color w:val="auto"/>
        </w:rPr>
        <w:t>指企业或金融机构为筹集用于固定资产投资的资金向投资者出具的承诺按一定发行条件还本付息的债务凭证，包括金融债券和企业债券。金融债券是由银行和非银行金融机构发行的债券。在我国目前金融债券主要分两类，一是由国家开发银行、进出口银行等政策性银行发行的政策性金融债券，二是由商业银行、证券公司、财务公司等商业性金融机构发行的商业金融债券。企业债券是工商企业依照法定程序发行的债券。公司债券的发行主体可以是股份公司也可以是非股份公司，可以是上市公司也可以是非上市公司，包括依据《企业债券管理条例》发行的企业债券、依据《公司法》发行的上市公司债券、依据中国人民银行规章发行的中期票据等。</w:t>
      </w:r>
    </w:p>
    <w:p>
      <w:pPr>
        <w:adjustRightInd w:val="0"/>
        <w:spacing w:line="360" w:lineRule="atLeast"/>
        <w:ind w:firstLine="420" w:firstLineChars="200"/>
        <w:rPr>
          <w:rFonts w:ascii="宋体" w:hAnsi="宋体"/>
          <w:color w:val="auto"/>
          <w:szCs w:val="21"/>
        </w:rPr>
      </w:pPr>
      <w:r>
        <w:rPr>
          <w:rFonts w:hint="eastAsia" w:ascii="黑体" w:eastAsia="黑体"/>
          <w:color w:val="auto"/>
        </w:rPr>
        <w:t xml:space="preserve">各项应付款合计  </w:t>
      </w:r>
      <w:r>
        <w:rPr>
          <w:rFonts w:hint="eastAsia" w:ascii="宋体" w:hAnsi="宋体"/>
          <w:color w:val="auto"/>
          <w:szCs w:val="21"/>
        </w:rPr>
        <w:t>指本年项目建设过程中应付未付的投资款。包括应付工程款、应付器材款、应付工资、应付有偿调入器材及工程款、其他应付款、应交税金、应交基建收入、应交投资包干结余、应交能源交通建设基金、应交预算调节基金及其他应交款。各项应付款填报本报告期实际增加数（或发生数），不是填报开始建设以来的累计数。</w:t>
      </w:r>
    </w:p>
    <w:p>
      <w:pPr>
        <w:adjustRightInd w:val="0"/>
        <w:spacing w:line="360" w:lineRule="atLeast"/>
        <w:ind w:firstLine="420" w:firstLineChars="200"/>
        <w:rPr>
          <w:rFonts w:hint="eastAsia" w:ascii="宋体"/>
          <w:color w:val="auto"/>
        </w:rPr>
      </w:pPr>
      <w:r>
        <w:rPr>
          <w:rFonts w:hint="eastAsia" w:ascii="黑体" w:eastAsia="黑体"/>
          <w:color w:val="auto"/>
        </w:rPr>
        <w:t xml:space="preserve">工程款 </w:t>
      </w:r>
      <w:r>
        <w:rPr>
          <w:rFonts w:hint="eastAsia" w:ascii="宋体" w:hAnsi="宋体"/>
          <w:color w:val="auto"/>
          <w:szCs w:val="21"/>
        </w:rPr>
        <w:t xml:space="preserve"> 指应付未付给施工单位（乙方）的工程投资款。</w:t>
      </w:r>
    </w:p>
    <w:p>
      <w:pPr>
        <w:adjustRightInd w:val="0"/>
        <w:snapToGrid w:val="0"/>
        <w:spacing w:before="360" w:beforeLines="150" w:after="120" w:afterLines="50"/>
        <w:ind w:firstLine="420" w:firstLineChars="200"/>
        <w:outlineLvl w:val="2"/>
        <w:rPr>
          <w:rFonts w:ascii="黑体" w:eastAsia="黑体"/>
          <w:color w:val="auto"/>
          <w:szCs w:val="21"/>
        </w:rPr>
      </w:pPr>
      <w:r>
        <w:rPr>
          <w:rFonts w:ascii="黑体" w:eastAsia="黑体"/>
          <w:color w:val="auto"/>
          <w:szCs w:val="21"/>
        </w:rPr>
        <w:t>5</w:t>
      </w:r>
      <w:r>
        <w:rPr>
          <w:rFonts w:hint="eastAsia" w:ascii="黑体" w:eastAsia="黑体"/>
          <w:color w:val="auto"/>
          <w:szCs w:val="21"/>
        </w:rPr>
        <w:t>.建设规模及新增生产能力(或工程效益)</w:t>
      </w:r>
    </w:p>
    <w:p>
      <w:pPr>
        <w:adjustRightInd w:val="0"/>
        <w:spacing w:line="360" w:lineRule="atLeast"/>
        <w:ind w:firstLine="420" w:firstLineChars="200"/>
        <w:rPr>
          <w:rFonts w:ascii="宋体" w:hAnsi="宋体"/>
          <w:color w:val="auto"/>
          <w:szCs w:val="21"/>
        </w:rPr>
      </w:pPr>
      <w:r>
        <w:rPr>
          <w:rFonts w:hint="eastAsia" w:ascii="黑体" w:eastAsia="黑体"/>
          <w:color w:val="auto"/>
        </w:rPr>
        <w:t xml:space="preserve">新增生产能力(或工程效益)名称  </w:t>
      </w:r>
      <w:r>
        <w:rPr>
          <w:rFonts w:hint="eastAsia" w:ascii="宋体" w:hAnsi="宋体"/>
          <w:color w:val="auto"/>
          <w:szCs w:val="21"/>
        </w:rPr>
        <w:t>指建成投产项目或工程新增生产能力(或工程效益)的名称。基层单位要将建成投产项目或工程的全部生产能力（或工程效益），按《新增生产能力(或工程效益)目录及代码》规定的名称及代码填写。</w:t>
      </w:r>
    </w:p>
    <w:p>
      <w:pPr>
        <w:adjustRightInd w:val="0"/>
        <w:spacing w:line="360" w:lineRule="atLeast"/>
        <w:ind w:firstLine="420"/>
        <w:rPr>
          <w:rFonts w:hint="eastAsia" w:ascii="宋体"/>
          <w:color w:val="auto"/>
        </w:rPr>
      </w:pPr>
      <w:r>
        <w:rPr>
          <w:rFonts w:hint="eastAsia" w:ascii="黑体" w:eastAsia="黑体"/>
          <w:color w:val="auto"/>
        </w:rPr>
        <w:t xml:space="preserve">计量单位  </w:t>
      </w:r>
      <w:r>
        <w:rPr>
          <w:rFonts w:hint="eastAsia" w:ascii="宋体"/>
          <w:color w:val="auto"/>
        </w:rPr>
        <w:t>按照《新增生产能力(或工程效益)目录及代码》规定的计量单位填报。</w:t>
      </w:r>
    </w:p>
    <w:p>
      <w:pPr>
        <w:adjustRightInd w:val="0"/>
        <w:spacing w:line="360" w:lineRule="atLeast"/>
        <w:ind w:firstLine="420" w:firstLineChars="200"/>
        <w:rPr>
          <w:rFonts w:ascii="宋体" w:hAnsi="宋体"/>
          <w:color w:val="auto"/>
          <w:szCs w:val="21"/>
        </w:rPr>
      </w:pPr>
      <w:r>
        <w:rPr>
          <w:rFonts w:hint="eastAsia" w:ascii="黑体" w:eastAsia="黑体"/>
          <w:color w:val="auto"/>
        </w:rPr>
        <w:t xml:space="preserve">建设规模  </w:t>
      </w:r>
      <w:r>
        <w:rPr>
          <w:rFonts w:hint="eastAsia" w:ascii="宋体" w:hAnsi="宋体"/>
          <w:color w:val="auto"/>
          <w:szCs w:val="21"/>
        </w:rPr>
        <w:t>指建设项目或工程设计文件中规定的全部设计能力(或工程效益)。包括已经建成投产和尚未建成投产的工程的生产能力(或工程效益)。它是以实物形态表示固定资产投资规模的指标，反映建设项目或工程全部建成投产（或交付使用）后，能够为社会提供多少设计能力（或工程效益）。</w:t>
      </w:r>
    </w:p>
    <w:p>
      <w:pPr>
        <w:adjustRightInd w:val="0"/>
        <w:spacing w:line="360" w:lineRule="atLeast"/>
        <w:ind w:firstLine="420" w:firstLineChars="200"/>
        <w:rPr>
          <w:rFonts w:ascii="宋体"/>
          <w:color w:val="auto"/>
        </w:rPr>
      </w:pPr>
      <w:r>
        <w:rPr>
          <w:rFonts w:hint="eastAsia" w:ascii="宋体" w:hAnsi="宋体"/>
          <w:color w:val="auto"/>
          <w:szCs w:val="21"/>
        </w:rPr>
        <w:t>建设规模应填写设计任务书或计划文件中规定的全部能力（或效益），如工业企业各主要产品的全部生产能力(设计规定有多种产品的，要将主要产品的设计能力逐一填列)等。新建项目按全部设计能力(或工程效益)计算；改、扩建项目或企业、事业单位，按改、扩建设计规定的全部新增加的能力(或工程效益)填写，不包括改、扩建以前原有的生产能力（或工程效益）。没有总体设计的企业填本年施工的全部单项工程的设计能力。</w:t>
      </w:r>
    </w:p>
    <w:p>
      <w:pPr>
        <w:adjustRightInd w:val="0"/>
        <w:spacing w:line="360" w:lineRule="atLeast"/>
        <w:ind w:firstLine="420" w:firstLineChars="200"/>
        <w:rPr>
          <w:rFonts w:hint="eastAsia" w:ascii="宋体" w:hAnsi="宋体"/>
          <w:color w:val="auto"/>
          <w:szCs w:val="21"/>
        </w:rPr>
      </w:pPr>
      <w:r>
        <w:rPr>
          <w:rFonts w:hint="eastAsia" w:ascii="黑体" w:eastAsia="黑体"/>
          <w:color w:val="auto"/>
        </w:rPr>
        <w:t xml:space="preserve">本年施工规模  </w:t>
      </w:r>
      <w:r>
        <w:rPr>
          <w:rFonts w:hint="eastAsia" w:ascii="宋体" w:hAnsi="宋体"/>
          <w:color w:val="auto"/>
          <w:szCs w:val="21"/>
        </w:rPr>
        <w:t>指报告期内施工的单项工程（或更新改造项目）的设计能力(或工程效益)，包括报告期以前已开工跨入本年继续施工的工程的设计能力和报告期新开工工程的设计能力。也包括报告期内建成投产或报告期施工后又停缓建的单项工程设计能力。不包括在报告期以前建成投产或已经停、缓建的工程，以及报告期内尚未正式开工的工程的设计能力。</w:t>
      </w:r>
    </w:p>
    <w:p>
      <w:pPr>
        <w:pStyle w:val="2"/>
        <w:spacing w:after="0"/>
        <w:ind w:left="0" w:leftChars="0" w:firstLine="0" w:firstLineChars="0"/>
        <w:rPr>
          <w:rFonts w:hint="eastAsia"/>
          <w:color w:val="auto"/>
          <w:spacing w:val="-4"/>
        </w:rPr>
      </w:pPr>
      <w:r>
        <w:rPr>
          <w:rFonts w:hint="eastAsia" w:ascii="宋体" w:hAnsi="宋体"/>
          <w:color w:val="auto"/>
          <w:szCs w:val="21"/>
        </w:rPr>
        <w:t xml:space="preserve">    </w:t>
      </w:r>
      <w:r>
        <w:rPr>
          <w:rFonts w:hint="eastAsia" w:ascii="宋体" w:hAnsi="宋体"/>
          <w:color w:val="auto"/>
          <w:spacing w:val="-4"/>
          <w:szCs w:val="21"/>
        </w:rPr>
        <w:t>本年施工规模是全部建设规模中在本年正式施工的部分，即本年施工的工程或项目的全部设计能力。</w:t>
      </w:r>
    </w:p>
    <w:p>
      <w:pPr>
        <w:adjustRightInd w:val="0"/>
        <w:spacing w:line="360" w:lineRule="atLeast"/>
        <w:ind w:firstLine="420" w:firstLineChars="200"/>
        <w:rPr>
          <w:rFonts w:ascii="宋体" w:hAnsi="宋体"/>
          <w:color w:val="auto"/>
          <w:szCs w:val="21"/>
        </w:rPr>
      </w:pPr>
      <w:r>
        <w:rPr>
          <w:rFonts w:hint="eastAsia" w:ascii="黑体" w:eastAsia="黑体"/>
          <w:color w:val="auto"/>
        </w:rPr>
        <w:t xml:space="preserve">累计新增生产能力(或工程效益)  </w:t>
      </w:r>
      <w:r>
        <w:rPr>
          <w:rFonts w:hint="eastAsia" w:ascii="宋体" w:hAnsi="宋体"/>
          <w:color w:val="auto"/>
          <w:szCs w:val="21"/>
        </w:rPr>
        <w:t>指自开始建设至本年底止建成投产的全部单项工程累计新增生产能力(或工程效益)。包括报告期以前已经建成投产和报告期内建成投产的单项工程的生产能力(或工程效益)。没有总体设计的企业只填本年施工的全部工程自开始建设至本年底止的累计新增生产能力(或工程效益)。</w:t>
      </w:r>
    </w:p>
    <w:p>
      <w:pPr>
        <w:adjustRightInd w:val="0"/>
        <w:spacing w:line="360" w:lineRule="atLeast"/>
        <w:ind w:firstLine="420" w:firstLineChars="200"/>
        <w:rPr>
          <w:rFonts w:ascii="宋体" w:hAnsi="宋体"/>
          <w:color w:val="auto"/>
          <w:szCs w:val="21"/>
        </w:rPr>
      </w:pPr>
      <w:r>
        <w:rPr>
          <w:rFonts w:hint="eastAsia" w:ascii="黑体" w:eastAsia="黑体"/>
          <w:color w:val="auto"/>
        </w:rPr>
        <w:t xml:space="preserve">本年新增生产能力(或工程效益)  </w:t>
      </w:r>
      <w:r>
        <w:rPr>
          <w:rFonts w:hint="eastAsia" w:ascii="宋体" w:hAnsi="宋体"/>
          <w:color w:val="auto"/>
          <w:szCs w:val="21"/>
        </w:rPr>
        <w:t>指在本年度内按照新增生产能力(或工程效益)的计算条件和标准，实际建成投入生产或交付使用的生产能力(或工程效益)。</w:t>
      </w:r>
    </w:p>
    <w:p>
      <w:pPr>
        <w:adjustRightInd w:val="0"/>
        <w:spacing w:line="360" w:lineRule="atLeast"/>
        <w:ind w:firstLine="420" w:firstLineChars="200"/>
        <w:rPr>
          <w:rFonts w:ascii="宋体" w:hAnsi="宋体"/>
          <w:color w:val="auto"/>
          <w:szCs w:val="21"/>
        </w:rPr>
      </w:pPr>
      <w:r>
        <w:rPr>
          <w:rFonts w:hint="eastAsia" w:ascii="宋体" w:hAnsi="宋体"/>
          <w:color w:val="auto"/>
          <w:szCs w:val="21"/>
        </w:rPr>
        <w:t>计算新增生产能力，原则上应按工程的设计（计划）能力计算。设计能力是指设计中规定的主体工程（或主体设备）及相应配套的辅助工程（或配套设备）在正常情况下能够达到的生产能力。在建设过程中需要调整设计能力时，必须经原批准设计的管理机关批准后，才能按批准修改后的能力计算。如尚未批准，仍按原设计能力计算，并加以说明。无设计（或计划）能力的，可根据验收时的鉴定能力计算。</w:t>
      </w:r>
    </w:p>
    <w:p>
      <w:pPr>
        <w:adjustRightInd w:val="0"/>
        <w:spacing w:line="360" w:lineRule="atLeast"/>
        <w:ind w:firstLine="420" w:firstLineChars="200"/>
        <w:rPr>
          <w:rFonts w:hint="eastAsia" w:ascii="宋体" w:hAnsi="宋体"/>
          <w:color w:val="auto"/>
          <w:szCs w:val="21"/>
        </w:rPr>
      </w:pPr>
      <w:r>
        <w:rPr>
          <w:rFonts w:hint="eastAsia" w:ascii="宋体" w:hAnsi="宋体"/>
          <w:color w:val="auto"/>
          <w:szCs w:val="21"/>
        </w:rPr>
        <w:t>建成投产的工程，各生产环节的设备已经配齐，符合计算新增生产能力条件的，应按该工程的全部设计能力计算；各生产环节的设备虽未按设计全部配套建成，但保证生产所需的主体设备、配套设备、主体工程、辅助工程都已部分完成，形成生产作业线，经负荷试运转正式投入生产的，只计算设备配齐部分的能力。</w:t>
      </w:r>
    </w:p>
    <w:p>
      <w:pPr>
        <w:adjustRightInd w:val="0"/>
        <w:spacing w:line="360" w:lineRule="atLeast"/>
        <w:ind w:firstLine="420" w:firstLineChars="200"/>
        <w:rPr>
          <w:rFonts w:hint="eastAsia" w:ascii="宋体" w:hAnsi="宋体"/>
          <w:color w:val="auto"/>
          <w:szCs w:val="21"/>
        </w:rPr>
      </w:pPr>
      <w:r>
        <w:rPr>
          <w:rFonts w:hint="eastAsia" w:ascii="宋体" w:hAnsi="宋体"/>
          <w:color w:val="auto"/>
          <w:szCs w:val="21"/>
        </w:rPr>
        <w:t>计算新增生产能力（或工程效益）的几项具体规定：</w:t>
      </w:r>
    </w:p>
    <w:p>
      <w:pPr>
        <w:adjustRightInd w:val="0"/>
        <w:spacing w:line="360" w:lineRule="atLeast"/>
        <w:ind w:firstLine="420" w:firstLineChars="200"/>
        <w:rPr>
          <w:rFonts w:ascii="宋体" w:hAnsi="宋体"/>
          <w:color w:val="auto"/>
          <w:szCs w:val="21"/>
        </w:rPr>
      </w:pPr>
      <w:r>
        <w:rPr>
          <w:rFonts w:hint="eastAsia" w:ascii="宋体" w:hAnsi="宋体"/>
          <w:color w:val="auto"/>
          <w:szCs w:val="21"/>
        </w:rPr>
        <w:t>（1）不论工程在年内何时建成投入生产，都应按设计文件规定的全年的生产能力计算，既不能从建成投入生产的日期起计算，也不能按投产后实际达到的产量或效益计算。</w:t>
      </w:r>
    </w:p>
    <w:p>
      <w:pPr>
        <w:adjustRightInd w:val="0"/>
        <w:spacing w:line="360" w:lineRule="atLeast"/>
        <w:ind w:firstLine="420" w:firstLineChars="200"/>
        <w:rPr>
          <w:rFonts w:ascii="宋体" w:hAnsi="宋体"/>
          <w:color w:val="auto"/>
          <w:szCs w:val="21"/>
        </w:rPr>
      </w:pPr>
      <w:r>
        <w:rPr>
          <w:rFonts w:hint="eastAsia" w:ascii="宋体" w:hAnsi="宋体"/>
          <w:color w:val="auto"/>
          <w:szCs w:val="21"/>
        </w:rPr>
        <w:t>（2）以建筑物容积、面积及长度表示的新增生产能力或效益，如民航</w:t>
      </w:r>
      <w:r>
        <w:rPr>
          <w:rFonts w:ascii="宋体" w:hAnsi="宋体"/>
          <w:color w:val="auto"/>
          <w:szCs w:val="21"/>
        </w:rPr>
        <w:t>机场跑道</w:t>
      </w:r>
      <w:r>
        <w:rPr>
          <w:rFonts w:hint="eastAsia" w:ascii="宋体" w:hAnsi="宋体"/>
          <w:color w:val="auto"/>
          <w:szCs w:val="21"/>
        </w:rPr>
        <w:t>等，一律按实际建成的数量计算，不按设计规定的容积、面积、长度的数量计算。</w:t>
      </w:r>
    </w:p>
    <w:p>
      <w:pPr>
        <w:adjustRightInd w:val="0"/>
        <w:spacing w:line="360" w:lineRule="atLeast"/>
        <w:ind w:firstLine="420" w:firstLineChars="200"/>
        <w:rPr>
          <w:rFonts w:ascii="宋体" w:hAnsi="宋体"/>
          <w:color w:val="auto"/>
          <w:szCs w:val="21"/>
        </w:rPr>
      </w:pPr>
      <w:r>
        <w:rPr>
          <w:rFonts w:hint="eastAsia" w:ascii="宋体" w:hAnsi="宋体"/>
          <w:color w:val="auto"/>
          <w:szCs w:val="21"/>
        </w:rPr>
        <w:t>（3）只要建成投产的工程具备《新增生产能力（或工程效益）目录及代码》上的某种生产能力（或工程效益），不论其是否属于主体工程，均应按规定的名称和计量单位计算该工程的新增生产能力（或工程效益）。</w:t>
      </w:r>
    </w:p>
    <w:p>
      <w:pPr>
        <w:adjustRightInd w:val="0"/>
        <w:spacing w:line="360" w:lineRule="atLeast"/>
        <w:ind w:firstLine="420" w:firstLineChars="200"/>
        <w:rPr>
          <w:rFonts w:ascii="宋体" w:hAnsi="宋体"/>
          <w:color w:val="auto"/>
          <w:szCs w:val="21"/>
        </w:rPr>
      </w:pPr>
      <w:r>
        <w:rPr>
          <w:rFonts w:hint="eastAsia" w:ascii="宋体" w:hAnsi="宋体"/>
          <w:color w:val="auto"/>
          <w:szCs w:val="21"/>
        </w:rPr>
        <w:t>（4）改建、扩建的项目或工程，如无设计能力资料，可根据验收时鉴定的净增能力计算，即改、扩建后全部生产能力（或可能达到的年产量）减去改、扩建前原有的实际生产能力（或年产量）后即为改建、扩建新增生产能力。</w:t>
      </w:r>
    </w:p>
    <w:p>
      <w:pPr>
        <w:adjustRightInd w:val="0"/>
        <w:spacing w:line="360" w:lineRule="atLeast"/>
        <w:ind w:firstLine="420" w:firstLineChars="200"/>
        <w:rPr>
          <w:rFonts w:ascii="宋体" w:hAnsi="宋体"/>
          <w:color w:val="auto"/>
          <w:szCs w:val="21"/>
        </w:rPr>
      </w:pPr>
      <w:r>
        <w:rPr>
          <w:rFonts w:hint="eastAsia" w:ascii="宋体" w:hAnsi="宋体"/>
          <w:color w:val="auto"/>
          <w:szCs w:val="21"/>
        </w:rPr>
        <w:t>（5）迁建项目一般不计算新增生产能力，在迁建的同时扩大建设规模的，只计算增加的生产能力（或工程效益）。</w:t>
      </w:r>
    </w:p>
    <w:p>
      <w:pPr>
        <w:adjustRightInd w:val="0"/>
        <w:spacing w:line="360" w:lineRule="atLeast"/>
        <w:ind w:firstLine="420" w:firstLineChars="200"/>
        <w:rPr>
          <w:rFonts w:ascii="宋体" w:hAnsi="宋体"/>
          <w:color w:val="auto"/>
          <w:szCs w:val="21"/>
        </w:rPr>
      </w:pPr>
      <w:r>
        <w:rPr>
          <w:rFonts w:hint="eastAsia" w:ascii="宋体" w:hAnsi="宋体"/>
          <w:color w:val="auto"/>
          <w:szCs w:val="21"/>
        </w:rPr>
        <w:t>（6）恢复项目应按恢复重建的全部能力计算新增生产能力（或工程效益）。</w:t>
      </w:r>
    </w:p>
    <w:p>
      <w:pPr>
        <w:adjustRightInd w:val="0"/>
        <w:spacing w:line="360" w:lineRule="atLeast"/>
        <w:ind w:firstLine="420" w:firstLineChars="200"/>
        <w:rPr>
          <w:rFonts w:ascii="宋体" w:hAnsi="宋体"/>
          <w:color w:val="auto"/>
          <w:szCs w:val="21"/>
        </w:rPr>
      </w:pPr>
      <w:r>
        <w:rPr>
          <w:rFonts w:hint="eastAsia" w:ascii="宋体" w:hAnsi="宋体"/>
          <w:color w:val="auto"/>
          <w:szCs w:val="21"/>
        </w:rPr>
        <w:t>（7）引进项目或工程应按合同规定，在试生产期内经过考核达到验收标准，并经双方签字确认后才可计算新增生产能力。</w:t>
      </w:r>
    </w:p>
    <w:p>
      <w:pPr>
        <w:adjustRightInd w:val="0"/>
        <w:spacing w:line="360" w:lineRule="atLeast"/>
        <w:ind w:firstLine="420" w:firstLineChars="200"/>
        <w:rPr>
          <w:rFonts w:ascii="宋体" w:hAnsi="宋体"/>
          <w:color w:val="auto"/>
          <w:szCs w:val="21"/>
        </w:rPr>
      </w:pPr>
      <w:r>
        <w:rPr>
          <w:rFonts w:hint="eastAsia" w:ascii="宋体" w:hAnsi="宋体"/>
          <w:color w:val="auto"/>
          <w:szCs w:val="21"/>
        </w:rPr>
        <w:t>（8）多种生产能力要将设计文件规定的各种生产能力（或工程效益）填全。</w:t>
      </w:r>
    </w:p>
    <w:p>
      <w:pPr>
        <w:adjustRightInd w:val="0"/>
        <w:spacing w:line="360" w:lineRule="atLeast"/>
        <w:ind w:firstLine="420" w:firstLineChars="200"/>
        <w:rPr>
          <w:rFonts w:hint="eastAsia" w:ascii="宋体" w:hAnsi="宋体"/>
          <w:color w:val="auto"/>
          <w:szCs w:val="21"/>
        </w:rPr>
      </w:pPr>
      <w:r>
        <w:rPr>
          <w:rFonts w:hint="eastAsia" w:ascii="宋体" w:hAnsi="宋体"/>
          <w:color w:val="auto"/>
          <w:szCs w:val="21"/>
        </w:rPr>
        <w:t>（9）完全靠手工生产的工厂和矿山不计算新增生产能力。</w:t>
      </w:r>
    </w:p>
    <w:p>
      <w:pPr>
        <w:adjustRightInd w:val="0"/>
        <w:spacing w:line="360" w:lineRule="atLeast"/>
        <w:ind w:firstLine="420" w:firstLineChars="200"/>
        <w:rPr>
          <w:rFonts w:ascii="宋体" w:hAnsi="宋体"/>
          <w:color w:val="auto"/>
          <w:szCs w:val="21"/>
        </w:rPr>
      </w:pPr>
      <w:r>
        <w:rPr>
          <w:rFonts w:hint="eastAsia" w:ascii="宋体" w:hAnsi="宋体"/>
          <w:color w:val="auto"/>
          <w:szCs w:val="21"/>
        </w:rPr>
        <w:t>下列情况不能计算新增生产能力：</w:t>
      </w:r>
    </w:p>
    <w:p>
      <w:pPr>
        <w:adjustRightInd w:val="0"/>
        <w:spacing w:line="360" w:lineRule="atLeast"/>
        <w:ind w:firstLine="394" w:firstLineChars="188"/>
        <w:rPr>
          <w:rFonts w:ascii="宋体" w:hAnsi="宋体"/>
          <w:color w:val="auto"/>
          <w:szCs w:val="21"/>
        </w:rPr>
      </w:pPr>
      <w:r>
        <w:rPr>
          <w:rFonts w:hint="eastAsia" w:ascii="宋体" w:hAnsi="宋体"/>
          <w:color w:val="auto"/>
          <w:szCs w:val="21"/>
        </w:rPr>
        <w:t>（1）主体工程虽已建成，但设备尚不配套或缺乏正常生产所必需的附属辅助工程，因而不具备正常生产条件的工程；</w:t>
      </w:r>
    </w:p>
    <w:p>
      <w:pPr>
        <w:adjustRightInd w:val="0"/>
        <w:spacing w:line="360" w:lineRule="atLeast"/>
        <w:ind w:firstLine="394" w:firstLineChars="188"/>
        <w:rPr>
          <w:rFonts w:hint="eastAsia" w:ascii="宋体" w:hAnsi="宋体"/>
          <w:color w:val="auto"/>
          <w:szCs w:val="21"/>
        </w:rPr>
      </w:pPr>
      <w:r>
        <w:rPr>
          <w:rFonts w:hint="eastAsia" w:ascii="宋体" w:hAnsi="宋体"/>
          <w:color w:val="auto"/>
          <w:szCs w:val="21"/>
        </w:rPr>
        <w:t>（2）生产作业线尚未建成，采取临时措施（如厂房尚未建成，临时安装部分设备；或缺乏主体配套设备，临时利用代用设备等）进行生产，虽能生产设计规定的产品，但不能保持正常生产的工程。</w:t>
      </w:r>
    </w:p>
    <w:p>
      <w:pPr>
        <w:adjustRightInd w:val="0"/>
        <w:snapToGrid w:val="0"/>
        <w:spacing w:before="360" w:beforeLines="150" w:after="120" w:afterLines="50"/>
        <w:ind w:firstLine="420" w:firstLineChars="200"/>
        <w:outlineLvl w:val="2"/>
        <w:rPr>
          <w:rFonts w:hint="eastAsia" w:ascii="黑体" w:eastAsia="黑体"/>
          <w:color w:val="auto"/>
          <w:szCs w:val="21"/>
        </w:rPr>
      </w:pPr>
      <w:r>
        <w:rPr>
          <w:rFonts w:hint="eastAsia" w:ascii="黑体" w:eastAsia="黑体"/>
          <w:color w:val="auto"/>
          <w:szCs w:val="21"/>
        </w:rPr>
        <w:t>6.保障性住房开发及经营情况</w:t>
      </w:r>
    </w:p>
    <w:p>
      <w:pPr>
        <w:spacing w:line="360" w:lineRule="exact"/>
        <w:ind w:firstLine="420" w:firstLineChars="200"/>
        <w:rPr>
          <w:rFonts w:hint="eastAsia" w:ascii="宋体" w:hAnsi="宋体" w:cs="宋体"/>
          <w:color w:val="auto"/>
          <w:szCs w:val="21"/>
        </w:rPr>
      </w:pPr>
      <w:r>
        <w:rPr>
          <w:rFonts w:hint="eastAsia" w:ascii="黑体" w:hAnsi="宋体" w:eastAsia="黑体" w:cs="宋体"/>
          <w:color w:val="auto"/>
          <w:szCs w:val="21"/>
        </w:rPr>
        <w:t xml:space="preserve">保障性住房  </w:t>
      </w:r>
      <w:r>
        <w:rPr>
          <w:rFonts w:hint="eastAsia" w:ascii="宋体" w:hAnsi="宋体" w:cs="宋体"/>
          <w:color w:val="auto"/>
          <w:szCs w:val="21"/>
        </w:rPr>
        <w:t>指政府主导，为特定对象提供的限定标准、限定价格或租金的住房。包括保障性租赁住房、公租房、共有产权房、配售型保障房、回迁安置房等政策保障性住房。</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1.保障性租赁住房  指政府主导，为符合条件的新市民、青年人等住房困难问题群体建设的，以建筑面积不超过70平方米的小户型为主，租金低于同地段同品质市场租赁住房租金的租赁性住房。准入和退出的具体条件、小户型的具体面积由城市人民政府按照保基本的原则合理确定。</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2.公租房  指政府主导，为城市中等偏下收入住房困难家庭建设的租赁性住房。公共租赁住房的供应范围和供应对象的收入线标准、住房困难条件，由城市人民政府确定。</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3.共有产权房  指由政府提供政策，房地产开发企业负责开发建设，销售价格低于同地段、同品质商品住房价格水平，并限定使用和处分权利，实行政府与购房人按份共有产权的政策性商品住房。</w:t>
      </w:r>
    </w:p>
    <w:p>
      <w:pPr>
        <w:widowControl/>
        <w:spacing w:line="360" w:lineRule="exact"/>
        <w:ind w:firstLine="420" w:firstLineChars="200"/>
        <w:rPr>
          <w:rFonts w:hint="eastAsia" w:ascii="宋体" w:hAnsi="宋体" w:cs="宋体"/>
          <w:color w:val="auto"/>
          <w:szCs w:val="21"/>
        </w:rPr>
      </w:pPr>
      <w:r>
        <w:rPr>
          <w:rFonts w:hint="eastAsia" w:ascii="宋体" w:hAnsi="宋体" w:cs="宋体"/>
          <w:color w:val="auto"/>
          <w:szCs w:val="21"/>
        </w:rPr>
        <w:t>4.配售型保障房 按照《国务院关于规划建设保障性住房指导意见》要求建设的用于配售的保障性住房。</w:t>
      </w:r>
    </w:p>
    <w:p>
      <w:pPr>
        <w:spacing w:line="360" w:lineRule="exact"/>
        <w:ind w:firstLine="420"/>
        <w:rPr>
          <w:rFonts w:hint="eastAsia" w:ascii="宋体" w:hAnsi="宋体" w:cs="宋体"/>
          <w:color w:val="auto"/>
          <w:szCs w:val="21"/>
        </w:rPr>
      </w:pPr>
      <w:r>
        <w:rPr>
          <w:rFonts w:ascii="宋体" w:hAnsi="宋体" w:cs="宋体"/>
          <w:color w:val="auto"/>
          <w:szCs w:val="21"/>
        </w:rPr>
        <w:t>9</w:t>
      </w:r>
      <w:r>
        <w:rPr>
          <w:rFonts w:hint="eastAsia" w:ascii="宋体" w:hAnsi="宋体" w:cs="宋体"/>
          <w:color w:val="auto"/>
          <w:szCs w:val="21"/>
        </w:rPr>
        <w:t>.其他  除保障性租赁住房、公租房、共有产权房、配售型保障房以外的保障性住房，例如回迁安置房、经济适用房、两限房等。</w:t>
      </w:r>
    </w:p>
    <w:p>
      <w:pPr>
        <w:snapToGrid w:val="0"/>
        <w:spacing w:line="360" w:lineRule="exact"/>
        <w:ind w:firstLine="420" w:firstLineChars="200"/>
        <w:rPr>
          <w:rFonts w:hint="eastAsia" w:ascii="Arial Unicode MS" w:hAnsi="Arial Unicode MS"/>
          <w:color w:val="auto"/>
          <w:szCs w:val="21"/>
        </w:rPr>
      </w:pPr>
      <w:r>
        <w:rPr>
          <w:rFonts w:hint="eastAsia" w:ascii="黑体" w:hAnsi="Arial Unicode MS" w:eastAsia="黑体"/>
          <w:color w:val="auto"/>
          <w:szCs w:val="21"/>
        </w:rPr>
        <w:t>保障性住房规划建筑面积</w:t>
      </w:r>
      <w:r>
        <w:rPr>
          <w:rFonts w:hint="eastAsia"/>
          <w:color w:val="auto"/>
        </w:rPr>
        <w:t xml:space="preserve">  </w:t>
      </w:r>
      <w:r>
        <w:rPr>
          <w:rFonts w:hint="eastAsia" w:ascii="Arial Unicode MS" w:hAnsi="Arial Unicode MS"/>
          <w:color w:val="auto"/>
          <w:szCs w:val="21"/>
        </w:rPr>
        <w:t>指项目中保障性住房总的建筑面积。项目尚未开工或正在建设时，以规划建筑面积为准。</w:t>
      </w:r>
    </w:p>
    <w:p>
      <w:pPr>
        <w:snapToGrid w:val="0"/>
        <w:spacing w:line="360" w:lineRule="exact"/>
        <w:ind w:firstLine="420"/>
        <w:rPr>
          <w:rFonts w:hint="eastAsia" w:ascii="Arial Unicode MS" w:hAnsi="Arial Unicode MS"/>
          <w:color w:val="auto"/>
          <w:szCs w:val="21"/>
        </w:rPr>
      </w:pPr>
      <w:r>
        <w:rPr>
          <w:rFonts w:hint="eastAsia" w:ascii="黑体" w:hAnsi="Arial Unicode MS" w:eastAsia="黑体"/>
          <w:color w:val="auto"/>
          <w:szCs w:val="21"/>
        </w:rPr>
        <w:t>保障性住房规划住宅套数</w:t>
      </w:r>
      <w:r>
        <w:rPr>
          <w:rFonts w:hint="eastAsia" w:ascii="Arial Unicode MS" w:hAnsi="Arial Unicode MS"/>
          <w:color w:val="auto"/>
          <w:szCs w:val="21"/>
        </w:rPr>
        <w:t xml:space="preserve">  指项目中保障性住房规划建设住宅的套数。</w:t>
      </w:r>
    </w:p>
    <w:p>
      <w:pPr>
        <w:snapToGrid w:val="0"/>
        <w:spacing w:line="360" w:lineRule="exact"/>
        <w:ind w:firstLine="420"/>
        <w:rPr>
          <w:rFonts w:hint="eastAsia" w:ascii="Arial Unicode MS" w:hAnsi="Arial Unicode MS"/>
          <w:color w:val="auto"/>
          <w:szCs w:val="21"/>
        </w:rPr>
      </w:pPr>
      <w:r>
        <w:rPr>
          <w:rFonts w:hint="eastAsia" w:ascii="黑体" w:hAnsi="Arial Unicode MS" w:eastAsia="黑体"/>
          <w:color w:val="auto"/>
          <w:szCs w:val="21"/>
        </w:rPr>
        <w:t>保障性住房完成投资</w:t>
      </w:r>
      <w:r>
        <w:rPr>
          <w:rFonts w:hint="eastAsia" w:ascii="Arial Unicode MS" w:hAnsi="Arial Unicode MS"/>
          <w:color w:val="auto"/>
          <w:szCs w:val="21"/>
        </w:rPr>
        <w:t xml:space="preserve">  指报告期内保障性住房完成的全部投资额。</w:t>
      </w:r>
    </w:p>
    <w:p>
      <w:pPr>
        <w:snapToGrid w:val="0"/>
        <w:spacing w:line="360" w:lineRule="exact"/>
        <w:ind w:firstLine="420"/>
        <w:rPr>
          <w:rFonts w:hint="eastAsia" w:ascii="Arial Unicode MS" w:hAnsi="Arial Unicode MS"/>
          <w:color w:val="auto"/>
          <w:szCs w:val="21"/>
        </w:rPr>
      </w:pPr>
      <w:r>
        <w:rPr>
          <w:rFonts w:hint="eastAsia" w:ascii="黑体" w:hAnsi="Arial Unicode MS" w:eastAsia="黑体"/>
          <w:color w:val="auto"/>
          <w:szCs w:val="21"/>
        </w:rPr>
        <w:t>保障性住房销售面积</w:t>
      </w:r>
      <w:r>
        <w:rPr>
          <w:rFonts w:hint="eastAsia" w:ascii="Arial Unicode MS" w:hAnsi="Arial Unicode MS"/>
          <w:color w:val="auto"/>
          <w:szCs w:val="21"/>
        </w:rPr>
        <w:t xml:space="preserve">  指报告期内出售保障性住房的合同总面积（即双方签署的正式买卖合同中所确定的建筑面积）。</w:t>
      </w:r>
    </w:p>
    <w:p>
      <w:pPr>
        <w:snapToGrid w:val="0"/>
        <w:spacing w:line="360" w:lineRule="exact"/>
        <w:ind w:firstLine="420"/>
        <w:rPr>
          <w:rFonts w:hint="eastAsia" w:ascii="Arial Unicode MS" w:hAnsi="Arial Unicode MS"/>
          <w:color w:val="auto"/>
          <w:szCs w:val="21"/>
        </w:rPr>
      </w:pPr>
      <w:r>
        <w:rPr>
          <w:rFonts w:hint="eastAsia" w:ascii="黑体" w:hAnsi="Arial Unicode MS" w:eastAsia="黑体"/>
          <w:color w:val="auto"/>
          <w:szCs w:val="21"/>
        </w:rPr>
        <w:t>保障性住房销售套数</w:t>
      </w:r>
      <w:r>
        <w:rPr>
          <w:rFonts w:hint="eastAsia" w:ascii="Arial Unicode MS" w:hAnsi="Arial Unicode MS"/>
          <w:color w:val="auto"/>
          <w:szCs w:val="21"/>
        </w:rPr>
        <w:t xml:space="preserve">  指报告期内出售保障性住房合同中总的成套数量（即双方签署的正式买卖合同中所确定的成套数量）。</w:t>
      </w:r>
    </w:p>
    <w:p>
      <w:pPr>
        <w:snapToGrid w:val="0"/>
        <w:spacing w:line="360" w:lineRule="exact"/>
        <w:ind w:firstLine="420"/>
        <w:rPr>
          <w:rFonts w:hint="eastAsia" w:ascii="Arial Unicode MS" w:hAnsi="Arial Unicode MS"/>
          <w:color w:val="auto"/>
          <w:szCs w:val="21"/>
        </w:rPr>
      </w:pPr>
      <w:r>
        <w:rPr>
          <w:rFonts w:hint="eastAsia" w:ascii="黑体" w:hAnsi="Arial Unicode MS" w:eastAsia="黑体"/>
          <w:color w:val="auto"/>
          <w:szCs w:val="21"/>
        </w:rPr>
        <w:t>保障性住房销售额</w:t>
      </w:r>
      <w:r>
        <w:rPr>
          <w:rFonts w:hint="eastAsia" w:ascii="Arial Unicode MS" w:hAnsi="Arial Unicode MS"/>
          <w:color w:val="auto"/>
          <w:szCs w:val="21"/>
        </w:rPr>
        <w:t xml:space="preserve">  指报告期内出售保障性住房的合同总价款（即双方签署的正式买卖合同中所确定的合同总价）。</w:t>
      </w:r>
    </w:p>
    <w:p>
      <w:pPr>
        <w:snapToGrid w:val="0"/>
        <w:spacing w:line="360" w:lineRule="exact"/>
        <w:ind w:firstLine="420"/>
        <w:rPr>
          <w:rFonts w:hint="eastAsia" w:ascii="Arial Unicode MS" w:hAnsi="Arial Unicode MS"/>
          <w:color w:val="auto"/>
          <w:szCs w:val="21"/>
        </w:rPr>
      </w:pPr>
      <w:r>
        <w:rPr>
          <w:rFonts w:hint="eastAsia" w:ascii="黑体" w:hAnsi="Arial Unicode MS" w:eastAsia="黑体"/>
          <w:color w:val="auto"/>
          <w:szCs w:val="21"/>
        </w:rPr>
        <w:t>保障性住房可出租面积</w:t>
      </w:r>
      <w:r>
        <w:rPr>
          <w:rFonts w:hint="eastAsia" w:ascii="Arial Unicode MS" w:hAnsi="Arial Unicode MS"/>
          <w:color w:val="auto"/>
          <w:szCs w:val="21"/>
        </w:rPr>
        <w:t xml:space="preserve">  指在报告期末可供出租的保障性住房的全部建筑面积。</w:t>
      </w:r>
    </w:p>
    <w:p>
      <w:pPr>
        <w:snapToGrid w:val="0"/>
        <w:spacing w:line="360" w:lineRule="exact"/>
        <w:ind w:firstLine="420"/>
        <w:rPr>
          <w:rFonts w:hint="eastAsia" w:ascii="Arial Unicode MS" w:hAnsi="Arial Unicode MS"/>
          <w:color w:val="auto"/>
          <w:szCs w:val="21"/>
        </w:rPr>
      </w:pPr>
      <w:r>
        <w:rPr>
          <w:rFonts w:hint="eastAsia" w:ascii="黑体" w:hAnsi="Arial Unicode MS" w:eastAsia="黑体"/>
          <w:color w:val="auto"/>
          <w:szCs w:val="21"/>
        </w:rPr>
        <w:t>保障性住房出租套数</w:t>
      </w:r>
      <w:r>
        <w:rPr>
          <w:rFonts w:hint="eastAsia" w:ascii="Arial Unicode MS" w:hAnsi="Arial Unicode MS"/>
          <w:color w:val="auto"/>
          <w:szCs w:val="21"/>
        </w:rPr>
        <w:t xml:space="preserve">  指在报告期末可供出租的保障性住房的全部套数。</w:t>
      </w:r>
    </w:p>
    <w:p>
      <w:pPr>
        <w:pStyle w:val="2"/>
        <w:spacing w:after="0" w:line="360" w:lineRule="exact"/>
        <w:ind w:left="0" w:leftChars="0" w:firstLine="420"/>
        <w:rPr>
          <w:rFonts w:hint="eastAsia"/>
          <w:color w:val="auto"/>
        </w:rPr>
      </w:pPr>
      <w:r>
        <w:rPr>
          <w:rFonts w:hint="eastAsia" w:ascii="黑体" w:hAnsi="Arial Unicode MS" w:eastAsia="黑体"/>
          <w:color w:val="auto"/>
          <w:szCs w:val="21"/>
        </w:rPr>
        <w:t>实物补偿住房面积</w:t>
      </w:r>
      <w:r>
        <w:rPr>
          <w:rFonts w:ascii="黑体" w:hAnsi="Arial Unicode MS" w:eastAsia="黑体"/>
          <w:color w:val="auto"/>
          <w:szCs w:val="21"/>
        </w:rPr>
        <w:t xml:space="preserve"> </w:t>
      </w:r>
      <w:r>
        <w:rPr>
          <w:rFonts w:hint="eastAsia"/>
          <w:color w:val="auto"/>
        </w:rPr>
        <w:t>竣工交付的采用产权调换方式即实物补偿的住房建筑面积。</w:t>
      </w:r>
    </w:p>
    <w:p>
      <w:pPr>
        <w:pStyle w:val="2"/>
        <w:spacing w:after="0" w:line="360" w:lineRule="exact"/>
        <w:ind w:left="0" w:leftChars="0" w:firstLine="420"/>
        <w:rPr>
          <w:rFonts w:hint="eastAsia"/>
          <w:color w:val="auto"/>
        </w:rPr>
      </w:pPr>
      <w:r>
        <w:rPr>
          <w:rFonts w:hint="eastAsia" w:ascii="黑体" w:hAnsi="Arial Unicode MS" w:eastAsia="黑体"/>
          <w:color w:val="auto"/>
          <w:szCs w:val="21"/>
        </w:rPr>
        <w:t>实物补偿住房套数</w:t>
      </w:r>
      <w:r>
        <w:rPr>
          <w:rFonts w:ascii="黑体" w:hAnsi="Arial Unicode MS" w:eastAsia="黑体"/>
          <w:color w:val="auto"/>
          <w:szCs w:val="21"/>
        </w:rPr>
        <w:t xml:space="preserve"> </w:t>
      </w:r>
      <w:r>
        <w:rPr>
          <w:rFonts w:hint="eastAsia"/>
          <w:color w:val="auto"/>
        </w:rPr>
        <w:t>竣工交付的采用产权调换方式即实物补偿的住房套数。</w:t>
      </w:r>
    </w:p>
    <w:p>
      <w:pPr>
        <w:snapToGrid w:val="0"/>
        <w:spacing w:line="360" w:lineRule="exact"/>
        <w:ind w:firstLine="420"/>
        <w:rPr>
          <w:rFonts w:hint="eastAsia" w:ascii="黑体" w:hAnsi="Arial Unicode MS" w:eastAsia="黑体"/>
          <w:color w:val="auto"/>
          <w:szCs w:val="21"/>
        </w:rPr>
      </w:pPr>
    </w:p>
    <w:p>
      <w:pPr>
        <w:snapToGrid w:val="0"/>
        <w:spacing w:line="360" w:lineRule="exact"/>
        <w:ind w:firstLine="420"/>
        <w:rPr>
          <w:rFonts w:hint="eastAsia" w:ascii="黑体" w:hAnsi="Arial Unicode MS" w:eastAsia="黑体" w:cs="Times New Roman"/>
          <w:color w:val="auto"/>
          <w:szCs w:val="21"/>
        </w:rPr>
      </w:pPr>
    </w:p>
    <w:p>
      <w:pPr>
        <w:adjustRightInd/>
        <w:spacing w:line="240" w:lineRule="auto"/>
        <w:ind w:firstLine="0" w:firstLineChars="0"/>
        <w:rPr>
          <w:rFonts w:hint="eastAsia" w:ascii="宋体" w:hAnsi="宋体"/>
          <w:color w:val="auto"/>
          <w:szCs w:val="21"/>
        </w:rPr>
      </w:pPr>
      <w:r>
        <w:rPr>
          <w:rFonts w:hint="eastAsia" w:ascii="宋体" w:hAnsi="宋体"/>
          <w:color w:val="auto"/>
          <w:szCs w:val="21"/>
        </w:rPr>
        <w:br w:type="page"/>
      </w: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1"/>
        <w:rPr>
          <w:rFonts w:hint="eastAsia" w:ascii="黑体" w:hAnsi="黑体" w:eastAsia="黑体"/>
          <w:color w:val="auto"/>
          <w:sz w:val="28"/>
          <w:szCs w:val="28"/>
        </w:rPr>
      </w:pPr>
      <w:r>
        <w:rPr>
          <w:rFonts w:hint="eastAsia" w:ascii="黑体" w:hAnsi="黑体" w:eastAsia="黑体"/>
          <w:color w:val="auto"/>
          <w:sz w:val="28"/>
          <w:szCs w:val="28"/>
        </w:rPr>
        <w:t>（</w:t>
      </w:r>
      <w:r>
        <w:rPr>
          <w:rFonts w:hint="eastAsia" w:ascii="黑体" w:hAnsi="黑体" w:eastAsia="黑体"/>
          <w:color w:val="auto"/>
          <w:sz w:val="28"/>
          <w:szCs w:val="28"/>
          <w:lang w:eastAsia="zh-CN"/>
        </w:rPr>
        <w:t>八</w:t>
      </w:r>
      <w:r>
        <w:rPr>
          <w:rFonts w:hint="eastAsia" w:ascii="黑体" w:hAnsi="黑体" w:eastAsia="黑体"/>
          <w:color w:val="auto"/>
          <w:sz w:val="28"/>
          <w:szCs w:val="28"/>
        </w:rPr>
        <w:t>）填报要求</w:t>
      </w:r>
    </w:p>
    <w:p>
      <w:pPr>
        <w:spacing w:line="360" w:lineRule="atLeast"/>
        <w:ind w:firstLine="417" w:firstLineChars="199"/>
        <w:rPr>
          <w:rFonts w:ascii="宋体" w:hAnsi="宋体"/>
          <w:color w:val="auto"/>
          <w:szCs w:val="21"/>
        </w:rPr>
      </w:pPr>
      <w:r>
        <w:rPr>
          <w:rFonts w:hint="eastAsia" w:ascii="宋体" w:hAnsi="宋体"/>
          <w:color w:val="auto"/>
          <w:szCs w:val="21"/>
        </w:rPr>
        <w:t>各调查单位和各区统计局在填报统计报表、网上提交统计数据和综合上报统计数据前必须认真阅读本制度，并按下列规定进行填报：</w:t>
      </w:r>
    </w:p>
    <w:p>
      <w:pPr>
        <w:spacing w:line="360" w:lineRule="atLeast"/>
        <w:ind w:firstLine="417" w:firstLineChars="199"/>
        <w:rPr>
          <w:rFonts w:ascii="宋体" w:hAnsi="宋体"/>
          <w:color w:val="auto"/>
          <w:szCs w:val="21"/>
        </w:rPr>
      </w:pPr>
      <w:r>
        <w:rPr>
          <w:rFonts w:hint="eastAsia" w:ascii="宋体" w:hAnsi="宋体"/>
          <w:color w:val="auto"/>
          <w:szCs w:val="21"/>
        </w:rPr>
        <w:t>1.各单位要严格遵守报表制度规定的统计数据报送时间，遇节假日一律不顺延；</w:t>
      </w:r>
    </w:p>
    <w:p>
      <w:pPr>
        <w:spacing w:line="360" w:lineRule="atLeast"/>
        <w:ind w:firstLine="417" w:firstLineChars="199"/>
        <w:rPr>
          <w:rFonts w:ascii="宋体" w:hAnsi="宋体"/>
          <w:color w:val="auto"/>
          <w:szCs w:val="21"/>
        </w:rPr>
      </w:pPr>
      <w:r>
        <w:rPr>
          <w:rFonts w:hint="eastAsia" w:ascii="宋体" w:hAnsi="宋体"/>
          <w:color w:val="auto"/>
          <w:szCs w:val="21"/>
        </w:rPr>
        <w:t>2.录入统计报表时，要注意指标的计量单位，不得自行更改计量单位。统计表中所有价值量指标均以人民币计算，凡以外币形式计算的价值量指标，均以报告期末的汇率折合成人民币填报；</w:t>
      </w:r>
    </w:p>
    <w:p>
      <w:pPr>
        <w:spacing w:line="360" w:lineRule="atLeast"/>
        <w:ind w:firstLine="417" w:firstLineChars="199"/>
        <w:rPr>
          <w:rFonts w:ascii="宋体" w:hAnsi="宋体"/>
          <w:color w:val="auto"/>
          <w:szCs w:val="21"/>
        </w:rPr>
      </w:pPr>
      <w:r>
        <w:rPr>
          <w:rFonts w:hint="eastAsia" w:ascii="宋体" w:hAnsi="宋体"/>
          <w:color w:val="auto"/>
          <w:szCs w:val="21"/>
        </w:rPr>
        <w:t>3.所有数字指标，一律取整数，不保留小数；</w:t>
      </w:r>
    </w:p>
    <w:p>
      <w:pPr>
        <w:spacing w:line="360" w:lineRule="exact"/>
        <w:ind w:firstLine="420"/>
        <w:rPr>
          <w:rFonts w:ascii="宋体" w:hAnsi="宋体"/>
          <w:color w:val="auto"/>
          <w:szCs w:val="21"/>
        </w:rPr>
      </w:pPr>
      <w:r>
        <w:rPr>
          <w:rFonts w:hint="eastAsia" w:ascii="宋体" w:hAnsi="宋体"/>
          <w:color w:val="auto"/>
          <w:szCs w:val="21"/>
        </w:rPr>
        <w:t>4.各调查单位使用统计联网程序录入数据后，必须通过电脑程序审核，对统计报表中的每一个指标都要做到逐一严格审查和核对；</w:t>
      </w:r>
    </w:p>
    <w:p>
      <w:pPr>
        <w:spacing w:line="360" w:lineRule="exact"/>
        <w:ind w:firstLine="420"/>
        <w:rPr>
          <w:rFonts w:ascii="宋体" w:hAnsi="宋体"/>
          <w:color w:val="auto"/>
          <w:szCs w:val="21"/>
        </w:rPr>
      </w:pPr>
      <w:r>
        <w:rPr>
          <w:rFonts w:hint="eastAsia" w:ascii="宋体" w:hAnsi="宋体"/>
          <w:color w:val="auto"/>
          <w:szCs w:val="21"/>
        </w:rPr>
        <w:t>5.各调查单位对程序提出的警告性问题和数据倒退问题，都必须加以核查及说明。</w:t>
      </w: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70" w:lineRule="exact"/>
        <w:ind w:right="2" w:rightChars="1" w:firstLine="274" w:firstLineChars="98"/>
        <w:jc w:val="center"/>
        <w:rPr>
          <w:rFonts w:ascii="黑体" w:hAnsi="黑体" w:eastAsia="黑体" w:cs="黑体"/>
          <w:b/>
          <w:color w:val="auto"/>
          <w:sz w:val="28"/>
          <w:szCs w:val="28"/>
        </w:rPr>
      </w:pPr>
    </w:p>
    <w:p>
      <w:pPr>
        <w:spacing w:line="360" w:lineRule="exact"/>
        <w:jc w:val="center"/>
        <w:rPr>
          <w:rFonts w:ascii="黑体" w:hAnsi="黑体" w:eastAsia="黑体" w:cs="黑体"/>
          <w:b/>
          <w:color w:val="auto"/>
          <w:sz w:val="28"/>
          <w:szCs w:val="28"/>
        </w:rPr>
      </w:pPr>
    </w:p>
    <w:p>
      <w:pPr>
        <w:pStyle w:val="2"/>
        <w:rPr>
          <w:color w:val="auto"/>
        </w:rPr>
      </w:pPr>
    </w:p>
    <w:sectPr>
      <w:pgSz w:w="11906" w:h="16838"/>
      <w:pgMar w:top="1418" w:right="1247" w:bottom="1247" w:left="1247" w:header="851" w:footer="851" w:gutter="0"/>
      <w:pgBorders>
        <w:top w:val="none" w:sz="0" w:space="0"/>
        <w:left w:val="none" w:sz="0" w:space="0"/>
        <w:bottom w:val="none" w:sz="0" w:space="0"/>
        <w:right w:val="none" w:sz="0" w:space="0"/>
      </w:pgBorders>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Tahoma">
    <w:altName w:val="DejaVu Sans"/>
    <w:panose1 w:val="020B0604030504040204"/>
    <w:charset w:val="00"/>
    <w:family w:val="swiss"/>
    <w:pitch w:val="default"/>
    <w:sig w:usb0="00000000" w:usb1="00000000" w:usb2="00000029" w:usb3="00000000" w:csb0="200101FF" w:csb1="20280000"/>
  </w:font>
  <w:font w:name="微软雅黑">
    <w:altName w:val="方正黑体_GBK"/>
    <w:panose1 w:val="020B0503020204020204"/>
    <w:charset w:val="86"/>
    <w:family w:val="swiss"/>
    <w:pitch w:val="default"/>
    <w:sig w:usb0="00000000" w:usb1="00000000" w:usb2="00000016" w:usb3="00000000" w:csb0="0004001F" w:csb1="00000000"/>
  </w:font>
  <w:font w:name="Arial Unicode MS">
    <w:altName w:val="DejaVu Sans"/>
    <w:panose1 w:val="020B0604020202020204"/>
    <w:charset w:val="86"/>
    <w:family w:val="auto"/>
    <w:pitch w:val="default"/>
    <w:sig w:usb0="00000000" w:usb1="00000000" w:usb2="0000003F" w:usb3="00000000" w:csb0="603F01FF" w:csb1="FFFF0000"/>
  </w:font>
  <w:font w:name="楷体_GB2312">
    <w:altName w:val="方正楷体_GBK"/>
    <w:panose1 w:val="02010609030101010101"/>
    <w:charset w:val="86"/>
    <w:family w:val="modern"/>
    <w:pitch w:val="default"/>
    <w:sig w:usb0="00000000" w:usb1="00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Nimbus Roman No9 L">
    <w:altName w:val="汉仪新人文宋简"/>
    <w:panose1 w:val="00000000000000000000"/>
    <w:charset w:val="00"/>
    <w:family w:val="auto"/>
    <w:pitch w:val="default"/>
    <w:sig w:usb0="00000000" w:usb1="00000000" w:usb2="00000000" w:usb3="00000000" w:csb0="00040001" w:csb1="00000000"/>
  </w:font>
  <w:font w:name="Calibri Light">
    <w:altName w:val="DejaVu Sans"/>
    <w:panose1 w:val="020F0302020204030204"/>
    <w:charset w:val="00"/>
    <w:family w:val="swiss"/>
    <w:pitch w:val="default"/>
    <w:sig w:usb0="00000000" w:usb1="00000000" w:usb2="00000009" w:usb3="00000000" w:csb0="200001FF" w:csb1="00000000"/>
  </w:font>
  <w:font w:name="Cambria Math">
    <w:altName w:val="DejaVu Math TeX Gyre"/>
    <w:panose1 w:val="02040503050406030204"/>
    <w:charset w:val="00"/>
    <w:family w:val="roman"/>
    <w:pitch w:val="default"/>
    <w:sig w:usb0="00000000" w:usb1="00000000" w:usb2="02000000" w:usb3="00000000" w:csb0="2000019F" w:csb1="00000000"/>
  </w:font>
  <w:font w:name="华文宋体">
    <w:altName w:val="方正书宋_GBK"/>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汉仪新人文宋简">
    <w:panose1 w:val="00020600040101010101"/>
    <w:charset w:val="86"/>
    <w:family w:val="auto"/>
    <w:pitch w:val="default"/>
    <w:sig w:usb0="A00002BF" w:usb1="1ACF7CFA" w:usb2="00000016" w:usb3="00000000" w:csb0="0004009F" w:csb1="DFD70000"/>
  </w:font>
  <w:font w:name="DejaVu Math TeX Gyre">
    <w:panose1 w:val="02000503000000000000"/>
    <w:charset w:val="00"/>
    <w:family w:val="auto"/>
    <w:pitch w:val="default"/>
    <w:sig w:usb0="A10000EF" w:usb1="4201F9EE" w:usb2="02000000" w:usb3="00000000" w:csb0="60000193" w:csb1="0DD40000"/>
  </w:font>
  <w:font w:name="方正宋体S-超大字符集">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right" w:y="1"/>
      <w:rPr>
        <w:rStyle w:val="25"/>
      </w:rPr>
    </w:pPr>
    <w:r>
      <w:fldChar w:fldCharType="begin"/>
    </w:r>
    <w:r>
      <w:rPr>
        <w:rStyle w:val="25"/>
      </w:rPr>
      <w:instrText xml:space="preserve">PAGE  </w:instrText>
    </w:r>
    <w:r>
      <w:fldChar w:fldCharType="separate"/>
    </w:r>
    <w:r>
      <w:fldChar w:fldCharType="end"/>
    </w:r>
  </w:p>
  <w:p>
    <w:pPr>
      <w:pStyle w:val="1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25"/>
      </w:rPr>
    </w:pPr>
    <w:r>
      <w:fldChar w:fldCharType="begin"/>
    </w:r>
    <w:r>
      <w:rPr>
        <w:rStyle w:val="25"/>
      </w:rPr>
      <w:instrText xml:space="preserve">PAGE  </w:instrText>
    </w:r>
    <w:r>
      <w:fldChar w:fldCharType="separate"/>
    </w:r>
    <w:r>
      <w:rPr>
        <w:rStyle w:val="25"/>
      </w:rPr>
      <w:t>16</w:t>
    </w:r>
    <w:r>
      <w:fldChar w:fldCharType="end"/>
    </w:r>
  </w:p>
  <w:p>
    <w:pPr>
      <w:pStyle w:val="15"/>
      <w:ind w:right="360" w:firstLine="360"/>
      <w:jc w:val="both"/>
      <w:rPr>
        <w:rFonts w:hint="eastAsia"/>
      </w:rPr>
    </w:pPr>
    <w:r>
      <w:rPr>
        <w:rFonts w:hint="eastAsia"/>
      </w:rPr>
      <w:t>——　　　　　　　　　　　　　　　　　　固定资产投资统计报表制度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pBdr>
        <w:bottom w:val="none" w:color="auto" w:sz="0" w:space="0"/>
      </w:pBdr>
      <w:rPr>
        <w:rStyle w:val="25"/>
      </w:rPr>
    </w:pPr>
    <w:r>
      <w:fldChar w:fldCharType="begin"/>
    </w:r>
    <w:r>
      <w:rPr>
        <w:rStyle w:val="25"/>
      </w:rPr>
      <w:instrText xml:space="preserve">PAGE  </w:instrText>
    </w:r>
    <w:r>
      <w:fldChar w:fldCharType="separate"/>
    </w:r>
    <w:r>
      <w:rPr>
        <w:rStyle w:val="25"/>
      </w:rPr>
      <w:t>- 21 -</w:t>
    </w:r>
    <w:r>
      <w:fldChar w:fldCharType="end"/>
    </w:r>
  </w:p>
  <w:p>
    <w:pPr>
      <w:pStyle w:val="15"/>
      <w:pBdr>
        <w:bottom w:val="single" w:color="auto" w:sz="4" w:space="1"/>
      </w:pBdr>
      <w:tabs>
        <w:tab w:val="clear" w:pos="4153"/>
        <w:tab w:val="clear" w:pos="8306"/>
      </w:tabs>
      <w:rPr>
        <w:rFonts w:hint="eastAsia"/>
      </w:rPr>
    </w:pPr>
    <w:r>
      <w:rPr>
        <w:rFonts w:hint="eastAsia"/>
      </w:rPr>
      <w:t>固定资产投资统计报表制度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pBdr>
        <w:bottom w:val="none" w:color="auto" w:sz="0" w:space="0"/>
      </w:pBdr>
      <w:rPr>
        <w:rStyle w:val="25"/>
      </w:rPr>
    </w:pPr>
    <w:r>
      <w:fldChar w:fldCharType="begin"/>
    </w:r>
    <w:r>
      <w:rPr>
        <w:rStyle w:val="25"/>
      </w:rPr>
      <w:instrText xml:space="preserve">PAGE  </w:instrText>
    </w:r>
    <w:r>
      <w:fldChar w:fldCharType="separate"/>
    </w:r>
    <w:r>
      <w:rPr>
        <w:rStyle w:val="25"/>
      </w:rPr>
      <w:t>- 24 -</w:t>
    </w:r>
    <w:r>
      <w:fldChar w:fldCharType="end"/>
    </w:r>
  </w:p>
  <w:p>
    <w:pPr>
      <w:pStyle w:val="15"/>
      <w:tabs>
        <w:tab w:val="clear" w:pos="4153"/>
        <w:tab w:val="clear" w:pos="8306"/>
      </w:tabs>
      <w:rPr>
        <w:rFonts w:hint="eastAsia"/>
      </w:rPr>
    </w:pPr>
    <w:r>
      <w:rPr>
        <w:rFonts w:hint="eastAsia"/>
      </w:rPr>
      <w:t>固定资产投资统计报表制度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A7DFF"/>
    <w:multiLevelType w:val="singleLevel"/>
    <w:tmpl w:val="89BA7DFF"/>
    <w:lvl w:ilvl="0" w:tentative="0">
      <w:start w:val="2"/>
      <w:numFmt w:val="chineseCounting"/>
      <w:suff w:val="nothing"/>
      <w:lvlText w:val="%1、"/>
      <w:lvlJc w:val="left"/>
      <w:rPr>
        <w:rFonts w:hint="eastAsia"/>
      </w:rPr>
    </w:lvl>
  </w:abstractNum>
  <w:abstractNum w:abstractNumId="1">
    <w:nsid w:val="9FB59717"/>
    <w:multiLevelType w:val="singleLevel"/>
    <w:tmpl w:val="9FB59717"/>
    <w:lvl w:ilvl="0" w:tentative="0">
      <w:start w:val="2"/>
      <w:numFmt w:val="decimal"/>
      <w:suff w:val="nothing"/>
      <w:lvlText w:val="（%1）"/>
      <w:lvlJc w:val="left"/>
    </w:lvl>
  </w:abstractNum>
  <w:abstractNum w:abstractNumId="2">
    <w:nsid w:val="E466D73E"/>
    <w:multiLevelType w:val="singleLevel"/>
    <w:tmpl w:val="E466D73E"/>
    <w:lvl w:ilvl="0" w:tentative="0">
      <w:start w:val="2"/>
      <w:numFmt w:val="decimal"/>
      <w:suff w:val="nothing"/>
      <w:lvlText w:val="（%1）"/>
      <w:lvlJc w:val="left"/>
    </w:lvl>
  </w:abstractNum>
  <w:abstractNum w:abstractNumId="3">
    <w:nsid w:val="00000006"/>
    <w:multiLevelType w:val="multilevel"/>
    <w:tmpl w:val="00000006"/>
    <w:lvl w:ilvl="0" w:tentative="0">
      <w:start w:val="1"/>
      <w:numFmt w:val="bullet"/>
      <w:lvlText w:val=""/>
      <w:lvlJc w:val="left"/>
      <w:pPr>
        <w:tabs>
          <w:tab w:val="left" w:pos="1320"/>
        </w:tabs>
        <w:ind w:left="1320" w:hanging="420"/>
      </w:pPr>
      <w:rPr>
        <w:rFonts w:hint="default" w:ascii="Symbol" w:hAnsi="Symbol"/>
        <w:color w:val="auto"/>
      </w:rPr>
    </w:lvl>
    <w:lvl w:ilvl="1" w:tentative="0">
      <w:start w:val="1"/>
      <w:numFmt w:val="bullet"/>
      <w:lvlText w:val="—"/>
      <w:lvlJc w:val="left"/>
      <w:pPr>
        <w:tabs>
          <w:tab w:val="left" w:pos="902"/>
        </w:tabs>
        <w:ind w:firstLine="900"/>
      </w:pPr>
      <w:rPr>
        <w:rFonts w:hint="eastAsia" w:ascii="宋体" w:hAnsi="宋体" w:eastAsia="宋体"/>
        <w:color w:val="auto"/>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4">
    <w:nsid w:val="142BAE52"/>
    <w:multiLevelType w:val="singleLevel"/>
    <w:tmpl w:val="142BAE52"/>
    <w:lvl w:ilvl="0" w:tentative="0">
      <w:start w:val="3"/>
      <w:numFmt w:val="decimal"/>
      <w:suff w:val="nothing"/>
      <w:lvlText w:val="（%1）"/>
      <w:lvlJc w:val="left"/>
    </w:lvl>
  </w:abstractNum>
  <w:num w:numId="1">
    <w:abstractNumId w:val="2"/>
  </w:num>
  <w:num w:numId="2">
    <w:abstractNumId w:val="4"/>
  </w:num>
  <w:num w:numId="3">
    <w:abstractNumId w:val="0"/>
  </w:num>
  <w:num w:numId="4">
    <w:abstractNumId w:val="1"/>
  </w:num>
  <w:num w:numId="5">
    <w:abstractNumId w:val="3"/>
    <w:lvlOverride w:ilvl="1">
      <w:startOverride w:val="1"/>
    </w:lvlOverride>
  </w:num>
  <w:num w:numId="6">
    <w:abstractNumId w:val="3"/>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hM2MzODIwZjkxMTVlZWVjMzg5M2U4OTQ3MGVjNmYifQ=="/>
  </w:docVars>
  <w:rsids>
    <w:rsidRoot w:val="00407BFF"/>
    <w:rsid w:val="00001191"/>
    <w:rsid w:val="00010313"/>
    <w:rsid w:val="0001738E"/>
    <w:rsid w:val="00020023"/>
    <w:rsid w:val="00022AFD"/>
    <w:rsid w:val="00030B69"/>
    <w:rsid w:val="00033324"/>
    <w:rsid w:val="00035D7A"/>
    <w:rsid w:val="00037E26"/>
    <w:rsid w:val="00040CEC"/>
    <w:rsid w:val="00041FE3"/>
    <w:rsid w:val="000504F4"/>
    <w:rsid w:val="00051145"/>
    <w:rsid w:val="00053630"/>
    <w:rsid w:val="00054506"/>
    <w:rsid w:val="00060E2F"/>
    <w:rsid w:val="0006165B"/>
    <w:rsid w:val="00073303"/>
    <w:rsid w:val="00075764"/>
    <w:rsid w:val="00077497"/>
    <w:rsid w:val="00083795"/>
    <w:rsid w:val="00084FFF"/>
    <w:rsid w:val="00085686"/>
    <w:rsid w:val="00091B18"/>
    <w:rsid w:val="00092513"/>
    <w:rsid w:val="0009625D"/>
    <w:rsid w:val="00097152"/>
    <w:rsid w:val="00097D57"/>
    <w:rsid w:val="000A1E4A"/>
    <w:rsid w:val="000A3CDF"/>
    <w:rsid w:val="000B2946"/>
    <w:rsid w:val="000B318E"/>
    <w:rsid w:val="000B56D2"/>
    <w:rsid w:val="000B5E41"/>
    <w:rsid w:val="000B7A2F"/>
    <w:rsid w:val="000C3AC0"/>
    <w:rsid w:val="000D2FB1"/>
    <w:rsid w:val="000D5BC1"/>
    <w:rsid w:val="000F4EBF"/>
    <w:rsid w:val="00103FA5"/>
    <w:rsid w:val="00107265"/>
    <w:rsid w:val="00107EB2"/>
    <w:rsid w:val="00110F69"/>
    <w:rsid w:val="00113200"/>
    <w:rsid w:val="001442EA"/>
    <w:rsid w:val="001446A8"/>
    <w:rsid w:val="00145F3C"/>
    <w:rsid w:val="0015223B"/>
    <w:rsid w:val="0015284F"/>
    <w:rsid w:val="00154822"/>
    <w:rsid w:val="0016022B"/>
    <w:rsid w:val="00164158"/>
    <w:rsid w:val="00174F25"/>
    <w:rsid w:val="00181A3E"/>
    <w:rsid w:val="00184251"/>
    <w:rsid w:val="001A17E7"/>
    <w:rsid w:val="001A4AB7"/>
    <w:rsid w:val="001B61E9"/>
    <w:rsid w:val="001B69CF"/>
    <w:rsid w:val="001D72E2"/>
    <w:rsid w:val="001E527A"/>
    <w:rsid w:val="001F4B2D"/>
    <w:rsid w:val="001F795D"/>
    <w:rsid w:val="00201DC9"/>
    <w:rsid w:val="002030C1"/>
    <w:rsid w:val="002037FE"/>
    <w:rsid w:val="0020555D"/>
    <w:rsid w:val="00205B7D"/>
    <w:rsid w:val="00210173"/>
    <w:rsid w:val="002166BB"/>
    <w:rsid w:val="002235AC"/>
    <w:rsid w:val="00233D85"/>
    <w:rsid w:val="0023603F"/>
    <w:rsid w:val="00241BE8"/>
    <w:rsid w:val="00244CF5"/>
    <w:rsid w:val="0024758D"/>
    <w:rsid w:val="00247F6D"/>
    <w:rsid w:val="00255E44"/>
    <w:rsid w:val="00257B95"/>
    <w:rsid w:val="002602C5"/>
    <w:rsid w:val="00261E4F"/>
    <w:rsid w:val="00264BBE"/>
    <w:rsid w:val="00265F37"/>
    <w:rsid w:val="0027276D"/>
    <w:rsid w:val="00274F5F"/>
    <w:rsid w:val="00284060"/>
    <w:rsid w:val="002872F2"/>
    <w:rsid w:val="00287ED2"/>
    <w:rsid w:val="00290B3C"/>
    <w:rsid w:val="00290C16"/>
    <w:rsid w:val="002971DD"/>
    <w:rsid w:val="002A180A"/>
    <w:rsid w:val="002A4FD9"/>
    <w:rsid w:val="002A546E"/>
    <w:rsid w:val="002B0E1A"/>
    <w:rsid w:val="002B5CC7"/>
    <w:rsid w:val="002B5FD9"/>
    <w:rsid w:val="002C168F"/>
    <w:rsid w:val="002C19AB"/>
    <w:rsid w:val="002C4D0B"/>
    <w:rsid w:val="002C5FF8"/>
    <w:rsid w:val="002C6A90"/>
    <w:rsid w:val="002D1DC6"/>
    <w:rsid w:val="002D5340"/>
    <w:rsid w:val="002D5D36"/>
    <w:rsid w:val="002D6CA4"/>
    <w:rsid w:val="002E5732"/>
    <w:rsid w:val="002E75E9"/>
    <w:rsid w:val="002F39D0"/>
    <w:rsid w:val="002F48FE"/>
    <w:rsid w:val="002F7CBD"/>
    <w:rsid w:val="00300626"/>
    <w:rsid w:val="003025F8"/>
    <w:rsid w:val="00303BD7"/>
    <w:rsid w:val="0030523B"/>
    <w:rsid w:val="0031121A"/>
    <w:rsid w:val="00316686"/>
    <w:rsid w:val="00323E65"/>
    <w:rsid w:val="003304FD"/>
    <w:rsid w:val="00334A49"/>
    <w:rsid w:val="003513E8"/>
    <w:rsid w:val="0035143C"/>
    <w:rsid w:val="00356D37"/>
    <w:rsid w:val="003622AC"/>
    <w:rsid w:val="0036527F"/>
    <w:rsid w:val="00367054"/>
    <w:rsid w:val="00370E10"/>
    <w:rsid w:val="00371606"/>
    <w:rsid w:val="00371CE0"/>
    <w:rsid w:val="003733ED"/>
    <w:rsid w:val="00373A9C"/>
    <w:rsid w:val="00380110"/>
    <w:rsid w:val="00385A46"/>
    <w:rsid w:val="00392D4C"/>
    <w:rsid w:val="00397E15"/>
    <w:rsid w:val="003A035A"/>
    <w:rsid w:val="003A0BC0"/>
    <w:rsid w:val="003A3C26"/>
    <w:rsid w:val="003A43D5"/>
    <w:rsid w:val="003A50BA"/>
    <w:rsid w:val="003A72BF"/>
    <w:rsid w:val="003B0BEA"/>
    <w:rsid w:val="003C3C74"/>
    <w:rsid w:val="003C670B"/>
    <w:rsid w:val="003C68F7"/>
    <w:rsid w:val="003C76EE"/>
    <w:rsid w:val="003D0F14"/>
    <w:rsid w:val="003D1CE2"/>
    <w:rsid w:val="003D2816"/>
    <w:rsid w:val="003D7656"/>
    <w:rsid w:val="003E1136"/>
    <w:rsid w:val="003E1812"/>
    <w:rsid w:val="003F7DD5"/>
    <w:rsid w:val="0040206E"/>
    <w:rsid w:val="00405BCC"/>
    <w:rsid w:val="00407BA9"/>
    <w:rsid w:val="00407BFF"/>
    <w:rsid w:val="00411982"/>
    <w:rsid w:val="00415DDA"/>
    <w:rsid w:val="004225D6"/>
    <w:rsid w:val="00424841"/>
    <w:rsid w:val="00427A77"/>
    <w:rsid w:val="00430A8C"/>
    <w:rsid w:val="00450A3F"/>
    <w:rsid w:val="00450BD9"/>
    <w:rsid w:val="00451668"/>
    <w:rsid w:val="004537DE"/>
    <w:rsid w:val="00453FFB"/>
    <w:rsid w:val="00456FC2"/>
    <w:rsid w:val="00461786"/>
    <w:rsid w:val="00461A9F"/>
    <w:rsid w:val="00466E89"/>
    <w:rsid w:val="0047054D"/>
    <w:rsid w:val="00471DB2"/>
    <w:rsid w:val="0047432E"/>
    <w:rsid w:val="004809BF"/>
    <w:rsid w:val="004809DC"/>
    <w:rsid w:val="00480CDE"/>
    <w:rsid w:val="0048153E"/>
    <w:rsid w:val="00483F74"/>
    <w:rsid w:val="0048492C"/>
    <w:rsid w:val="00485421"/>
    <w:rsid w:val="00496118"/>
    <w:rsid w:val="004A3C69"/>
    <w:rsid w:val="004B1D6F"/>
    <w:rsid w:val="004B2204"/>
    <w:rsid w:val="004B5E73"/>
    <w:rsid w:val="004C6593"/>
    <w:rsid w:val="004D6018"/>
    <w:rsid w:val="004E0A1D"/>
    <w:rsid w:val="004E21EE"/>
    <w:rsid w:val="004E7270"/>
    <w:rsid w:val="004E7C5D"/>
    <w:rsid w:val="004F0B4E"/>
    <w:rsid w:val="004F3205"/>
    <w:rsid w:val="004F34FE"/>
    <w:rsid w:val="004F4759"/>
    <w:rsid w:val="00505FF0"/>
    <w:rsid w:val="00512939"/>
    <w:rsid w:val="00520164"/>
    <w:rsid w:val="00530A72"/>
    <w:rsid w:val="005315C5"/>
    <w:rsid w:val="00531EB3"/>
    <w:rsid w:val="00531FD9"/>
    <w:rsid w:val="00534306"/>
    <w:rsid w:val="00541240"/>
    <w:rsid w:val="00546F6D"/>
    <w:rsid w:val="00550101"/>
    <w:rsid w:val="005535ED"/>
    <w:rsid w:val="005623B0"/>
    <w:rsid w:val="00570632"/>
    <w:rsid w:val="0057606C"/>
    <w:rsid w:val="005807A4"/>
    <w:rsid w:val="00581188"/>
    <w:rsid w:val="0058465B"/>
    <w:rsid w:val="0059669B"/>
    <w:rsid w:val="00596F20"/>
    <w:rsid w:val="005A5FC4"/>
    <w:rsid w:val="005A7D3A"/>
    <w:rsid w:val="005B02AF"/>
    <w:rsid w:val="005B2013"/>
    <w:rsid w:val="005B2320"/>
    <w:rsid w:val="005B7000"/>
    <w:rsid w:val="005B703E"/>
    <w:rsid w:val="005C4406"/>
    <w:rsid w:val="005C570B"/>
    <w:rsid w:val="005D5C25"/>
    <w:rsid w:val="005D5EEE"/>
    <w:rsid w:val="005D67C7"/>
    <w:rsid w:val="005E2810"/>
    <w:rsid w:val="005E6724"/>
    <w:rsid w:val="005F0DC1"/>
    <w:rsid w:val="005F1280"/>
    <w:rsid w:val="005F1D67"/>
    <w:rsid w:val="005F3765"/>
    <w:rsid w:val="005F4148"/>
    <w:rsid w:val="005F7B51"/>
    <w:rsid w:val="00604871"/>
    <w:rsid w:val="006052A4"/>
    <w:rsid w:val="00613FB1"/>
    <w:rsid w:val="00621CD5"/>
    <w:rsid w:val="00622B61"/>
    <w:rsid w:val="00643F5B"/>
    <w:rsid w:val="00645820"/>
    <w:rsid w:val="006676DB"/>
    <w:rsid w:val="006704CD"/>
    <w:rsid w:val="0067185B"/>
    <w:rsid w:val="00672AA5"/>
    <w:rsid w:val="00681363"/>
    <w:rsid w:val="00681562"/>
    <w:rsid w:val="00686BD1"/>
    <w:rsid w:val="006927F5"/>
    <w:rsid w:val="00693284"/>
    <w:rsid w:val="00697968"/>
    <w:rsid w:val="006A4739"/>
    <w:rsid w:val="006A6066"/>
    <w:rsid w:val="006A6F64"/>
    <w:rsid w:val="006A7F34"/>
    <w:rsid w:val="006C431A"/>
    <w:rsid w:val="006D0DFA"/>
    <w:rsid w:val="006D24D2"/>
    <w:rsid w:val="006D2729"/>
    <w:rsid w:val="006E597D"/>
    <w:rsid w:val="006E5F00"/>
    <w:rsid w:val="006E6807"/>
    <w:rsid w:val="006F00E2"/>
    <w:rsid w:val="006F3AE1"/>
    <w:rsid w:val="006F4195"/>
    <w:rsid w:val="00701357"/>
    <w:rsid w:val="00702E5F"/>
    <w:rsid w:val="0070477D"/>
    <w:rsid w:val="007133B9"/>
    <w:rsid w:val="00715B78"/>
    <w:rsid w:val="007175A2"/>
    <w:rsid w:val="00730CDD"/>
    <w:rsid w:val="00744D02"/>
    <w:rsid w:val="007475BA"/>
    <w:rsid w:val="00752490"/>
    <w:rsid w:val="00754854"/>
    <w:rsid w:val="00756C1C"/>
    <w:rsid w:val="00760A76"/>
    <w:rsid w:val="007625F8"/>
    <w:rsid w:val="007646CE"/>
    <w:rsid w:val="0076574D"/>
    <w:rsid w:val="00776D00"/>
    <w:rsid w:val="00780650"/>
    <w:rsid w:val="00790843"/>
    <w:rsid w:val="00791DAB"/>
    <w:rsid w:val="0079303E"/>
    <w:rsid w:val="0079386F"/>
    <w:rsid w:val="00793B4B"/>
    <w:rsid w:val="00796A42"/>
    <w:rsid w:val="00797C2B"/>
    <w:rsid w:val="007A3A2C"/>
    <w:rsid w:val="007A663F"/>
    <w:rsid w:val="007B57B8"/>
    <w:rsid w:val="007B7593"/>
    <w:rsid w:val="007B7AC2"/>
    <w:rsid w:val="007B7DE0"/>
    <w:rsid w:val="007C281D"/>
    <w:rsid w:val="007C4DF6"/>
    <w:rsid w:val="007C6541"/>
    <w:rsid w:val="007C6CD5"/>
    <w:rsid w:val="007D4537"/>
    <w:rsid w:val="007D5FF3"/>
    <w:rsid w:val="007D697F"/>
    <w:rsid w:val="007E604F"/>
    <w:rsid w:val="007E6B68"/>
    <w:rsid w:val="007F4B4D"/>
    <w:rsid w:val="007F50D7"/>
    <w:rsid w:val="00802F31"/>
    <w:rsid w:val="00817D80"/>
    <w:rsid w:val="00822A08"/>
    <w:rsid w:val="00823ECF"/>
    <w:rsid w:val="008270D2"/>
    <w:rsid w:val="00830FD6"/>
    <w:rsid w:val="00831A63"/>
    <w:rsid w:val="00832106"/>
    <w:rsid w:val="0083681E"/>
    <w:rsid w:val="008376FB"/>
    <w:rsid w:val="00837B27"/>
    <w:rsid w:val="0084322D"/>
    <w:rsid w:val="00845213"/>
    <w:rsid w:val="0086113A"/>
    <w:rsid w:val="0086508D"/>
    <w:rsid w:val="008717CF"/>
    <w:rsid w:val="0087479F"/>
    <w:rsid w:val="008748D7"/>
    <w:rsid w:val="00876347"/>
    <w:rsid w:val="00877925"/>
    <w:rsid w:val="00880018"/>
    <w:rsid w:val="008823A9"/>
    <w:rsid w:val="00884B67"/>
    <w:rsid w:val="0089154D"/>
    <w:rsid w:val="00891AEF"/>
    <w:rsid w:val="0089718B"/>
    <w:rsid w:val="008975AD"/>
    <w:rsid w:val="008B5CB1"/>
    <w:rsid w:val="008C05AC"/>
    <w:rsid w:val="008C0F31"/>
    <w:rsid w:val="008C5747"/>
    <w:rsid w:val="008C5B48"/>
    <w:rsid w:val="008C628C"/>
    <w:rsid w:val="008C6B47"/>
    <w:rsid w:val="008D1599"/>
    <w:rsid w:val="008D324D"/>
    <w:rsid w:val="008E32EF"/>
    <w:rsid w:val="008E6861"/>
    <w:rsid w:val="008E6C49"/>
    <w:rsid w:val="008F2B40"/>
    <w:rsid w:val="00900F83"/>
    <w:rsid w:val="009027EB"/>
    <w:rsid w:val="009032EA"/>
    <w:rsid w:val="009056B1"/>
    <w:rsid w:val="00914000"/>
    <w:rsid w:val="00920381"/>
    <w:rsid w:val="009232E0"/>
    <w:rsid w:val="00924A64"/>
    <w:rsid w:val="0092774A"/>
    <w:rsid w:val="00930C9E"/>
    <w:rsid w:val="00934242"/>
    <w:rsid w:val="00941A70"/>
    <w:rsid w:val="00942DFF"/>
    <w:rsid w:val="00944793"/>
    <w:rsid w:val="009463BD"/>
    <w:rsid w:val="009654E9"/>
    <w:rsid w:val="00966776"/>
    <w:rsid w:val="009723F5"/>
    <w:rsid w:val="0097570E"/>
    <w:rsid w:val="009775E5"/>
    <w:rsid w:val="00982C18"/>
    <w:rsid w:val="009846DB"/>
    <w:rsid w:val="00985102"/>
    <w:rsid w:val="009909FF"/>
    <w:rsid w:val="009930C7"/>
    <w:rsid w:val="00996B51"/>
    <w:rsid w:val="0099770C"/>
    <w:rsid w:val="009A2033"/>
    <w:rsid w:val="009A497A"/>
    <w:rsid w:val="009A67D8"/>
    <w:rsid w:val="009A68F7"/>
    <w:rsid w:val="009A70F5"/>
    <w:rsid w:val="009A79E3"/>
    <w:rsid w:val="009B00E5"/>
    <w:rsid w:val="009B3F56"/>
    <w:rsid w:val="009C2161"/>
    <w:rsid w:val="009C2AA8"/>
    <w:rsid w:val="009C3529"/>
    <w:rsid w:val="009C375F"/>
    <w:rsid w:val="009C5AA4"/>
    <w:rsid w:val="009E3B4D"/>
    <w:rsid w:val="009E4350"/>
    <w:rsid w:val="009E5474"/>
    <w:rsid w:val="009F12E6"/>
    <w:rsid w:val="009F13C7"/>
    <w:rsid w:val="009F15A8"/>
    <w:rsid w:val="009F1A27"/>
    <w:rsid w:val="009F5621"/>
    <w:rsid w:val="00A02973"/>
    <w:rsid w:val="00A041B5"/>
    <w:rsid w:val="00A0431C"/>
    <w:rsid w:val="00A06D16"/>
    <w:rsid w:val="00A13283"/>
    <w:rsid w:val="00A14139"/>
    <w:rsid w:val="00A142DA"/>
    <w:rsid w:val="00A14638"/>
    <w:rsid w:val="00A204F3"/>
    <w:rsid w:val="00A20BAB"/>
    <w:rsid w:val="00A25A07"/>
    <w:rsid w:val="00A319DF"/>
    <w:rsid w:val="00A36ABA"/>
    <w:rsid w:val="00A42CED"/>
    <w:rsid w:val="00A440D5"/>
    <w:rsid w:val="00A47A97"/>
    <w:rsid w:val="00A50EC5"/>
    <w:rsid w:val="00A54A17"/>
    <w:rsid w:val="00A5505A"/>
    <w:rsid w:val="00A61EE3"/>
    <w:rsid w:val="00A632EF"/>
    <w:rsid w:val="00A67200"/>
    <w:rsid w:val="00A7163C"/>
    <w:rsid w:val="00A716CB"/>
    <w:rsid w:val="00A739C0"/>
    <w:rsid w:val="00A74A6A"/>
    <w:rsid w:val="00A76770"/>
    <w:rsid w:val="00A80340"/>
    <w:rsid w:val="00A806FA"/>
    <w:rsid w:val="00A813F0"/>
    <w:rsid w:val="00A872EB"/>
    <w:rsid w:val="00A87B8C"/>
    <w:rsid w:val="00A87F6C"/>
    <w:rsid w:val="00A9160E"/>
    <w:rsid w:val="00A96369"/>
    <w:rsid w:val="00A96E3E"/>
    <w:rsid w:val="00AA2BE7"/>
    <w:rsid w:val="00AA7066"/>
    <w:rsid w:val="00AB6C17"/>
    <w:rsid w:val="00AC1CFD"/>
    <w:rsid w:val="00AC5499"/>
    <w:rsid w:val="00AC62DC"/>
    <w:rsid w:val="00AC7B48"/>
    <w:rsid w:val="00AD022F"/>
    <w:rsid w:val="00AF0E64"/>
    <w:rsid w:val="00AF51B2"/>
    <w:rsid w:val="00AF756F"/>
    <w:rsid w:val="00B06976"/>
    <w:rsid w:val="00B13653"/>
    <w:rsid w:val="00B1438D"/>
    <w:rsid w:val="00B14935"/>
    <w:rsid w:val="00B15290"/>
    <w:rsid w:val="00B217AB"/>
    <w:rsid w:val="00B229DA"/>
    <w:rsid w:val="00B2307F"/>
    <w:rsid w:val="00B25267"/>
    <w:rsid w:val="00B342FD"/>
    <w:rsid w:val="00B34399"/>
    <w:rsid w:val="00B43570"/>
    <w:rsid w:val="00B54090"/>
    <w:rsid w:val="00B55CB5"/>
    <w:rsid w:val="00B6419E"/>
    <w:rsid w:val="00B64568"/>
    <w:rsid w:val="00B672A0"/>
    <w:rsid w:val="00B72519"/>
    <w:rsid w:val="00B73177"/>
    <w:rsid w:val="00B77DDC"/>
    <w:rsid w:val="00B80858"/>
    <w:rsid w:val="00B83618"/>
    <w:rsid w:val="00B90BA0"/>
    <w:rsid w:val="00B91435"/>
    <w:rsid w:val="00B97607"/>
    <w:rsid w:val="00B97CE9"/>
    <w:rsid w:val="00BA6334"/>
    <w:rsid w:val="00BC3087"/>
    <w:rsid w:val="00BC445A"/>
    <w:rsid w:val="00BC60A6"/>
    <w:rsid w:val="00BC6FA3"/>
    <w:rsid w:val="00BC7A0A"/>
    <w:rsid w:val="00BD58B7"/>
    <w:rsid w:val="00BE1214"/>
    <w:rsid w:val="00BE70A8"/>
    <w:rsid w:val="00BF1CE1"/>
    <w:rsid w:val="00BF43D2"/>
    <w:rsid w:val="00BF47E3"/>
    <w:rsid w:val="00BF72A3"/>
    <w:rsid w:val="00C020C6"/>
    <w:rsid w:val="00C02888"/>
    <w:rsid w:val="00C13A71"/>
    <w:rsid w:val="00C13C4A"/>
    <w:rsid w:val="00C24013"/>
    <w:rsid w:val="00C26CA3"/>
    <w:rsid w:val="00C27D57"/>
    <w:rsid w:val="00C40854"/>
    <w:rsid w:val="00C54AB3"/>
    <w:rsid w:val="00C57EB0"/>
    <w:rsid w:val="00C61B12"/>
    <w:rsid w:val="00C61C02"/>
    <w:rsid w:val="00C62D52"/>
    <w:rsid w:val="00C63B3A"/>
    <w:rsid w:val="00C71C68"/>
    <w:rsid w:val="00C76C1E"/>
    <w:rsid w:val="00C86655"/>
    <w:rsid w:val="00C94D14"/>
    <w:rsid w:val="00C956F0"/>
    <w:rsid w:val="00C97F2A"/>
    <w:rsid w:val="00CA2E23"/>
    <w:rsid w:val="00CB0E7E"/>
    <w:rsid w:val="00CB0EE7"/>
    <w:rsid w:val="00CB3C94"/>
    <w:rsid w:val="00CB4CA1"/>
    <w:rsid w:val="00CC71CE"/>
    <w:rsid w:val="00CC736E"/>
    <w:rsid w:val="00CC7F87"/>
    <w:rsid w:val="00CD15B0"/>
    <w:rsid w:val="00CE1E3C"/>
    <w:rsid w:val="00CE2383"/>
    <w:rsid w:val="00CF2195"/>
    <w:rsid w:val="00D03817"/>
    <w:rsid w:val="00D04B03"/>
    <w:rsid w:val="00D05649"/>
    <w:rsid w:val="00D06ADD"/>
    <w:rsid w:val="00D2104B"/>
    <w:rsid w:val="00D219D8"/>
    <w:rsid w:val="00D234EF"/>
    <w:rsid w:val="00D26EEE"/>
    <w:rsid w:val="00D33A43"/>
    <w:rsid w:val="00D367B6"/>
    <w:rsid w:val="00D37F6B"/>
    <w:rsid w:val="00D40A8F"/>
    <w:rsid w:val="00D4572D"/>
    <w:rsid w:val="00D45B7F"/>
    <w:rsid w:val="00D55321"/>
    <w:rsid w:val="00D57163"/>
    <w:rsid w:val="00D5793C"/>
    <w:rsid w:val="00D63989"/>
    <w:rsid w:val="00D64936"/>
    <w:rsid w:val="00D6543E"/>
    <w:rsid w:val="00D8222A"/>
    <w:rsid w:val="00D84A99"/>
    <w:rsid w:val="00D85E5F"/>
    <w:rsid w:val="00D96142"/>
    <w:rsid w:val="00D9721A"/>
    <w:rsid w:val="00D974E3"/>
    <w:rsid w:val="00DA4E18"/>
    <w:rsid w:val="00DB1C4E"/>
    <w:rsid w:val="00DB29CE"/>
    <w:rsid w:val="00DB4EC1"/>
    <w:rsid w:val="00DB56C2"/>
    <w:rsid w:val="00DC2BA5"/>
    <w:rsid w:val="00DD4146"/>
    <w:rsid w:val="00DD4329"/>
    <w:rsid w:val="00DD7E8F"/>
    <w:rsid w:val="00DE46F3"/>
    <w:rsid w:val="00DE4DAF"/>
    <w:rsid w:val="00DF44DF"/>
    <w:rsid w:val="00DF5692"/>
    <w:rsid w:val="00E07569"/>
    <w:rsid w:val="00E13ED6"/>
    <w:rsid w:val="00E14E89"/>
    <w:rsid w:val="00E17DA7"/>
    <w:rsid w:val="00E2300D"/>
    <w:rsid w:val="00E23498"/>
    <w:rsid w:val="00E237AA"/>
    <w:rsid w:val="00E26D80"/>
    <w:rsid w:val="00E32D5A"/>
    <w:rsid w:val="00E3539B"/>
    <w:rsid w:val="00E43A29"/>
    <w:rsid w:val="00E44F20"/>
    <w:rsid w:val="00E5039A"/>
    <w:rsid w:val="00E5364C"/>
    <w:rsid w:val="00E57F0F"/>
    <w:rsid w:val="00E60106"/>
    <w:rsid w:val="00E664F5"/>
    <w:rsid w:val="00E706FE"/>
    <w:rsid w:val="00E72470"/>
    <w:rsid w:val="00E73220"/>
    <w:rsid w:val="00E7334E"/>
    <w:rsid w:val="00E74A12"/>
    <w:rsid w:val="00E75347"/>
    <w:rsid w:val="00E75565"/>
    <w:rsid w:val="00E77ECB"/>
    <w:rsid w:val="00E800F9"/>
    <w:rsid w:val="00E857A5"/>
    <w:rsid w:val="00E868F2"/>
    <w:rsid w:val="00E947C3"/>
    <w:rsid w:val="00E97360"/>
    <w:rsid w:val="00EA231F"/>
    <w:rsid w:val="00EA491A"/>
    <w:rsid w:val="00EC4201"/>
    <w:rsid w:val="00EC7665"/>
    <w:rsid w:val="00ED0507"/>
    <w:rsid w:val="00ED0F6C"/>
    <w:rsid w:val="00ED2F31"/>
    <w:rsid w:val="00ED4F82"/>
    <w:rsid w:val="00ED55A6"/>
    <w:rsid w:val="00ED5A64"/>
    <w:rsid w:val="00ED7A11"/>
    <w:rsid w:val="00EF41DC"/>
    <w:rsid w:val="00EF4CA1"/>
    <w:rsid w:val="00EF4DA3"/>
    <w:rsid w:val="00EF5481"/>
    <w:rsid w:val="00F00243"/>
    <w:rsid w:val="00F00826"/>
    <w:rsid w:val="00F0573E"/>
    <w:rsid w:val="00F107E3"/>
    <w:rsid w:val="00F10992"/>
    <w:rsid w:val="00F1235F"/>
    <w:rsid w:val="00F13199"/>
    <w:rsid w:val="00F13815"/>
    <w:rsid w:val="00F148A7"/>
    <w:rsid w:val="00F164FE"/>
    <w:rsid w:val="00F2009B"/>
    <w:rsid w:val="00F21D1E"/>
    <w:rsid w:val="00F227C0"/>
    <w:rsid w:val="00F247A1"/>
    <w:rsid w:val="00F252C4"/>
    <w:rsid w:val="00F267D3"/>
    <w:rsid w:val="00F358CA"/>
    <w:rsid w:val="00F35BB4"/>
    <w:rsid w:val="00F43837"/>
    <w:rsid w:val="00F53D73"/>
    <w:rsid w:val="00F56CB1"/>
    <w:rsid w:val="00F57BE0"/>
    <w:rsid w:val="00F66908"/>
    <w:rsid w:val="00F74014"/>
    <w:rsid w:val="00F75A12"/>
    <w:rsid w:val="00F83633"/>
    <w:rsid w:val="00F84B4C"/>
    <w:rsid w:val="00F9056F"/>
    <w:rsid w:val="00F975E3"/>
    <w:rsid w:val="00F9789C"/>
    <w:rsid w:val="00FA0853"/>
    <w:rsid w:val="00FA37FA"/>
    <w:rsid w:val="00FA631A"/>
    <w:rsid w:val="00FA6FBF"/>
    <w:rsid w:val="00FB002E"/>
    <w:rsid w:val="00FB246E"/>
    <w:rsid w:val="00FB3075"/>
    <w:rsid w:val="00FB448F"/>
    <w:rsid w:val="00FC1ED0"/>
    <w:rsid w:val="00FC29CF"/>
    <w:rsid w:val="00FD0AB8"/>
    <w:rsid w:val="00FD1A0D"/>
    <w:rsid w:val="00FE040A"/>
    <w:rsid w:val="00FE312B"/>
    <w:rsid w:val="00FE3D8A"/>
    <w:rsid w:val="00FE5873"/>
    <w:rsid w:val="00FF0D97"/>
    <w:rsid w:val="00FF4D99"/>
    <w:rsid w:val="00FF5F69"/>
    <w:rsid w:val="013141F4"/>
    <w:rsid w:val="0149150F"/>
    <w:rsid w:val="07FE4EA0"/>
    <w:rsid w:val="098B37E0"/>
    <w:rsid w:val="0A5D5D66"/>
    <w:rsid w:val="0B356ACB"/>
    <w:rsid w:val="0BC06A54"/>
    <w:rsid w:val="0D591D6A"/>
    <w:rsid w:val="0E4059D5"/>
    <w:rsid w:val="0E9038E2"/>
    <w:rsid w:val="0F682086"/>
    <w:rsid w:val="11170D6C"/>
    <w:rsid w:val="11B75A13"/>
    <w:rsid w:val="15FFB567"/>
    <w:rsid w:val="164B5CC9"/>
    <w:rsid w:val="16BF04DF"/>
    <w:rsid w:val="18181170"/>
    <w:rsid w:val="197A2C12"/>
    <w:rsid w:val="1AF23E6D"/>
    <w:rsid w:val="1DEFAD66"/>
    <w:rsid w:val="1E33614F"/>
    <w:rsid w:val="1F77D0D5"/>
    <w:rsid w:val="1FF2D424"/>
    <w:rsid w:val="1FFFADE9"/>
    <w:rsid w:val="1FFFC0AE"/>
    <w:rsid w:val="212A3450"/>
    <w:rsid w:val="23163371"/>
    <w:rsid w:val="2332285B"/>
    <w:rsid w:val="23FFCAC6"/>
    <w:rsid w:val="27EC6352"/>
    <w:rsid w:val="29375CAF"/>
    <w:rsid w:val="29DD7EFD"/>
    <w:rsid w:val="2A672B03"/>
    <w:rsid w:val="2A8531CB"/>
    <w:rsid w:val="2AB92EA1"/>
    <w:rsid w:val="2B5E0746"/>
    <w:rsid w:val="2BEB59B5"/>
    <w:rsid w:val="2C3C7281"/>
    <w:rsid w:val="2D196C34"/>
    <w:rsid w:val="2D77409F"/>
    <w:rsid w:val="2EA712DE"/>
    <w:rsid w:val="2FC359B5"/>
    <w:rsid w:val="2FD9606B"/>
    <w:rsid w:val="2FE59156"/>
    <w:rsid w:val="30AE065F"/>
    <w:rsid w:val="327BCAD8"/>
    <w:rsid w:val="334B0336"/>
    <w:rsid w:val="34775EF8"/>
    <w:rsid w:val="35A734CF"/>
    <w:rsid w:val="379F707C"/>
    <w:rsid w:val="38275076"/>
    <w:rsid w:val="38590B03"/>
    <w:rsid w:val="39444722"/>
    <w:rsid w:val="3ABF54A9"/>
    <w:rsid w:val="3AC52C65"/>
    <w:rsid w:val="3AFF144E"/>
    <w:rsid w:val="3CFE253E"/>
    <w:rsid w:val="3DB209D1"/>
    <w:rsid w:val="3DFFA71D"/>
    <w:rsid w:val="3E7FC61E"/>
    <w:rsid w:val="3EA009F6"/>
    <w:rsid w:val="3EAD8E40"/>
    <w:rsid w:val="3EF77EB8"/>
    <w:rsid w:val="3FB71B3A"/>
    <w:rsid w:val="3FBF9857"/>
    <w:rsid w:val="3FCFB153"/>
    <w:rsid w:val="3FF330CD"/>
    <w:rsid w:val="3FFF9762"/>
    <w:rsid w:val="424E2A24"/>
    <w:rsid w:val="435321C6"/>
    <w:rsid w:val="43701E6D"/>
    <w:rsid w:val="440A45AE"/>
    <w:rsid w:val="454F096A"/>
    <w:rsid w:val="456D169C"/>
    <w:rsid w:val="464B008C"/>
    <w:rsid w:val="46DB89C5"/>
    <w:rsid w:val="47F0F40B"/>
    <w:rsid w:val="4A4551BE"/>
    <w:rsid w:val="4A90080F"/>
    <w:rsid w:val="4C0D0E99"/>
    <w:rsid w:val="4D863F34"/>
    <w:rsid w:val="4ED1BB6F"/>
    <w:rsid w:val="4F180E35"/>
    <w:rsid w:val="502B31CC"/>
    <w:rsid w:val="50BF671D"/>
    <w:rsid w:val="53B41875"/>
    <w:rsid w:val="557F07EA"/>
    <w:rsid w:val="574B51CB"/>
    <w:rsid w:val="57775BF4"/>
    <w:rsid w:val="577FD72F"/>
    <w:rsid w:val="57CC51AD"/>
    <w:rsid w:val="57DB1CFB"/>
    <w:rsid w:val="57F32A2F"/>
    <w:rsid w:val="57FD3EC0"/>
    <w:rsid w:val="57FF8C23"/>
    <w:rsid w:val="5989714B"/>
    <w:rsid w:val="5AE40D1D"/>
    <w:rsid w:val="5AFF0FAC"/>
    <w:rsid w:val="5BBD50BC"/>
    <w:rsid w:val="5BCF75B5"/>
    <w:rsid w:val="5BFC26A4"/>
    <w:rsid w:val="5BFFF029"/>
    <w:rsid w:val="5C5C4F17"/>
    <w:rsid w:val="5C790F8E"/>
    <w:rsid w:val="5D7F2BA0"/>
    <w:rsid w:val="5EC24253"/>
    <w:rsid w:val="5EFD2B8E"/>
    <w:rsid w:val="5F5A011A"/>
    <w:rsid w:val="5F7B3F8B"/>
    <w:rsid w:val="5F7BA5CF"/>
    <w:rsid w:val="5F995F7C"/>
    <w:rsid w:val="5FDF95DB"/>
    <w:rsid w:val="5FEFD864"/>
    <w:rsid w:val="5FFF146F"/>
    <w:rsid w:val="5FFF82CF"/>
    <w:rsid w:val="60AC6486"/>
    <w:rsid w:val="62A31E34"/>
    <w:rsid w:val="62FB7362"/>
    <w:rsid w:val="63752CC9"/>
    <w:rsid w:val="63BF9C1E"/>
    <w:rsid w:val="63DF2ED5"/>
    <w:rsid w:val="63F24CB1"/>
    <w:rsid w:val="65FE392E"/>
    <w:rsid w:val="66082D86"/>
    <w:rsid w:val="6BCF3186"/>
    <w:rsid w:val="6BE754B9"/>
    <w:rsid w:val="6BEE7545"/>
    <w:rsid w:val="6CFA2C93"/>
    <w:rsid w:val="6D7EB23F"/>
    <w:rsid w:val="6D97D8D1"/>
    <w:rsid w:val="6DFC1B6D"/>
    <w:rsid w:val="6F1E7AE1"/>
    <w:rsid w:val="6F7FE35A"/>
    <w:rsid w:val="6FEFCBBB"/>
    <w:rsid w:val="6FF85D64"/>
    <w:rsid w:val="6FFA8E7F"/>
    <w:rsid w:val="712E0F38"/>
    <w:rsid w:val="71B94552"/>
    <w:rsid w:val="72783943"/>
    <w:rsid w:val="72EE726D"/>
    <w:rsid w:val="73BF8B06"/>
    <w:rsid w:val="75A7A77F"/>
    <w:rsid w:val="75B61F49"/>
    <w:rsid w:val="764DA2F1"/>
    <w:rsid w:val="76DF933B"/>
    <w:rsid w:val="76FBF088"/>
    <w:rsid w:val="773DCD87"/>
    <w:rsid w:val="77B56C91"/>
    <w:rsid w:val="77BD2A81"/>
    <w:rsid w:val="77BD5784"/>
    <w:rsid w:val="77F51BD8"/>
    <w:rsid w:val="78222228"/>
    <w:rsid w:val="787F4608"/>
    <w:rsid w:val="794E7921"/>
    <w:rsid w:val="797624F9"/>
    <w:rsid w:val="79FF95EA"/>
    <w:rsid w:val="7AB17A10"/>
    <w:rsid w:val="7ABBE9F9"/>
    <w:rsid w:val="7AFE78C8"/>
    <w:rsid w:val="7B153B5A"/>
    <w:rsid w:val="7B3B284A"/>
    <w:rsid w:val="7B5DCC3B"/>
    <w:rsid w:val="7B6A985F"/>
    <w:rsid w:val="7BBF70F3"/>
    <w:rsid w:val="7BCEAF62"/>
    <w:rsid w:val="7BDA5614"/>
    <w:rsid w:val="7BFB93CF"/>
    <w:rsid w:val="7C14F866"/>
    <w:rsid w:val="7C773FB8"/>
    <w:rsid w:val="7CDD76F8"/>
    <w:rsid w:val="7CDF2FF2"/>
    <w:rsid w:val="7D7361E6"/>
    <w:rsid w:val="7D736819"/>
    <w:rsid w:val="7D8ED093"/>
    <w:rsid w:val="7DBB5AA1"/>
    <w:rsid w:val="7DCB1B6E"/>
    <w:rsid w:val="7DDE7ED6"/>
    <w:rsid w:val="7DFEFA2C"/>
    <w:rsid w:val="7E8F09C9"/>
    <w:rsid w:val="7EAA767A"/>
    <w:rsid w:val="7EBBAB02"/>
    <w:rsid w:val="7EBF6F2A"/>
    <w:rsid w:val="7EDF1235"/>
    <w:rsid w:val="7EF7ED0A"/>
    <w:rsid w:val="7F3F43B2"/>
    <w:rsid w:val="7F507937"/>
    <w:rsid w:val="7F530C4A"/>
    <w:rsid w:val="7F76D103"/>
    <w:rsid w:val="7F7FAD57"/>
    <w:rsid w:val="7FAFA207"/>
    <w:rsid w:val="7FB7CDA4"/>
    <w:rsid w:val="7FDB1C88"/>
    <w:rsid w:val="7FDCAD2A"/>
    <w:rsid w:val="7FDE34E0"/>
    <w:rsid w:val="7FDE8C89"/>
    <w:rsid w:val="7FDF5E90"/>
    <w:rsid w:val="7FF69E4B"/>
    <w:rsid w:val="7FFBC230"/>
    <w:rsid w:val="7FFD3427"/>
    <w:rsid w:val="7FFE7578"/>
    <w:rsid w:val="7FFF457A"/>
    <w:rsid w:val="85DE9BAB"/>
    <w:rsid w:val="8847963C"/>
    <w:rsid w:val="8B7BD953"/>
    <w:rsid w:val="97DB0DD6"/>
    <w:rsid w:val="9A7CD873"/>
    <w:rsid w:val="9ACE41D6"/>
    <w:rsid w:val="9AFE3F04"/>
    <w:rsid w:val="9BE5DF45"/>
    <w:rsid w:val="9BFE9A02"/>
    <w:rsid w:val="9CED5A26"/>
    <w:rsid w:val="9EFF5A1C"/>
    <w:rsid w:val="9FDFC589"/>
    <w:rsid w:val="9FF671A8"/>
    <w:rsid w:val="A5FEFC7E"/>
    <w:rsid w:val="AB59A088"/>
    <w:rsid w:val="ABAFDE6F"/>
    <w:rsid w:val="ADFE2F21"/>
    <w:rsid w:val="AEE98E11"/>
    <w:rsid w:val="AEEC599D"/>
    <w:rsid w:val="AF9AF23C"/>
    <w:rsid w:val="AFEE20B3"/>
    <w:rsid w:val="B2F3CFE7"/>
    <w:rsid w:val="B37F5404"/>
    <w:rsid w:val="B52B6BA7"/>
    <w:rsid w:val="B5FE8B67"/>
    <w:rsid w:val="B6AD8E4A"/>
    <w:rsid w:val="B9FB9CB6"/>
    <w:rsid w:val="BA9D33DA"/>
    <w:rsid w:val="BBD3C38B"/>
    <w:rsid w:val="BDFB1B64"/>
    <w:rsid w:val="BDFBFEE1"/>
    <w:rsid w:val="BDFFCE6C"/>
    <w:rsid w:val="BE626B91"/>
    <w:rsid w:val="BEE1B5C9"/>
    <w:rsid w:val="BEED4D9B"/>
    <w:rsid w:val="BEF4E0E5"/>
    <w:rsid w:val="BEFA67A4"/>
    <w:rsid w:val="BF6828EB"/>
    <w:rsid w:val="BFAE32A5"/>
    <w:rsid w:val="BFB72B79"/>
    <w:rsid w:val="BFBD3FD8"/>
    <w:rsid w:val="BFDF383A"/>
    <w:rsid w:val="BFE7434E"/>
    <w:rsid w:val="BFEEADA3"/>
    <w:rsid w:val="BFF34C99"/>
    <w:rsid w:val="BFFBD657"/>
    <w:rsid w:val="BFFF1847"/>
    <w:rsid w:val="C1FF3A81"/>
    <w:rsid w:val="CE9F59C7"/>
    <w:rsid w:val="D19E16B7"/>
    <w:rsid w:val="D63D35DF"/>
    <w:rsid w:val="D719FED9"/>
    <w:rsid w:val="D7EFC36A"/>
    <w:rsid w:val="D7F51A32"/>
    <w:rsid w:val="D9A5C409"/>
    <w:rsid w:val="D9E96A0F"/>
    <w:rsid w:val="D9FD3A91"/>
    <w:rsid w:val="DADDE92C"/>
    <w:rsid w:val="DAFF37C1"/>
    <w:rsid w:val="DBD6C9ED"/>
    <w:rsid w:val="DBEF812C"/>
    <w:rsid w:val="DDA5CC33"/>
    <w:rsid w:val="DEFD5D3F"/>
    <w:rsid w:val="DF1F18F1"/>
    <w:rsid w:val="DF6F49BF"/>
    <w:rsid w:val="DFABDB48"/>
    <w:rsid w:val="DFBE88F6"/>
    <w:rsid w:val="DFBF43E3"/>
    <w:rsid w:val="DFDBF005"/>
    <w:rsid w:val="DFDE1C7D"/>
    <w:rsid w:val="E367B259"/>
    <w:rsid w:val="E3FE2292"/>
    <w:rsid w:val="E3FECB36"/>
    <w:rsid w:val="E7FBB7A0"/>
    <w:rsid w:val="E97F8DA5"/>
    <w:rsid w:val="E9E25D55"/>
    <w:rsid w:val="EBEEC2E7"/>
    <w:rsid w:val="EC7F006B"/>
    <w:rsid w:val="ED13360D"/>
    <w:rsid w:val="ED95F335"/>
    <w:rsid w:val="EDBD68A9"/>
    <w:rsid w:val="EDEF6C21"/>
    <w:rsid w:val="EE778A93"/>
    <w:rsid w:val="EF7BAEE9"/>
    <w:rsid w:val="EFB9876B"/>
    <w:rsid w:val="EFBD8401"/>
    <w:rsid w:val="EFEE130E"/>
    <w:rsid w:val="EFFC9DEC"/>
    <w:rsid w:val="EFFD8D0E"/>
    <w:rsid w:val="EFFDCBE5"/>
    <w:rsid w:val="F1D32FC9"/>
    <w:rsid w:val="F2FBEBA0"/>
    <w:rsid w:val="F4E78F31"/>
    <w:rsid w:val="F4FF827B"/>
    <w:rsid w:val="F6FF7618"/>
    <w:rsid w:val="F72DCA75"/>
    <w:rsid w:val="F7BD9973"/>
    <w:rsid w:val="F7C3292E"/>
    <w:rsid w:val="F7F38235"/>
    <w:rsid w:val="F7F77CAE"/>
    <w:rsid w:val="F7FB04C0"/>
    <w:rsid w:val="F7FD0220"/>
    <w:rsid w:val="F7FD728A"/>
    <w:rsid w:val="F7FE929D"/>
    <w:rsid w:val="F89F3F45"/>
    <w:rsid w:val="F8BDA00E"/>
    <w:rsid w:val="F95F70FA"/>
    <w:rsid w:val="F9E7AE7B"/>
    <w:rsid w:val="FA7E3FEB"/>
    <w:rsid w:val="FAFB0F2C"/>
    <w:rsid w:val="FB4FD05A"/>
    <w:rsid w:val="FB5F9EAA"/>
    <w:rsid w:val="FB6FBF1C"/>
    <w:rsid w:val="FB777AE9"/>
    <w:rsid w:val="FBDF23A0"/>
    <w:rsid w:val="FBF4E257"/>
    <w:rsid w:val="FBFF865A"/>
    <w:rsid w:val="FBFF94DA"/>
    <w:rsid w:val="FBFFD5CC"/>
    <w:rsid w:val="FCB7AA09"/>
    <w:rsid w:val="FDB50508"/>
    <w:rsid w:val="FDDAD4C1"/>
    <w:rsid w:val="FDDF8B68"/>
    <w:rsid w:val="FDE77B87"/>
    <w:rsid w:val="FDFDC5C7"/>
    <w:rsid w:val="FDFF3E73"/>
    <w:rsid w:val="FE6EF2D2"/>
    <w:rsid w:val="FEDB0C34"/>
    <w:rsid w:val="FEE74B0B"/>
    <w:rsid w:val="FEF13303"/>
    <w:rsid w:val="FEF75447"/>
    <w:rsid w:val="FEF77FC7"/>
    <w:rsid w:val="FEF95104"/>
    <w:rsid w:val="FEFDDC9F"/>
    <w:rsid w:val="FF3D01E8"/>
    <w:rsid w:val="FF3E725D"/>
    <w:rsid w:val="FF5F98A0"/>
    <w:rsid w:val="FF75363E"/>
    <w:rsid w:val="FF7D332B"/>
    <w:rsid w:val="FF7DA539"/>
    <w:rsid w:val="FF9B887D"/>
    <w:rsid w:val="FFB4650B"/>
    <w:rsid w:val="FFB8757B"/>
    <w:rsid w:val="FFBD1879"/>
    <w:rsid w:val="FFCDD4EA"/>
    <w:rsid w:val="FFD95FB2"/>
    <w:rsid w:val="FFDDE944"/>
    <w:rsid w:val="FFDEDD5F"/>
    <w:rsid w:val="FFEB8D88"/>
    <w:rsid w:val="FFED1326"/>
    <w:rsid w:val="FFEDB6E4"/>
    <w:rsid w:val="FFEF9307"/>
    <w:rsid w:val="FFF9A7CD"/>
    <w:rsid w:val="FFFB3502"/>
    <w:rsid w:val="FFFB9E07"/>
    <w:rsid w:val="FFFDDD47"/>
    <w:rsid w:val="FFFF185E"/>
    <w:rsid w:val="FFFF3686"/>
    <w:rsid w:val="FFFFD4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uppressAutoHyphens/>
      <w:spacing w:before="260" w:after="260" w:line="416" w:lineRule="auto"/>
      <w:outlineLvl w:val="1"/>
    </w:pPr>
    <w:rPr>
      <w:rFonts w:ascii="Arial" w:hAnsi="Arial" w:eastAsia="黑体"/>
      <w:b/>
      <w:bCs/>
      <w:kern w:val="1"/>
      <w:sz w:val="32"/>
      <w:szCs w:val="32"/>
      <w:lang w:eastAsia="ar-SA"/>
    </w:rPr>
  </w:style>
  <w:style w:type="character" w:default="1" w:styleId="23">
    <w:name w:val="Default Paragraph Font"/>
    <w:qFormat/>
    <w:uiPriority w:val="0"/>
  </w:style>
  <w:style w:type="table" w:default="1" w:styleId="2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afterLines="0"/>
      <w:ind w:left="200" w:leftChars="200" w:firstLine="200" w:firstLineChars="200"/>
      <w:jc w:val="both"/>
    </w:pPr>
    <w:rPr>
      <w:rFonts w:ascii="Calibri" w:hAnsi="Calibri"/>
      <w:kern w:val="2"/>
      <w:sz w:val="21"/>
      <w:szCs w:val="24"/>
      <w:lang w:val="en-US" w:eastAsia="zh-CN" w:bidi="ar-SA"/>
    </w:rPr>
  </w:style>
  <w:style w:type="paragraph" w:styleId="3">
    <w:name w:val="Body Text Indent"/>
    <w:basedOn w:val="1"/>
    <w:next w:val="1"/>
    <w:qFormat/>
    <w:uiPriority w:val="99"/>
    <w:pPr>
      <w:adjustRightInd w:val="0"/>
      <w:spacing w:line="360" w:lineRule="atLeast"/>
      <w:ind w:firstLine="600"/>
      <w:textAlignment w:val="baseline"/>
    </w:pPr>
    <w:rPr>
      <w:kern w:val="0"/>
      <w:sz w:val="30"/>
      <w:szCs w:val="20"/>
    </w:rPr>
  </w:style>
  <w:style w:type="paragraph" w:styleId="6">
    <w:name w:val="Normal Indent"/>
    <w:basedOn w:val="1"/>
    <w:qFormat/>
    <w:uiPriority w:val="0"/>
    <w:pPr>
      <w:suppressAutoHyphens/>
      <w:ind w:firstLine="420" w:firstLineChars="200"/>
    </w:pPr>
    <w:rPr>
      <w:lang w:eastAsia="ar-SA"/>
    </w:rPr>
  </w:style>
  <w:style w:type="paragraph" w:styleId="7">
    <w:name w:val="annotation text"/>
    <w:basedOn w:val="1"/>
    <w:link w:val="32"/>
    <w:qFormat/>
    <w:uiPriority w:val="99"/>
    <w:pPr>
      <w:jc w:val="left"/>
    </w:pPr>
    <w:rPr>
      <w:rFonts w:ascii="Times New Roman" w:hAnsi="Times New Roman" w:eastAsia="宋体" w:cs="Times New Roman"/>
      <w:szCs w:val="24"/>
    </w:rPr>
  </w:style>
  <w:style w:type="paragraph" w:styleId="8">
    <w:name w:val="Body Text 3"/>
    <w:basedOn w:val="1"/>
    <w:qFormat/>
    <w:uiPriority w:val="0"/>
    <w:pPr>
      <w:suppressAutoHyphens/>
      <w:spacing w:line="380" w:lineRule="exact"/>
    </w:pPr>
    <w:rPr>
      <w:rFonts w:ascii="方正小标宋_GBK" w:hAnsi="宋体" w:eastAsia="方正小标宋_GBK"/>
      <w:color w:val="000000"/>
      <w:kern w:val="1"/>
      <w:sz w:val="20"/>
      <w:szCs w:val="28"/>
      <w:lang w:eastAsia="ar-SA"/>
    </w:rPr>
  </w:style>
  <w:style w:type="paragraph" w:styleId="9">
    <w:name w:val="Body Text"/>
    <w:basedOn w:val="1"/>
    <w:next w:val="10"/>
    <w:unhideWhenUsed/>
    <w:qFormat/>
    <w:uiPriority w:val="99"/>
    <w:pPr>
      <w:spacing w:beforeLines="0" w:afterLines="0" w:line="360" w:lineRule="auto"/>
      <w:ind w:firstLine="640" w:firstLineChars="200"/>
    </w:pPr>
    <w:rPr>
      <w:rFonts w:eastAsia="仿宋_GB2312"/>
      <w:sz w:val="32"/>
    </w:rPr>
  </w:style>
  <w:style w:type="paragraph" w:styleId="10">
    <w:name w:val="Title"/>
    <w:basedOn w:val="1"/>
    <w:next w:val="1"/>
    <w:link w:val="30"/>
    <w:qFormat/>
    <w:uiPriority w:val="10"/>
    <w:pPr>
      <w:spacing w:before="240" w:after="60"/>
      <w:jc w:val="center"/>
      <w:outlineLvl w:val="0"/>
    </w:pPr>
    <w:rPr>
      <w:rFonts w:ascii="Cambria" w:hAnsi="Cambria"/>
      <w:b/>
      <w:bCs/>
      <w:sz w:val="32"/>
      <w:szCs w:val="32"/>
    </w:rPr>
  </w:style>
  <w:style w:type="paragraph" w:styleId="11">
    <w:name w:val="Plain Text"/>
    <w:basedOn w:val="1"/>
    <w:link w:val="33"/>
    <w:qFormat/>
    <w:uiPriority w:val="0"/>
    <w:rPr>
      <w:rFonts w:ascii="宋体" w:hAnsi="Courier New" w:eastAsia="宋体" w:cs="Times New Roman"/>
      <w:szCs w:val="20"/>
    </w:rPr>
  </w:style>
  <w:style w:type="paragraph" w:styleId="12">
    <w:name w:val="Body Text Indent 2"/>
    <w:basedOn w:val="1"/>
    <w:link w:val="34"/>
    <w:qFormat/>
    <w:uiPriority w:val="0"/>
    <w:pPr>
      <w:ind w:left="539" w:hanging="539"/>
    </w:pPr>
    <w:rPr>
      <w:rFonts w:ascii="宋体" w:hAnsi="Times New Roman" w:eastAsia="宋体" w:cs="Times New Roman"/>
      <w:sz w:val="18"/>
      <w:szCs w:val="24"/>
    </w:rPr>
  </w:style>
  <w:style w:type="paragraph" w:styleId="13">
    <w:name w:val="Balloon Text"/>
    <w:basedOn w:val="1"/>
    <w:link w:val="35"/>
    <w:qFormat/>
    <w:uiPriority w:val="99"/>
    <w:rPr>
      <w:rFonts w:ascii="Times New Roman" w:hAnsi="Times New Roman" w:eastAsia="宋体" w:cs="Times New Roman"/>
      <w:sz w:val="18"/>
      <w:szCs w:val="18"/>
    </w:rPr>
  </w:style>
  <w:style w:type="paragraph" w:styleId="14">
    <w:name w:val="footer"/>
    <w:basedOn w:val="1"/>
    <w:link w:val="36"/>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15">
    <w:name w:val="header"/>
    <w:basedOn w:val="1"/>
    <w:link w:val="37"/>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6">
    <w:name w:val="Subtitle"/>
    <w:basedOn w:val="1"/>
    <w:next w:val="1"/>
    <w:link w:val="38"/>
    <w:qFormat/>
    <w:uiPriority w:val="11"/>
    <w:pPr>
      <w:spacing w:before="240" w:after="60" w:line="312" w:lineRule="auto"/>
      <w:jc w:val="center"/>
      <w:outlineLvl w:val="1"/>
    </w:pPr>
    <w:rPr>
      <w:rFonts w:ascii="Cambria" w:hAnsi="Cambria"/>
      <w:b/>
      <w:bCs/>
      <w:kern w:val="28"/>
      <w:sz w:val="32"/>
      <w:szCs w:val="32"/>
    </w:rPr>
  </w:style>
  <w:style w:type="paragraph" w:styleId="17">
    <w:name w:val="footnote text"/>
    <w:basedOn w:val="1"/>
    <w:semiHidden/>
    <w:qFormat/>
    <w:uiPriority w:val="0"/>
    <w:pPr>
      <w:adjustRightInd w:val="0"/>
      <w:snapToGrid w:val="0"/>
      <w:spacing w:line="312" w:lineRule="atLeast"/>
      <w:jc w:val="left"/>
      <w:textAlignment w:val="baseline"/>
    </w:pPr>
    <w:rPr>
      <w:kern w:val="0"/>
      <w:sz w:val="18"/>
      <w:szCs w:val="18"/>
    </w:rPr>
  </w:style>
  <w:style w:type="paragraph" w:styleId="18">
    <w:name w:val="Body Text Indent 3"/>
    <w:basedOn w:val="1"/>
    <w:qFormat/>
    <w:uiPriority w:val="0"/>
    <w:pPr>
      <w:widowControl/>
      <w:tabs>
        <w:tab w:val="left" w:pos="0"/>
      </w:tabs>
      <w:ind w:firstLine="426"/>
    </w:pPr>
    <w:rPr>
      <w:kern w:val="0"/>
      <w:sz w:val="20"/>
      <w:szCs w:val="20"/>
    </w:rPr>
  </w:style>
  <w:style w:type="paragraph" w:styleId="19">
    <w:name w:val="Body Text 2"/>
    <w:basedOn w:val="1"/>
    <w:link w:val="39"/>
    <w:qFormat/>
    <w:uiPriority w:val="0"/>
    <w:rPr>
      <w:rFonts w:ascii="宋体" w:hAnsi="Times New Roman" w:eastAsia="宋体" w:cs="Times New Roman"/>
      <w:sz w:val="18"/>
      <w:szCs w:val="24"/>
    </w:rPr>
  </w:style>
  <w:style w:type="paragraph" w:styleId="20">
    <w:name w:val="annotation subject"/>
    <w:basedOn w:val="7"/>
    <w:next w:val="7"/>
    <w:link w:val="40"/>
    <w:qFormat/>
    <w:uiPriority w:val="99"/>
    <w:rPr>
      <w:rFonts w:ascii="Times New Roman" w:hAnsi="Times New Roman" w:eastAsia="宋体" w:cs="Times New Roman"/>
      <w:b/>
      <w:bCs/>
      <w:szCs w:val="24"/>
    </w:r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22"/>
    <w:rPr>
      <w:b/>
      <w:bCs/>
    </w:rPr>
  </w:style>
  <w:style w:type="character" w:styleId="25">
    <w:name w:val="page number"/>
    <w:qFormat/>
    <w:uiPriority w:val="0"/>
  </w:style>
  <w:style w:type="character" w:styleId="26">
    <w:name w:val="FollowedHyperlink"/>
    <w:unhideWhenUsed/>
    <w:qFormat/>
    <w:uiPriority w:val="99"/>
    <w:rPr>
      <w:color w:val="954F72"/>
      <w:u w:val="single"/>
    </w:rPr>
  </w:style>
  <w:style w:type="character" w:styleId="27">
    <w:name w:val="Emphasis"/>
    <w:qFormat/>
    <w:uiPriority w:val="20"/>
    <w:rPr>
      <w:i/>
      <w:iCs/>
    </w:rPr>
  </w:style>
  <w:style w:type="character" w:styleId="28">
    <w:name w:val="Hyperlink"/>
    <w:qFormat/>
    <w:uiPriority w:val="99"/>
    <w:rPr>
      <w:color w:val="0000FF"/>
      <w:u w:val="single"/>
    </w:rPr>
  </w:style>
  <w:style w:type="character" w:styleId="29">
    <w:name w:val="annotation reference"/>
    <w:qFormat/>
    <w:uiPriority w:val="99"/>
    <w:rPr>
      <w:sz w:val="21"/>
      <w:szCs w:val="21"/>
    </w:rPr>
  </w:style>
  <w:style w:type="character" w:customStyle="1" w:styleId="30">
    <w:name w:val="标题 Char"/>
    <w:link w:val="10"/>
    <w:qFormat/>
    <w:uiPriority w:val="10"/>
    <w:rPr>
      <w:rFonts w:ascii="Cambria" w:hAnsi="Cambria"/>
      <w:b/>
      <w:bCs/>
      <w:kern w:val="2"/>
      <w:sz w:val="32"/>
      <w:szCs w:val="32"/>
    </w:rPr>
  </w:style>
  <w:style w:type="character" w:customStyle="1" w:styleId="31">
    <w:name w:val="标题 1 Char"/>
    <w:link w:val="4"/>
    <w:qFormat/>
    <w:uiPriority w:val="9"/>
    <w:rPr>
      <w:rFonts w:ascii="Times New Roman" w:hAnsi="Times New Roman"/>
      <w:b/>
      <w:bCs/>
      <w:kern w:val="44"/>
      <w:sz w:val="44"/>
      <w:szCs w:val="44"/>
    </w:rPr>
  </w:style>
  <w:style w:type="character" w:customStyle="1" w:styleId="32">
    <w:name w:val="批注文字 Char"/>
    <w:link w:val="7"/>
    <w:qFormat/>
    <w:uiPriority w:val="99"/>
    <w:rPr>
      <w:rFonts w:ascii="Times New Roman" w:hAnsi="Times New Roman" w:eastAsia="宋体" w:cs="Times New Roman"/>
      <w:szCs w:val="24"/>
    </w:rPr>
  </w:style>
  <w:style w:type="character" w:customStyle="1" w:styleId="33">
    <w:name w:val="纯文本 Char"/>
    <w:link w:val="11"/>
    <w:qFormat/>
    <w:uiPriority w:val="0"/>
    <w:rPr>
      <w:rFonts w:ascii="宋体" w:hAnsi="Courier New" w:eastAsia="宋体" w:cs="Times New Roman"/>
      <w:szCs w:val="20"/>
    </w:rPr>
  </w:style>
  <w:style w:type="character" w:customStyle="1" w:styleId="34">
    <w:name w:val="正文文本缩进 2 Char"/>
    <w:link w:val="12"/>
    <w:qFormat/>
    <w:uiPriority w:val="0"/>
    <w:rPr>
      <w:rFonts w:ascii="宋体" w:hAnsi="Times New Roman" w:eastAsia="宋体" w:cs="Times New Roman"/>
      <w:sz w:val="18"/>
      <w:szCs w:val="24"/>
    </w:rPr>
  </w:style>
  <w:style w:type="character" w:customStyle="1" w:styleId="35">
    <w:name w:val="批注框文本 Char"/>
    <w:link w:val="13"/>
    <w:qFormat/>
    <w:uiPriority w:val="99"/>
    <w:rPr>
      <w:rFonts w:ascii="Times New Roman" w:hAnsi="Times New Roman" w:eastAsia="宋体" w:cs="Times New Roman"/>
      <w:sz w:val="18"/>
      <w:szCs w:val="18"/>
    </w:rPr>
  </w:style>
  <w:style w:type="character" w:customStyle="1" w:styleId="36">
    <w:name w:val="页脚 Char"/>
    <w:link w:val="14"/>
    <w:qFormat/>
    <w:uiPriority w:val="99"/>
    <w:rPr>
      <w:rFonts w:ascii="Times New Roman" w:hAnsi="Times New Roman" w:eastAsia="宋体" w:cs="Times New Roman"/>
      <w:sz w:val="18"/>
      <w:szCs w:val="18"/>
    </w:rPr>
  </w:style>
  <w:style w:type="character" w:customStyle="1" w:styleId="37">
    <w:name w:val="页眉 Char"/>
    <w:link w:val="15"/>
    <w:qFormat/>
    <w:uiPriority w:val="99"/>
    <w:rPr>
      <w:rFonts w:ascii="Times New Roman" w:hAnsi="Times New Roman" w:eastAsia="宋体" w:cs="Times New Roman"/>
      <w:sz w:val="18"/>
      <w:szCs w:val="18"/>
    </w:rPr>
  </w:style>
  <w:style w:type="character" w:customStyle="1" w:styleId="38">
    <w:name w:val="副标题 Char"/>
    <w:link w:val="16"/>
    <w:qFormat/>
    <w:uiPriority w:val="11"/>
    <w:rPr>
      <w:rFonts w:ascii="Cambria" w:hAnsi="Cambria"/>
      <w:b/>
      <w:bCs/>
      <w:kern w:val="28"/>
      <w:sz w:val="32"/>
      <w:szCs w:val="32"/>
    </w:rPr>
  </w:style>
  <w:style w:type="character" w:customStyle="1" w:styleId="39">
    <w:name w:val="正文文本 2 Char"/>
    <w:link w:val="19"/>
    <w:qFormat/>
    <w:uiPriority w:val="0"/>
    <w:rPr>
      <w:rFonts w:ascii="宋体" w:hAnsi="Times New Roman" w:eastAsia="宋体" w:cs="Times New Roman"/>
      <w:sz w:val="18"/>
      <w:szCs w:val="24"/>
    </w:rPr>
  </w:style>
  <w:style w:type="character" w:customStyle="1" w:styleId="40">
    <w:name w:val="批注主题 Char"/>
    <w:link w:val="20"/>
    <w:qFormat/>
    <w:uiPriority w:val="99"/>
    <w:rPr>
      <w:rFonts w:ascii="Times New Roman" w:hAnsi="Times New Roman" w:eastAsia="宋体" w:cs="Times New Roman"/>
      <w:b/>
      <w:bCs/>
      <w:szCs w:val="24"/>
    </w:rPr>
  </w:style>
  <w:style w:type="character" w:customStyle="1" w:styleId="41">
    <w:name w:val="小黑 Char Char Char"/>
    <w:qFormat/>
    <w:uiPriority w:val="0"/>
    <w:rPr>
      <w:rFonts w:ascii="黑体" w:hAnsi="黑体" w:eastAsia="黑体" w:cs="宋体"/>
      <w:kern w:val="2"/>
      <w:sz w:val="24"/>
      <w:lang w:val="en-US" w:eastAsia="zh-CN" w:bidi="ar-SA"/>
    </w:rPr>
  </w:style>
  <w:style w:type="character" w:customStyle="1" w:styleId="42">
    <w:name w:val="Header Char"/>
    <w:qFormat/>
    <w:uiPriority w:val="0"/>
    <w:rPr>
      <w:rFonts w:ascii="Times New Roman" w:hAnsi="Times New Roman" w:eastAsia="宋体" w:cs="Times New Roman"/>
      <w:sz w:val="18"/>
      <w:szCs w:val="18"/>
    </w:rPr>
  </w:style>
  <w:style w:type="character" w:customStyle="1" w:styleId="43">
    <w:name w:val="标题 Char1"/>
    <w:qFormat/>
    <w:uiPriority w:val="0"/>
    <w:rPr>
      <w:rFonts w:ascii="Cambria" w:hAnsi="Cambria" w:cs="Times New Roman"/>
      <w:b/>
      <w:bCs/>
      <w:kern w:val="2"/>
      <w:sz w:val="32"/>
      <w:szCs w:val="32"/>
    </w:rPr>
  </w:style>
  <w:style w:type="character" w:customStyle="1" w:styleId="44">
    <w:name w:val="小黑 Char Char"/>
    <w:link w:val="45"/>
    <w:qFormat/>
    <w:uiPriority w:val="0"/>
    <w:rPr>
      <w:rFonts w:ascii="黑体" w:hAnsi="黑体" w:eastAsia="黑体" w:cs="宋体"/>
      <w:sz w:val="24"/>
    </w:rPr>
  </w:style>
  <w:style w:type="paragraph" w:customStyle="1" w:styleId="45">
    <w:name w:val="小黑"/>
    <w:basedOn w:val="1"/>
    <w:link w:val="44"/>
    <w:qFormat/>
    <w:uiPriority w:val="0"/>
    <w:pPr>
      <w:spacing w:line="300" w:lineRule="auto"/>
      <w:ind w:firstLine="480" w:firstLineChars="200"/>
    </w:pPr>
    <w:rPr>
      <w:rFonts w:ascii="黑体" w:hAnsi="黑体" w:eastAsia="黑体" w:cs="宋体"/>
      <w:sz w:val="24"/>
    </w:rPr>
  </w:style>
  <w:style w:type="character" w:customStyle="1" w:styleId="46">
    <w:name w:val="Comment Text Char"/>
    <w:qFormat/>
    <w:uiPriority w:val="0"/>
    <w:rPr>
      <w:rFonts w:ascii="Times New Roman" w:hAnsi="Times New Roman" w:eastAsia="宋体" w:cs="Times New Roman"/>
      <w:sz w:val="24"/>
      <w:szCs w:val="24"/>
    </w:rPr>
  </w:style>
  <w:style w:type="character" w:customStyle="1" w:styleId="47">
    <w:name w:val="二级目录 Char"/>
    <w:link w:val="48"/>
    <w:qFormat/>
    <w:locked/>
    <w:uiPriority w:val="0"/>
    <w:rPr>
      <w:rFonts w:ascii="仿宋_GB2312" w:hAnsi="宋体" w:eastAsia="仿宋_GB2312" w:cs="仿宋_GB2312"/>
      <w:bCs/>
      <w:kern w:val="2"/>
      <w:sz w:val="32"/>
      <w:szCs w:val="32"/>
    </w:rPr>
  </w:style>
  <w:style w:type="paragraph" w:customStyle="1" w:styleId="48">
    <w:name w:val="二级目录"/>
    <w:basedOn w:val="1"/>
    <w:link w:val="47"/>
    <w:qFormat/>
    <w:uiPriority w:val="0"/>
    <w:pPr>
      <w:adjustRightInd w:val="0"/>
      <w:snapToGrid w:val="0"/>
      <w:spacing w:line="600" w:lineRule="exact"/>
      <w:ind w:firstLine="640" w:firstLineChars="200"/>
    </w:pPr>
    <w:rPr>
      <w:rFonts w:ascii="仿宋_GB2312" w:hAnsi="宋体" w:eastAsia="仿宋_GB2312" w:cs="仿宋_GB2312"/>
      <w:bCs/>
      <w:sz w:val="32"/>
      <w:szCs w:val="32"/>
    </w:rPr>
  </w:style>
  <w:style w:type="character" w:customStyle="1" w:styleId="49">
    <w:name w:val="访问过的超链接1"/>
    <w:unhideWhenUsed/>
    <w:qFormat/>
    <w:uiPriority w:val="99"/>
    <w:rPr>
      <w:color w:val="954F72"/>
      <w:u w:val="single"/>
    </w:rPr>
  </w:style>
  <w:style w:type="character" w:customStyle="1" w:styleId="50">
    <w:name w:val="副标题 Char1"/>
    <w:qFormat/>
    <w:uiPriority w:val="0"/>
    <w:rPr>
      <w:rFonts w:ascii="Cambria" w:hAnsi="Cambria" w:cs="Times New Roman"/>
      <w:b/>
      <w:bCs/>
      <w:kern w:val="28"/>
      <w:sz w:val="32"/>
      <w:szCs w:val="32"/>
    </w:rPr>
  </w:style>
  <w:style w:type="paragraph" w:customStyle="1" w:styleId="51">
    <w:name w:val="xl65"/>
    <w:basedOn w:val="1"/>
    <w:qFormat/>
    <w:uiPriority w:val="0"/>
    <w:pPr>
      <w:widowControl/>
      <w:pBdr>
        <w:left w:val="single" w:color="auto" w:sz="4" w:space="0"/>
        <w:right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52">
    <w:name w:val="xl6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53">
    <w:name w:val="xl91"/>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s="宋体"/>
      <w:color w:val="000000"/>
      <w:kern w:val="0"/>
      <w:sz w:val="20"/>
      <w:szCs w:val="20"/>
    </w:rPr>
  </w:style>
  <w:style w:type="paragraph" w:customStyle="1" w:styleId="54">
    <w:name w:val="Char Char Char Char Char Char Char Char Char Char Char Char1 Char Char Char Char"/>
    <w:basedOn w:val="1"/>
    <w:qFormat/>
    <w:uiPriority w:val="0"/>
    <w:pPr>
      <w:tabs>
        <w:tab w:val="left" w:pos="432"/>
      </w:tabs>
      <w:spacing w:line="400" w:lineRule="exact"/>
      <w:ind w:left="432" w:hanging="432"/>
    </w:pPr>
    <w:rPr>
      <w:szCs w:val="20"/>
    </w:rPr>
  </w:style>
  <w:style w:type="paragraph" w:customStyle="1" w:styleId="55">
    <w:name w:val="xl117"/>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6">
    <w:name w:val="xl106"/>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57">
    <w:name w:val="xl99"/>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s="宋体"/>
      <w:b/>
      <w:bCs/>
      <w:kern w:val="0"/>
      <w:sz w:val="20"/>
      <w:szCs w:val="20"/>
    </w:rPr>
  </w:style>
  <w:style w:type="paragraph" w:customStyle="1" w:styleId="58">
    <w:name w:val="xl118"/>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59">
    <w:name w:val="xl104"/>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s="宋体"/>
      <w:b/>
      <w:bCs/>
      <w:color w:val="000000"/>
      <w:kern w:val="0"/>
      <w:sz w:val="20"/>
      <w:szCs w:val="20"/>
    </w:rPr>
  </w:style>
  <w:style w:type="paragraph" w:customStyle="1" w:styleId="60">
    <w:name w:val="xl66"/>
    <w:basedOn w:val="1"/>
    <w:qFormat/>
    <w:uiPriority w:val="0"/>
    <w:pPr>
      <w:widowControl/>
      <w:spacing w:before="100" w:beforeAutospacing="1" w:after="100" w:afterAutospacing="1"/>
      <w:jc w:val="left"/>
    </w:pPr>
    <w:rPr>
      <w:rFonts w:ascii="宋体" w:hAnsi="宋体" w:cs="宋体"/>
      <w:kern w:val="0"/>
      <w:sz w:val="28"/>
      <w:szCs w:val="28"/>
    </w:rPr>
  </w:style>
  <w:style w:type="paragraph" w:customStyle="1" w:styleId="61">
    <w:name w:val="xl102"/>
    <w:basedOn w:val="1"/>
    <w:qFormat/>
    <w:uiPriority w:val="0"/>
    <w:pPr>
      <w:widowControl/>
      <w:pBdr>
        <w:left w:val="single" w:color="auto" w:sz="4" w:space="0"/>
      </w:pBdr>
      <w:spacing w:before="100" w:beforeAutospacing="1" w:after="100" w:afterAutospacing="1"/>
      <w:jc w:val="left"/>
      <w:textAlignment w:val="top"/>
    </w:pPr>
    <w:rPr>
      <w:rFonts w:ascii="宋体" w:hAnsi="宋体" w:cs="宋体"/>
      <w:color w:val="000000"/>
      <w:kern w:val="0"/>
      <w:sz w:val="20"/>
      <w:szCs w:val="20"/>
    </w:rPr>
  </w:style>
  <w:style w:type="paragraph" w:customStyle="1" w:styleId="6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3">
    <w:name w:val="Char Char1"/>
    <w:basedOn w:val="1"/>
    <w:qFormat/>
    <w:uiPriority w:val="0"/>
    <w:rPr>
      <w:rFonts w:ascii="Tahoma" w:hAnsi="Tahoma"/>
      <w:sz w:val="24"/>
      <w:szCs w:val="20"/>
    </w:rPr>
  </w:style>
  <w:style w:type="paragraph" w:customStyle="1" w:styleId="64">
    <w:name w:val="reader-word-layer reader-word-s5-2"/>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65">
    <w:name w:val="xl119"/>
    <w:basedOn w:val="1"/>
    <w:qFormat/>
    <w:uiPriority w:val="0"/>
    <w:pPr>
      <w:widowControl/>
      <w:spacing w:before="100" w:beforeAutospacing="1" w:after="100" w:afterAutospacing="1"/>
      <w:jc w:val="left"/>
    </w:pPr>
    <w:rPr>
      <w:rFonts w:ascii="黑体" w:hAnsi="黑体" w:eastAsia="黑体" w:cs="宋体"/>
      <w:b/>
      <w:bCs/>
      <w:kern w:val="0"/>
      <w:sz w:val="24"/>
    </w:rPr>
  </w:style>
  <w:style w:type="paragraph" w:customStyle="1" w:styleId="66">
    <w:name w:val="xl108"/>
    <w:basedOn w:val="1"/>
    <w:qFormat/>
    <w:uiPriority w:val="0"/>
    <w:pPr>
      <w:widowControl/>
      <w:pBdr>
        <w:left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67">
    <w:name w:val="xl85"/>
    <w:basedOn w:val="1"/>
    <w:qFormat/>
    <w:uiPriority w:val="0"/>
    <w:pPr>
      <w:widowControl/>
      <w:spacing w:before="100" w:beforeAutospacing="1" w:after="100" w:afterAutospacing="1"/>
      <w:jc w:val="left"/>
      <w:textAlignment w:val="top"/>
    </w:pPr>
    <w:rPr>
      <w:rFonts w:ascii="宋体" w:hAnsi="宋体" w:cs="宋体"/>
      <w:kern w:val="0"/>
      <w:sz w:val="20"/>
      <w:szCs w:val="20"/>
    </w:rPr>
  </w:style>
  <w:style w:type="paragraph" w:customStyle="1" w:styleId="68">
    <w:name w:val="xl92"/>
    <w:basedOn w:val="1"/>
    <w:qFormat/>
    <w:uiPriority w:val="0"/>
    <w:pPr>
      <w:widowControl/>
      <w:pBdr>
        <w:left w:val="single" w:color="auto" w:sz="4" w:space="0"/>
        <w:right w:val="single" w:color="auto" w:sz="4" w:space="0"/>
      </w:pBdr>
      <w:spacing w:before="100" w:beforeAutospacing="1" w:after="100" w:afterAutospacing="1"/>
      <w:jc w:val="left"/>
      <w:textAlignment w:val="top"/>
    </w:pPr>
    <w:rPr>
      <w:rFonts w:ascii="宋体" w:hAnsi="宋体" w:cs="宋体"/>
      <w:color w:val="000000"/>
      <w:kern w:val="0"/>
      <w:sz w:val="20"/>
      <w:szCs w:val="20"/>
    </w:rPr>
  </w:style>
  <w:style w:type="paragraph" w:customStyle="1" w:styleId="69">
    <w:name w:val="xl72"/>
    <w:basedOn w:val="1"/>
    <w:qFormat/>
    <w:uiPriority w:val="0"/>
    <w:pPr>
      <w:widowControl/>
      <w:spacing w:before="100" w:beforeAutospacing="1" w:after="100" w:afterAutospacing="1"/>
      <w:jc w:val="center"/>
      <w:textAlignment w:val="top"/>
    </w:pPr>
    <w:rPr>
      <w:rFonts w:ascii="宋体" w:hAnsi="宋体" w:cs="宋体"/>
      <w:kern w:val="0"/>
      <w:sz w:val="20"/>
      <w:szCs w:val="20"/>
    </w:rPr>
  </w:style>
  <w:style w:type="paragraph" w:customStyle="1" w:styleId="70">
    <w:name w:val="font10"/>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71">
    <w:name w:val="xl98"/>
    <w:basedOn w:val="1"/>
    <w:qFormat/>
    <w:uiPriority w:val="0"/>
    <w:pPr>
      <w:widowControl/>
      <w:pBdr>
        <w:left w:val="single" w:color="auto" w:sz="4" w:space="0"/>
        <w:right w:val="single" w:color="auto" w:sz="4" w:space="0"/>
      </w:pBdr>
      <w:spacing w:before="100" w:beforeAutospacing="1" w:after="100" w:afterAutospacing="1"/>
      <w:jc w:val="left"/>
      <w:textAlignment w:val="top"/>
    </w:pPr>
    <w:rPr>
      <w:rFonts w:ascii="宋体" w:hAnsi="宋体" w:cs="宋体"/>
      <w:color w:val="000000"/>
      <w:kern w:val="0"/>
      <w:sz w:val="20"/>
      <w:szCs w:val="20"/>
    </w:rPr>
  </w:style>
  <w:style w:type="paragraph" w:customStyle="1" w:styleId="72">
    <w:name w:val="xl94"/>
    <w:basedOn w:val="1"/>
    <w:qFormat/>
    <w:uiPriority w:val="0"/>
    <w:pPr>
      <w:widowControl/>
      <w:pBdr>
        <w:left w:val="single" w:color="auto" w:sz="4" w:space="0"/>
        <w:right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73">
    <w:name w:val="xl76"/>
    <w:basedOn w:val="1"/>
    <w:qFormat/>
    <w:uiPriority w:val="0"/>
    <w:pPr>
      <w:widowControl/>
      <w:pBdr>
        <w:right w:val="single" w:color="auto" w:sz="4" w:space="0"/>
      </w:pBdr>
      <w:spacing w:before="100" w:beforeAutospacing="1" w:after="100" w:afterAutospacing="1"/>
      <w:jc w:val="center"/>
      <w:textAlignment w:val="top"/>
    </w:pPr>
    <w:rPr>
      <w:rFonts w:ascii="宋体" w:hAnsi="宋体" w:cs="宋体"/>
      <w:b/>
      <w:bCs/>
      <w:kern w:val="0"/>
      <w:sz w:val="20"/>
      <w:szCs w:val="20"/>
    </w:rPr>
  </w:style>
  <w:style w:type="paragraph" w:customStyle="1" w:styleId="74">
    <w:name w:val="xl113"/>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75">
    <w:name w:val="xl101"/>
    <w:basedOn w:val="1"/>
    <w:qFormat/>
    <w:uiPriority w:val="0"/>
    <w:pPr>
      <w:widowControl/>
      <w:pBdr>
        <w:left w:val="single" w:color="auto" w:sz="4" w:space="0"/>
        <w:right w:val="single" w:color="auto" w:sz="4" w:space="0"/>
      </w:pBdr>
      <w:spacing w:before="100" w:beforeAutospacing="1" w:after="100" w:afterAutospacing="1"/>
      <w:jc w:val="left"/>
      <w:textAlignment w:val="top"/>
    </w:pPr>
    <w:rPr>
      <w:rFonts w:ascii="宋体" w:hAnsi="宋体" w:cs="宋体"/>
      <w:b/>
      <w:bCs/>
      <w:color w:val="000000"/>
      <w:kern w:val="0"/>
      <w:sz w:val="20"/>
      <w:szCs w:val="20"/>
    </w:rPr>
  </w:style>
  <w:style w:type="paragraph" w:customStyle="1" w:styleId="76">
    <w:name w:val="xl64"/>
    <w:basedOn w:val="1"/>
    <w:qFormat/>
    <w:uiPriority w:val="0"/>
    <w:pPr>
      <w:widowControl/>
      <w:pBdr>
        <w:left w:val="single" w:color="auto" w:sz="4" w:space="0"/>
        <w:right w:val="single" w:color="auto" w:sz="4" w:space="0"/>
      </w:pBdr>
      <w:spacing w:before="100" w:beforeAutospacing="1" w:after="100" w:afterAutospacing="1"/>
      <w:jc w:val="left"/>
      <w:textAlignment w:val="top"/>
    </w:pPr>
    <w:rPr>
      <w:rFonts w:ascii="宋体" w:hAnsi="宋体" w:cs="宋体"/>
      <w:b/>
      <w:bCs/>
      <w:kern w:val="0"/>
      <w:sz w:val="20"/>
      <w:szCs w:val="20"/>
    </w:rPr>
  </w:style>
  <w:style w:type="paragraph" w:customStyle="1" w:styleId="77">
    <w:name w:val="xl89"/>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s="宋体"/>
      <w:color w:val="000000"/>
      <w:kern w:val="0"/>
      <w:sz w:val="20"/>
      <w:szCs w:val="20"/>
    </w:rPr>
  </w:style>
  <w:style w:type="paragraph" w:customStyle="1" w:styleId="78">
    <w:name w:val="xl112"/>
    <w:basedOn w:val="1"/>
    <w:qFormat/>
    <w:uiPriority w:val="0"/>
    <w:pPr>
      <w:widowControl/>
      <w:pBdr>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79">
    <w:name w:val="xl115"/>
    <w:basedOn w:val="1"/>
    <w:qFormat/>
    <w:uiPriority w:val="0"/>
    <w:pPr>
      <w:widowControl/>
      <w:pBdr>
        <w:left w:val="single" w:color="auto" w:sz="4" w:space="0"/>
        <w:bottom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80">
    <w:name w:val="xl86"/>
    <w:basedOn w:val="1"/>
    <w:qFormat/>
    <w:uiPriority w:val="0"/>
    <w:pPr>
      <w:widowControl/>
      <w:spacing w:before="100" w:beforeAutospacing="1" w:after="100" w:afterAutospacing="1"/>
      <w:jc w:val="left"/>
      <w:textAlignment w:val="top"/>
    </w:pPr>
    <w:rPr>
      <w:rFonts w:ascii="宋体" w:hAnsi="宋体" w:cs="宋体"/>
      <w:kern w:val="0"/>
      <w:sz w:val="20"/>
      <w:szCs w:val="20"/>
    </w:rPr>
  </w:style>
  <w:style w:type="paragraph" w:customStyle="1" w:styleId="81">
    <w:name w:val="xl110"/>
    <w:basedOn w:val="1"/>
    <w:qFormat/>
    <w:uiPriority w:val="0"/>
    <w:pPr>
      <w:widowControl/>
      <w:pBdr>
        <w:left w:val="single" w:color="auto" w:sz="4" w:space="0"/>
        <w:bottom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82">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83">
    <w:name w:val="xl8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84">
    <w:name w:val="_Style 78"/>
    <w:unhideWhenUsed/>
    <w:qFormat/>
    <w:uiPriority w:val="99"/>
    <w:rPr>
      <w:rFonts w:ascii="Times New Roman" w:hAnsi="Times New Roman" w:eastAsia="宋体" w:cs="Times New Roman"/>
      <w:kern w:val="2"/>
      <w:sz w:val="21"/>
      <w:szCs w:val="22"/>
      <w:lang w:val="en-US" w:eastAsia="zh-CN" w:bidi="ar-SA"/>
    </w:rPr>
  </w:style>
  <w:style w:type="paragraph" w:styleId="85">
    <w:name w:val="No Spacing"/>
    <w:qFormat/>
    <w:uiPriority w:val="1"/>
    <w:pPr>
      <w:adjustRightInd w:val="0"/>
      <w:snapToGrid w:val="0"/>
    </w:pPr>
    <w:rPr>
      <w:rFonts w:ascii="Tahoma" w:hAnsi="Tahoma" w:eastAsia="微软雅黑" w:cs="Tahoma"/>
      <w:sz w:val="22"/>
      <w:szCs w:val="22"/>
      <w:lang w:val="en-US" w:eastAsia="zh-CN" w:bidi="ar-SA"/>
    </w:rPr>
  </w:style>
  <w:style w:type="paragraph" w:customStyle="1" w:styleId="86">
    <w:name w:val="xl116"/>
    <w:basedOn w:val="1"/>
    <w:qFormat/>
    <w:uiPriority w:val="0"/>
    <w:pPr>
      <w:widowControl/>
      <w:spacing w:before="100" w:beforeAutospacing="1" w:after="100" w:afterAutospacing="1"/>
      <w:jc w:val="center"/>
    </w:pPr>
    <w:rPr>
      <w:rFonts w:ascii="宋体" w:hAnsi="宋体" w:cs="宋体"/>
      <w:b/>
      <w:bCs/>
      <w:kern w:val="0"/>
      <w:sz w:val="24"/>
    </w:rPr>
  </w:style>
  <w:style w:type="paragraph" w:customStyle="1" w:styleId="87">
    <w:name w:val="Char Char"/>
    <w:basedOn w:val="1"/>
    <w:qFormat/>
    <w:uiPriority w:val="0"/>
    <w:rPr>
      <w:rFonts w:ascii="Tahoma" w:hAnsi="Tahoma"/>
      <w:sz w:val="24"/>
      <w:szCs w:val="20"/>
    </w:rPr>
  </w:style>
  <w:style w:type="paragraph" w:customStyle="1" w:styleId="88">
    <w:name w:val="xl77"/>
    <w:basedOn w:val="1"/>
    <w:qFormat/>
    <w:uiPriority w:val="0"/>
    <w:pPr>
      <w:widowControl/>
      <w:pBdr>
        <w:left w:val="single" w:color="auto" w:sz="4" w:space="0"/>
        <w:right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89">
    <w:name w:val="p0"/>
    <w:basedOn w:val="1"/>
    <w:qFormat/>
    <w:uiPriority w:val="0"/>
    <w:pPr>
      <w:widowControl/>
      <w:adjustRightInd w:val="0"/>
      <w:snapToGrid w:val="0"/>
      <w:spacing w:after="200"/>
      <w:jc w:val="left"/>
    </w:pPr>
    <w:rPr>
      <w:rFonts w:ascii="Tahoma" w:hAnsi="Tahoma" w:cs="Tahoma"/>
      <w:kern w:val="0"/>
      <w:sz w:val="22"/>
      <w:szCs w:val="22"/>
    </w:rPr>
  </w:style>
  <w:style w:type="paragraph" w:customStyle="1" w:styleId="90">
    <w:name w:val="xl120"/>
    <w:basedOn w:val="1"/>
    <w:qFormat/>
    <w:uiPriority w:val="0"/>
    <w:pPr>
      <w:widowControl/>
      <w:spacing w:before="100" w:beforeAutospacing="1" w:after="100" w:afterAutospacing="1"/>
      <w:jc w:val="left"/>
    </w:pPr>
    <w:rPr>
      <w:rFonts w:ascii="黑体" w:hAnsi="黑体" w:eastAsia="黑体" w:cs="宋体"/>
      <w:kern w:val="0"/>
      <w:sz w:val="24"/>
    </w:rPr>
  </w:style>
  <w:style w:type="paragraph" w:customStyle="1" w:styleId="91">
    <w:name w:val="xl95"/>
    <w:basedOn w:val="1"/>
    <w:qFormat/>
    <w:uiPriority w:val="0"/>
    <w:pPr>
      <w:widowControl/>
      <w:pBdr>
        <w:left w:val="single" w:color="auto" w:sz="4" w:space="0"/>
        <w:right w:val="single" w:color="auto" w:sz="4" w:space="0"/>
      </w:pBdr>
      <w:spacing w:before="100" w:beforeAutospacing="1" w:after="100" w:afterAutospacing="1"/>
      <w:jc w:val="left"/>
      <w:textAlignment w:val="top"/>
    </w:pPr>
    <w:rPr>
      <w:rFonts w:ascii="宋体" w:hAnsi="宋体" w:cs="宋体"/>
      <w:color w:val="000000"/>
      <w:kern w:val="0"/>
      <w:sz w:val="20"/>
      <w:szCs w:val="20"/>
    </w:rPr>
  </w:style>
  <w:style w:type="paragraph" w:customStyle="1" w:styleId="92">
    <w:name w:val="xl90"/>
    <w:basedOn w:val="1"/>
    <w:qFormat/>
    <w:uiPriority w:val="0"/>
    <w:pPr>
      <w:widowControl/>
      <w:pBdr>
        <w:left w:val="single" w:color="auto" w:sz="4" w:space="0"/>
      </w:pBdr>
      <w:spacing w:before="100" w:beforeAutospacing="1" w:after="100" w:afterAutospacing="1"/>
      <w:jc w:val="left"/>
      <w:textAlignment w:val="top"/>
    </w:pPr>
    <w:rPr>
      <w:rFonts w:ascii="宋体" w:hAnsi="宋体" w:cs="宋体"/>
      <w:color w:val="000000"/>
      <w:kern w:val="0"/>
      <w:sz w:val="20"/>
      <w:szCs w:val="20"/>
    </w:rPr>
  </w:style>
  <w:style w:type="paragraph" w:customStyle="1" w:styleId="93">
    <w:name w:val="xl87"/>
    <w:basedOn w:val="1"/>
    <w:qFormat/>
    <w:uiPriority w:val="0"/>
    <w:pPr>
      <w:widowControl/>
      <w:spacing w:before="100" w:beforeAutospacing="1" w:after="100" w:afterAutospacing="1"/>
      <w:jc w:val="left"/>
      <w:textAlignment w:val="top"/>
    </w:pPr>
    <w:rPr>
      <w:rFonts w:ascii="宋体" w:hAnsi="宋体" w:cs="宋体"/>
      <w:kern w:val="0"/>
      <w:sz w:val="20"/>
      <w:szCs w:val="20"/>
    </w:rPr>
  </w:style>
  <w:style w:type="paragraph" w:customStyle="1" w:styleId="94">
    <w:name w:val="xl114"/>
    <w:basedOn w:val="1"/>
    <w:qFormat/>
    <w:uiPriority w:val="0"/>
    <w:pPr>
      <w:widowControl/>
      <w:pBdr>
        <w:left w:val="single" w:color="auto" w:sz="4" w:space="0"/>
        <w:right w:val="single" w:color="auto" w:sz="4" w:space="0"/>
      </w:pBdr>
      <w:spacing w:before="100" w:beforeAutospacing="1" w:after="100" w:afterAutospacing="1"/>
      <w:jc w:val="center"/>
    </w:pPr>
    <w:rPr>
      <w:rFonts w:ascii="黑体" w:hAnsi="黑体" w:eastAsia="黑体" w:cs="宋体"/>
      <w:b/>
      <w:bCs/>
      <w:kern w:val="0"/>
      <w:sz w:val="20"/>
      <w:szCs w:val="20"/>
    </w:rPr>
  </w:style>
  <w:style w:type="paragraph" w:customStyle="1" w:styleId="95">
    <w:name w:val="xl73"/>
    <w:basedOn w:val="1"/>
    <w:qFormat/>
    <w:uiPriority w:val="0"/>
    <w:pPr>
      <w:widowControl/>
      <w:pBdr>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96">
    <w:name w:val="xl121"/>
    <w:basedOn w:val="1"/>
    <w:qFormat/>
    <w:uiPriority w:val="0"/>
    <w:pPr>
      <w:widowControl/>
      <w:spacing w:before="100" w:beforeAutospacing="1" w:after="100" w:afterAutospacing="1"/>
      <w:jc w:val="left"/>
    </w:pPr>
    <w:rPr>
      <w:rFonts w:ascii="黑体" w:hAnsi="黑体" w:eastAsia="黑体" w:cs="宋体"/>
      <w:b/>
      <w:bCs/>
      <w:kern w:val="0"/>
      <w:sz w:val="24"/>
    </w:rPr>
  </w:style>
  <w:style w:type="paragraph" w:customStyle="1" w:styleId="97">
    <w:name w:val="xl67"/>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s="宋体"/>
      <w:b/>
      <w:bCs/>
      <w:kern w:val="0"/>
      <w:sz w:val="20"/>
      <w:szCs w:val="20"/>
    </w:rPr>
  </w:style>
  <w:style w:type="paragraph" w:styleId="98">
    <w:name w:val="List Paragraph"/>
    <w:basedOn w:val="1"/>
    <w:qFormat/>
    <w:uiPriority w:val="99"/>
    <w:pPr>
      <w:ind w:firstLine="420" w:firstLineChars="200"/>
    </w:pPr>
    <w:rPr>
      <w:szCs w:val="22"/>
    </w:rPr>
  </w:style>
  <w:style w:type="paragraph" w:customStyle="1" w:styleId="99">
    <w:name w:val="xl11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黑体" w:hAnsi="黑体" w:eastAsia="黑体" w:cs="宋体"/>
      <w:b/>
      <w:bCs/>
      <w:color w:val="000000"/>
      <w:kern w:val="0"/>
      <w:sz w:val="20"/>
      <w:szCs w:val="20"/>
    </w:rPr>
  </w:style>
  <w:style w:type="paragraph" w:customStyle="1" w:styleId="100">
    <w:name w:val="xl74"/>
    <w:basedOn w:val="1"/>
    <w:qFormat/>
    <w:uiPriority w:val="0"/>
    <w:pPr>
      <w:widowControl/>
      <w:pBdr>
        <w:left w:val="single" w:color="auto" w:sz="4" w:space="0"/>
        <w:right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10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02">
    <w:name w:val="xl80"/>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103">
    <w:name w:val="xl100"/>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s="宋体"/>
      <w:b/>
      <w:bCs/>
      <w:color w:val="000000"/>
      <w:kern w:val="0"/>
      <w:sz w:val="20"/>
      <w:szCs w:val="20"/>
    </w:rPr>
  </w:style>
  <w:style w:type="paragraph" w:customStyle="1" w:styleId="104">
    <w:name w:val=" Char1 Char Char Char Char Char Char"/>
    <w:basedOn w:val="1"/>
    <w:qFormat/>
    <w:uiPriority w:val="0"/>
    <w:pPr>
      <w:autoSpaceDE w:val="0"/>
      <w:autoSpaceDN w:val="0"/>
    </w:pPr>
    <w:rPr>
      <w:rFonts w:ascii="Tahoma" w:hAnsi="Tahoma"/>
      <w:sz w:val="24"/>
      <w:szCs w:val="20"/>
    </w:rPr>
  </w:style>
  <w:style w:type="paragraph" w:customStyle="1" w:styleId="105">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6">
    <w:name w:val="xl8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107">
    <w:name w:val="xl88"/>
    <w:basedOn w:val="1"/>
    <w:qFormat/>
    <w:uiPriority w:val="0"/>
    <w:pPr>
      <w:widowControl/>
      <w:spacing w:before="100" w:beforeAutospacing="1" w:after="100" w:afterAutospacing="1"/>
      <w:jc w:val="center"/>
      <w:textAlignment w:val="top"/>
    </w:pPr>
    <w:rPr>
      <w:rFonts w:ascii="宋体" w:hAnsi="宋体" w:cs="宋体"/>
      <w:kern w:val="0"/>
      <w:sz w:val="20"/>
      <w:szCs w:val="20"/>
    </w:rPr>
  </w:style>
  <w:style w:type="paragraph" w:customStyle="1" w:styleId="108">
    <w:name w:val="xl78"/>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s="宋体"/>
      <w:b/>
      <w:bCs/>
      <w:kern w:val="0"/>
      <w:sz w:val="20"/>
      <w:szCs w:val="20"/>
    </w:rPr>
  </w:style>
  <w:style w:type="paragraph" w:customStyle="1" w:styleId="109">
    <w:name w:val="xl93"/>
    <w:basedOn w:val="1"/>
    <w:qFormat/>
    <w:uiPriority w:val="0"/>
    <w:pPr>
      <w:widowControl/>
      <w:pBdr>
        <w:right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110">
    <w:name w:val="xl81"/>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111">
    <w:name w:val="xl97"/>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112">
    <w:name w:val="xl79"/>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113">
    <w:name w:val="xl8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114">
    <w:name w:val="xl103"/>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s="宋体"/>
      <w:color w:val="000000"/>
      <w:kern w:val="0"/>
      <w:sz w:val="20"/>
      <w:szCs w:val="20"/>
    </w:rPr>
  </w:style>
  <w:style w:type="paragraph" w:customStyle="1" w:styleId="115">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6">
    <w:name w:val="font8"/>
    <w:basedOn w:val="1"/>
    <w:qFormat/>
    <w:uiPriority w:val="0"/>
    <w:pPr>
      <w:widowControl/>
      <w:spacing w:before="100" w:beforeAutospacing="1" w:after="100" w:afterAutospacing="1"/>
      <w:jc w:val="left"/>
    </w:pPr>
    <w:rPr>
      <w:kern w:val="0"/>
      <w:sz w:val="20"/>
      <w:szCs w:val="20"/>
    </w:rPr>
  </w:style>
  <w:style w:type="paragraph" w:customStyle="1" w:styleId="117">
    <w:name w:val="xl105"/>
    <w:basedOn w:val="1"/>
    <w:qFormat/>
    <w:uiPriority w:val="0"/>
    <w:pPr>
      <w:widowControl/>
      <w:pBdr>
        <w:left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118">
    <w:name w:val="Char Char Char Char Char Char Char Char Char Char Char Char1 Char Char Char Char1"/>
    <w:basedOn w:val="1"/>
    <w:qFormat/>
    <w:uiPriority w:val="0"/>
    <w:pPr>
      <w:tabs>
        <w:tab w:val="left" w:pos="432"/>
      </w:tabs>
      <w:spacing w:line="400" w:lineRule="exact"/>
      <w:ind w:left="432" w:hanging="432"/>
    </w:pPr>
    <w:rPr>
      <w:szCs w:val="20"/>
    </w:rPr>
  </w:style>
  <w:style w:type="paragraph" w:customStyle="1" w:styleId="119">
    <w:name w:val="xl7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0">
    <w:name w:val="xl63"/>
    <w:basedOn w:val="1"/>
    <w:qFormat/>
    <w:uiPriority w:val="0"/>
    <w:pPr>
      <w:widowControl/>
      <w:spacing w:before="100" w:beforeAutospacing="1" w:after="100" w:afterAutospacing="1"/>
      <w:jc w:val="left"/>
      <w:textAlignment w:val="top"/>
    </w:pPr>
    <w:rPr>
      <w:rFonts w:ascii="宋体" w:hAnsi="宋体" w:cs="宋体"/>
      <w:kern w:val="0"/>
      <w:sz w:val="20"/>
      <w:szCs w:val="20"/>
    </w:rPr>
  </w:style>
  <w:style w:type="paragraph" w:customStyle="1" w:styleId="121">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2">
    <w:name w:val="xl75"/>
    <w:basedOn w:val="1"/>
    <w:qFormat/>
    <w:uiPriority w:val="0"/>
    <w:pPr>
      <w:widowControl/>
      <w:pBdr>
        <w:left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123">
    <w:name w:val="xl107"/>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124">
    <w:name w:val="xl109"/>
    <w:basedOn w:val="1"/>
    <w:qFormat/>
    <w:uiPriority w:val="0"/>
    <w:pPr>
      <w:widowControl/>
      <w:pBdr>
        <w:left w:val="single" w:color="auto" w:sz="4" w:space="0"/>
      </w:pBdr>
      <w:spacing w:before="100" w:beforeAutospacing="1" w:after="100" w:afterAutospacing="1"/>
      <w:jc w:val="left"/>
      <w:textAlignment w:val="top"/>
    </w:pPr>
    <w:rPr>
      <w:rFonts w:ascii="宋体" w:hAnsi="宋体" w:cs="宋体"/>
      <w:b/>
      <w:bCs/>
      <w:kern w:val="0"/>
      <w:sz w:val="20"/>
      <w:szCs w:val="20"/>
    </w:rPr>
  </w:style>
  <w:style w:type="paragraph" w:customStyle="1" w:styleId="125">
    <w:name w:val="xl96"/>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s="宋体"/>
      <w:color w:val="000000"/>
      <w:kern w:val="0"/>
      <w:sz w:val="20"/>
      <w:szCs w:val="20"/>
    </w:rPr>
  </w:style>
  <w:style w:type="paragraph" w:customStyle="1" w:styleId="126">
    <w:name w:val="1"/>
    <w:basedOn w:val="1"/>
    <w:qFormat/>
    <w:uiPriority w:val="0"/>
    <w:pPr>
      <w:suppressAutoHyphens/>
      <w:snapToGrid w:val="0"/>
      <w:spacing w:afterLines="50" w:line="1100" w:lineRule="exact"/>
      <w:jc w:val="center"/>
    </w:pPr>
    <w:rPr>
      <w:rFonts w:ascii="方正小标宋_GBK" w:hAnsi="宋体" w:eastAsia="方正小标宋_GBK"/>
      <w:color w:val="000000"/>
      <w:kern w:val="1"/>
      <w:sz w:val="44"/>
      <w:szCs w:val="44"/>
      <w:lang w:eastAsia="ar-SA"/>
    </w:rPr>
  </w:style>
  <w:style w:type="paragraph" w:customStyle="1" w:styleId="12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28">
    <w:name w:val="5"/>
    <w:basedOn w:val="1"/>
    <w:qFormat/>
    <w:uiPriority w:val="0"/>
    <w:pPr>
      <w:tabs>
        <w:tab w:val="left" w:pos="0"/>
      </w:tabs>
      <w:suppressAutoHyphens/>
      <w:spacing w:line="360" w:lineRule="exact"/>
      <w:ind w:firstLine="420" w:firstLineChars="200"/>
    </w:pPr>
    <w:rPr>
      <w:rFonts w:ascii="宋体" w:hAnsi="宋体"/>
      <w:color w:val="000000"/>
      <w:kern w:val="1"/>
      <w:szCs w:val="21"/>
      <w:lang w:eastAsia="ar-SA"/>
    </w:rPr>
  </w:style>
  <w:style w:type="paragraph" w:customStyle="1" w:styleId="129">
    <w:name w:val="xl28"/>
    <w:basedOn w:val="1"/>
    <w:qFormat/>
    <w:uiPriority w:val="0"/>
    <w:pPr>
      <w:widowControl/>
      <w:pBdr>
        <w:right w:val="single" w:color="auto" w:sz="4" w:space="0"/>
      </w:pBdr>
      <w:spacing w:before="100" w:beforeLines="0" w:beforeAutospacing="1" w:after="100" w:afterLines="0" w:afterAutospacing="1"/>
      <w:textAlignment w:val="top"/>
    </w:pPr>
    <w:rPr>
      <w:rFonts w:ascii="Arial Unicode MS" w:hAnsi="Arial Unicode MS" w:eastAsia="Arial Unicode MS" w:cs="Arial Unicode MS"/>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国家统计局</Company>
  <Pages>58</Pages>
  <Words>55374</Words>
  <Characters>58767</Characters>
  <Lines>478</Lines>
  <Paragraphs>134</Paragraphs>
  <TotalTime>1</TotalTime>
  <ScaleCrop>false</ScaleCrop>
  <LinksUpToDate>false</LinksUpToDate>
  <CharactersWithSpaces>64227</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2023-11-04T22:45:00Z</dcterms:created>
  <dc:creator>王振宇:</dc:creator>
  <cp:lastModifiedBy>huawei</cp:lastModifiedBy>
  <cp:lastPrinted>2026-01-09T02:35:00Z</cp:lastPrinted>
  <dcterms:modified xsi:type="dcterms:W3CDTF">2026-02-06T10:25:52Z</dcterms:modified>
  <dc:title>○H固定资产投资统计</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5407BBAB7BDC48F2903141C3B5832CCD</vt:lpwstr>
  </property>
  <property fmtid="{D5CDD505-2E9C-101B-9397-08002B2CF9AE}" pid="4" name="KSOTemplateDocerSaveRecord">
    <vt:lpwstr>eyJoZGlkIjoiYjRlYWJmYjFjM2U5ZWM5MGFkZmVlZWZjZjk2NjIwYWQiLCJ1c2VySWQiOiIyMzE4NDYxMDUifQ==</vt:lpwstr>
  </property>
</Properties>
</file>