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W w:w="0" w:type="auto"/>
        <w:tblInd w:w="0" w:type="dxa"/>
        <w:tblLayout w:type="autofit"/>
        <w:tblCellMar>
          <w:top w:w="0" w:type="dxa"/>
          <w:left w:w="108" w:type="dxa"/>
          <w:bottom w:w="0" w:type="dxa"/>
          <w:right w:w="108" w:type="dxa"/>
        </w:tblCellMar>
      </w:tblPr>
      <w:tblGrid>
        <w:gridCol w:w="9628"/>
      </w:tblGrid>
      <w:tr>
        <w:tblPrEx>
          <w:tblCellMar>
            <w:top w:w="0" w:type="dxa"/>
            <w:left w:w="108" w:type="dxa"/>
            <w:bottom w:w="0" w:type="dxa"/>
            <w:right w:w="108" w:type="dxa"/>
          </w:tblCellMar>
        </w:tblPrEx>
        <w:trPr>
          <w:trHeight w:val="2835" w:hRule="exact"/>
        </w:trPr>
        <w:tc>
          <w:tcPr>
            <w:tcW w:w="9629" w:type="dxa"/>
            <w:noWrap w:val="0"/>
            <w:vAlign w:val="top"/>
          </w:tcPr>
          <w:p>
            <w:pPr>
              <w:snapToGrid w:val="0"/>
              <w:spacing w:line="1000" w:lineRule="exact"/>
              <w:jc w:val="both"/>
              <w:rPr>
                <w:rFonts w:hint="eastAsia" w:ascii="方正小标宋_GBK" w:hAnsi="方正小标宋_GBK" w:eastAsia="方正小标宋_GBK" w:cs="方正小标宋_GBK"/>
                <w:sz w:val="32"/>
                <w:szCs w:val="32"/>
              </w:rPr>
            </w:pPr>
          </w:p>
        </w:tc>
      </w:tr>
    </w:tbl>
    <w:p>
      <w:pPr>
        <w:keepNext w:val="0"/>
        <w:keepLines w:val="0"/>
        <w:pageBreakBefore w:val="0"/>
        <w:widowControl w:val="0"/>
        <w:kinsoku/>
        <w:wordWrap/>
        <w:overflowPunct/>
        <w:topLinePunct w:val="0"/>
        <w:autoSpaceDE/>
        <w:autoSpaceDN/>
        <w:bidi w:val="0"/>
        <w:adjustRightInd/>
        <w:snapToGrid/>
        <w:spacing w:line="1200" w:lineRule="exact"/>
        <w:jc w:val="center"/>
        <w:textAlignment w:val="auto"/>
        <w:outlineLvl w:val="9"/>
        <w:rPr>
          <w:rFonts w:hint="eastAsia" w:ascii="宋体" w:hAnsi="Times New Roman" w:eastAsia="宋体" w:cs="Times New Roman"/>
          <w:sz w:val="84"/>
          <w:szCs w:val="84"/>
        </w:rPr>
      </w:pPr>
      <w:r>
        <w:rPr>
          <w:rFonts w:ascii="宋体" w:hAnsi="宋体"/>
          <w:sz w:val="84"/>
          <w:szCs w:val="84"/>
        </w:rPr>
        <w:fldChar w:fldCharType="begin"/>
      </w:r>
      <w:r>
        <w:rPr>
          <w:rFonts w:ascii="宋体" w:hAnsi="宋体"/>
          <w:sz w:val="84"/>
          <w:szCs w:val="84"/>
        </w:rPr>
        <w:instrText xml:space="preserve"> eq \o\ac(</w:instrText>
      </w:r>
      <w:r>
        <w:rPr>
          <w:rFonts w:hint="eastAsia" w:ascii="宋体" w:hAnsi="宋体"/>
          <w:position w:val="-16"/>
          <w:sz w:val="127"/>
          <w:szCs w:val="84"/>
        </w:rPr>
        <w:instrText xml:space="preserve">○</w:instrText>
      </w:r>
      <w:r>
        <w:rPr>
          <w:rFonts w:ascii="宋体" w:hAnsi="宋体"/>
          <w:sz w:val="84"/>
          <w:szCs w:val="84"/>
        </w:rPr>
        <w:instrText xml:space="preserve">,B)</w:instrText>
      </w:r>
      <w:r>
        <w:rPr>
          <w:rFonts w:ascii="宋体" w:hAnsi="宋体"/>
          <w:sz w:val="84"/>
          <w:szCs w:val="84"/>
        </w:rPr>
        <w:fldChar w:fldCharType="end"/>
      </w:r>
      <w:r>
        <w:rPr>
          <w:rFonts w:hint="eastAsia" w:ascii="宋体" w:hAnsi="Times New Roman" w:eastAsia="宋体" w:cs="Times New Roman"/>
          <w:sz w:val="84"/>
          <w:szCs w:val="84"/>
          <w:lang w:eastAsia="zh-CN"/>
        </w:rPr>
        <w:t>规模</w:t>
      </w:r>
      <w:r>
        <w:rPr>
          <w:rFonts w:hint="eastAsia" w:ascii="宋体" w:cs="Times New Roman"/>
          <w:sz w:val="84"/>
          <w:szCs w:val="84"/>
          <w:lang w:eastAsia="zh-CN"/>
        </w:rPr>
        <w:t>以上</w:t>
      </w:r>
      <w:r>
        <w:rPr>
          <w:rFonts w:hint="eastAsia" w:ascii="宋体" w:hAnsi="Times New Roman" w:eastAsia="宋体" w:cs="Times New Roman"/>
          <w:sz w:val="84"/>
          <w:szCs w:val="84"/>
        </w:rPr>
        <w:t>工业</w:t>
      </w:r>
    </w:p>
    <w:p>
      <w:pPr>
        <w:keepNext w:val="0"/>
        <w:keepLines w:val="0"/>
        <w:pageBreakBefore w:val="0"/>
        <w:widowControl w:val="0"/>
        <w:kinsoku/>
        <w:wordWrap/>
        <w:overflowPunct/>
        <w:topLinePunct w:val="0"/>
        <w:autoSpaceDE/>
        <w:autoSpaceDN/>
        <w:bidi w:val="0"/>
        <w:adjustRightInd/>
        <w:snapToGrid/>
        <w:spacing w:line="1200" w:lineRule="exact"/>
        <w:jc w:val="center"/>
        <w:textAlignment w:val="auto"/>
        <w:outlineLvl w:val="9"/>
        <w:rPr>
          <w:rFonts w:hint="eastAsia" w:ascii="宋体" w:hAnsi="Times New Roman" w:eastAsia="宋体" w:cs="Times New Roman"/>
          <w:sz w:val="84"/>
          <w:szCs w:val="84"/>
        </w:rPr>
      </w:pPr>
      <w:r>
        <w:rPr>
          <w:rFonts w:hint="eastAsia" w:ascii="宋体" w:hAnsi="Times New Roman" w:eastAsia="宋体" w:cs="Times New Roman"/>
          <w:sz w:val="84"/>
          <w:szCs w:val="84"/>
        </w:rPr>
        <w:t>统计报表制度</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楷体_GB2312" w:hAnsi="宋体" w:eastAsia="楷体_GB2312" w:cs="Times New Roman"/>
          <w:sz w:val="32"/>
          <w:szCs w:val="32"/>
        </w:rPr>
      </w:pPr>
      <w:r>
        <w:rPr>
          <w:rFonts w:hint="eastAsia" w:ascii="楷体_GB2312" w:hAnsi="宋体" w:eastAsia="楷体_GB2312" w:cs="楷体_GB2312"/>
          <w:sz w:val="32"/>
          <w:szCs w:val="32"/>
        </w:rPr>
        <w:t>（20</w:t>
      </w:r>
      <w:r>
        <w:rPr>
          <w:rFonts w:hint="eastAsia" w:ascii="楷体_GB2312" w:hAnsi="宋体" w:eastAsia="楷体_GB2312" w:cs="楷体_GB2312"/>
          <w:sz w:val="32"/>
          <w:szCs w:val="32"/>
          <w:lang w:val="en-US" w:eastAsia="zh-CN"/>
        </w:rPr>
        <w:t>25</w:t>
      </w:r>
      <w:r>
        <w:rPr>
          <w:rFonts w:hint="eastAsia" w:ascii="楷体_GB2312" w:hAnsi="宋体" w:eastAsia="楷体_GB2312" w:cs="楷体_GB2312"/>
          <w:sz w:val="32"/>
          <w:szCs w:val="32"/>
        </w:rPr>
        <w:t>年统计年报和</w:t>
      </w:r>
      <w:r>
        <w:rPr>
          <w:rFonts w:ascii="楷体_GB2312" w:hAnsi="宋体" w:eastAsia="楷体_GB2312" w:cs="楷体_GB2312"/>
          <w:sz w:val="32"/>
          <w:szCs w:val="32"/>
        </w:rPr>
        <w:t>20</w:t>
      </w:r>
      <w:r>
        <w:rPr>
          <w:rFonts w:hint="eastAsia" w:ascii="楷体_GB2312" w:hAnsi="宋体" w:eastAsia="楷体_GB2312" w:cs="楷体_GB2312"/>
          <w:sz w:val="32"/>
          <w:szCs w:val="32"/>
          <w:lang w:val="en-US" w:eastAsia="zh-CN"/>
        </w:rPr>
        <w:t>26</w:t>
      </w:r>
      <w:r>
        <w:rPr>
          <w:rFonts w:hint="eastAsia" w:ascii="楷体_GB2312" w:hAnsi="宋体" w:eastAsia="楷体_GB2312" w:cs="楷体_GB2312"/>
          <w:sz w:val="32"/>
          <w:szCs w:val="32"/>
        </w:rPr>
        <w:t>年定期统计报表）</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eastAsia="宋体"/>
          <w:sz w:val="32"/>
          <w:szCs w:val="32"/>
        </w:rPr>
      </w:pPr>
      <w:r>
        <w:rPr>
          <w:rFonts w:hint="eastAsia" w:ascii="宋体" w:hAnsi="宋体" w:eastAsia="宋体"/>
          <w:sz w:val="36"/>
          <w:szCs w:val="36"/>
        </w:rPr>
        <w:t xml:space="preserve"> </w:t>
      </w:r>
    </w:p>
    <w:p>
      <w:pPr>
        <w:jc w:val="center"/>
        <w:outlineLvl w:val="9"/>
        <w:rPr>
          <w:rFonts w:hint="eastAsia" w:ascii="楷体_GB2312" w:hAnsi="Times New Roman" w:eastAsia="楷体_GB2312" w:cs="Times New Roman"/>
          <w:sz w:val="32"/>
        </w:rPr>
      </w:pPr>
    </w:p>
    <w:p>
      <w:pPr>
        <w:outlineLvl w:val="9"/>
        <w:rPr>
          <w:rFonts w:hint="eastAsia" w:ascii="宋体" w:hAnsi="Times New Roman" w:eastAsia="宋体" w:cs="Times New Roman"/>
        </w:rPr>
      </w:pPr>
    </w:p>
    <w:p>
      <w:pPr>
        <w:outlineLvl w:val="9"/>
        <w:rPr>
          <w:rFonts w:ascii="宋体" w:hAnsi="Times New Roman" w:eastAsia="宋体" w:cs="Times New Roman"/>
        </w:rPr>
      </w:pPr>
    </w:p>
    <w:p>
      <w:pPr>
        <w:outlineLvl w:val="9"/>
        <w:rPr>
          <w:rFonts w:hint="eastAsia" w:ascii="宋体" w:hAnsi="Times New Roman" w:eastAsia="宋体" w:cs="Times New Roman"/>
        </w:rPr>
      </w:pPr>
    </w:p>
    <w:p>
      <w:pPr>
        <w:pStyle w:val="2"/>
        <w:rPr>
          <w:rFonts w:hint="eastAsia"/>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pStyle w:val="2"/>
        <w:rPr>
          <w:rFonts w:hint="eastAsia" w:ascii="宋体" w:hAnsi="Times New Roman" w:eastAsia="宋体" w:cs="Times New Roman"/>
        </w:rPr>
      </w:pPr>
    </w:p>
    <w:p>
      <w:pPr>
        <w:rPr>
          <w:rFonts w:hint="eastAsia"/>
        </w:rPr>
      </w:pPr>
    </w:p>
    <w:p>
      <w:pPr>
        <w:pStyle w:val="2"/>
        <w:ind w:left="0" w:leftChars="0" w:firstLine="0" w:firstLineChars="0"/>
        <w:rPr>
          <w:rFonts w:hint="eastAsia"/>
        </w:rPr>
      </w:pPr>
    </w:p>
    <w:p>
      <w:pPr>
        <w:outlineLvl w:val="9"/>
        <w:rPr>
          <w:rFonts w:hint="eastAsia" w:ascii="宋体" w:hAnsi="Times New Roman" w:eastAsia="宋体" w:cs="Times New Roman"/>
        </w:rPr>
      </w:pPr>
    </w:p>
    <w:p>
      <w:pPr>
        <w:outlineLvl w:val="9"/>
        <w:rPr>
          <w:rFonts w:hint="eastAsia" w:ascii="宋体" w:hAnsi="Times New Roman" w:eastAsia="宋体" w:cs="Times New Roman"/>
        </w:rPr>
      </w:pPr>
    </w:p>
    <w:p>
      <w:pPr>
        <w:autoSpaceDE w:val="0"/>
        <w:autoSpaceDN w:val="0"/>
        <w:adjustRightInd w:val="0"/>
        <w:jc w:val="center"/>
        <w:outlineLvl w:val="9"/>
        <w:rPr>
          <w:rFonts w:hint="eastAsia" w:ascii="楷体_GB2312" w:hAnsi="宋体" w:eastAsia="楷体_GB2312" w:cs="Times New Roman"/>
          <w:color w:val="000000"/>
          <w:spacing w:val="56"/>
          <w:kern w:val="0"/>
          <w:sz w:val="32"/>
          <w:szCs w:val="32"/>
          <w:lang w:eastAsia="zh-CN"/>
        </w:rPr>
      </w:pPr>
      <w:r>
        <w:rPr>
          <w:rFonts w:hint="eastAsia" w:ascii="楷体_GB2312" w:hAnsi="宋体" w:eastAsia="楷体_GB2312" w:cs="Times New Roman"/>
          <w:color w:val="000000"/>
          <w:spacing w:val="56"/>
          <w:kern w:val="0"/>
          <w:sz w:val="32"/>
          <w:szCs w:val="32"/>
          <w:lang w:eastAsia="zh-CN"/>
        </w:rPr>
        <w:t>国家统计局制定</w:t>
      </w:r>
    </w:p>
    <w:p>
      <w:pPr>
        <w:autoSpaceDE w:val="0"/>
        <w:autoSpaceDN w:val="0"/>
        <w:adjustRightInd w:val="0"/>
        <w:jc w:val="center"/>
        <w:outlineLvl w:val="9"/>
        <w:rPr>
          <w:rFonts w:hint="eastAsia" w:ascii="楷体_GB2312" w:hAnsi="宋体" w:eastAsia="楷体_GB2312" w:cs="楷体_GB2312"/>
          <w:color w:val="000000"/>
          <w:kern w:val="0"/>
          <w:sz w:val="32"/>
          <w:szCs w:val="32"/>
          <w:lang w:eastAsia="zh-CN"/>
        </w:rPr>
      </w:pPr>
      <w:r>
        <w:rPr>
          <w:rFonts w:hint="eastAsia" w:ascii="楷体_GB2312" w:hAnsi="宋体" w:eastAsia="楷体_GB2312" w:cs="楷体_GB2312"/>
          <w:color w:val="000000"/>
          <w:kern w:val="0"/>
          <w:sz w:val="32"/>
          <w:szCs w:val="32"/>
          <w:lang w:val="en-US" w:eastAsia="zh-CN"/>
        </w:rPr>
        <w:t>广</w:t>
      </w:r>
      <w:r>
        <w:rPr>
          <w:rFonts w:hint="eastAsia" w:ascii="楷体_GB2312" w:hAnsi="宋体" w:eastAsia="楷体_GB2312" w:cs="Times New Roman"/>
          <w:color w:val="000000"/>
          <w:spacing w:val="56"/>
          <w:kern w:val="0"/>
          <w:sz w:val="32"/>
          <w:szCs w:val="32"/>
          <w:lang w:eastAsia="zh-CN"/>
        </w:rPr>
        <w:t>州</w:t>
      </w:r>
      <w:r>
        <w:rPr>
          <w:rFonts w:hint="eastAsia" w:ascii="楷体_GB2312" w:hAnsi="宋体" w:eastAsia="楷体_GB2312" w:cs="Times New Roman"/>
          <w:color w:val="000000"/>
          <w:spacing w:val="56"/>
          <w:kern w:val="0"/>
          <w:sz w:val="32"/>
          <w:szCs w:val="32"/>
        </w:rPr>
        <w:t>市统计</w:t>
      </w:r>
      <w:r>
        <w:rPr>
          <w:rFonts w:hint="eastAsia" w:ascii="楷体_GB2312" w:hAnsi="宋体" w:eastAsia="楷体_GB2312" w:cs="Times New Roman"/>
          <w:color w:val="000000"/>
          <w:kern w:val="0"/>
          <w:sz w:val="32"/>
          <w:szCs w:val="32"/>
        </w:rPr>
        <w:t>局</w:t>
      </w:r>
      <w:r>
        <w:rPr>
          <w:rFonts w:hint="eastAsia" w:ascii="楷体_GB2312" w:hAnsi="宋体" w:eastAsia="楷体_GB2312" w:cs="Times New Roman"/>
          <w:color w:val="000000"/>
          <w:kern w:val="0"/>
          <w:sz w:val="32"/>
          <w:szCs w:val="32"/>
          <w:lang w:eastAsia="zh-CN"/>
        </w:rPr>
        <w:t>补充、印制</w:t>
      </w:r>
    </w:p>
    <w:p>
      <w:pPr>
        <w:adjustRightInd w:val="0"/>
        <w:spacing w:line="420" w:lineRule="exact"/>
        <w:jc w:val="center"/>
        <w:outlineLvl w:val="9"/>
        <w:rPr>
          <w:rFonts w:hint="eastAsia" w:ascii="楷体_GB2312" w:hAnsi="宋体" w:eastAsia="楷体_GB2312" w:cs="Times New Roman"/>
          <w:color w:val="000000"/>
          <w:kern w:val="0"/>
          <w:sz w:val="32"/>
          <w:szCs w:val="32"/>
        </w:rPr>
      </w:pPr>
      <w:r>
        <w:rPr>
          <w:rFonts w:ascii="楷体_GB2312" w:hAnsi="宋体" w:eastAsia="楷体_GB2312" w:cs="楷体_GB2312"/>
          <w:color w:val="000000"/>
          <w:kern w:val="0"/>
          <w:sz w:val="32"/>
          <w:szCs w:val="32"/>
        </w:rPr>
        <w:t>20</w:t>
      </w:r>
      <w:r>
        <w:rPr>
          <w:rFonts w:hint="eastAsia" w:ascii="楷体_GB2312" w:hAnsi="宋体" w:eastAsia="楷体_GB2312" w:cs="楷体_GB2312"/>
          <w:color w:val="000000"/>
          <w:kern w:val="0"/>
          <w:sz w:val="32"/>
          <w:szCs w:val="32"/>
          <w:lang w:val="en-US" w:eastAsia="zh-CN"/>
        </w:rPr>
        <w:t>25</w:t>
      </w:r>
      <w:r>
        <w:rPr>
          <w:rFonts w:hint="eastAsia" w:ascii="楷体_GB2312" w:hAnsi="宋体" w:eastAsia="楷体_GB2312" w:cs="楷体_GB2312"/>
          <w:color w:val="000000"/>
          <w:kern w:val="0"/>
          <w:sz w:val="32"/>
          <w:szCs w:val="32"/>
        </w:rPr>
        <w:t>年</w:t>
      </w:r>
      <w:r>
        <w:rPr>
          <w:rFonts w:ascii="楷体_GB2312" w:hAnsi="宋体" w:eastAsia="楷体_GB2312" w:cs="楷体_GB2312"/>
          <w:color w:val="000000"/>
          <w:kern w:val="0"/>
          <w:sz w:val="32"/>
          <w:szCs w:val="32"/>
        </w:rPr>
        <w:t>1</w:t>
      </w:r>
      <w:r>
        <w:rPr>
          <w:rFonts w:hint="eastAsia" w:ascii="楷体_GB2312" w:hAnsi="宋体" w:eastAsia="楷体_GB2312" w:cs="楷体_GB2312"/>
          <w:color w:val="000000"/>
          <w:kern w:val="0"/>
          <w:sz w:val="32"/>
          <w:szCs w:val="32"/>
          <w:lang w:val="en-US" w:eastAsia="zh-CN"/>
        </w:rPr>
        <w:t>2</w:t>
      </w:r>
      <w:r>
        <w:rPr>
          <w:rFonts w:hint="eastAsia" w:ascii="楷体_GB2312" w:hAnsi="宋体" w:eastAsia="楷体_GB2312" w:cs="楷体_GB2312"/>
          <w:color w:val="000000"/>
          <w:kern w:val="0"/>
          <w:sz w:val="32"/>
          <w:szCs w:val="32"/>
        </w:rPr>
        <w:t>月</w:t>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eastAsia" w:ascii="方正小标宋_GBK" w:hAnsi="方正小标宋_GBK" w:eastAsia="方正小标宋_GBK" w:cs="方正小标宋_GBK"/>
          <w:color w:val="C00000"/>
          <w:sz w:val="44"/>
          <w:szCs w:val="44"/>
          <w:highlight w:val="yellow"/>
          <w:lang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eastAsia" w:ascii="楷体_GB2312" w:hAnsi="宋体" w:eastAsia="楷体_GB2312" w:cs="Times New Roman"/>
          <w:spacing w:val="-8"/>
          <w:sz w:val="44"/>
          <w:szCs w:val="44"/>
        </w:rPr>
      </w:pPr>
    </w:p>
    <w:p>
      <w:pPr>
        <w:spacing w:line="360" w:lineRule="exact"/>
        <w:jc w:val="center"/>
        <w:outlineLvl w:val="9"/>
        <w:rPr>
          <w:rFonts w:hint="eastAsia" w:ascii="楷体_GB2312" w:hAnsi="宋体" w:eastAsia="楷体_GB2312" w:cs="Times New Roman"/>
          <w:spacing w:val="-8"/>
          <w:sz w:val="32"/>
          <w:szCs w:val="32"/>
        </w:rPr>
      </w:pPr>
    </w:p>
    <w:p>
      <w:pPr>
        <w:spacing w:line="480" w:lineRule="exact"/>
        <w:ind w:firstLine="561"/>
        <w:outlineLvl w:val="9"/>
        <w:rPr>
          <w:rFonts w:ascii="Times New Roman" w:hAnsi="Times New Roman" w:eastAsia="宋体" w:cs="Times New Roman"/>
          <w:spacing w:val="-8"/>
          <w:sz w:val="28"/>
        </w:rPr>
      </w:pPr>
    </w:p>
    <w:p>
      <w:pPr>
        <w:spacing w:line="480" w:lineRule="exact"/>
        <w:ind w:firstLine="561"/>
        <w:outlineLvl w:val="9"/>
        <w:rPr>
          <w:rFonts w:ascii="Times New Roman" w:hAnsi="Times New Roman" w:eastAsia="宋体" w:cs="Times New Roman"/>
          <w:spacing w:val="-8"/>
          <w:sz w:val="28"/>
        </w:rPr>
      </w:pPr>
    </w:p>
    <w:p>
      <w:pPr>
        <w:spacing w:line="480" w:lineRule="exact"/>
        <w:ind w:firstLine="561"/>
        <w:outlineLvl w:val="9"/>
        <w:rPr>
          <w:rFonts w:ascii="Times New Roman" w:hAnsi="Times New Roman" w:eastAsia="宋体" w:cs="Times New Roman"/>
          <w:spacing w:val="-8"/>
          <w:sz w:val="28"/>
        </w:rPr>
      </w:pPr>
    </w:p>
    <w:p>
      <w:pPr>
        <w:spacing w:line="480" w:lineRule="exact"/>
        <w:ind w:firstLine="561"/>
        <w:outlineLvl w:val="9"/>
        <w:rPr>
          <w:rFonts w:ascii="Times New Roman" w:hAnsi="Times New Roman" w:eastAsia="宋体" w:cs="Times New Roman"/>
          <w:spacing w:val="-8"/>
          <w:sz w:val="28"/>
        </w:rPr>
      </w:pPr>
    </w:p>
    <w:p>
      <w:pPr>
        <w:spacing w:line="480" w:lineRule="exact"/>
        <w:ind w:firstLine="561"/>
        <w:outlineLvl w:val="9"/>
        <w:rPr>
          <w:rFonts w:ascii="Times New Roman" w:hAnsi="Times New Roman" w:eastAsia="宋体" w:cs="Times New Roman"/>
          <w:spacing w:val="-8"/>
          <w:sz w:val="28"/>
        </w:rPr>
      </w:pPr>
    </w:p>
    <w:p>
      <w:pPr>
        <w:spacing w:line="480" w:lineRule="exact"/>
        <w:ind w:firstLine="561"/>
        <w:outlineLvl w:val="9"/>
        <w:rPr>
          <w:rFonts w:ascii="Times New Roman" w:hAnsi="Times New Roman" w:eastAsia="宋体" w:cs="Times New Roman"/>
          <w:spacing w:val="-8"/>
          <w:sz w:val="28"/>
        </w:rPr>
      </w:pPr>
    </w:p>
    <w:p>
      <w:pPr>
        <w:spacing w:line="360" w:lineRule="exact"/>
        <w:outlineLvl w:val="9"/>
        <w:rPr>
          <w:rFonts w:ascii="Times New Roman" w:hAnsi="Times New Roman" w:eastAsia="宋体" w:cs="Times New Roman"/>
          <w:spacing w:val="-8"/>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pStyle w:val="2"/>
      </w:pPr>
    </w:p>
    <w:p>
      <w:pPr>
        <w:spacing w:line="360" w:lineRule="exact"/>
        <w:outlineLvl w:val="9"/>
        <w:rPr>
          <w:rFonts w:ascii="Times New Roman" w:hAnsi="Times New Roman" w:eastAsia="宋体" w:cs="Times New Roman"/>
          <w:sz w:val="28"/>
        </w:rPr>
      </w:pPr>
    </w:p>
    <w:p>
      <w:pPr>
        <w:pStyle w:val="2"/>
      </w:pPr>
    </w:p>
    <w:p>
      <w:pPr>
        <w:spacing w:line="360" w:lineRule="exact"/>
        <w:outlineLvl w:val="9"/>
        <w:rPr>
          <w:rFonts w:ascii="Times New Roman" w:hAnsi="Times New Roman" w:eastAsia="宋体" w:cs="Times New Roman"/>
          <w:sz w:val="28"/>
        </w:rPr>
      </w:pPr>
    </w:p>
    <w:p>
      <w:pPr>
        <w:spacing w:line="360" w:lineRule="exact"/>
        <w:outlineLvl w:val="9"/>
        <w:rPr>
          <w:rFonts w:ascii="Times New Roman" w:hAnsi="Times New Roman" w:eastAsia="宋体" w:cs="Times New Roman"/>
          <w:sz w:val="28"/>
        </w:rPr>
      </w:pPr>
    </w:p>
    <w:p>
      <w:pPr>
        <w:spacing w:line="360" w:lineRule="exact"/>
        <w:outlineLvl w:val="9"/>
        <w:rPr>
          <w:rFonts w:hint="eastAsia" w:ascii="Times New Roman" w:hAnsi="Times New Roman" w:eastAsia="宋体" w:cs="Times New Roman"/>
          <w:sz w:val="28"/>
        </w:rPr>
      </w:pPr>
    </w:p>
    <w:p>
      <w:pPr>
        <w:keepNext w:val="0"/>
        <w:keepLines w:val="0"/>
        <w:widowControl/>
        <w:suppressLineNumbers w:val="0"/>
        <w:jc w:val="left"/>
        <w:outlineLvl w:val="9"/>
      </w:pPr>
      <w:r>
        <w:rPr>
          <w:rFonts w:ascii="宋体" w:hAnsi="宋体" w:eastAsia="宋体" w:cs="宋体"/>
          <w:kern w:val="0"/>
          <w:sz w:val="24"/>
          <w:szCs w:val="24"/>
          <w:lang w:val="en-US" w:eastAsia="zh-CN" w:bidi="ar"/>
        </w:rPr>
        <w:t>本制度由</w:t>
      </w:r>
      <w:r>
        <w:rPr>
          <w:rFonts w:hint="eastAsia" w:ascii="宋体" w:hAnsi="宋体" w:eastAsia="宋体" w:cs="宋体"/>
          <w:kern w:val="0"/>
          <w:sz w:val="24"/>
          <w:szCs w:val="24"/>
          <w:lang w:val="en-US" w:eastAsia="zh-CN" w:bidi="ar"/>
        </w:rPr>
        <w:t>广州市</w:t>
      </w:r>
      <w:r>
        <w:rPr>
          <w:rFonts w:ascii="宋体" w:hAnsi="宋体" w:eastAsia="宋体" w:cs="宋体"/>
          <w:kern w:val="0"/>
          <w:sz w:val="24"/>
          <w:szCs w:val="24"/>
          <w:lang w:val="en-US" w:eastAsia="zh-CN" w:bidi="ar"/>
        </w:rPr>
        <w:t>统计局负责解释</w:t>
      </w:r>
    </w:p>
    <w:p>
      <w:pPr>
        <w:adjustRightInd w:val="0"/>
        <w:snapToGrid w:val="0"/>
        <w:spacing w:beforeLines="0" w:afterLines="0"/>
        <w:ind w:firstLine="440" w:firstLineChars="100"/>
        <w:jc w:val="center"/>
        <w:rPr>
          <w:rFonts w:hint="eastAsia" w:ascii="华文中宋" w:hAnsi="华文中宋" w:eastAsia="华文中宋" w:cs="Times New Roman"/>
          <w:b/>
          <w:sz w:val="40"/>
          <w:szCs w:val="24"/>
        </w:rPr>
      </w:pPr>
      <w:r>
        <w:rPr>
          <w:rFonts w:hint="eastAsia" w:ascii="华文中宋" w:hAnsi="华文中宋" w:eastAsia="华文中宋" w:cs="Times New Roman"/>
          <w:b/>
          <w:sz w:val="44"/>
          <w:szCs w:val="44"/>
        </w:rPr>
        <w:t>广州市统计信用告知书</w:t>
      </w:r>
    </w:p>
    <w:p>
      <w:pPr>
        <w:pStyle w:val="6"/>
        <w:spacing w:beforeLines="0" w:afterLines="0"/>
        <w:rPr>
          <w:rFonts w:hint="default" w:ascii="Times New Roman" w:hAnsi="Times New Roman" w:eastAsia="宋体" w:cs="Times New Roman"/>
          <w:sz w:val="20"/>
          <w:szCs w:val="24"/>
        </w:rPr>
      </w:pPr>
    </w:p>
    <w:p>
      <w:pPr>
        <w:adjustRightInd w:val="0"/>
        <w:snapToGrid w:val="0"/>
        <w:spacing w:beforeLines="0" w:afterLines="0" w:line="600" w:lineRule="exact"/>
        <w:ind w:firstLine="600" w:firstLineChars="200"/>
        <w:rPr>
          <w:rFonts w:hint="eastAsia" w:ascii="仿宋_GB2312" w:hAnsi="仿宋_GB2312" w:eastAsia="仿宋_GB2312" w:cs="仿宋_GB2312"/>
          <w:sz w:val="30"/>
          <w:szCs w:val="30"/>
          <w:lang w:val="zh-CN"/>
        </w:rPr>
      </w:pPr>
      <w:r>
        <w:rPr>
          <w:rFonts w:hint="eastAsia" w:ascii="仿宋_GB2312" w:hAnsi="仿宋_GB2312" w:eastAsia="仿宋_GB2312" w:cs="仿宋_GB2312"/>
          <w:sz w:val="30"/>
          <w:szCs w:val="30"/>
          <w:lang w:val="zh-CN"/>
        </w:rPr>
        <w:t>根据《中华人民共和国统计法》及其实施条例等有关法律法规，统计调查对象应当依法真实、准确、完整、及时地填报本报表制度规定的统计调查表；依法设置、保存统计原始记录和统计台账；依法保存统计调查表和有关的凭证、会计资料等。对提供不真实或者不完整的统计资料，拒报或者迟报统计资料等统计违法行为，将依据《中华人民共和国统计法》等法律法规予以行政处罚，构成</w:t>
      </w:r>
      <w:r>
        <w:rPr>
          <w:rFonts w:hint="eastAsia" w:ascii="仿宋_GB2312" w:hAnsi="仿宋_GB2312" w:eastAsia="仿宋_GB2312" w:cs="仿宋_GB2312"/>
          <w:sz w:val="30"/>
          <w:szCs w:val="30"/>
        </w:rPr>
        <w:t>统计严重失信行为的，</w:t>
      </w:r>
      <w:r>
        <w:rPr>
          <w:rFonts w:hint="eastAsia" w:ascii="仿宋_GB2312" w:hAnsi="仿宋_GB2312" w:eastAsia="仿宋_GB2312" w:cs="仿宋_GB2312"/>
          <w:sz w:val="30"/>
          <w:szCs w:val="30"/>
          <w:lang w:val="zh-CN"/>
        </w:rPr>
        <w:t>依据《</w:t>
      </w:r>
      <w:r>
        <w:rPr>
          <w:rFonts w:hint="eastAsia" w:ascii="仿宋_GB2312" w:hAnsi="仿宋_GB2312" w:eastAsia="仿宋_GB2312" w:cs="仿宋_GB2312"/>
          <w:sz w:val="30"/>
          <w:szCs w:val="30"/>
        </w:rPr>
        <w:t>统计严重失信</w:t>
      </w:r>
      <w:r>
        <w:rPr>
          <w:rFonts w:hint="eastAsia" w:ascii="仿宋_GB2312" w:hAnsi="仿宋_GB2312" w:eastAsia="仿宋_GB2312" w:cs="仿宋_GB2312"/>
          <w:sz w:val="30"/>
          <w:szCs w:val="30"/>
          <w:lang w:val="zh-CN"/>
        </w:rPr>
        <w:t>企业</w:t>
      </w:r>
      <w:r>
        <w:rPr>
          <w:rFonts w:hint="eastAsia" w:ascii="仿宋_GB2312" w:hAnsi="仿宋_GB2312" w:eastAsia="仿宋_GB2312" w:cs="仿宋_GB2312"/>
          <w:color w:val="000000" w:themeColor="text1"/>
          <w:sz w:val="30"/>
          <w:szCs w:val="30"/>
          <w:lang w:val="zh-CN"/>
          <w14:textFill>
            <w14:solidFill>
              <w14:schemeClr w14:val="tx1"/>
            </w14:solidFill>
          </w14:textFill>
        </w:rPr>
        <w:t>信用</w:t>
      </w:r>
      <w:r>
        <w:rPr>
          <w:rFonts w:hint="eastAsia" w:ascii="仿宋_GB2312" w:hAnsi="仿宋_GB2312" w:eastAsia="仿宋_GB2312" w:cs="仿宋_GB2312"/>
          <w:sz w:val="30"/>
          <w:szCs w:val="30"/>
          <w:lang w:val="zh-CN"/>
        </w:rPr>
        <w:t>管理办法》的规定认定为统计严重失信企业。</w:t>
      </w:r>
    </w:p>
    <w:p>
      <w:pPr>
        <w:adjustRightInd w:val="0"/>
        <w:snapToGrid w:val="0"/>
        <w:spacing w:beforeLines="0" w:afterLines="0" w:line="600" w:lineRule="exact"/>
        <w:ind w:firstLine="600" w:firstLineChars="200"/>
        <w:rPr>
          <w:rFonts w:hint="eastAsia" w:ascii="仿宋_GB2312" w:hAnsi="仿宋_GB2312" w:eastAsia="仿宋_GB2312" w:cs="仿宋_GB2312"/>
          <w:sz w:val="30"/>
          <w:szCs w:val="30"/>
          <w:lang w:val="zh-CN"/>
        </w:rPr>
      </w:pPr>
      <w:r>
        <w:rPr>
          <w:rFonts w:hint="eastAsia" w:ascii="仿宋_GB2312" w:hAnsi="仿宋_GB2312" w:eastAsia="仿宋_GB2312" w:cs="仿宋_GB2312"/>
          <w:sz w:val="30"/>
          <w:szCs w:val="30"/>
          <w:lang w:val="zh-CN"/>
        </w:rPr>
        <w:t>统计严重失信信息将通过广州市统计局门户网站公开，</w:t>
      </w:r>
      <w:r>
        <w:rPr>
          <w:rFonts w:hint="eastAsia" w:ascii="仿宋_GB2312" w:hAnsi="仿宋_GB2312" w:eastAsia="仿宋_GB2312" w:cs="仿宋_GB2312"/>
          <w:sz w:val="30"/>
          <w:szCs w:val="30"/>
        </w:rPr>
        <w:t>并</w:t>
      </w:r>
      <w:r>
        <w:rPr>
          <w:rFonts w:hint="eastAsia" w:ascii="仿宋_GB2312" w:hAnsi="仿宋_GB2312" w:eastAsia="仿宋_GB2312" w:cs="仿宋_GB2312"/>
          <w:sz w:val="30"/>
          <w:szCs w:val="30"/>
          <w:lang w:val="zh-CN"/>
        </w:rPr>
        <w:t>推送到上一级统计机构，</w:t>
      </w:r>
      <w:r>
        <w:rPr>
          <w:rFonts w:hint="eastAsia" w:ascii="仿宋_GB2312" w:hAnsi="仿宋_GB2312" w:eastAsia="仿宋_GB2312" w:cs="仿宋_GB2312"/>
          <w:sz w:val="30"/>
          <w:szCs w:val="30"/>
        </w:rPr>
        <w:t>最终由</w:t>
      </w:r>
      <w:r>
        <w:rPr>
          <w:rFonts w:hint="eastAsia" w:ascii="仿宋_GB2312" w:hAnsi="仿宋_GB2312" w:eastAsia="仿宋_GB2312" w:cs="仿宋_GB2312"/>
          <w:sz w:val="30"/>
          <w:szCs w:val="30"/>
          <w:lang w:val="zh-CN"/>
        </w:rPr>
        <w:t>国家统计局推送至全国信用信息共享平台和国家企业信用信息公示系统，并在“信用中国”网站等公示。</w:t>
      </w:r>
      <w:r>
        <w:rPr>
          <w:rFonts w:hint="eastAsia" w:ascii="仿宋_GB2312" w:hAnsi="Times New Roman" w:eastAsia="仿宋_GB2312" w:cs="Times New Roman"/>
          <w:sz w:val="30"/>
          <w:szCs w:val="30"/>
        </w:rPr>
        <w:t>公示信息包括企业名称、地址、统一社会信用代码、法定代表人或者负责人、统计违法行为、依法处理</w:t>
      </w:r>
      <w:r>
        <w:rPr>
          <w:rFonts w:hint="eastAsia" w:ascii="仿宋_GB2312" w:hAnsi="Times New Roman" w:eastAsia="仿宋_GB2312" w:cs="Times New Roman"/>
          <w:sz w:val="30"/>
          <w:szCs w:val="24"/>
        </w:rPr>
        <w:t>情</w:t>
      </w:r>
      <w:r>
        <w:rPr>
          <w:rFonts w:hint="eastAsia" w:ascii="仿宋_GB2312" w:hAnsi="Times New Roman" w:eastAsia="仿宋_GB2312" w:cs="Times New Roman"/>
          <w:sz w:val="30"/>
          <w:szCs w:val="30"/>
        </w:rPr>
        <w:t>况等。</w:t>
      </w:r>
    </w:p>
    <w:p>
      <w:pPr>
        <w:adjustRightInd w:val="0"/>
        <w:snapToGrid w:val="0"/>
        <w:spacing w:beforeLines="0" w:afterLines="0" w:line="600" w:lineRule="exact"/>
        <w:ind w:firstLine="600" w:firstLineChars="200"/>
        <w:rPr>
          <w:rFonts w:hint="eastAsia" w:ascii="仿宋_GB2312" w:hAnsi="仿宋_GB2312" w:eastAsia="仿宋_GB2312" w:cs="仿宋_GB2312"/>
          <w:sz w:val="30"/>
          <w:szCs w:val="30"/>
          <w:lang w:val="zh-CN"/>
        </w:rPr>
      </w:pPr>
      <w:r>
        <w:rPr>
          <w:rFonts w:hint="default" w:ascii="仿宋_GB2312" w:hAnsi="仿宋_GB2312" w:eastAsia="仿宋_GB2312" w:cs="仿宋_GB2312"/>
          <w:sz w:val="30"/>
          <w:szCs w:val="30"/>
          <w:lang w:val="zh-CN"/>
        </w:rPr>
        <mc:AlternateContent>
          <mc:Choice Requires="wpg">
            <w:drawing>
              <wp:anchor distT="0" distB="0" distL="114300" distR="114300" simplePos="0" relativeHeight="251659264" behindDoc="0" locked="0" layoutInCell="1" allowOverlap="1">
                <wp:simplePos x="0" y="0"/>
                <wp:positionH relativeFrom="page">
                  <wp:posOffset>4388485</wp:posOffset>
                </wp:positionH>
                <wp:positionV relativeFrom="paragraph">
                  <wp:posOffset>728980</wp:posOffset>
                </wp:positionV>
                <wp:extent cx="1520190" cy="1548130"/>
                <wp:effectExtent l="0" t="0" r="3810" b="13970"/>
                <wp:wrapNone/>
                <wp:docPr id="7" name="组合 7"/>
                <wp:cNvGraphicFramePr/>
                <a:graphic xmlns:a="http://schemas.openxmlformats.org/drawingml/2006/main">
                  <a:graphicData uri="http://schemas.microsoft.com/office/word/2010/wordprocessingGroup">
                    <wpg:wgp>
                      <wpg:cNvGrpSpPr/>
                      <wpg:grpSpPr>
                        <a:xfrm>
                          <a:off x="0" y="0"/>
                          <a:ext cx="1520190" cy="1548130"/>
                          <a:chOff x="6911" y="1148"/>
                          <a:chExt cx="2394" cy="2438"/>
                        </a:xfrm>
                      </wpg:grpSpPr>
                      <pic:pic xmlns:pic="http://schemas.openxmlformats.org/drawingml/2006/picture">
                        <pic:nvPicPr>
                          <pic:cNvPr id="1" name="图片 4"/>
                          <pic:cNvPicPr>
                            <a:picLocks noChangeAspect="true"/>
                          </pic:cNvPicPr>
                        </pic:nvPicPr>
                        <pic:blipFill>
                          <a:blip r:embed="rId9"/>
                          <a:stretch>
                            <a:fillRect/>
                          </a:stretch>
                        </pic:blipFill>
                        <pic:spPr>
                          <a:xfrm>
                            <a:off x="6911" y="1148"/>
                            <a:ext cx="2394" cy="2438"/>
                          </a:xfrm>
                          <a:prstGeom prst="rect">
                            <a:avLst/>
                          </a:prstGeom>
                          <a:noFill/>
                          <a:ln>
                            <a:noFill/>
                          </a:ln>
                        </pic:spPr>
                      </pic:pic>
                      <wps:wsp>
                        <wps:cNvPr id="2" name="文本框 2"/>
                        <wps:cNvSpPr txBox="true"/>
                        <wps:spPr>
                          <a:xfrm>
                            <a:off x="6911" y="1148"/>
                            <a:ext cx="2394" cy="2438"/>
                          </a:xfrm>
                          <a:prstGeom prst="rect">
                            <a:avLst/>
                          </a:prstGeom>
                          <a:noFill/>
                          <a:ln>
                            <a:noFill/>
                          </a:ln>
                        </wps:spPr>
                        <wps:txbx>
                          <w:txbxContent>
                            <w:p>
                              <w:pPr>
                                <w:spacing w:beforeLines="0" w:afterLines="0"/>
                                <w:rPr>
                                  <w:rFonts w:hint="default" w:ascii="Times New Roman" w:hAnsi="Times New Roman" w:eastAsia="宋体" w:cs="Times New Roman"/>
                                  <w:sz w:val="30"/>
                                  <w:szCs w:val="24"/>
                                </w:rPr>
                              </w:pPr>
                            </w:p>
                            <w:p>
                              <w:pPr>
                                <w:spacing w:before="1" w:beforeLines="0" w:afterLines="0"/>
                                <w:ind w:left="376"/>
                                <w:jc w:val="left"/>
                                <w:rPr>
                                  <w:rFonts w:hint="eastAsia" w:ascii="Times New Roman" w:hAnsi="Times New Roman" w:eastAsia="宋体" w:cs="Times New Roman"/>
                                  <w:color w:val="231F20"/>
                                  <w:sz w:val="30"/>
                                  <w:szCs w:val="24"/>
                                </w:rPr>
                              </w:pPr>
                            </w:p>
                            <w:p>
                              <w:pPr>
                                <w:spacing w:before="1" w:beforeLines="0" w:afterLines="0"/>
                                <w:ind w:left="376"/>
                                <w:jc w:val="left"/>
                                <w:rPr>
                                  <w:rFonts w:hint="default" w:ascii="Times New Roman" w:hAnsi="Times New Roman" w:eastAsia="宋体" w:cs="Times New Roman"/>
                                  <w:sz w:val="30"/>
                                  <w:szCs w:val="24"/>
                                </w:rPr>
                              </w:pPr>
                              <w:r>
                                <w:rPr>
                                  <w:rFonts w:hint="eastAsia" w:ascii="Times New Roman" w:hAnsi="Times New Roman" w:eastAsia="宋体" w:cs="Times New Roman"/>
                                  <w:color w:val="231F20"/>
                                  <w:sz w:val="30"/>
                                  <w:szCs w:val="24"/>
                                </w:rPr>
                                <w:t>广州市统计局</w:t>
                              </w:r>
                            </w:p>
                          </w:txbxContent>
                        </wps:txbx>
                        <wps:bodyPr lIns="0" tIns="0" rIns="0" bIns="0" upright="true"/>
                      </wps:wsp>
                    </wpg:wgp>
                  </a:graphicData>
                </a:graphic>
              </wp:anchor>
            </w:drawing>
          </mc:Choice>
          <mc:Fallback>
            <w:pict>
              <v:group id="_x0000_s1026" o:spid="_x0000_s1026" o:spt="203" style="position:absolute;left:0pt;margin-left:345.55pt;margin-top:57.4pt;height:121.9pt;width:119.7pt;mso-position-horizontal-relative:page;z-index:251659264;mso-width-relative:page;mso-height-relative:page;" coordorigin="6911,1148" coordsize="2394,2438" o:gfxdata="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">
                <o:lock v:ext="edit" aspectratio="f"/>
                <v:shape id="图片 4" o:spid="_x0000_s1026" o:spt="75" type="#_x0000_t75" style="position:absolute;left:6911;top:1148;height:2438;width:2394;" filled="f" o:preferrelative="t" stroked="f" coordsize="21600,21600" o:gfxdata="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DOzMUroAAADaAAAADwAAAAAAAAABACAAAAA4AAAAZHJzL2Rvd25yZXYueG1s&#10;UEsBAhQAFAAAAAgAh07iQDMvBZ47AAAAOQAAABAAAAAAAAAAAQAgAAAAHwEAAGRycy9zaGFwZXht&#10;bC54bWxQSwUGAAAAAAYABgBbAQAAyQMAAAAA&#10;">
                  <v:fill on="f" focussize="0,0"/>
                  <v:stroke on="f"/>
                  <v:imagedata r:id="rId9" o:title=""/>
                  <o:lock v:ext="edit" aspectratio="t"/>
                </v:shape>
                <v:shape id="_x0000_s1026" o:spid="_x0000_s1026" o:spt="202" type="#_x0000_t202" style="position:absolute;left:6911;top:1148;height:2438;width:2394;" filled="f" stroked="f" coordsize="21600,21600" o:gfxdata="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kaVdCL0AAADaAAAADwAAAAAAAAABACAAAAA4AAAAZHJzL2Rvd25yZXYu&#10;eG1sUEsBAhQAFAAAAAgAh07iQDMvBZ47AAAAOQAAABAAAAAAAAAAAQAgAAAAIgEAAGRycy9zaGFw&#10;ZXhtbC54bWxQSwUGAAAAAAYABgBbAQAAzAMAAAAA&#10;">
                  <v:fill on="f" focussize="0,0"/>
                  <v:stroke on="f"/>
                  <v:imagedata o:title=""/>
                  <o:lock v:ext="edit" aspectratio="f"/>
                  <v:textbox inset="0mm,0mm,0mm,0mm">
                    <w:txbxContent>
                      <w:p>
                        <w:pPr>
                          <w:spacing w:beforeLines="0" w:afterLines="0"/>
                          <w:rPr>
                            <w:rFonts w:hint="default" w:ascii="Times New Roman" w:hAnsi="Times New Roman" w:eastAsia="宋体" w:cs="Times New Roman"/>
                            <w:sz w:val="30"/>
                            <w:szCs w:val="24"/>
                          </w:rPr>
                        </w:pPr>
                      </w:p>
                      <w:p>
                        <w:pPr>
                          <w:spacing w:before="1" w:beforeLines="0" w:afterLines="0"/>
                          <w:ind w:left="376"/>
                          <w:jc w:val="left"/>
                          <w:rPr>
                            <w:rFonts w:hint="eastAsia" w:ascii="Times New Roman" w:hAnsi="Times New Roman" w:eastAsia="宋体" w:cs="Times New Roman"/>
                            <w:color w:val="231F20"/>
                            <w:sz w:val="30"/>
                            <w:szCs w:val="24"/>
                          </w:rPr>
                        </w:pPr>
                      </w:p>
                      <w:p>
                        <w:pPr>
                          <w:spacing w:before="1" w:beforeLines="0" w:afterLines="0"/>
                          <w:ind w:left="376"/>
                          <w:jc w:val="left"/>
                          <w:rPr>
                            <w:rFonts w:hint="default" w:ascii="Times New Roman" w:hAnsi="Times New Roman" w:eastAsia="宋体" w:cs="Times New Roman"/>
                            <w:sz w:val="30"/>
                            <w:szCs w:val="24"/>
                          </w:rPr>
                        </w:pPr>
                        <w:r>
                          <w:rPr>
                            <w:rFonts w:hint="eastAsia" w:ascii="Times New Roman" w:hAnsi="Times New Roman" w:eastAsia="宋体" w:cs="Times New Roman"/>
                            <w:color w:val="231F20"/>
                            <w:sz w:val="30"/>
                            <w:szCs w:val="24"/>
                          </w:rPr>
                          <w:t>广州市统计局</w:t>
                        </w:r>
                      </w:p>
                    </w:txbxContent>
                  </v:textbox>
                </v:shape>
              </v:group>
            </w:pict>
          </mc:Fallback>
        </mc:AlternateContent>
      </w:r>
      <w:r>
        <w:rPr>
          <w:rFonts w:hint="eastAsia" w:ascii="仿宋_GB2312" w:hAnsi="仿宋_GB2312" w:eastAsia="仿宋_GB2312" w:cs="仿宋_GB2312"/>
          <w:sz w:val="30"/>
          <w:szCs w:val="30"/>
          <w:lang w:val="zh-CN"/>
        </w:rPr>
        <w:t>统计调查对象的理解、配合和支持是保证广州市统计工作顺利开展的关键！衷心感谢你单位对广州市统计工作的大力支持！</w:t>
      </w:r>
    </w:p>
    <w:p>
      <w:pPr>
        <w:pStyle w:val="6"/>
        <w:spacing w:before="10" w:beforeLines="0" w:afterLines="0"/>
        <w:rPr>
          <w:rFonts w:hint="default" w:ascii="Times New Roman" w:hAnsi="Times New Roman" w:eastAsia="宋体" w:cs="Times New Roman"/>
          <w:sz w:val="13"/>
          <w:szCs w:val="24"/>
        </w:rPr>
      </w:pPr>
      <w:r>
        <w:rPr>
          <w:rFonts w:hint="default" w:ascii="Times New Roman" w:hAnsi="Times New Roman" w:eastAsia="宋体" w:cs="Times New Roman"/>
          <w:sz w:val="20"/>
          <w:szCs w:val="24"/>
        </w:rPr>
        <w:drawing>
          <wp:anchor distT="0" distB="0" distL="114300" distR="114300" simplePos="0" relativeHeight="251658240" behindDoc="0" locked="0" layoutInCell="1" allowOverlap="1">
            <wp:simplePos x="0" y="0"/>
            <wp:positionH relativeFrom="page">
              <wp:posOffset>1511300</wp:posOffset>
            </wp:positionH>
            <wp:positionV relativeFrom="paragraph">
              <wp:posOffset>137160</wp:posOffset>
            </wp:positionV>
            <wp:extent cx="967105" cy="967105"/>
            <wp:effectExtent l="0" t="0" r="4445" b="4445"/>
            <wp:wrapTopAndBottom/>
            <wp:docPr id="4" name="image3.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image3.png"/>
                    <pic:cNvPicPr>
                      <a:picLocks noChangeAspect="true"/>
                    </pic:cNvPicPr>
                  </pic:nvPicPr>
                  <pic:blipFill>
                    <a:blip r:embed="rId10"/>
                    <a:stretch>
                      <a:fillRect/>
                    </a:stretch>
                  </pic:blipFill>
                  <pic:spPr>
                    <a:xfrm>
                      <a:off x="0" y="0"/>
                      <a:ext cx="967105" cy="967105"/>
                    </a:xfrm>
                    <a:prstGeom prst="rect">
                      <a:avLst/>
                    </a:prstGeom>
                    <a:noFill/>
                    <a:ln>
                      <a:noFill/>
                    </a:ln>
                  </pic:spPr>
                </pic:pic>
              </a:graphicData>
            </a:graphic>
          </wp:anchor>
        </w:drawing>
      </w:r>
    </w:p>
    <w:p>
      <w:pPr>
        <w:adjustRightInd w:val="0"/>
        <w:snapToGrid w:val="0"/>
        <w:spacing w:before="120" w:beforeLines="50" w:after="120" w:afterLines="50" w:line="420" w:lineRule="exact"/>
        <w:rPr>
          <w:rFonts w:hint="default" w:ascii="仿宋_GB2312" w:hAnsi="仿宋_GB2312" w:eastAsia="仿宋_GB2312" w:cs="仿宋_GB2312"/>
          <w:sz w:val="24"/>
          <w:szCs w:val="24"/>
        </w:rPr>
      </w:pPr>
      <w:r>
        <w:rPr>
          <w:rFonts w:hint="eastAsia" w:ascii="仿宋_GB2312" w:hAnsi="仿宋_GB2312" w:eastAsia="仿宋_GB2312" w:cs="仿宋_GB2312"/>
          <w:sz w:val="24"/>
          <w:szCs w:val="24"/>
        </w:rPr>
        <w:t>请扫二维码，关注“广州统计”</w:t>
      </w: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exact"/>
        <w:ind w:left="0" w:right="0"/>
        <w:jc w:val="center"/>
        <w:textAlignment w:val="auto"/>
        <w:rPr>
          <w:rFonts w:hint="default" w:ascii="Times New Roman" w:hAnsi="Times New Roman" w:eastAsia="华文中宋" w:cs="Times New Roman"/>
          <w:b/>
          <w:bCs w:val="0"/>
          <w:color w:val="auto"/>
          <w:kern w:val="2"/>
          <w:sz w:val="30"/>
          <w:szCs w:val="30"/>
        </w:rPr>
      </w:pPr>
      <w:r>
        <w:rPr>
          <w:rFonts w:hint="eastAsia" w:ascii="华文中宋" w:hAnsi="华文中宋" w:eastAsia="华文中宋" w:cs="华文中宋"/>
          <w:b/>
          <w:bCs w:val="0"/>
          <w:color w:val="auto"/>
          <w:kern w:val="2"/>
          <w:sz w:val="30"/>
          <w:szCs w:val="30"/>
          <w:lang w:val="en-US" w:eastAsia="zh-CN" w:bidi="ar"/>
        </w:rPr>
        <w:t>《中华人民共和国统计法》的有关规定</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楷体_GB2312" w:hAnsi="Times New Roman" w:eastAsia="楷体_GB2312" w:cs="楷体_GB2312"/>
          <w:b/>
          <w:bCs w:val="0"/>
          <w:color w:val="auto"/>
          <w:kern w:val="2"/>
          <w:sz w:val="21"/>
          <w:szCs w:val="21"/>
          <w:lang w:val="en-US" w:eastAsia="zh-CN" w:bidi="ar"/>
        </w:rPr>
      </w:pP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楷体_GB2312" w:hAnsi="Times New Roman" w:eastAsia="楷体_GB2312" w:cs="楷体_GB2312"/>
          <w:b/>
          <w:bCs w:val="0"/>
          <w:color w:val="auto"/>
          <w:kern w:val="2"/>
          <w:sz w:val="21"/>
          <w:szCs w:val="21"/>
          <w:lang w:val="en-US" w:eastAsia="zh-CN" w:bidi="ar"/>
        </w:rPr>
        <w:t xml:space="preserve">第八条  </w:t>
      </w:r>
      <w:r>
        <w:rPr>
          <w:rFonts w:hint="eastAsia" w:ascii="宋体" w:hAnsi="宋体" w:eastAsia="宋体" w:cs="宋体"/>
          <w:color w:val="auto"/>
          <w:kern w:val="2"/>
          <w:sz w:val="21"/>
          <w:szCs w:val="21"/>
          <w:lang w:val="en-US" w:eastAsia="zh-CN" w:bidi="ar"/>
        </w:rPr>
        <w:t>国家机关、企业事业单位和其他组织以及个体工商户和个人等统计调查对象，必须依照本法和国家有关规定，真实、准确、完整、及时地提供统计调查所需的资料，不得提供不真实或者不完整的统计资料，不得迟报、拒报统计资料。</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楷体_GB2312" w:hAnsi="Times New Roman" w:eastAsia="楷体_GB2312" w:cs="楷体_GB2312"/>
          <w:b/>
          <w:bCs w:val="0"/>
          <w:color w:val="auto"/>
          <w:kern w:val="2"/>
          <w:sz w:val="21"/>
          <w:szCs w:val="21"/>
          <w:lang w:val="en-US" w:eastAsia="zh-CN" w:bidi="ar"/>
        </w:rPr>
        <w:t xml:space="preserve">第十一条  </w:t>
      </w:r>
      <w:r>
        <w:rPr>
          <w:rFonts w:hint="eastAsia" w:ascii="宋体" w:hAnsi="宋体" w:eastAsia="宋体" w:cs="宋体"/>
          <w:color w:val="auto"/>
          <w:kern w:val="2"/>
          <w:sz w:val="21"/>
          <w:szCs w:val="21"/>
          <w:lang w:val="en-US" w:eastAsia="zh-CN" w:bidi="ar"/>
        </w:rPr>
        <w:t>统计机构和统计人员对在统计工作中知悉的国家秘密、工作秘密、商业秘密、个人隐私和个人信息，应当予以保密，不得泄露或者向他人非法提供。</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楷体_GB2312" w:hAnsi="Times New Roman" w:eastAsia="楷体_GB2312" w:cs="楷体_GB2312"/>
          <w:b/>
          <w:bCs w:val="0"/>
          <w:color w:val="auto"/>
          <w:kern w:val="2"/>
          <w:sz w:val="21"/>
          <w:szCs w:val="21"/>
          <w:lang w:val="en-US" w:eastAsia="zh-CN" w:bidi="ar"/>
        </w:rPr>
        <w:t xml:space="preserve">第二十四条  </w:t>
      </w:r>
      <w:r>
        <w:rPr>
          <w:rFonts w:hint="eastAsia" w:ascii="宋体" w:hAnsi="宋体" w:eastAsia="宋体" w:cs="宋体"/>
          <w:color w:val="auto"/>
          <w:kern w:val="2"/>
          <w:sz w:val="21"/>
          <w:szCs w:val="21"/>
          <w:lang w:val="en-US" w:eastAsia="zh-CN" w:bidi="ar"/>
        </w:rPr>
        <w:t>国家机关、企业事业单位和其他组织等统计调查对象，应当按照国家有关规定设置原始记录、统计台账，推动统计台账电子化、数字化、标准化，建立健全统计资料的审核、签署、报送、归档等管理制度。</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统计资料的审核、签署人员应当对其审核、签署的统计资料的真实性、准确性和完整性负责。</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楷体_GB2312" w:hAnsi="Times New Roman" w:eastAsia="楷体_GB2312" w:cs="楷体_GB2312"/>
          <w:b/>
          <w:bCs w:val="0"/>
          <w:color w:val="auto"/>
          <w:kern w:val="2"/>
          <w:sz w:val="21"/>
          <w:szCs w:val="21"/>
          <w:lang w:val="en-US" w:eastAsia="zh-CN" w:bidi="ar"/>
        </w:rPr>
        <w:t xml:space="preserve">第四十四条 </w:t>
      </w:r>
      <w:r>
        <w:rPr>
          <w:rFonts w:hint="eastAsia" w:ascii="宋体" w:hAnsi="宋体" w:eastAsia="宋体" w:cs="宋体"/>
          <w:color w:val="auto"/>
          <w:kern w:val="2"/>
          <w:sz w:val="21"/>
          <w:szCs w:val="21"/>
          <w:lang w:val="en-US" w:eastAsia="zh-CN" w:bidi="ar"/>
        </w:rPr>
        <w:t xml:space="preserve"> 作为统计调查对象的国家机关、企业事业单位或者其他组织有下列行为之一的，由县级以上人民政府统计机构责令改正，给予警告，可以予以通报；其负有责任的领导人员和直接责任人员属于公职人员的，由任免机关、单位或者监察机关依法给予处分：</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（一）拒绝提供统计资料或者经催报后仍未按时提供统计资料的；</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（二）提供不真实或者不完整的统计资料的；</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（三）拒绝答复或者不如实答复统计检查查询书的；</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（四）拒绝、阻碍统计调查、统计检查的；</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（五）转移、隐匿、篡改、毁弃或者拒绝提供原始记录和凭证、统计台账、统计调查表及其他相关证明和资料的。</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企业事业单位或者其他组织有前款所列行为之一的，可以并处十万元以下的罚款；情节严重的，并处十万元以上五十万元以下的罚款。</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个体工商户有本条第一款所列行为之一的，由县级以上人民政府统计机构责令改正，给予警告，可以并处一万元以下的罚款。</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楷体_GB2312" w:hAnsi="Times New Roman" w:eastAsia="楷体_GB2312" w:cs="楷体_GB2312"/>
          <w:b/>
          <w:bCs w:val="0"/>
          <w:color w:val="auto"/>
          <w:kern w:val="2"/>
          <w:sz w:val="21"/>
          <w:szCs w:val="21"/>
          <w:lang w:val="en-US" w:eastAsia="zh-CN" w:bidi="ar"/>
        </w:rPr>
        <w:t>第四十五条</w:t>
      </w:r>
      <w:r>
        <w:rPr>
          <w:rFonts w:hint="eastAsia" w:ascii="宋体" w:hAnsi="宋体" w:cs="宋体"/>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作为统计调查对象的国家机关、企业事业单位或者其他组织迟报统计资料，或者未按照国家有关规定设置原始记录、统计台账的，由县级以上人民政府统计机构责令改正，给予警告，可以予以通报；其负有责任的领导人员和直接责任人员属于公职人员的，由任免机关、单位或者监察机关依法给予处分。</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　　企业事业单位或者其他组织有前款所列行为之一的，可以并处五万元以下的罚款。</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　　个体工商户迟报统计资料的，由县级以上人民政府统计机构责令改正，给予警告，可以并处一千元以下的罚款。</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0" w:lineRule="exact"/>
        <w:ind w:left="0" w:right="0"/>
        <w:jc w:val="center"/>
        <w:textAlignment w:val="auto"/>
        <w:rPr>
          <w:rFonts w:hint="eastAsia" w:ascii="华文中宋" w:hAnsi="华文中宋" w:eastAsia="华文中宋" w:cs="华文中宋"/>
          <w:b/>
          <w:bCs w:val="0"/>
          <w:color w:val="auto"/>
          <w:kern w:val="2"/>
          <w:sz w:val="30"/>
          <w:szCs w:val="30"/>
          <w:lang w:val="en-US" w:eastAsia="zh-CN" w:bidi="ar"/>
        </w:rPr>
      </w:pP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exact"/>
        <w:ind w:left="0" w:right="0"/>
        <w:jc w:val="center"/>
        <w:textAlignment w:val="auto"/>
        <w:rPr>
          <w:rFonts w:hint="default" w:ascii="华文中宋" w:hAnsi="华文中宋" w:eastAsia="华文中宋" w:cs="华文中宋"/>
          <w:b/>
          <w:bCs w:val="0"/>
          <w:color w:val="auto"/>
          <w:kern w:val="2"/>
          <w:sz w:val="30"/>
          <w:szCs w:val="30"/>
          <w:lang w:val="en-US" w:eastAsia="zh-CN" w:bidi="ar"/>
        </w:rPr>
      </w:pPr>
      <w:r>
        <w:rPr>
          <w:rFonts w:hint="eastAsia" w:ascii="华文中宋" w:hAnsi="华文中宋" w:eastAsia="华文中宋" w:cs="华文中宋"/>
          <w:b/>
          <w:bCs w:val="0"/>
          <w:color w:val="auto"/>
          <w:kern w:val="2"/>
          <w:sz w:val="30"/>
          <w:szCs w:val="30"/>
          <w:lang w:val="en-US" w:eastAsia="zh-CN" w:bidi="ar"/>
        </w:rPr>
        <w:t>《中华人民共和国统计法实施条例》的有关规定</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楷体_GB2312" w:hAnsi="Times New Roman" w:eastAsia="楷体_GB2312" w:cs="楷体_GB2312"/>
          <w:b/>
          <w:bCs w:val="0"/>
          <w:color w:val="auto"/>
          <w:kern w:val="2"/>
          <w:sz w:val="21"/>
          <w:szCs w:val="21"/>
          <w:lang w:val="en-US" w:eastAsia="zh-CN" w:bidi="ar"/>
        </w:rPr>
      </w:pP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default" w:ascii="Times New Roman" w:hAnsi="Times New Roman" w:eastAsia="宋体" w:cs="Times New Roman"/>
          <w:color w:val="auto"/>
          <w:kern w:val="2"/>
          <w:sz w:val="21"/>
          <w:szCs w:val="21"/>
        </w:rPr>
      </w:pPr>
      <w:r>
        <w:rPr>
          <w:rFonts w:hint="eastAsia" w:ascii="楷体_GB2312" w:hAnsi="Times New Roman" w:eastAsia="楷体_GB2312" w:cs="楷体_GB2312"/>
          <w:b/>
          <w:bCs w:val="0"/>
          <w:color w:val="auto"/>
          <w:kern w:val="2"/>
          <w:sz w:val="21"/>
          <w:szCs w:val="21"/>
          <w:lang w:val="en-US" w:eastAsia="zh-CN" w:bidi="ar"/>
        </w:rPr>
        <w:t>第四条第三款</w:t>
      </w:r>
      <w:r>
        <w:rPr>
          <w:rFonts w:hint="eastAsia" w:ascii="楷体_GB2312" w:hAnsi="Times New Roman" w:eastAsia="楷体_GB2312" w:cs="楷体_GB2312"/>
          <w:color w:val="auto"/>
          <w:kern w:val="2"/>
          <w:sz w:val="21"/>
          <w:szCs w:val="21"/>
          <w:lang w:val="en-US" w:eastAsia="zh-CN" w:bidi="ar"/>
        </w:rPr>
        <w:t xml:space="preserve"> </w:t>
      </w:r>
      <w:r>
        <w:rPr>
          <w:rFonts w:hint="default" w:ascii="Times New Roman" w:hAnsi="Times New Roman" w:eastAsia="宋体" w:cs="Times New Roman"/>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统计调查对象应当依照统计法和国家有关规定，真实、准确、完整、及时地提供统计资料，拒绝、抵制弄虚作假等违法行为。</w:t>
      </w:r>
      <w:r>
        <w:rPr>
          <w:rFonts w:hint="default" w:ascii="Times New Roman" w:hAnsi="Times New Roman" w:eastAsia="宋体" w:cs="Times New Roman"/>
          <w:color w:val="auto"/>
          <w:kern w:val="2"/>
          <w:sz w:val="21"/>
          <w:szCs w:val="21"/>
          <w:lang w:val="en-US" w:eastAsia="zh-CN" w:bidi="ar"/>
        </w:rPr>
        <w:t xml:space="preserve"> </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default" w:ascii="Times New Roman" w:hAnsi="Times New Roman" w:eastAsia="宋体" w:cs="Times New Roman"/>
          <w:color w:val="auto"/>
          <w:kern w:val="2"/>
          <w:sz w:val="21"/>
          <w:szCs w:val="21"/>
        </w:rPr>
      </w:pPr>
      <w:r>
        <w:rPr>
          <w:rFonts w:hint="eastAsia" w:ascii="楷体_GB2312" w:hAnsi="Times New Roman" w:eastAsia="楷体_GB2312" w:cs="楷体_GB2312"/>
          <w:b/>
          <w:bCs w:val="0"/>
          <w:color w:val="auto"/>
          <w:kern w:val="2"/>
          <w:sz w:val="21"/>
          <w:szCs w:val="21"/>
          <w:lang w:val="en-US" w:eastAsia="zh-CN" w:bidi="ar"/>
        </w:rPr>
        <w:t>第十七条</w:t>
      </w:r>
      <w:r>
        <w:rPr>
          <w:rFonts w:hint="eastAsia" w:ascii="楷体_GB2312" w:hAnsi="Times New Roman" w:eastAsia="楷体_GB2312" w:cs="楷体_GB2312"/>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国家机关、企业事业单位或者其他组织等统计调查对象提供统计资料，应当由填报人员和单位负责人签字，并加盖公章。个人作为统计调查对象提供统计资料，应当由本人签字。统计调查制度规定不需要签字、加盖公章的除外。</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1"/>
          <w:szCs w:val="21"/>
          <w:lang w:val="en-US" w:eastAsia="zh-CN" w:bidi="ar"/>
        </w:rPr>
        <w:t>统计调查对象使用网络提供统计资料的，按照国家有关规定执行。</w:t>
      </w:r>
      <w:r>
        <w:rPr>
          <w:rFonts w:hint="default" w:ascii="Times New Roman" w:hAnsi="Times New Roman" w:eastAsia="宋体" w:cs="Times New Roman"/>
          <w:color w:val="auto"/>
          <w:kern w:val="2"/>
          <w:sz w:val="21"/>
          <w:szCs w:val="21"/>
          <w:lang w:val="en-US" w:eastAsia="zh-CN" w:bidi="ar"/>
        </w:rPr>
        <w:t xml:space="preserve"> </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default" w:ascii="Times New Roman" w:hAnsi="Times New Roman" w:eastAsia="宋体" w:cs="Times New Roman"/>
          <w:color w:val="auto"/>
          <w:kern w:val="2"/>
          <w:sz w:val="21"/>
          <w:szCs w:val="21"/>
        </w:rPr>
      </w:pPr>
      <w:r>
        <w:rPr>
          <w:rFonts w:hint="eastAsia" w:ascii="楷体_GB2312" w:hAnsi="Times New Roman" w:eastAsia="楷体_GB2312" w:cs="楷体_GB2312"/>
          <w:b/>
          <w:bCs w:val="0"/>
          <w:color w:val="auto"/>
          <w:kern w:val="2"/>
          <w:sz w:val="21"/>
          <w:szCs w:val="21"/>
          <w:lang w:val="en-US" w:eastAsia="zh-CN" w:bidi="ar"/>
        </w:rPr>
        <w:t>第二十三条</w:t>
      </w:r>
      <w:r>
        <w:rPr>
          <w:rFonts w:hint="eastAsia" w:ascii="楷体_GB2312" w:hAnsi="Times New Roman" w:eastAsia="楷体_GB2312" w:cs="楷体_GB2312"/>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统计调查对象按照国家有关规定设置的原始记录和统计台账，应当至少保存</w:t>
      </w:r>
      <w:r>
        <w:rPr>
          <w:rFonts w:hint="default" w:ascii="Times New Roman" w:hAnsi="Times New Roman" w:eastAsia="宋体" w:cs="Times New Roman"/>
          <w:color w:val="auto"/>
          <w:kern w:val="2"/>
          <w:sz w:val="21"/>
          <w:szCs w:val="21"/>
          <w:lang w:val="en-US" w:eastAsia="zh-CN" w:bidi="ar"/>
        </w:rPr>
        <w:t>2</w:t>
      </w:r>
      <w:r>
        <w:rPr>
          <w:rFonts w:hint="eastAsia" w:ascii="宋体" w:hAnsi="宋体" w:eastAsia="宋体" w:cs="宋体"/>
          <w:color w:val="auto"/>
          <w:kern w:val="2"/>
          <w:sz w:val="21"/>
          <w:szCs w:val="21"/>
          <w:lang w:val="en-US" w:eastAsia="zh-CN" w:bidi="ar"/>
        </w:rPr>
        <w:t>年。</w:t>
      </w:r>
      <w:r>
        <w:rPr>
          <w:rFonts w:hint="default" w:ascii="Times New Roman" w:hAnsi="Times New Roman" w:eastAsia="宋体" w:cs="Times New Roman"/>
          <w:color w:val="auto"/>
          <w:kern w:val="2"/>
          <w:sz w:val="21"/>
          <w:szCs w:val="21"/>
          <w:lang w:val="en-US" w:eastAsia="zh-CN" w:bidi="ar"/>
        </w:rPr>
        <w:t xml:space="preserve"> </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default" w:ascii="Times New Roman" w:hAnsi="Times New Roman" w:eastAsia="宋体" w:cs="Times New Roman"/>
          <w:color w:val="auto"/>
          <w:kern w:val="2"/>
          <w:sz w:val="21"/>
          <w:szCs w:val="21"/>
        </w:rPr>
      </w:pPr>
      <w:r>
        <w:rPr>
          <w:rFonts w:hint="eastAsia" w:ascii="楷体_GB2312" w:hAnsi="Times New Roman" w:eastAsia="楷体_GB2312" w:cs="楷体_GB2312"/>
          <w:b/>
          <w:bCs w:val="0"/>
          <w:color w:val="auto"/>
          <w:kern w:val="2"/>
          <w:sz w:val="21"/>
          <w:szCs w:val="21"/>
          <w:lang w:val="en-US" w:eastAsia="zh-CN" w:bidi="ar"/>
        </w:rPr>
        <w:t xml:space="preserve">第三十七条 </w:t>
      </w:r>
      <w:r>
        <w:rPr>
          <w:rFonts w:hint="eastAsia" w:ascii="楷体_GB2312" w:hAnsi="Times New Roman" w:eastAsia="楷体_GB2312" w:cs="楷体_GB2312"/>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任何单位和个人不得拒绝、阻碍对统计工作的监督检查和对统计违法行为的查处工作，不得包庇、纵容统计违法行为。</w:t>
      </w:r>
      <w:r>
        <w:rPr>
          <w:rFonts w:hint="default" w:ascii="Times New Roman" w:hAnsi="Times New Roman" w:eastAsia="宋体" w:cs="Times New Roman"/>
          <w:color w:val="auto"/>
          <w:kern w:val="2"/>
          <w:sz w:val="21"/>
          <w:szCs w:val="21"/>
          <w:lang w:val="en-US" w:eastAsia="zh-CN" w:bidi="ar"/>
        </w:rPr>
        <w:t xml:space="preserve"> </w:t>
      </w:r>
    </w:p>
    <w:p>
      <w:pPr>
        <w:keepNext w:val="0"/>
        <w:keepLines w:val="0"/>
        <w:pageBreakBefore w:val="0"/>
        <w:widowControl w:val="0"/>
        <w:suppressLineNumbers w:val="0"/>
        <w:kinsoku/>
        <w:wordWrap/>
        <w:overflowPunct/>
        <w:topLinePunct w:val="0"/>
        <w:autoSpaceDE/>
        <w:autoSpaceDN/>
        <w:bidi w:val="0"/>
        <w:spacing w:beforeAutospacing="0" w:afterAutospacing="0" w:line="280" w:lineRule="exact"/>
        <w:ind w:left="0" w:right="0" w:firstLine="420" w:firstLineChars="200"/>
        <w:jc w:val="both"/>
        <w:textAlignment w:val="auto"/>
        <w:rPr>
          <w:rFonts w:hint="eastAsia" w:ascii="方正小标宋_GBK" w:hAnsi="方正小标宋_GBK" w:eastAsia="方正小标宋_GBK" w:cs="方正小标宋_GBK"/>
          <w:color w:val="auto"/>
          <w:kern w:val="2"/>
          <w:sz w:val="36"/>
          <w:szCs w:val="36"/>
        </w:rPr>
      </w:pPr>
      <w:r>
        <w:rPr>
          <w:rFonts w:hint="eastAsia" w:ascii="楷体_GB2312" w:hAnsi="Times New Roman" w:eastAsia="楷体_GB2312" w:cs="楷体_GB2312"/>
          <w:b/>
          <w:bCs w:val="0"/>
          <w:color w:val="auto"/>
          <w:kern w:val="2"/>
          <w:sz w:val="21"/>
          <w:szCs w:val="21"/>
          <w:lang w:val="en-US" w:eastAsia="zh-CN" w:bidi="ar"/>
        </w:rPr>
        <w:t>第五十一条</w:t>
      </w:r>
      <w:r>
        <w:rPr>
          <w:rFonts w:hint="eastAsia" w:ascii="楷体_GB2312" w:hAnsi="Times New Roman" w:eastAsia="楷体_GB2312" w:cs="楷体_GB2312"/>
          <w:color w:val="auto"/>
          <w:kern w:val="2"/>
          <w:sz w:val="21"/>
          <w:szCs w:val="21"/>
          <w:lang w:val="en-US" w:eastAsia="zh-CN" w:bidi="ar"/>
        </w:rPr>
        <w:t xml:space="preserve">  </w:t>
      </w:r>
      <w:r>
        <w:rPr>
          <w:rFonts w:hint="eastAsia" w:ascii="宋体" w:hAnsi="宋体" w:eastAsia="宋体" w:cs="宋体"/>
          <w:color w:val="auto"/>
          <w:kern w:val="2"/>
          <w:sz w:val="21"/>
          <w:szCs w:val="21"/>
          <w:lang w:val="en-US" w:eastAsia="zh-CN" w:bidi="ar"/>
        </w:rPr>
        <w:t>统计违法行为涉嫌犯罪的，县级以上人民政府统计机构应当将案件移送司法机关处理。</w:t>
      </w:r>
    </w:p>
    <w:p>
      <w:pPr>
        <w:keepNext w:val="0"/>
        <w:keepLines w:val="0"/>
        <w:pageBreakBefore w:val="0"/>
        <w:widowControl w:val="0"/>
        <w:kinsoku/>
        <w:wordWrap/>
        <w:overflowPunct/>
        <w:topLinePunct w:val="0"/>
        <w:autoSpaceDE/>
        <w:autoSpaceDN/>
        <w:bidi w:val="0"/>
        <w:spacing w:line="280" w:lineRule="exact"/>
        <w:textAlignment w:val="auto"/>
        <w:rPr>
          <w:color w:val="auto"/>
        </w:rPr>
      </w:pPr>
    </w:p>
    <w:p>
      <w:pPr>
        <w:rPr>
          <w:rFonts w:eastAsia="宋体"/>
          <w:szCs w:val="21"/>
        </w:rPr>
      </w:pPr>
    </w:p>
    <w:p>
      <w:pPr>
        <w:rPr>
          <w:rFonts w:eastAsia="宋体"/>
          <w:szCs w:val="21"/>
        </w:rPr>
        <w:sectPr>
          <w:headerReference r:id="rId3" w:type="default"/>
          <w:footerReference r:id="rId4" w:type="default"/>
          <w:pgSz w:w="11906" w:h="16838"/>
          <w:pgMar w:top="1418" w:right="1247" w:bottom="1247" w:left="1247" w:header="851" w:footer="851" w:gutter="0"/>
          <w:pgBorders>
            <w:top w:val="none" w:sz="0" w:space="0"/>
            <w:left w:val="none" w:sz="0" w:space="0"/>
            <w:bottom w:val="none" w:sz="0" w:space="0"/>
            <w:right w:val="none" w:sz="0" w:space="0"/>
          </w:pgBorders>
          <w:pgNumType w:fmt="decimal" w:start="1"/>
          <w:cols w:space="720" w:num="1"/>
          <w:docGrid w:type="linesAndChar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340" w:lineRule="exact"/>
        <w:ind w:left="0" w:leftChars="0" w:right="0" w:rightChars="0" w:firstLine="0" w:firstLineChars="0"/>
        <w:jc w:val="center"/>
        <w:textAlignment w:val="auto"/>
        <w:rPr>
          <w:rFonts w:hint="eastAsia" w:ascii="黑体" w:hAnsi="黑体" w:eastAsia="黑体" w:cs="黑体"/>
          <w:sz w:val="32"/>
          <w:szCs w:val="28"/>
        </w:rPr>
        <w:sectPr>
          <w:headerReference r:id="rId5" w:type="default"/>
          <w:type w:val="continuous"/>
          <w:pgSz w:w="11906" w:h="16838"/>
          <w:pgMar w:top="1418" w:right="1247" w:bottom="1247" w:left="1247" w:header="851" w:footer="851" w:gutter="0"/>
          <w:pgBorders>
            <w:top w:val="none" w:sz="0" w:space="0"/>
            <w:left w:val="none" w:sz="0" w:space="0"/>
            <w:bottom w:val="none" w:sz="0" w:space="0"/>
            <w:right w:val="none" w:sz="0" w:space="0"/>
          </w:pgBorders>
          <w:pgNumType w:fmt="decimal" w:start="1"/>
          <w:cols w:space="720" w:num="1"/>
          <w:docGrid w:type="linesAndChar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340" w:lineRule="exact"/>
        <w:ind w:left="0" w:leftChars="0" w:right="0" w:rightChars="0" w:firstLine="0" w:firstLineChars="0"/>
        <w:jc w:val="center"/>
        <w:textAlignment w:val="auto"/>
        <w:rPr>
          <w:rFonts w:hint="eastAsia" w:ascii="黑体" w:hAnsi="黑体" w:eastAsia="黑体" w:cs="黑体"/>
          <w:sz w:val="32"/>
          <w:szCs w:val="28"/>
        </w:rPr>
      </w:pPr>
      <w:r>
        <w:rPr>
          <w:rFonts w:hint="eastAsia" w:ascii="黑体" w:hAnsi="黑体" w:eastAsia="黑体" w:cs="黑体"/>
          <w:sz w:val="32"/>
          <w:szCs w:val="28"/>
        </w:rPr>
        <w:t>目</w:t>
      </w:r>
      <w:r>
        <w:rPr>
          <w:rFonts w:hint="eastAsia" w:ascii="黑体" w:hAnsi="黑体" w:eastAsia="黑体" w:cs="黑体"/>
          <w:sz w:val="32"/>
          <w:szCs w:val="28"/>
          <w:lang w:val="en-US" w:eastAsia="zh-CN"/>
        </w:rPr>
        <w:t xml:space="preserve">  </w:t>
      </w:r>
      <w:r>
        <w:rPr>
          <w:rFonts w:hint="eastAsia" w:ascii="黑体" w:hAnsi="黑体" w:eastAsia="黑体" w:cs="黑体"/>
          <w:sz w:val="32"/>
          <w:szCs w:val="28"/>
        </w:rPr>
        <w:t>录</w:t>
      </w:r>
    </w:p>
    <w:p>
      <w:pPr>
        <w:pStyle w:val="14"/>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 w:val="0"/>
          <w:bCs w:val="0"/>
          <w:color w:val="FF0000"/>
          <w:sz w:val="21"/>
          <w:szCs w:val="21"/>
        </w:rPr>
        <w:fldChar w:fldCharType="begin"/>
      </w:r>
      <w:r>
        <w:rPr>
          <w:rFonts w:hint="default" w:ascii="new times" w:hAnsi="new times" w:cs="new times" w:eastAsiaTheme="minorEastAsia"/>
          <w:b w:val="0"/>
          <w:bCs w:val="0"/>
          <w:color w:val="FF0000"/>
          <w:sz w:val="21"/>
          <w:szCs w:val="21"/>
        </w:rPr>
        <w:instrText xml:space="preserve">TOC \o "1-3" \h \u </w:instrText>
      </w:r>
      <w:r>
        <w:rPr>
          <w:rFonts w:hint="default" w:ascii="new times" w:hAnsi="new times" w:cs="new times" w:eastAsiaTheme="minorEastAsia"/>
          <w:b w:val="0"/>
          <w:bCs w:val="0"/>
          <w:color w:val="FF0000"/>
          <w:sz w:val="21"/>
          <w:szCs w:val="21"/>
        </w:rPr>
        <w:fldChar w:fldCharType="separate"/>
      </w: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_Toc1098544487 </w:instrText>
      </w:r>
      <w:r>
        <w:rPr>
          <w:rFonts w:hint="default" w:ascii="new times" w:hAnsi="new times" w:cs="new times" w:eastAsiaTheme="minorEastAsia"/>
          <w:bCs w:val="0"/>
          <w:szCs w:val="21"/>
        </w:rPr>
        <w:fldChar w:fldCharType="separate"/>
      </w:r>
      <w:r>
        <w:rPr>
          <w:rFonts w:hint="default" w:ascii="new times" w:hAnsi="new times" w:eastAsia="黑体" w:cs="new times"/>
          <w:bCs w:val="0"/>
          <w:szCs w:val="32"/>
        </w:rPr>
        <w:t>一、 总 说 明</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_Toc1098544487 </w:instrText>
      </w:r>
      <w:r>
        <w:rPr>
          <w:rFonts w:hint="default" w:ascii="new times" w:hAnsi="new times" w:cs="new times"/>
        </w:rPr>
        <w:fldChar w:fldCharType="separate"/>
      </w:r>
      <w:r>
        <w:rPr>
          <w:rFonts w:hint="default" w:ascii="new times" w:hAnsi="new times" w:cs="new times"/>
        </w:rPr>
        <w:t>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4"/>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_Toc1921954327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32"/>
        </w:rPr>
        <w:t>二、 报表目录</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_Toc1921954327 </w:instrText>
      </w:r>
      <w:r>
        <w:rPr>
          <w:rFonts w:hint="default" w:ascii="new times" w:hAnsi="new times" w:cs="new times"/>
        </w:rPr>
        <w:fldChar w:fldCharType="separate"/>
      </w:r>
      <w:r>
        <w:rPr>
          <w:rFonts w:hint="default" w:ascii="new times" w:hAnsi="new times" w:cs="new times"/>
        </w:rPr>
        <w:t>5</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4"/>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_Toc857863264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32"/>
        </w:rPr>
        <w:t>三、 报表表式</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_Toc857863264 </w:instrText>
      </w:r>
      <w:r>
        <w:rPr>
          <w:rFonts w:hint="default" w:ascii="new times" w:hAnsi="new times" w:cs="new times"/>
        </w:rPr>
        <w:fldChar w:fldCharType="separate"/>
      </w:r>
      <w:r>
        <w:rPr>
          <w:rFonts w:hint="default" w:ascii="new times" w:hAnsi="new times" w:cs="new times"/>
        </w:rPr>
        <w:t>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_Toc59047459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（一）基层</w:t>
      </w:r>
      <w:r>
        <w:rPr>
          <w:rFonts w:hint="default" w:ascii="new times" w:hAnsi="new times" w:eastAsia="黑体" w:cs="new times"/>
          <w:bCs/>
          <w:szCs w:val="28"/>
          <w:lang w:eastAsia="zh-CN"/>
        </w:rPr>
        <w:t>年报</w:t>
      </w:r>
      <w:r>
        <w:rPr>
          <w:rFonts w:hint="default" w:ascii="new times" w:hAnsi="new times" w:eastAsia="黑体" w:cs="new times"/>
          <w:bCs/>
          <w:szCs w:val="28"/>
        </w:rPr>
        <w:t>表式</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_Toc59047459 </w:instrText>
      </w:r>
      <w:r>
        <w:rPr>
          <w:rFonts w:hint="default" w:ascii="new times" w:hAnsi="new times" w:cs="new times"/>
        </w:rPr>
        <w:fldChar w:fldCharType="separate"/>
      </w:r>
      <w:r>
        <w:rPr>
          <w:rFonts w:hint="default" w:ascii="new times" w:hAnsi="new times" w:cs="new times"/>
        </w:rPr>
        <w:t>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_Toc2109381871 </w:instrText>
      </w:r>
      <w:r>
        <w:rPr>
          <w:rFonts w:hint="default" w:ascii="new times" w:hAnsi="new times" w:cs="new times" w:eastAsiaTheme="minorEastAsia"/>
          <w:bCs w:val="0"/>
          <w:szCs w:val="21"/>
        </w:rPr>
        <w:fldChar w:fldCharType="separate"/>
      </w:r>
      <w:r>
        <w:rPr>
          <w:rFonts w:hint="default" w:ascii="new times" w:hAnsi="new times" w:cs="new times"/>
          <w:bCs/>
          <w:szCs w:val="32"/>
          <w:lang w:eastAsia="zh-CN"/>
        </w:rPr>
        <w:t>一套表</w:t>
      </w:r>
      <w:r>
        <w:rPr>
          <w:rFonts w:hint="default" w:ascii="new times" w:hAnsi="new times" w:cs="new times"/>
          <w:bCs/>
          <w:szCs w:val="32"/>
        </w:rPr>
        <w:t>调查单位基本情况</w:t>
      </w:r>
      <w:r>
        <w:rPr>
          <w:rFonts w:hint="default" w:ascii="new times" w:hAnsi="new times" w:cs="new times"/>
          <w:bCs/>
          <w:szCs w:val="32"/>
          <w:lang w:eastAsia="zh-CN"/>
        </w:rPr>
        <w:t>（</w:t>
      </w:r>
      <w:r>
        <w:rPr>
          <w:rFonts w:hint="default" w:ascii="new times ROMER" w:hAnsi="new times ROMER" w:cs="new times ROMER"/>
          <w:bCs/>
          <w:szCs w:val="32"/>
          <w:lang w:val="en-US" w:eastAsia="zh-CN"/>
        </w:rPr>
        <w:t>101-1</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_Toc2109381871 </w:instrText>
      </w:r>
      <w:r>
        <w:rPr>
          <w:rFonts w:hint="default" w:ascii="new times" w:hAnsi="new times" w:cs="new times"/>
        </w:rPr>
        <w:fldChar w:fldCharType="separate"/>
      </w:r>
      <w:r>
        <w:rPr>
          <w:rFonts w:hint="default" w:ascii="new times" w:hAnsi="new times" w:cs="new times"/>
        </w:rPr>
        <w:t>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_Toc558198463 </w:instrText>
      </w:r>
      <w:r>
        <w:rPr>
          <w:rFonts w:hint="default" w:ascii="new times" w:hAnsi="new times" w:cs="new times" w:eastAsiaTheme="minorEastAsia"/>
          <w:bCs w:val="0"/>
          <w:szCs w:val="21"/>
        </w:rPr>
        <w:fldChar w:fldCharType="separate"/>
      </w:r>
      <w:r>
        <w:rPr>
          <w:rFonts w:hint="default" w:ascii="new times" w:hAnsi="new times" w:cs="new times"/>
          <w:bCs/>
          <w:szCs w:val="32"/>
          <w:lang w:eastAsia="zh-CN"/>
        </w:rPr>
        <w:t>企业组织结构调查表（</w:t>
      </w:r>
      <w:r>
        <w:rPr>
          <w:rFonts w:hint="default" w:ascii="new times ROMER" w:hAnsi="new times ROMER" w:eastAsia="宋体" w:cs="new times ROMER"/>
          <w:bCs/>
          <w:szCs w:val="32"/>
          <w:lang w:val="en-US" w:eastAsia="zh-CN"/>
        </w:rPr>
        <w:t>1</w:t>
      </w:r>
      <w:r>
        <w:rPr>
          <w:rFonts w:hint="eastAsia" w:ascii="new times ROMER" w:hAnsi="new times ROMER" w:eastAsia="宋体" w:cs="new times ROMER"/>
          <w:bCs/>
          <w:szCs w:val="32"/>
          <w:lang w:val="en-US" w:eastAsia="zh-CN"/>
        </w:rPr>
        <w:t>08</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_Toc558198463 </w:instrText>
      </w:r>
      <w:r>
        <w:rPr>
          <w:rFonts w:hint="default" w:ascii="new times" w:hAnsi="new times" w:cs="new times"/>
        </w:rPr>
        <w:fldChar w:fldCharType="separate"/>
      </w:r>
      <w:r>
        <w:rPr>
          <w:rFonts w:hint="default" w:ascii="new times" w:hAnsi="new times" w:cs="new times"/>
        </w:rPr>
        <w:t>11</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_Toc487568771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从业人员及工资总额</w:t>
      </w:r>
      <w:r>
        <w:rPr>
          <w:rFonts w:hint="default" w:ascii="new times" w:hAnsi="new times" w:cs="new times"/>
          <w:bCs/>
          <w:szCs w:val="32"/>
          <w:lang w:eastAsia="zh-CN"/>
        </w:rPr>
        <w:t>（</w:t>
      </w:r>
      <w:r>
        <w:rPr>
          <w:rFonts w:hint="default" w:ascii="new times" w:hAnsi="new times" w:cs="new times"/>
          <w:bCs/>
          <w:szCs w:val="32"/>
          <w:lang w:val="en-US" w:eastAsia="zh-CN"/>
        </w:rPr>
        <w:t>10</w:t>
      </w:r>
      <w:r>
        <w:rPr>
          <w:rFonts w:hint="eastAsia" w:ascii="new times" w:hAnsi="new times" w:cs="new times"/>
          <w:bCs/>
          <w:szCs w:val="32"/>
          <w:lang w:val="en-US" w:eastAsia="zh-CN"/>
        </w:rPr>
        <w:t>2-1</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_Toc487568771 </w:instrText>
      </w:r>
      <w:r>
        <w:rPr>
          <w:rFonts w:hint="default" w:ascii="new times" w:hAnsi="new times" w:cs="new times"/>
        </w:rPr>
        <w:fldChar w:fldCharType="separate"/>
      </w:r>
      <w:r>
        <w:rPr>
          <w:rFonts w:hint="default" w:ascii="new times" w:hAnsi="new times" w:cs="new times"/>
        </w:rPr>
        <w:t>12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_Toc1753375539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财务状况（成本费用）</w:t>
      </w:r>
      <w:r>
        <w:rPr>
          <w:rFonts w:hint="default" w:ascii="new times" w:hAnsi="new times" w:cs="new times"/>
          <w:bCs/>
          <w:szCs w:val="32"/>
          <w:lang w:eastAsia="zh-CN"/>
        </w:rPr>
        <w:t>（</w:t>
      </w:r>
      <w:r>
        <w:rPr>
          <w:rFonts w:hint="eastAsia" w:ascii="new times" w:hAnsi="new times" w:cs="new times"/>
          <w:bCs/>
          <w:szCs w:val="32"/>
          <w:lang w:val="en-US" w:eastAsia="zh-CN"/>
        </w:rPr>
        <w:t>B103</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_Toc1753375539 </w:instrText>
      </w:r>
      <w:r>
        <w:rPr>
          <w:rFonts w:hint="default" w:ascii="new times" w:hAnsi="new times" w:cs="new times"/>
        </w:rPr>
        <w:fldChar w:fldCharType="separate"/>
      </w:r>
      <w:r>
        <w:rPr>
          <w:rFonts w:hint="default" w:ascii="new times" w:hAnsi="new times" w:cs="new times"/>
        </w:rPr>
        <w:t>13</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_Toc911923688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lang w:eastAsia="zh-CN"/>
        </w:rPr>
        <w:t>一套表企业</w:t>
      </w:r>
      <w:r>
        <w:rPr>
          <w:rFonts w:hint="default" w:ascii="new times" w:hAnsi="new times" w:eastAsia="宋体" w:cs="new times"/>
          <w:bCs/>
          <w:szCs w:val="32"/>
        </w:rPr>
        <w:t>数据来源台账</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_Toc911923688 </w:instrText>
      </w:r>
      <w:r>
        <w:rPr>
          <w:rFonts w:hint="default" w:ascii="new times" w:hAnsi="new times" w:cs="new times"/>
        </w:rPr>
        <w:fldChar w:fldCharType="separate"/>
      </w:r>
      <w:r>
        <w:rPr>
          <w:rFonts w:hint="default" w:ascii="new times" w:hAnsi="new times" w:cs="new times"/>
        </w:rPr>
        <w:t>15</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_Toc1927312879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主要工业产品生产能力</w:t>
      </w:r>
      <w:r>
        <w:rPr>
          <w:rFonts w:hint="default" w:ascii="new times" w:hAnsi="new times" w:cs="new times"/>
          <w:bCs/>
          <w:szCs w:val="32"/>
          <w:lang w:eastAsia="zh-CN"/>
        </w:rPr>
        <w:t>（</w:t>
      </w:r>
      <w:r>
        <w:rPr>
          <w:rFonts w:hint="eastAsia" w:ascii="new times" w:hAnsi="new times" w:cs="new times"/>
          <w:bCs/>
          <w:szCs w:val="32"/>
          <w:lang w:val="en-US" w:eastAsia="zh-CN"/>
        </w:rPr>
        <w:t>B</w:t>
      </w:r>
      <w:r>
        <w:rPr>
          <w:rFonts w:hint="default" w:ascii="new times" w:hAnsi="new times" w:cs="new times"/>
          <w:bCs/>
          <w:szCs w:val="32"/>
          <w:lang w:val="en-US" w:eastAsia="zh-CN"/>
        </w:rPr>
        <w:t>10</w:t>
      </w:r>
      <w:r>
        <w:rPr>
          <w:rFonts w:hint="eastAsia" w:ascii="new times" w:hAnsi="new times" w:cs="new times"/>
          <w:bCs/>
          <w:szCs w:val="32"/>
          <w:lang w:val="en-US" w:eastAsia="zh-CN"/>
        </w:rPr>
        <w:t>4</w:t>
      </w:r>
      <w:r>
        <w:rPr>
          <w:rFonts w:hint="default" w:ascii="new times" w:hAnsi="new times" w:cs="new times"/>
          <w:bCs/>
          <w:szCs w:val="32"/>
          <w:lang w:val="en-US" w:eastAsia="zh-CN"/>
        </w:rPr>
        <w:t>-</w:t>
      </w:r>
      <w:r>
        <w:rPr>
          <w:rFonts w:hint="eastAsia" w:ascii="new times" w:hAnsi="new times" w:cs="new times"/>
          <w:bCs/>
          <w:szCs w:val="32"/>
          <w:lang w:val="en-US" w:eastAsia="zh-CN"/>
        </w:rPr>
        <w:t>3</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_Toc1927312879 </w:instrText>
      </w:r>
      <w:r>
        <w:rPr>
          <w:rFonts w:hint="default" w:ascii="new times" w:hAnsi="new times" w:cs="new times"/>
        </w:rPr>
        <w:fldChar w:fldCharType="separate"/>
      </w:r>
      <w:r>
        <w:rPr>
          <w:rFonts w:hint="default" w:ascii="new times" w:hAnsi="new times" w:cs="new times"/>
        </w:rPr>
        <w:t>17</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_Toc1133142491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工业企业战略性新兴产业总产值</w:t>
      </w:r>
      <w:r>
        <w:rPr>
          <w:rFonts w:hint="default" w:ascii="new times" w:hAnsi="new times" w:cs="new times"/>
          <w:bCs/>
          <w:szCs w:val="32"/>
          <w:lang w:eastAsia="zh-CN"/>
        </w:rPr>
        <w:t>（</w:t>
      </w:r>
      <w:r>
        <w:rPr>
          <w:rFonts w:hint="eastAsia" w:ascii="new times" w:hAnsi="new times" w:cs="new times"/>
          <w:bCs/>
          <w:szCs w:val="32"/>
          <w:lang w:val="en-US" w:eastAsia="zh-CN"/>
        </w:rPr>
        <w:t>B</w:t>
      </w:r>
      <w:r>
        <w:rPr>
          <w:rFonts w:hint="default" w:ascii="new times" w:hAnsi="new times" w:cs="new times"/>
          <w:bCs/>
          <w:szCs w:val="32"/>
          <w:lang w:val="en-US" w:eastAsia="zh-CN"/>
        </w:rPr>
        <w:t>10</w:t>
      </w:r>
      <w:r>
        <w:rPr>
          <w:rFonts w:hint="eastAsia" w:ascii="new times" w:hAnsi="new times" w:cs="new times"/>
          <w:bCs/>
          <w:szCs w:val="32"/>
          <w:lang w:val="en-US" w:eastAsia="zh-CN"/>
        </w:rPr>
        <w:t>4</w:t>
      </w:r>
      <w:r>
        <w:rPr>
          <w:rFonts w:hint="default" w:ascii="new times" w:hAnsi="new times" w:cs="new times"/>
          <w:bCs/>
          <w:szCs w:val="32"/>
          <w:lang w:val="en-US" w:eastAsia="zh-CN"/>
        </w:rPr>
        <w:t>-</w:t>
      </w:r>
      <w:r>
        <w:rPr>
          <w:rFonts w:hint="eastAsia" w:ascii="new times" w:hAnsi="new times" w:cs="new times"/>
          <w:bCs/>
          <w:szCs w:val="32"/>
          <w:lang w:val="en-US" w:eastAsia="zh-CN"/>
        </w:rPr>
        <w:t>4</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_Toc1133142491 </w:instrText>
      </w:r>
      <w:r>
        <w:rPr>
          <w:rFonts w:hint="default" w:ascii="new times" w:hAnsi="new times" w:cs="new times"/>
        </w:rPr>
        <w:fldChar w:fldCharType="separate"/>
      </w:r>
      <w:r>
        <w:rPr>
          <w:rFonts w:hint="default" w:ascii="new times" w:hAnsi="new times" w:cs="new times"/>
        </w:rPr>
        <w:t>18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_Toc1115822095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企业研究开发项目情况</w:t>
      </w:r>
      <w:r>
        <w:rPr>
          <w:rFonts w:hint="default" w:ascii="new times" w:hAnsi="new times" w:cs="new times"/>
          <w:bCs/>
          <w:szCs w:val="32"/>
          <w:lang w:eastAsia="zh-CN"/>
        </w:rPr>
        <w:t>（</w:t>
      </w:r>
      <w:r>
        <w:rPr>
          <w:rFonts w:hint="default" w:ascii="new times" w:hAnsi="new times" w:cs="new times"/>
          <w:bCs/>
          <w:szCs w:val="32"/>
          <w:lang w:val="en-US" w:eastAsia="zh-CN"/>
        </w:rPr>
        <w:t>10</w:t>
      </w:r>
      <w:r>
        <w:rPr>
          <w:rFonts w:hint="eastAsia" w:ascii="new times" w:hAnsi="new times" w:cs="new times"/>
          <w:bCs/>
          <w:szCs w:val="32"/>
          <w:lang w:val="en-US" w:eastAsia="zh-CN"/>
        </w:rPr>
        <w:t>7</w:t>
      </w:r>
      <w:r>
        <w:rPr>
          <w:rFonts w:hint="default" w:ascii="new times" w:hAnsi="new times" w:cs="new times"/>
          <w:bCs/>
          <w:szCs w:val="32"/>
          <w:lang w:val="en-US" w:eastAsia="zh-CN"/>
        </w:rPr>
        <w:t>-1表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_Toc1115822095 </w:instrText>
      </w:r>
      <w:r>
        <w:rPr>
          <w:rFonts w:hint="default" w:ascii="new times" w:hAnsi="new times" w:cs="new times"/>
        </w:rPr>
        <w:fldChar w:fldCharType="separate"/>
      </w:r>
      <w:r>
        <w:rPr>
          <w:rFonts w:hint="default" w:ascii="new times" w:hAnsi="new times" w:cs="new times"/>
        </w:rPr>
        <w:t>19</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_Toc797193337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企业研究开发活动及相关情况</w:t>
      </w:r>
      <w:r>
        <w:rPr>
          <w:rFonts w:hint="default" w:ascii="new times" w:hAnsi="new times" w:cs="new times"/>
          <w:bCs/>
          <w:szCs w:val="32"/>
          <w:lang w:eastAsia="zh-CN"/>
        </w:rPr>
        <w:t>（</w:t>
      </w:r>
      <w:r>
        <w:rPr>
          <w:rFonts w:hint="default" w:ascii="new times" w:hAnsi="new times" w:cs="new times"/>
          <w:bCs/>
          <w:szCs w:val="32"/>
          <w:lang w:val="en-US" w:eastAsia="zh-CN"/>
        </w:rPr>
        <w:t>10</w:t>
      </w:r>
      <w:r>
        <w:rPr>
          <w:rFonts w:hint="eastAsia" w:ascii="new times" w:hAnsi="new times" w:cs="new times"/>
          <w:bCs/>
          <w:szCs w:val="32"/>
          <w:lang w:val="en-US" w:eastAsia="zh-CN"/>
        </w:rPr>
        <w:t>7-2</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_Toc797193337 </w:instrText>
      </w:r>
      <w:r>
        <w:rPr>
          <w:rFonts w:hint="default" w:ascii="new times" w:hAnsi="new times" w:cs="new times"/>
        </w:rPr>
        <w:fldChar w:fldCharType="separate"/>
      </w:r>
      <w:r>
        <w:rPr>
          <w:rFonts w:hint="default" w:ascii="new times" w:hAnsi="new times" w:cs="new times"/>
        </w:rPr>
        <w:t>20</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_Toc1243499444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信息通信技术应用和数字化转型情况</w:t>
      </w:r>
      <w:r>
        <w:rPr>
          <w:rFonts w:hint="default" w:ascii="new times" w:hAnsi="new times" w:cs="new times"/>
          <w:bCs/>
          <w:szCs w:val="32"/>
          <w:lang w:eastAsia="zh-CN"/>
        </w:rPr>
        <w:t>（</w:t>
      </w:r>
      <w:r>
        <w:rPr>
          <w:rFonts w:hint="default" w:ascii="new times" w:hAnsi="new times" w:cs="new times"/>
          <w:bCs/>
          <w:szCs w:val="32"/>
          <w:lang w:val="en-US" w:eastAsia="zh-CN"/>
        </w:rPr>
        <w:t>10</w:t>
      </w:r>
      <w:r>
        <w:rPr>
          <w:rFonts w:hint="eastAsia" w:ascii="new times" w:hAnsi="new times" w:cs="new times"/>
          <w:bCs/>
          <w:szCs w:val="32"/>
          <w:lang w:val="en-US" w:eastAsia="zh-CN"/>
        </w:rPr>
        <w:t>9</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_Toc1243499444 </w:instrText>
      </w:r>
      <w:r>
        <w:rPr>
          <w:rFonts w:hint="default" w:ascii="new times" w:hAnsi="new times" w:cs="new times"/>
        </w:rPr>
        <w:fldChar w:fldCharType="separate"/>
      </w:r>
      <w:r>
        <w:rPr>
          <w:rFonts w:hint="default" w:ascii="new times" w:hAnsi="new times" w:cs="new times"/>
        </w:rPr>
        <w:t>22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_Toc1828088024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w:t>
      </w:r>
      <w:r>
        <w:rPr>
          <w:rFonts w:hint="default" w:ascii="new times" w:hAnsi="new times" w:eastAsia="宋体" w:cs="new times"/>
          <w:bCs/>
          <w:szCs w:val="32"/>
          <w:lang w:eastAsia="zh-CN"/>
        </w:rPr>
        <w:t>一套表</w:t>
      </w:r>
      <w:r>
        <w:rPr>
          <w:rFonts w:hint="default" w:ascii="new times" w:hAnsi="new times" w:eastAsia="宋体" w:cs="new times"/>
          <w:bCs/>
          <w:szCs w:val="32"/>
        </w:rPr>
        <w:t>”单位数字经济活动情况</w:t>
      </w:r>
      <w:r>
        <w:rPr>
          <w:rFonts w:hint="default" w:ascii="new times" w:hAnsi="new times" w:cs="new times"/>
          <w:bCs/>
          <w:szCs w:val="32"/>
          <w:lang w:eastAsia="zh-CN"/>
        </w:rPr>
        <w:t>（</w:t>
      </w:r>
      <w:r>
        <w:rPr>
          <w:rFonts w:hint="default" w:ascii="new times" w:hAnsi="new times" w:cs="new times"/>
          <w:bCs/>
          <w:szCs w:val="32"/>
          <w:lang w:val="en-US" w:eastAsia="zh-CN"/>
        </w:rPr>
        <w:t>1</w:t>
      </w:r>
      <w:r>
        <w:rPr>
          <w:rFonts w:hint="eastAsia" w:ascii="new times" w:hAnsi="new times" w:cs="new times"/>
          <w:bCs/>
          <w:szCs w:val="32"/>
          <w:lang w:val="en-US" w:eastAsia="zh-CN"/>
        </w:rPr>
        <w:t>10</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_Toc1828088024 </w:instrText>
      </w:r>
      <w:r>
        <w:rPr>
          <w:rFonts w:hint="default" w:ascii="new times" w:hAnsi="new times" w:cs="new times"/>
        </w:rPr>
        <w:fldChar w:fldCharType="separate"/>
      </w:r>
      <w:r>
        <w:rPr>
          <w:rFonts w:hint="default" w:ascii="new times" w:hAnsi="new times" w:cs="new times"/>
        </w:rPr>
        <w:t>24</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_Toc1285188330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（二） 基层定报表式</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_Toc1285188330 </w:instrText>
      </w:r>
      <w:r>
        <w:rPr>
          <w:rFonts w:hint="default" w:ascii="new times" w:hAnsi="new times" w:cs="new times"/>
        </w:rPr>
        <w:fldChar w:fldCharType="separate"/>
      </w:r>
      <w:r>
        <w:rPr>
          <w:rFonts w:hint="default" w:ascii="new times" w:hAnsi="new times" w:cs="new times"/>
        </w:rPr>
        <w:t>26</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_Toc584097187 </w:instrText>
      </w:r>
      <w:r>
        <w:rPr>
          <w:rFonts w:hint="default" w:ascii="new times" w:hAnsi="new times" w:cs="new times" w:eastAsiaTheme="minorEastAsia"/>
          <w:bCs w:val="0"/>
          <w:szCs w:val="21"/>
        </w:rPr>
        <w:fldChar w:fldCharType="separate"/>
      </w:r>
      <w:r>
        <w:rPr>
          <w:rFonts w:hint="default" w:ascii="new times" w:hAnsi="new times" w:cs="new times"/>
          <w:bCs/>
          <w:szCs w:val="32"/>
          <w:lang w:eastAsia="zh-CN"/>
        </w:rPr>
        <w:t>一套表</w:t>
      </w:r>
      <w:r>
        <w:rPr>
          <w:rFonts w:hint="default" w:ascii="new times" w:hAnsi="new times" w:eastAsia="宋体" w:cs="new times"/>
          <w:bCs/>
          <w:szCs w:val="32"/>
        </w:rPr>
        <w:t>调查单位基本情况</w:t>
      </w:r>
      <w:r>
        <w:rPr>
          <w:rFonts w:hint="default" w:ascii="new times" w:hAnsi="new times" w:cs="new times"/>
          <w:bCs/>
          <w:szCs w:val="32"/>
          <w:lang w:eastAsia="zh-CN"/>
        </w:rPr>
        <w:t>（</w:t>
      </w:r>
      <w:r>
        <w:rPr>
          <w:rFonts w:hint="eastAsia" w:ascii="new times" w:hAnsi="new times" w:cs="new times"/>
          <w:bCs/>
          <w:szCs w:val="32"/>
          <w:lang w:val="en-US" w:eastAsia="zh-CN"/>
        </w:rPr>
        <w:t>2</w:t>
      </w:r>
      <w:r>
        <w:rPr>
          <w:rFonts w:hint="default" w:ascii="new times" w:hAnsi="new times" w:cs="new times"/>
          <w:bCs/>
          <w:szCs w:val="32"/>
          <w:lang w:val="en-US" w:eastAsia="zh-CN"/>
        </w:rPr>
        <w:t>01-1表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_Toc584097187 </w:instrText>
      </w:r>
      <w:r>
        <w:rPr>
          <w:rFonts w:hint="default" w:ascii="new times" w:hAnsi="new times" w:cs="new times"/>
        </w:rPr>
        <w:fldChar w:fldCharType="separate"/>
      </w:r>
      <w:r>
        <w:rPr>
          <w:rFonts w:hint="default" w:ascii="new times" w:hAnsi="new times" w:cs="new times"/>
        </w:rPr>
        <w:t>26</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_Toc485251663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从业人员及工资总额</w:t>
      </w:r>
      <w:r>
        <w:rPr>
          <w:rFonts w:hint="default" w:ascii="new times" w:hAnsi="new times" w:cs="new times"/>
          <w:bCs/>
          <w:szCs w:val="32"/>
          <w:lang w:eastAsia="zh-CN"/>
        </w:rPr>
        <w:t>（</w:t>
      </w:r>
      <w:r>
        <w:rPr>
          <w:rFonts w:hint="eastAsia" w:ascii="new times" w:hAnsi="new times" w:cs="new times"/>
          <w:bCs/>
          <w:szCs w:val="32"/>
          <w:lang w:val="en-US" w:eastAsia="zh-CN"/>
        </w:rPr>
        <w:t>202</w:t>
      </w:r>
      <w:r>
        <w:rPr>
          <w:rFonts w:hint="default" w:ascii="new times" w:hAnsi="new times" w:cs="new times"/>
          <w:bCs/>
          <w:szCs w:val="32"/>
          <w:lang w:val="en-US" w:eastAsia="zh-CN"/>
        </w:rPr>
        <w:t>-1表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_Toc485251663 </w:instrText>
      </w:r>
      <w:r>
        <w:rPr>
          <w:rFonts w:hint="default" w:ascii="new times" w:hAnsi="new times" w:cs="new times"/>
        </w:rPr>
        <w:fldChar w:fldCharType="separate"/>
      </w:r>
      <w:r>
        <w:rPr>
          <w:rFonts w:hint="default" w:ascii="new times" w:hAnsi="new times" w:cs="new times"/>
        </w:rPr>
        <w:t>28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_Toc614308523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财</w:t>
      </w:r>
      <w:r>
        <w:rPr>
          <w:rFonts w:hint="default" w:ascii="new times" w:hAnsi="new times" w:eastAsia="宋体" w:cs="new times"/>
          <w:bCs/>
          <w:szCs w:val="32"/>
          <w:lang w:val="en-US" w:eastAsia="zh-CN"/>
        </w:rPr>
        <w:t xml:space="preserve"> </w:t>
      </w:r>
      <w:r>
        <w:rPr>
          <w:rFonts w:hint="default" w:ascii="new times" w:hAnsi="new times" w:eastAsia="宋体" w:cs="new times"/>
          <w:bCs/>
          <w:szCs w:val="32"/>
        </w:rPr>
        <w:t>务 状 况</w:t>
      </w:r>
      <w:r>
        <w:rPr>
          <w:rFonts w:hint="default" w:ascii="new times" w:hAnsi="new times" w:cs="new times"/>
          <w:bCs/>
          <w:szCs w:val="32"/>
          <w:lang w:eastAsia="zh-CN"/>
        </w:rPr>
        <w:t>（</w:t>
      </w:r>
      <w:r>
        <w:rPr>
          <w:rFonts w:hint="eastAsia" w:ascii="new times" w:hAnsi="new times" w:cs="new times"/>
          <w:bCs/>
          <w:szCs w:val="32"/>
          <w:lang w:val="en-US" w:eastAsia="zh-CN"/>
        </w:rPr>
        <w:t>B203</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_Toc614308523 </w:instrText>
      </w:r>
      <w:r>
        <w:rPr>
          <w:rFonts w:hint="default" w:ascii="new times" w:hAnsi="new times" w:cs="new times"/>
        </w:rPr>
        <w:fldChar w:fldCharType="separate"/>
      </w:r>
      <w:r>
        <w:rPr>
          <w:rFonts w:hint="default" w:ascii="new times" w:hAnsi="new times" w:cs="new times"/>
        </w:rPr>
        <w:t>29</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_Toc1652019431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工业产销总值及主要产品产量</w:t>
      </w:r>
      <w:r>
        <w:rPr>
          <w:rFonts w:hint="default" w:ascii="new times" w:hAnsi="new times" w:cs="new times"/>
          <w:bCs/>
          <w:szCs w:val="32"/>
          <w:lang w:eastAsia="zh-CN"/>
        </w:rPr>
        <w:t>（</w:t>
      </w:r>
      <w:r>
        <w:rPr>
          <w:rFonts w:hint="eastAsia" w:ascii="new times" w:hAnsi="new times" w:cs="new times"/>
          <w:bCs/>
          <w:szCs w:val="32"/>
          <w:lang w:val="en-US" w:eastAsia="zh-CN"/>
        </w:rPr>
        <w:t>B204</w:t>
      </w:r>
      <w:r>
        <w:rPr>
          <w:rFonts w:hint="default" w:ascii="new times" w:hAnsi="new times" w:cs="new times"/>
          <w:bCs/>
          <w:szCs w:val="32"/>
          <w:lang w:val="en-US" w:eastAsia="zh-CN"/>
        </w:rPr>
        <w:t>-1表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_Toc1652019431 </w:instrText>
      </w:r>
      <w:r>
        <w:rPr>
          <w:rFonts w:hint="default" w:ascii="new times" w:hAnsi="new times" w:cs="new times"/>
        </w:rPr>
        <w:fldChar w:fldCharType="separate"/>
      </w:r>
      <w:r>
        <w:rPr>
          <w:rFonts w:hint="default" w:ascii="new times" w:hAnsi="new times" w:cs="new times"/>
        </w:rPr>
        <w:t>31</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_Toc2027135114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生产经营景气状况</w:t>
      </w:r>
      <w:r>
        <w:rPr>
          <w:rFonts w:hint="default" w:ascii="new times" w:hAnsi="new times" w:cs="new times"/>
          <w:bCs/>
          <w:szCs w:val="32"/>
          <w:lang w:eastAsia="zh-CN"/>
        </w:rPr>
        <w:t>（</w:t>
      </w:r>
      <w:r>
        <w:rPr>
          <w:rFonts w:hint="eastAsia" w:ascii="new times" w:hAnsi="new times" w:cs="new times"/>
          <w:bCs/>
          <w:szCs w:val="32"/>
          <w:lang w:val="en-US" w:eastAsia="zh-CN"/>
        </w:rPr>
        <w:t>B210</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_Toc2027135114 </w:instrText>
      </w:r>
      <w:r>
        <w:rPr>
          <w:rFonts w:hint="default" w:ascii="new times" w:hAnsi="new times" w:cs="new times"/>
        </w:rPr>
        <w:fldChar w:fldCharType="separate"/>
      </w:r>
      <w:r>
        <w:rPr>
          <w:rFonts w:hint="default" w:ascii="new times" w:hAnsi="new times" w:cs="new times"/>
        </w:rPr>
        <w:t>32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_Toc296688621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能源购进、消费与库存</w:t>
      </w:r>
      <w:r>
        <w:rPr>
          <w:rFonts w:hint="default" w:ascii="new times" w:hAnsi="new times" w:cs="new times"/>
          <w:bCs/>
          <w:szCs w:val="32"/>
          <w:lang w:eastAsia="zh-CN"/>
        </w:rPr>
        <w:t>（</w:t>
      </w:r>
      <w:r>
        <w:rPr>
          <w:rFonts w:hint="eastAsia" w:ascii="new times" w:hAnsi="new times" w:cs="new times"/>
          <w:bCs/>
          <w:szCs w:val="32"/>
          <w:lang w:val="en-US" w:eastAsia="zh-CN"/>
        </w:rPr>
        <w:t>205</w:t>
      </w:r>
      <w:r>
        <w:rPr>
          <w:rFonts w:hint="default" w:ascii="new times" w:hAnsi="new times" w:cs="new times"/>
          <w:bCs/>
          <w:szCs w:val="32"/>
          <w:lang w:val="en-US" w:eastAsia="zh-CN"/>
        </w:rPr>
        <w:t>-1表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_Toc296688621 </w:instrText>
      </w:r>
      <w:r>
        <w:rPr>
          <w:rFonts w:hint="default" w:ascii="new times" w:hAnsi="new times" w:cs="new times"/>
        </w:rPr>
        <w:fldChar w:fldCharType="separate"/>
      </w:r>
      <w:r>
        <w:rPr>
          <w:rFonts w:hint="default" w:ascii="new times" w:hAnsi="new times" w:cs="new times"/>
        </w:rPr>
        <w:t>35</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_Toc914623841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能源加工转换与回收利用</w:t>
      </w:r>
      <w:r>
        <w:rPr>
          <w:rFonts w:hint="default" w:ascii="new times" w:hAnsi="new times" w:cs="new times"/>
          <w:bCs/>
          <w:szCs w:val="32"/>
          <w:lang w:eastAsia="zh-CN"/>
        </w:rPr>
        <w:t>（</w:t>
      </w:r>
      <w:r>
        <w:rPr>
          <w:rFonts w:hint="eastAsia" w:ascii="new times" w:hAnsi="new times" w:cs="new times"/>
          <w:bCs/>
          <w:szCs w:val="32"/>
          <w:lang w:val="en-US" w:eastAsia="zh-CN"/>
        </w:rPr>
        <w:t>205</w:t>
      </w:r>
      <w:r>
        <w:rPr>
          <w:rFonts w:hint="default" w:ascii="new times" w:hAnsi="new times" w:cs="new times"/>
          <w:bCs/>
          <w:szCs w:val="32"/>
          <w:lang w:val="en-US" w:eastAsia="zh-CN"/>
        </w:rPr>
        <w:t>-</w:t>
      </w:r>
      <w:r>
        <w:rPr>
          <w:rFonts w:hint="eastAsia" w:ascii="new times" w:hAnsi="new times" w:cs="new times"/>
          <w:bCs/>
          <w:szCs w:val="32"/>
          <w:lang w:val="en-US" w:eastAsia="zh-CN"/>
        </w:rPr>
        <w:t>2</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_Toc914623841 </w:instrText>
      </w:r>
      <w:r>
        <w:rPr>
          <w:rFonts w:hint="default" w:ascii="new times" w:hAnsi="new times" w:cs="new times"/>
        </w:rPr>
        <w:fldChar w:fldCharType="separate"/>
      </w:r>
      <w:r>
        <w:rPr>
          <w:rFonts w:hint="default" w:ascii="new times" w:hAnsi="new times" w:cs="new times"/>
        </w:rPr>
        <w:t>36</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_Toc162996982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主要耗能工业企业单位产品能源消费情况</w:t>
      </w:r>
      <w:r>
        <w:rPr>
          <w:rFonts w:hint="default" w:ascii="new times" w:hAnsi="new times" w:cs="new times"/>
          <w:bCs/>
          <w:szCs w:val="32"/>
          <w:lang w:eastAsia="zh-CN"/>
        </w:rPr>
        <w:t>（</w:t>
      </w:r>
      <w:r>
        <w:rPr>
          <w:rFonts w:hint="eastAsia" w:ascii="new times" w:hAnsi="new times" w:cs="new times"/>
          <w:bCs/>
          <w:szCs w:val="32"/>
          <w:lang w:val="en-US" w:eastAsia="zh-CN"/>
        </w:rPr>
        <w:t>205-3</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_Toc162996982 </w:instrText>
      </w:r>
      <w:r>
        <w:rPr>
          <w:rFonts w:hint="default" w:ascii="new times" w:hAnsi="new times" w:cs="new times"/>
        </w:rPr>
        <w:fldChar w:fldCharType="separate"/>
      </w:r>
      <w:r>
        <w:rPr>
          <w:rFonts w:hint="default" w:ascii="new times" w:hAnsi="new times" w:cs="new times"/>
        </w:rPr>
        <w:t>37</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_Toc564392130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lang w:eastAsia="zh-CN"/>
        </w:rPr>
        <w:t>工业企业用水情况</w:t>
      </w:r>
      <w:r>
        <w:rPr>
          <w:rFonts w:hint="default" w:ascii="new times" w:hAnsi="new times" w:cs="new times"/>
          <w:bCs/>
          <w:szCs w:val="32"/>
          <w:lang w:eastAsia="zh-CN"/>
        </w:rPr>
        <w:t>（</w:t>
      </w:r>
      <w:r>
        <w:rPr>
          <w:rFonts w:hint="eastAsia" w:ascii="new times" w:hAnsi="new times" w:cs="new times"/>
          <w:bCs/>
          <w:szCs w:val="32"/>
          <w:lang w:val="en-US" w:eastAsia="zh-CN"/>
        </w:rPr>
        <w:t>205-4</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_Toc564392130 </w:instrText>
      </w:r>
      <w:r>
        <w:rPr>
          <w:rFonts w:hint="default" w:ascii="new times" w:hAnsi="new times" w:cs="new times"/>
        </w:rPr>
        <w:fldChar w:fldCharType="separate"/>
      </w:r>
      <w:r>
        <w:rPr>
          <w:rFonts w:hint="default" w:ascii="new times" w:hAnsi="new times" w:cs="new times"/>
        </w:rPr>
        <w:t>38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_Toc826445018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能源生产、销售与库存</w:t>
      </w:r>
      <w:r>
        <w:rPr>
          <w:rFonts w:hint="default" w:ascii="new times" w:hAnsi="new times" w:cs="new times"/>
          <w:bCs/>
          <w:szCs w:val="32"/>
          <w:lang w:eastAsia="zh-CN"/>
        </w:rPr>
        <w:t>（</w:t>
      </w:r>
      <w:r>
        <w:rPr>
          <w:rFonts w:hint="eastAsia" w:ascii="new times" w:hAnsi="new times" w:cs="new times"/>
          <w:bCs/>
          <w:szCs w:val="32"/>
          <w:lang w:val="en-US" w:eastAsia="zh-CN"/>
        </w:rPr>
        <w:t>205-6</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_Toc826445018 </w:instrText>
      </w:r>
      <w:r>
        <w:rPr>
          <w:rFonts w:hint="default" w:ascii="new times" w:hAnsi="new times" w:cs="new times"/>
        </w:rPr>
        <w:fldChar w:fldCharType="separate"/>
      </w:r>
      <w:r>
        <w:rPr>
          <w:rFonts w:hint="default" w:ascii="new times" w:hAnsi="new times" w:cs="new times"/>
        </w:rPr>
        <w:t>39</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_Toc234842178 </w:instrText>
      </w:r>
      <w:r>
        <w:rPr>
          <w:rFonts w:hint="default" w:ascii="new times" w:hAnsi="new times" w:cs="new times" w:eastAsiaTheme="minorEastAsia"/>
          <w:bCs w:val="0"/>
          <w:szCs w:val="21"/>
        </w:rPr>
        <w:fldChar w:fldCharType="separate"/>
      </w:r>
      <w:r>
        <w:rPr>
          <w:rFonts w:hint="default" w:ascii="new times" w:hAnsi="new times" w:eastAsia="宋体" w:cs="new times"/>
          <w:bCs/>
          <w:szCs w:val="32"/>
        </w:rPr>
        <w:t>固定资产投资项目情况</w:t>
      </w:r>
      <w:r>
        <w:rPr>
          <w:rFonts w:hint="default" w:ascii="new times" w:hAnsi="new times" w:cs="new times"/>
          <w:bCs/>
          <w:szCs w:val="32"/>
          <w:lang w:eastAsia="zh-CN"/>
        </w:rPr>
        <w:t>（</w:t>
      </w:r>
      <w:r>
        <w:rPr>
          <w:rFonts w:hint="eastAsia" w:ascii="new times" w:hAnsi="new times" w:cs="new times"/>
          <w:bCs/>
          <w:szCs w:val="32"/>
          <w:lang w:val="en-US" w:eastAsia="zh-CN"/>
        </w:rPr>
        <w:t>206</w:t>
      </w:r>
      <w:r>
        <w:rPr>
          <w:rFonts w:hint="default" w:ascii="new times" w:hAnsi="new times" w:cs="new times"/>
          <w:bCs/>
          <w:szCs w:val="32"/>
          <w:lang w:val="en-US" w:eastAsia="zh-CN"/>
        </w:rPr>
        <w:t>表</w:t>
      </w:r>
      <w:r>
        <w:rPr>
          <w:rFonts w:hint="default" w:ascii="new times" w:hAnsi="new times" w:cs="new times"/>
          <w:bCs/>
          <w:szCs w:val="32"/>
          <w:lang w:eastAsia="zh-CN"/>
        </w:rPr>
        <w:t>）</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_Toc234842178 </w:instrText>
      </w:r>
      <w:r>
        <w:rPr>
          <w:rFonts w:hint="default" w:ascii="new times" w:hAnsi="new times" w:cs="new times"/>
        </w:rPr>
        <w:fldChar w:fldCharType="separate"/>
      </w:r>
      <w:r>
        <w:rPr>
          <w:rFonts w:hint="default" w:ascii="new times" w:hAnsi="new times" w:cs="new times"/>
        </w:rPr>
        <w:t>40</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4"/>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_Toc2056233809 </w:instrText>
      </w:r>
      <w:r>
        <w:rPr>
          <w:rFonts w:hint="default" w:ascii="new times" w:hAnsi="new times" w:cs="new times" w:eastAsiaTheme="minorEastAsia"/>
          <w:bCs w:val="0"/>
          <w:szCs w:val="21"/>
        </w:rPr>
        <w:fldChar w:fldCharType="separate"/>
      </w:r>
      <w:r>
        <w:rPr>
          <w:rFonts w:hint="default" w:ascii="new times" w:hAnsi="new times" w:eastAsia="黑体" w:cs="new times"/>
          <w:szCs w:val="32"/>
        </w:rPr>
        <w:t>四、附 录</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_Toc2056233809 </w:instrText>
      </w:r>
      <w:r>
        <w:rPr>
          <w:rFonts w:hint="default" w:ascii="new times" w:hAnsi="new times" w:cs="new times"/>
        </w:rPr>
        <w:fldChar w:fldCharType="separate"/>
      </w:r>
      <w:r>
        <w:rPr>
          <w:rFonts w:hint="default" w:ascii="new times" w:hAnsi="new times" w:cs="new times"/>
        </w:rPr>
        <w:t>42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_Toc1496858305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（一） 修订说明</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_Toc1496858305 </w:instrText>
      </w:r>
      <w:r>
        <w:rPr>
          <w:rFonts w:hint="default" w:ascii="new times" w:hAnsi="new times" w:cs="new times"/>
        </w:rPr>
        <w:fldChar w:fldCharType="separate"/>
      </w:r>
      <w:r>
        <w:rPr>
          <w:rFonts w:hint="default" w:ascii="new times" w:hAnsi="new times" w:cs="new times"/>
        </w:rPr>
        <w:t>42</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_Toc1323497847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（二） 统计标准</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_Toc1323497847 </w:instrText>
      </w:r>
      <w:r>
        <w:rPr>
          <w:rFonts w:hint="default" w:ascii="new times" w:hAnsi="new times" w:cs="new times"/>
        </w:rPr>
        <w:fldChar w:fldCharType="separate"/>
      </w:r>
      <w:r>
        <w:rPr>
          <w:rFonts w:hint="default" w:ascii="new times" w:hAnsi="new times" w:cs="new times"/>
        </w:rPr>
        <w:t>43</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_Toc1302590910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（三） 统计目录</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_Toc1302590910 </w:instrText>
      </w:r>
      <w:r>
        <w:rPr>
          <w:rFonts w:hint="default" w:ascii="new times" w:hAnsi="new times" w:cs="new times"/>
        </w:rPr>
        <w:fldChar w:fldCharType="separate"/>
      </w:r>
      <w:r>
        <w:rPr>
          <w:rFonts w:hint="default" w:ascii="new times" w:hAnsi="new times" w:cs="new times"/>
        </w:rPr>
        <w:t>44</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_Toc447919144 </w:instrText>
      </w:r>
      <w:r>
        <w:rPr>
          <w:rFonts w:hint="default" w:ascii="new times" w:hAnsi="new times" w:cs="new times" w:eastAsiaTheme="minorEastAsia"/>
          <w:bCs w:val="0"/>
          <w:szCs w:val="21"/>
        </w:rPr>
        <w:fldChar w:fldCharType="separate"/>
      </w:r>
      <w:r>
        <w:rPr>
          <w:rFonts w:hint="default" w:ascii="new times" w:hAnsi="new times" w:cs="new times" w:eastAsiaTheme="minorEastAsia"/>
          <w:bCs/>
          <w:szCs w:val="32"/>
          <w:lang w:eastAsia="zh-CN"/>
        </w:rPr>
        <w:t>1. 主要工业产品生产能力目录</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_Toc447919144 </w:instrText>
      </w:r>
      <w:r>
        <w:rPr>
          <w:rFonts w:hint="default" w:ascii="new times" w:hAnsi="new times" w:cs="new times"/>
        </w:rPr>
        <w:fldChar w:fldCharType="separate"/>
      </w:r>
      <w:r>
        <w:rPr>
          <w:rFonts w:hint="default" w:ascii="new times" w:hAnsi="new times" w:cs="new times"/>
        </w:rPr>
        <w:t>44</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9"/>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_Toc1097968527 </w:instrText>
      </w:r>
      <w:r>
        <w:rPr>
          <w:rFonts w:hint="default" w:ascii="new times" w:hAnsi="new times" w:cs="new times" w:eastAsiaTheme="minorEastAsia"/>
          <w:bCs w:val="0"/>
          <w:szCs w:val="21"/>
        </w:rPr>
        <w:fldChar w:fldCharType="separate"/>
      </w:r>
      <w:r>
        <w:rPr>
          <w:rFonts w:hint="default" w:ascii="new times" w:hAnsi="new times" w:cs="new times" w:eastAsiaTheme="minorEastAsia"/>
          <w:bCs/>
          <w:szCs w:val="32"/>
        </w:rPr>
        <w:t>2. 规模以上工业产品产量目录</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_Toc1097968527 </w:instrText>
      </w:r>
      <w:r>
        <w:rPr>
          <w:rFonts w:hint="default" w:ascii="new times" w:hAnsi="new times" w:cs="new times"/>
        </w:rPr>
        <w:fldChar w:fldCharType="separate"/>
      </w:r>
      <w:r>
        <w:rPr>
          <w:rFonts w:hint="default" w:ascii="new times" w:hAnsi="new times" w:cs="new times"/>
        </w:rPr>
        <w:t>45</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_Toc12970526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rPr>
        <w:t>（四） 指标解释</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_Toc12970526 </w:instrText>
      </w:r>
      <w:r>
        <w:rPr>
          <w:rFonts w:hint="default" w:ascii="new times" w:hAnsi="new times" w:cs="new times"/>
        </w:rPr>
        <w:fldChar w:fldCharType="separate"/>
      </w:r>
      <w:r>
        <w:rPr>
          <w:rFonts w:hint="default" w:ascii="new times" w:hAnsi="new times" w:cs="new times"/>
        </w:rPr>
        <w:t>71</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412"/>
        </w:tabs>
        <w:kinsoku/>
        <w:wordWrap/>
        <w:overflowPunct/>
        <w:topLinePunct w:val="0"/>
        <w:autoSpaceDE/>
        <w:autoSpaceDN/>
        <w:bidi w:val="0"/>
        <w:adjustRightInd/>
        <w:snapToGrid/>
        <w:spacing w:line="360" w:lineRule="exact"/>
        <w:textAlignment w:val="auto"/>
        <w:rPr>
          <w:rFonts w:hint="default" w:ascii="new times" w:hAnsi="new times" w:cs="new times"/>
        </w:rPr>
      </w:pPr>
      <w:r>
        <w:rPr>
          <w:rFonts w:hint="default" w:ascii="new times" w:hAnsi="new times" w:cs="new times" w:eastAsiaTheme="minorEastAsia"/>
          <w:bCs w:val="0"/>
          <w:color w:val="FF0000"/>
          <w:szCs w:val="21"/>
        </w:rPr>
        <w:fldChar w:fldCharType="begin"/>
      </w:r>
      <w:r>
        <w:rPr>
          <w:rFonts w:hint="default" w:ascii="new times" w:hAnsi="new times" w:cs="new times" w:eastAsiaTheme="minorEastAsia"/>
          <w:bCs w:val="0"/>
          <w:szCs w:val="21"/>
        </w:rPr>
        <w:instrText xml:space="preserve"> HYPERLINK \l _Toc506966603 </w:instrText>
      </w:r>
      <w:r>
        <w:rPr>
          <w:rFonts w:hint="default" w:ascii="new times" w:hAnsi="new times" w:cs="new times" w:eastAsiaTheme="minorEastAsia"/>
          <w:bCs w:val="0"/>
          <w:szCs w:val="21"/>
        </w:rPr>
        <w:fldChar w:fldCharType="separate"/>
      </w:r>
      <w:r>
        <w:rPr>
          <w:rFonts w:hint="default" w:ascii="new times" w:hAnsi="new times" w:eastAsia="黑体" w:cs="new times"/>
          <w:bCs/>
          <w:szCs w:val="28"/>
          <w:lang w:eastAsia="zh-CN"/>
        </w:rPr>
        <w:t xml:space="preserve">（五） </w:t>
      </w:r>
      <w:r>
        <w:rPr>
          <w:rFonts w:hint="default" w:ascii="new times" w:hAnsi="new times" w:eastAsia="黑体" w:cs="new times"/>
          <w:bCs/>
          <w:szCs w:val="28"/>
        </w:rPr>
        <w:t>填报要求</w:t>
      </w:r>
      <w:r>
        <w:rPr>
          <w:rFonts w:hint="default" w:ascii="new times" w:hAnsi="new times" w:cs="new times"/>
        </w:rPr>
        <w:tab/>
      </w:r>
      <w:r>
        <w:rPr>
          <w:rFonts w:hint="default" w:ascii="new times" w:hAnsi="new times" w:cs="new times"/>
        </w:rPr>
        <w:fldChar w:fldCharType="begin"/>
      </w:r>
      <w:r>
        <w:rPr>
          <w:rFonts w:hint="default" w:ascii="new times" w:hAnsi="new times" w:cs="new times"/>
        </w:rPr>
        <w:instrText xml:space="preserve"> PAGEREF _Toc506966603 </w:instrText>
      </w:r>
      <w:r>
        <w:rPr>
          <w:rFonts w:hint="default" w:ascii="new times" w:hAnsi="new times" w:cs="new times"/>
        </w:rPr>
        <w:fldChar w:fldCharType="separate"/>
      </w:r>
      <w:r>
        <w:rPr>
          <w:rFonts w:hint="default" w:ascii="new times" w:hAnsi="new times" w:cs="new times"/>
        </w:rPr>
        <w:t>118</w:t>
      </w:r>
      <w:r>
        <w:rPr>
          <w:rFonts w:hint="default" w:ascii="new times" w:hAnsi="new times" w:cs="new times"/>
        </w:rPr>
        <w:fldChar w:fldCharType="end"/>
      </w:r>
      <w:r>
        <w:rPr>
          <w:rFonts w:hint="default" w:ascii="new times" w:hAnsi="new times" w:cs="new times" w:eastAsiaTheme="minorEastAsia"/>
          <w:bCs w:val="0"/>
          <w:color w:val="FF0000"/>
          <w:szCs w:val="21"/>
        </w:rPr>
        <w:fldChar w:fldCharType="end"/>
      </w:r>
    </w:p>
    <w:p>
      <w:pPr>
        <w:pStyle w:val="16"/>
        <w:keepNext w:val="0"/>
        <w:keepLines w:val="0"/>
        <w:pageBreakBefore w:val="0"/>
        <w:widowControl w:val="0"/>
        <w:tabs>
          <w:tab w:val="right" w:leader="dot" w:pos="9638"/>
        </w:tabs>
        <w:kinsoku/>
        <w:wordWrap/>
        <w:overflowPunct/>
        <w:topLinePunct w:val="0"/>
        <w:autoSpaceDE/>
        <w:autoSpaceDN/>
        <w:bidi w:val="0"/>
        <w:adjustRightInd/>
        <w:snapToGrid/>
        <w:spacing w:line="360" w:lineRule="exact"/>
        <w:textAlignment w:val="auto"/>
      </w:pPr>
      <w:r>
        <w:rPr>
          <w:rFonts w:hint="default" w:ascii="new times" w:hAnsi="new times" w:cs="new times" w:eastAsiaTheme="minorEastAsia"/>
          <w:bCs w:val="0"/>
          <w:color w:val="FF0000"/>
          <w:szCs w:val="21"/>
        </w:rPr>
        <w:fldChar w:fldCharType="end"/>
      </w:r>
      <w:bookmarkStart w:id="0" w:name="_Toc1283014199"/>
    </w:p>
    <w:p/>
    <w:p/>
    <w:p>
      <w:pPr>
        <w:pStyle w:val="15"/>
      </w:pPr>
    </w:p>
    <w:p>
      <w:pPr>
        <w:numPr>
          <w:ilvl w:val="0"/>
          <w:numId w:val="2"/>
        </w:numPr>
        <w:snapToGrid w:val="0"/>
        <w:jc w:val="center"/>
        <w:outlineLvl w:val="0"/>
        <w:rPr>
          <w:rFonts w:ascii="黑体" w:hAnsi="黑体" w:eastAsia="黑体" w:cs="黑体"/>
          <w:b/>
          <w:bCs w:val="0"/>
          <w:sz w:val="32"/>
          <w:szCs w:val="32"/>
        </w:rPr>
      </w:pPr>
      <w:bookmarkStart w:id="1" w:name="_Toc1098544487"/>
      <w:bookmarkStart w:id="2" w:name="_Toc1570289691"/>
      <w:r>
        <w:rPr>
          <w:rFonts w:hint="eastAsia" w:ascii="黑体" w:hAnsi="黑体" w:eastAsia="黑体" w:cs="黑体"/>
          <w:b/>
          <w:bCs w:val="0"/>
          <w:sz w:val="32"/>
          <w:szCs w:val="32"/>
        </w:rPr>
        <w:t>总 说 明</w:t>
      </w:r>
      <w:bookmarkEnd w:id="0"/>
      <w:bookmarkEnd w:id="1"/>
      <w:bookmarkEnd w:id="2"/>
    </w:p>
    <w:p>
      <w:pPr>
        <w:pStyle w:val="2"/>
        <w:ind w:left="840" w:leftChars="400" w:firstLine="0" w:firstLineChars="0"/>
      </w:pPr>
    </w:p>
    <w:p>
      <w:pPr>
        <w:numPr>
          <w:ilvl w:val="0"/>
          <w:numId w:val="3"/>
        </w:numPr>
        <w:tabs>
          <w:tab w:val="left" w:pos="9030"/>
        </w:tabs>
        <w:snapToGrid w:val="0"/>
        <w:spacing w:line="360" w:lineRule="exact"/>
        <w:ind w:left="0" w:leftChars="0" w:firstLine="420" w:firstLineChars="0"/>
        <w:outlineLvl w:val="9"/>
        <w:rPr>
          <w:rFonts w:ascii="宋体" w:hAnsi="宋体" w:cs="宋体"/>
          <w:b/>
          <w:bCs w:val="0"/>
          <w:szCs w:val="21"/>
        </w:rPr>
      </w:pPr>
      <w:bookmarkStart w:id="3" w:name="_Toc1553022439_WPSOffice_Level2"/>
      <w:r>
        <w:rPr>
          <w:rFonts w:hint="eastAsia" w:ascii="宋体" w:hAnsi="宋体" w:cs="宋体"/>
          <w:b/>
          <w:bCs w:val="0"/>
          <w:szCs w:val="21"/>
        </w:rPr>
        <w:t>制度制定的目的和依据</w:t>
      </w:r>
      <w:bookmarkEnd w:id="3"/>
    </w:p>
    <w:p>
      <w:pPr>
        <w:tabs>
          <w:tab w:val="left" w:pos="9030"/>
        </w:tabs>
        <w:snapToGrid w:val="0"/>
        <w:spacing w:line="360" w:lineRule="exact"/>
        <w:ind w:firstLine="420" w:firstLineChars="200"/>
        <w:outlineLvl w:val="9"/>
        <w:rPr>
          <w:rFonts w:ascii="宋体" w:hAnsi="宋体" w:cs="宋体"/>
          <w:bCs/>
          <w:szCs w:val="21"/>
        </w:rPr>
      </w:pPr>
      <w:r>
        <w:rPr>
          <w:rFonts w:hint="eastAsia" w:ascii="宋体" w:hAnsi="宋体" w:cs="宋体"/>
          <w:bCs/>
          <w:szCs w:val="21"/>
        </w:rPr>
        <w:t>为满足国家、省、市了解工业生产经营活动的基本情况，为各级政府制定政策和计划、进行经济管理与调控提供依据，依照《中华人民共和国统计法》的规定以及国家、省统计局报表制度的要求，结合广州市实际，特制定本制度。</w:t>
      </w:r>
    </w:p>
    <w:p>
      <w:pPr>
        <w:numPr>
          <w:ilvl w:val="0"/>
          <w:numId w:val="3"/>
        </w:numPr>
        <w:tabs>
          <w:tab w:val="left" w:pos="9030"/>
        </w:tabs>
        <w:snapToGrid w:val="0"/>
        <w:spacing w:line="360" w:lineRule="exact"/>
        <w:ind w:left="0" w:leftChars="0" w:firstLine="420" w:firstLineChars="0"/>
        <w:outlineLvl w:val="9"/>
        <w:rPr>
          <w:rFonts w:hint="eastAsia" w:ascii="宋体" w:hAnsi="宋体" w:eastAsia="宋体" w:cs="宋体"/>
          <w:b/>
          <w:bCs w:val="0"/>
          <w:szCs w:val="21"/>
        </w:rPr>
      </w:pPr>
      <w:bookmarkStart w:id="4" w:name="_Toc1298407115_WPSOffice_Level2"/>
      <w:r>
        <w:rPr>
          <w:rFonts w:hint="eastAsia" w:ascii="宋体" w:hAnsi="宋体" w:eastAsia="宋体" w:cs="宋体"/>
          <w:b/>
          <w:bCs w:val="0"/>
          <w:szCs w:val="21"/>
        </w:rPr>
        <w:t>制度性质</w:t>
      </w:r>
      <w:bookmarkEnd w:id="4"/>
    </w:p>
    <w:p>
      <w:pPr>
        <w:snapToGrid w:val="0"/>
        <w:spacing w:line="360" w:lineRule="exact"/>
        <w:ind w:firstLine="420" w:firstLineChars="200"/>
        <w:outlineLvl w:val="9"/>
        <w:rPr>
          <w:rFonts w:ascii="宋体" w:hAnsi="宋体" w:cs="宋体"/>
          <w:bCs/>
          <w:szCs w:val="21"/>
        </w:rPr>
      </w:pPr>
      <w:r>
        <w:rPr>
          <w:rFonts w:hint="eastAsia" w:ascii="宋体" w:hAnsi="宋体" w:cs="宋体"/>
          <w:bCs/>
          <w:szCs w:val="21"/>
        </w:rPr>
        <w:t xml:space="preserve">本制度属于国家、省、市统计调查，是广州市统计局对有关业务主管部门及工业企业（单位）的综合要求。各调查单位按照本制度的规定按时报送各种报表。 </w:t>
      </w:r>
    </w:p>
    <w:p>
      <w:pPr>
        <w:numPr>
          <w:ilvl w:val="0"/>
          <w:numId w:val="3"/>
        </w:numPr>
        <w:tabs>
          <w:tab w:val="left" w:pos="9030"/>
        </w:tabs>
        <w:snapToGrid w:val="0"/>
        <w:spacing w:line="360" w:lineRule="exact"/>
        <w:ind w:left="0" w:leftChars="0" w:firstLine="420" w:firstLineChars="0"/>
        <w:outlineLvl w:val="9"/>
        <w:rPr>
          <w:rFonts w:hint="eastAsia" w:ascii="宋体" w:hAnsi="宋体" w:eastAsia="宋体" w:cs="宋体"/>
          <w:b/>
          <w:bCs w:val="0"/>
          <w:szCs w:val="21"/>
        </w:rPr>
      </w:pPr>
      <w:bookmarkStart w:id="5" w:name="_Toc487922947_WPSOffice_Level2"/>
      <w:r>
        <w:rPr>
          <w:rFonts w:hint="eastAsia" w:ascii="宋体" w:hAnsi="宋体" w:eastAsia="宋体" w:cs="宋体"/>
          <w:b/>
          <w:bCs w:val="0"/>
          <w:szCs w:val="21"/>
        </w:rPr>
        <w:t>填报范围</w:t>
      </w:r>
      <w:bookmarkEnd w:id="5"/>
    </w:p>
    <w:p>
      <w:pPr>
        <w:snapToGrid w:val="0"/>
        <w:spacing w:line="360" w:lineRule="exact"/>
        <w:ind w:firstLine="420" w:firstLineChars="200"/>
        <w:outlineLvl w:val="9"/>
        <w:rPr>
          <w:rFonts w:ascii="宋体" w:hAnsi="宋体" w:cs="宋体"/>
          <w:bCs/>
          <w:color w:val="auto"/>
          <w:spacing w:val="2"/>
          <w:szCs w:val="21"/>
        </w:rPr>
      </w:pPr>
      <w:r>
        <w:rPr>
          <w:rFonts w:hint="eastAsia" w:ascii="宋体" w:hAnsi="宋体" w:cs="宋体"/>
          <w:bCs/>
          <w:color w:val="auto"/>
          <w:szCs w:val="21"/>
        </w:rPr>
        <w:t>1.统计范围：本制度分为</w:t>
      </w:r>
      <w:r>
        <w:rPr>
          <w:rFonts w:hint="eastAsia" w:ascii="宋体" w:hAnsi="宋体" w:cs="宋体"/>
          <w:bCs/>
          <w:color w:val="auto"/>
          <w:szCs w:val="21"/>
          <w:lang w:eastAsia="zh-CN"/>
        </w:rPr>
        <w:t>年报和定期报表</w:t>
      </w:r>
      <w:r>
        <w:rPr>
          <w:rFonts w:hint="eastAsia" w:ascii="宋体" w:hAnsi="宋体" w:cs="宋体"/>
          <w:bCs/>
          <w:color w:val="auto"/>
          <w:szCs w:val="21"/>
        </w:rPr>
        <w:t>。报表统计范围为规模以上工业法人单位，部分报表统计范围包括规模以上工业个体经营户，详见“二、报表目录”。规模以上工业法人单位是指年主营业务收入2000万元及以上的工业法人单位。</w:t>
      </w:r>
    </w:p>
    <w:p>
      <w:pPr>
        <w:spacing w:line="360" w:lineRule="exact"/>
        <w:ind w:firstLine="420" w:firstLineChars="200"/>
        <w:outlineLvl w:val="9"/>
        <w:rPr>
          <w:rFonts w:ascii="宋体" w:hAnsi="宋体" w:cs="宋体"/>
          <w:bCs/>
          <w:szCs w:val="21"/>
        </w:rPr>
      </w:pPr>
      <w:r>
        <w:rPr>
          <w:rFonts w:hint="eastAsia" w:ascii="宋体" w:hAnsi="宋体" w:cs="宋体"/>
          <w:bCs/>
          <w:szCs w:val="21"/>
        </w:rPr>
        <w:t>2.填报单位：年</w:t>
      </w:r>
      <w:r>
        <w:rPr>
          <w:rFonts w:hint="eastAsia" w:ascii="宋体" w:hAnsi="宋体" w:cs="宋体"/>
          <w:bCs/>
          <w:spacing w:val="2"/>
          <w:szCs w:val="21"/>
        </w:rPr>
        <w:t>主营业务收入2000万元及以上的</w:t>
      </w:r>
      <w:r>
        <w:rPr>
          <w:rFonts w:hint="eastAsia" w:ascii="宋体" w:hAnsi="宋体" w:cs="宋体"/>
          <w:bCs/>
          <w:szCs w:val="21"/>
        </w:rPr>
        <w:t>工业法人单位</w:t>
      </w:r>
      <w:r>
        <w:rPr>
          <w:rFonts w:hint="eastAsia" w:ascii="宋体" w:hAnsi="宋体" w:cs="宋体"/>
          <w:bCs/>
          <w:szCs w:val="21"/>
          <w:lang w:eastAsia="zh-CN"/>
        </w:rPr>
        <w:t>和个体经营户</w:t>
      </w:r>
      <w:r>
        <w:rPr>
          <w:rFonts w:hint="eastAsia" w:ascii="宋体" w:hAnsi="宋体" w:cs="宋体"/>
          <w:bCs/>
          <w:szCs w:val="21"/>
        </w:rPr>
        <w:t>。</w:t>
      </w:r>
    </w:p>
    <w:p>
      <w:pPr>
        <w:numPr>
          <w:ilvl w:val="0"/>
          <w:numId w:val="3"/>
        </w:numPr>
        <w:tabs>
          <w:tab w:val="left" w:pos="9030"/>
        </w:tabs>
        <w:snapToGrid w:val="0"/>
        <w:spacing w:line="360" w:lineRule="exact"/>
        <w:ind w:left="0" w:leftChars="0" w:firstLine="420" w:firstLineChars="0"/>
        <w:outlineLvl w:val="9"/>
        <w:rPr>
          <w:rFonts w:hint="eastAsia" w:ascii="宋体" w:hAnsi="宋体" w:eastAsia="宋体" w:cs="宋体"/>
          <w:b/>
          <w:bCs w:val="0"/>
          <w:szCs w:val="21"/>
        </w:rPr>
      </w:pPr>
      <w:bookmarkStart w:id="6" w:name="_Toc780661699_WPSOffice_Level2"/>
      <w:r>
        <w:rPr>
          <w:rFonts w:hint="eastAsia" w:ascii="宋体" w:hAnsi="宋体" w:eastAsia="宋体" w:cs="宋体"/>
          <w:b/>
          <w:bCs w:val="0"/>
          <w:szCs w:val="21"/>
        </w:rPr>
        <w:t>调查内容</w:t>
      </w:r>
      <w:bookmarkEnd w:id="6"/>
    </w:p>
    <w:p>
      <w:pPr>
        <w:snapToGrid w:val="0"/>
        <w:spacing w:line="360" w:lineRule="exact"/>
        <w:ind w:firstLine="420" w:firstLineChars="200"/>
        <w:outlineLvl w:val="9"/>
        <w:rPr>
          <w:rFonts w:ascii="宋体" w:hAnsi="宋体" w:cs="宋体"/>
          <w:bCs/>
          <w:szCs w:val="21"/>
        </w:rPr>
      </w:pPr>
      <w:r>
        <w:rPr>
          <w:rFonts w:hint="eastAsia" w:ascii="宋体" w:hAnsi="宋体" w:cs="宋体"/>
          <w:bCs/>
          <w:szCs w:val="21"/>
        </w:rPr>
        <w:t>主要包括</w:t>
      </w:r>
      <w:r>
        <w:rPr>
          <w:rFonts w:hint="eastAsia" w:ascii="宋体" w:hAnsi="宋体" w:cs="宋体"/>
          <w:bCs/>
          <w:szCs w:val="21"/>
          <w:lang w:eastAsia="zh-CN"/>
        </w:rPr>
        <w:t>工业生产、销售情况，主要工业产品生产能力情况，财务状况（成本费用）、战略性新兴产业产值情况，信息通信技术应用和数字化转型情况、数字经济活动情况等</w:t>
      </w:r>
      <w:r>
        <w:rPr>
          <w:rFonts w:hint="eastAsia" w:ascii="宋体" w:hAnsi="宋体" w:cs="宋体"/>
          <w:bCs/>
          <w:szCs w:val="21"/>
        </w:rPr>
        <w:t>。</w:t>
      </w:r>
    </w:p>
    <w:p>
      <w:pPr>
        <w:numPr>
          <w:ilvl w:val="0"/>
          <w:numId w:val="3"/>
        </w:numPr>
        <w:tabs>
          <w:tab w:val="left" w:pos="9030"/>
        </w:tabs>
        <w:snapToGrid w:val="0"/>
        <w:spacing w:line="360" w:lineRule="exact"/>
        <w:ind w:left="0" w:leftChars="0" w:firstLine="420" w:firstLineChars="0"/>
        <w:outlineLvl w:val="9"/>
        <w:rPr>
          <w:rFonts w:hint="eastAsia" w:ascii="宋体" w:hAnsi="宋体" w:eastAsia="宋体" w:cs="宋体"/>
          <w:b/>
          <w:bCs w:val="0"/>
          <w:szCs w:val="21"/>
        </w:rPr>
      </w:pPr>
      <w:bookmarkStart w:id="7" w:name="_Toc1799111655_WPSOffice_Level2"/>
      <w:r>
        <w:rPr>
          <w:rFonts w:hint="eastAsia" w:ascii="宋体" w:hAnsi="宋体" w:eastAsia="宋体" w:cs="宋体"/>
          <w:b/>
          <w:bCs w:val="0"/>
          <w:szCs w:val="21"/>
        </w:rPr>
        <w:t>数据采集及统计管理</w:t>
      </w:r>
      <w:bookmarkEnd w:id="7"/>
    </w:p>
    <w:p>
      <w:pPr>
        <w:spacing w:line="360" w:lineRule="exact"/>
        <w:ind w:firstLine="420" w:firstLineChars="200"/>
        <w:outlineLvl w:val="9"/>
        <w:rPr>
          <w:rFonts w:ascii="宋体" w:hAnsi="宋体" w:cs="宋体"/>
          <w:bCs/>
          <w:szCs w:val="21"/>
        </w:rPr>
      </w:pPr>
      <w:r>
        <w:rPr>
          <w:rFonts w:hint="eastAsia" w:ascii="宋体" w:hAnsi="宋体" w:cs="宋体"/>
          <w:bCs/>
          <w:szCs w:val="21"/>
        </w:rPr>
        <w:t>1.基本单位管理</w:t>
      </w:r>
    </w:p>
    <w:p>
      <w:pPr>
        <w:snapToGrid w:val="0"/>
        <w:spacing w:line="360" w:lineRule="atLeast"/>
        <w:ind w:firstLine="420" w:firstLineChars="200"/>
        <w:outlineLvl w:val="9"/>
        <w:rPr>
          <w:rFonts w:hint="eastAsia" w:ascii="宋体"/>
        </w:rPr>
      </w:pPr>
      <w:r>
        <w:rPr>
          <w:rFonts w:hint="eastAsia" w:ascii="宋体"/>
        </w:rPr>
        <w:t>根据统计机构关于一套表调查单位管理有关规定，按照“先进库，后报数”的原则，一套表调查单位的增减变动，需经各级统计机构依据单位提交的资料审核确定后做出相应处理。名录库中已达到规上单位规模标准且具备报送数据条件但尚未纳入规上单位统计调查的单位，有义务按要求及时向所在地统计机构提供营业执照（证书）复印件、利润表和纳税申报表等证明单位达到入库规模标准的资料；已纳入规上单位库的单位，如单位信息发生变更，需按要求提供证明单位相应信息发生变更的资料；省级及以下统计机构对单位提交的资料进行审核，将符合要求的单位确定为规上单位，变更需要更改的指标，报国家统计局备案。在库单位发生注销、吊销、长期停歇业、上年经营规模未达规模标准等情况，由单位所在地统计局提出退出单位名单，经地市、省级统计机构审核后，报国家统计局审核确定后处理。国家统计局负责在上期统计调查单位的基础上，依据审核结果进行增减变动，生成各期规上单位统计调查单位库。</w:t>
      </w:r>
    </w:p>
    <w:p>
      <w:pPr>
        <w:widowControl/>
        <w:spacing w:line="360" w:lineRule="exact"/>
        <w:ind w:firstLine="420" w:firstLineChars="200"/>
        <w:jc w:val="left"/>
        <w:outlineLvl w:val="9"/>
        <w:rPr>
          <w:rFonts w:hint="eastAsia" w:ascii="宋体"/>
        </w:rPr>
      </w:pPr>
      <w:r>
        <w:rPr>
          <w:rFonts w:hint="eastAsia" w:ascii="宋体" w:cs="Times New Roman"/>
          <w:b w:val="0"/>
          <w:bCs w:val="0"/>
          <w:kern w:val="2"/>
          <w:sz w:val="21"/>
          <w:szCs w:val="24"/>
          <w:lang w:val="en-US" w:eastAsia="zh-CN"/>
        </w:rPr>
        <w:t>2.</w:t>
      </w:r>
      <w:r>
        <w:rPr>
          <w:rFonts w:hint="eastAsia" w:ascii="宋体" w:hAnsi="Times New Roman" w:cs="Times New Roman"/>
          <w:b w:val="0"/>
          <w:bCs w:val="0"/>
          <w:kern w:val="2"/>
          <w:sz w:val="21"/>
          <w:szCs w:val="24"/>
        </w:rPr>
        <w:t>汽车整车制造行业产业活动单位视同法人单位按经营地在地原则进行统计。同时符合以下条件的跨省（区、市）汽车整车制造行业产业活动单位视同法人单位按经营地在地原则进行统计，有义务按照调查单位审核确认工作有关要求，及时在经营地所在统计机构申报纳入一套表统计调查范围，独立报送统计数据。（1）主营业务为汽车整车制造（汽车整车制造收入占企业总收入50%以上）；（2）拥有汽车整车制造资质和汽车整车制造生产线；（3）年主营业务收入2000万元及以上。符合上述条件的产业活动单位无论是否纳入一套表调查单位库，法人单位报送数据均不得包含以上跨省（区、市）产业活动单位数据。</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.在地统计管理</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1）根据《国家统计局关于印发统计单位划分及具体处理办法的通知》（国统字〔2011〕96号）第八条规定：对统计单位按照在地原则进行统计，即统计单位按照以下情况归入所在区域的统计范围：一是经营地与行政登记住所在同一县级行政区域的统计单位，归入该县级区域的统计范围；二是经营地与行政登记住所不在同一县级行政区域的统计单位，原则上归入经营地所在的县级区域的统计范围；三是有两处或两处以上经营地的统计单位，归入主要经营地所在的县级区域的统计范围。</w:t>
      </w:r>
    </w:p>
    <w:p>
      <w:pPr>
        <w:spacing w:line="360" w:lineRule="atLeast"/>
        <w:ind w:firstLine="420" w:firstLineChars="200"/>
        <w:outlineLvl w:val="9"/>
        <w:rPr>
          <w:rFonts w:ascii="宋体" w:hAnsi="宋体" w:cs="宋体"/>
          <w:bCs/>
          <w:szCs w:val="21"/>
        </w:rPr>
      </w:pPr>
      <w:r>
        <w:rPr>
          <w:rFonts w:hint="eastAsia" w:ascii="宋体" w:hAnsi="宋体" w:cs="宋体"/>
          <w:bCs/>
          <w:szCs w:val="21"/>
        </w:rPr>
        <w:t>（2）统计单位的主要经营地发生跨区变更，需及时告知变更前后所在的区政府统计部门。当年的年定报培训布置工作由变更后所在的区政府统计部门负责。</w:t>
      </w:r>
    </w:p>
    <w:p>
      <w:pPr>
        <w:spacing w:line="360" w:lineRule="atLeast"/>
        <w:ind w:firstLine="420" w:firstLineChars="200"/>
        <w:outlineLvl w:val="9"/>
        <w:rPr>
          <w:rFonts w:ascii="宋体" w:hAnsi="宋体" w:cs="宋体"/>
          <w:bCs/>
          <w:szCs w:val="21"/>
        </w:rPr>
      </w:pPr>
      <w:r>
        <w:rPr>
          <w:rFonts w:hint="eastAsia" w:ascii="宋体" w:hAnsi="宋体" w:cs="宋体"/>
          <w:bCs/>
          <w:szCs w:val="21"/>
          <w:lang w:val="en-US" w:eastAsia="zh-CN"/>
        </w:rPr>
        <w:t>4</w:t>
      </w:r>
      <w:r>
        <w:rPr>
          <w:rFonts w:hint="eastAsia" w:ascii="宋体" w:hAnsi="宋体" w:cs="宋体"/>
          <w:bCs/>
          <w:szCs w:val="21"/>
        </w:rPr>
        <w:t>.数据采集</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（1）调查单位统一采取联网</w:t>
      </w:r>
      <w:r>
        <w:rPr>
          <w:rFonts w:hint="eastAsia" w:ascii="宋体" w:hAnsi="宋体" w:cs="宋体"/>
          <w:bCs/>
          <w:szCs w:val="21"/>
          <w:lang w:eastAsia="zh-CN"/>
        </w:rPr>
        <w:t>报送</w:t>
      </w:r>
      <w:r>
        <w:rPr>
          <w:rFonts w:hint="eastAsia" w:ascii="宋体" w:hAnsi="宋体" w:cs="宋体"/>
          <w:bCs/>
          <w:szCs w:val="21"/>
        </w:rPr>
        <w:t>方式，严格按照本制度规定的各表上报时间独立自行在</w:t>
      </w:r>
      <w:r>
        <w:rPr>
          <w:rFonts w:hint="eastAsia"/>
          <w:color w:val="auto"/>
          <w:szCs w:val="21"/>
          <w:lang w:eastAsia="zh-CN"/>
        </w:rPr>
        <w:t>国家统计云联网直报平台</w:t>
      </w:r>
      <w:r>
        <w:rPr>
          <w:rFonts w:hint="eastAsia" w:ascii="宋体" w:hAnsi="宋体" w:cs="宋体"/>
          <w:bCs/>
          <w:szCs w:val="21"/>
        </w:rPr>
        <w:t>（https://tjy.stats.gov.cn）</w:t>
      </w:r>
      <w:r>
        <w:rPr>
          <w:rFonts w:hint="eastAsia" w:ascii="宋体" w:hAnsi="宋体" w:cs="宋体"/>
          <w:bCs/>
          <w:szCs w:val="21"/>
          <w:lang w:eastAsia="zh-CN"/>
        </w:rPr>
        <w:t>上</w:t>
      </w:r>
      <w:r>
        <w:rPr>
          <w:rFonts w:hint="eastAsia" w:ascii="宋体" w:hAnsi="宋体" w:cs="宋体"/>
          <w:bCs/>
          <w:szCs w:val="21"/>
        </w:rPr>
        <w:t>报送数据。</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（2）本制度报表中所有时期指标数据原则上按月(季、年)度日历天数统计上报，时点指标按月（季、年）末最后一天统计上报。</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（3）本制度实行全国统一的统计分类标准和统一编码，各调查单位必须严格贯彻执行。</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（4）调查单位有义务向统计机构提供营业执照（证书）、利润表</w:t>
      </w:r>
      <w:r>
        <w:rPr>
          <w:rFonts w:hint="eastAsia" w:ascii="宋体" w:hAnsi="宋体" w:cs="宋体"/>
          <w:bCs/>
          <w:szCs w:val="21"/>
          <w:lang w:eastAsia="zh-CN"/>
        </w:rPr>
        <w:t>、出入库资料、发票明细和</w:t>
      </w:r>
      <w:r>
        <w:rPr>
          <w:rFonts w:hint="eastAsia" w:ascii="宋体" w:hAnsi="宋体" w:cs="宋体"/>
          <w:bCs/>
          <w:szCs w:val="21"/>
        </w:rPr>
        <w:t>纳税申报表等相关资料。</w:t>
      </w:r>
    </w:p>
    <w:p>
      <w:pPr>
        <w:widowControl/>
        <w:spacing w:line="360" w:lineRule="exact"/>
        <w:ind w:firstLine="420" w:firstLineChars="200"/>
        <w:jc w:val="left"/>
        <w:outlineLvl w:val="9"/>
        <w:rPr>
          <w:rFonts w:ascii="宋体" w:hAnsi="宋体" w:cs="宋体"/>
          <w:bCs/>
          <w:szCs w:val="21"/>
        </w:rPr>
      </w:pPr>
      <w:r>
        <w:rPr>
          <w:rFonts w:hint="eastAsia" w:ascii="宋体" w:hAnsi="宋体" w:cs="宋体"/>
          <w:bCs/>
          <w:szCs w:val="21"/>
        </w:rPr>
        <w:t>（5）调查单位“不得‘打捆’和重复报送统计数据”。</w:t>
      </w:r>
    </w:p>
    <w:p>
      <w:pPr>
        <w:widowControl/>
        <w:spacing w:line="360" w:lineRule="exact"/>
        <w:ind w:firstLine="420" w:firstLineChars="200"/>
        <w:jc w:val="left"/>
        <w:outlineLvl w:val="9"/>
        <w:rPr>
          <w:rFonts w:hint="eastAsia" w:ascii="宋体" w:hAnsi="宋体" w:cs="宋体"/>
          <w:bCs/>
          <w:szCs w:val="21"/>
        </w:rPr>
      </w:pPr>
      <w:r>
        <w:rPr>
          <w:rFonts w:hint="eastAsia" w:ascii="宋体" w:hAnsi="宋体" w:cs="宋体"/>
          <w:bCs/>
          <w:szCs w:val="21"/>
        </w:rPr>
        <w:t>（6）法人单位应包含所有下属产业活动单位（分公司）数据，但不应包括下属视同法人产业活动单位和子公司数据。</w:t>
      </w:r>
    </w:p>
    <w:p>
      <w:pPr>
        <w:widowControl/>
        <w:spacing w:line="360" w:lineRule="exact"/>
        <w:ind w:firstLine="420" w:firstLineChars="200"/>
        <w:jc w:val="left"/>
        <w:outlineLvl w:val="9"/>
        <w:rPr>
          <w:rFonts w:hint="eastAsia" w:ascii="宋体" w:hAnsi="宋体" w:eastAsia="宋体" w:cs="宋体"/>
          <w:bCs/>
          <w:szCs w:val="21"/>
        </w:rPr>
      </w:pPr>
      <w:r>
        <w:rPr>
          <w:rFonts w:hint="eastAsia" w:ascii="宋体" w:hAnsi="宋体" w:cs="宋体"/>
          <w:bCs/>
          <w:szCs w:val="21"/>
        </w:rPr>
        <w:t>（7）</w:t>
      </w:r>
      <w:r>
        <w:rPr>
          <w:rFonts w:hint="eastAsia" w:ascii="宋体" w:hAnsi="宋体"/>
          <w:bCs/>
          <w:spacing w:val="4"/>
          <w:szCs w:val="21"/>
        </w:rPr>
        <w:t>报表中</w:t>
      </w:r>
      <w:r>
        <w:rPr>
          <w:rFonts w:hint="eastAsia" w:ascii="宋体"/>
          <w:bCs/>
          <w:spacing w:val="4"/>
          <w:szCs w:val="21"/>
        </w:rPr>
        <w:t>“</w:t>
      </w:r>
      <w:r>
        <w:rPr>
          <w:rFonts w:hint="eastAsia" w:ascii="宋体" w:hAnsi="宋体"/>
          <w:bCs/>
          <w:spacing w:val="4"/>
          <w:szCs w:val="21"/>
        </w:rPr>
        <w:t>上年同期</w:t>
      </w:r>
      <w:r>
        <w:rPr>
          <w:rFonts w:hint="eastAsia" w:ascii="宋体"/>
          <w:bCs/>
          <w:spacing w:val="4"/>
          <w:szCs w:val="21"/>
        </w:rPr>
        <w:t>”</w:t>
      </w:r>
      <w:r>
        <w:rPr>
          <w:rFonts w:hint="eastAsia" w:ascii="宋体" w:hAnsi="宋体"/>
          <w:bCs/>
          <w:spacing w:val="4"/>
          <w:szCs w:val="21"/>
        </w:rPr>
        <w:t>数据统一由国家统计局在数据处理软件中复制，调查单位和各级统计机构原则上不得修改；本年新增的调查单位自行填报</w:t>
      </w:r>
      <w:r>
        <w:rPr>
          <w:rFonts w:hint="eastAsia" w:ascii="宋体"/>
          <w:bCs/>
          <w:spacing w:val="4"/>
          <w:szCs w:val="21"/>
        </w:rPr>
        <w:t>“</w:t>
      </w:r>
      <w:r>
        <w:rPr>
          <w:rFonts w:hint="eastAsia" w:ascii="宋体" w:hAnsi="宋体"/>
          <w:bCs/>
          <w:spacing w:val="4"/>
          <w:szCs w:val="21"/>
        </w:rPr>
        <w:t>上年同期</w:t>
      </w:r>
      <w:r>
        <w:rPr>
          <w:rFonts w:hint="eastAsia" w:ascii="宋体"/>
          <w:bCs/>
          <w:spacing w:val="4"/>
          <w:szCs w:val="21"/>
        </w:rPr>
        <w:t>”</w:t>
      </w:r>
      <w:r>
        <w:rPr>
          <w:rFonts w:hint="eastAsia" w:ascii="宋体" w:hAnsi="宋体"/>
          <w:bCs/>
          <w:spacing w:val="4"/>
          <w:szCs w:val="21"/>
        </w:rPr>
        <w:t>数据；涉及拆分、兼并、重组、视同法人、统计执法失实数据改正等情况的企业，经国家统计局批准后，调查单位可调整上年同期数；本年新增指标的上年同期数由调查单位自行填报</w:t>
      </w:r>
      <w:r>
        <w:rPr>
          <w:rFonts w:hint="eastAsia" w:ascii="宋体" w:hAnsi="宋体" w:eastAsia="宋体" w:cs="宋体"/>
          <w:bCs/>
          <w:szCs w:val="21"/>
        </w:rPr>
        <w:t>。</w:t>
      </w:r>
    </w:p>
    <w:p>
      <w:pPr>
        <w:widowControl/>
        <w:spacing w:line="360" w:lineRule="exact"/>
        <w:ind w:firstLine="420" w:firstLineChars="200"/>
        <w:jc w:val="left"/>
        <w:outlineLvl w:val="9"/>
        <w:rPr>
          <w:rFonts w:ascii="宋体" w:hAnsi="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8</w:t>
      </w:r>
      <w:r>
        <w:rPr>
          <w:rFonts w:hint="eastAsia" w:ascii="宋体" w:hAnsi="宋体" w:eastAsia="宋体" w:cs="宋体"/>
          <w:bCs/>
          <w:szCs w:val="21"/>
        </w:rPr>
        <w:t>）</w:t>
      </w:r>
      <w:r>
        <w:rPr>
          <w:rFonts w:hint="eastAsia" w:ascii="宋体" w:hAnsi="宋体"/>
          <w:bCs/>
          <w:szCs w:val="21"/>
        </w:rPr>
        <w:t>保密单位月、季度统计报表免报，年度填报101-1表、</w:t>
      </w:r>
      <w:r>
        <w:rPr>
          <w:rFonts w:hint="eastAsia" w:ascii="宋体" w:hAnsi="宋体"/>
          <w:bCs/>
          <w:szCs w:val="21"/>
          <w:lang w:val="en-US" w:eastAsia="zh-CN"/>
        </w:rPr>
        <w:t>108</w:t>
      </w:r>
      <w:r>
        <w:rPr>
          <w:rFonts w:hint="eastAsia" w:ascii="宋体" w:hAnsi="宋体"/>
          <w:bCs/>
          <w:szCs w:val="21"/>
        </w:rPr>
        <w:t>表、B103表、B104-4表</w:t>
      </w:r>
      <w:r>
        <w:rPr>
          <w:rFonts w:hint="eastAsia" w:ascii="宋体" w:hAnsi="宋体"/>
          <w:bCs/>
          <w:szCs w:val="21"/>
          <w:lang w:eastAsia="zh-CN"/>
        </w:rPr>
        <w:t>等</w:t>
      </w:r>
      <w:r>
        <w:rPr>
          <w:rFonts w:hint="eastAsia" w:ascii="宋体" w:hAnsi="宋体"/>
          <w:bCs/>
          <w:szCs w:val="21"/>
        </w:rPr>
        <w:t>，省级统计机构通过保密渠道收集、录入、审核数据并上报至国家统计局，国家统计局在数据审核确定后向省级统计机构反馈军工与非军工企业合并数据</w:t>
      </w:r>
      <w:r>
        <w:rPr>
          <w:rFonts w:hint="eastAsia" w:ascii="宋体" w:hAnsi="宋体" w:cs="宋体"/>
          <w:bCs/>
          <w:szCs w:val="21"/>
        </w:rPr>
        <w:t>。</w:t>
      </w:r>
    </w:p>
    <w:p>
      <w:pPr>
        <w:spacing w:line="360" w:lineRule="atLeast"/>
        <w:ind w:firstLine="420" w:firstLineChars="200"/>
        <w:outlineLvl w:val="9"/>
        <w:rPr>
          <w:rFonts w:hint="eastAsia" w:ascii="宋体" w:hAnsi="宋体" w:eastAsia="宋体" w:cs="宋体"/>
          <w:bCs/>
          <w:szCs w:val="21"/>
          <w:lang w:val="en-US" w:eastAsia="zh-CN"/>
        </w:rPr>
      </w:pPr>
      <w:r>
        <w:rPr>
          <w:rFonts w:hint="eastAsia" w:ascii="宋体" w:hAnsi="宋体" w:eastAsia="宋体" w:cs="宋体"/>
          <w:bCs/>
          <w:szCs w:val="21"/>
          <w:lang w:val="en-US" w:eastAsia="zh-CN"/>
        </w:rPr>
        <w:t>5.报表管理</w:t>
      </w:r>
    </w:p>
    <w:p>
      <w:pPr>
        <w:widowControl/>
        <w:spacing w:line="360" w:lineRule="exact"/>
        <w:ind w:firstLine="420" w:firstLineChars="200"/>
        <w:jc w:val="left"/>
        <w:outlineLvl w:val="9"/>
        <w:rPr>
          <w:rFonts w:hint="eastAsia" w:ascii="宋体" w:hAnsi="宋体" w:eastAsia="宋体"/>
          <w:bCs/>
          <w:szCs w:val="21"/>
        </w:rPr>
      </w:pPr>
      <w:r>
        <w:rPr>
          <w:rFonts w:hint="eastAsia" w:ascii="宋体" w:hAnsi="宋体" w:eastAsia="宋体"/>
          <w:bCs/>
          <w:szCs w:val="21"/>
        </w:rPr>
        <w:t>（1）按照《统计法》的要求，为保障源头数据质量，做到数出有据，国家机关、企业事业单位和其他组织等统计调查对象，应当按照国家有关规定设置原始记录、统计台账，推动统计台账电子化、数字化、标准化，建立健全统计资料的审核、签署、报送、归档等管理制度。</w:t>
      </w:r>
    </w:p>
    <w:p>
      <w:pPr>
        <w:widowControl/>
        <w:spacing w:line="360" w:lineRule="exact"/>
        <w:ind w:firstLine="420" w:firstLineChars="200"/>
        <w:jc w:val="left"/>
        <w:outlineLvl w:val="9"/>
        <w:rPr>
          <w:rFonts w:hint="eastAsia" w:ascii="宋体" w:hAnsi="宋体" w:eastAsia="宋体" w:cs="宋体"/>
          <w:bCs/>
          <w:szCs w:val="21"/>
        </w:rPr>
      </w:pPr>
      <w:r>
        <w:rPr>
          <w:rFonts w:hint="eastAsia" w:ascii="宋体" w:hAnsi="宋体" w:eastAsia="宋体" w:cs="宋体"/>
          <w:bCs/>
          <w:szCs w:val="21"/>
        </w:rPr>
        <w:t>（</w:t>
      </w:r>
      <w:r>
        <w:rPr>
          <w:rFonts w:hint="eastAsia" w:ascii="宋体" w:hAnsi="宋体" w:eastAsia="宋体" w:cs="宋体"/>
          <w:bCs/>
          <w:szCs w:val="21"/>
          <w:lang w:val="en-US" w:eastAsia="zh-CN"/>
        </w:rPr>
        <w:t>2</w:t>
      </w:r>
      <w:r>
        <w:rPr>
          <w:rFonts w:hint="eastAsia" w:ascii="宋体" w:hAnsi="宋体" w:eastAsia="宋体" w:cs="宋体"/>
          <w:bCs/>
          <w:szCs w:val="21"/>
        </w:rPr>
        <w:t>）年报、月报、季报报表保存期为2年；统计台账应该至少保存2年。</w:t>
      </w:r>
    </w:p>
    <w:p>
      <w:pPr>
        <w:outlineLvl w:val="9"/>
        <w:rPr>
          <w:rFonts w:hint="eastAsia" w:ascii="宋体" w:hAnsi="宋体" w:cs="宋体"/>
          <w:bCs/>
          <w:szCs w:val="21"/>
        </w:rPr>
      </w:pPr>
    </w:p>
    <w:p>
      <w:pPr>
        <w:pStyle w:val="2"/>
        <w:outlineLvl w:val="9"/>
        <w:rPr>
          <w:rFonts w:hint="eastAsia" w:ascii="宋体" w:hAnsi="宋体" w:cs="宋体"/>
          <w:bCs/>
          <w:szCs w:val="21"/>
        </w:rPr>
      </w:pPr>
    </w:p>
    <w:p>
      <w:pPr>
        <w:outlineLvl w:val="9"/>
        <w:rPr>
          <w:rFonts w:hint="eastAsia" w:ascii="宋体" w:hAnsi="宋体" w:cs="宋体"/>
          <w:bCs/>
          <w:szCs w:val="21"/>
        </w:rPr>
      </w:pPr>
    </w:p>
    <w:p>
      <w:pPr>
        <w:pStyle w:val="2"/>
        <w:rPr>
          <w:rFonts w:hint="eastAsia"/>
        </w:rPr>
      </w:pPr>
    </w:p>
    <w:p>
      <w:pPr>
        <w:rPr>
          <w:rFonts w:hint="eastAsia"/>
        </w:rPr>
      </w:pPr>
    </w:p>
    <w:p>
      <w:pPr>
        <w:pStyle w:val="2"/>
        <w:outlineLvl w:val="9"/>
        <w:rPr>
          <w:rFonts w:hint="eastAsia" w:ascii="宋体" w:hAnsi="宋体" w:cs="宋体"/>
          <w:bCs/>
          <w:szCs w:val="21"/>
        </w:rPr>
      </w:pPr>
    </w:p>
    <w:p>
      <w:pPr>
        <w:rPr>
          <w:rFonts w:hint="eastAsia"/>
        </w:rPr>
      </w:pPr>
    </w:p>
    <w:p>
      <w:pPr>
        <w:outlineLvl w:val="9"/>
        <w:rPr>
          <w:rFonts w:hint="eastAsia" w:ascii="宋体" w:hAnsi="宋体" w:cs="宋体"/>
          <w:bCs/>
          <w:szCs w:val="21"/>
        </w:rPr>
      </w:pPr>
    </w:p>
    <w:p>
      <w:pPr>
        <w:pStyle w:val="2"/>
        <w:outlineLvl w:val="9"/>
        <w:rPr>
          <w:rFonts w:hint="eastAsia" w:ascii="宋体" w:hAnsi="宋体" w:cs="宋体"/>
          <w:bCs/>
          <w:szCs w:val="21"/>
        </w:rPr>
      </w:pPr>
    </w:p>
    <w:p>
      <w:pPr>
        <w:numPr>
          <w:ilvl w:val="0"/>
          <w:numId w:val="3"/>
        </w:numPr>
        <w:tabs>
          <w:tab w:val="left" w:pos="9030"/>
        </w:tabs>
        <w:snapToGrid w:val="0"/>
        <w:spacing w:line="360" w:lineRule="exact"/>
        <w:ind w:left="0" w:leftChars="0" w:firstLine="420" w:firstLineChars="0"/>
        <w:outlineLvl w:val="9"/>
        <w:rPr>
          <w:rFonts w:hint="eastAsia" w:ascii="宋体" w:hAnsi="宋体" w:eastAsia="宋体" w:cs="宋体"/>
          <w:b/>
          <w:bCs w:val="0"/>
          <w:szCs w:val="21"/>
        </w:rPr>
      </w:pPr>
      <w:bookmarkStart w:id="8" w:name="_Toc1232653161_WPSOffice_Level2"/>
      <w:r>
        <w:rPr>
          <w:rFonts w:hint="eastAsia" w:ascii="宋体" w:hAnsi="宋体" w:eastAsia="宋体" w:cs="宋体"/>
          <w:b/>
          <w:bCs w:val="0"/>
          <w:szCs w:val="21"/>
        </w:rPr>
        <w:t>广州市及各区统计局联系方式</w:t>
      </w:r>
      <w:bookmarkEnd w:id="8"/>
    </w:p>
    <w:tbl>
      <w:tblPr>
        <w:tblStyle w:val="17"/>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02"/>
        <w:gridCol w:w="3420"/>
        <w:gridCol w:w="975"/>
        <w:gridCol w:w="1110"/>
        <w:gridCol w:w="244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jc w:val="center"/>
              <w:outlineLvl w:val="9"/>
              <w:rPr>
                <w:rFonts w:ascii="宋体" w:hAnsi="宋体" w:cs="宋体"/>
                <w:b/>
                <w:color w:val="auto"/>
                <w:szCs w:val="21"/>
              </w:rPr>
            </w:pPr>
            <w:r>
              <w:rPr>
                <w:rFonts w:hint="eastAsia" w:ascii="宋体" w:hAnsi="宋体" w:cs="宋体"/>
                <w:b/>
                <w:color w:val="auto"/>
                <w:szCs w:val="21"/>
              </w:rPr>
              <w:t>单    位</w:t>
            </w:r>
          </w:p>
        </w:tc>
        <w:tc>
          <w:tcPr>
            <w:tcW w:w="3420" w:type="dxa"/>
            <w:noWrap/>
            <w:vAlign w:val="center"/>
          </w:tcPr>
          <w:p>
            <w:pPr>
              <w:jc w:val="center"/>
              <w:outlineLvl w:val="9"/>
              <w:rPr>
                <w:rFonts w:ascii="宋体" w:hAnsi="宋体" w:cs="宋体"/>
                <w:b/>
                <w:color w:val="auto"/>
                <w:szCs w:val="21"/>
              </w:rPr>
            </w:pPr>
            <w:r>
              <w:rPr>
                <w:rFonts w:hint="eastAsia" w:ascii="宋体" w:hAnsi="宋体" w:cs="宋体"/>
                <w:b/>
                <w:color w:val="auto"/>
                <w:szCs w:val="21"/>
              </w:rPr>
              <w:t>地址</w:t>
            </w:r>
          </w:p>
        </w:tc>
        <w:tc>
          <w:tcPr>
            <w:tcW w:w="975" w:type="dxa"/>
            <w:noWrap/>
            <w:vAlign w:val="center"/>
          </w:tcPr>
          <w:p>
            <w:pPr>
              <w:jc w:val="center"/>
              <w:outlineLvl w:val="9"/>
              <w:rPr>
                <w:rFonts w:ascii="宋体" w:hAnsi="宋体" w:cs="宋体"/>
                <w:b/>
                <w:color w:val="auto"/>
                <w:szCs w:val="21"/>
              </w:rPr>
            </w:pPr>
            <w:r>
              <w:rPr>
                <w:rFonts w:hint="eastAsia" w:ascii="宋体" w:hAnsi="宋体" w:cs="宋体"/>
                <w:b/>
                <w:color w:val="auto"/>
                <w:szCs w:val="21"/>
              </w:rPr>
              <w:t>邮政编码</w:t>
            </w:r>
          </w:p>
        </w:tc>
        <w:tc>
          <w:tcPr>
            <w:tcW w:w="1110" w:type="dxa"/>
            <w:noWrap/>
            <w:vAlign w:val="center"/>
          </w:tcPr>
          <w:p>
            <w:pPr>
              <w:jc w:val="center"/>
              <w:outlineLvl w:val="9"/>
              <w:rPr>
                <w:rFonts w:ascii="宋体" w:hAnsi="宋体" w:cs="宋体"/>
                <w:b/>
                <w:color w:val="auto"/>
                <w:szCs w:val="21"/>
              </w:rPr>
            </w:pPr>
            <w:r>
              <w:rPr>
                <w:rFonts w:hint="eastAsia" w:ascii="宋体" w:hAnsi="宋体" w:cs="宋体"/>
                <w:b/>
                <w:color w:val="auto"/>
                <w:szCs w:val="21"/>
              </w:rPr>
              <w:t>联系电话</w:t>
            </w:r>
          </w:p>
        </w:tc>
        <w:tc>
          <w:tcPr>
            <w:tcW w:w="2441" w:type="dxa"/>
            <w:noWrap/>
            <w:vAlign w:val="center"/>
          </w:tcPr>
          <w:p>
            <w:pPr>
              <w:jc w:val="center"/>
              <w:outlineLvl w:val="9"/>
              <w:rPr>
                <w:rFonts w:ascii="宋体" w:hAnsi="宋体" w:cs="宋体"/>
                <w:b/>
                <w:color w:val="auto"/>
                <w:szCs w:val="21"/>
              </w:rPr>
            </w:pPr>
            <w:r>
              <w:rPr>
                <w:rFonts w:hint="eastAsia" w:ascii="宋体" w:hAnsi="宋体" w:cs="宋体"/>
                <w:b/>
                <w:color w:val="auto"/>
                <w:szCs w:val="21"/>
              </w:rPr>
              <w:t>电子邮箱</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广州市统计局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广州市越秀区府前路1号4号楼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510030</w:t>
            </w:r>
          </w:p>
        </w:tc>
        <w:tc>
          <w:tcPr>
            <w:tcW w:w="1110" w:type="dxa"/>
            <w:noWrap/>
            <w:vAlign w:val="center"/>
          </w:tcPr>
          <w:p>
            <w:pPr>
              <w:jc w:val="center"/>
              <w:outlineLvl w:val="9"/>
              <w:rPr>
                <w:rFonts w:hint="eastAsia" w:ascii="宋体" w:hAnsi="宋体" w:eastAsia="宋体" w:cs="宋体"/>
                <w:color w:val="auto"/>
                <w:szCs w:val="21"/>
                <w:lang w:val="en-US" w:eastAsia="zh-CN"/>
              </w:rPr>
            </w:pPr>
            <w:r>
              <w:rPr>
                <w:rFonts w:hint="eastAsia" w:ascii="宋体" w:hAnsi="宋体" w:cs="宋体"/>
                <w:color w:val="auto"/>
                <w:szCs w:val="21"/>
              </w:rPr>
              <w:t>8312635</w:t>
            </w:r>
            <w:r>
              <w:rPr>
                <w:rFonts w:hint="eastAsia" w:ascii="宋体" w:hAnsi="宋体" w:cs="宋体"/>
                <w:color w:val="auto"/>
                <w:szCs w:val="21"/>
                <w:lang w:val="en-US" w:eastAsia="zh-CN"/>
              </w:rPr>
              <w:t>0</w:t>
            </w:r>
          </w:p>
        </w:tc>
        <w:tc>
          <w:tcPr>
            <w:tcW w:w="2441" w:type="dxa"/>
            <w:noWrap/>
            <w:vAlign w:val="center"/>
          </w:tcPr>
          <w:p>
            <w:pPr>
              <w:jc w:val="center"/>
              <w:outlineLvl w:val="9"/>
              <w:rPr>
                <w:rFonts w:hint="default" w:ascii="宋体" w:hAnsi="宋体" w:cs="宋体"/>
                <w:color w:val="auto"/>
                <w:szCs w:val="21"/>
                <w:lang w:val="en-US"/>
              </w:rPr>
            </w:pPr>
            <w:r>
              <w:rPr>
                <w:rFonts w:hint="eastAsia" w:ascii="宋体" w:hAnsi="宋体" w:cs="宋体"/>
                <w:color w:val="auto"/>
                <w:szCs w:val="21"/>
                <w:lang w:val="en-US" w:eastAsia="zh-CN"/>
              </w:rPr>
              <w:t>673863710@qq.com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荔湾区统计局</w:t>
            </w:r>
          </w:p>
        </w:tc>
        <w:tc>
          <w:tcPr>
            <w:tcW w:w="3420" w:type="dxa"/>
            <w:noWrap/>
            <w:vAlign w:val="center"/>
          </w:tcPr>
          <w:p>
            <w:pPr>
              <w:outlineLvl w:val="9"/>
              <w:rPr>
                <w:rFonts w:hint="default" w:ascii="宋体" w:hAnsi="宋体" w:eastAsia="宋体" w:cs="宋体"/>
                <w:color w:val="auto"/>
                <w:szCs w:val="21"/>
                <w:lang w:val="en-US" w:eastAsia="zh-CN"/>
              </w:rPr>
            </w:pPr>
            <w:r>
              <w:rPr>
                <w:rFonts w:hint="eastAsia" w:ascii="宋体" w:hAnsi="宋体" w:cs="宋体"/>
                <w:color w:val="auto"/>
                <w:szCs w:val="21"/>
              </w:rPr>
              <w:t>广州市荔湾区逢源路129号</w:t>
            </w:r>
            <w:r>
              <w:rPr>
                <w:rFonts w:hint="eastAsia" w:ascii="宋体" w:hAnsi="宋体" w:cs="宋体"/>
                <w:color w:val="auto"/>
                <w:szCs w:val="21"/>
                <w:lang w:val="en-US" w:eastAsia="zh-CN"/>
              </w:rPr>
              <w:t>815</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510145</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81875387</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457781408@qq.com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越秀区统计局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广州市越秀区惠福东路486号7楼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510115</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83262891</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yxtjjtz@gz.gov.cn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海珠区统计局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广州市海珠区泰沙路555号8楼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510220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84397141</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hztjj@gz.gov.cn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天河区统计局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广州市天河区天府路1号1号2号楼1112</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510655</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38622715</w:t>
            </w:r>
          </w:p>
        </w:tc>
        <w:tc>
          <w:tcPr>
            <w:tcW w:w="2441" w:type="dxa"/>
            <w:noWrap/>
            <w:vAlign w:val="center"/>
          </w:tcPr>
          <w:p>
            <w:pPr>
              <w:jc w:val="center"/>
              <w:outlineLvl w:val="9"/>
              <w:rPr>
                <w:rFonts w:hint="eastAsia" w:ascii="宋体" w:hAnsi="宋体" w:cs="宋体"/>
                <w:color w:val="auto"/>
                <w:szCs w:val="21"/>
              </w:rPr>
            </w:pPr>
            <w:r>
              <w:rPr>
                <w:rFonts w:hint="eastAsia" w:ascii="宋体" w:hAnsi="宋体" w:cs="宋体"/>
                <w:color w:val="auto"/>
                <w:szCs w:val="21"/>
              </w:rPr>
              <w:t>yangyonghui@gz.gov.cn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白云区统计局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广州市白云区河田西路68号6楼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510405</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36342800</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tjjcytjk@by.gov.cn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黄埔区统计局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广州市黄埔区水西路12号B栋6楼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510700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82002456</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hpqtjjgy@gdd.gov.cn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番禺区统计局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广州市番禺区市桥街清河东路319号区行政办公中心西副楼五楼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511400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84830912</w:t>
            </w:r>
          </w:p>
        </w:tc>
        <w:tc>
          <w:tcPr>
            <w:tcW w:w="2441" w:type="dxa"/>
            <w:noWrap/>
            <w:vAlign w:val="center"/>
          </w:tcPr>
          <w:p>
            <w:pPr>
              <w:jc w:val="center"/>
              <w:outlineLvl w:val="9"/>
              <w:rPr>
                <w:rFonts w:ascii="宋体" w:hAnsi="宋体" w:cs="宋体"/>
                <w:color w:val="auto"/>
                <w:szCs w:val="21"/>
              </w:rPr>
            </w:pPr>
            <w:r>
              <w:rPr>
                <w:rFonts w:hint="eastAsia" w:ascii="宋体" w:hAnsi="宋体" w:cs="宋体"/>
                <w:color w:val="auto"/>
                <w:szCs w:val="21"/>
              </w:rPr>
              <w:t>tjjzy@panyu.gov.cn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花都区统计局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kern w:val="0"/>
                <w:szCs w:val="21"/>
              </w:rPr>
              <w:t>广州市花都区新华街松园路13号3楼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510800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36899068</w:t>
            </w:r>
          </w:p>
        </w:tc>
        <w:tc>
          <w:tcPr>
            <w:tcW w:w="2441" w:type="dxa"/>
            <w:noWrap/>
            <w:vAlign w:val="center"/>
          </w:tcPr>
          <w:p>
            <w:pPr>
              <w:widowControl/>
              <w:jc w:val="center"/>
              <w:outlineLvl w:val="9"/>
              <w:rPr>
                <w:rFonts w:ascii="宋体" w:hAnsi="宋体" w:cs="宋体"/>
                <w:color w:val="auto"/>
                <w:szCs w:val="21"/>
              </w:rPr>
            </w:pPr>
            <w:r>
              <w:rPr>
                <w:rFonts w:hint="eastAsia" w:ascii="宋体" w:hAnsi="宋体" w:cs="宋体"/>
                <w:color w:val="auto"/>
                <w:szCs w:val="21"/>
              </w:rPr>
              <w:t>wuyu@huadu.gov.cn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南沙区统计局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广州市南沙区凤凰大道1号</w:t>
            </w:r>
            <w:r>
              <w:rPr>
                <w:rFonts w:hint="eastAsia" w:ascii="宋体" w:hAnsi="宋体" w:cs="宋体"/>
                <w:color w:val="auto"/>
                <w:szCs w:val="21"/>
                <w:lang w:val="en-US" w:eastAsia="zh-CN"/>
              </w:rPr>
              <w:t>-3号楼</w:t>
            </w:r>
            <w:r>
              <w:rPr>
                <w:rFonts w:hint="eastAsia" w:ascii="宋体" w:hAnsi="宋体" w:cs="宋体"/>
                <w:color w:val="auto"/>
                <w:szCs w:val="21"/>
              </w:rPr>
              <w:t>5楼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511458</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39078582</w:t>
            </w:r>
          </w:p>
        </w:tc>
        <w:tc>
          <w:tcPr>
            <w:tcW w:w="2441" w:type="dxa"/>
            <w:noWrap/>
            <w:vAlign w:val="center"/>
          </w:tcPr>
          <w:p>
            <w:pPr>
              <w:widowControl/>
              <w:jc w:val="center"/>
              <w:outlineLvl w:val="9"/>
              <w:rPr>
                <w:rFonts w:ascii="宋体" w:hAnsi="宋体" w:cs="宋体"/>
                <w:color w:val="auto"/>
                <w:szCs w:val="21"/>
              </w:rPr>
            </w:pPr>
            <w:r>
              <w:rPr>
                <w:rFonts w:hint="eastAsia" w:ascii="宋体" w:hAnsi="宋体" w:cs="宋体"/>
                <w:color w:val="auto"/>
                <w:szCs w:val="21"/>
              </w:rPr>
              <w:t>nsqtjjgy@gz.gov.cn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从化区统计局</w:t>
            </w:r>
          </w:p>
        </w:tc>
        <w:tc>
          <w:tcPr>
            <w:tcW w:w="3420" w:type="dxa"/>
            <w:noWrap/>
            <w:vAlign w:val="center"/>
          </w:tcPr>
          <w:p>
            <w:pPr>
              <w:outlineLvl w:val="9"/>
              <w:rPr>
                <w:rFonts w:ascii="宋体" w:hAnsi="宋体" w:cs="宋体"/>
                <w:color w:val="auto"/>
                <w:szCs w:val="21"/>
              </w:rPr>
            </w:pPr>
            <w:r>
              <w:rPr>
                <w:rFonts w:hint="eastAsia" w:ascii="宋体" w:hAnsi="宋体" w:cs="宋体"/>
                <w:color w:val="auto"/>
                <w:szCs w:val="21"/>
              </w:rPr>
              <w:t>广州市从化区城郊街河滨北路128号七楼</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510900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87933433</w:t>
            </w:r>
          </w:p>
        </w:tc>
        <w:tc>
          <w:tcPr>
            <w:tcW w:w="2441" w:type="dxa"/>
            <w:noWrap/>
            <w:vAlign w:val="center"/>
          </w:tcPr>
          <w:p>
            <w:pPr>
              <w:widowControl/>
              <w:jc w:val="center"/>
              <w:outlineLvl w:val="9"/>
              <w:rPr>
                <w:rFonts w:ascii="宋体" w:hAnsi="宋体" w:cs="宋体"/>
                <w:color w:val="auto"/>
                <w:szCs w:val="21"/>
              </w:rPr>
            </w:pPr>
            <w:r>
              <w:rPr>
                <w:rFonts w:hint="eastAsia" w:ascii="宋体" w:hAnsi="宋体" w:cs="宋体"/>
                <w:color w:val="auto"/>
                <w:szCs w:val="21"/>
              </w:rPr>
              <w:t>chqtjjgyk@gz.gov.cn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02" w:type="dxa"/>
            <w:noWrap/>
            <w:vAlign w:val="center"/>
          </w:tcPr>
          <w:p>
            <w:pPr>
              <w:outlineLvl w:val="9"/>
              <w:rPr>
                <w:rFonts w:ascii="宋体" w:hAnsi="宋体" w:cs="宋体"/>
                <w:color w:val="auto"/>
                <w:szCs w:val="21"/>
              </w:rPr>
            </w:pPr>
            <w:r>
              <w:rPr>
                <w:rFonts w:hint="eastAsia" w:ascii="宋体" w:hAnsi="宋体" w:cs="宋体"/>
                <w:color w:val="auto"/>
                <w:szCs w:val="21"/>
              </w:rPr>
              <w:t>增城区统计局</w:t>
            </w:r>
          </w:p>
        </w:tc>
        <w:tc>
          <w:tcPr>
            <w:tcW w:w="3420" w:type="dxa"/>
            <w:noWrap/>
            <w:vAlign w:val="center"/>
          </w:tcPr>
          <w:p>
            <w:pPr>
              <w:outlineLvl w:val="9"/>
              <w:rPr>
                <w:rFonts w:ascii="宋体" w:hAnsi="宋体" w:cs="宋体"/>
                <w:color w:val="auto"/>
                <w:spacing w:val="-2"/>
                <w:szCs w:val="21"/>
              </w:rPr>
            </w:pPr>
            <w:r>
              <w:rPr>
                <w:rFonts w:hint="eastAsia" w:ascii="宋体" w:hAnsi="宋体" w:cs="宋体"/>
                <w:color w:val="auto"/>
                <w:szCs w:val="21"/>
              </w:rPr>
              <w:t>广州市增城区荔湖街惠民路1号4号楼531</w:t>
            </w:r>
          </w:p>
        </w:tc>
        <w:tc>
          <w:tcPr>
            <w:tcW w:w="975" w:type="dxa"/>
            <w:noWrap/>
            <w:vAlign w:val="center"/>
          </w:tcPr>
          <w:p>
            <w:pPr>
              <w:jc w:val="center"/>
              <w:outlineLvl w:val="9"/>
              <w:rPr>
                <w:rFonts w:ascii="宋体" w:hAnsi="宋体" w:cs="宋体"/>
                <w:color w:val="auto"/>
                <w:szCs w:val="21"/>
              </w:rPr>
            </w:pPr>
            <w:r>
              <w:rPr>
                <w:rFonts w:hint="eastAsia" w:ascii="宋体" w:hAnsi="宋体" w:cs="宋体"/>
                <w:color w:val="auto"/>
                <w:szCs w:val="21"/>
              </w:rPr>
              <w:t>511300</w:t>
            </w:r>
          </w:p>
        </w:tc>
        <w:tc>
          <w:tcPr>
            <w:tcW w:w="1110" w:type="dxa"/>
            <w:noWrap/>
            <w:vAlign w:val="center"/>
          </w:tcPr>
          <w:p>
            <w:pPr>
              <w:jc w:val="center"/>
              <w:outlineLvl w:val="9"/>
              <w:rPr>
                <w:rFonts w:ascii="宋体" w:hAnsi="宋体" w:cs="宋体"/>
                <w:color w:val="auto"/>
                <w:szCs w:val="21"/>
              </w:rPr>
            </w:pPr>
            <w:r>
              <w:rPr>
                <w:rFonts w:hint="eastAsia" w:ascii="宋体" w:hAnsi="宋体" w:cs="宋体"/>
                <w:color w:val="auto"/>
                <w:szCs w:val="21"/>
              </w:rPr>
              <w:t>32829405</w:t>
            </w:r>
          </w:p>
        </w:tc>
        <w:tc>
          <w:tcPr>
            <w:tcW w:w="2441" w:type="dxa"/>
            <w:noWrap/>
            <w:vAlign w:val="center"/>
          </w:tcPr>
          <w:p>
            <w:pPr>
              <w:widowControl/>
              <w:jc w:val="center"/>
              <w:outlineLvl w:val="9"/>
              <w:rPr>
                <w:rFonts w:ascii="宋体" w:hAnsi="宋体" w:cs="宋体"/>
                <w:color w:val="auto"/>
                <w:szCs w:val="21"/>
              </w:rPr>
            </w:pPr>
            <w:r>
              <w:rPr>
                <w:rFonts w:hint="eastAsia" w:ascii="宋体" w:hAnsi="宋体" w:cs="宋体"/>
                <w:color w:val="auto"/>
                <w:szCs w:val="21"/>
              </w:rPr>
              <w:t>zctjjzyk@gz.gov.cn</w:t>
            </w:r>
          </w:p>
        </w:tc>
      </w:tr>
    </w:tbl>
    <w:p>
      <w:pPr>
        <w:keepNext w:val="0"/>
        <w:keepLines w:val="0"/>
        <w:pageBreakBefore w:val="0"/>
        <w:widowControl w:val="0"/>
        <w:kinsoku/>
        <w:wordWrap/>
        <w:overflowPunct/>
        <w:topLinePunct w:val="0"/>
        <w:autoSpaceDE/>
        <w:autoSpaceDN/>
        <w:bidi w:val="0"/>
        <w:adjustRightInd/>
        <w:snapToGrid w:val="0"/>
        <w:spacing w:line="120" w:lineRule="exact"/>
        <w:ind w:firstLine="420" w:firstLineChars="200"/>
        <w:textAlignment w:val="auto"/>
        <w:outlineLvl w:val="9"/>
        <w:rPr>
          <w:rFonts w:hint="eastAsia" w:ascii="宋体" w:hAnsi="宋体" w:eastAsia="宋体" w:cs="宋体"/>
          <w:color w:val="auto"/>
          <w:szCs w:val="21"/>
          <w:u w:val="none"/>
        </w:rPr>
      </w:pPr>
    </w:p>
    <w:p>
      <w:pPr>
        <w:snapToGrid w:val="0"/>
        <w:spacing w:line="370" w:lineRule="exact"/>
        <w:ind w:firstLine="420" w:firstLineChars="200"/>
        <w:outlineLvl w:val="9"/>
        <w:rPr>
          <w:rStyle w:val="21"/>
          <w:rFonts w:hint="default" w:ascii="宋体" w:hAnsi="宋体" w:eastAsia="宋体" w:cs="宋体"/>
          <w:color w:val="auto"/>
          <w:szCs w:val="21"/>
          <w:u w:val="none"/>
          <w:lang w:val="en-US" w:eastAsia="zh-CN"/>
        </w:rPr>
      </w:pPr>
      <w:r>
        <w:rPr>
          <w:rFonts w:hint="eastAsia"/>
          <w:color w:val="auto"/>
          <w:szCs w:val="21"/>
          <w:lang w:eastAsia="zh-CN"/>
        </w:rPr>
        <w:t>国家统计云联网直报平台网址</w:t>
      </w:r>
      <w:r>
        <w:rPr>
          <w:rFonts w:hint="eastAsia" w:ascii="宋体" w:hAnsi="宋体" w:cs="宋体"/>
          <w:color w:val="auto"/>
          <w:szCs w:val="21"/>
          <w:u w:val="none"/>
          <w:lang w:val="en-US" w:eastAsia="zh-CN"/>
        </w:rPr>
        <w:t>：</w:t>
      </w:r>
      <w:r>
        <w:rPr>
          <w:rStyle w:val="21"/>
          <w:rFonts w:hint="eastAsia" w:ascii="宋体" w:hAnsi="宋体" w:eastAsia="宋体" w:cs="宋体"/>
          <w:color w:val="auto"/>
          <w:szCs w:val="21"/>
          <w:u w:val="none"/>
          <w:lang w:val="en-US" w:eastAsia="zh-CN"/>
        </w:rPr>
        <w:t>https://tjy.stats.gov.cn</w:t>
      </w:r>
    </w:p>
    <w:p>
      <w:pPr>
        <w:snapToGrid w:val="0"/>
        <w:spacing w:line="370" w:lineRule="exact"/>
        <w:ind w:firstLine="420" w:firstLineChars="200"/>
        <w:outlineLvl w:val="9"/>
        <w:rPr>
          <w:rFonts w:hint="eastAsia" w:ascii="宋体" w:hAnsi="宋体" w:cs="宋体"/>
          <w:color w:val="auto"/>
          <w:szCs w:val="21"/>
          <w:u w:val="none"/>
        </w:rPr>
      </w:pPr>
      <w:r>
        <w:rPr>
          <w:rFonts w:hint="eastAsia" w:ascii="宋体" w:hAnsi="宋体" w:cs="宋体"/>
          <w:color w:val="auto"/>
          <w:szCs w:val="21"/>
          <w:u w:val="none"/>
        </w:rPr>
        <w:t>广州统计信息网</w:t>
      </w:r>
      <w:r>
        <w:rPr>
          <w:rFonts w:hint="eastAsia" w:ascii="宋体" w:hAnsi="宋体" w:cs="宋体"/>
          <w:color w:val="auto"/>
          <w:szCs w:val="21"/>
          <w:u w:val="none"/>
          <w:lang w:eastAsia="zh-CN"/>
        </w:rPr>
        <w:t>网址</w:t>
      </w:r>
      <w:r>
        <w:rPr>
          <w:rFonts w:hint="eastAsia" w:ascii="宋体" w:hAnsi="宋体" w:cs="宋体"/>
          <w:color w:val="auto"/>
          <w:szCs w:val="21"/>
          <w:u w:val="none"/>
        </w:rPr>
        <w:t>： http://tjj.gz.gov.cn/</w:t>
      </w:r>
    </w:p>
    <w:p>
      <w:pPr>
        <w:pStyle w:val="2"/>
        <w:ind w:left="420" w:firstLine="602"/>
        <w:outlineLvl w:val="9"/>
        <w:rPr>
          <w:rFonts w:ascii="黑体" w:hAnsi="黑体" w:eastAsia="黑体" w:cs="黑体"/>
          <w:b/>
          <w:color w:val="auto"/>
          <w:sz w:val="30"/>
          <w:szCs w:val="30"/>
        </w:rPr>
      </w:pPr>
    </w:p>
    <w:p>
      <w:pPr>
        <w:outlineLvl w:val="9"/>
        <w:rPr>
          <w:rFonts w:ascii="黑体" w:hAnsi="黑体" w:eastAsia="黑体" w:cs="黑体"/>
          <w:b/>
          <w:sz w:val="30"/>
          <w:szCs w:val="30"/>
        </w:rPr>
      </w:pPr>
    </w:p>
    <w:p>
      <w:pPr>
        <w:pStyle w:val="2"/>
        <w:ind w:left="420" w:firstLine="420"/>
        <w:outlineLvl w:val="9"/>
      </w:pPr>
    </w:p>
    <w:p>
      <w:pPr>
        <w:outlineLvl w:val="9"/>
        <w:rPr>
          <w:rFonts w:ascii="黑体" w:hAnsi="黑体" w:eastAsia="黑体" w:cs="黑体"/>
          <w:b/>
          <w:sz w:val="30"/>
          <w:szCs w:val="30"/>
        </w:rPr>
      </w:pPr>
    </w:p>
    <w:p>
      <w:pPr>
        <w:pStyle w:val="2"/>
        <w:ind w:left="420" w:firstLine="602"/>
        <w:outlineLvl w:val="9"/>
        <w:rPr>
          <w:rFonts w:ascii="黑体" w:hAnsi="黑体" w:eastAsia="黑体" w:cs="黑体"/>
          <w:b/>
          <w:sz w:val="30"/>
          <w:szCs w:val="30"/>
        </w:rPr>
      </w:pPr>
    </w:p>
    <w:p>
      <w:pPr>
        <w:outlineLvl w:val="9"/>
        <w:rPr>
          <w:rFonts w:ascii="黑体" w:hAnsi="黑体" w:eastAsia="黑体" w:cs="黑体"/>
          <w:b/>
          <w:sz w:val="30"/>
          <w:szCs w:val="30"/>
        </w:rPr>
      </w:pPr>
    </w:p>
    <w:p>
      <w:pPr>
        <w:pStyle w:val="2"/>
        <w:ind w:left="0" w:leftChars="0" w:firstLine="0" w:firstLineChars="0"/>
        <w:outlineLvl w:val="9"/>
        <w:rPr>
          <w:rFonts w:ascii="黑体" w:hAnsi="黑体" w:eastAsia="黑体" w:cs="黑体"/>
          <w:b/>
          <w:sz w:val="30"/>
          <w:szCs w:val="30"/>
        </w:rPr>
      </w:pPr>
    </w:p>
    <w:p>
      <w:pPr>
        <w:numPr>
          <w:ilvl w:val="0"/>
          <w:numId w:val="2"/>
        </w:numPr>
        <w:jc w:val="center"/>
        <w:outlineLvl w:val="0"/>
        <w:rPr>
          <w:rFonts w:ascii="黑体" w:hAnsi="黑体" w:eastAsia="黑体" w:cs="黑体"/>
          <w:bCs/>
          <w:sz w:val="32"/>
          <w:szCs w:val="32"/>
        </w:rPr>
      </w:pPr>
      <w:bookmarkStart w:id="9" w:name="_Toc1921954327"/>
      <w:bookmarkStart w:id="10" w:name="_Toc173450081"/>
      <w:bookmarkStart w:id="11" w:name="_Toc1267540167"/>
      <w:r>
        <w:rPr>
          <w:rFonts w:hint="eastAsia" w:ascii="黑体" w:hAnsi="黑体" w:eastAsia="黑体" w:cs="黑体"/>
          <w:bCs/>
          <w:sz w:val="32"/>
          <w:szCs w:val="32"/>
        </w:rPr>
        <w:t>报表目录</w:t>
      </w:r>
      <w:bookmarkEnd w:id="9"/>
      <w:bookmarkEnd w:id="10"/>
      <w:bookmarkEnd w:id="11"/>
    </w:p>
    <w:p>
      <w:pPr>
        <w:pStyle w:val="2"/>
        <w:ind w:left="0" w:leftChars="0" w:firstLine="0" w:firstLineChars="0"/>
      </w:pPr>
    </w:p>
    <w:tbl>
      <w:tblPr>
        <w:tblStyle w:val="17"/>
        <w:tblW w:w="9699" w:type="dxa"/>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57" w:type="dxa"/>
          <w:left w:w="108" w:type="dxa"/>
          <w:bottom w:w="57" w:type="dxa"/>
          <w:right w:w="108" w:type="dxa"/>
        </w:tblCellMar>
      </w:tblPr>
      <w:tblGrid>
        <w:gridCol w:w="987"/>
        <w:gridCol w:w="1350"/>
        <w:gridCol w:w="654"/>
        <w:gridCol w:w="2389"/>
        <w:gridCol w:w="997"/>
        <w:gridCol w:w="1377"/>
        <w:gridCol w:w="1377"/>
        <w:gridCol w:w="568"/>
      </w:tblGrid>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459" w:hRule="atLeast"/>
          <w:tblHeader/>
          <w:jc w:val="center"/>
        </w:trPr>
        <w:tc>
          <w:tcPr>
            <w:tcW w:w="987" w:type="dxa"/>
            <w:vMerge w:val="restart"/>
            <w:tcBorders>
              <w:top w:val="single" w:color="000000" w:sz="12" w:space="0"/>
              <w:bottom w:val="nil"/>
              <w:right w:val="single" w:color="auto" w:sz="4"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r>
              <w:rPr>
                <w:rFonts w:hint="default" w:ascii="Times New Roman" w:hAnsi="Times New Roman" w:eastAsiaTheme="minorEastAsia"/>
                <w:bCs/>
                <w:sz w:val="18"/>
                <w:szCs w:val="18"/>
              </w:rPr>
              <w:t>表号</w:t>
            </w:r>
          </w:p>
        </w:tc>
        <w:tc>
          <w:tcPr>
            <w:tcW w:w="1350" w:type="dxa"/>
            <w:vMerge w:val="restart"/>
            <w:tcBorders>
              <w:top w:val="single" w:color="000000" w:sz="12" w:space="0"/>
              <w:left w:val="single" w:color="auto" w:sz="4" w:space="0"/>
              <w:bottom w:val="nil"/>
              <w:right w:val="single" w:color="auto" w:sz="4" w:space="0"/>
            </w:tcBorders>
            <w:noWrap/>
            <w:vAlign w:val="center"/>
          </w:tcPr>
          <w:p>
            <w:pPr>
              <w:spacing w:line="260" w:lineRule="exact"/>
              <w:jc w:val="center"/>
              <w:outlineLvl w:val="9"/>
              <w:rPr>
                <w:rFonts w:hint="default" w:ascii="Times New Roman" w:hAnsi="Times New Roman" w:eastAsiaTheme="minorEastAsia"/>
                <w:bCs/>
                <w:sz w:val="18"/>
                <w:szCs w:val="18"/>
                <w:lang w:val="en-US" w:eastAsia="zh-CN"/>
              </w:rPr>
            </w:pPr>
            <w:r>
              <w:rPr>
                <w:rFonts w:hint="default" w:ascii="Times New Roman" w:hAnsi="Times New Roman" w:eastAsiaTheme="minorEastAsia"/>
                <w:bCs/>
                <w:sz w:val="18"/>
                <w:szCs w:val="18"/>
              </w:rPr>
              <w:t>表名</w:t>
            </w:r>
          </w:p>
        </w:tc>
        <w:tc>
          <w:tcPr>
            <w:tcW w:w="654" w:type="dxa"/>
            <w:vMerge w:val="restart"/>
            <w:tcBorders>
              <w:top w:val="single" w:color="000000" w:sz="12" w:space="0"/>
              <w:left w:val="single" w:color="auto" w:sz="4" w:space="0"/>
              <w:bottom w:val="nil"/>
              <w:right w:val="single" w:color="auto" w:sz="4" w:space="0"/>
            </w:tcBorders>
            <w:noWrap/>
            <w:vAlign w:val="center"/>
          </w:tcPr>
          <w:p>
            <w:pPr>
              <w:spacing w:line="260" w:lineRule="exact"/>
              <w:jc w:val="center"/>
              <w:outlineLvl w:val="9"/>
              <w:rPr>
                <w:rFonts w:hint="default" w:ascii="Times New Roman" w:hAnsi="Times New Roman" w:eastAsiaTheme="minorEastAsia"/>
                <w:bCs/>
                <w:sz w:val="18"/>
                <w:szCs w:val="18"/>
                <w:lang w:val="en-US" w:eastAsia="zh-CN"/>
              </w:rPr>
            </w:pPr>
            <w:r>
              <w:rPr>
                <w:rFonts w:hint="default" w:ascii="Times New Roman" w:hAnsi="Times New Roman" w:eastAsiaTheme="minorEastAsia"/>
                <w:bCs/>
                <w:sz w:val="18"/>
                <w:szCs w:val="18"/>
              </w:rPr>
              <w:t>报告期别</w:t>
            </w:r>
          </w:p>
        </w:tc>
        <w:tc>
          <w:tcPr>
            <w:tcW w:w="2389" w:type="dxa"/>
            <w:vMerge w:val="restart"/>
            <w:tcBorders>
              <w:top w:val="single" w:color="000000" w:sz="12" w:space="0"/>
              <w:left w:val="single" w:color="auto" w:sz="4" w:space="0"/>
              <w:bottom w:val="nil"/>
              <w:right w:val="single" w:color="auto" w:sz="4" w:space="0"/>
            </w:tcBorders>
            <w:noWrap/>
            <w:vAlign w:val="center"/>
          </w:tcPr>
          <w:p>
            <w:pPr>
              <w:spacing w:line="260" w:lineRule="exact"/>
              <w:jc w:val="center"/>
              <w:outlineLvl w:val="9"/>
              <w:rPr>
                <w:rFonts w:hint="default" w:ascii="Times New Roman" w:hAnsi="Times New Roman" w:eastAsiaTheme="minorEastAsia"/>
                <w:bCs/>
                <w:sz w:val="18"/>
                <w:szCs w:val="18"/>
                <w:lang w:val="en-US" w:eastAsia="zh-CN"/>
              </w:rPr>
            </w:pPr>
            <w:r>
              <w:rPr>
                <w:rFonts w:hint="default" w:ascii="Times New Roman" w:hAnsi="Times New Roman" w:eastAsiaTheme="minorEastAsia"/>
                <w:bCs/>
                <w:sz w:val="18"/>
                <w:szCs w:val="18"/>
              </w:rPr>
              <w:t>统计范围</w:t>
            </w:r>
          </w:p>
        </w:tc>
        <w:tc>
          <w:tcPr>
            <w:tcW w:w="997" w:type="dxa"/>
            <w:vMerge w:val="restart"/>
            <w:tcBorders>
              <w:top w:val="single" w:color="000000" w:sz="12" w:space="0"/>
              <w:left w:val="single" w:color="auto" w:sz="4" w:space="0"/>
              <w:bottom w:val="nil"/>
              <w:right w:val="single" w:color="000000" w:sz="2" w:space="0"/>
            </w:tcBorders>
            <w:noWrap/>
            <w:vAlign w:val="center"/>
          </w:tcPr>
          <w:p>
            <w:pPr>
              <w:pStyle w:val="12"/>
              <w:spacing w:line="260" w:lineRule="exact"/>
              <w:jc w:val="center"/>
              <w:outlineLvl w:val="9"/>
              <w:rPr>
                <w:rFonts w:hint="default" w:ascii="Times New Roman" w:hAnsi="Times New Roman" w:cs="Times New Roman" w:eastAsiaTheme="minorEastAsia"/>
                <w:bCs/>
                <w:kern w:val="2"/>
                <w:sz w:val="18"/>
                <w:lang w:val="en-US" w:eastAsia="zh-CN" w:bidi="ar-SA"/>
              </w:rPr>
            </w:pPr>
            <w:r>
              <w:rPr>
                <w:rFonts w:hint="default" w:ascii="Times New Roman" w:hAnsi="Times New Roman" w:eastAsiaTheme="minorEastAsia"/>
                <w:bCs/>
              </w:rPr>
              <w:t>填报单位</w:t>
            </w:r>
          </w:p>
        </w:tc>
        <w:tc>
          <w:tcPr>
            <w:tcW w:w="2754" w:type="dxa"/>
            <w:gridSpan w:val="2"/>
            <w:tcBorders>
              <w:top w:val="single" w:color="000000" w:sz="12" w:space="0"/>
              <w:left w:val="single" w:color="000000" w:sz="2" w:space="0"/>
              <w:bottom w:val="single" w:color="000000" w:sz="2" w:space="0"/>
              <w:right w:val="single" w:color="000000" w:sz="2" w:space="0"/>
            </w:tcBorders>
            <w:noWrap/>
            <w:vAlign w:val="center"/>
          </w:tcPr>
          <w:p>
            <w:pPr>
              <w:pStyle w:val="12"/>
              <w:spacing w:line="260" w:lineRule="exact"/>
              <w:jc w:val="center"/>
              <w:outlineLvl w:val="9"/>
              <w:rPr>
                <w:rFonts w:hint="default" w:ascii="Times New Roman" w:hAnsi="Times New Roman" w:eastAsiaTheme="minorEastAsia"/>
                <w:bCs/>
                <w:lang w:val="en-US" w:eastAsia="zh-CN"/>
              </w:rPr>
            </w:pPr>
            <w:r>
              <w:rPr>
                <w:rFonts w:hint="default" w:ascii="Times New Roman" w:hAnsi="Times New Roman" w:eastAsiaTheme="minorEastAsia"/>
                <w:bCs/>
                <w:lang w:eastAsia="zh-CN"/>
              </w:rPr>
              <w:t>调查单位报送日期</w:t>
            </w:r>
          </w:p>
        </w:tc>
        <w:tc>
          <w:tcPr>
            <w:tcW w:w="568" w:type="dxa"/>
            <w:vMerge w:val="restart"/>
            <w:tcBorders>
              <w:top w:val="single" w:color="000000" w:sz="12" w:space="0"/>
              <w:left w:val="single" w:color="000000" w:sz="2" w:space="0"/>
              <w:bottom w:val="nil"/>
              <w:right w:val="nil"/>
            </w:tcBorders>
            <w:shd w:val="clear" w:color="auto" w:fill="FFFFFF" w:themeFill="background1"/>
            <w:noWrap/>
            <w:vAlign w:val="center"/>
          </w:tcPr>
          <w:p>
            <w:pPr>
              <w:spacing w:line="260" w:lineRule="exact"/>
              <w:jc w:val="center"/>
              <w:outlineLvl w:val="9"/>
              <w:rPr>
                <w:rFonts w:hint="default" w:asciiTheme="minorAscii" w:hAnsiTheme="minorAscii"/>
                <w:bCs/>
                <w:color w:val="auto"/>
                <w:sz w:val="18"/>
                <w:szCs w:val="18"/>
              </w:rPr>
            </w:pPr>
            <w:r>
              <w:rPr>
                <w:rFonts w:hint="default" w:ascii="Times New Roman" w:hAnsi="Times New Roman" w:eastAsiaTheme="minorEastAsia"/>
                <w:sz w:val="18"/>
                <w:szCs w:val="18"/>
                <w:lang w:val="en-US" w:eastAsia="zh-CN"/>
              </w:rPr>
              <w:t>页码</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459" w:hRule="atLeast"/>
          <w:tblHeader/>
          <w:jc w:val="center"/>
        </w:trPr>
        <w:tc>
          <w:tcPr>
            <w:tcW w:w="987" w:type="dxa"/>
            <w:vMerge w:val="continue"/>
            <w:tcBorders>
              <w:top w:val="nil"/>
              <w:bottom w:val="single" w:color="000000" w:sz="2" w:space="0"/>
              <w:right w:val="single" w:color="auto" w:sz="2" w:space="0"/>
            </w:tcBorders>
            <w:noWrap/>
            <w:vAlign w:val="center"/>
          </w:tcPr>
          <w:p>
            <w:pPr>
              <w:spacing w:line="260" w:lineRule="exact"/>
              <w:jc w:val="center"/>
              <w:outlineLvl w:val="9"/>
              <w:rPr>
                <w:rFonts w:hint="default" w:asciiTheme="minorAscii" w:hAnsiTheme="minorAscii"/>
                <w:bCs/>
                <w:sz w:val="18"/>
                <w:szCs w:val="18"/>
              </w:rPr>
            </w:pPr>
          </w:p>
        </w:tc>
        <w:tc>
          <w:tcPr>
            <w:tcW w:w="1350" w:type="dxa"/>
            <w:vMerge w:val="continue"/>
            <w:tcBorders>
              <w:top w:val="nil"/>
              <w:left w:val="single" w:color="auto" w:sz="2" w:space="0"/>
              <w:bottom w:val="single" w:color="auto" w:sz="4" w:space="0"/>
              <w:right w:val="single" w:color="auto" w:sz="2" w:space="0"/>
            </w:tcBorders>
            <w:noWrap/>
            <w:vAlign w:val="center"/>
          </w:tcPr>
          <w:p>
            <w:pPr>
              <w:spacing w:line="260" w:lineRule="exact"/>
              <w:jc w:val="center"/>
              <w:outlineLvl w:val="9"/>
              <w:rPr>
                <w:rFonts w:hint="default" w:asciiTheme="minorAscii" w:hAnsiTheme="minorAscii"/>
                <w:bCs/>
                <w:sz w:val="18"/>
                <w:szCs w:val="18"/>
              </w:rPr>
            </w:pPr>
          </w:p>
        </w:tc>
        <w:tc>
          <w:tcPr>
            <w:tcW w:w="654" w:type="dxa"/>
            <w:vMerge w:val="continue"/>
            <w:tcBorders>
              <w:top w:val="nil"/>
              <w:left w:val="single" w:color="auto" w:sz="2" w:space="0"/>
              <w:bottom w:val="single" w:color="auto" w:sz="4" w:space="0"/>
              <w:right w:val="single" w:color="auto" w:sz="2" w:space="0"/>
            </w:tcBorders>
            <w:noWrap/>
            <w:vAlign w:val="center"/>
          </w:tcPr>
          <w:p>
            <w:pPr>
              <w:spacing w:line="260" w:lineRule="exact"/>
              <w:jc w:val="center"/>
              <w:outlineLvl w:val="9"/>
              <w:rPr>
                <w:rFonts w:hint="default" w:asciiTheme="minorAscii" w:hAnsiTheme="minorAscii"/>
                <w:bCs/>
                <w:sz w:val="18"/>
                <w:szCs w:val="18"/>
              </w:rPr>
            </w:pPr>
          </w:p>
        </w:tc>
        <w:tc>
          <w:tcPr>
            <w:tcW w:w="2389" w:type="dxa"/>
            <w:vMerge w:val="continue"/>
            <w:tcBorders>
              <w:top w:val="nil"/>
              <w:left w:val="single" w:color="auto" w:sz="2" w:space="0"/>
              <w:bottom w:val="single" w:color="auto" w:sz="4" w:space="0"/>
              <w:right w:val="single" w:color="auto" w:sz="2" w:space="0"/>
            </w:tcBorders>
            <w:noWrap/>
            <w:vAlign w:val="center"/>
          </w:tcPr>
          <w:p>
            <w:pPr>
              <w:pStyle w:val="12"/>
              <w:spacing w:line="260" w:lineRule="exact"/>
              <w:jc w:val="center"/>
              <w:outlineLvl w:val="9"/>
              <w:rPr>
                <w:rFonts w:hint="default" w:asciiTheme="minorAscii" w:hAnsiTheme="minorAscii"/>
                <w:bCs/>
              </w:rPr>
            </w:pPr>
          </w:p>
        </w:tc>
        <w:tc>
          <w:tcPr>
            <w:tcW w:w="997" w:type="dxa"/>
            <w:vMerge w:val="continue"/>
            <w:tcBorders>
              <w:top w:val="nil"/>
              <w:left w:val="single" w:color="auto" w:sz="2" w:space="0"/>
              <w:bottom w:val="single" w:color="auto" w:sz="4" w:space="0"/>
              <w:right w:val="single" w:color="000000" w:sz="2" w:space="0"/>
            </w:tcBorders>
            <w:noWrap/>
            <w:vAlign w:val="center"/>
          </w:tcPr>
          <w:p>
            <w:pPr>
              <w:pStyle w:val="12"/>
              <w:spacing w:line="260" w:lineRule="exact"/>
              <w:jc w:val="center"/>
              <w:outlineLvl w:val="9"/>
              <w:rPr>
                <w:rFonts w:hint="default" w:asciiTheme="minorAscii" w:hAnsiTheme="minorAscii"/>
                <w:bCs/>
              </w:rPr>
            </w:pPr>
          </w:p>
        </w:tc>
        <w:tc>
          <w:tcPr>
            <w:tcW w:w="1377" w:type="dxa"/>
            <w:tcBorders>
              <w:top w:val="single" w:color="000000" w:sz="2" w:space="0"/>
              <w:left w:val="single" w:color="000000" w:sz="2" w:space="0"/>
              <w:bottom w:val="single" w:color="000000" w:sz="2" w:space="0"/>
              <w:right w:val="single" w:color="000000" w:sz="2" w:space="0"/>
            </w:tcBorders>
            <w:noWrap/>
            <w:vAlign w:val="center"/>
          </w:tcPr>
          <w:p>
            <w:pPr>
              <w:snapToGrid w:val="0"/>
              <w:spacing w:line="280" w:lineRule="exact"/>
              <w:jc w:val="center"/>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lang w:eastAsia="zh-CN"/>
              </w:rPr>
              <w:t>填报开网时间</w:t>
            </w:r>
          </w:p>
        </w:tc>
        <w:tc>
          <w:tcPr>
            <w:tcW w:w="1377" w:type="dxa"/>
            <w:tcBorders>
              <w:top w:val="single" w:color="000000" w:sz="2" w:space="0"/>
              <w:left w:val="single" w:color="000000" w:sz="2" w:space="0"/>
              <w:bottom w:val="single" w:color="000000" w:sz="2" w:space="0"/>
              <w:right w:val="single" w:color="000000" w:sz="2" w:space="0"/>
            </w:tcBorders>
            <w:noWrap/>
            <w:vAlign w:val="center"/>
          </w:tcPr>
          <w:p>
            <w:pPr>
              <w:spacing w:line="280" w:lineRule="exact"/>
              <w:jc w:val="center"/>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lang w:eastAsia="zh-CN"/>
              </w:rPr>
              <w:t>填报截止时间</w:t>
            </w:r>
          </w:p>
        </w:tc>
        <w:tc>
          <w:tcPr>
            <w:tcW w:w="568" w:type="dxa"/>
            <w:vMerge w:val="continue"/>
            <w:tcBorders>
              <w:top w:val="nil"/>
              <w:left w:val="single" w:color="000000" w:sz="2" w:space="0"/>
              <w:bottom w:val="single" w:color="auto" w:sz="4" w:space="0"/>
              <w:right w:val="nil"/>
            </w:tcBorders>
            <w:shd w:val="clear" w:color="auto" w:fill="FFFFFF" w:themeFill="background1"/>
            <w:noWrap/>
            <w:vAlign w:val="center"/>
          </w:tcPr>
          <w:p>
            <w:pPr>
              <w:spacing w:line="260" w:lineRule="exact"/>
              <w:jc w:val="center"/>
              <w:outlineLvl w:val="9"/>
              <w:rPr>
                <w:rFonts w:hint="default" w:asciiTheme="minorAscii" w:hAnsiTheme="minorAscii"/>
                <w:bCs/>
                <w:color w:val="auto"/>
                <w:sz w:val="18"/>
                <w:szCs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305" w:hRule="atLeast"/>
          <w:jc w:val="center"/>
        </w:trPr>
        <w:tc>
          <w:tcPr>
            <w:tcW w:w="9699" w:type="dxa"/>
            <w:gridSpan w:val="8"/>
            <w:tcBorders>
              <w:top w:val="single" w:color="auto" w:sz="2" w:space="0"/>
              <w:bottom w:val="single" w:color="auto" w:sz="2" w:space="0"/>
            </w:tcBorders>
            <w:noWrap/>
            <w:vAlign w:val="center"/>
          </w:tcPr>
          <w:p>
            <w:pPr>
              <w:spacing w:line="260" w:lineRule="exact"/>
              <w:jc w:val="center"/>
              <w:outlineLvl w:val="9"/>
              <w:rPr>
                <w:rFonts w:hint="eastAsia" w:eastAsia="宋体" w:asciiTheme="minorAscii" w:hAnsiTheme="minorAscii"/>
                <w:bCs/>
                <w:sz w:val="18"/>
                <w:szCs w:val="18"/>
                <w:lang w:eastAsia="zh-CN"/>
              </w:rPr>
            </w:pPr>
            <w:r>
              <w:rPr>
                <w:rFonts w:hint="default" w:asciiTheme="minorAscii" w:hAnsiTheme="minorAscii"/>
                <w:b/>
                <w:bCs w:val="0"/>
                <w:sz w:val="18"/>
                <w:szCs w:val="18"/>
              </w:rPr>
              <w:t>（一）</w:t>
            </w:r>
            <w:r>
              <w:rPr>
                <w:rFonts w:hint="eastAsia" w:asciiTheme="minorAscii" w:hAnsiTheme="minorAscii"/>
                <w:b/>
                <w:bCs w:val="0"/>
                <w:sz w:val="18"/>
                <w:szCs w:val="18"/>
                <w:lang w:eastAsia="zh-CN"/>
              </w:rPr>
              <w:t>基层年报</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sz w:val="18"/>
                <w:szCs w:val="18"/>
              </w:rPr>
            </w:pPr>
            <w:r>
              <w:rPr>
                <w:rFonts w:hint="eastAsia" w:eastAsiaTheme="minorEastAsia"/>
                <w:sz w:val="18"/>
                <w:szCs w:val="18"/>
                <w:lang w:val="en-US" w:eastAsia="zh-CN"/>
              </w:rPr>
              <w:t>1</w:t>
            </w:r>
            <w:r>
              <w:rPr>
                <w:rFonts w:hint="default" w:ascii="Times New Roman" w:hAnsi="Times New Roman" w:eastAsiaTheme="minorEastAsia"/>
                <w:sz w:val="18"/>
                <w:szCs w:val="18"/>
              </w:rPr>
              <w:t>01</w:t>
            </w:r>
            <w:r>
              <w:rPr>
                <w:rFonts w:hint="eastAsia" w:eastAsiaTheme="minorEastAsia"/>
                <w:sz w:val="18"/>
                <w:szCs w:val="18"/>
                <w:lang w:val="en-US" w:eastAsia="zh-CN"/>
              </w:rPr>
              <w:t>-1</w:t>
            </w:r>
            <w:r>
              <w:rPr>
                <w:rFonts w:hint="default" w:ascii="Times New Roman" w:hAnsi="Times New Roman" w:eastAsiaTheme="minorEastAsia"/>
                <w:sz w:val="18"/>
                <w:szCs w:val="18"/>
              </w:rPr>
              <w:t>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eastAsia" w:eastAsiaTheme="minorEastAsia"/>
                <w:sz w:val="18"/>
                <w:szCs w:val="18"/>
                <w:lang w:eastAsia="zh-CN"/>
              </w:rPr>
              <w:t>一套表调查单位</w:t>
            </w:r>
            <w:r>
              <w:rPr>
                <w:rFonts w:hint="default" w:ascii="Times New Roman" w:hAnsi="Times New Roman" w:eastAsiaTheme="minorEastAsia"/>
                <w:sz w:val="18"/>
                <w:szCs w:val="18"/>
              </w:rPr>
              <w:t>基本情况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eastAsia" w:ascii="Times New Roman" w:hAnsi="Times New Roman" w:eastAsiaTheme="minorEastAsia"/>
                <w:sz w:val="18"/>
                <w:szCs w:val="18"/>
                <w:lang w:eastAsia="zh-CN"/>
              </w:rPr>
            </w:pPr>
            <w:r>
              <w:rPr>
                <w:rFonts w:hint="default" w:ascii="Times New Roman" w:hAnsi="Times New Roman" w:eastAsiaTheme="minorEastAsia"/>
                <w:sz w:val="18"/>
                <w:szCs w:val="18"/>
              </w:rPr>
              <w:t>辖区内规模以上工业法人单位</w:t>
            </w:r>
            <w:r>
              <w:rPr>
                <w:rFonts w:hint="eastAsia" w:eastAsiaTheme="minorEastAsia"/>
                <w:sz w:val="18"/>
                <w:szCs w:val="18"/>
                <w:lang w:eastAsia="zh-CN"/>
              </w:rPr>
              <w:t>和规模以上工业个体经营户</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ascii="Times New Roman" w:hAnsi="Times New Roman" w:eastAsiaTheme="minorEastAsia"/>
                <w:sz w:val="18"/>
                <w:szCs w:val="18"/>
                <w:lang w:eastAsia="zh-CN"/>
              </w:rPr>
            </w:pPr>
            <w:r>
              <w:rPr>
                <w:rFonts w:hint="default" w:ascii="Times New Roman" w:hAnsi="Times New Roman" w:eastAsiaTheme="minorEastAsia"/>
                <w:sz w:val="18"/>
                <w:szCs w:val="18"/>
              </w:rPr>
              <w:t>法人单位</w:t>
            </w:r>
            <w:r>
              <w:rPr>
                <w:rFonts w:hint="eastAsia" w:eastAsiaTheme="minorEastAsia"/>
                <w:sz w:val="18"/>
                <w:szCs w:val="18"/>
                <w:lang w:eastAsia="zh-CN"/>
              </w:rPr>
              <w:t>及个体经营户</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2026年1月20日</w:t>
            </w:r>
            <w:r>
              <w:rPr>
                <w:rFonts w:hint="default" w:ascii="Times New Roman" w:hAnsi="Times New Roman" w:eastAsiaTheme="minorEastAsia"/>
                <w:sz w:val="18"/>
                <w:szCs w:val="18"/>
              </w:rPr>
              <w:t>0:00</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2026年3月16日24</w:t>
            </w:r>
            <w:r>
              <w:rPr>
                <w:rFonts w:hint="default" w:ascii="Times New Roman" w:hAnsi="Times New Roman" w:eastAsiaTheme="minorEastAsia"/>
                <w:sz w:val="18"/>
                <w:szCs w:val="18"/>
              </w:rPr>
              <w:t>:00</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8</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cs="Times New Roman" w:eastAsiaTheme="minorEastAsia"/>
                <w:kern w:val="2"/>
                <w:sz w:val="18"/>
                <w:szCs w:val="18"/>
                <w:lang w:val="en-US" w:eastAsia="zh-CN" w:bidi="ar-SA"/>
              </w:rPr>
            </w:pPr>
            <w:r>
              <w:rPr>
                <w:rFonts w:hint="eastAsia" w:eastAsiaTheme="minorEastAsia"/>
                <w:sz w:val="18"/>
                <w:szCs w:val="18"/>
                <w:lang w:val="en-US" w:eastAsia="zh-CN"/>
              </w:rPr>
              <w:t>108</w:t>
            </w:r>
            <w:r>
              <w:rPr>
                <w:rFonts w:hint="default" w:ascii="Times New Roman" w:hAnsi="Times New Roman" w:eastAsiaTheme="minorEastAsia"/>
                <w:sz w:val="18"/>
                <w:szCs w:val="18"/>
              </w:rPr>
              <w:t>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企业组织结构调查表</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eastAsia" w:ascii="Times New Roman" w:hAnsi="Times New Roman" w:cs="times" w:eastAsiaTheme="minorEastAsia"/>
                <w:kern w:val="2"/>
                <w:sz w:val="18"/>
                <w:szCs w:val="18"/>
                <w:lang w:val="en-US" w:eastAsia="zh-CN" w:bidi="ar-SA"/>
              </w:rPr>
            </w:pPr>
            <w:r>
              <w:rPr>
                <w:rFonts w:hint="eastAsia" w:eastAsiaTheme="minorEastAsia"/>
                <w:sz w:val="18"/>
                <w:szCs w:val="18"/>
                <w:lang w:eastAsia="zh-CN"/>
              </w:rPr>
              <w:t>辖区内</w:t>
            </w:r>
            <w:r>
              <w:rPr>
                <w:rFonts w:hint="default" w:ascii="Times New Roman" w:hAnsi="Times New Roman" w:eastAsiaTheme="minorEastAsia"/>
                <w:sz w:val="18"/>
                <w:szCs w:val="18"/>
              </w:rPr>
              <w:t>规模以上工业法人单位</w:t>
            </w:r>
            <w:r>
              <w:rPr>
                <w:rFonts w:hint="eastAsia" w:eastAsiaTheme="minorEastAsia"/>
                <w:sz w:val="18"/>
                <w:szCs w:val="18"/>
                <w:lang w:eastAsia="zh-CN"/>
              </w:rPr>
              <w:t>且</w:t>
            </w:r>
            <w:r>
              <w:rPr>
                <w:rFonts w:hint="eastAsia" w:eastAsiaTheme="minorEastAsia"/>
                <w:sz w:val="18"/>
                <w:szCs w:val="18"/>
                <w:lang w:val="en-US" w:eastAsia="zh-CN"/>
              </w:rPr>
              <w:t>101表212</w:t>
            </w:r>
            <w:r>
              <w:rPr>
                <w:rFonts w:hint="default" w:ascii="Times New Roman" w:hAnsi="Times New Roman" w:eastAsiaTheme="minorEastAsia"/>
                <w:sz w:val="18"/>
                <w:szCs w:val="18"/>
              </w:rPr>
              <w:t>栏“本法人</w:t>
            </w:r>
            <w:r>
              <w:rPr>
                <w:rFonts w:hint="eastAsia" w:eastAsiaTheme="minorEastAsia"/>
                <w:sz w:val="18"/>
                <w:szCs w:val="18"/>
                <w:lang w:eastAsia="zh-CN"/>
              </w:rPr>
              <w:t>（视同法人）单位</w:t>
            </w:r>
            <w:r>
              <w:rPr>
                <w:rFonts w:hint="default" w:ascii="Times New Roman" w:hAnsi="Times New Roman" w:eastAsiaTheme="minorEastAsia"/>
                <w:sz w:val="18"/>
                <w:szCs w:val="18"/>
              </w:rPr>
              <w:t>是否有下属产业活动单位（分支机构、派出机构、分公司、分部、分厂、分店等）”选“1.是”的</w:t>
            </w:r>
            <w:r>
              <w:rPr>
                <w:rFonts w:hint="eastAsia" w:eastAsiaTheme="minorEastAsia"/>
                <w:sz w:val="18"/>
                <w:szCs w:val="18"/>
                <w:lang w:eastAsia="zh-CN"/>
              </w:rPr>
              <w:t>填写本表</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同上</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同上</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11</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sz w:val="18"/>
                <w:szCs w:val="18"/>
              </w:rPr>
            </w:pPr>
            <w:r>
              <w:rPr>
                <w:rFonts w:hint="eastAsia" w:eastAsiaTheme="minorEastAsia"/>
                <w:sz w:val="18"/>
                <w:szCs w:val="18"/>
                <w:lang w:val="en-US" w:eastAsia="zh-CN"/>
              </w:rPr>
              <w:t>1</w:t>
            </w:r>
            <w:r>
              <w:rPr>
                <w:rFonts w:hint="default" w:ascii="Times New Roman" w:hAnsi="Times New Roman" w:eastAsiaTheme="minorEastAsia"/>
                <w:sz w:val="18"/>
                <w:szCs w:val="18"/>
                <w:lang w:val="en-US" w:eastAsia="zh-CN"/>
              </w:rPr>
              <w:t>02</w:t>
            </w:r>
            <w:r>
              <w:rPr>
                <w:rFonts w:hint="eastAsia" w:eastAsiaTheme="minorEastAsia"/>
                <w:sz w:val="18"/>
                <w:szCs w:val="18"/>
                <w:lang w:val="en-US" w:eastAsia="zh-CN"/>
              </w:rPr>
              <w:t>-1</w:t>
            </w:r>
            <w:r>
              <w:rPr>
                <w:rFonts w:hint="default" w:ascii="Times New Roman" w:hAnsi="Times New Roman" w:eastAsiaTheme="minorEastAsia"/>
                <w:sz w:val="18"/>
                <w:szCs w:val="18"/>
              </w:rPr>
              <w:t>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从业人员及工资总额</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2025年12月31日0：00</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2026年1月18日18：00</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12</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eastAsiaTheme="minorEastAsia"/>
                <w:sz w:val="18"/>
                <w:szCs w:val="18"/>
                <w:lang w:val="en-US" w:eastAsia="zh-CN"/>
              </w:rPr>
            </w:pPr>
            <w:r>
              <w:rPr>
                <w:rFonts w:hint="eastAsia" w:eastAsiaTheme="minorEastAsia"/>
                <w:sz w:val="18"/>
                <w:szCs w:val="18"/>
                <w:lang w:val="en-US" w:eastAsia="zh-CN"/>
              </w:rPr>
              <w:t>B103表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sz w:val="18"/>
                <w:szCs w:val="18"/>
                <w:lang w:eastAsia="zh-CN"/>
              </w:rPr>
            </w:pPr>
            <w:r>
              <w:rPr>
                <w:rFonts w:hint="eastAsia" w:eastAsiaTheme="minorEastAsia"/>
                <w:sz w:val="18"/>
                <w:szCs w:val="18"/>
                <w:lang w:eastAsia="zh-CN"/>
              </w:rPr>
              <w:t>财务状况（成本费用）</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snapToGrid w:val="0"/>
              <w:rPr>
                <w:rFonts w:hint="default" w:ascii="宋体" w:hAnsi="Times New Roman" w:eastAsia="宋体" w:cs="Times New Roman"/>
                <w:kern w:val="2"/>
                <w:sz w:val="18"/>
                <w:szCs w:val="18"/>
                <w:lang w:val="en-US" w:eastAsia="zh-CN" w:bidi="ar-SA"/>
              </w:rPr>
            </w:pPr>
            <w:r>
              <w:rPr>
                <w:rFonts w:hint="eastAsia" w:ascii="宋体" w:hAnsi="宋体"/>
                <w:sz w:val="18"/>
                <w:szCs w:val="18"/>
              </w:rPr>
              <w:t>辖区内规模以上工业法人单位和规模以上工业个体经营户</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napToGrid w:val="0"/>
              <w:jc w:val="center"/>
              <w:rPr>
                <w:rFonts w:hint="eastAsia" w:ascii="宋体" w:hAnsi="宋体"/>
                <w:sz w:val="18"/>
                <w:szCs w:val="18"/>
              </w:rPr>
            </w:pPr>
            <w:r>
              <w:rPr>
                <w:rFonts w:hint="eastAsia" w:ascii="宋体" w:hAnsi="宋体"/>
                <w:sz w:val="18"/>
                <w:szCs w:val="18"/>
              </w:rPr>
              <w:t>法人单位</w:t>
            </w:r>
          </w:p>
          <w:p>
            <w:pPr>
              <w:snapToGrid w:val="0"/>
              <w:jc w:val="center"/>
              <w:rPr>
                <w:rFonts w:hint="default" w:ascii="宋体" w:hAnsi="宋体" w:eastAsia="宋体" w:cs="Times New Roman"/>
                <w:kern w:val="2"/>
                <w:sz w:val="18"/>
                <w:szCs w:val="18"/>
                <w:lang w:val="en-US" w:eastAsia="zh-CN" w:bidi="ar-SA"/>
              </w:rPr>
            </w:pPr>
            <w:r>
              <w:rPr>
                <w:rFonts w:hint="eastAsia" w:ascii="宋体" w:hAnsi="宋体"/>
                <w:sz w:val="18"/>
                <w:szCs w:val="18"/>
              </w:rPr>
              <w:t>及个体经营户</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2026年1月20日</w:t>
            </w:r>
            <w:r>
              <w:rPr>
                <w:rFonts w:hint="default" w:ascii="Times New Roman" w:hAnsi="Times New Roman" w:eastAsiaTheme="minorEastAsia"/>
                <w:sz w:val="18"/>
                <w:szCs w:val="18"/>
              </w:rPr>
              <w:t>0:00</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2026年3月16日24</w:t>
            </w:r>
            <w:r>
              <w:rPr>
                <w:rFonts w:hint="default" w:ascii="Times New Roman" w:hAnsi="Times New Roman" w:eastAsiaTheme="minorEastAsia"/>
                <w:sz w:val="18"/>
                <w:szCs w:val="18"/>
              </w:rPr>
              <w:t>:00</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13</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eastAsia" w:eastAsiaTheme="minorEastAsia"/>
                <w:sz w:val="18"/>
                <w:szCs w:val="18"/>
                <w:lang w:val="en-US" w:eastAsia="zh-CN"/>
              </w:rPr>
            </w:pP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60" w:lineRule="exact"/>
              <w:jc w:val="left"/>
              <w:outlineLvl w:val="9"/>
              <w:rPr>
                <w:rFonts w:hint="eastAsia" w:ascii="Times New Roman" w:hAnsi="Times New Roman" w:cs="Times New Roman" w:eastAsiaTheme="minorEastAsia"/>
                <w:kern w:val="0"/>
                <w:sz w:val="18"/>
                <w:szCs w:val="18"/>
                <w:lang w:val="en-US" w:eastAsia="zh-CN" w:bidi="ar-SA"/>
              </w:rPr>
            </w:pPr>
            <w:r>
              <w:rPr>
                <w:rFonts w:hint="default" w:ascii="Times New Roman" w:hAnsi="Times New Roman" w:eastAsiaTheme="minorEastAsia"/>
                <w:kern w:val="0"/>
                <w:sz w:val="18"/>
                <w:szCs w:val="18"/>
                <w:lang w:eastAsia="zh-CN"/>
              </w:rPr>
              <w:t>一套表企业数据来源台账</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60" w:lineRule="exact"/>
              <w:jc w:val="left"/>
              <w:outlineLvl w:val="9"/>
              <w:rPr>
                <w:rFonts w:hint="eastAsia"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eastAsia" w:ascii="Times New Roman" w:hAnsi="Times New Roman" w:cs="Times New Roman" w:eastAsiaTheme="minorEastAsia"/>
                <w:kern w:val="2"/>
                <w:sz w:val="21"/>
                <w:szCs w:val="18"/>
                <w:lang w:val="en-US" w:eastAsia="zh-CN" w:bidi="ar-SA"/>
              </w:rPr>
            </w:pPr>
            <w:r>
              <w:rPr>
                <w:rFonts w:hint="default" w:ascii="Times New Roman" w:hAnsi="Times New Roman" w:eastAsiaTheme="minorEastAsia"/>
                <w:sz w:val="18"/>
                <w:szCs w:val="18"/>
              </w:rPr>
              <w:t>辖区内规模以上工业法人单位</w:t>
            </w:r>
            <w:r>
              <w:rPr>
                <w:rFonts w:hint="eastAsia" w:eastAsiaTheme="minorEastAsia"/>
                <w:sz w:val="18"/>
                <w:szCs w:val="18"/>
                <w:lang w:eastAsia="zh-CN"/>
              </w:rPr>
              <w:t>和规模以上工业个体经营户</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rPr>
              <w:t>法人单位</w:t>
            </w:r>
            <w:r>
              <w:rPr>
                <w:rFonts w:hint="eastAsia" w:eastAsiaTheme="minorEastAsia"/>
                <w:sz w:val="18"/>
                <w:szCs w:val="18"/>
                <w:lang w:eastAsia="zh-CN"/>
              </w:rPr>
              <w:t>及个体经营户</w:t>
            </w:r>
          </w:p>
        </w:tc>
        <w:tc>
          <w:tcPr>
            <w:tcW w:w="2754" w:type="dxa"/>
            <w:gridSpan w:val="2"/>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15</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eastAsiaTheme="minorEastAsia"/>
                <w:sz w:val="18"/>
                <w:szCs w:val="18"/>
                <w:lang w:val="en-US" w:eastAsia="zh-CN"/>
              </w:rPr>
            </w:pPr>
            <w:r>
              <w:rPr>
                <w:rFonts w:hint="eastAsia" w:eastAsiaTheme="minorEastAsia"/>
                <w:sz w:val="18"/>
                <w:szCs w:val="18"/>
                <w:lang w:val="en-US" w:eastAsia="zh-CN"/>
              </w:rPr>
              <w:t>B104-3表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sz w:val="18"/>
                <w:szCs w:val="18"/>
                <w:lang w:eastAsia="zh-CN"/>
              </w:rPr>
            </w:pPr>
            <w:r>
              <w:rPr>
                <w:rFonts w:hint="eastAsia" w:eastAsiaTheme="minorEastAsia"/>
                <w:sz w:val="18"/>
                <w:szCs w:val="18"/>
                <w:lang w:eastAsia="zh-CN"/>
              </w:rPr>
              <w:t>主要工业产品生产能力</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snapToGrid w:val="0"/>
              <w:jc w:val="left"/>
              <w:rPr>
                <w:rFonts w:hint="default" w:ascii="宋体" w:hAnsi="Times New Roman" w:eastAsia="宋体" w:cs="Times New Roman"/>
                <w:kern w:val="2"/>
                <w:sz w:val="18"/>
                <w:szCs w:val="18"/>
                <w:lang w:val="en-US" w:eastAsia="zh-CN" w:bidi="ar-SA"/>
              </w:rPr>
            </w:pPr>
            <w:r>
              <w:rPr>
                <w:rFonts w:hint="eastAsia" w:ascii="宋体" w:hAnsi="宋体"/>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napToGrid w:val="0"/>
              <w:jc w:val="center"/>
              <w:rPr>
                <w:rFonts w:hint="default" w:ascii="宋体" w:hAnsi="Times New Roman" w:eastAsia="宋体" w:cs="Times New Roman"/>
                <w:kern w:val="2"/>
                <w:sz w:val="18"/>
                <w:szCs w:val="18"/>
                <w:lang w:val="en-US" w:eastAsia="zh-CN" w:bidi="ar-SA"/>
              </w:rPr>
            </w:pPr>
            <w:r>
              <w:rPr>
                <w:rFonts w:hint="eastAsia" w:ascii="宋体" w:hAnsi="宋体"/>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2026年1月20日</w:t>
            </w:r>
            <w:r>
              <w:rPr>
                <w:rFonts w:hint="default" w:ascii="Times New Roman" w:hAnsi="Times New Roman" w:eastAsiaTheme="minorEastAsia"/>
                <w:sz w:val="18"/>
                <w:szCs w:val="18"/>
              </w:rPr>
              <w:t>0:00</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2026年3月16日24</w:t>
            </w:r>
            <w:r>
              <w:rPr>
                <w:rFonts w:hint="default" w:ascii="Times New Roman" w:hAnsi="Times New Roman" w:eastAsiaTheme="minorEastAsia"/>
                <w:sz w:val="18"/>
                <w:szCs w:val="18"/>
              </w:rPr>
              <w:t>:00</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17</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eastAsiaTheme="minorEastAsia"/>
                <w:sz w:val="18"/>
                <w:szCs w:val="18"/>
                <w:lang w:val="en-US" w:eastAsia="zh-CN"/>
              </w:rPr>
            </w:pPr>
            <w:r>
              <w:rPr>
                <w:rFonts w:hint="eastAsia" w:eastAsiaTheme="minorEastAsia"/>
                <w:sz w:val="18"/>
                <w:szCs w:val="18"/>
                <w:lang w:val="en-US" w:eastAsia="zh-CN"/>
              </w:rPr>
              <w:t>B104-4表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sz w:val="18"/>
                <w:szCs w:val="18"/>
                <w:lang w:eastAsia="zh-CN"/>
              </w:rPr>
            </w:pPr>
            <w:r>
              <w:rPr>
                <w:rFonts w:hint="eastAsia" w:eastAsiaTheme="minorEastAsia"/>
                <w:sz w:val="18"/>
                <w:szCs w:val="18"/>
                <w:lang w:eastAsia="zh-CN"/>
              </w:rPr>
              <w:t>工业企业战略性新兴产业总产值</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snapToGrid w:val="0"/>
              <w:jc w:val="left"/>
              <w:rPr>
                <w:rFonts w:hint="default" w:ascii="宋体" w:hAnsi="Times New Roman" w:eastAsia="宋体" w:cs="Times New Roman"/>
                <w:kern w:val="2"/>
                <w:sz w:val="18"/>
                <w:szCs w:val="18"/>
                <w:lang w:val="en-US" w:eastAsia="zh-CN" w:bidi="ar-SA"/>
              </w:rPr>
            </w:pPr>
            <w:r>
              <w:rPr>
                <w:rFonts w:hint="eastAsia" w:ascii="宋体" w:hAnsi="宋体" w:cs="宋体"/>
                <w:kern w:val="0"/>
                <w:sz w:val="18"/>
                <w:szCs w:val="18"/>
              </w:rPr>
              <w:t>辖区内经认定的从事战略性新兴产业生产的规模以上工业法人单位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napToGrid w:val="0"/>
              <w:jc w:val="center"/>
              <w:rPr>
                <w:rFonts w:hint="default" w:ascii="宋体" w:hAnsi="Times New Roman" w:eastAsia="宋体" w:cs="Times New Roman"/>
                <w:kern w:val="2"/>
                <w:sz w:val="18"/>
                <w:szCs w:val="18"/>
                <w:lang w:val="en-US" w:eastAsia="zh-CN" w:bidi="ar-SA"/>
              </w:rPr>
            </w:pPr>
            <w:r>
              <w:rPr>
                <w:rFonts w:hint="eastAsia" w:ascii="宋体" w:hAnsi="宋体"/>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同上</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eastAsiaTheme="minorEastAsia"/>
                <w:sz w:val="18"/>
                <w:szCs w:val="18"/>
                <w:lang w:val="en-US" w:eastAsia="zh-CN"/>
              </w:rPr>
            </w:pPr>
            <w:r>
              <w:rPr>
                <w:rFonts w:hint="eastAsia" w:eastAsiaTheme="minorEastAsia"/>
                <w:sz w:val="18"/>
                <w:szCs w:val="18"/>
                <w:lang w:val="en-US" w:eastAsia="zh-CN"/>
              </w:rPr>
              <w:t>同上</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18</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20" w:lineRule="exact"/>
              <w:jc w:val="center"/>
              <w:outlineLvl w:val="9"/>
              <w:rPr>
                <w:rFonts w:hint="default" w:ascii="Times New Roman" w:hAnsi="Times New Roman" w:eastAsiaTheme="minorEastAsia"/>
                <w:szCs w:val="21"/>
              </w:rPr>
            </w:pPr>
            <w:r>
              <w:rPr>
                <w:rFonts w:hint="eastAsia" w:eastAsiaTheme="minorEastAsia"/>
                <w:sz w:val="18"/>
                <w:szCs w:val="18"/>
                <w:lang w:val="en-US" w:eastAsia="zh-CN"/>
              </w:rPr>
              <w:t>1</w:t>
            </w:r>
            <w:r>
              <w:rPr>
                <w:rFonts w:hint="default" w:ascii="Times New Roman" w:hAnsi="Times New Roman" w:eastAsiaTheme="minorEastAsia"/>
                <w:sz w:val="18"/>
                <w:szCs w:val="18"/>
              </w:rPr>
              <w:t>07-1表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企业研究开发项目情况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19</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PrEx>
        <w:trPr>
          <w:trHeight w:val="20" w:hRule="atLeast"/>
          <w:jc w:val="center"/>
        </w:trPr>
        <w:tc>
          <w:tcPr>
            <w:tcW w:w="987" w:type="dxa"/>
            <w:tcBorders>
              <w:top w:val="single" w:color="auto" w:sz="2" w:space="0"/>
              <w:bottom w:val="single" w:color="auto" w:sz="4" w:space="0"/>
              <w:right w:val="single" w:color="auto" w:sz="2" w:space="0"/>
            </w:tcBorders>
            <w:noWrap/>
            <w:vAlign w:val="center"/>
          </w:tcPr>
          <w:p>
            <w:pPr>
              <w:spacing w:line="220" w:lineRule="exact"/>
              <w:jc w:val="center"/>
              <w:outlineLvl w:val="9"/>
              <w:rPr>
                <w:rFonts w:hint="default" w:ascii="Times New Roman" w:hAnsi="Times New Roman" w:eastAsiaTheme="minorEastAsia"/>
                <w:szCs w:val="21"/>
              </w:rPr>
            </w:pPr>
            <w:r>
              <w:rPr>
                <w:rFonts w:hint="eastAsia" w:eastAsiaTheme="minorEastAsia"/>
                <w:sz w:val="18"/>
                <w:szCs w:val="18"/>
                <w:lang w:val="en-US" w:eastAsia="zh-CN"/>
              </w:rPr>
              <w:t>1</w:t>
            </w:r>
            <w:r>
              <w:rPr>
                <w:rFonts w:hint="default" w:ascii="Times New Roman" w:hAnsi="Times New Roman" w:eastAsiaTheme="minorEastAsia"/>
                <w:sz w:val="18"/>
                <w:szCs w:val="18"/>
              </w:rPr>
              <w:t>07-2表</w:t>
            </w:r>
          </w:p>
        </w:tc>
        <w:tc>
          <w:tcPr>
            <w:tcW w:w="1350" w:type="dxa"/>
            <w:tcBorders>
              <w:top w:val="single" w:color="auto" w:sz="2" w:space="0"/>
              <w:left w:val="single" w:color="auto" w:sz="2" w:space="0"/>
              <w:bottom w:val="single" w:color="auto" w:sz="4"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企业研究开发活动及相关情况</w:t>
            </w:r>
          </w:p>
        </w:tc>
        <w:tc>
          <w:tcPr>
            <w:tcW w:w="654" w:type="dxa"/>
            <w:tcBorders>
              <w:top w:val="single" w:color="auto" w:sz="2" w:space="0"/>
              <w:left w:val="single" w:color="auto" w:sz="2" w:space="0"/>
              <w:bottom w:val="single" w:color="auto" w:sz="4"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4" w:space="0"/>
              <w:right w:val="single" w:color="auto" w:sz="2" w:space="0"/>
            </w:tcBorders>
            <w:noWrap/>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4" w:space="0"/>
              <w:right w:val="single" w:color="auto" w:sz="2" w:space="0"/>
            </w:tcBorders>
            <w:noWrap/>
            <w:tcMar>
              <w:top w:w="45" w:type="dxa"/>
              <w:bottom w:w="45" w:type="dxa"/>
            </w:tcMar>
            <w:vAlign w:val="center"/>
          </w:tcPr>
          <w:p>
            <w:pPr>
              <w:spacing w:line="2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4"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1377" w:type="dxa"/>
            <w:tcBorders>
              <w:top w:val="single" w:color="auto" w:sz="2" w:space="0"/>
              <w:left w:val="single" w:color="auto" w:sz="2" w:space="0"/>
              <w:bottom w:val="single" w:color="auto" w:sz="4"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568" w:type="dxa"/>
            <w:tcBorders>
              <w:top w:val="single" w:color="auto" w:sz="2" w:space="0"/>
              <w:left w:val="single" w:color="auto" w:sz="2" w:space="0"/>
              <w:bottom w:val="single" w:color="auto" w:sz="4"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20</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20" w:lineRule="exact"/>
              <w:jc w:val="center"/>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1</w:t>
            </w:r>
            <w:r>
              <w:rPr>
                <w:rFonts w:hint="default" w:ascii="Times New Roman" w:hAnsi="Times New Roman" w:eastAsiaTheme="minorEastAsia"/>
                <w:sz w:val="18"/>
                <w:szCs w:val="18"/>
                <w:lang w:val="en-US" w:eastAsia="zh-CN"/>
              </w:rPr>
              <w:t>09表</w:t>
            </w:r>
          </w:p>
        </w:tc>
        <w:tc>
          <w:tcPr>
            <w:tcW w:w="1350" w:type="dxa"/>
            <w:tcBorders>
              <w:top w:val="single" w:color="auto" w:sz="2" w:space="0"/>
              <w:left w:val="single" w:color="auto" w:sz="2" w:space="0"/>
              <w:bottom w:val="single" w:color="auto" w:sz="2" w:space="0"/>
              <w:right w:val="single" w:color="auto" w:sz="2" w:space="0"/>
            </w:tcBorders>
            <w:noWrap/>
            <w:vAlign w:val="center"/>
          </w:tcPr>
          <w:p>
            <w:pPr>
              <w:snapToGrid w:val="0"/>
              <w:spacing w:line="320" w:lineRule="exact"/>
              <w:jc w:val="left"/>
              <w:outlineLvl w:val="9"/>
              <w:rPr>
                <w:rFonts w:hint="default" w:ascii="Times New Roman" w:hAnsi="Times New Roman" w:cs="宋体" w:eastAsiaTheme="minorEastAsia"/>
                <w:sz w:val="18"/>
                <w:szCs w:val="18"/>
              </w:rPr>
            </w:pPr>
            <w:r>
              <w:rPr>
                <w:rFonts w:hint="default" w:ascii="Times New Roman" w:hAnsi="Times New Roman" w:eastAsiaTheme="minorEastAsia"/>
                <w:sz w:val="18"/>
                <w:szCs w:val="18"/>
              </w:rPr>
              <w:t>信息通信技术应用和数字化转型情况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napToGrid w:val="0"/>
              <w:spacing w:line="320" w:lineRule="exact"/>
              <w:jc w:val="left"/>
              <w:outlineLvl w:val="9"/>
              <w:rPr>
                <w:rFonts w:hint="default" w:ascii="Times New Roman" w:hAnsi="Times New Roman"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cs="宋体" w:eastAsiaTheme="minorEastAsia"/>
                <w:sz w:val="18"/>
                <w:szCs w:val="18"/>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22</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20" w:lineRule="exact"/>
              <w:jc w:val="center"/>
              <w:outlineLvl w:val="9"/>
              <w:rPr>
                <w:rFonts w:hint="default" w:eastAsiaTheme="minorEastAsia"/>
                <w:sz w:val="18"/>
                <w:szCs w:val="18"/>
                <w:lang w:val="en-US" w:eastAsia="zh-CN"/>
              </w:rPr>
            </w:pPr>
            <w:r>
              <w:rPr>
                <w:rFonts w:hint="eastAsia" w:eastAsiaTheme="minorEastAsia"/>
                <w:sz w:val="18"/>
                <w:szCs w:val="18"/>
                <w:lang w:val="en-US" w:eastAsia="zh-CN"/>
              </w:rPr>
              <w:t>110表</w:t>
            </w:r>
          </w:p>
        </w:tc>
        <w:tc>
          <w:tcPr>
            <w:tcW w:w="1350" w:type="dxa"/>
            <w:tcBorders>
              <w:top w:val="single" w:color="auto" w:sz="2" w:space="0"/>
              <w:left w:val="single" w:color="auto" w:sz="2" w:space="0"/>
              <w:bottom w:val="single" w:color="auto" w:sz="2" w:space="0"/>
              <w:right w:val="single" w:color="auto" w:sz="2" w:space="0"/>
            </w:tcBorders>
            <w:noWrap/>
            <w:vAlign w:val="center"/>
          </w:tcPr>
          <w:p>
            <w:pPr>
              <w:snapToGrid w:val="0"/>
              <w:spacing w:line="32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“一套表”单位数字经济活动情况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napToGrid w:val="0"/>
              <w:spacing w:line="320" w:lineRule="exact"/>
              <w:jc w:val="left"/>
              <w:outlineLvl w:val="9"/>
              <w:rPr>
                <w:rFonts w:hint="eastAsia" w:eastAsiaTheme="minorEastAsia"/>
                <w:sz w:val="18"/>
                <w:szCs w:val="18"/>
                <w:lang w:eastAsia="zh-CN"/>
              </w:rPr>
            </w:pPr>
            <w:r>
              <w:rPr>
                <w:rFonts w:hint="eastAsia" w:eastAsiaTheme="minorEastAsia"/>
                <w:sz w:val="18"/>
                <w:szCs w:val="18"/>
                <w:lang w:eastAsia="zh-CN"/>
              </w:rPr>
              <w:t>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cs="宋体" w:eastAsiaTheme="minorEastAsia"/>
                <w:kern w:val="2"/>
                <w:sz w:val="18"/>
                <w:szCs w:val="18"/>
                <w:lang w:val="en-US" w:eastAsia="zh-CN" w:bidi="ar-SA"/>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rPr>
              <w:t>法人单位</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1377" w:type="dxa"/>
            <w:tcBorders>
              <w:top w:val="single" w:color="auto" w:sz="2" w:space="0"/>
              <w:left w:val="single" w:color="auto" w:sz="2" w:space="0"/>
              <w:bottom w:val="single" w:color="auto" w:sz="2" w:space="0"/>
              <w:right w:val="single" w:color="auto" w:sz="2" w:space="0"/>
            </w:tcBorders>
            <w:noWrap/>
            <w:tcMar>
              <w:top w:w="45" w:type="dxa"/>
              <w:bottom w:w="45" w:type="dxa"/>
            </w:tcMar>
            <w:vAlign w:val="center"/>
          </w:tcPr>
          <w:p>
            <w:pPr>
              <w:spacing w:line="280" w:lineRule="exact"/>
              <w:jc w:val="left"/>
              <w:outlineLvl w:val="9"/>
              <w:rPr>
                <w:rFonts w:hint="eastAsia" w:ascii="Times New Roman" w:hAnsi="Times New Roman" w:cs="Times New Roman" w:eastAsiaTheme="minorEastAsia"/>
                <w:kern w:val="2"/>
                <w:sz w:val="18"/>
                <w:szCs w:val="18"/>
                <w:lang w:val="en-US" w:eastAsia="zh-CN" w:bidi="ar-SA"/>
              </w:rPr>
            </w:pPr>
            <w:r>
              <w:rPr>
                <w:rFonts w:hint="eastAsia" w:cs="Times New Roman" w:eastAsiaTheme="minorEastAsia"/>
                <w:kern w:val="2"/>
                <w:sz w:val="18"/>
                <w:szCs w:val="18"/>
                <w:lang w:val="en-US" w:eastAsia="zh-CN" w:bidi="ar-SA"/>
              </w:rPr>
              <w:t>同上</w:t>
            </w:r>
          </w:p>
        </w:tc>
        <w:tc>
          <w:tcPr>
            <w:tcW w:w="568" w:type="dxa"/>
            <w:tcBorders>
              <w:top w:val="single" w:color="auto" w:sz="2" w:space="0"/>
              <w:left w:val="single" w:color="auto" w:sz="2" w:space="0"/>
              <w:bottom w:val="single" w:color="auto" w:sz="2" w:space="0"/>
              <w:right w:val="nil"/>
            </w:tcBorders>
            <w:noWrap/>
            <w:tcMar>
              <w:top w:w="45" w:type="dxa"/>
              <w:bottom w:w="45" w:type="dxa"/>
            </w:tcMar>
            <w:vAlign w:val="center"/>
          </w:tcPr>
          <w:p>
            <w:pPr>
              <w:spacing w:line="260" w:lineRule="exact"/>
              <w:jc w:val="left"/>
              <w:outlineLvl w:val="9"/>
              <w:rPr>
                <w:rFonts w:hint="default" w:eastAsiaTheme="minorEastAsia"/>
                <w:sz w:val="18"/>
                <w:szCs w:val="18"/>
                <w:lang w:val="en-US" w:eastAsia="zh-CN"/>
              </w:rPr>
            </w:pPr>
            <w:r>
              <w:rPr>
                <w:rFonts w:hint="eastAsia" w:eastAsiaTheme="minorEastAsia"/>
                <w:sz w:val="18"/>
                <w:szCs w:val="18"/>
                <w:lang w:val="en-US" w:eastAsia="zh-CN"/>
              </w:rPr>
              <w:t>24</w:t>
            </w:r>
          </w:p>
        </w:tc>
      </w:tr>
    </w:tbl>
    <w:p>
      <w:pPr>
        <w:keepNext w:val="0"/>
        <w:keepLines w:val="0"/>
        <w:pageBreakBefore w:val="0"/>
        <w:widowControl w:val="0"/>
        <w:kinsoku/>
        <w:wordWrap/>
        <w:overflowPunct/>
        <w:topLinePunct w:val="0"/>
        <w:autoSpaceDE/>
        <w:autoSpaceDN/>
        <w:bidi w:val="0"/>
        <w:adjustRightInd/>
        <w:snapToGrid/>
        <w:spacing w:line="14" w:lineRule="exact"/>
        <w:jc w:val="center"/>
        <w:textAlignment w:val="auto"/>
        <w:outlineLvl w:val="9"/>
        <w:rPr>
          <w:rFonts w:hint="default" w:ascii="Times New Roman" w:hAnsi="Times New Roman" w:eastAsiaTheme="minorEastAsia"/>
          <w:sz w:val="18"/>
          <w:szCs w:val="18"/>
        </w:rPr>
      </w:pPr>
    </w:p>
    <w:p>
      <w:pPr>
        <w:pStyle w:val="15"/>
        <w:rPr>
          <w:rFonts w:hint="default" w:ascii="Times New Roman" w:hAnsi="Times New Roman" w:eastAsiaTheme="minorEastAsia"/>
          <w:sz w:val="18"/>
          <w:szCs w:val="18"/>
        </w:rPr>
      </w:pPr>
    </w:p>
    <w:p>
      <w:pPr>
        <w:pStyle w:val="15"/>
        <w:rPr>
          <w:rFonts w:hint="default" w:ascii="Times New Roman" w:hAnsi="Times New Roman" w:eastAsiaTheme="minorEastAsia"/>
          <w:sz w:val="18"/>
          <w:szCs w:val="18"/>
        </w:rPr>
      </w:pPr>
    </w:p>
    <w:p>
      <w:pPr>
        <w:pStyle w:val="15"/>
        <w:rPr>
          <w:rFonts w:hint="default" w:ascii="Times New Roman" w:hAnsi="Times New Roman" w:eastAsiaTheme="minorEastAsia"/>
          <w:sz w:val="18"/>
          <w:szCs w:val="18"/>
        </w:rPr>
      </w:pPr>
    </w:p>
    <w:p>
      <w:pPr>
        <w:pStyle w:val="15"/>
        <w:rPr>
          <w:rFonts w:hint="default" w:ascii="Times New Roman" w:hAnsi="Times New Roman" w:eastAsiaTheme="minorEastAsia"/>
          <w:sz w:val="18"/>
          <w:szCs w:val="18"/>
        </w:rPr>
      </w:pPr>
    </w:p>
    <w:tbl>
      <w:tblPr>
        <w:tblStyle w:val="17"/>
        <w:tblW w:w="9699" w:type="dxa"/>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57" w:type="dxa"/>
          <w:left w:w="108" w:type="dxa"/>
          <w:bottom w:w="57" w:type="dxa"/>
          <w:right w:w="108" w:type="dxa"/>
        </w:tblCellMar>
      </w:tblPr>
      <w:tblGrid>
        <w:gridCol w:w="987"/>
        <w:gridCol w:w="1350"/>
        <w:gridCol w:w="654"/>
        <w:gridCol w:w="2389"/>
        <w:gridCol w:w="997"/>
        <w:gridCol w:w="1355"/>
        <w:gridCol w:w="1399"/>
        <w:gridCol w:w="568"/>
      </w:tblGrid>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459" w:hRule="atLeast"/>
          <w:jc w:val="center"/>
        </w:trPr>
        <w:tc>
          <w:tcPr>
            <w:tcW w:w="9699" w:type="dxa"/>
            <w:gridSpan w:val="8"/>
            <w:tcBorders>
              <w:top w:val="single" w:color="auto" w:sz="12" w:space="0"/>
              <w:bottom w:val="single" w:color="auto" w:sz="4" w:space="0"/>
              <w:right w:val="nil"/>
            </w:tcBorders>
            <w:noWrap/>
            <w:vAlign w:val="center"/>
          </w:tcPr>
          <w:p>
            <w:pPr>
              <w:spacing w:line="260" w:lineRule="exact"/>
              <w:jc w:val="center"/>
              <w:outlineLvl w:val="9"/>
              <w:rPr>
                <w:rFonts w:hint="default" w:ascii="Times New Roman" w:hAnsi="Times New Roman" w:eastAsiaTheme="minorEastAsia"/>
                <w:sz w:val="18"/>
                <w:szCs w:val="18"/>
                <w:lang w:val="en-US" w:eastAsia="zh-CN"/>
              </w:rPr>
            </w:pPr>
            <w:r>
              <w:rPr>
                <w:rFonts w:hint="default" w:asciiTheme="minorAscii" w:hAnsiTheme="minorAscii"/>
                <w:b/>
                <w:bCs w:val="0"/>
                <w:sz w:val="18"/>
                <w:szCs w:val="18"/>
              </w:rPr>
              <w:t>（</w:t>
            </w:r>
            <w:r>
              <w:rPr>
                <w:rFonts w:hint="eastAsia" w:asciiTheme="minorAscii" w:hAnsiTheme="minorAscii"/>
                <w:b/>
                <w:bCs w:val="0"/>
                <w:sz w:val="18"/>
                <w:szCs w:val="18"/>
                <w:lang w:eastAsia="zh-CN"/>
              </w:rPr>
              <w:t>二</w:t>
            </w:r>
            <w:r>
              <w:rPr>
                <w:rFonts w:hint="default" w:asciiTheme="minorAscii" w:hAnsiTheme="minorAscii"/>
                <w:b/>
                <w:bCs w:val="0"/>
                <w:sz w:val="18"/>
                <w:szCs w:val="18"/>
              </w:rPr>
              <w:t>）</w:t>
            </w:r>
            <w:r>
              <w:rPr>
                <w:rFonts w:hint="eastAsia" w:asciiTheme="minorAscii" w:hAnsiTheme="minorAscii"/>
                <w:b/>
                <w:bCs w:val="0"/>
                <w:sz w:val="18"/>
                <w:szCs w:val="18"/>
                <w:lang w:eastAsia="zh-CN"/>
              </w:rPr>
              <w:t>基层定报</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459" w:hRule="atLeast"/>
          <w:jc w:val="center"/>
        </w:trPr>
        <w:tc>
          <w:tcPr>
            <w:tcW w:w="987" w:type="dxa"/>
            <w:vMerge w:val="restart"/>
            <w:tcBorders>
              <w:top w:val="single" w:color="auto" w:sz="4" w:space="0"/>
              <w:bottom w:val="single" w:color="auto" w:sz="4"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r>
              <w:rPr>
                <w:rFonts w:hint="default" w:ascii="Times New Roman" w:hAnsi="Times New Roman" w:eastAsiaTheme="minorEastAsia"/>
                <w:bCs/>
                <w:sz w:val="18"/>
                <w:szCs w:val="18"/>
              </w:rPr>
              <w:t>表号</w:t>
            </w:r>
          </w:p>
        </w:tc>
        <w:tc>
          <w:tcPr>
            <w:tcW w:w="1350" w:type="dxa"/>
            <w:vMerge w:val="restart"/>
            <w:tcBorders>
              <w:top w:val="single" w:color="auto" w:sz="4" w:space="0"/>
              <w:left w:val="single" w:color="auto" w:sz="2" w:space="0"/>
              <w:bottom w:val="single" w:color="auto" w:sz="4"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r>
              <w:rPr>
                <w:rFonts w:hint="default" w:ascii="Times New Roman" w:hAnsi="Times New Roman" w:eastAsiaTheme="minorEastAsia"/>
                <w:bCs/>
                <w:sz w:val="18"/>
                <w:szCs w:val="18"/>
              </w:rPr>
              <w:t>表名</w:t>
            </w:r>
          </w:p>
        </w:tc>
        <w:tc>
          <w:tcPr>
            <w:tcW w:w="654" w:type="dxa"/>
            <w:vMerge w:val="restart"/>
            <w:tcBorders>
              <w:top w:val="single" w:color="auto" w:sz="4" w:space="0"/>
              <w:left w:val="single" w:color="auto" w:sz="2" w:space="0"/>
              <w:bottom w:val="single" w:color="auto" w:sz="4"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r>
              <w:rPr>
                <w:rFonts w:hint="default" w:ascii="Times New Roman" w:hAnsi="Times New Roman" w:eastAsiaTheme="minorEastAsia"/>
                <w:bCs/>
                <w:sz w:val="18"/>
                <w:szCs w:val="18"/>
              </w:rPr>
              <w:t>报告期别</w:t>
            </w:r>
          </w:p>
        </w:tc>
        <w:tc>
          <w:tcPr>
            <w:tcW w:w="2389" w:type="dxa"/>
            <w:vMerge w:val="restart"/>
            <w:tcBorders>
              <w:top w:val="single" w:color="auto" w:sz="4" w:space="0"/>
              <w:left w:val="single" w:color="auto" w:sz="2" w:space="0"/>
              <w:bottom w:val="single" w:color="auto" w:sz="4" w:space="0"/>
              <w:right w:val="single" w:color="auto" w:sz="2" w:space="0"/>
            </w:tcBorders>
            <w:noWrap/>
            <w:vAlign w:val="center"/>
          </w:tcPr>
          <w:p>
            <w:pPr>
              <w:pStyle w:val="12"/>
              <w:spacing w:line="260" w:lineRule="exact"/>
              <w:jc w:val="center"/>
              <w:outlineLvl w:val="9"/>
              <w:rPr>
                <w:rFonts w:hint="default" w:ascii="Times New Roman" w:hAnsi="Times New Roman" w:cs="Times New Roman" w:eastAsiaTheme="minorEastAsia"/>
                <w:bCs/>
                <w:kern w:val="2"/>
                <w:sz w:val="18"/>
                <w:lang w:val="en-US" w:eastAsia="zh-CN" w:bidi="ar-SA"/>
              </w:rPr>
            </w:pPr>
            <w:r>
              <w:rPr>
                <w:rFonts w:hint="default" w:ascii="Times New Roman" w:hAnsi="Times New Roman" w:eastAsiaTheme="minorEastAsia"/>
                <w:bCs/>
              </w:rPr>
              <w:t>统计范围</w:t>
            </w:r>
          </w:p>
        </w:tc>
        <w:tc>
          <w:tcPr>
            <w:tcW w:w="997" w:type="dxa"/>
            <w:vMerge w:val="restart"/>
            <w:tcBorders>
              <w:top w:val="single" w:color="auto" w:sz="4" w:space="0"/>
              <w:left w:val="single" w:color="auto" w:sz="2" w:space="0"/>
              <w:bottom w:val="single" w:color="auto" w:sz="4" w:space="0"/>
              <w:right w:val="single" w:color="auto" w:sz="2" w:space="0"/>
            </w:tcBorders>
            <w:noWrap/>
            <w:vAlign w:val="center"/>
          </w:tcPr>
          <w:p>
            <w:pPr>
              <w:pStyle w:val="12"/>
              <w:spacing w:line="260" w:lineRule="exact"/>
              <w:jc w:val="center"/>
              <w:outlineLvl w:val="9"/>
              <w:rPr>
                <w:rFonts w:hint="default" w:ascii="Times New Roman" w:hAnsi="Times New Roman" w:cs="Times New Roman" w:eastAsiaTheme="minorEastAsia"/>
                <w:bCs/>
                <w:kern w:val="2"/>
                <w:sz w:val="18"/>
                <w:lang w:val="en-US" w:eastAsia="zh-CN" w:bidi="ar-SA"/>
              </w:rPr>
            </w:pPr>
            <w:r>
              <w:rPr>
                <w:rFonts w:hint="default" w:ascii="Times New Roman" w:hAnsi="Times New Roman" w:eastAsiaTheme="minorEastAsia"/>
                <w:bCs/>
              </w:rPr>
              <w:t>填报单位</w:t>
            </w:r>
          </w:p>
        </w:tc>
        <w:tc>
          <w:tcPr>
            <w:tcW w:w="2754" w:type="dxa"/>
            <w:gridSpan w:val="2"/>
            <w:tcBorders>
              <w:top w:val="single" w:color="auto" w:sz="4" w:space="0"/>
              <w:left w:val="single" w:color="auto" w:sz="2" w:space="0"/>
              <w:bottom w:val="single" w:color="auto" w:sz="4" w:space="0"/>
              <w:right w:val="single" w:color="auto" w:sz="4" w:space="0"/>
            </w:tcBorders>
            <w:noWrap/>
            <w:vAlign w:val="center"/>
          </w:tcPr>
          <w:p>
            <w:pPr>
              <w:spacing w:line="280" w:lineRule="exact"/>
              <w:jc w:val="center"/>
              <w:outlineLvl w:val="9"/>
              <w:rPr>
                <w:rFonts w:hint="default" w:ascii="Times New Roman" w:hAnsi="Times New Roman" w:eastAsiaTheme="minorEastAsia"/>
                <w:sz w:val="18"/>
                <w:szCs w:val="18"/>
                <w:lang w:eastAsia="zh-CN"/>
              </w:rPr>
            </w:pPr>
            <w:r>
              <w:rPr>
                <w:rFonts w:hint="default" w:ascii="Times New Roman" w:hAnsi="Times New Roman" w:eastAsiaTheme="minorEastAsia"/>
                <w:sz w:val="18"/>
                <w:szCs w:val="18"/>
                <w:lang w:eastAsia="zh-CN"/>
              </w:rPr>
              <w:t>调查单位报送日期</w:t>
            </w:r>
          </w:p>
        </w:tc>
        <w:tc>
          <w:tcPr>
            <w:tcW w:w="568" w:type="dxa"/>
            <w:vMerge w:val="restart"/>
            <w:tcBorders>
              <w:top w:val="single" w:color="auto" w:sz="4" w:space="0"/>
              <w:left w:val="single" w:color="auto" w:sz="4" w:space="0"/>
              <w:bottom w:val="single" w:color="auto" w:sz="4" w:space="0"/>
              <w:right w:val="nil"/>
            </w:tcBorders>
            <w:noWrap/>
            <w:vAlign w:val="center"/>
          </w:tcPr>
          <w:p>
            <w:pPr>
              <w:spacing w:line="260" w:lineRule="exact"/>
              <w:jc w:val="center"/>
              <w:outlineLvl w:val="9"/>
              <w:rPr>
                <w:rFonts w:hint="default" w:ascii="Times New Roman" w:hAnsi="Times New Roman" w:eastAsiaTheme="minorEastAsia"/>
                <w:sz w:val="18"/>
                <w:szCs w:val="18"/>
                <w:lang w:val="en-US" w:eastAsia="zh-CN"/>
              </w:rPr>
            </w:pPr>
            <w:r>
              <w:rPr>
                <w:rFonts w:hint="default" w:ascii="Times New Roman" w:hAnsi="Times New Roman" w:eastAsiaTheme="minorEastAsia"/>
                <w:sz w:val="18"/>
                <w:szCs w:val="18"/>
                <w:lang w:val="en-US" w:eastAsia="zh-CN"/>
              </w:rPr>
              <w:t>页码</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459" w:hRule="atLeast"/>
          <w:jc w:val="center"/>
        </w:trPr>
        <w:tc>
          <w:tcPr>
            <w:tcW w:w="987" w:type="dxa"/>
            <w:vMerge w:val="continue"/>
            <w:tcBorders>
              <w:top w:val="single" w:color="auto" w:sz="4"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p>
        </w:tc>
        <w:tc>
          <w:tcPr>
            <w:tcW w:w="1350" w:type="dxa"/>
            <w:vMerge w:val="continue"/>
            <w:tcBorders>
              <w:top w:val="single" w:color="auto" w:sz="4" w:space="0"/>
              <w:left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p>
        </w:tc>
        <w:tc>
          <w:tcPr>
            <w:tcW w:w="654" w:type="dxa"/>
            <w:vMerge w:val="continue"/>
            <w:tcBorders>
              <w:top w:val="single" w:color="auto" w:sz="4" w:space="0"/>
              <w:left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cs="Times New Roman" w:eastAsiaTheme="minorEastAsia"/>
                <w:bCs/>
                <w:kern w:val="2"/>
                <w:sz w:val="18"/>
                <w:szCs w:val="18"/>
                <w:lang w:val="en-US" w:eastAsia="zh-CN" w:bidi="ar-SA"/>
              </w:rPr>
            </w:pPr>
          </w:p>
        </w:tc>
        <w:tc>
          <w:tcPr>
            <w:tcW w:w="2389" w:type="dxa"/>
            <w:vMerge w:val="continue"/>
            <w:tcBorders>
              <w:top w:val="single" w:color="auto" w:sz="4" w:space="0"/>
              <w:left w:val="single" w:color="auto" w:sz="2" w:space="0"/>
              <w:bottom w:val="single" w:color="auto" w:sz="2" w:space="0"/>
              <w:right w:val="single" w:color="auto" w:sz="2" w:space="0"/>
            </w:tcBorders>
            <w:noWrap/>
            <w:vAlign w:val="center"/>
          </w:tcPr>
          <w:p>
            <w:pPr>
              <w:pStyle w:val="12"/>
              <w:spacing w:line="260" w:lineRule="exact"/>
              <w:jc w:val="center"/>
              <w:outlineLvl w:val="9"/>
              <w:rPr>
                <w:rFonts w:hint="default" w:ascii="Times New Roman" w:hAnsi="Times New Roman" w:cs="Times New Roman" w:eastAsiaTheme="minorEastAsia"/>
                <w:bCs/>
                <w:kern w:val="2"/>
                <w:sz w:val="18"/>
                <w:lang w:val="en-US" w:eastAsia="zh-CN" w:bidi="ar-SA"/>
              </w:rPr>
            </w:pPr>
          </w:p>
        </w:tc>
        <w:tc>
          <w:tcPr>
            <w:tcW w:w="997" w:type="dxa"/>
            <w:vMerge w:val="continue"/>
            <w:tcBorders>
              <w:top w:val="single" w:color="auto" w:sz="4" w:space="0"/>
              <w:left w:val="single" w:color="auto" w:sz="2" w:space="0"/>
              <w:bottom w:val="single" w:color="auto" w:sz="2" w:space="0"/>
              <w:right w:val="single" w:color="auto" w:sz="2" w:space="0"/>
            </w:tcBorders>
            <w:noWrap/>
            <w:vAlign w:val="center"/>
          </w:tcPr>
          <w:p>
            <w:pPr>
              <w:pStyle w:val="12"/>
              <w:spacing w:line="260" w:lineRule="exact"/>
              <w:jc w:val="center"/>
              <w:outlineLvl w:val="9"/>
              <w:rPr>
                <w:rFonts w:hint="default" w:ascii="Times New Roman" w:hAnsi="Times New Roman" w:cs="Times New Roman" w:eastAsiaTheme="minorEastAsia"/>
                <w:bCs/>
                <w:kern w:val="2"/>
                <w:sz w:val="18"/>
                <w:lang w:val="en-US" w:eastAsia="zh-CN" w:bidi="ar-SA"/>
              </w:rPr>
            </w:pPr>
          </w:p>
        </w:tc>
        <w:tc>
          <w:tcPr>
            <w:tcW w:w="1355" w:type="dxa"/>
            <w:tcBorders>
              <w:top w:val="single" w:color="auto" w:sz="4" w:space="0"/>
              <w:left w:val="single" w:color="auto" w:sz="2" w:space="0"/>
              <w:bottom w:val="single" w:color="auto" w:sz="2" w:space="0"/>
              <w:right w:val="single" w:color="auto" w:sz="2" w:space="0"/>
            </w:tcBorders>
            <w:noWrap/>
            <w:vAlign w:val="center"/>
          </w:tcPr>
          <w:p>
            <w:pPr>
              <w:snapToGrid w:val="0"/>
              <w:spacing w:line="280" w:lineRule="exact"/>
              <w:jc w:val="center"/>
              <w:outlineLvl w:val="9"/>
              <w:rPr>
                <w:rFonts w:hint="default" w:ascii="Times New Roman" w:hAnsi="Times New Roman" w:eastAsiaTheme="minorEastAsia"/>
                <w:sz w:val="18"/>
                <w:szCs w:val="18"/>
                <w:lang w:eastAsia="zh-CN"/>
              </w:rPr>
            </w:pPr>
            <w:r>
              <w:rPr>
                <w:rFonts w:hint="default" w:ascii="Times New Roman" w:hAnsi="Times New Roman" w:eastAsiaTheme="minorEastAsia"/>
                <w:sz w:val="18"/>
                <w:szCs w:val="18"/>
                <w:lang w:eastAsia="zh-CN"/>
              </w:rPr>
              <w:t>填报开网时间</w:t>
            </w:r>
          </w:p>
        </w:tc>
        <w:tc>
          <w:tcPr>
            <w:tcW w:w="1399" w:type="dxa"/>
            <w:tcBorders>
              <w:top w:val="single" w:color="auto" w:sz="4" w:space="0"/>
              <w:left w:val="single" w:color="auto" w:sz="2" w:space="0"/>
              <w:bottom w:val="single" w:color="auto" w:sz="2" w:space="0"/>
              <w:right w:val="single" w:color="auto" w:sz="4" w:space="0"/>
            </w:tcBorders>
            <w:noWrap/>
            <w:vAlign w:val="center"/>
          </w:tcPr>
          <w:p>
            <w:pPr>
              <w:spacing w:line="280" w:lineRule="exact"/>
              <w:jc w:val="center"/>
              <w:outlineLvl w:val="9"/>
              <w:rPr>
                <w:rFonts w:hint="default" w:ascii="Times New Roman" w:hAnsi="Times New Roman" w:eastAsiaTheme="minorEastAsia"/>
                <w:sz w:val="18"/>
                <w:szCs w:val="18"/>
                <w:lang w:eastAsia="zh-CN"/>
              </w:rPr>
            </w:pPr>
            <w:r>
              <w:rPr>
                <w:rFonts w:hint="default" w:ascii="Times New Roman" w:hAnsi="Times New Roman" w:eastAsiaTheme="minorEastAsia"/>
                <w:sz w:val="18"/>
                <w:szCs w:val="18"/>
                <w:lang w:eastAsia="zh-CN"/>
              </w:rPr>
              <w:t>填报截止时间</w:t>
            </w:r>
          </w:p>
        </w:tc>
        <w:tc>
          <w:tcPr>
            <w:tcW w:w="568" w:type="dxa"/>
            <w:vMerge w:val="continue"/>
            <w:tcBorders>
              <w:top w:val="single" w:color="auto" w:sz="4"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952" w:hRule="atLeast"/>
          <w:jc w:val="center"/>
        </w:trPr>
        <w:tc>
          <w:tcPr>
            <w:tcW w:w="987" w:type="dxa"/>
            <w:tcBorders>
              <w:top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eastAsiaTheme="minorEastAsia"/>
                <w:sz w:val="18"/>
                <w:szCs w:val="18"/>
                <w:lang w:val="en-US" w:eastAsia="zh-CN"/>
              </w:rPr>
            </w:pPr>
            <w:r>
              <w:rPr>
                <w:rFonts w:hint="default" w:ascii="Times New Roman" w:hAnsi="Times New Roman" w:eastAsiaTheme="minorEastAsia"/>
                <w:sz w:val="18"/>
                <w:szCs w:val="18"/>
              </w:rPr>
              <w:t>201-1表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eastAsia" w:eastAsiaTheme="minorEastAsia"/>
                <w:sz w:val="18"/>
                <w:szCs w:val="18"/>
                <w:lang w:eastAsia="zh-CN"/>
              </w:rPr>
              <w:t>一套表</w:t>
            </w:r>
            <w:r>
              <w:rPr>
                <w:rFonts w:hint="default" w:ascii="Times New Roman" w:hAnsi="Times New Roman" w:eastAsiaTheme="minorEastAsia"/>
                <w:sz w:val="18"/>
                <w:szCs w:val="18"/>
              </w:rPr>
              <w:t>调查单位基本情况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cs="宋体" w:eastAsiaTheme="minorEastAsia"/>
                <w:kern w:val="2"/>
                <w:sz w:val="18"/>
                <w:szCs w:val="18"/>
                <w:lang w:val="en-US" w:eastAsia="zh-CN" w:bidi="ar-SA"/>
              </w:rPr>
            </w:pPr>
            <w:r>
              <w:rPr>
                <w:rFonts w:hint="eastAsia" w:ascii="Times New Roman" w:hAnsi="Times New Roman" w:eastAsiaTheme="minorEastAsia"/>
                <w:sz w:val="18"/>
                <w:szCs w:val="18"/>
              </w:rPr>
              <w:t>辖区内规模以上工业法人单位</w:t>
            </w:r>
            <w:r>
              <w:rPr>
                <w:rFonts w:hint="eastAsia" w:ascii="Times New Roman" w:hAnsi="Times New Roman" w:eastAsiaTheme="minorEastAsia"/>
                <w:sz w:val="18"/>
                <w:szCs w:val="18"/>
                <w:lang w:eastAsia="zh-CN"/>
              </w:rPr>
              <w:t>和</w:t>
            </w:r>
            <w:r>
              <w:rPr>
                <w:rFonts w:hint="eastAsia" w:ascii="Times New Roman" w:hAnsi="Times New Roman" w:eastAsiaTheme="minorEastAsia"/>
                <w:sz w:val="18"/>
                <w:szCs w:val="18"/>
              </w:rPr>
              <w:t>规模以上工业个体经营户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cs="Times New Roman" w:eastAsiaTheme="minorEastAsia"/>
                <w:kern w:val="2"/>
                <w:sz w:val="18"/>
                <w:szCs w:val="18"/>
                <w:lang w:val="en-US" w:eastAsia="zh-CN" w:bidi="ar-SA"/>
              </w:rPr>
            </w:pPr>
            <w:r>
              <w:rPr>
                <w:rFonts w:hint="default" w:ascii="Times New Roman" w:hAnsi="Times New Roman" w:eastAsiaTheme="minorEastAsia"/>
                <w:sz w:val="18"/>
                <w:szCs w:val="18"/>
              </w:rPr>
              <w:t>法人单位</w:t>
            </w:r>
          </w:p>
        </w:tc>
        <w:tc>
          <w:tcPr>
            <w:tcW w:w="1355" w:type="dxa"/>
            <w:tcBorders>
              <w:top w:val="single" w:color="auto" w:sz="2" w:space="0"/>
              <w:left w:val="single" w:color="auto" w:sz="2" w:space="0"/>
              <w:bottom w:val="single" w:color="auto" w:sz="2" w:space="0"/>
              <w:right w:val="single" w:color="auto" w:sz="2" w:space="0"/>
            </w:tcBorders>
            <w:noWrap/>
            <w:vAlign w:val="center"/>
          </w:tcPr>
          <w:p>
            <w:pPr>
              <w:snapToGrid w:val="0"/>
              <w:spacing w:line="280" w:lineRule="exact"/>
              <w:jc w:val="left"/>
              <w:outlineLvl w:val="9"/>
              <w:rPr>
                <w:rFonts w:hint="default" w:ascii="Times New Roman" w:hAnsi="Times New Roman" w:eastAsiaTheme="minorEastAsia"/>
                <w:sz w:val="18"/>
                <w:szCs w:val="18"/>
                <w:lang w:eastAsia="zh-CN"/>
              </w:rPr>
            </w:pPr>
            <w:r>
              <w:rPr>
                <w:rFonts w:hint="default" w:ascii="Times New Roman" w:hAnsi="Times New Roman" w:eastAsiaTheme="minorEastAsia"/>
                <w:sz w:val="18"/>
                <w:szCs w:val="18"/>
                <w:lang w:eastAsia="zh-CN"/>
              </w:rPr>
              <w:t>免报</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default" w:ascii="Times New Roman" w:hAnsi="Times New Roman" w:eastAsiaTheme="minorEastAsia"/>
                <w:sz w:val="18"/>
                <w:szCs w:val="18"/>
                <w:lang w:eastAsia="zh-CN"/>
              </w:rPr>
            </w:pPr>
            <w:r>
              <w:rPr>
                <w:rFonts w:hint="default" w:ascii="Times New Roman" w:hAnsi="Times New Roman" w:eastAsiaTheme="minorEastAsia"/>
                <w:sz w:val="18"/>
                <w:szCs w:val="18"/>
                <w:lang w:eastAsia="zh-CN"/>
              </w:rPr>
              <w:t>免报</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26</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1051" w:hRule="atLeast"/>
          <w:jc w:val="center"/>
        </w:trPr>
        <w:tc>
          <w:tcPr>
            <w:tcW w:w="987" w:type="dxa"/>
            <w:tcBorders>
              <w:top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202-1表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pacing w:line="280" w:lineRule="exact"/>
              <w:jc w:val="left"/>
              <w:outlineLvl w:val="9"/>
              <w:rPr>
                <w:rFonts w:hint="default" w:ascii="Times New Roman" w:hAnsi="Times New Roman" w:eastAsiaTheme="minorEastAsia"/>
                <w:szCs w:val="18"/>
              </w:rPr>
            </w:pPr>
            <w:r>
              <w:rPr>
                <w:rFonts w:hint="default" w:ascii="Times New Roman" w:hAnsi="Times New Roman" w:eastAsiaTheme="minorEastAsia"/>
                <w:szCs w:val="18"/>
              </w:rPr>
              <w:t>从业人员及工资总额</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季报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辖区内规模以上工业法人单位</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三季度9月30日，其他季季后1日0:00</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季后18日18:00（四季度免报）</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28</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B203表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szCs w:val="18"/>
              </w:rPr>
            </w:pPr>
            <w:r>
              <w:rPr>
                <w:rFonts w:hint="default" w:ascii="Times New Roman" w:hAnsi="Times New Roman" w:eastAsiaTheme="minorEastAsia"/>
                <w:szCs w:val="18"/>
              </w:rPr>
              <w:t>财务状况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辖区内规模以上工业法人单位和规模以上</w:t>
            </w:r>
            <w:r>
              <w:rPr>
                <w:rFonts w:hint="default" w:ascii="Times New Roman" w:hAnsi="Times New Roman" w:eastAsiaTheme="minorEastAsia"/>
                <w:sz w:val="18"/>
                <w:szCs w:val="18"/>
                <w:lang w:eastAsia="zh-CN"/>
              </w:rPr>
              <w:t>工业</w:t>
            </w:r>
            <w:r>
              <w:rPr>
                <w:rFonts w:hint="default" w:ascii="Times New Roman" w:hAnsi="Times New Roman" w:eastAsiaTheme="minorEastAsia"/>
                <w:sz w:val="18"/>
                <w:szCs w:val="18"/>
              </w:rPr>
              <w:t>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月后12日0:00</w:t>
            </w:r>
          </w:p>
        </w:tc>
        <w:tc>
          <w:tcPr>
            <w:tcW w:w="1399"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月后18日12:00</w:t>
            </w:r>
          </w:p>
        </w:tc>
        <w:tc>
          <w:tcPr>
            <w:tcW w:w="568" w:type="dxa"/>
            <w:tcBorders>
              <w:top w:val="single" w:color="auto" w:sz="2" w:space="0"/>
              <w:left w:val="single" w:color="auto" w:sz="2"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29</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B204-1表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szCs w:val="18"/>
              </w:rPr>
            </w:pPr>
            <w:r>
              <w:rPr>
                <w:rFonts w:hint="default" w:ascii="Times New Roman" w:hAnsi="Times New Roman" w:eastAsiaTheme="minorEastAsia"/>
                <w:szCs w:val="18"/>
              </w:rPr>
              <w:t>工业产销总值及主要产品产量</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辖区内规模以上工业法人单位和规模以上</w:t>
            </w:r>
            <w:r>
              <w:rPr>
                <w:rFonts w:hint="default" w:ascii="Times New Roman" w:hAnsi="Times New Roman" w:eastAsiaTheme="minorEastAsia"/>
                <w:sz w:val="18"/>
                <w:szCs w:val="18"/>
                <w:lang w:eastAsia="zh-CN"/>
              </w:rPr>
              <w:t>工业</w:t>
            </w:r>
            <w:r>
              <w:rPr>
                <w:rFonts w:hint="default" w:ascii="Times New Roman" w:hAnsi="Times New Roman" w:eastAsiaTheme="minorEastAsia"/>
                <w:sz w:val="18"/>
                <w:szCs w:val="18"/>
              </w:rPr>
              <w:t>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4、9月30日，12月31日，其他月月后1日0:00</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2、10月月后6日，6、7、8、11月月后7日，3、5、12月月后8日，4月月后9日，9月月后12日12:00</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31</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B210表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szCs w:val="18"/>
              </w:rPr>
            </w:pPr>
            <w:r>
              <w:rPr>
                <w:rFonts w:hint="default" w:ascii="Times New Roman" w:hAnsi="Times New Roman" w:eastAsiaTheme="minorEastAsia"/>
                <w:szCs w:val="18"/>
              </w:rPr>
              <w:t>生产经营景气状况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季报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lang w:eastAsia="zh-CN"/>
              </w:rPr>
              <w:t>抽取的规模以上工业法人单位，包括</w:t>
            </w:r>
            <w:r>
              <w:rPr>
                <w:rFonts w:hint="default" w:ascii="Times New Roman" w:hAnsi="Times New Roman" w:eastAsiaTheme="minorEastAsia"/>
                <w:sz w:val="18"/>
                <w:szCs w:val="18"/>
              </w:rPr>
              <w:t>辖区内</w:t>
            </w:r>
            <w:r>
              <w:rPr>
                <w:rFonts w:hint="default" w:ascii="Times New Roman" w:hAnsi="Times New Roman" w:eastAsiaTheme="minorEastAsia"/>
                <w:sz w:val="18"/>
                <w:szCs w:val="18"/>
                <w:lang w:eastAsia="zh-CN"/>
              </w:rPr>
              <w:t>全部</w:t>
            </w:r>
            <w:r>
              <w:rPr>
                <w:rFonts w:hint="default" w:ascii="Times New Roman" w:hAnsi="Times New Roman" w:eastAsiaTheme="minorEastAsia"/>
                <w:sz w:val="18"/>
                <w:szCs w:val="18"/>
              </w:rPr>
              <w:t>大中型和部分小</w:t>
            </w:r>
            <w:r>
              <w:rPr>
                <w:rFonts w:hint="default" w:ascii="Times New Roman" w:hAnsi="Times New Roman" w:eastAsiaTheme="minorEastAsia"/>
                <w:sz w:val="18"/>
                <w:szCs w:val="18"/>
                <w:lang w:eastAsia="zh-CN"/>
              </w:rPr>
              <w:t>微</w:t>
            </w:r>
            <w:r>
              <w:rPr>
                <w:rFonts w:hint="default" w:ascii="Times New Roman" w:hAnsi="Times New Roman" w:eastAsiaTheme="minorEastAsia"/>
                <w:sz w:val="18"/>
                <w:szCs w:val="18"/>
              </w:rPr>
              <w:t>型</w:t>
            </w:r>
            <w:r>
              <w:rPr>
                <w:rFonts w:hint="default" w:ascii="Times New Roman" w:hAnsi="Times New Roman" w:eastAsiaTheme="minorEastAsia"/>
                <w:sz w:val="18"/>
                <w:szCs w:val="18"/>
                <w:lang w:eastAsia="zh-CN"/>
              </w:rPr>
              <w:t>工业企业</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法人单位</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三季度9月30日，四季度12月31日，其他季季后1日0:00</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default" w:ascii="Times New Roman" w:hAnsi="Times New Roman" w:eastAsiaTheme="minorEastAsia"/>
                <w:sz w:val="18"/>
                <w:szCs w:val="18"/>
              </w:rPr>
            </w:pPr>
            <w:r>
              <w:rPr>
                <w:rFonts w:hint="default" w:ascii="Times New Roman" w:hAnsi="Times New Roman" w:eastAsiaTheme="minorEastAsia"/>
                <w:sz w:val="18"/>
                <w:szCs w:val="18"/>
              </w:rPr>
              <w:t>一季度季后8日12:00、二季度季后7日12:00、三季度季后12日12：00、四季度季后8日12:00</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sz w:val="18"/>
                <w:szCs w:val="18"/>
                <w:lang w:val="en-US" w:eastAsia="zh-CN"/>
              </w:rPr>
            </w:pPr>
            <w:r>
              <w:rPr>
                <w:rFonts w:hint="eastAsia" w:eastAsiaTheme="minorEastAsia"/>
                <w:sz w:val="18"/>
                <w:szCs w:val="18"/>
                <w:lang w:val="en-US" w:eastAsia="zh-CN"/>
              </w:rPr>
              <w:t>32</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205-1表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color w:val="auto"/>
                <w:szCs w:val="18"/>
              </w:rPr>
            </w:pPr>
            <w:r>
              <w:rPr>
                <w:rFonts w:hint="default" w:ascii="Times New Roman" w:hAnsi="Times New Roman" w:eastAsiaTheme="minorEastAsia"/>
                <w:color w:val="auto"/>
                <w:szCs w:val="18"/>
              </w:rPr>
              <w:t>能源购进、消费与库存</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辖区内规模以上工业法人单位和规模以上工业个体经营户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eastAsia" w:ascii="宋体" w:hAnsi="宋体" w:eastAsia="宋体" w:cs="Times New Roman"/>
                <w:sz w:val="18"/>
                <w:szCs w:val="18"/>
              </w:rPr>
              <w:t>4</w:t>
            </w:r>
            <w:r>
              <w:rPr>
                <w:rFonts w:hint="eastAsia" w:ascii="宋体" w:hAnsi="宋体" w:eastAsia="宋体" w:cs="Times New Roman"/>
                <w:sz w:val="18"/>
                <w:szCs w:val="18"/>
                <w:lang w:eastAsia="zh-CN"/>
              </w:rPr>
              <w:t>、</w:t>
            </w:r>
            <w:r>
              <w:rPr>
                <w:rFonts w:hint="eastAsia" w:ascii="宋体" w:hAnsi="宋体" w:eastAsia="宋体" w:cs="Times New Roman"/>
                <w:sz w:val="18"/>
                <w:szCs w:val="18"/>
              </w:rPr>
              <w:t>9月</w:t>
            </w:r>
            <w:r>
              <w:rPr>
                <w:rFonts w:hint="eastAsia" w:ascii="宋体" w:hAnsi="宋体" w:eastAsia="宋体" w:cs="Times New Roman"/>
                <w:sz w:val="18"/>
                <w:szCs w:val="18"/>
                <w:lang w:val="en-US" w:eastAsia="zh-CN"/>
              </w:rPr>
              <w:t>30</w:t>
            </w:r>
            <w:r>
              <w:rPr>
                <w:rFonts w:hint="eastAsia" w:ascii="宋体" w:hAnsi="宋体" w:eastAsia="宋体" w:cs="Times New Roman"/>
                <w:sz w:val="18"/>
                <w:szCs w:val="18"/>
              </w:rPr>
              <w:t>日，12月31日，其他月月后1日0:00</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2、10月月后6日，6、7、8、11月月后7日，3、5、12月月后8日，4月月后9日，9月月后12日12：00</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35</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205-2表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color w:val="auto"/>
                <w:szCs w:val="18"/>
              </w:rPr>
            </w:pPr>
            <w:r>
              <w:rPr>
                <w:rFonts w:hint="default" w:ascii="Times New Roman" w:hAnsi="Times New Roman" w:eastAsiaTheme="minorEastAsia"/>
                <w:color w:val="auto"/>
                <w:szCs w:val="18"/>
              </w:rPr>
              <w:t>能源加工转换与回收利用</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辖区内有能源加工转换或回收利用活动的规模以上工业法人单位和规模以上工业个体经营户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color w:val="auto"/>
                <w:sz w:val="18"/>
                <w:szCs w:val="18"/>
                <w:lang w:eastAsia="zh-CN"/>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36</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4" w:space="0"/>
              <w:bottom w:val="single" w:color="auto" w:sz="4" w:space="0"/>
              <w:right w:val="single" w:color="auto" w:sz="2" w:space="0"/>
            </w:tcBorders>
            <w:noWrap/>
            <w:vAlign w:val="center"/>
          </w:tcPr>
          <w:p>
            <w:pPr>
              <w:spacing w:line="280" w:lineRule="exact"/>
              <w:jc w:val="center"/>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205-3表</w:t>
            </w:r>
          </w:p>
        </w:tc>
        <w:tc>
          <w:tcPr>
            <w:tcW w:w="1350" w:type="dxa"/>
            <w:tcBorders>
              <w:top w:val="single" w:color="auto" w:sz="4" w:space="0"/>
              <w:left w:val="single" w:color="auto" w:sz="2" w:space="0"/>
              <w:bottom w:val="single" w:color="auto" w:sz="4" w:space="0"/>
              <w:right w:val="single" w:color="auto" w:sz="2" w:space="0"/>
            </w:tcBorders>
            <w:noWrap/>
            <w:vAlign w:val="center"/>
          </w:tcPr>
          <w:p>
            <w:pPr>
              <w:pStyle w:val="12"/>
              <w:tabs>
                <w:tab w:val="left" w:pos="420"/>
              </w:tabs>
              <w:snapToGrid/>
              <w:spacing w:line="280" w:lineRule="exact"/>
              <w:jc w:val="left"/>
              <w:outlineLvl w:val="9"/>
              <w:rPr>
                <w:rFonts w:hint="default" w:ascii="Times New Roman" w:hAnsi="Times New Roman" w:eastAsiaTheme="minorEastAsia"/>
                <w:color w:val="auto"/>
                <w:szCs w:val="18"/>
              </w:rPr>
            </w:pPr>
            <w:r>
              <w:rPr>
                <w:rFonts w:hint="default" w:ascii="Times New Roman" w:hAnsi="Times New Roman" w:eastAsiaTheme="minorEastAsia"/>
                <w:color w:val="auto"/>
                <w:szCs w:val="18"/>
              </w:rPr>
              <w:t>主要耗能工业企业单位产品能源</w:t>
            </w:r>
            <w:r>
              <w:rPr>
                <w:rFonts w:hint="default" w:ascii="Times New Roman" w:hAnsi="Times New Roman" w:eastAsiaTheme="minorEastAsia"/>
                <w:color w:val="auto"/>
                <w:szCs w:val="18"/>
                <w:lang w:eastAsia="zh-CN"/>
              </w:rPr>
              <w:t>消费</w:t>
            </w:r>
            <w:r>
              <w:rPr>
                <w:rFonts w:hint="default" w:ascii="Times New Roman" w:hAnsi="Times New Roman" w:eastAsiaTheme="minorEastAsia"/>
                <w:color w:val="auto"/>
                <w:szCs w:val="18"/>
              </w:rPr>
              <w:t>情况</w:t>
            </w:r>
          </w:p>
        </w:tc>
        <w:tc>
          <w:tcPr>
            <w:tcW w:w="654" w:type="dxa"/>
            <w:tcBorders>
              <w:top w:val="single" w:color="auto" w:sz="4" w:space="0"/>
              <w:left w:val="single" w:color="auto" w:sz="2" w:space="0"/>
              <w:bottom w:val="single" w:color="auto" w:sz="4"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eastAsiaTheme="minorEastAsia"/>
                <w:color w:val="auto"/>
                <w:sz w:val="18"/>
                <w:szCs w:val="18"/>
              </w:rPr>
              <w:t>半年报</w:t>
            </w:r>
          </w:p>
        </w:tc>
        <w:tc>
          <w:tcPr>
            <w:tcW w:w="2389" w:type="dxa"/>
            <w:tcBorders>
              <w:top w:val="single" w:color="auto" w:sz="4" w:space="0"/>
              <w:left w:val="single" w:color="auto" w:sz="2" w:space="0"/>
              <w:bottom w:val="single" w:color="auto" w:sz="4" w:space="0"/>
              <w:right w:val="single" w:color="auto" w:sz="2" w:space="0"/>
            </w:tcBorders>
            <w:noWrap/>
            <w:vAlign w:val="center"/>
          </w:tcPr>
          <w:p>
            <w:pPr>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辖区内年综合能源消费量1万吨标准煤及以上的规模以上工业法人单位和规模以上工业个体经营户</w:t>
            </w:r>
          </w:p>
        </w:tc>
        <w:tc>
          <w:tcPr>
            <w:tcW w:w="997" w:type="dxa"/>
            <w:tcBorders>
              <w:top w:val="single" w:color="auto" w:sz="4" w:space="0"/>
              <w:left w:val="single" w:color="auto" w:sz="2" w:space="0"/>
              <w:bottom w:val="single" w:color="auto" w:sz="4"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4" w:space="0"/>
              <w:left w:val="single" w:color="auto" w:sz="2" w:space="0"/>
              <w:bottom w:val="single" w:color="auto" w:sz="4"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上半年7月1日、下半年次年1月1日0:00</w:t>
            </w:r>
          </w:p>
        </w:tc>
        <w:tc>
          <w:tcPr>
            <w:tcW w:w="1399" w:type="dxa"/>
            <w:tcBorders>
              <w:top w:val="single" w:color="auto" w:sz="4" w:space="0"/>
              <w:left w:val="single" w:color="auto" w:sz="2" w:space="0"/>
              <w:bottom w:val="single" w:color="auto" w:sz="4" w:space="0"/>
              <w:right w:val="single" w:color="auto" w:sz="4"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上半年7月10日、下半年次年1月10日12:00</w:t>
            </w:r>
          </w:p>
        </w:tc>
        <w:tc>
          <w:tcPr>
            <w:tcW w:w="568" w:type="dxa"/>
            <w:tcBorders>
              <w:top w:val="single" w:color="auto" w:sz="4" w:space="0"/>
              <w:left w:val="single" w:color="auto" w:sz="4" w:space="0"/>
              <w:bottom w:val="single" w:color="auto" w:sz="4" w:space="0"/>
              <w:right w:val="nil"/>
            </w:tcBorders>
            <w:noWrap/>
            <w:vAlign w:val="center"/>
          </w:tcPr>
          <w:p>
            <w:pPr>
              <w:spacing w:line="260" w:lineRule="exact"/>
              <w:jc w:val="left"/>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37</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60" w:lineRule="exact"/>
              <w:jc w:val="center"/>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205-4表</w:t>
            </w:r>
          </w:p>
        </w:tc>
        <w:tc>
          <w:tcPr>
            <w:tcW w:w="1350" w:type="dxa"/>
            <w:tcBorders>
              <w:top w:val="single" w:color="auto" w:sz="2" w:space="0"/>
              <w:left w:val="single" w:color="auto" w:sz="2" w:space="0"/>
              <w:bottom w:val="single" w:color="auto" w:sz="2" w:space="0"/>
              <w:right w:val="single" w:color="auto" w:sz="2" w:space="0"/>
            </w:tcBorders>
            <w:noWrap/>
            <w:vAlign w:val="center"/>
          </w:tcPr>
          <w:p>
            <w:pPr>
              <w:pStyle w:val="12"/>
              <w:tabs>
                <w:tab w:val="left" w:pos="420"/>
              </w:tabs>
              <w:snapToGrid/>
              <w:spacing w:line="260" w:lineRule="exact"/>
              <w:jc w:val="left"/>
              <w:outlineLvl w:val="9"/>
              <w:rPr>
                <w:rFonts w:hint="default" w:ascii="Times New Roman" w:hAnsi="Times New Roman" w:eastAsiaTheme="minorEastAsia"/>
                <w:color w:val="auto"/>
              </w:rPr>
            </w:pPr>
            <w:r>
              <w:rPr>
                <w:rFonts w:hint="default" w:ascii="Times New Roman" w:hAnsi="Times New Roman" w:eastAsiaTheme="minorEastAsia"/>
                <w:color w:val="auto"/>
              </w:rPr>
              <w:t>工业企业用水情况</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60" w:lineRule="exact"/>
              <w:jc w:val="left"/>
              <w:outlineLvl w:val="9"/>
              <w:rPr>
                <w:rFonts w:hint="default" w:ascii="Times New Roman" w:hAnsi="Times New Roman" w:eastAsiaTheme="minorEastAsia"/>
                <w:color w:val="auto"/>
                <w:spacing w:val="-16"/>
                <w:sz w:val="18"/>
                <w:szCs w:val="18"/>
              </w:rPr>
            </w:pPr>
            <w:r>
              <w:rPr>
                <w:rFonts w:hint="default" w:ascii="Times New Roman" w:hAnsi="Times New Roman" w:eastAsiaTheme="minorEastAsia"/>
                <w:color w:val="auto"/>
                <w:spacing w:val="-16"/>
                <w:sz w:val="18"/>
                <w:szCs w:val="18"/>
              </w:rPr>
              <w:t>半年报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辖区内规模以上工业法人单位和规模以上工业个体经营户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default" w:ascii="Times New Roman" w:hAnsi="Times New Roman" w:eastAsiaTheme="minorEastAsia"/>
                <w:color w:val="auto"/>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left"/>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1399"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left"/>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568" w:type="dxa"/>
            <w:tcBorders>
              <w:top w:val="single" w:color="auto" w:sz="2" w:space="0"/>
              <w:left w:val="single" w:color="auto" w:sz="4" w:space="0"/>
              <w:bottom w:val="single" w:color="auto" w:sz="2" w:space="0"/>
              <w:right w:val="nil"/>
            </w:tcBorders>
            <w:noWrap/>
            <w:vAlign w:val="center"/>
          </w:tcPr>
          <w:p>
            <w:pPr>
              <w:spacing w:line="260" w:lineRule="exact"/>
              <w:jc w:val="left"/>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38</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205-6表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能源生产、销售与库存</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6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辖区内规模以上工业法人单位和规模以上工业个体经营户</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sz w:val="18"/>
                <w:szCs w:val="18"/>
              </w:rPr>
              <w:t>法人单位及个体经营户</w:t>
            </w:r>
          </w:p>
        </w:tc>
        <w:tc>
          <w:tcPr>
            <w:tcW w:w="1355" w:type="dxa"/>
            <w:tcBorders>
              <w:top w:val="single" w:color="auto" w:sz="2" w:space="0"/>
              <w:left w:val="single" w:color="auto" w:sz="2" w:space="0"/>
              <w:bottom w:val="single" w:color="auto" w:sz="2" w:space="0"/>
              <w:right w:val="single" w:color="auto" w:sz="4" w:space="0"/>
            </w:tcBorders>
            <w:noWrap/>
            <w:vAlign w:val="center"/>
          </w:tcPr>
          <w:p>
            <w:pPr>
              <w:spacing w:line="28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4、9月30日，12月31日，其他月月后1日0:00</w:t>
            </w:r>
          </w:p>
        </w:tc>
        <w:tc>
          <w:tcPr>
            <w:tcW w:w="1399" w:type="dxa"/>
            <w:tcBorders>
              <w:top w:val="single" w:color="auto" w:sz="2" w:space="0"/>
              <w:left w:val="single" w:color="auto" w:sz="4" w:space="0"/>
              <w:bottom w:val="single" w:color="auto" w:sz="2" w:space="0"/>
              <w:right w:val="single" w:color="auto" w:sz="2" w:space="0"/>
            </w:tcBorders>
            <w:noWrap/>
            <w:vAlign w:val="center"/>
          </w:tcPr>
          <w:p>
            <w:pPr>
              <w:spacing w:line="28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2、10月月后6日，6、7、8、11月月后7日，3、5、12月月后8日，4月月后9日，9月月后12日12：00</w:t>
            </w:r>
          </w:p>
        </w:tc>
        <w:tc>
          <w:tcPr>
            <w:tcW w:w="568" w:type="dxa"/>
            <w:tcBorders>
              <w:top w:val="single" w:color="auto" w:sz="2" w:space="0"/>
              <w:left w:val="single" w:color="auto" w:sz="2" w:space="0"/>
              <w:bottom w:val="single" w:color="auto" w:sz="2" w:space="0"/>
              <w:right w:val="nil"/>
            </w:tcBorders>
            <w:noWrap/>
            <w:vAlign w:val="center"/>
          </w:tcPr>
          <w:p>
            <w:pPr>
              <w:spacing w:line="260" w:lineRule="exact"/>
              <w:jc w:val="both"/>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39</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57" w:type="dxa"/>
            <w:left w:w="108" w:type="dxa"/>
            <w:bottom w:w="57" w:type="dxa"/>
            <w:right w:w="108" w:type="dxa"/>
          </w:tblCellMar>
        </w:tblPrEx>
        <w:trPr>
          <w:cantSplit/>
          <w:trHeight w:val="20" w:hRule="atLeast"/>
          <w:jc w:val="center"/>
        </w:trPr>
        <w:tc>
          <w:tcPr>
            <w:tcW w:w="987" w:type="dxa"/>
            <w:tcBorders>
              <w:top w:val="single" w:color="auto" w:sz="2" w:space="0"/>
              <w:bottom w:val="single" w:color="auto" w:sz="2" w:space="0"/>
              <w:right w:val="single" w:color="auto" w:sz="2" w:space="0"/>
            </w:tcBorders>
            <w:noWrap/>
            <w:vAlign w:val="center"/>
          </w:tcPr>
          <w:p>
            <w:pPr>
              <w:spacing w:line="280" w:lineRule="exact"/>
              <w:jc w:val="center"/>
              <w:outlineLvl w:val="9"/>
              <w:rPr>
                <w:rFonts w:hint="default" w:ascii="Times New Roman" w:hAnsi="Times New Roman" w:eastAsiaTheme="minorEastAsia"/>
                <w:color w:val="auto"/>
                <w:sz w:val="18"/>
                <w:szCs w:val="18"/>
                <w:lang w:eastAsia="zh-CN"/>
              </w:rPr>
            </w:pPr>
            <w:r>
              <w:rPr>
                <w:rFonts w:hint="default" w:ascii="Times New Roman" w:hAnsi="Times New Roman" w:eastAsiaTheme="minorEastAsia"/>
                <w:color w:val="auto"/>
                <w:sz w:val="18"/>
                <w:szCs w:val="18"/>
              </w:rPr>
              <w:t>206</w:t>
            </w:r>
            <w:r>
              <w:rPr>
                <w:rFonts w:hint="default" w:ascii="Times New Roman" w:hAnsi="Times New Roman" w:eastAsiaTheme="minorEastAsia"/>
                <w:color w:val="auto"/>
                <w:sz w:val="18"/>
                <w:szCs w:val="18"/>
                <w:lang w:eastAsia="zh-CN"/>
              </w:rPr>
              <w:t>表</w:t>
            </w:r>
          </w:p>
        </w:tc>
        <w:tc>
          <w:tcPr>
            <w:tcW w:w="1350" w:type="dxa"/>
            <w:tcBorders>
              <w:top w:val="single" w:color="auto" w:sz="2" w:space="0"/>
              <w:left w:val="single" w:color="auto" w:sz="2" w:space="0"/>
              <w:bottom w:val="single" w:color="auto" w:sz="2" w:space="0"/>
              <w:right w:val="single" w:color="auto" w:sz="2" w:space="0"/>
            </w:tcBorders>
            <w:noWrap/>
            <w:vAlign w:val="center"/>
          </w:tcPr>
          <w:p>
            <w:pPr>
              <w:spacing w:line="28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 xml:space="preserve">固定资产投资项目情况 </w:t>
            </w:r>
          </w:p>
        </w:tc>
        <w:tc>
          <w:tcPr>
            <w:tcW w:w="654" w:type="dxa"/>
            <w:tcBorders>
              <w:top w:val="single" w:color="auto" w:sz="2" w:space="0"/>
              <w:left w:val="single" w:color="auto" w:sz="2" w:space="0"/>
              <w:bottom w:val="single" w:color="auto" w:sz="2" w:space="0"/>
              <w:right w:val="single" w:color="auto" w:sz="2" w:space="0"/>
            </w:tcBorders>
            <w:noWrap/>
            <w:vAlign w:val="center"/>
          </w:tcPr>
          <w:p>
            <w:pPr>
              <w:spacing w:line="26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月报</w:t>
            </w:r>
          </w:p>
        </w:tc>
        <w:tc>
          <w:tcPr>
            <w:tcW w:w="2389" w:type="dxa"/>
            <w:tcBorders>
              <w:top w:val="single" w:color="auto" w:sz="2" w:space="0"/>
              <w:left w:val="single" w:color="auto" w:sz="2" w:space="0"/>
              <w:bottom w:val="single" w:color="auto" w:sz="2" w:space="0"/>
              <w:right w:val="single" w:color="auto" w:sz="2" w:space="0"/>
            </w:tcBorders>
            <w:noWrap/>
            <w:vAlign w:val="center"/>
          </w:tcPr>
          <w:p>
            <w:pPr>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辖区内规模以上工业法人单位和规模以上工业个体经营户的500万元及以上固定资产投资项目</w:t>
            </w:r>
          </w:p>
        </w:tc>
        <w:tc>
          <w:tcPr>
            <w:tcW w:w="997" w:type="dxa"/>
            <w:tcBorders>
              <w:top w:val="single" w:color="auto" w:sz="2" w:space="0"/>
              <w:left w:val="single" w:color="auto" w:sz="2" w:space="0"/>
              <w:bottom w:val="single" w:color="auto" w:sz="2" w:space="0"/>
              <w:right w:val="single" w:color="auto" w:sz="2" w:space="0"/>
            </w:tcBorders>
            <w:noWrap/>
            <w:vAlign w:val="center"/>
          </w:tcPr>
          <w:p>
            <w:pPr>
              <w:spacing w:line="240" w:lineRule="exact"/>
              <w:jc w:val="both"/>
              <w:outlineLvl w:val="9"/>
              <w:rPr>
                <w:rFonts w:hint="default" w:ascii="Times New Roman" w:hAnsi="Times New Roman" w:eastAsiaTheme="minorEastAsia"/>
                <w:color w:val="auto"/>
                <w:sz w:val="18"/>
                <w:szCs w:val="18"/>
              </w:rPr>
            </w:pPr>
            <w:r>
              <w:rPr>
                <w:rFonts w:hint="default" w:ascii="Times New Roman" w:hAnsi="Times New Roman" w:eastAsiaTheme="minorEastAsia"/>
                <w:color w:val="auto"/>
                <w:sz w:val="18"/>
                <w:szCs w:val="18"/>
              </w:rPr>
              <w:t>项目法人单位或项目单位</w:t>
            </w:r>
          </w:p>
        </w:tc>
        <w:tc>
          <w:tcPr>
            <w:tcW w:w="1355" w:type="dxa"/>
            <w:tcBorders>
              <w:top w:val="single" w:color="auto" w:sz="2" w:space="0"/>
              <w:left w:val="single" w:color="auto" w:sz="2" w:space="0"/>
              <w:bottom w:val="single" w:color="auto" w:sz="2" w:space="0"/>
              <w:right w:val="single" w:color="auto" w:sz="2" w:space="0"/>
            </w:tcBorders>
            <w:noWrap/>
            <w:vAlign w:val="center"/>
          </w:tcPr>
          <w:p>
            <w:pPr>
              <w:spacing w:line="240" w:lineRule="exact"/>
              <w:jc w:val="both"/>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1399" w:type="dxa"/>
            <w:tcBorders>
              <w:top w:val="single" w:color="auto" w:sz="2" w:space="0"/>
              <w:left w:val="single" w:color="auto" w:sz="2" w:space="0"/>
              <w:bottom w:val="single" w:color="auto" w:sz="2" w:space="0"/>
              <w:right w:val="single" w:color="auto" w:sz="2" w:space="0"/>
            </w:tcBorders>
            <w:noWrap/>
            <w:vAlign w:val="center"/>
          </w:tcPr>
          <w:p>
            <w:pPr>
              <w:spacing w:line="240" w:lineRule="exact"/>
              <w:jc w:val="both"/>
              <w:outlineLvl w:val="9"/>
              <w:rPr>
                <w:rFonts w:hint="eastAsia" w:ascii="Times New Roman" w:hAnsi="Times New Roman" w:eastAsiaTheme="minorEastAsia"/>
                <w:color w:val="auto"/>
                <w:sz w:val="18"/>
                <w:szCs w:val="18"/>
                <w:lang w:eastAsia="zh-CN"/>
              </w:rPr>
            </w:pPr>
            <w:r>
              <w:rPr>
                <w:rFonts w:hint="eastAsia" w:eastAsiaTheme="minorEastAsia"/>
                <w:color w:val="auto"/>
                <w:sz w:val="18"/>
                <w:szCs w:val="18"/>
                <w:lang w:eastAsia="zh-CN"/>
              </w:rPr>
              <w:t>同上</w:t>
            </w:r>
          </w:p>
        </w:tc>
        <w:tc>
          <w:tcPr>
            <w:tcW w:w="568" w:type="dxa"/>
            <w:tcBorders>
              <w:top w:val="single" w:color="auto" w:sz="2" w:space="0"/>
              <w:left w:val="single" w:color="auto" w:sz="2" w:space="0"/>
              <w:bottom w:val="single" w:color="auto" w:sz="2" w:space="0"/>
              <w:right w:val="nil"/>
            </w:tcBorders>
            <w:noWrap/>
            <w:vAlign w:val="center"/>
          </w:tcPr>
          <w:p>
            <w:pPr>
              <w:spacing w:line="260" w:lineRule="exact"/>
              <w:jc w:val="both"/>
              <w:outlineLvl w:val="9"/>
              <w:rPr>
                <w:rFonts w:hint="default" w:ascii="Times New Roman" w:hAnsi="Times New Roman" w:eastAsiaTheme="minorEastAsia"/>
                <w:color w:val="auto"/>
                <w:sz w:val="18"/>
                <w:szCs w:val="18"/>
                <w:lang w:val="en-US" w:eastAsia="zh-CN"/>
              </w:rPr>
            </w:pPr>
            <w:r>
              <w:rPr>
                <w:rFonts w:hint="eastAsia" w:eastAsiaTheme="minorEastAsia"/>
                <w:color w:val="auto"/>
                <w:sz w:val="18"/>
                <w:szCs w:val="18"/>
                <w:lang w:val="en-US" w:eastAsia="zh-CN"/>
              </w:rPr>
              <w:t>40</w:t>
            </w:r>
          </w:p>
        </w:tc>
      </w:tr>
    </w:tbl>
    <w:p>
      <w:pPr>
        <w:outlineLvl w:val="9"/>
        <w:rPr>
          <w:rFonts w:hint="default" w:asciiTheme="minorAscii" w:hAnsiTheme="minorAscii"/>
          <w:b/>
          <w:sz w:val="24"/>
          <w:szCs w:val="24"/>
        </w:rPr>
      </w:pPr>
      <w:bookmarkStart w:id="12" w:name="_Toc635346243_WPSOffice_Level2"/>
      <w:r>
        <w:rPr>
          <w:rFonts w:hint="default" w:asciiTheme="minorAscii" w:hAnsiTheme="minorAscii"/>
          <w:b/>
          <w:sz w:val="24"/>
          <w:szCs w:val="24"/>
        </w:rPr>
        <w:t>注：上报及截止时间以</w:t>
      </w:r>
      <w:r>
        <w:rPr>
          <w:rFonts w:hint="eastAsia" w:asciiTheme="minorAscii" w:hAnsiTheme="minorAscii"/>
          <w:b/>
          <w:sz w:val="24"/>
          <w:szCs w:val="24"/>
          <w:lang w:eastAsia="zh-CN"/>
        </w:rPr>
        <w:t>国家统计云联网直报</w:t>
      </w:r>
      <w:r>
        <w:rPr>
          <w:rFonts w:hint="default" w:asciiTheme="minorAscii" w:hAnsiTheme="minorAscii"/>
          <w:b/>
          <w:sz w:val="24"/>
          <w:szCs w:val="24"/>
        </w:rPr>
        <w:t>平台为准。</w:t>
      </w:r>
      <w:bookmarkEnd w:id="12"/>
    </w:p>
    <w:p>
      <w:pPr>
        <w:pStyle w:val="6"/>
        <w:outlineLvl w:val="9"/>
        <w:rPr>
          <w:rFonts w:hint="default" w:asciiTheme="minorAscii" w:hAnsiTheme="minorAscii"/>
          <w:b/>
          <w:sz w:val="24"/>
          <w:szCs w:val="24"/>
        </w:rPr>
      </w:pPr>
    </w:p>
    <w:p>
      <w:pPr>
        <w:pStyle w:val="7"/>
        <w:outlineLvl w:val="9"/>
        <w:rPr>
          <w:rFonts w:hint="default" w:asciiTheme="minorAscii" w:hAnsiTheme="minorAscii"/>
          <w:b/>
          <w:sz w:val="24"/>
          <w:szCs w:val="24"/>
        </w:rPr>
      </w:pPr>
    </w:p>
    <w:p>
      <w:pPr>
        <w:outlineLvl w:val="9"/>
        <w:rPr>
          <w:rFonts w:hint="default" w:asciiTheme="minorAscii" w:hAnsiTheme="minorAscii"/>
          <w:b/>
          <w:sz w:val="24"/>
          <w:szCs w:val="24"/>
        </w:rPr>
      </w:pPr>
    </w:p>
    <w:p>
      <w:pPr>
        <w:pStyle w:val="6"/>
        <w:outlineLvl w:val="9"/>
        <w:rPr>
          <w:rFonts w:hint="default" w:asciiTheme="minorAscii" w:hAnsiTheme="minorAscii"/>
          <w:b/>
          <w:sz w:val="24"/>
          <w:szCs w:val="24"/>
        </w:rPr>
      </w:pPr>
    </w:p>
    <w:p>
      <w:pPr>
        <w:pStyle w:val="7"/>
        <w:outlineLvl w:val="9"/>
        <w:rPr>
          <w:rFonts w:hint="default" w:asciiTheme="minorAscii" w:hAnsiTheme="minorAscii"/>
        </w:rPr>
      </w:pPr>
    </w:p>
    <w:p>
      <w:pPr>
        <w:rPr>
          <w:rFonts w:hint="default"/>
        </w:rPr>
      </w:pPr>
    </w:p>
    <w:p>
      <w:pPr>
        <w:pStyle w:val="7"/>
        <w:outlineLvl w:val="9"/>
        <w:rPr>
          <w:rFonts w:hint="default" w:asciiTheme="minorAscii" w:hAnsiTheme="minorAscii"/>
          <w:b/>
          <w:sz w:val="24"/>
          <w:szCs w:val="24"/>
        </w:rPr>
      </w:pPr>
    </w:p>
    <w:p>
      <w:pPr>
        <w:rPr>
          <w:rFonts w:hint="default" w:asciiTheme="minorAscii" w:hAnsiTheme="minorAscii"/>
          <w:b/>
          <w:sz w:val="24"/>
          <w:szCs w:val="24"/>
        </w:rPr>
      </w:pPr>
    </w:p>
    <w:p>
      <w:pPr>
        <w:pStyle w:val="2"/>
        <w:rPr>
          <w:rFonts w:hint="default" w:asciiTheme="minorAscii" w:hAnsiTheme="minorAscii"/>
          <w:b/>
          <w:sz w:val="24"/>
          <w:szCs w:val="24"/>
        </w:rPr>
      </w:pPr>
    </w:p>
    <w:p>
      <w:pPr>
        <w:rPr>
          <w:rFonts w:hint="default" w:asciiTheme="minorAscii" w:hAnsiTheme="minorAscii"/>
          <w:b/>
          <w:sz w:val="24"/>
          <w:szCs w:val="24"/>
        </w:rPr>
      </w:pPr>
    </w:p>
    <w:p>
      <w:pPr>
        <w:pStyle w:val="2"/>
        <w:rPr>
          <w:rFonts w:hint="default" w:asciiTheme="minorAscii" w:hAnsiTheme="minorAscii"/>
          <w:b/>
          <w:sz w:val="24"/>
          <w:szCs w:val="24"/>
        </w:rPr>
      </w:pPr>
    </w:p>
    <w:p>
      <w:pPr>
        <w:rPr>
          <w:rFonts w:hint="default" w:asciiTheme="minorAscii" w:hAnsiTheme="minorAscii"/>
          <w:b/>
          <w:sz w:val="24"/>
          <w:szCs w:val="24"/>
        </w:rPr>
      </w:pPr>
    </w:p>
    <w:p>
      <w:pPr>
        <w:pStyle w:val="6"/>
        <w:rPr>
          <w:rFonts w:hint="default"/>
        </w:rPr>
      </w:pPr>
    </w:p>
    <w:p>
      <w:pPr>
        <w:pStyle w:val="7"/>
        <w:outlineLvl w:val="9"/>
        <w:rPr>
          <w:rFonts w:hint="default"/>
        </w:rPr>
      </w:pPr>
    </w:p>
    <w:p>
      <w:pPr>
        <w:rPr>
          <w:rFonts w:hint="default"/>
        </w:rPr>
      </w:pPr>
    </w:p>
    <w:p>
      <w:pPr>
        <w:rPr>
          <w:rFonts w:hint="default" w:asciiTheme="minorAscii" w:hAnsiTheme="minorAscii"/>
          <w:b/>
          <w:sz w:val="24"/>
          <w:szCs w:val="24"/>
        </w:rPr>
      </w:pPr>
    </w:p>
    <w:p>
      <w:pPr>
        <w:rPr>
          <w:rFonts w:hint="default"/>
        </w:rPr>
      </w:pPr>
    </w:p>
    <w:p>
      <w:pPr>
        <w:numPr>
          <w:ilvl w:val="0"/>
          <w:numId w:val="2"/>
        </w:numPr>
        <w:jc w:val="center"/>
        <w:outlineLvl w:val="0"/>
        <w:rPr>
          <w:rFonts w:hint="eastAsia" w:ascii="黑体" w:hAnsi="黑体" w:eastAsia="黑体" w:cs="黑体"/>
          <w:bCs/>
          <w:sz w:val="32"/>
          <w:szCs w:val="32"/>
        </w:rPr>
      </w:pPr>
      <w:bookmarkStart w:id="13" w:name="_Toc946285820"/>
      <w:bookmarkStart w:id="14" w:name="_Toc857863264"/>
      <w:bookmarkStart w:id="15" w:name="_Toc616948334"/>
      <w:r>
        <w:rPr>
          <w:rFonts w:hint="eastAsia" w:ascii="黑体" w:hAnsi="黑体" w:eastAsia="黑体" w:cs="黑体"/>
          <w:bCs/>
          <w:sz w:val="32"/>
          <w:szCs w:val="32"/>
        </w:rPr>
        <w:t>报表表式</w:t>
      </w:r>
      <w:bookmarkEnd w:id="13"/>
      <w:bookmarkEnd w:id="14"/>
      <w:bookmarkEnd w:id="15"/>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1"/>
        <w:rPr>
          <w:rFonts w:eastAsia="黑体"/>
          <w:bCs/>
          <w:sz w:val="28"/>
          <w:szCs w:val="28"/>
        </w:rPr>
      </w:pPr>
      <w:bookmarkStart w:id="16" w:name="_Toc550743585"/>
      <w:bookmarkStart w:id="17" w:name="_Toc59047459"/>
      <w:bookmarkStart w:id="18" w:name="_Toc824783969"/>
      <w:r>
        <w:rPr>
          <w:rFonts w:eastAsia="黑体"/>
          <w:bCs/>
          <w:sz w:val="28"/>
          <w:szCs w:val="28"/>
        </w:rPr>
        <w:t>（一）基层</w:t>
      </w:r>
      <w:r>
        <w:rPr>
          <w:rFonts w:hint="eastAsia" w:eastAsia="黑体"/>
          <w:bCs/>
          <w:sz w:val="28"/>
          <w:szCs w:val="28"/>
          <w:lang w:eastAsia="zh-CN"/>
        </w:rPr>
        <w:t>年报</w:t>
      </w:r>
      <w:r>
        <w:rPr>
          <w:rFonts w:eastAsia="黑体"/>
          <w:bCs/>
          <w:sz w:val="28"/>
          <w:szCs w:val="28"/>
        </w:rPr>
        <w:t>表式</w:t>
      </w:r>
      <w:bookmarkEnd w:id="16"/>
      <w:bookmarkEnd w:id="17"/>
      <w:bookmarkEnd w:id="18"/>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ascii="宋体" w:hAnsi="宋体" w:cs="宋体"/>
          <w:b/>
          <w:bCs/>
          <w:sz w:val="32"/>
          <w:szCs w:val="32"/>
        </w:rPr>
      </w:pPr>
      <w:bookmarkStart w:id="19" w:name="_Toc1495733923"/>
      <w:bookmarkStart w:id="20" w:name="_Toc578887587"/>
      <w:bookmarkStart w:id="21" w:name="_Toc2109381871"/>
      <w:bookmarkStart w:id="22" w:name="_Toc1517905560"/>
      <w:r>
        <w:rPr>
          <w:rFonts w:hint="eastAsia" w:ascii="宋体" w:hAnsi="宋体" w:cs="宋体"/>
          <w:b/>
          <w:bCs/>
          <w:sz w:val="32"/>
          <w:szCs w:val="32"/>
          <w:lang w:eastAsia="zh-CN"/>
        </w:rPr>
        <w:t>一套表</w:t>
      </w:r>
      <w:r>
        <w:rPr>
          <w:rFonts w:hint="eastAsia" w:ascii="宋体" w:hAnsi="宋体" w:cs="宋体"/>
          <w:b/>
          <w:bCs/>
          <w:sz w:val="32"/>
          <w:szCs w:val="32"/>
        </w:rPr>
        <w:t>调查单位基本情况</w:t>
      </w:r>
      <w:bookmarkEnd w:id="19"/>
      <w:bookmarkEnd w:id="20"/>
      <w:bookmarkEnd w:id="21"/>
      <w:bookmarkEnd w:id="22"/>
    </w:p>
    <w:tbl>
      <w:tblPr>
        <w:tblStyle w:val="17"/>
        <w:tblW w:w="9526" w:type="dxa"/>
        <w:jc w:val="center"/>
        <w:tblLayout w:type="fixed"/>
        <w:tblCellMar>
          <w:top w:w="0" w:type="dxa"/>
          <w:left w:w="108" w:type="dxa"/>
          <w:bottom w:w="0" w:type="dxa"/>
          <w:right w:w="108" w:type="dxa"/>
        </w:tblCellMar>
      </w:tblPr>
      <w:tblGrid>
        <w:gridCol w:w="492"/>
        <w:gridCol w:w="2757"/>
        <w:gridCol w:w="1627"/>
        <w:gridCol w:w="132"/>
        <w:gridCol w:w="1116"/>
        <w:gridCol w:w="1702"/>
        <w:gridCol w:w="1700"/>
      </w:tblGrid>
      <w:tr>
        <w:tblPrEx>
          <w:tblCellMar>
            <w:top w:w="0" w:type="dxa"/>
            <w:left w:w="108" w:type="dxa"/>
            <w:bottom w:w="0" w:type="dxa"/>
            <w:right w:w="108" w:type="dxa"/>
          </w:tblCellMar>
        </w:tblPrEx>
        <w:trPr>
          <w:trHeight w:val="255" w:hRule="exact"/>
          <w:jc w:val="center"/>
        </w:trPr>
        <w:tc>
          <w:tcPr>
            <w:tcW w:w="3249" w:type="dxa"/>
            <w:gridSpan w:val="2"/>
            <w:vMerge w:val="restart"/>
            <w:noWrap w:val="0"/>
            <w:tcMar>
              <w:left w:w="0" w:type="dxa"/>
              <w:right w:w="0" w:type="dxa"/>
            </w:tcMar>
            <w:vAlign w:val="top"/>
          </w:tcPr>
          <w:p>
            <w:pPr>
              <w:spacing w:line="240" w:lineRule="exact"/>
              <w:jc w:val="left"/>
              <w:rPr>
                <w:rFonts w:hint="eastAsia" w:ascii="宋体" w:hAnsi="宋体" w:cs="宋体"/>
                <w:sz w:val="32"/>
                <w:szCs w:val="32"/>
              </w:rPr>
            </w:pPr>
          </w:p>
        </w:tc>
        <w:tc>
          <w:tcPr>
            <w:tcW w:w="1627" w:type="dxa"/>
            <w:noWrap w:val="0"/>
            <w:vAlign w:val="top"/>
          </w:tcPr>
          <w:p>
            <w:pPr>
              <w:spacing w:line="240" w:lineRule="exact"/>
              <w:jc w:val="center"/>
              <w:rPr>
                <w:rFonts w:hint="eastAsia" w:ascii="宋体" w:hAnsi="宋体" w:cs="宋体"/>
                <w:sz w:val="32"/>
                <w:szCs w:val="32"/>
              </w:rPr>
            </w:pPr>
          </w:p>
        </w:tc>
        <w:tc>
          <w:tcPr>
            <w:tcW w:w="1248" w:type="dxa"/>
            <w:gridSpan w:val="2"/>
            <w:noWrap w:val="0"/>
            <w:vAlign w:val="top"/>
          </w:tcPr>
          <w:p>
            <w:pPr>
              <w:spacing w:line="240" w:lineRule="exact"/>
              <w:jc w:val="center"/>
              <w:rPr>
                <w:rFonts w:hint="eastAsia" w:ascii="宋体" w:hAnsi="宋体" w:cs="宋体"/>
                <w:sz w:val="32"/>
                <w:szCs w:val="32"/>
              </w:rPr>
            </w:pPr>
          </w:p>
        </w:tc>
        <w:tc>
          <w:tcPr>
            <w:tcW w:w="1702" w:type="dxa"/>
            <w:noWrap w:val="0"/>
            <w:vAlign w:val="center"/>
          </w:tcPr>
          <w:p>
            <w:pPr>
              <w:spacing w:line="240" w:lineRule="exact"/>
              <w:ind w:right="-147" w:rightChars="-70"/>
              <w:jc w:val="right"/>
              <w:rPr>
                <w:rFonts w:hint="eastAsia" w:ascii="宋体" w:hAnsi="宋体" w:cs="宋体"/>
                <w:sz w:val="32"/>
                <w:szCs w:val="32"/>
              </w:rPr>
            </w:pPr>
            <w:r>
              <w:rPr>
                <w:rFonts w:hint="eastAsia" w:ascii="宋体" w:hAnsi="宋体" w:cs="宋体"/>
                <w:sz w:val="18"/>
                <w:szCs w:val="18"/>
              </w:rPr>
              <w:t>表    号：</w:t>
            </w:r>
          </w:p>
        </w:tc>
        <w:tc>
          <w:tcPr>
            <w:tcW w:w="1700" w:type="dxa"/>
            <w:noWrap w:val="0"/>
            <w:vAlign w:val="center"/>
          </w:tcPr>
          <w:p>
            <w:pPr>
              <w:spacing w:line="240" w:lineRule="exact"/>
              <w:ind w:right="-84" w:rightChars="-40"/>
              <w:jc w:val="distribute"/>
              <w:rPr>
                <w:rFonts w:hint="eastAsia" w:ascii="宋体" w:hAnsi="宋体" w:cs="宋体"/>
                <w:sz w:val="18"/>
                <w:szCs w:val="18"/>
              </w:rPr>
            </w:pPr>
            <w:r>
              <w:rPr>
                <w:rFonts w:hint="eastAsia" w:ascii="宋体" w:hAnsi="宋体" w:cs="宋体"/>
                <w:sz w:val="18"/>
                <w:szCs w:val="18"/>
              </w:rPr>
              <w:t>101-1表</w:t>
            </w:r>
          </w:p>
        </w:tc>
      </w:tr>
      <w:tr>
        <w:tblPrEx>
          <w:tblCellMar>
            <w:top w:w="0" w:type="dxa"/>
            <w:left w:w="108" w:type="dxa"/>
            <w:bottom w:w="0" w:type="dxa"/>
            <w:right w:w="108" w:type="dxa"/>
          </w:tblCellMar>
        </w:tblPrEx>
        <w:trPr>
          <w:trHeight w:val="314" w:hRule="exact"/>
          <w:jc w:val="center"/>
        </w:trPr>
        <w:tc>
          <w:tcPr>
            <w:tcW w:w="3249" w:type="dxa"/>
            <w:gridSpan w:val="2"/>
            <w:vMerge w:val="continue"/>
            <w:noWrap w:val="0"/>
            <w:tcMar>
              <w:left w:w="0" w:type="dxa"/>
              <w:right w:w="0" w:type="dxa"/>
            </w:tcMar>
            <w:vAlign w:val="top"/>
          </w:tcPr>
          <w:p>
            <w:pPr>
              <w:spacing w:line="240" w:lineRule="exact"/>
              <w:jc w:val="center"/>
              <w:rPr>
                <w:rFonts w:hint="eastAsia" w:ascii="宋体" w:hAnsi="宋体" w:cs="宋体"/>
                <w:sz w:val="32"/>
                <w:szCs w:val="32"/>
              </w:rPr>
            </w:pPr>
          </w:p>
        </w:tc>
        <w:tc>
          <w:tcPr>
            <w:tcW w:w="1627" w:type="dxa"/>
            <w:noWrap w:val="0"/>
            <w:vAlign w:val="top"/>
          </w:tcPr>
          <w:p>
            <w:pPr>
              <w:spacing w:line="240" w:lineRule="exact"/>
              <w:jc w:val="center"/>
              <w:rPr>
                <w:rFonts w:hint="eastAsia" w:ascii="宋体" w:hAnsi="宋体" w:cs="宋体"/>
                <w:sz w:val="32"/>
                <w:szCs w:val="32"/>
              </w:rPr>
            </w:pPr>
          </w:p>
        </w:tc>
        <w:tc>
          <w:tcPr>
            <w:tcW w:w="1248" w:type="dxa"/>
            <w:gridSpan w:val="2"/>
            <w:noWrap w:val="0"/>
            <w:vAlign w:val="top"/>
          </w:tcPr>
          <w:p>
            <w:pPr>
              <w:spacing w:line="240" w:lineRule="exact"/>
              <w:jc w:val="center"/>
              <w:rPr>
                <w:rFonts w:hint="eastAsia" w:ascii="宋体" w:hAnsi="宋体" w:cs="宋体"/>
                <w:sz w:val="32"/>
                <w:szCs w:val="32"/>
              </w:rPr>
            </w:pPr>
          </w:p>
        </w:tc>
        <w:tc>
          <w:tcPr>
            <w:tcW w:w="1702" w:type="dxa"/>
            <w:noWrap w:val="0"/>
            <w:vAlign w:val="top"/>
          </w:tcPr>
          <w:p>
            <w:pPr>
              <w:spacing w:line="240" w:lineRule="exact"/>
              <w:ind w:right="-147" w:rightChars="-70"/>
              <w:jc w:val="right"/>
              <w:rPr>
                <w:rFonts w:hint="eastAsia" w:ascii="宋体" w:hAnsi="宋体" w:cs="宋体"/>
                <w:sz w:val="32"/>
                <w:szCs w:val="32"/>
              </w:rPr>
            </w:pPr>
            <w:r>
              <w:rPr>
                <w:rFonts w:hint="eastAsia" w:ascii="宋体" w:hAnsi="宋体" w:cs="宋体"/>
                <w:sz w:val="18"/>
                <w:szCs w:val="18"/>
              </w:rPr>
              <w:t>制定机关：</w:t>
            </w:r>
          </w:p>
        </w:tc>
        <w:tc>
          <w:tcPr>
            <w:tcW w:w="1700" w:type="dxa"/>
            <w:noWrap w:val="0"/>
            <w:vAlign w:val="center"/>
          </w:tcPr>
          <w:p>
            <w:pPr>
              <w:spacing w:line="200" w:lineRule="exact"/>
              <w:ind w:left="-84" w:leftChars="-40" w:right="-84" w:rightChars="-40"/>
              <w:jc w:val="distribute"/>
              <w:rPr>
                <w:rFonts w:hint="eastAsia" w:ascii="宋体" w:hAnsi="宋体" w:cs="宋体"/>
                <w:sz w:val="18"/>
                <w:szCs w:val="18"/>
              </w:rPr>
            </w:pPr>
            <w:r>
              <w:rPr>
                <w:rFonts w:hint="eastAsia" w:ascii="宋体" w:hAnsi="宋体" w:cs="宋体"/>
                <w:sz w:val="18"/>
                <w:szCs w:val="18"/>
              </w:rPr>
              <w:t>国家统计局</w:t>
            </w:r>
          </w:p>
        </w:tc>
      </w:tr>
      <w:tr>
        <w:trPr>
          <w:trHeight w:val="255" w:hRule="exact"/>
          <w:jc w:val="center"/>
        </w:trPr>
        <w:tc>
          <w:tcPr>
            <w:tcW w:w="3249" w:type="dxa"/>
            <w:gridSpan w:val="2"/>
            <w:vMerge w:val="continue"/>
            <w:noWrap w:val="0"/>
            <w:tcMar>
              <w:left w:w="0" w:type="dxa"/>
              <w:right w:w="0" w:type="dxa"/>
            </w:tcMar>
            <w:vAlign w:val="top"/>
          </w:tcPr>
          <w:p>
            <w:pPr>
              <w:spacing w:line="240" w:lineRule="exact"/>
              <w:rPr>
                <w:rFonts w:hint="eastAsia" w:ascii="宋体" w:hAnsi="宋体" w:cs="宋体"/>
                <w:sz w:val="32"/>
                <w:szCs w:val="32"/>
              </w:rPr>
            </w:pPr>
          </w:p>
        </w:tc>
        <w:tc>
          <w:tcPr>
            <w:tcW w:w="1627" w:type="dxa"/>
            <w:noWrap w:val="0"/>
            <w:vAlign w:val="top"/>
          </w:tcPr>
          <w:p>
            <w:pPr>
              <w:spacing w:line="240" w:lineRule="exact"/>
              <w:jc w:val="center"/>
              <w:rPr>
                <w:rFonts w:hint="eastAsia" w:ascii="宋体" w:hAnsi="宋体" w:cs="宋体"/>
                <w:sz w:val="32"/>
                <w:szCs w:val="32"/>
              </w:rPr>
            </w:pPr>
          </w:p>
        </w:tc>
        <w:tc>
          <w:tcPr>
            <w:tcW w:w="1248" w:type="dxa"/>
            <w:gridSpan w:val="2"/>
            <w:noWrap w:val="0"/>
            <w:vAlign w:val="top"/>
          </w:tcPr>
          <w:p>
            <w:pPr>
              <w:spacing w:line="240" w:lineRule="exact"/>
              <w:jc w:val="center"/>
              <w:rPr>
                <w:rFonts w:hint="eastAsia" w:ascii="宋体" w:hAnsi="宋体" w:cs="宋体"/>
                <w:sz w:val="32"/>
                <w:szCs w:val="32"/>
              </w:rPr>
            </w:pPr>
          </w:p>
        </w:tc>
        <w:tc>
          <w:tcPr>
            <w:tcW w:w="1702" w:type="dxa"/>
            <w:noWrap w:val="0"/>
            <w:vAlign w:val="center"/>
          </w:tcPr>
          <w:p>
            <w:pPr>
              <w:spacing w:line="240" w:lineRule="exact"/>
              <w:ind w:right="-147" w:rightChars="-70"/>
              <w:jc w:val="right"/>
              <w:rPr>
                <w:rFonts w:hint="eastAsia" w:ascii="宋体" w:hAnsi="宋体" w:cs="宋体"/>
                <w:sz w:val="32"/>
                <w:szCs w:val="32"/>
              </w:rPr>
            </w:pPr>
            <w:r>
              <w:rPr>
                <w:rFonts w:hint="eastAsia" w:ascii="宋体" w:hAnsi="宋体" w:cs="宋体"/>
                <w:sz w:val="18"/>
                <w:szCs w:val="18"/>
              </w:rPr>
              <w:t>文    号：</w:t>
            </w:r>
          </w:p>
        </w:tc>
        <w:tc>
          <w:tcPr>
            <w:tcW w:w="1700" w:type="dxa"/>
            <w:noWrap w:val="0"/>
            <w:vAlign w:val="center"/>
          </w:tcPr>
          <w:p>
            <w:pPr>
              <w:spacing w:line="240" w:lineRule="exact"/>
              <w:ind w:left="-84" w:leftChars="-40" w:right="-84" w:rightChars="-40"/>
              <w:jc w:val="distribute"/>
              <w:rPr>
                <w:rFonts w:hint="eastAsia" w:ascii="宋体" w:hAnsi="宋体" w:cs="宋体"/>
                <w:sz w:val="18"/>
                <w:szCs w:val="18"/>
              </w:rPr>
            </w:pPr>
            <w:r>
              <w:rPr>
                <w:rFonts w:hint="eastAsia" w:ascii="宋体" w:hAnsi="宋体" w:cs="宋体"/>
                <w:sz w:val="18"/>
                <w:szCs w:val="18"/>
              </w:rPr>
              <w:t>国统字〔2025〕88号</w:t>
            </w:r>
          </w:p>
        </w:tc>
      </w:tr>
      <w:tr>
        <w:tblPrEx>
          <w:tblCellMar>
            <w:top w:w="0" w:type="dxa"/>
            <w:left w:w="108" w:type="dxa"/>
            <w:bottom w:w="0" w:type="dxa"/>
            <w:right w:w="108" w:type="dxa"/>
          </w:tblCellMar>
        </w:tblPrEx>
        <w:trPr>
          <w:trHeight w:val="255" w:hRule="exact"/>
          <w:jc w:val="center"/>
        </w:trPr>
        <w:tc>
          <w:tcPr>
            <w:tcW w:w="3249" w:type="dxa"/>
            <w:gridSpan w:val="2"/>
            <w:vMerge w:val="continue"/>
            <w:tcBorders>
              <w:bottom w:val="single" w:color="auto" w:sz="8" w:space="0"/>
            </w:tcBorders>
            <w:noWrap w:val="0"/>
            <w:tcMar>
              <w:left w:w="0" w:type="dxa"/>
              <w:right w:w="0" w:type="dxa"/>
            </w:tcMar>
            <w:vAlign w:val="top"/>
          </w:tcPr>
          <w:p>
            <w:pPr>
              <w:spacing w:line="240" w:lineRule="exact"/>
              <w:rPr>
                <w:rFonts w:hint="eastAsia" w:ascii="宋体" w:hAnsi="宋体" w:cs="宋体"/>
                <w:sz w:val="32"/>
                <w:szCs w:val="32"/>
              </w:rPr>
            </w:pPr>
          </w:p>
        </w:tc>
        <w:tc>
          <w:tcPr>
            <w:tcW w:w="2875" w:type="dxa"/>
            <w:gridSpan w:val="3"/>
            <w:tcBorders>
              <w:bottom w:val="single" w:color="auto" w:sz="8" w:space="0"/>
            </w:tcBorders>
            <w:noWrap w:val="0"/>
            <w:vAlign w:val="top"/>
          </w:tcPr>
          <w:p>
            <w:pPr>
              <w:spacing w:line="240" w:lineRule="exact"/>
              <w:ind w:firstLine="666" w:firstLineChars="185"/>
              <w:jc w:val="center"/>
              <w:rPr>
                <w:rFonts w:hint="eastAsia" w:ascii="宋体" w:hAnsi="宋体" w:cs="宋体"/>
                <w:sz w:val="32"/>
                <w:szCs w:val="32"/>
              </w:rPr>
            </w:pPr>
            <w:r>
              <w:rPr>
                <w:rFonts w:hint="eastAsia" w:ascii="宋体" w:hAnsi="宋体" w:cs="宋体"/>
                <w:spacing w:val="90"/>
                <w:kern w:val="0"/>
                <w:sz w:val="18"/>
                <w:szCs w:val="18"/>
                <w:fitText w:val="450" w:id="-772848479"/>
              </w:rPr>
              <w:t>20</w:t>
            </w:r>
            <w:r>
              <w:rPr>
                <w:rFonts w:hint="eastAsia" w:ascii="宋体" w:hAnsi="宋体" w:cs="宋体"/>
                <w:spacing w:val="0"/>
                <w:kern w:val="0"/>
                <w:sz w:val="18"/>
                <w:szCs w:val="18"/>
                <w:fitText w:val="450" w:id="-772848479"/>
              </w:rPr>
              <w:t>2</w:t>
            </w:r>
            <w:r>
              <w:rPr>
                <w:rFonts w:hint="eastAsia" w:ascii="宋体" w:hAnsi="宋体" w:cs="宋体"/>
                <w:kern w:val="0"/>
                <w:sz w:val="18"/>
                <w:szCs w:val="18"/>
                <w:lang w:val="en-US" w:eastAsia="zh-CN"/>
              </w:rPr>
              <w:t xml:space="preserve"> </w:t>
            </w:r>
            <w:r>
              <w:rPr>
                <w:rFonts w:hint="eastAsia" w:ascii="宋体" w:hAnsi="宋体" w:cs="宋体"/>
                <w:kern w:val="0"/>
                <w:sz w:val="18"/>
                <w:szCs w:val="18"/>
              </w:rPr>
              <w:t xml:space="preserve">5 </w:t>
            </w:r>
            <w:r>
              <w:rPr>
                <w:rFonts w:hint="eastAsia" w:ascii="宋体" w:hAnsi="宋体" w:cs="宋体"/>
                <w:sz w:val="18"/>
                <w:szCs w:val="18"/>
              </w:rPr>
              <w:t>年</w:t>
            </w:r>
          </w:p>
        </w:tc>
        <w:tc>
          <w:tcPr>
            <w:tcW w:w="1702" w:type="dxa"/>
            <w:tcBorders>
              <w:bottom w:val="single" w:color="auto" w:sz="8" w:space="0"/>
            </w:tcBorders>
            <w:noWrap w:val="0"/>
            <w:vAlign w:val="center"/>
          </w:tcPr>
          <w:p>
            <w:pPr>
              <w:spacing w:line="240" w:lineRule="exact"/>
              <w:ind w:right="-147" w:rightChars="-70"/>
              <w:jc w:val="right"/>
              <w:rPr>
                <w:rFonts w:hint="eastAsia" w:ascii="宋体" w:hAnsi="宋体" w:cs="宋体"/>
                <w:sz w:val="32"/>
                <w:szCs w:val="32"/>
              </w:rPr>
            </w:pPr>
            <w:r>
              <w:rPr>
                <w:rFonts w:hint="eastAsia" w:ascii="宋体" w:hAnsi="宋体" w:cs="宋体"/>
                <w:sz w:val="18"/>
                <w:szCs w:val="18"/>
              </w:rPr>
              <w:t>有效期至：</w:t>
            </w:r>
          </w:p>
        </w:tc>
        <w:tc>
          <w:tcPr>
            <w:tcW w:w="1700" w:type="dxa"/>
            <w:tcBorders>
              <w:bottom w:val="single" w:color="auto" w:sz="8" w:space="0"/>
            </w:tcBorders>
            <w:noWrap w:val="0"/>
            <w:vAlign w:val="center"/>
          </w:tcPr>
          <w:p>
            <w:pPr>
              <w:spacing w:line="240" w:lineRule="exact"/>
              <w:ind w:left="-84" w:leftChars="-40" w:right="-84" w:rightChars="-40"/>
              <w:jc w:val="distribute"/>
              <w:rPr>
                <w:rFonts w:hint="eastAsia" w:ascii="宋体" w:hAnsi="宋体" w:cs="宋体"/>
                <w:sz w:val="18"/>
                <w:szCs w:val="18"/>
              </w:rPr>
            </w:pPr>
            <w:r>
              <w:rPr>
                <w:rFonts w:hint="eastAsia" w:ascii="宋体" w:hAnsi="宋体" w:cs="宋体"/>
                <w:sz w:val="18"/>
                <w:szCs w:val="18"/>
              </w:rPr>
              <w:t>2026年6月</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550" w:hRule="exact"/>
          <w:jc w:val="center"/>
        </w:trPr>
        <w:tc>
          <w:tcPr>
            <w:tcW w:w="492" w:type="dxa"/>
            <w:tcBorders>
              <w:top w:val="single" w:color="auto" w:sz="8" w:space="0"/>
              <w:left w:val="nil"/>
              <w:bottom w:val="single" w:color="auto" w:sz="2" w:space="0"/>
              <w:right w:val="single" w:color="auto" w:sz="2" w:space="0"/>
            </w:tcBorders>
            <w:shd w:val="clear" w:color="auto" w:fill="D7D7D7"/>
            <w:noWrap w:val="0"/>
            <w:vAlign w:val="center"/>
          </w:tcPr>
          <w:p>
            <w:pPr>
              <w:spacing w:line="220" w:lineRule="exact"/>
              <w:jc w:val="center"/>
              <w:rPr>
                <w:rFonts w:ascii="宋体" w:hAnsi="宋体" w:cs="宋体"/>
                <w:b/>
                <w:sz w:val="18"/>
                <w:shd w:val="clear" w:color="auto" w:fill="D7D7D7"/>
              </w:rPr>
            </w:pPr>
            <w:r>
              <w:rPr>
                <w:rFonts w:hint="eastAsia" w:ascii="宋体" w:hAnsi="宋体" w:cs="宋体"/>
                <w:b/>
                <w:sz w:val="18"/>
                <w:shd w:val="clear" w:color="auto" w:fill="D7D7D7"/>
              </w:rPr>
              <w:t>110</w:t>
            </w:r>
          </w:p>
        </w:tc>
        <w:tc>
          <w:tcPr>
            <w:tcW w:w="9034" w:type="dxa"/>
            <w:gridSpan w:val="6"/>
            <w:tcBorders>
              <w:top w:val="single" w:color="auto" w:sz="8" w:space="0"/>
              <w:left w:val="single" w:color="auto" w:sz="2" w:space="0"/>
              <w:bottom w:val="single" w:color="auto" w:sz="2" w:space="0"/>
              <w:right w:val="nil"/>
            </w:tcBorders>
            <w:shd w:val="clear" w:color="auto" w:fill="D7D7D7"/>
            <w:noWrap w:val="0"/>
            <w:vAlign w:val="center"/>
          </w:tcPr>
          <w:p>
            <w:pPr>
              <w:snapToGrid w:val="0"/>
              <w:rPr>
                <w:rFonts w:hint="eastAsia" w:ascii="宋体" w:hAnsi="宋体" w:cs="宋体"/>
                <w:sz w:val="18"/>
                <w:szCs w:val="18"/>
              </w:rPr>
            </w:pPr>
            <w:r>
              <w:rPr>
                <w:rFonts w:hint="eastAsia" w:ascii="宋体" w:hAnsi="宋体" w:cs="宋体"/>
                <w:sz w:val="18"/>
                <w:szCs w:val="18"/>
              </w:rPr>
              <w:t>单位类型  □ （已视同法人单位的分支机构，请填写“1”）</w:t>
            </w:r>
          </w:p>
          <w:p>
            <w:pPr>
              <w:snapToGrid w:val="0"/>
              <w:ind w:firstLine="180" w:firstLineChars="100"/>
              <w:rPr>
                <w:rFonts w:ascii="宋体" w:hAnsi="宋体" w:cs="宋体"/>
                <w:sz w:val="18"/>
                <w:szCs w:val="18"/>
              </w:rPr>
            </w:pPr>
            <w:r>
              <w:rPr>
                <w:rFonts w:hint="eastAsia" w:ascii="宋体" w:hAnsi="宋体" w:cs="宋体"/>
                <w:sz w:val="18"/>
                <w:szCs w:val="18"/>
              </w:rPr>
              <w:t>1法人单位   3个体经营户</w:t>
            </w:r>
          </w:p>
          <w:p>
            <w:pPr>
              <w:shd w:val="clear" w:color="auto" w:fill="D0CECE"/>
              <w:spacing w:line="240" w:lineRule="exact"/>
              <w:rPr>
                <w:rFonts w:ascii="宋体" w:hAnsi="宋体" w:cs="宋体"/>
                <w:sz w:val="18"/>
                <w:szCs w:val="18"/>
                <w:shd w:val="clear" w:color="auto" w:fill="D7D7D7"/>
              </w:rPr>
            </w:pP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369"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rPr>
                <w:rFonts w:hint="eastAsia" w:ascii="宋体" w:hAnsi="宋体" w:cs="宋体"/>
                <w:b/>
                <w:sz w:val="18"/>
                <w:szCs w:val="18"/>
              </w:rPr>
            </w:pPr>
            <w:r>
              <w:rPr>
                <w:rFonts w:hint="eastAsia" w:ascii="宋体" w:hAnsi="宋体" w:cs="宋体"/>
                <w:b/>
                <w:bCs/>
                <w:sz w:val="18"/>
                <w:szCs w:val="20"/>
              </w:rPr>
              <w:t>100</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40" w:lineRule="exact"/>
              <w:rPr>
                <w:rFonts w:hint="eastAsia" w:ascii="宋体" w:hAnsi="宋体" w:cs="宋体"/>
                <w:sz w:val="18"/>
                <w:szCs w:val="18"/>
              </w:rPr>
            </w:pPr>
            <w:r>
              <w:rPr>
                <w:rFonts w:hint="eastAsia" w:ascii="宋体" w:hAnsi="宋体" w:cs="宋体"/>
                <w:sz w:val="18"/>
                <w:szCs w:val="18"/>
              </w:rPr>
              <w:t xml:space="preserve">是否为“视同法人单位”？如是，请勾选  □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40"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shd w:val="clear" w:color="auto" w:fill="D7D7D7"/>
              </w:rPr>
            </w:pPr>
            <w:r>
              <w:rPr>
                <w:rFonts w:hint="eastAsia" w:ascii="宋体" w:hAnsi="宋体" w:cs="宋体"/>
                <w:b/>
                <w:sz w:val="18"/>
                <w:shd w:val="clear" w:color="auto" w:fill="D7D7D7"/>
              </w:rPr>
              <w:t>109</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hd w:val="clear" w:color="auto" w:fill="D0CECE"/>
              <w:spacing w:line="240" w:lineRule="exact"/>
              <w:rPr>
                <w:rFonts w:hint="eastAsia" w:ascii="宋体" w:hAnsi="宋体" w:cs="宋体"/>
                <w:sz w:val="18"/>
                <w:szCs w:val="18"/>
                <w:shd w:val="clear" w:color="auto" w:fill="D7D7D7"/>
              </w:rPr>
            </w:pPr>
            <w:r>
              <w:rPr>
                <w:rFonts w:hint="eastAsia" w:ascii="宋体" w:hAnsi="宋体" w:cs="宋体"/>
                <w:sz w:val="18"/>
                <w:szCs w:val="18"/>
                <w:shd w:val="clear" w:color="auto" w:fill="D7D7D7"/>
              </w:rPr>
              <w:t xml:space="preserve">统一社会信用代码   □□□□□□□□□□□□□□□□□□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40"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shd w:val="clear" w:color="auto" w:fill="D7D7D7"/>
              </w:rPr>
            </w:pPr>
            <w:r>
              <w:rPr>
                <w:rFonts w:hint="eastAsia" w:ascii="宋体" w:hAnsi="宋体" w:cs="宋体"/>
                <w:b/>
                <w:bCs/>
                <w:sz w:val="18"/>
                <w:szCs w:val="18"/>
                <w:shd w:val="clear" w:color="auto" w:fill="D7D7D7"/>
              </w:rPr>
              <w:t>102</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40" w:lineRule="exact"/>
              <w:rPr>
                <w:rFonts w:hint="eastAsia" w:ascii="宋体" w:hAnsi="宋体" w:cs="宋体"/>
                <w:sz w:val="18"/>
                <w:szCs w:val="18"/>
                <w:shd w:val="clear" w:color="auto" w:fill="D7D7D7"/>
              </w:rPr>
            </w:pPr>
            <w:r>
              <w:rPr>
                <w:rFonts w:hint="eastAsia" w:ascii="宋体" w:hAnsi="宋体" w:cs="宋体"/>
                <w:sz w:val="18"/>
                <w:szCs w:val="18"/>
                <w:shd w:val="clear" w:color="auto" w:fill="D7D7D7"/>
              </w:rPr>
              <w:t xml:space="preserve">单位详细名称  </w:t>
            </w:r>
            <w:r>
              <w:rPr>
                <w:rFonts w:hint="eastAsia" w:ascii="宋体" w:hAnsi="宋体" w:cs="宋体"/>
                <w:sz w:val="18"/>
                <w:szCs w:val="18"/>
                <w:u w:val="single"/>
                <w:shd w:val="clear" w:color="auto" w:fill="D7D7D7"/>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40" w:hRule="exact"/>
          <w:jc w:val="center"/>
        </w:trPr>
        <w:tc>
          <w:tcPr>
            <w:tcW w:w="492" w:type="dxa"/>
            <w:tcBorders>
              <w:top w:val="single" w:color="auto" w:sz="2" w:space="0"/>
              <w:left w:val="nil"/>
              <w:bottom w:val="single" w:color="auto" w:sz="2"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201</w:t>
            </w:r>
          </w:p>
        </w:tc>
        <w:tc>
          <w:tcPr>
            <w:tcW w:w="9034" w:type="dxa"/>
            <w:gridSpan w:val="6"/>
            <w:tcBorders>
              <w:top w:val="single" w:color="auto" w:sz="2" w:space="0"/>
              <w:left w:val="single" w:color="auto" w:sz="2" w:space="0"/>
              <w:bottom w:val="single" w:color="auto" w:sz="2" w:space="0"/>
              <w:right w:val="nil"/>
            </w:tcBorders>
            <w:noWrap w:val="0"/>
            <w:vAlign w:val="center"/>
          </w:tcPr>
          <w:p>
            <w:pPr>
              <w:spacing w:line="220" w:lineRule="exact"/>
              <w:rPr>
                <w:rFonts w:hint="eastAsia" w:ascii="宋体" w:hAnsi="宋体" w:cs="宋体"/>
                <w:sz w:val="18"/>
                <w:szCs w:val="18"/>
              </w:rPr>
            </w:pPr>
            <w:r>
              <w:rPr>
                <w:rFonts w:hint="eastAsia" w:ascii="宋体" w:hAnsi="宋体" w:cs="宋体"/>
                <w:sz w:val="18"/>
                <w:szCs w:val="18"/>
              </w:rPr>
              <w:t>法定代表人（单位负责人）</w:t>
            </w:r>
            <w:r>
              <w:rPr>
                <w:rFonts w:hint="eastAsia" w:ascii="宋体" w:hAnsi="宋体" w:cs="宋体"/>
                <w:sz w:val="18"/>
                <w:szCs w:val="18"/>
                <w:u w:val="single"/>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340" w:hRule="exact"/>
          <w:jc w:val="center"/>
        </w:trPr>
        <w:tc>
          <w:tcPr>
            <w:tcW w:w="492" w:type="dxa"/>
            <w:tcBorders>
              <w:top w:val="single" w:color="auto" w:sz="2" w:space="0"/>
              <w:left w:val="nil"/>
              <w:bottom w:val="single" w:color="auto" w:sz="2" w:space="0"/>
              <w:right w:val="single" w:color="auto" w:sz="2" w:space="0"/>
            </w:tcBorders>
            <w:noWrap w:val="0"/>
            <w:vAlign w:val="center"/>
          </w:tcPr>
          <w:p>
            <w:pPr>
              <w:spacing w:line="220" w:lineRule="exact"/>
              <w:rPr>
                <w:rFonts w:hint="eastAsia" w:ascii="宋体" w:hAnsi="宋体" w:cs="宋体"/>
                <w:b/>
                <w:bCs/>
                <w:sz w:val="18"/>
                <w:szCs w:val="18"/>
              </w:rPr>
            </w:pPr>
            <w:r>
              <w:rPr>
                <w:rFonts w:hint="eastAsia" w:ascii="宋体" w:hAnsi="宋体" w:cs="宋体"/>
                <w:b/>
                <w:bCs/>
                <w:sz w:val="18"/>
                <w:szCs w:val="18"/>
              </w:rPr>
              <w:t>202</w:t>
            </w:r>
          </w:p>
        </w:tc>
        <w:tc>
          <w:tcPr>
            <w:tcW w:w="4516" w:type="dxa"/>
            <w:gridSpan w:val="3"/>
            <w:tcBorders>
              <w:top w:val="single" w:color="auto" w:sz="2" w:space="0"/>
              <w:left w:val="single" w:color="auto" w:sz="2" w:space="0"/>
              <w:bottom w:val="single" w:color="auto" w:sz="2" w:space="0"/>
              <w:right w:val="single" w:color="auto" w:sz="2" w:space="0"/>
            </w:tcBorders>
            <w:noWrap w:val="0"/>
            <w:vAlign w:val="center"/>
          </w:tcPr>
          <w:p>
            <w:pPr>
              <w:spacing w:line="240" w:lineRule="exact"/>
              <w:rPr>
                <w:rFonts w:hint="eastAsia" w:ascii="宋体" w:hAnsi="宋体" w:cs="宋体"/>
                <w:sz w:val="18"/>
                <w:szCs w:val="18"/>
              </w:rPr>
            </w:pPr>
            <w:r>
              <w:rPr>
                <w:rFonts w:hint="eastAsia" w:ascii="宋体" w:hAnsi="宋体" w:cs="宋体"/>
                <w:sz w:val="18"/>
                <w:szCs w:val="18"/>
              </w:rPr>
              <w:t>1成立时间（所有单位填报）</w:t>
            </w:r>
            <w:r>
              <w:rPr>
                <w:rFonts w:hint="eastAsia" w:ascii="宋体" w:hAnsi="宋体" w:cs="宋体"/>
                <w:sz w:val="18"/>
                <w:szCs w:val="18"/>
                <w:u w:val="single"/>
              </w:rPr>
              <w:t xml:space="preserve">          </w:t>
            </w:r>
            <w:r>
              <w:rPr>
                <w:rFonts w:hint="eastAsia" w:ascii="宋体" w:hAnsi="宋体" w:cs="宋体"/>
                <w:sz w:val="18"/>
                <w:szCs w:val="18"/>
              </w:rPr>
              <w:t>年</w:t>
            </w:r>
            <w:r>
              <w:rPr>
                <w:rFonts w:hint="eastAsia" w:ascii="宋体" w:hAnsi="宋体" w:cs="宋体"/>
                <w:sz w:val="18"/>
                <w:szCs w:val="18"/>
                <w:u w:val="single"/>
              </w:rPr>
              <w:t xml:space="preserve">          </w:t>
            </w:r>
            <w:r>
              <w:rPr>
                <w:rFonts w:hint="eastAsia" w:ascii="宋体" w:hAnsi="宋体" w:cs="宋体"/>
                <w:sz w:val="18"/>
                <w:szCs w:val="18"/>
              </w:rPr>
              <w:t>月</w:t>
            </w:r>
          </w:p>
        </w:tc>
        <w:tc>
          <w:tcPr>
            <w:tcW w:w="4518" w:type="dxa"/>
            <w:gridSpan w:val="3"/>
            <w:tcBorders>
              <w:top w:val="single" w:color="auto" w:sz="2" w:space="0"/>
              <w:left w:val="single" w:color="auto" w:sz="2" w:space="0"/>
              <w:bottom w:val="single" w:color="auto" w:sz="2" w:space="0"/>
              <w:right w:val="nil"/>
            </w:tcBorders>
            <w:noWrap w:val="0"/>
            <w:vAlign w:val="center"/>
          </w:tcPr>
          <w:p>
            <w:pPr>
              <w:spacing w:line="240" w:lineRule="exact"/>
              <w:rPr>
                <w:rFonts w:hint="eastAsia" w:ascii="宋体" w:hAnsi="宋体" w:cs="宋体"/>
                <w:sz w:val="18"/>
                <w:szCs w:val="18"/>
              </w:rPr>
            </w:pPr>
            <w:r>
              <w:rPr>
                <w:rFonts w:hint="eastAsia" w:ascii="宋体" w:hAnsi="宋体" w:cs="宋体"/>
                <w:sz w:val="18"/>
                <w:szCs w:val="18"/>
              </w:rPr>
              <w:t>2开业时间（仅限企业填报）</w:t>
            </w:r>
            <w:r>
              <w:rPr>
                <w:rFonts w:hint="eastAsia" w:ascii="宋体" w:hAnsi="宋体" w:cs="宋体"/>
                <w:sz w:val="18"/>
                <w:szCs w:val="18"/>
                <w:u w:val="single"/>
              </w:rPr>
              <w:t xml:space="preserve">          </w:t>
            </w:r>
            <w:r>
              <w:rPr>
                <w:rFonts w:hint="eastAsia" w:ascii="宋体" w:hAnsi="宋体" w:cs="宋体"/>
                <w:sz w:val="18"/>
                <w:szCs w:val="18"/>
              </w:rPr>
              <w:t>年</w:t>
            </w:r>
            <w:r>
              <w:rPr>
                <w:rFonts w:hint="eastAsia" w:ascii="宋体" w:hAnsi="宋体" w:cs="宋体"/>
                <w:sz w:val="18"/>
                <w:szCs w:val="18"/>
                <w:u w:val="single"/>
              </w:rPr>
              <w:t xml:space="preserve">          </w:t>
            </w:r>
            <w:r>
              <w:rPr>
                <w:rFonts w:hint="eastAsia" w:ascii="宋体" w:hAnsi="宋体" w:cs="宋体"/>
                <w:sz w:val="18"/>
                <w:szCs w:val="18"/>
              </w:rPr>
              <w:t>月</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954" w:hRule="exact"/>
          <w:jc w:val="center"/>
        </w:trPr>
        <w:tc>
          <w:tcPr>
            <w:tcW w:w="492" w:type="dxa"/>
            <w:tcBorders>
              <w:top w:val="single" w:color="auto" w:sz="2" w:space="0"/>
              <w:left w:val="nil"/>
              <w:bottom w:val="single" w:color="auto" w:sz="2"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203</w:t>
            </w:r>
          </w:p>
        </w:tc>
        <w:tc>
          <w:tcPr>
            <w:tcW w:w="9034" w:type="dxa"/>
            <w:gridSpan w:val="6"/>
            <w:tcBorders>
              <w:top w:val="single" w:color="auto" w:sz="2" w:space="0"/>
              <w:left w:val="single" w:color="auto" w:sz="2" w:space="0"/>
              <w:bottom w:val="single" w:color="auto" w:sz="2" w:space="0"/>
              <w:right w:val="nil"/>
            </w:tcBorders>
            <w:noWrap w:val="0"/>
            <w:vAlign w:val="center"/>
          </w:tcPr>
          <w:p>
            <w:pPr>
              <w:spacing w:line="200" w:lineRule="exact"/>
              <w:rPr>
                <w:rFonts w:hint="eastAsia" w:ascii="宋体" w:hAnsi="宋体" w:cs="宋体"/>
                <w:sz w:val="18"/>
                <w:szCs w:val="18"/>
              </w:rPr>
            </w:pPr>
            <w:r>
              <w:rPr>
                <w:rFonts w:hint="eastAsia" w:ascii="宋体" w:hAnsi="宋体" w:cs="宋体"/>
                <w:sz w:val="18"/>
                <w:szCs w:val="18"/>
              </w:rPr>
              <w:t>联系方式</w:t>
            </w:r>
          </w:p>
          <w:p>
            <w:pPr>
              <w:spacing w:line="200" w:lineRule="exact"/>
              <w:ind w:firstLine="180" w:firstLineChars="100"/>
              <w:rPr>
                <w:rFonts w:hint="eastAsia" w:ascii="宋体" w:hAnsi="宋体" w:cs="宋体"/>
                <w:sz w:val="18"/>
                <w:szCs w:val="18"/>
              </w:rPr>
            </w:pPr>
            <w:r>
              <w:rPr>
                <w:rFonts w:hint="eastAsia" w:ascii="宋体" w:hAnsi="宋体" w:cs="宋体"/>
                <w:sz w:val="18"/>
                <w:szCs w:val="18"/>
              </w:rPr>
              <w:t>长途区号    □□□□□</w:t>
            </w:r>
          </w:p>
          <w:p>
            <w:pPr>
              <w:spacing w:line="200" w:lineRule="exact"/>
              <w:ind w:firstLine="180" w:firstLineChars="100"/>
              <w:rPr>
                <w:rFonts w:hint="eastAsia" w:ascii="宋体" w:hAnsi="宋体" w:cs="宋体"/>
                <w:sz w:val="18"/>
                <w:szCs w:val="18"/>
              </w:rPr>
            </w:pPr>
            <w:r>
              <w:rPr>
                <w:rFonts w:hint="eastAsia" w:ascii="宋体" w:hAnsi="宋体" w:cs="宋体"/>
                <w:sz w:val="18"/>
                <w:szCs w:val="18"/>
              </w:rPr>
              <w:t>固定电话    □□□□□□□□-□□□□□□</w:t>
            </w:r>
          </w:p>
          <w:p>
            <w:pPr>
              <w:spacing w:line="200" w:lineRule="exact"/>
              <w:ind w:firstLine="180" w:firstLineChars="100"/>
              <w:rPr>
                <w:rFonts w:hint="eastAsia" w:ascii="宋体" w:hAnsi="宋体" w:cs="宋体"/>
                <w:sz w:val="18"/>
                <w:szCs w:val="18"/>
              </w:rPr>
            </w:pPr>
            <w:r>
              <w:rPr>
                <w:rFonts w:hint="eastAsia" w:ascii="宋体" w:hAnsi="宋体" w:cs="宋体"/>
                <w:sz w:val="18"/>
                <w:szCs w:val="18"/>
              </w:rPr>
              <w:t>移动电话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871" w:hRule="atLeast"/>
          <w:jc w:val="center"/>
        </w:trPr>
        <w:tc>
          <w:tcPr>
            <w:tcW w:w="492" w:type="dxa"/>
            <w:vMerge w:val="restart"/>
            <w:tcBorders>
              <w:top w:val="single" w:color="auto" w:sz="2" w:space="0"/>
              <w:left w:val="nil"/>
              <w:bottom w:val="single" w:color="auto" w:sz="2"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105</w:t>
            </w:r>
          </w:p>
        </w:tc>
        <w:tc>
          <w:tcPr>
            <w:tcW w:w="9034" w:type="dxa"/>
            <w:gridSpan w:val="6"/>
            <w:tcBorders>
              <w:top w:val="single" w:color="auto" w:sz="2" w:space="0"/>
              <w:left w:val="single" w:color="auto" w:sz="2" w:space="0"/>
              <w:bottom w:val="single" w:color="auto" w:sz="2" w:space="0"/>
              <w:right w:val="nil"/>
            </w:tcBorders>
            <w:noWrap w:val="0"/>
            <w:vAlign w:val="center"/>
          </w:tcPr>
          <w:p>
            <w:pPr>
              <w:spacing w:line="200" w:lineRule="exact"/>
              <w:rPr>
                <w:rFonts w:hint="eastAsia" w:ascii="宋体" w:hAnsi="宋体" w:cs="宋体"/>
                <w:sz w:val="18"/>
                <w:szCs w:val="18"/>
              </w:rPr>
            </w:pPr>
            <w:r>
              <w:rPr>
                <w:rFonts w:hint="eastAsia" w:ascii="宋体" w:hAnsi="宋体" w:cs="宋体"/>
                <w:sz w:val="18"/>
                <w:szCs w:val="18"/>
              </w:rPr>
              <w:t xml:space="preserve">单位所在地区划及详细地址               </w:t>
            </w:r>
          </w:p>
          <w:p>
            <w:pPr>
              <w:snapToGrid w:val="0"/>
              <w:spacing w:line="280" w:lineRule="exact"/>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rPr>
              <w:t>省(自治区、直辖市)</w:t>
            </w:r>
            <w:r>
              <w:rPr>
                <w:rFonts w:hint="eastAsia" w:ascii="宋体" w:hAnsi="宋体" w:cs="宋体"/>
                <w:sz w:val="18"/>
                <w:szCs w:val="18"/>
                <w:u w:val="single"/>
              </w:rPr>
              <w:t xml:space="preserve">                </w:t>
            </w:r>
            <w:r>
              <w:rPr>
                <w:rFonts w:hint="eastAsia" w:ascii="宋体" w:hAnsi="宋体" w:cs="宋体"/>
                <w:sz w:val="18"/>
                <w:szCs w:val="18"/>
              </w:rPr>
              <w:t>地(市、州、盟)</w:t>
            </w:r>
            <w:r>
              <w:rPr>
                <w:rFonts w:hint="eastAsia" w:ascii="宋体" w:hAnsi="宋体" w:cs="宋体"/>
                <w:sz w:val="18"/>
                <w:szCs w:val="18"/>
                <w:u w:val="single"/>
              </w:rPr>
              <w:t xml:space="preserve">                </w:t>
            </w:r>
            <w:r>
              <w:rPr>
                <w:rFonts w:hint="eastAsia" w:ascii="宋体" w:hAnsi="宋体" w:cs="宋体"/>
                <w:sz w:val="18"/>
                <w:szCs w:val="18"/>
              </w:rPr>
              <w:t>县(市、区、旗)</w:t>
            </w:r>
          </w:p>
          <w:p>
            <w:pPr>
              <w:snapToGrid w:val="0"/>
              <w:spacing w:line="280" w:lineRule="exact"/>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rPr>
              <w:t xml:space="preserve">乡（镇、街道）   </w:t>
            </w:r>
            <w:r>
              <w:rPr>
                <w:rFonts w:hint="eastAsia" w:ascii="宋体" w:hAnsi="宋体" w:cs="宋体"/>
                <w:sz w:val="18"/>
                <w:szCs w:val="18"/>
                <w:u w:val="single"/>
              </w:rPr>
              <w:t xml:space="preserve">                </w:t>
            </w:r>
            <w:r>
              <w:rPr>
                <w:rFonts w:hint="eastAsia" w:ascii="宋体" w:hAnsi="宋体" w:cs="宋体"/>
                <w:sz w:val="18"/>
                <w:szCs w:val="18"/>
              </w:rPr>
              <w:t>村（居）委会</w:t>
            </w:r>
            <w:r>
              <w:rPr>
                <w:rFonts w:hint="eastAsia" w:ascii="宋体" w:hAnsi="宋体" w:cs="宋体"/>
                <w:w w:val="120"/>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u w:val="single"/>
                <w:lang w:val="en"/>
              </w:rPr>
              <w:t xml:space="preserve">    </w:t>
            </w:r>
            <w:r>
              <w:rPr>
                <w:rFonts w:hint="eastAsia" w:ascii="宋体" w:hAnsi="宋体" w:cs="宋体"/>
                <w:sz w:val="18"/>
                <w:szCs w:val="18"/>
                <w:u w:val="single"/>
              </w:rPr>
              <w:t xml:space="preserve">          </w:t>
            </w:r>
            <w:r>
              <w:rPr>
                <w:rFonts w:hint="eastAsia" w:ascii="宋体" w:hAnsi="宋体" w:cs="宋体"/>
                <w:sz w:val="18"/>
                <w:szCs w:val="18"/>
              </w:rPr>
              <w:t>街(路)、门牌号</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69" w:hRule="exact"/>
          <w:jc w:val="center"/>
        </w:trPr>
        <w:tc>
          <w:tcPr>
            <w:tcW w:w="492" w:type="dxa"/>
            <w:vMerge w:val="continue"/>
            <w:tcBorders>
              <w:top w:val="single" w:color="auto" w:sz="2" w:space="0"/>
              <w:left w:val="nil"/>
              <w:bottom w:val="single" w:color="auto" w:sz="2" w:space="0"/>
              <w:right w:val="single" w:color="auto" w:sz="2" w:space="0"/>
            </w:tcBorders>
            <w:shd w:val="clear" w:color="auto" w:fill="auto"/>
            <w:noWrap w:val="0"/>
            <w:vAlign w:val="center"/>
          </w:tcPr>
          <w:p>
            <w:pPr>
              <w:spacing w:line="220" w:lineRule="exact"/>
              <w:jc w:val="center"/>
              <w:rPr>
                <w:rFonts w:hint="eastAsia" w:ascii="宋体" w:hAnsi="宋体" w:cs="宋体"/>
                <w:b/>
                <w:bCs/>
                <w:sz w:val="18"/>
                <w:szCs w:val="18"/>
              </w:rPr>
            </w:pP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20" w:lineRule="exact"/>
              <w:ind w:firstLine="180" w:firstLineChars="100"/>
              <w:rPr>
                <w:rFonts w:hint="eastAsia" w:ascii="宋体" w:hAnsi="宋体" w:cs="宋体"/>
                <w:sz w:val="18"/>
                <w:szCs w:val="18"/>
              </w:rPr>
            </w:pPr>
            <w:r>
              <w:rPr>
                <w:rFonts w:hint="eastAsia" w:ascii="宋体" w:hAnsi="宋体" w:cs="宋体"/>
                <w:sz w:val="18"/>
                <w:szCs w:val="18"/>
              </w:rPr>
              <w:t>区划代码    □□□□□□□□□□□□            城乡代码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1086" w:hRule="atLeast"/>
          <w:jc w:val="center"/>
        </w:trPr>
        <w:tc>
          <w:tcPr>
            <w:tcW w:w="492" w:type="dxa"/>
            <w:vMerge w:val="restart"/>
            <w:tcBorders>
              <w:top w:val="single" w:color="auto" w:sz="2" w:space="0"/>
              <w:left w:val="nil"/>
              <w:bottom w:val="single" w:color="auto" w:sz="2"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106</w:t>
            </w:r>
          </w:p>
        </w:tc>
        <w:tc>
          <w:tcPr>
            <w:tcW w:w="9034" w:type="dxa"/>
            <w:gridSpan w:val="6"/>
            <w:tcBorders>
              <w:top w:val="single" w:color="auto" w:sz="2" w:space="0"/>
              <w:left w:val="single" w:color="auto" w:sz="2" w:space="0"/>
              <w:bottom w:val="single" w:color="auto" w:sz="2" w:space="0"/>
              <w:right w:val="nil"/>
            </w:tcBorders>
            <w:noWrap w:val="0"/>
            <w:vAlign w:val="center"/>
          </w:tcPr>
          <w:p>
            <w:pPr>
              <w:spacing w:line="220" w:lineRule="exact"/>
              <w:rPr>
                <w:rFonts w:hint="eastAsia" w:ascii="宋体" w:hAnsi="宋体" w:cs="宋体"/>
                <w:sz w:val="18"/>
                <w:szCs w:val="18"/>
              </w:rPr>
            </w:pPr>
            <w:r>
              <w:rPr>
                <w:rFonts w:hint="eastAsia" w:ascii="宋体" w:hAnsi="宋体" w:cs="宋体"/>
                <w:sz w:val="18"/>
                <w:szCs w:val="18"/>
              </w:rPr>
              <w:t xml:space="preserve">单位注册地区划及详细地址             </w:t>
            </w:r>
          </w:p>
          <w:p>
            <w:pPr>
              <w:spacing w:line="220" w:lineRule="exact"/>
              <w:ind w:firstLine="180" w:firstLineChars="100"/>
              <w:rPr>
                <w:rFonts w:hint="eastAsia" w:ascii="宋体" w:hAnsi="宋体" w:cs="宋体"/>
                <w:sz w:val="18"/>
                <w:szCs w:val="18"/>
              </w:rPr>
            </w:pPr>
            <w:r>
              <w:rPr>
                <w:rFonts w:hint="eastAsia" w:ascii="宋体" w:hAnsi="宋体" w:cs="宋体"/>
                <w:sz w:val="18"/>
                <w:szCs w:val="18"/>
              </w:rPr>
              <w:t>是否与单位所在地详细地址一致：   □ 1是，2否</w:t>
            </w:r>
          </w:p>
          <w:p>
            <w:pPr>
              <w:snapToGrid w:val="0"/>
              <w:spacing w:line="280" w:lineRule="exact"/>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rPr>
              <w:t>省(自治区、直辖市)</w:t>
            </w:r>
            <w:r>
              <w:rPr>
                <w:rFonts w:hint="eastAsia" w:ascii="宋体" w:hAnsi="宋体" w:cs="宋体"/>
                <w:sz w:val="18"/>
                <w:szCs w:val="18"/>
                <w:u w:val="single"/>
              </w:rPr>
              <w:t xml:space="preserve">                </w:t>
            </w:r>
            <w:r>
              <w:rPr>
                <w:rFonts w:hint="eastAsia" w:ascii="宋体" w:hAnsi="宋体" w:cs="宋体"/>
                <w:sz w:val="18"/>
                <w:szCs w:val="18"/>
              </w:rPr>
              <w:t>地(市、州、盟)</w:t>
            </w:r>
            <w:r>
              <w:rPr>
                <w:rFonts w:hint="eastAsia" w:ascii="宋体" w:hAnsi="宋体" w:cs="宋体"/>
                <w:sz w:val="18"/>
                <w:szCs w:val="18"/>
                <w:u w:val="single"/>
              </w:rPr>
              <w:t xml:space="preserve">                </w:t>
            </w:r>
            <w:r>
              <w:rPr>
                <w:rFonts w:hint="eastAsia" w:ascii="宋体" w:hAnsi="宋体" w:cs="宋体"/>
                <w:sz w:val="18"/>
                <w:szCs w:val="18"/>
              </w:rPr>
              <w:t>县(市、区、旗)</w:t>
            </w:r>
          </w:p>
          <w:p>
            <w:pPr>
              <w:snapToGrid w:val="0"/>
              <w:spacing w:line="280" w:lineRule="exact"/>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rPr>
              <w:t xml:space="preserve">乡（镇、街道）   </w:t>
            </w:r>
            <w:r>
              <w:rPr>
                <w:rFonts w:hint="eastAsia" w:ascii="宋体" w:hAnsi="宋体" w:cs="宋体"/>
                <w:sz w:val="18"/>
                <w:szCs w:val="18"/>
                <w:u w:val="single"/>
              </w:rPr>
              <w:t xml:space="preserve">                </w:t>
            </w:r>
            <w:r>
              <w:rPr>
                <w:rFonts w:hint="eastAsia" w:ascii="宋体" w:hAnsi="宋体" w:cs="宋体"/>
                <w:sz w:val="18"/>
                <w:szCs w:val="18"/>
              </w:rPr>
              <w:t>村（居）委会</w:t>
            </w:r>
            <w:r>
              <w:rPr>
                <w:rFonts w:hint="eastAsia" w:ascii="宋体" w:hAnsi="宋体" w:cs="宋体"/>
                <w:w w:val="120"/>
                <w:sz w:val="18"/>
                <w:szCs w:val="18"/>
              </w:rPr>
              <w:t xml:space="preserve"> </w:t>
            </w:r>
            <w:r>
              <w:rPr>
                <w:rFonts w:hint="eastAsia" w:ascii="宋体" w:hAnsi="宋体" w:cs="宋体"/>
                <w:sz w:val="18"/>
                <w:szCs w:val="18"/>
                <w:u w:val="single"/>
              </w:rPr>
              <w:t xml:space="preserve">  </w:t>
            </w:r>
            <w:r>
              <w:rPr>
                <w:rFonts w:hint="eastAsia" w:ascii="宋体" w:hAnsi="宋体" w:cs="宋体"/>
                <w:sz w:val="18"/>
                <w:szCs w:val="18"/>
                <w:u w:val="single"/>
                <w:lang w:val="en"/>
              </w:rPr>
              <w:t xml:space="preserve">    </w:t>
            </w:r>
            <w:r>
              <w:rPr>
                <w:rFonts w:hint="eastAsia" w:ascii="宋体" w:hAnsi="宋体" w:cs="宋体"/>
                <w:sz w:val="18"/>
                <w:szCs w:val="18"/>
                <w:u w:val="single"/>
              </w:rPr>
              <w:t xml:space="preserve">          </w:t>
            </w:r>
            <w:r>
              <w:rPr>
                <w:rFonts w:hint="eastAsia" w:ascii="宋体" w:hAnsi="宋体" w:cs="宋体"/>
                <w:sz w:val="18"/>
                <w:szCs w:val="18"/>
              </w:rPr>
              <w:t>街(路)、门牌号</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69" w:hRule="exact"/>
          <w:jc w:val="center"/>
        </w:trPr>
        <w:tc>
          <w:tcPr>
            <w:tcW w:w="492" w:type="dxa"/>
            <w:vMerge w:val="continue"/>
            <w:tcBorders>
              <w:top w:val="single" w:color="auto" w:sz="2" w:space="0"/>
              <w:left w:val="nil"/>
              <w:bottom w:val="single" w:color="auto" w:sz="2" w:space="0"/>
              <w:right w:val="single" w:color="auto" w:sz="2" w:space="0"/>
            </w:tcBorders>
            <w:shd w:val="clear" w:color="auto" w:fill="auto"/>
            <w:noWrap w:val="0"/>
            <w:vAlign w:val="center"/>
          </w:tcPr>
          <w:p>
            <w:pPr>
              <w:spacing w:line="220" w:lineRule="exact"/>
              <w:jc w:val="center"/>
              <w:rPr>
                <w:rFonts w:hint="eastAsia" w:ascii="宋体" w:hAnsi="宋体" w:cs="宋体"/>
                <w:b/>
                <w:bCs/>
                <w:sz w:val="18"/>
                <w:szCs w:val="18"/>
              </w:rPr>
            </w:pP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20" w:lineRule="exact"/>
              <w:ind w:firstLine="180" w:firstLineChars="100"/>
              <w:rPr>
                <w:rFonts w:hint="eastAsia" w:ascii="宋体" w:hAnsi="宋体" w:cs="宋体"/>
                <w:sz w:val="18"/>
                <w:szCs w:val="18"/>
              </w:rPr>
            </w:pPr>
            <w:r>
              <w:rPr>
                <w:rFonts w:hint="eastAsia" w:ascii="宋体" w:hAnsi="宋体" w:cs="宋体"/>
                <w:sz w:val="18"/>
                <w:szCs w:val="18"/>
              </w:rPr>
              <w:t xml:space="preserve">区划代码    □□□□□□□□□□□□            城乡代码    □□□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69" w:hRule="exact"/>
          <w:jc w:val="center"/>
        </w:trPr>
        <w:tc>
          <w:tcPr>
            <w:tcW w:w="492" w:type="dxa"/>
            <w:tcBorders>
              <w:top w:val="single" w:color="auto" w:sz="2" w:space="0"/>
              <w:left w:val="nil"/>
              <w:bottom w:val="single" w:color="auto" w:sz="2" w:space="0"/>
              <w:right w:val="single" w:color="auto" w:sz="2" w:space="0"/>
            </w:tcBorders>
            <w:noWrap w:val="0"/>
            <w:vAlign w:val="center"/>
          </w:tcPr>
          <w:p>
            <w:pPr>
              <w:snapToGrid w:val="0"/>
              <w:spacing w:line="220" w:lineRule="exact"/>
              <w:jc w:val="center"/>
              <w:rPr>
                <w:rFonts w:hint="eastAsia" w:ascii="宋体" w:hAnsi="宋体" w:cs="宋体"/>
                <w:b/>
                <w:bCs/>
                <w:sz w:val="18"/>
                <w:szCs w:val="18"/>
              </w:rPr>
            </w:pPr>
            <w:r>
              <w:rPr>
                <w:rFonts w:hint="eastAsia" w:ascii="宋体" w:hAnsi="宋体" w:cs="宋体"/>
                <w:b/>
                <w:bCs/>
                <w:sz w:val="18"/>
                <w:szCs w:val="18"/>
              </w:rPr>
              <w:t>208</w:t>
            </w:r>
          </w:p>
        </w:tc>
        <w:tc>
          <w:tcPr>
            <w:tcW w:w="9034" w:type="dxa"/>
            <w:gridSpan w:val="6"/>
            <w:tcBorders>
              <w:top w:val="single" w:color="auto" w:sz="2" w:space="0"/>
              <w:left w:val="single" w:color="auto" w:sz="2" w:space="0"/>
              <w:bottom w:val="single" w:color="auto" w:sz="2" w:space="0"/>
              <w:right w:val="nil"/>
            </w:tcBorders>
            <w:noWrap w:val="0"/>
            <w:vAlign w:val="center"/>
          </w:tcPr>
          <w:p>
            <w:pPr>
              <w:snapToGrid w:val="0"/>
              <w:rPr>
                <w:rFonts w:hint="eastAsia" w:ascii="宋体" w:hAnsi="宋体" w:cs="宋体"/>
                <w:sz w:val="18"/>
                <w:szCs w:val="18"/>
              </w:rPr>
            </w:pPr>
            <w:r>
              <w:rPr>
                <w:rFonts w:hint="eastAsia" w:ascii="宋体" w:hAnsi="宋体" w:cs="宋体"/>
                <w:sz w:val="18"/>
                <w:szCs w:val="18"/>
              </w:rPr>
              <w:t>运营状态  □  1正常运营 2停业(歇业) 3筹建 4当年关闭  5当年破产 6当年注销 7当年撤（吊）销 9其他</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747" w:hRule="atLeast"/>
          <w:jc w:val="center"/>
        </w:trPr>
        <w:tc>
          <w:tcPr>
            <w:tcW w:w="492" w:type="dxa"/>
            <w:vMerge w:val="restart"/>
            <w:tcBorders>
              <w:top w:val="single" w:color="auto" w:sz="2" w:space="0"/>
              <w:left w:val="nil"/>
              <w:bottom w:val="single" w:color="auto" w:sz="2"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103</w:t>
            </w:r>
          </w:p>
        </w:tc>
        <w:tc>
          <w:tcPr>
            <w:tcW w:w="9034" w:type="dxa"/>
            <w:gridSpan w:val="6"/>
            <w:tcBorders>
              <w:top w:val="single" w:color="auto" w:sz="2" w:space="0"/>
              <w:left w:val="single" w:color="auto" w:sz="2" w:space="0"/>
              <w:bottom w:val="single" w:color="auto" w:sz="2" w:space="0"/>
              <w:right w:val="nil"/>
            </w:tcBorders>
            <w:noWrap w:val="0"/>
            <w:vAlign w:val="center"/>
          </w:tcPr>
          <w:p>
            <w:pPr>
              <w:spacing w:line="220" w:lineRule="exact"/>
              <w:rPr>
                <w:rFonts w:hint="eastAsia" w:ascii="宋体" w:hAnsi="宋体" w:cs="宋体"/>
                <w:sz w:val="18"/>
                <w:szCs w:val="18"/>
              </w:rPr>
            </w:pPr>
            <w:r>
              <w:rPr>
                <w:rFonts w:hint="eastAsia" w:ascii="宋体" w:hAnsi="宋体" w:cs="宋体"/>
                <w:sz w:val="18"/>
                <w:szCs w:val="18"/>
              </w:rPr>
              <w:t xml:space="preserve">行业类别                                                    </w:t>
            </w:r>
          </w:p>
          <w:p>
            <w:pPr>
              <w:spacing w:line="220" w:lineRule="exact"/>
              <w:ind w:firstLine="180" w:firstLineChars="100"/>
              <w:rPr>
                <w:rFonts w:hint="eastAsia" w:ascii="宋体" w:hAnsi="宋体" w:cs="宋体"/>
                <w:sz w:val="18"/>
                <w:szCs w:val="18"/>
              </w:rPr>
            </w:pPr>
            <w:r>
              <w:rPr>
                <w:rFonts w:hint="eastAsia" w:ascii="宋体" w:hAnsi="宋体" w:cs="宋体"/>
                <w:sz w:val="18"/>
                <w:szCs w:val="18"/>
              </w:rPr>
              <w:t>主要业务活动</w:t>
            </w:r>
          </w:p>
          <w:p>
            <w:pPr>
              <w:spacing w:line="220" w:lineRule="exact"/>
              <w:ind w:firstLine="180" w:firstLineChars="100"/>
              <w:rPr>
                <w:rFonts w:hint="eastAsia" w:ascii="宋体" w:hAnsi="宋体" w:cs="宋体"/>
                <w:sz w:val="18"/>
                <w:szCs w:val="18"/>
              </w:rPr>
            </w:pPr>
            <w:r>
              <w:rPr>
                <w:rFonts w:hint="eastAsia" w:ascii="宋体" w:hAnsi="宋体" w:cs="宋体"/>
                <w:sz w:val="18"/>
                <w:szCs w:val="18"/>
              </w:rPr>
              <w:t>1</w:t>
            </w:r>
            <w:r>
              <w:rPr>
                <w:rFonts w:hint="eastAsia" w:ascii="宋体" w:hAnsi="宋体" w:cs="宋体"/>
                <w:sz w:val="18"/>
                <w:szCs w:val="18"/>
                <w:u w:val="single"/>
              </w:rPr>
              <w:t xml:space="preserve">                          </w:t>
            </w:r>
            <w:r>
              <w:rPr>
                <w:rFonts w:hint="eastAsia" w:ascii="宋体" w:hAnsi="宋体" w:cs="宋体"/>
                <w:sz w:val="18"/>
                <w:szCs w:val="18"/>
              </w:rPr>
              <w:t xml:space="preserve">    2</w:t>
            </w:r>
            <w:r>
              <w:rPr>
                <w:rFonts w:hint="eastAsia" w:ascii="宋体" w:hAnsi="宋体" w:cs="宋体"/>
                <w:sz w:val="18"/>
                <w:szCs w:val="18"/>
                <w:u w:val="single"/>
              </w:rPr>
              <w:t xml:space="preserve">                            </w:t>
            </w:r>
            <w:r>
              <w:rPr>
                <w:rFonts w:hint="eastAsia" w:ascii="宋体" w:hAnsi="宋体" w:cs="宋体"/>
                <w:sz w:val="18"/>
                <w:szCs w:val="18"/>
              </w:rPr>
              <w:t xml:space="preserve">    3</w:t>
            </w:r>
            <w:r>
              <w:rPr>
                <w:rFonts w:hint="eastAsia" w:ascii="宋体" w:hAnsi="宋体" w:cs="宋体"/>
                <w:sz w:val="18"/>
                <w:szCs w:val="18"/>
                <w:u w:val="single"/>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309" w:hRule="atLeast"/>
          <w:jc w:val="center"/>
        </w:trPr>
        <w:tc>
          <w:tcPr>
            <w:tcW w:w="492" w:type="dxa"/>
            <w:vMerge w:val="continue"/>
            <w:tcBorders>
              <w:top w:val="single" w:color="auto" w:sz="2" w:space="0"/>
              <w:left w:val="nil"/>
              <w:bottom w:val="single" w:color="auto" w:sz="2" w:space="0"/>
              <w:right w:val="single" w:color="auto" w:sz="2" w:space="0"/>
            </w:tcBorders>
            <w:shd w:val="clear" w:color="auto" w:fill="auto"/>
            <w:noWrap w:val="0"/>
            <w:vAlign w:val="center"/>
          </w:tcPr>
          <w:p>
            <w:pPr>
              <w:spacing w:line="220" w:lineRule="exact"/>
              <w:jc w:val="center"/>
              <w:rPr>
                <w:rFonts w:hint="eastAsia" w:ascii="宋体" w:hAnsi="宋体" w:cs="宋体"/>
                <w:b/>
                <w:bCs/>
                <w:sz w:val="18"/>
                <w:szCs w:val="18"/>
              </w:rPr>
            </w:pP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00" w:lineRule="exact"/>
              <w:ind w:firstLine="180" w:firstLineChars="100"/>
              <w:rPr>
                <w:rFonts w:hint="eastAsia" w:ascii="宋体" w:hAnsi="宋体" w:cs="宋体"/>
                <w:sz w:val="18"/>
                <w:szCs w:val="18"/>
              </w:rPr>
            </w:pPr>
            <w:r>
              <w:rPr>
                <w:rFonts w:hint="eastAsia" w:ascii="宋体" w:hAnsi="宋体" w:cs="宋体"/>
                <w:sz w:val="18"/>
                <w:szCs w:val="18"/>
              </w:rPr>
              <w:t>行业代码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730" w:hRule="atLeas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104</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20" w:lineRule="exact"/>
              <w:rPr>
                <w:rFonts w:hint="eastAsia" w:ascii="宋体" w:hAnsi="宋体" w:cs="宋体"/>
                <w:sz w:val="18"/>
                <w:szCs w:val="18"/>
              </w:rPr>
            </w:pPr>
            <w:r>
              <w:rPr>
                <w:rFonts w:hint="eastAsia" w:ascii="宋体" w:hAnsi="宋体" w:cs="宋体"/>
                <w:sz w:val="18"/>
                <w:szCs w:val="18"/>
              </w:rPr>
              <w:t>报表类别   □</w:t>
            </w:r>
          </w:p>
          <w:p>
            <w:pPr>
              <w:snapToGrid w:val="0"/>
              <w:spacing w:line="220" w:lineRule="exact"/>
              <w:ind w:firstLine="180" w:firstLineChars="100"/>
              <w:rPr>
                <w:rFonts w:hint="eastAsia" w:ascii="宋体" w:hAnsi="宋体" w:cs="宋体"/>
                <w:sz w:val="18"/>
                <w:szCs w:val="18"/>
              </w:rPr>
            </w:pPr>
            <w:r>
              <w:rPr>
                <w:rFonts w:hint="eastAsia" w:ascii="宋体" w:hAnsi="宋体" w:cs="宋体"/>
                <w:sz w:val="18"/>
                <w:szCs w:val="18"/>
              </w:rPr>
              <w:t xml:space="preserve">A 农业     　　　B 规模以上工业       B1规模以下工业         C 建筑业   </w:t>
            </w:r>
            <w:r>
              <w:rPr>
                <w:rFonts w:hint="eastAsia" w:ascii="宋体" w:hAnsi="宋体" w:cs="宋体"/>
                <w:w w:val="120"/>
                <w:sz w:val="18"/>
                <w:szCs w:val="18"/>
              </w:rPr>
              <w:t xml:space="preserve"> </w:t>
            </w:r>
            <w:r>
              <w:rPr>
                <w:rFonts w:hint="eastAsia" w:ascii="宋体" w:hAnsi="宋体" w:cs="宋体"/>
                <w:sz w:val="18"/>
                <w:szCs w:val="18"/>
              </w:rPr>
              <w:t xml:space="preserve">    E 批发和零售业 </w:t>
            </w:r>
          </w:p>
          <w:p>
            <w:pPr>
              <w:tabs>
                <w:tab w:val="left" w:pos="5237"/>
              </w:tabs>
              <w:spacing w:line="220" w:lineRule="exact"/>
              <w:ind w:firstLine="180" w:firstLineChars="100"/>
              <w:rPr>
                <w:rFonts w:hint="eastAsia" w:ascii="宋体" w:hAnsi="宋体" w:cs="宋体"/>
                <w:sz w:val="18"/>
                <w:szCs w:val="18"/>
              </w:rPr>
            </w:pPr>
            <w:r>
              <w:rPr>
                <w:rFonts w:hint="eastAsia" w:ascii="宋体" w:hAnsi="宋体" w:cs="宋体"/>
                <w:sz w:val="18"/>
                <w:szCs w:val="18"/>
              </w:rPr>
              <w:t xml:space="preserve">S 住宿和餐饮业 </w:t>
            </w:r>
            <w:r>
              <w:rPr>
                <w:rFonts w:hint="eastAsia" w:ascii="宋体" w:hAnsi="宋体" w:cs="宋体"/>
                <w:w w:val="110"/>
                <w:sz w:val="18"/>
                <w:szCs w:val="18"/>
              </w:rPr>
              <w:t xml:space="preserve">  </w:t>
            </w:r>
            <w:r>
              <w:rPr>
                <w:rFonts w:hint="eastAsia" w:ascii="宋体" w:hAnsi="宋体" w:cs="宋体"/>
                <w:sz w:val="18"/>
                <w:szCs w:val="18"/>
              </w:rPr>
              <w:t>X 房地产开发经营业   F 规模以上服务业　　</w:t>
            </w:r>
            <w:r>
              <w:rPr>
                <w:rFonts w:hint="eastAsia" w:ascii="宋体" w:hAnsi="宋体" w:cs="宋体"/>
                <w:w w:val="80"/>
                <w:sz w:val="18"/>
                <w:szCs w:val="18"/>
              </w:rPr>
              <w:t>　</w:t>
            </w:r>
            <w:r>
              <w:rPr>
                <w:rFonts w:hint="eastAsia" w:ascii="宋体" w:hAnsi="宋体" w:cs="宋体"/>
                <w:sz w:val="18"/>
                <w:szCs w:val="18"/>
              </w:rPr>
              <w:t xml:space="preserve">　H 投资    　　　U 其他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69"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191</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40" w:lineRule="exact"/>
              <w:ind w:right="56" w:rightChars="27"/>
              <w:rPr>
                <w:rFonts w:hint="eastAsia" w:ascii="宋体" w:hAnsi="宋体" w:cs="宋体"/>
                <w:sz w:val="18"/>
                <w:szCs w:val="18"/>
              </w:rPr>
            </w:pPr>
            <w:r>
              <w:rPr>
                <w:rFonts w:hint="eastAsia" w:ascii="宋体" w:hAnsi="宋体" w:cs="宋体"/>
                <w:sz w:val="18"/>
                <w:szCs w:val="18"/>
              </w:rPr>
              <w:t>单位规模   □        1 大型          2 中型          3 小型           4 微型</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369"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192</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20" w:lineRule="exact"/>
              <w:rPr>
                <w:rFonts w:hint="eastAsia" w:ascii="宋体" w:hAnsi="宋体" w:cs="宋体"/>
                <w:sz w:val="18"/>
                <w:szCs w:val="18"/>
              </w:rPr>
            </w:pPr>
            <w:r>
              <w:rPr>
                <w:rFonts w:hint="eastAsia" w:ascii="宋体" w:hAnsi="宋体" w:cs="宋体"/>
                <w:sz w:val="18"/>
                <w:szCs w:val="18"/>
              </w:rPr>
              <w:t>从业人员    从业人员期末人数</w:t>
            </w:r>
            <w:r>
              <w:rPr>
                <w:rFonts w:hint="eastAsia" w:ascii="宋体" w:hAnsi="宋体" w:cs="宋体"/>
                <w:sz w:val="18"/>
                <w:szCs w:val="18"/>
                <w:u w:val="single"/>
              </w:rPr>
              <w:t xml:space="preserve">               </w:t>
            </w:r>
            <w:r>
              <w:rPr>
                <w:rFonts w:hint="eastAsia" w:ascii="宋体" w:hAnsi="宋体" w:cs="宋体"/>
                <w:sz w:val="18"/>
                <w:szCs w:val="18"/>
              </w:rPr>
              <w:t>人         其中：女性</w:t>
            </w:r>
            <w:r>
              <w:rPr>
                <w:rFonts w:hint="eastAsia" w:ascii="宋体" w:hAnsi="宋体" w:cs="宋体"/>
                <w:sz w:val="18"/>
                <w:szCs w:val="18"/>
                <w:u w:val="single"/>
              </w:rPr>
              <w:t xml:space="preserve">              </w:t>
            </w:r>
            <w:r>
              <w:rPr>
                <w:rFonts w:hint="eastAsia" w:ascii="宋体" w:hAnsi="宋体" w:cs="宋体"/>
                <w:sz w:val="18"/>
                <w:szCs w:val="18"/>
              </w:rPr>
              <w:t>人</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trHeight w:val="810" w:hRule="exact"/>
          <w:jc w:val="center"/>
        </w:trPr>
        <w:tc>
          <w:tcPr>
            <w:tcW w:w="492" w:type="dxa"/>
            <w:tcBorders>
              <w:top w:val="single" w:color="auto" w:sz="2" w:space="0"/>
              <w:left w:val="nil"/>
              <w:bottom w:val="single" w:color="auto" w:sz="2" w:space="0"/>
              <w:right w:val="single" w:color="auto" w:sz="2" w:space="0"/>
            </w:tcBorders>
            <w:shd w:val="clear" w:color="auto" w:fill="D7D7D7"/>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193</w:t>
            </w:r>
          </w:p>
        </w:tc>
        <w:tc>
          <w:tcPr>
            <w:tcW w:w="9034" w:type="dxa"/>
            <w:gridSpan w:val="6"/>
            <w:tcBorders>
              <w:top w:val="single" w:color="auto" w:sz="2" w:space="0"/>
              <w:left w:val="single" w:color="auto" w:sz="2" w:space="0"/>
              <w:bottom w:val="single" w:color="auto" w:sz="2" w:space="0"/>
              <w:right w:val="nil"/>
            </w:tcBorders>
            <w:shd w:val="clear" w:color="auto" w:fill="D7D7D7"/>
            <w:noWrap w:val="0"/>
            <w:vAlign w:val="center"/>
          </w:tcPr>
          <w:p>
            <w:pPr>
              <w:spacing w:line="240" w:lineRule="exact"/>
              <w:rPr>
                <w:rFonts w:hint="eastAsia" w:ascii="宋体" w:hAnsi="宋体" w:cs="宋体"/>
                <w:sz w:val="18"/>
                <w:szCs w:val="18"/>
              </w:rPr>
            </w:pPr>
            <w:r>
              <w:rPr>
                <w:rFonts w:hint="eastAsia" w:ascii="宋体" w:hAnsi="宋体" w:cs="宋体"/>
                <w:sz w:val="18"/>
                <w:szCs w:val="18"/>
              </w:rPr>
              <w:t>企业主要经济指标</w:t>
            </w:r>
          </w:p>
          <w:p>
            <w:pPr>
              <w:spacing w:line="240" w:lineRule="exact"/>
              <w:ind w:left="178" w:leftChars="85"/>
              <w:rPr>
                <w:rFonts w:hint="eastAsia" w:ascii="宋体" w:hAnsi="宋体" w:cs="宋体"/>
                <w:sz w:val="18"/>
                <w:szCs w:val="18"/>
              </w:rPr>
            </w:pPr>
            <w:r>
              <w:rPr>
                <w:rFonts w:hint="eastAsia" w:ascii="宋体" w:hAnsi="宋体" w:cs="宋体"/>
                <w:sz w:val="18"/>
                <w:szCs w:val="18"/>
              </w:rPr>
              <w:t>营业收入</w:t>
            </w:r>
            <w:r>
              <w:rPr>
                <w:rFonts w:hint="eastAsia" w:ascii="宋体" w:hAnsi="宋体" w:cs="宋体"/>
                <w:sz w:val="18"/>
                <w:szCs w:val="18"/>
                <w:u w:val="single"/>
              </w:rPr>
              <w:t xml:space="preserve">            </w:t>
            </w:r>
            <w:r>
              <w:rPr>
                <w:rFonts w:hint="eastAsia" w:ascii="宋体" w:hAnsi="宋体" w:cs="宋体"/>
                <w:sz w:val="18"/>
                <w:szCs w:val="18"/>
              </w:rPr>
              <w:t>千元     其中：主营业务收入</w:t>
            </w:r>
            <w:r>
              <w:rPr>
                <w:rFonts w:hint="eastAsia" w:ascii="宋体" w:hAnsi="宋体" w:cs="宋体"/>
                <w:sz w:val="18"/>
                <w:szCs w:val="18"/>
                <w:u w:val="single"/>
              </w:rPr>
              <w:t xml:space="preserve">            </w:t>
            </w:r>
            <w:r>
              <w:rPr>
                <w:rFonts w:hint="eastAsia" w:ascii="宋体" w:hAnsi="宋体" w:cs="宋体"/>
                <w:sz w:val="18"/>
                <w:szCs w:val="18"/>
              </w:rPr>
              <w:t>千元    资产总计</w:t>
            </w:r>
            <w:r>
              <w:rPr>
                <w:rFonts w:hint="eastAsia" w:ascii="宋体" w:hAnsi="宋体" w:cs="宋体"/>
                <w:sz w:val="18"/>
                <w:szCs w:val="18"/>
                <w:u w:val="single"/>
              </w:rPr>
              <w:t xml:space="preserve">            </w:t>
            </w:r>
            <w:r>
              <w:rPr>
                <w:rFonts w:hint="eastAsia" w:ascii="宋体" w:hAnsi="宋体" w:cs="宋体"/>
                <w:sz w:val="18"/>
                <w:szCs w:val="18"/>
              </w:rPr>
              <w:t>千元      利润总额</w:t>
            </w:r>
            <w:r>
              <w:rPr>
                <w:rFonts w:hint="eastAsia" w:ascii="宋体" w:hAnsi="宋体" w:cs="宋体"/>
                <w:sz w:val="18"/>
                <w:szCs w:val="18"/>
                <w:u w:val="single"/>
              </w:rPr>
              <w:t xml:space="preserve">             </w:t>
            </w:r>
            <w:r>
              <w:rPr>
                <w:rFonts w:hint="eastAsia" w:ascii="宋体" w:hAnsi="宋体" w:cs="宋体"/>
                <w:sz w:val="18"/>
                <w:szCs w:val="18"/>
              </w:rPr>
              <w:t>千元</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1050" w:hRule="atLeast"/>
          <w:jc w:val="center"/>
        </w:trPr>
        <w:tc>
          <w:tcPr>
            <w:tcW w:w="492" w:type="dxa"/>
            <w:tcBorders>
              <w:top w:val="single" w:color="auto" w:sz="2" w:space="0"/>
              <w:left w:val="nil"/>
              <w:bottom w:val="single" w:color="auto" w:sz="8" w:space="0"/>
              <w:right w:val="single" w:color="auto" w:sz="2" w:space="0"/>
            </w:tcBorders>
            <w:noWrap w:val="0"/>
            <w:vAlign w:val="center"/>
          </w:tcPr>
          <w:p>
            <w:pPr>
              <w:spacing w:line="220" w:lineRule="exact"/>
              <w:jc w:val="center"/>
              <w:rPr>
                <w:rFonts w:hint="eastAsia" w:ascii="宋体" w:hAnsi="宋体" w:cs="宋体"/>
                <w:b/>
                <w:bCs/>
                <w:sz w:val="18"/>
                <w:szCs w:val="18"/>
              </w:rPr>
            </w:pPr>
            <w:r>
              <w:rPr>
                <w:rFonts w:hint="eastAsia" w:ascii="宋体" w:hAnsi="宋体" w:cs="宋体"/>
                <w:b/>
                <w:bCs/>
                <w:sz w:val="18"/>
                <w:szCs w:val="18"/>
              </w:rPr>
              <w:t>211</w:t>
            </w:r>
          </w:p>
        </w:tc>
        <w:tc>
          <w:tcPr>
            <w:tcW w:w="9034" w:type="dxa"/>
            <w:gridSpan w:val="6"/>
            <w:tcBorders>
              <w:top w:val="single" w:color="auto" w:sz="2" w:space="0"/>
              <w:left w:val="single" w:color="auto" w:sz="2" w:space="0"/>
              <w:bottom w:val="single" w:color="auto" w:sz="8" w:space="0"/>
              <w:right w:val="nil"/>
            </w:tcBorders>
            <w:noWrap w:val="0"/>
            <w:vAlign w:val="center"/>
          </w:tcPr>
          <w:p>
            <w:pPr>
              <w:spacing w:line="240" w:lineRule="exact"/>
              <w:rPr>
                <w:rFonts w:hint="eastAsia" w:ascii="宋体" w:hAnsi="宋体" w:cs="宋体"/>
                <w:sz w:val="18"/>
                <w:szCs w:val="18"/>
              </w:rPr>
            </w:pPr>
            <w:r>
              <w:rPr>
                <w:rFonts w:hint="eastAsia" w:ascii="宋体" w:hAnsi="宋体" w:cs="宋体"/>
                <w:sz w:val="18"/>
                <w:szCs w:val="18"/>
              </w:rPr>
              <w:t>机构类型   □□</w:t>
            </w:r>
          </w:p>
          <w:p>
            <w:pPr>
              <w:spacing w:line="240" w:lineRule="exact"/>
              <w:ind w:firstLine="180" w:firstLineChars="100"/>
              <w:rPr>
                <w:rFonts w:hint="eastAsia" w:ascii="宋体" w:hAnsi="宋体" w:cs="宋体"/>
                <w:sz w:val="18"/>
                <w:szCs w:val="18"/>
              </w:rPr>
            </w:pPr>
            <w:r>
              <w:rPr>
                <w:rFonts w:hint="eastAsia" w:ascii="宋体" w:hAnsi="宋体" w:cs="宋体"/>
                <w:sz w:val="18"/>
                <w:szCs w:val="18"/>
              </w:rPr>
              <w:t>10 企业          20 事业单位        30 机关          40 社会团体            51 民办非企业单位</w:t>
            </w:r>
          </w:p>
          <w:p>
            <w:pPr>
              <w:spacing w:line="240" w:lineRule="exact"/>
              <w:ind w:firstLine="180" w:firstLineChars="100"/>
              <w:rPr>
                <w:rFonts w:hint="eastAsia" w:ascii="宋体" w:hAnsi="宋体" w:cs="宋体"/>
                <w:sz w:val="18"/>
                <w:szCs w:val="18"/>
              </w:rPr>
            </w:pPr>
            <w:r>
              <w:rPr>
                <w:rFonts w:hint="eastAsia" w:ascii="宋体" w:hAnsi="宋体" w:cs="宋体"/>
                <w:sz w:val="18"/>
                <w:szCs w:val="18"/>
              </w:rPr>
              <w:t>52 基金会        53 居委会          54 村委会        55 农民专业合作社      56 农村集体经济组织</w:t>
            </w:r>
          </w:p>
          <w:p>
            <w:pPr>
              <w:widowControl/>
              <w:spacing w:line="240" w:lineRule="exact"/>
              <w:ind w:firstLine="180" w:firstLineChars="100"/>
              <w:rPr>
                <w:rFonts w:hint="eastAsia" w:ascii="宋体" w:hAnsi="宋体" w:cs="宋体"/>
                <w:sz w:val="18"/>
                <w:szCs w:val="18"/>
              </w:rPr>
            </w:pPr>
            <w:r>
              <w:rPr>
                <w:rFonts w:hint="eastAsia" w:ascii="宋体" w:hAnsi="宋体" w:cs="宋体"/>
                <w:sz w:val="18"/>
                <w:szCs w:val="18"/>
              </w:rPr>
              <w:t>90 其他组织机构</w:t>
            </w:r>
          </w:p>
        </w:tc>
      </w:tr>
    </w:tbl>
    <w:p>
      <w:pPr>
        <w:keepNext w:val="0"/>
        <w:keepLines w:val="0"/>
        <w:pageBreakBefore w:val="0"/>
        <w:widowControl w:val="0"/>
        <w:kinsoku/>
        <w:wordWrap/>
        <w:overflowPunct/>
        <w:topLinePunct w:val="0"/>
        <w:autoSpaceDE/>
        <w:autoSpaceDN/>
        <w:bidi w:val="0"/>
        <w:adjustRightInd/>
        <w:snapToGrid/>
        <w:spacing w:line="240" w:lineRule="exact"/>
        <w:ind w:left="-210" w:leftChars="-100"/>
        <w:textAlignment w:val="auto"/>
        <w:rPr>
          <w:rFonts w:hint="eastAsia" w:ascii="宋体" w:hAnsi="宋体" w:eastAsia="宋体" w:cs="宋体"/>
          <w:bCs/>
          <w:kern w:val="0"/>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210" w:leftChars="-100"/>
        <w:textAlignment w:val="auto"/>
        <w:rPr>
          <w:rFonts w:hint="eastAsia" w:ascii="宋体" w:hAnsi="宋体" w:eastAsia="宋体" w:cs="宋体"/>
          <w:bCs/>
          <w:kern w:val="0"/>
          <w:sz w:val="18"/>
          <w:szCs w:val="18"/>
        </w:rPr>
      </w:pPr>
      <w:r>
        <w:rPr>
          <w:rFonts w:hint="eastAsia" w:ascii="宋体" w:hAnsi="宋体" w:eastAsia="宋体" w:cs="宋体"/>
          <w:bCs/>
          <w:kern w:val="0"/>
          <w:sz w:val="18"/>
          <w:szCs w:val="18"/>
        </w:rPr>
        <w:t xml:space="preserve"> 续表</w:t>
      </w:r>
    </w:p>
    <w:tbl>
      <w:tblPr>
        <w:tblStyle w:val="17"/>
        <w:tblW w:w="9526" w:type="dxa"/>
        <w:jc w:val="center"/>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468"/>
        <w:gridCol w:w="9058"/>
      </w:tblGrid>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2710" w:hRule="atLeast"/>
          <w:jc w:val="center"/>
        </w:trPr>
        <w:tc>
          <w:tcPr>
            <w:tcW w:w="480" w:type="dxa"/>
            <w:tcBorders>
              <w:top w:val="single" w:color="auto" w:sz="8" w:space="0"/>
              <w:left w:val="nil"/>
            </w:tcBorders>
            <w:noWrap w:val="0"/>
            <w:tcMar>
              <w:top w:w="0" w:type="dxa"/>
              <w:left w:w="57" w:type="dxa"/>
              <w:bottom w:w="0" w:type="dxa"/>
              <w:right w:w="57" w:type="dxa"/>
            </w:tcMar>
            <w:vAlign w:val="center"/>
          </w:tcPr>
          <w:p>
            <w:pPr>
              <w:spacing w:line="240" w:lineRule="exact"/>
              <w:jc w:val="center"/>
              <w:rPr>
                <w:rFonts w:hint="eastAsia" w:ascii="宋体" w:hAnsi="宋体" w:cs="宋体"/>
                <w:b/>
                <w:bCs/>
                <w:sz w:val="18"/>
                <w:szCs w:val="18"/>
              </w:rPr>
            </w:pPr>
            <w:r>
              <w:rPr>
                <w:rFonts w:hint="eastAsia" w:ascii="宋体" w:hAnsi="宋体" w:cs="宋体"/>
                <w:b/>
                <w:bCs/>
                <w:sz w:val="18"/>
                <w:szCs w:val="18"/>
              </w:rPr>
              <w:t>205</w:t>
            </w:r>
          </w:p>
        </w:tc>
        <w:tc>
          <w:tcPr>
            <w:tcW w:w="9381" w:type="dxa"/>
            <w:tcBorders>
              <w:top w:val="single" w:color="auto" w:sz="8" w:space="0"/>
              <w:right w:val="nil"/>
            </w:tcBorders>
            <w:noWrap w:val="0"/>
            <w:vAlign w:val="center"/>
          </w:tcPr>
          <w:p>
            <w:pPr>
              <w:spacing w:line="240" w:lineRule="exact"/>
              <w:rPr>
                <w:rFonts w:hint="eastAsia" w:ascii="宋体" w:hAnsi="宋体" w:cs="宋体"/>
              </w:rPr>
            </w:pPr>
            <w:r>
              <w:rPr>
                <w:rFonts w:hint="eastAsia" w:ascii="宋体" w:hAnsi="宋体" w:cs="宋体"/>
                <w:sz w:val="18"/>
                <w:szCs w:val="18"/>
              </w:rPr>
              <w:t xml:space="preserve">登记注册统计类别   □□□  </w:t>
            </w:r>
          </w:p>
          <w:p>
            <w:pPr>
              <w:tabs>
                <w:tab w:val="left" w:pos="630"/>
              </w:tabs>
              <w:spacing w:line="240" w:lineRule="exact"/>
              <w:rPr>
                <w:rFonts w:hint="eastAsia" w:ascii="宋体" w:hAnsi="宋体" w:cs="宋体"/>
                <w:sz w:val="18"/>
                <w:szCs w:val="18"/>
              </w:rPr>
            </w:pPr>
            <w:r>
              <w:rPr>
                <w:rFonts w:hint="eastAsia" w:ascii="宋体" w:hAnsi="宋体" w:cs="宋体"/>
                <w:b/>
                <w:bCs/>
                <w:sz w:val="18"/>
                <w:szCs w:val="18"/>
              </w:rPr>
              <w:t>内资企业</w:t>
            </w:r>
          </w:p>
          <w:p>
            <w:pPr>
              <w:tabs>
                <w:tab w:val="left" w:pos="630"/>
              </w:tabs>
              <w:spacing w:line="240" w:lineRule="exact"/>
              <w:ind w:firstLine="180" w:firstLineChars="100"/>
              <w:rPr>
                <w:rFonts w:hint="eastAsia" w:ascii="宋体" w:hAnsi="宋体" w:cs="宋体"/>
                <w:sz w:val="18"/>
                <w:szCs w:val="18"/>
                <w:lang w:val="en"/>
              </w:rPr>
            </w:pPr>
            <w:r>
              <w:rPr>
                <w:rFonts w:hint="eastAsia" w:ascii="宋体" w:hAnsi="宋体" w:cs="宋体"/>
                <w:sz w:val="18"/>
                <w:szCs w:val="18"/>
                <w:lang w:val="en"/>
              </w:rPr>
              <w:t xml:space="preserve">111 国有独资公司 </w:t>
            </w:r>
            <w:r>
              <w:rPr>
                <w:rFonts w:hint="eastAsia" w:ascii="宋体" w:hAnsi="宋体" w:cs="宋体"/>
                <w:sz w:val="18"/>
                <w:szCs w:val="18"/>
              </w:rPr>
              <w:t xml:space="preserve">          </w:t>
            </w:r>
            <w:r>
              <w:rPr>
                <w:rFonts w:hint="eastAsia" w:ascii="宋体" w:hAnsi="宋体" w:cs="宋体"/>
                <w:sz w:val="18"/>
                <w:szCs w:val="18"/>
                <w:lang w:val="en"/>
              </w:rPr>
              <w:t xml:space="preserve">112 私营有限责任公司 </w:t>
            </w:r>
            <w:r>
              <w:rPr>
                <w:rFonts w:hint="eastAsia" w:ascii="宋体" w:hAnsi="宋体" w:cs="宋体"/>
                <w:sz w:val="18"/>
                <w:szCs w:val="18"/>
              </w:rPr>
              <w:t xml:space="preserve">      </w:t>
            </w:r>
            <w:r>
              <w:rPr>
                <w:rFonts w:hint="eastAsia" w:ascii="宋体" w:hAnsi="宋体" w:cs="宋体"/>
                <w:sz w:val="18"/>
                <w:szCs w:val="18"/>
                <w:lang w:val="en"/>
              </w:rPr>
              <w:t>119 其他有限责任公司</w:t>
            </w:r>
          </w:p>
          <w:p>
            <w:pPr>
              <w:tabs>
                <w:tab w:val="left" w:pos="630"/>
              </w:tabs>
              <w:spacing w:line="240" w:lineRule="exact"/>
              <w:ind w:firstLine="180" w:firstLineChars="100"/>
              <w:rPr>
                <w:rFonts w:hint="eastAsia" w:ascii="宋体" w:hAnsi="宋体" w:cs="宋体"/>
                <w:sz w:val="18"/>
                <w:szCs w:val="18"/>
              </w:rPr>
            </w:pPr>
            <w:r>
              <w:rPr>
                <w:rFonts w:hint="eastAsia" w:ascii="宋体" w:hAnsi="宋体" w:cs="宋体"/>
                <w:sz w:val="18"/>
                <w:szCs w:val="18"/>
              </w:rPr>
              <w:t>121 私营股份有限公司       129 其他股份有限公司</w:t>
            </w:r>
          </w:p>
          <w:p>
            <w:pPr>
              <w:tabs>
                <w:tab w:val="left" w:pos="630"/>
              </w:tabs>
              <w:spacing w:line="240" w:lineRule="exact"/>
              <w:ind w:firstLine="180" w:firstLineChars="100"/>
              <w:rPr>
                <w:rFonts w:hint="eastAsia" w:ascii="宋体" w:hAnsi="宋体" w:cs="宋体"/>
                <w:sz w:val="18"/>
                <w:szCs w:val="18"/>
              </w:rPr>
            </w:pPr>
            <w:r>
              <w:rPr>
                <w:rFonts w:hint="eastAsia" w:ascii="宋体" w:hAnsi="宋体" w:cs="宋体"/>
                <w:sz w:val="18"/>
                <w:szCs w:val="18"/>
              </w:rPr>
              <w:t xml:space="preserve">131 </w:t>
            </w:r>
            <w:r>
              <w:rPr>
                <w:rFonts w:hint="eastAsia" w:ascii="宋体" w:hAnsi="宋体" w:cs="宋体"/>
                <w:spacing w:val="-6"/>
                <w:sz w:val="18"/>
                <w:szCs w:val="18"/>
              </w:rPr>
              <w:t>全民所有制企业(国有企业)</w:t>
            </w:r>
            <w:r>
              <w:rPr>
                <w:rFonts w:hint="eastAsia" w:ascii="宋体" w:hAnsi="宋体" w:cs="宋体"/>
                <w:w w:val="75"/>
                <w:sz w:val="18"/>
                <w:szCs w:val="18"/>
              </w:rPr>
              <w:t xml:space="preserve">  </w:t>
            </w:r>
            <w:r>
              <w:rPr>
                <w:rFonts w:hint="eastAsia" w:ascii="宋体" w:hAnsi="宋体" w:cs="宋体"/>
                <w:sz w:val="18"/>
                <w:szCs w:val="18"/>
              </w:rPr>
              <w:t xml:space="preserve">132 </w:t>
            </w:r>
            <w:r>
              <w:rPr>
                <w:rFonts w:hint="eastAsia" w:ascii="宋体" w:hAnsi="宋体" w:cs="宋体"/>
                <w:spacing w:val="-6"/>
                <w:sz w:val="18"/>
                <w:szCs w:val="18"/>
              </w:rPr>
              <w:t>集体所有制企业(集体企业)</w:t>
            </w:r>
            <w:r>
              <w:rPr>
                <w:rFonts w:hint="eastAsia" w:ascii="宋体" w:hAnsi="宋体" w:cs="宋体"/>
                <w:spacing w:val="-6"/>
                <w:w w:val="80"/>
                <w:sz w:val="18"/>
                <w:szCs w:val="18"/>
              </w:rPr>
              <w:t xml:space="preserve"> </w:t>
            </w:r>
            <w:r>
              <w:rPr>
                <w:rFonts w:hint="eastAsia" w:ascii="宋体" w:hAnsi="宋体" w:cs="宋体"/>
                <w:w w:val="80"/>
                <w:sz w:val="18"/>
                <w:szCs w:val="18"/>
              </w:rPr>
              <w:t xml:space="preserve"> </w:t>
            </w:r>
            <w:r>
              <w:rPr>
                <w:rFonts w:hint="eastAsia" w:ascii="宋体" w:hAnsi="宋体" w:cs="宋体"/>
                <w:sz w:val="18"/>
                <w:szCs w:val="18"/>
              </w:rPr>
              <w:t xml:space="preserve">133 股份合作企业     </w:t>
            </w:r>
            <w:r>
              <w:rPr>
                <w:rFonts w:hint="eastAsia" w:ascii="宋体" w:hAnsi="宋体" w:cs="宋体"/>
                <w:w w:val="110"/>
                <w:sz w:val="18"/>
                <w:szCs w:val="18"/>
              </w:rPr>
              <w:t xml:space="preserve"> </w:t>
            </w:r>
            <w:r>
              <w:rPr>
                <w:rFonts w:hint="eastAsia" w:ascii="宋体" w:hAnsi="宋体" w:cs="宋体"/>
                <w:sz w:val="18"/>
                <w:szCs w:val="18"/>
              </w:rPr>
              <w:t xml:space="preserve"> 134 联营企业</w:t>
            </w:r>
          </w:p>
          <w:p>
            <w:pPr>
              <w:tabs>
                <w:tab w:val="left" w:pos="630"/>
              </w:tabs>
              <w:spacing w:line="240" w:lineRule="exact"/>
              <w:ind w:firstLine="180" w:firstLineChars="100"/>
              <w:rPr>
                <w:rFonts w:hint="eastAsia" w:ascii="宋体" w:hAnsi="宋体" w:cs="宋体"/>
                <w:sz w:val="18"/>
                <w:szCs w:val="18"/>
                <w:lang w:val="en"/>
              </w:rPr>
            </w:pPr>
            <w:r>
              <w:rPr>
                <w:rFonts w:hint="eastAsia" w:ascii="宋体" w:hAnsi="宋体" w:cs="宋体"/>
                <w:sz w:val="18"/>
                <w:szCs w:val="18"/>
              </w:rPr>
              <w:t>140</w:t>
            </w:r>
            <w:r>
              <w:rPr>
                <w:rFonts w:hint="eastAsia" w:ascii="宋体" w:hAnsi="宋体" w:cs="宋体"/>
                <w:sz w:val="18"/>
                <w:szCs w:val="18"/>
                <w:lang w:val="en"/>
              </w:rPr>
              <w:t xml:space="preserve"> </w:t>
            </w:r>
            <w:r>
              <w:rPr>
                <w:rFonts w:hint="eastAsia" w:ascii="宋体" w:hAnsi="宋体" w:cs="宋体"/>
                <w:sz w:val="18"/>
                <w:szCs w:val="18"/>
              </w:rPr>
              <w:t xml:space="preserve">个人独资企业          </w:t>
            </w:r>
            <w:r>
              <w:rPr>
                <w:rFonts w:hint="eastAsia" w:ascii="宋体" w:hAnsi="宋体" w:cs="宋体"/>
                <w:sz w:val="18"/>
                <w:szCs w:val="18"/>
                <w:lang w:val="en"/>
              </w:rPr>
              <w:t xml:space="preserve"> </w:t>
            </w:r>
            <w:r>
              <w:rPr>
                <w:rFonts w:hint="eastAsia" w:ascii="宋体" w:hAnsi="宋体" w:cs="宋体"/>
                <w:sz w:val="18"/>
                <w:szCs w:val="18"/>
              </w:rPr>
              <w:t>150</w:t>
            </w:r>
            <w:r>
              <w:rPr>
                <w:rFonts w:hint="eastAsia" w:ascii="宋体" w:hAnsi="宋体" w:cs="宋体"/>
                <w:sz w:val="18"/>
                <w:szCs w:val="18"/>
                <w:lang w:val="en"/>
              </w:rPr>
              <w:t xml:space="preserve"> </w:t>
            </w:r>
            <w:r>
              <w:rPr>
                <w:rFonts w:hint="eastAsia" w:ascii="宋体" w:hAnsi="宋体" w:cs="宋体"/>
                <w:sz w:val="18"/>
                <w:szCs w:val="18"/>
              </w:rPr>
              <w:t>合伙企业</w:t>
            </w:r>
            <w:r>
              <w:rPr>
                <w:rFonts w:hint="eastAsia" w:ascii="宋体" w:hAnsi="宋体" w:cs="宋体"/>
                <w:sz w:val="18"/>
                <w:szCs w:val="18"/>
                <w:lang w:val="en"/>
              </w:rPr>
              <w:t xml:space="preserve"> </w:t>
            </w:r>
            <w:r>
              <w:rPr>
                <w:rFonts w:hint="eastAsia" w:ascii="宋体" w:hAnsi="宋体" w:cs="宋体"/>
                <w:sz w:val="18"/>
                <w:szCs w:val="18"/>
              </w:rPr>
              <w:t xml:space="preserve">              190</w:t>
            </w:r>
            <w:r>
              <w:rPr>
                <w:rFonts w:hint="eastAsia" w:ascii="宋体" w:hAnsi="宋体" w:cs="宋体"/>
                <w:sz w:val="18"/>
                <w:szCs w:val="18"/>
                <w:lang w:val="en"/>
              </w:rPr>
              <w:t xml:space="preserve"> </w:t>
            </w:r>
            <w:r>
              <w:rPr>
                <w:rFonts w:hint="eastAsia" w:ascii="宋体" w:hAnsi="宋体" w:cs="宋体"/>
                <w:sz w:val="18"/>
                <w:szCs w:val="18"/>
              </w:rPr>
              <w:t>其他内资企业</w:t>
            </w:r>
          </w:p>
          <w:p>
            <w:pPr>
              <w:tabs>
                <w:tab w:val="left" w:pos="630"/>
              </w:tabs>
              <w:spacing w:line="240" w:lineRule="exact"/>
              <w:rPr>
                <w:rFonts w:hint="eastAsia" w:ascii="宋体" w:hAnsi="宋体" w:cs="宋体"/>
                <w:sz w:val="18"/>
                <w:szCs w:val="18"/>
                <w:lang w:val="en"/>
              </w:rPr>
            </w:pPr>
            <w:r>
              <w:rPr>
                <w:rFonts w:hint="eastAsia" w:ascii="宋体" w:hAnsi="宋体" w:cs="宋体"/>
                <w:b/>
                <w:bCs/>
                <w:sz w:val="18"/>
                <w:szCs w:val="18"/>
              </w:rPr>
              <w:t>港澳台投资企业</w:t>
            </w:r>
          </w:p>
          <w:p>
            <w:pPr>
              <w:tabs>
                <w:tab w:val="left" w:pos="630"/>
              </w:tabs>
              <w:spacing w:line="240" w:lineRule="exact"/>
              <w:ind w:firstLine="180" w:firstLineChars="100"/>
              <w:rPr>
                <w:rFonts w:hint="eastAsia" w:ascii="宋体" w:hAnsi="宋体" w:cs="宋体"/>
                <w:sz w:val="18"/>
                <w:szCs w:val="18"/>
              </w:rPr>
            </w:pPr>
            <w:r>
              <w:rPr>
                <w:rFonts w:hint="eastAsia" w:ascii="宋体" w:hAnsi="宋体" w:cs="宋体"/>
                <w:sz w:val="18"/>
                <w:szCs w:val="18"/>
              </w:rPr>
              <w:t>210</w:t>
            </w:r>
            <w:r>
              <w:rPr>
                <w:rFonts w:hint="eastAsia" w:ascii="宋体" w:hAnsi="宋体" w:cs="宋体"/>
                <w:sz w:val="18"/>
                <w:szCs w:val="18"/>
                <w:lang w:val="en"/>
              </w:rPr>
              <w:t xml:space="preserve"> </w:t>
            </w:r>
            <w:r>
              <w:rPr>
                <w:rFonts w:hint="eastAsia" w:ascii="宋体" w:hAnsi="宋体" w:cs="宋体"/>
                <w:sz w:val="18"/>
                <w:szCs w:val="18"/>
              </w:rPr>
              <w:t>港澳台投资有限责任公司</w:t>
            </w:r>
            <w:r>
              <w:rPr>
                <w:rFonts w:hint="eastAsia" w:ascii="宋体" w:hAnsi="宋体" w:cs="宋体"/>
                <w:w w:val="110"/>
                <w:sz w:val="18"/>
                <w:szCs w:val="18"/>
              </w:rPr>
              <w:t xml:space="preserve"> </w:t>
            </w:r>
            <w:r>
              <w:rPr>
                <w:rFonts w:hint="eastAsia" w:ascii="宋体" w:hAnsi="宋体" w:cs="宋体"/>
                <w:sz w:val="18"/>
                <w:szCs w:val="18"/>
              </w:rPr>
              <w:t>220</w:t>
            </w:r>
            <w:r>
              <w:rPr>
                <w:rFonts w:hint="eastAsia" w:ascii="宋体" w:hAnsi="宋体" w:cs="宋体"/>
                <w:sz w:val="18"/>
                <w:szCs w:val="18"/>
                <w:lang w:val="en"/>
              </w:rPr>
              <w:t xml:space="preserve"> </w:t>
            </w:r>
            <w:r>
              <w:rPr>
                <w:rFonts w:hint="eastAsia" w:ascii="宋体" w:hAnsi="宋体" w:cs="宋体"/>
                <w:sz w:val="18"/>
                <w:szCs w:val="18"/>
              </w:rPr>
              <w:t>港澳台投资股份有限公司 230</w:t>
            </w:r>
            <w:r>
              <w:rPr>
                <w:rFonts w:hint="eastAsia" w:ascii="宋体" w:hAnsi="宋体" w:cs="宋体"/>
                <w:sz w:val="18"/>
                <w:szCs w:val="18"/>
                <w:lang w:val="en"/>
              </w:rPr>
              <w:t xml:space="preserve"> </w:t>
            </w:r>
            <w:r>
              <w:rPr>
                <w:rFonts w:hint="eastAsia" w:ascii="宋体" w:hAnsi="宋体" w:cs="宋体"/>
                <w:sz w:val="18"/>
                <w:szCs w:val="18"/>
              </w:rPr>
              <w:t>港澳台投资合伙企业 290</w:t>
            </w:r>
            <w:r>
              <w:rPr>
                <w:rFonts w:hint="eastAsia" w:ascii="宋体" w:hAnsi="宋体" w:cs="宋体"/>
                <w:sz w:val="18"/>
                <w:szCs w:val="18"/>
                <w:lang w:val="en"/>
              </w:rPr>
              <w:t xml:space="preserve"> </w:t>
            </w:r>
            <w:r>
              <w:rPr>
                <w:rFonts w:hint="eastAsia" w:ascii="宋体" w:hAnsi="宋体" w:cs="宋体"/>
                <w:sz w:val="18"/>
                <w:szCs w:val="18"/>
              </w:rPr>
              <w:t>其他港澳台投资企业</w:t>
            </w:r>
          </w:p>
          <w:p>
            <w:pPr>
              <w:tabs>
                <w:tab w:val="left" w:pos="630"/>
              </w:tabs>
              <w:spacing w:line="240" w:lineRule="exact"/>
              <w:rPr>
                <w:rFonts w:hint="eastAsia" w:ascii="宋体" w:hAnsi="宋体" w:cs="宋体"/>
                <w:sz w:val="18"/>
                <w:szCs w:val="18"/>
              </w:rPr>
            </w:pPr>
            <w:r>
              <w:rPr>
                <w:rFonts w:hint="eastAsia" w:ascii="宋体" w:hAnsi="宋体" w:cs="宋体"/>
                <w:b/>
                <w:bCs/>
                <w:sz w:val="18"/>
                <w:szCs w:val="18"/>
              </w:rPr>
              <w:t>外商投资企业</w:t>
            </w:r>
          </w:p>
          <w:p>
            <w:pPr>
              <w:tabs>
                <w:tab w:val="left" w:pos="630"/>
              </w:tabs>
              <w:spacing w:line="240" w:lineRule="exact"/>
              <w:ind w:firstLine="180" w:firstLineChars="100"/>
              <w:rPr>
                <w:rFonts w:hint="eastAsia" w:ascii="宋体" w:hAnsi="宋体" w:cs="宋体"/>
                <w:sz w:val="18"/>
                <w:szCs w:val="18"/>
              </w:rPr>
            </w:pPr>
            <w:r>
              <w:rPr>
                <w:rFonts w:hint="eastAsia" w:ascii="宋体" w:hAnsi="宋体" w:cs="宋体"/>
                <w:sz w:val="18"/>
                <w:szCs w:val="18"/>
              </w:rPr>
              <w:t>310</w:t>
            </w:r>
            <w:r>
              <w:rPr>
                <w:rFonts w:hint="eastAsia" w:ascii="宋体" w:hAnsi="宋体" w:cs="宋体"/>
                <w:sz w:val="18"/>
                <w:szCs w:val="18"/>
                <w:lang w:val="en"/>
              </w:rPr>
              <w:t xml:space="preserve"> </w:t>
            </w:r>
            <w:r>
              <w:rPr>
                <w:rFonts w:hint="eastAsia" w:ascii="宋体" w:hAnsi="宋体" w:cs="宋体"/>
                <w:sz w:val="18"/>
                <w:szCs w:val="18"/>
              </w:rPr>
              <w:t>外商投资有限责任公司</w:t>
            </w:r>
            <w:r>
              <w:rPr>
                <w:rFonts w:hint="eastAsia" w:ascii="宋体" w:hAnsi="宋体" w:cs="宋体"/>
                <w:sz w:val="18"/>
                <w:szCs w:val="18"/>
                <w:lang w:val="en"/>
              </w:rPr>
              <w:t xml:space="preserve"> </w:t>
            </w:r>
            <w:r>
              <w:rPr>
                <w:rFonts w:hint="eastAsia" w:ascii="宋体" w:hAnsi="宋体" w:cs="宋体"/>
                <w:sz w:val="18"/>
                <w:szCs w:val="18"/>
              </w:rPr>
              <w:t xml:space="preserve"> 320</w:t>
            </w:r>
            <w:r>
              <w:rPr>
                <w:rFonts w:hint="eastAsia" w:ascii="宋体" w:hAnsi="宋体" w:cs="宋体"/>
                <w:sz w:val="18"/>
                <w:szCs w:val="18"/>
                <w:lang w:val="en"/>
              </w:rPr>
              <w:t xml:space="preserve"> </w:t>
            </w:r>
            <w:r>
              <w:rPr>
                <w:rFonts w:hint="eastAsia" w:ascii="宋体" w:hAnsi="宋体" w:cs="宋体"/>
                <w:sz w:val="18"/>
                <w:szCs w:val="18"/>
              </w:rPr>
              <w:t>外商投资股份有限公司   330</w:t>
            </w:r>
            <w:r>
              <w:rPr>
                <w:rFonts w:hint="eastAsia" w:ascii="宋体" w:hAnsi="宋体" w:cs="宋体"/>
                <w:sz w:val="18"/>
                <w:szCs w:val="18"/>
                <w:lang w:val="en"/>
              </w:rPr>
              <w:t xml:space="preserve"> </w:t>
            </w:r>
            <w:r>
              <w:rPr>
                <w:rFonts w:hint="eastAsia" w:ascii="宋体" w:hAnsi="宋体" w:cs="宋体"/>
                <w:sz w:val="18"/>
                <w:szCs w:val="18"/>
              </w:rPr>
              <w:t>外商投资合伙企业</w:t>
            </w:r>
            <w:r>
              <w:rPr>
                <w:rFonts w:hint="eastAsia" w:ascii="宋体" w:hAnsi="宋体" w:cs="宋体"/>
                <w:sz w:val="18"/>
                <w:szCs w:val="18"/>
                <w:lang w:val="en"/>
              </w:rPr>
              <w:t xml:space="preserve"> </w:t>
            </w:r>
            <w:r>
              <w:rPr>
                <w:rFonts w:hint="eastAsia" w:ascii="宋体" w:hAnsi="宋体" w:cs="宋体"/>
                <w:w w:val="110"/>
                <w:sz w:val="18"/>
                <w:szCs w:val="18"/>
              </w:rPr>
              <w:t xml:space="preserve"> </w:t>
            </w:r>
            <w:r>
              <w:rPr>
                <w:rFonts w:hint="eastAsia" w:ascii="宋体" w:hAnsi="宋体" w:cs="宋体"/>
                <w:sz w:val="18"/>
                <w:szCs w:val="18"/>
              </w:rPr>
              <w:t xml:space="preserve"> 390</w:t>
            </w:r>
            <w:r>
              <w:rPr>
                <w:rFonts w:hint="eastAsia" w:ascii="宋体" w:hAnsi="宋体" w:cs="宋体"/>
                <w:sz w:val="18"/>
                <w:szCs w:val="18"/>
                <w:lang w:val="en"/>
              </w:rPr>
              <w:t xml:space="preserve"> </w:t>
            </w:r>
            <w:r>
              <w:rPr>
                <w:rFonts w:hint="eastAsia" w:ascii="宋体" w:hAnsi="宋体" w:cs="宋体"/>
                <w:sz w:val="18"/>
                <w:szCs w:val="18"/>
              </w:rPr>
              <w:t>其他外商投资企业</w:t>
            </w:r>
          </w:p>
          <w:p>
            <w:pPr>
              <w:spacing w:line="240" w:lineRule="exact"/>
              <w:ind w:firstLine="180" w:firstLineChars="100"/>
              <w:rPr>
                <w:rFonts w:hint="eastAsia" w:ascii="宋体" w:hAnsi="宋体" w:cs="宋体"/>
                <w:sz w:val="18"/>
                <w:szCs w:val="18"/>
              </w:rPr>
            </w:pPr>
            <w:r>
              <w:rPr>
                <w:rFonts w:hint="eastAsia" w:ascii="宋体" w:hAnsi="宋体" w:cs="宋体"/>
                <w:sz w:val="18"/>
                <w:szCs w:val="18"/>
              </w:rPr>
              <w:t>400</w:t>
            </w:r>
            <w:r>
              <w:rPr>
                <w:rFonts w:hint="eastAsia" w:ascii="宋体" w:hAnsi="宋体" w:cs="宋体"/>
                <w:sz w:val="18"/>
                <w:szCs w:val="18"/>
                <w:lang w:val="en"/>
              </w:rPr>
              <w:t xml:space="preserve"> </w:t>
            </w:r>
            <w:r>
              <w:rPr>
                <w:rFonts w:hint="eastAsia" w:ascii="宋体" w:hAnsi="宋体" w:cs="宋体"/>
                <w:b/>
                <w:bCs/>
                <w:sz w:val="18"/>
                <w:szCs w:val="18"/>
              </w:rPr>
              <w:t>农民专业合作社（联合社）</w:t>
            </w:r>
            <w:r>
              <w:rPr>
                <w:rFonts w:hint="eastAsia" w:ascii="宋体" w:hAnsi="宋体" w:cs="宋体"/>
                <w:sz w:val="18"/>
                <w:szCs w:val="18"/>
              </w:rPr>
              <w:t xml:space="preserve"> 500</w:t>
            </w:r>
            <w:r>
              <w:rPr>
                <w:rFonts w:hint="eastAsia" w:ascii="宋体" w:hAnsi="宋体" w:cs="宋体"/>
                <w:sz w:val="18"/>
                <w:szCs w:val="18"/>
                <w:lang w:val="en"/>
              </w:rPr>
              <w:t xml:space="preserve"> </w:t>
            </w:r>
            <w:r>
              <w:rPr>
                <w:rFonts w:hint="eastAsia" w:ascii="宋体" w:hAnsi="宋体" w:cs="宋体"/>
                <w:b/>
                <w:bCs/>
                <w:sz w:val="18"/>
                <w:szCs w:val="18"/>
              </w:rPr>
              <w:t xml:space="preserve">个体工商户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510" w:hRule="exac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216</w:t>
            </w:r>
          </w:p>
        </w:tc>
        <w:tc>
          <w:tcPr>
            <w:tcW w:w="9381" w:type="dxa"/>
            <w:tcBorders>
              <w:right w:val="nil"/>
            </w:tcBorders>
            <w:noWrap w:val="0"/>
            <w:vAlign w:val="center"/>
          </w:tcPr>
          <w:p>
            <w:pPr>
              <w:snapToGrid w:val="0"/>
              <w:spacing w:line="240" w:lineRule="exact"/>
              <w:ind w:firstLine="12" w:firstLineChars="7"/>
              <w:rPr>
                <w:rFonts w:hint="eastAsia" w:ascii="宋体" w:hAnsi="宋体" w:cs="宋体"/>
                <w:sz w:val="18"/>
                <w:szCs w:val="18"/>
              </w:rPr>
            </w:pPr>
            <w:r>
              <w:rPr>
                <w:rFonts w:hint="eastAsia" w:ascii="宋体" w:hAnsi="宋体" w:cs="宋体"/>
                <w:sz w:val="18"/>
                <w:szCs w:val="18"/>
              </w:rPr>
              <w:t>港澳台商投资情况（限港澳台投资企业填报）（可多选）</w:t>
            </w:r>
          </w:p>
          <w:p>
            <w:pPr>
              <w:snapToGrid w:val="0"/>
              <w:spacing w:line="240" w:lineRule="exact"/>
              <w:ind w:firstLine="192" w:firstLineChars="107"/>
              <w:rPr>
                <w:rFonts w:hint="eastAsia" w:ascii="宋体" w:hAnsi="宋体" w:cs="宋体"/>
                <w:sz w:val="18"/>
                <w:szCs w:val="18"/>
              </w:rPr>
            </w:pPr>
            <w:r>
              <w:rPr>
                <w:rFonts w:hint="eastAsia" w:ascii="宋体" w:hAnsi="宋体" w:cs="宋体"/>
                <w:sz w:val="18"/>
                <w:szCs w:val="18"/>
              </w:rPr>
              <w:t xml:space="preserve">1 港商投资□   2澳商投资□   3台商投资□   </w:t>
            </w:r>
            <w:r>
              <w:rPr>
                <w:rFonts w:hint="eastAsia" w:ascii="宋体" w:hAnsi="宋体" w:cs="宋体"/>
                <w:sz w:val="18"/>
                <w:szCs w:val="18"/>
                <w:lang w:val="en"/>
              </w:rPr>
              <w:t>4暂未</w:t>
            </w:r>
            <w:r>
              <w:rPr>
                <w:rFonts w:hint="eastAsia" w:ascii="宋体" w:hAnsi="宋体" w:cs="宋体"/>
                <w:sz w:val="18"/>
                <w:szCs w:val="18"/>
              </w:rPr>
              <w:t>投资□</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206</w:t>
            </w:r>
          </w:p>
        </w:tc>
        <w:tc>
          <w:tcPr>
            <w:tcW w:w="9381" w:type="dxa"/>
            <w:tcBorders>
              <w:right w:val="nil"/>
            </w:tcBorders>
            <w:noWrap w:val="0"/>
            <w:vAlign w:val="center"/>
          </w:tcPr>
          <w:p>
            <w:pPr>
              <w:snapToGrid w:val="0"/>
              <w:spacing w:line="240" w:lineRule="exact"/>
              <w:ind w:firstLine="12" w:firstLineChars="7"/>
              <w:rPr>
                <w:rFonts w:hint="eastAsia" w:ascii="宋体" w:hAnsi="宋体" w:cs="宋体"/>
                <w:sz w:val="18"/>
                <w:szCs w:val="18"/>
              </w:rPr>
            </w:pPr>
            <w:r>
              <w:rPr>
                <w:rFonts w:hint="eastAsia" w:ascii="宋体" w:hAnsi="宋体" w:cs="宋体"/>
                <w:sz w:val="18"/>
                <w:szCs w:val="18"/>
              </w:rPr>
              <w:t>企业控股情况  □  1 国有控股    2 集体控股    3 私人控股    4 港澳台商控股    5 外商控股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207</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隶属关系（限国有控股企业填报）  □□   10 中央    11 地方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510" w:hRule="exac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209</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执行会计标准类别    □</w:t>
            </w:r>
          </w:p>
          <w:p>
            <w:pPr>
              <w:snapToGrid w:val="0"/>
              <w:spacing w:line="240" w:lineRule="exact"/>
              <w:ind w:firstLine="180" w:firstLineChars="100"/>
              <w:rPr>
                <w:rFonts w:hint="eastAsia" w:ascii="宋体" w:hAnsi="宋体" w:cs="宋体"/>
                <w:sz w:val="18"/>
                <w:szCs w:val="18"/>
              </w:rPr>
            </w:pPr>
            <w:r>
              <w:rPr>
                <w:rFonts w:hint="eastAsia" w:ascii="宋体" w:hAnsi="宋体" w:cs="宋体"/>
                <w:sz w:val="18"/>
                <w:szCs w:val="18"/>
              </w:rPr>
              <w:t>1 企业会计准则制度          2 政府会计准则制度        4 民间非营利组织会计制度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510" w:hRule="exac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210</w:t>
            </w:r>
          </w:p>
        </w:tc>
        <w:tc>
          <w:tcPr>
            <w:tcW w:w="9381" w:type="dxa"/>
            <w:tcBorders>
              <w:right w:val="nil"/>
            </w:tcBorders>
            <w:noWrap w:val="0"/>
            <w:vAlign w:val="center"/>
          </w:tcPr>
          <w:p>
            <w:pPr>
              <w:snapToGrid w:val="0"/>
              <w:spacing w:line="240" w:lineRule="exact"/>
              <w:ind w:left="2700" w:hanging="2700" w:hangingChars="1500"/>
              <w:jc w:val="left"/>
              <w:rPr>
                <w:rFonts w:hint="eastAsia" w:ascii="宋体" w:hAnsi="宋体" w:cs="宋体"/>
                <w:sz w:val="18"/>
                <w:szCs w:val="18"/>
              </w:rPr>
            </w:pPr>
            <w:r>
              <w:rPr>
                <w:rFonts w:hint="eastAsia" w:ascii="宋体" w:hAnsi="宋体" w:cs="宋体"/>
                <w:sz w:val="18"/>
                <w:szCs w:val="18"/>
              </w:rPr>
              <w:t xml:space="preserve">执行企业会计准则制度情况   □                                                                           </w:t>
            </w:r>
          </w:p>
          <w:p>
            <w:pPr>
              <w:snapToGrid w:val="0"/>
              <w:spacing w:line="240" w:lineRule="exact"/>
              <w:ind w:left="2698" w:leftChars="85" w:hanging="2520" w:hangingChars="1400"/>
              <w:jc w:val="left"/>
              <w:rPr>
                <w:rFonts w:hint="eastAsia" w:ascii="宋体" w:hAnsi="宋体" w:cs="宋体"/>
                <w:sz w:val="18"/>
                <w:szCs w:val="18"/>
              </w:rPr>
            </w:pPr>
            <w:r>
              <w:rPr>
                <w:rFonts w:hint="eastAsia" w:ascii="宋体" w:hAnsi="宋体" w:cs="宋体"/>
                <w:sz w:val="18"/>
                <w:szCs w:val="18"/>
              </w:rPr>
              <w:t>1 执行《企业会计准则》      2 执行《小企业会计准则》       3 执行《企业会计制度》</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745"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213</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 xml:space="preserve">企业集团情况（限企业集团母公司及成员企业填写）  本企业是 </w:t>
            </w:r>
            <w:r>
              <w:rPr>
                <w:rFonts w:hint="eastAsia" w:ascii="宋体" w:hAnsi="宋体" w:cs="宋体"/>
                <w:kern w:val="0"/>
                <w:sz w:val="18"/>
                <w:szCs w:val="18"/>
              </w:rPr>
              <w:t xml:space="preserve">□ </w:t>
            </w:r>
          </w:p>
          <w:p>
            <w:pPr>
              <w:snapToGrid w:val="0"/>
              <w:spacing w:line="240" w:lineRule="exact"/>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kern w:val="0"/>
                <w:sz w:val="18"/>
                <w:szCs w:val="18"/>
              </w:rPr>
              <w:t xml:space="preserve"> 1 集团母公司（</w:t>
            </w:r>
            <w:r>
              <w:rPr>
                <w:rFonts w:hint="eastAsia" w:ascii="宋体" w:hAnsi="宋体" w:cs="宋体"/>
                <w:sz w:val="18"/>
                <w:szCs w:val="18"/>
              </w:rPr>
              <w:t>核心企业或集团总部</w:t>
            </w:r>
            <w:r>
              <w:rPr>
                <w:rFonts w:hint="eastAsia" w:ascii="宋体" w:hAnsi="宋体" w:cs="宋体"/>
                <w:kern w:val="0"/>
                <w:sz w:val="18"/>
                <w:szCs w:val="18"/>
              </w:rPr>
              <w:t>）</w:t>
            </w:r>
            <w:r>
              <w:rPr>
                <w:rFonts w:hint="eastAsia" w:ascii="宋体" w:hAnsi="宋体" w:cs="宋体"/>
                <w:sz w:val="18"/>
                <w:szCs w:val="18"/>
              </w:rPr>
              <w:t xml:space="preserve"> </w:t>
            </w:r>
          </w:p>
          <w:p>
            <w:pPr>
              <w:snapToGrid w:val="0"/>
              <w:spacing w:line="240" w:lineRule="exact"/>
              <w:rPr>
                <w:rFonts w:hint="eastAsia" w:ascii="宋体" w:hAnsi="宋体" w:cs="宋体"/>
                <w:sz w:val="18"/>
                <w:szCs w:val="18"/>
              </w:rPr>
            </w:pPr>
            <w:r>
              <w:rPr>
                <w:rFonts w:hint="eastAsia" w:ascii="宋体" w:hAnsi="宋体" w:cs="宋体"/>
                <w:sz w:val="18"/>
                <w:szCs w:val="18"/>
              </w:rPr>
              <w:t xml:space="preserve">  2 成员企业</w:t>
            </w:r>
            <w:r>
              <w:rPr>
                <w:rFonts w:hint="eastAsia" w:ascii="宋体" w:hAnsi="宋体" w:cs="宋体"/>
                <w:spacing w:val="-6"/>
                <w:sz w:val="18"/>
                <w:szCs w:val="18"/>
              </w:rPr>
              <w:t>——</w:t>
            </w:r>
            <w:r>
              <w:rPr>
                <w:rFonts w:hint="eastAsia" w:ascii="宋体" w:hAnsi="宋体" w:cs="宋体"/>
                <w:sz w:val="18"/>
                <w:szCs w:val="18"/>
              </w:rPr>
              <w:t>请填直接上级法人统一社会信用代码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C01</w:t>
            </w:r>
          </w:p>
        </w:tc>
        <w:tc>
          <w:tcPr>
            <w:tcW w:w="9381" w:type="dxa"/>
            <w:tcBorders>
              <w:right w:val="nil"/>
            </w:tcBorders>
            <w:noWrap w:val="0"/>
            <w:vAlign w:val="center"/>
          </w:tcPr>
          <w:p>
            <w:pPr>
              <w:snapToGrid w:val="0"/>
              <w:spacing w:line="220" w:lineRule="exact"/>
              <w:rPr>
                <w:rFonts w:hint="eastAsia" w:ascii="宋体" w:hAnsi="宋体" w:cs="宋体"/>
                <w:sz w:val="18"/>
                <w:szCs w:val="18"/>
              </w:rPr>
            </w:pPr>
            <w:r>
              <w:rPr>
                <w:rFonts w:hint="eastAsia" w:ascii="宋体" w:hAnsi="宋体" w:cs="宋体"/>
                <w:sz w:val="18"/>
                <w:szCs w:val="18"/>
              </w:rPr>
              <w:t xml:space="preserve">建筑业企业资质等级编码    □□□□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C02</w:t>
            </w:r>
          </w:p>
        </w:tc>
        <w:tc>
          <w:tcPr>
            <w:tcW w:w="9381" w:type="dxa"/>
            <w:tcBorders>
              <w:right w:val="nil"/>
            </w:tcBorders>
            <w:noWrap w:val="0"/>
            <w:vAlign w:val="center"/>
          </w:tcPr>
          <w:p>
            <w:pPr>
              <w:snapToGrid w:val="0"/>
              <w:spacing w:line="220" w:lineRule="exact"/>
              <w:rPr>
                <w:rFonts w:hint="eastAsia" w:ascii="宋体" w:hAnsi="宋体" w:cs="宋体"/>
                <w:sz w:val="18"/>
                <w:szCs w:val="18"/>
              </w:rPr>
            </w:pPr>
            <w:r>
              <w:rPr>
                <w:rFonts w:hint="eastAsia" w:ascii="宋体" w:hAnsi="宋体" w:cs="宋体"/>
                <w:sz w:val="18"/>
                <w:szCs w:val="18"/>
              </w:rPr>
              <w:t>建筑业资质有效期至□□□□年□□月</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X01</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房地产开发经营业企业资质等级   □    1 一级     2 二级     3 三级     4 四级     5 暂定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750"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ES1</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 xml:space="preserve">批发和零售业、住宿和餐饮业单位经营形式   □  </w:t>
            </w:r>
          </w:p>
          <w:p>
            <w:pPr>
              <w:snapToGrid w:val="0"/>
              <w:spacing w:line="240" w:lineRule="exact"/>
              <w:ind w:firstLine="180" w:firstLineChars="100"/>
              <w:rPr>
                <w:rFonts w:hint="eastAsia" w:ascii="宋体" w:hAnsi="宋体" w:cs="宋体"/>
                <w:sz w:val="18"/>
                <w:szCs w:val="18"/>
              </w:rPr>
            </w:pPr>
            <w:r>
              <w:rPr>
                <w:rFonts w:hint="eastAsia" w:ascii="宋体" w:hAnsi="宋体" w:cs="宋体"/>
                <w:sz w:val="18"/>
                <w:szCs w:val="18"/>
              </w:rPr>
              <w:t xml:space="preserve">1 独立门店      2 连锁总店（总部）     3 连锁直营店     4 连锁加盟店     9 其他  </w:t>
            </w:r>
          </w:p>
          <w:p>
            <w:pPr>
              <w:snapToGrid w:val="0"/>
              <w:spacing w:line="240" w:lineRule="exact"/>
              <w:ind w:firstLine="180" w:firstLineChars="100"/>
              <w:rPr>
                <w:rFonts w:hint="eastAsia" w:ascii="宋体" w:hAnsi="宋体" w:cs="宋体"/>
                <w:sz w:val="18"/>
                <w:szCs w:val="18"/>
              </w:rPr>
            </w:pPr>
            <w:r>
              <w:rPr>
                <w:rFonts w:hint="eastAsia" w:ascii="宋体" w:hAnsi="宋体" w:cs="宋体"/>
                <w:sz w:val="18"/>
                <w:szCs w:val="18"/>
              </w:rPr>
              <w:t>连锁品牌（商标或商号名称）：</w:t>
            </w:r>
            <w:r>
              <w:rPr>
                <w:rFonts w:hint="eastAsia" w:ascii="宋体" w:hAnsi="宋体" w:cs="宋体"/>
                <w:sz w:val="18"/>
                <w:szCs w:val="18"/>
                <w:u w:val="single"/>
              </w:rPr>
              <w:t xml:space="preserve">                  </w:t>
            </w:r>
            <w:r>
              <w:rPr>
                <w:rFonts w:hint="eastAsia" w:ascii="宋体" w:hAnsi="宋体" w:cs="宋体"/>
                <w:sz w:val="18"/>
                <w:szCs w:val="18"/>
              </w:rPr>
              <w:t xml:space="preserve"> （经营形式选2、3、4的单位填报）</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1705"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E02</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零售业态（可多选，不超过3个）   □□□□    □□□□     □□□□</w:t>
            </w:r>
          </w:p>
          <w:p>
            <w:pPr>
              <w:snapToGrid w:val="0"/>
              <w:spacing w:line="240" w:lineRule="exact"/>
              <w:rPr>
                <w:rFonts w:hint="eastAsia" w:ascii="宋体" w:hAnsi="宋体" w:cs="宋体"/>
                <w:b/>
                <w:bCs/>
                <w:sz w:val="18"/>
                <w:szCs w:val="18"/>
              </w:rPr>
            </w:pPr>
            <w:r>
              <w:rPr>
                <w:rFonts w:hint="eastAsia" w:ascii="宋体" w:hAnsi="宋体" w:cs="宋体"/>
                <w:b/>
                <w:bCs/>
                <w:sz w:val="18"/>
                <w:szCs w:val="18"/>
              </w:rPr>
              <w:t>有店铺零售</w:t>
            </w:r>
          </w:p>
          <w:p>
            <w:pPr>
              <w:snapToGrid w:val="0"/>
              <w:spacing w:line="240" w:lineRule="exact"/>
              <w:ind w:left="180" w:leftChars="86"/>
              <w:rPr>
                <w:rFonts w:hint="eastAsia" w:ascii="宋体" w:hAnsi="宋体" w:cs="宋体"/>
                <w:sz w:val="18"/>
                <w:szCs w:val="18"/>
              </w:rPr>
            </w:pPr>
            <w:r>
              <w:rPr>
                <w:rFonts w:hint="eastAsia" w:ascii="宋体" w:hAnsi="宋体" w:cs="宋体"/>
                <w:sz w:val="18"/>
                <w:szCs w:val="18"/>
              </w:rPr>
              <w:t>1010</w:t>
            </w:r>
            <w:r>
              <w:rPr>
                <w:rFonts w:hint="eastAsia" w:ascii="宋体" w:hAnsi="宋体" w:cs="宋体"/>
                <w:sz w:val="18"/>
                <w:szCs w:val="18"/>
                <w:lang w:val="en"/>
              </w:rPr>
              <w:t xml:space="preserve">  </w:t>
            </w:r>
            <w:r>
              <w:rPr>
                <w:rFonts w:hint="eastAsia" w:ascii="宋体" w:hAnsi="宋体" w:cs="宋体"/>
                <w:sz w:val="18"/>
                <w:szCs w:val="18"/>
              </w:rPr>
              <w:t>便利店     1020</w:t>
            </w:r>
            <w:r>
              <w:rPr>
                <w:rFonts w:hint="eastAsia" w:ascii="宋体" w:hAnsi="宋体" w:cs="宋体"/>
                <w:sz w:val="18"/>
                <w:szCs w:val="18"/>
                <w:lang w:val="en"/>
              </w:rPr>
              <w:t xml:space="preserve">  </w:t>
            </w:r>
            <w:r>
              <w:rPr>
                <w:rFonts w:hint="eastAsia" w:ascii="宋体" w:hAnsi="宋体" w:cs="宋体"/>
                <w:sz w:val="18"/>
                <w:szCs w:val="18"/>
              </w:rPr>
              <w:t>超市     1030</w:t>
            </w:r>
            <w:r>
              <w:rPr>
                <w:rFonts w:hint="eastAsia" w:ascii="宋体" w:hAnsi="宋体" w:cs="宋体"/>
                <w:sz w:val="18"/>
                <w:szCs w:val="18"/>
                <w:lang w:val="en"/>
              </w:rPr>
              <w:t xml:space="preserve">  </w:t>
            </w:r>
            <w:r>
              <w:rPr>
                <w:rFonts w:hint="eastAsia" w:ascii="宋体" w:hAnsi="宋体" w:cs="宋体"/>
                <w:sz w:val="18"/>
                <w:szCs w:val="18"/>
              </w:rPr>
              <w:t>折扣店       1040</w:t>
            </w:r>
            <w:r>
              <w:rPr>
                <w:rFonts w:hint="eastAsia" w:ascii="宋体" w:hAnsi="宋体" w:cs="宋体"/>
                <w:sz w:val="18"/>
                <w:szCs w:val="18"/>
                <w:lang w:val="en"/>
              </w:rPr>
              <w:t xml:space="preserve">  </w:t>
            </w:r>
            <w:r>
              <w:rPr>
                <w:rFonts w:hint="eastAsia" w:ascii="宋体" w:hAnsi="宋体" w:cs="宋体"/>
                <w:sz w:val="18"/>
                <w:szCs w:val="18"/>
              </w:rPr>
              <w:t>仓储会员店   1050</w:t>
            </w:r>
            <w:r>
              <w:rPr>
                <w:rFonts w:hint="eastAsia" w:ascii="宋体" w:hAnsi="宋体" w:cs="宋体"/>
                <w:sz w:val="18"/>
                <w:szCs w:val="18"/>
                <w:lang w:val="en"/>
              </w:rPr>
              <w:t xml:space="preserve">  </w:t>
            </w:r>
            <w:r>
              <w:rPr>
                <w:rFonts w:hint="eastAsia" w:ascii="宋体" w:hAnsi="宋体" w:cs="宋体"/>
                <w:sz w:val="18"/>
                <w:szCs w:val="18"/>
              </w:rPr>
              <w:t>百货店</w:t>
            </w:r>
          </w:p>
          <w:p>
            <w:pPr>
              <w:snapToGrid w:val="0"/>
              <w:spacing w:line="240" w:lineRule="exact"/>
              <w:ind w:left="180" w:leftChars="86"/>
              <w:rPr>
                <w:rFonts w:hint="eastAsia" w:ascii="宋体" w:hAnsi="宋体" w:cs="宋体"/>
                <w:sz w:val="18"/>
                <w:szCs w:val="18"/>
              </w:rPr>
            </w:pPr>
            <w:r>
              <w:rPr>
                <w:rFonts w:hint="eastAsia" w:ascii="宋体" w:hAnsi="宋体" w:cs="宋体"/>
                <w:sz w:val="18"/>
                <w:szCs w:val="18"/>
              </w:rPr>
              <w:t>1060</w:t>
            </w:r>
            <w:r>
              <w:rPr>
                <w:rFonts w:hint="eastAsia" w:ascii="宋体" w:hAnsi="宋体" w:cs="宋体"/>
                <w:sz w:val="18"/>
                <w:szCs w:val="18"/>
                <w:lang w:val="en"/>
              </w:rPr>
              <w:t xml:space="preserve">  </w:t>
            </w:r>
            <w:r>
              <w:rPr>
                <w:rFonts w:hint="eastAsia" w:ascii="宋体" w:hAnsi="宋体" w:cs="宋体"/>
                <w:sz w:val="18"/>
                <w:szCs w:val="18"/>
              </w:rPr>
              <w:t>购物中心   1070</w:t>
            </w:r>
            <w:r>
              <w:rPr>
                <w:rFonts w:hint="eastAsia" w:ascii="宋体" w:hAnsi="宋体" w:cs="宋体"/>
                <w:sz w:val="18"/>
                <w:szCs w:val="18"/>
                <w:lang w:val="en"/>
              </w:rPr>
              <w:t xml:space="preserve">  </w:t>
            </w:r>
            <w:r>
              <w:rPr>
                <w:rFonts w:hint="eastAsia" w:ascii="宋体" w:hAnsi="宋体" w:cs="宋体"/>
                <w:sz w:val="18"/>
                <w:szCs w:val="18"/>
              </w:rPr>
              <w:t>专业店   1080</w:t>
            </w:r>
            <w:r>
              <w:rPr>
                <w:rFonts w:hint="eastAsia" w:ascii="宋体" w:hAnsi="宋体" w:cs="宋体"/>
                <w:sz w:val="18"/>
                <w:szCs w:val="18"/>
                <w:lang w:val="en"/>
              </w:rPr>
              <w:t xml:space="preserve">  </w:t>
            </w:r>
            <w:r>
              <w:rPr>
                <w:rFonts w:hint="eastAsia" w:ascii="宋体" w:hAnsi="宋体" w:cs="宋体"/>
                <w:sz w:val="18"/>
                <w:szCs w:val="18"/>
              </w:rPr>
              <w:t>品牌专卖店   1090</w:t>
            </w:r>
            <w:r>
              <w:rPr>
                <w:rFonts w:hint="eastAsia" w:ascii="宋体" w:hAnsi="宋体" w:cs="宋体"/>
                <w:sz w:val="18"/>
                <w:szCs w:val="18"/>
                <w:lang w:val="en"/>
              </w:rPr>
              <w:t xml:space="preserve">  </w:t>
            </w:r>
            <w:r>
              <w:rPr>
                <w:rFonts w:hint="eastAsia" w:ascii="宋体" w:hAnsi="宋体" w:cs="宋体"/>
                <w:sz w:val="18"/>
                <w:szCs w:val="18"/>
              </w:rPr>
              <w:t>集合店       1100</w:t>
            </w:r>
            <w:r>
              <w:rPr>
                <w:rFonts w:hint="eastAsia" w:ascii="宋体" w:hAnsi="宋体" w:cs="宋体"/>
                <w:sz w:val="18"/>
                <w:szCs w:val="18"/>
                <w:lang w:val="en"/>
              </w:rPr>
              <w:t xml:space="preserve">  </w:t>
            </w:r>
            <w:r>
              <w:rPr>
                <w:rFonts w:hint="eastAsia" w:ascii="宋体" w:hAnsi="宋体" w:cs="宋体"/>
                <w:sz w:val="18"/>
                <w:szCs w:val="18"/>
              </w:rPr>
              <w:t>无人值守商店</w:t>
            </w:r>
          </w:p>
          <w:p>
            <w:pPr>
              <w:snapToGrid w:val="0"/>
              <w:spacing w:line="240" w:lineRule="exact"/>
              <w:rPr>
                <w:rFonts w:hint="eastAsia" w:ascii="宋体" w:hAnsi="宋体" w:cs="宋体"/>
                <w:b/>
                <w:bCs/>
                <w:sz w:val="18"/>
                <w:szCs w:val="18"/>
              </w:rPr>
            </w:pPr>
            <w:r>
              <w:rPr>
                <w:rFonts w:hint="eastAsia" w:ascii="宋体" w:hAnsi="宋体" w:cs="宋体"/>
                <w:b/>
                <w:bCs/>
                <w:sz w:val="18"/>
                <w:szCs w:val="18"/>
              </w:rPr>
              <w:t>无店铺零售</w:t>
            </w:r>
          </w:p>
          <w:p>
            <w:pPr>
              <w:snapToGrid w:val="0"/>
              <w:spacing w:line="240" w:lineRule="exact"/>
              <w:ind w:firstLine="180" w:firstLineChars="100"/>
              <w:rPr>
                <w:rFonts w:hint="eastAsia" w:ascii="宋体" w:hAnsi="宋体" w:cs="宋体"/>
                <w:sz w:val="18"/>
                <w:szCs w:val="18"/>
              </w:rPr>
            </w:pPr>
            <w:r>
              <w:rPr>
                <w:rFonts w:hint="eastAsia" w:ascii="宋体" w:hAnsi="宋体" w:cs="宋体"/>
                <w:sz w:val="18"/>
                <w:szCs w:val="18"/>
              </w:rPr>
              <w:t>2010</w:t>
            </w:r>
            <w:r>
              <w:rPr>
                <w:rFonts w:hint="eastAsia" w:ascii="宋体" w:hAnsi="宋体" w:cs="宋体"/>
                <w:sz w:val="18"/>
                <w:szCs w:val="18"/>
                <w:lang w:val="en"/>
              </w:rPr>
              <w:t xml:space="preserve">  </w:t>
            </w:r>
            <w:r>
              <w:rPr>
                <w:rFonts w:hint="eastAsia" w:ascii="宋体" w:hAnsi="宋体" w:cs="宋体"/>
                <w:sz w:val="18"/>
                <w:szCs w:val="18"/>
              </w:rPr>
              <w:t>网络零售   2020</w:t>
            </w:r>
            <w:r>
              <w:rPr>
                <w:rFonts w:hint="eastAsia" w:ascii="宋体" w:hAnsi="宋体" w:cs="宋体"/>
                <w:sz w:val="18"/>
                <w:szCs w:val="18"/>
                <w:lang w:val="en"/>
              </w:rPr>
              <w:t xml:space="preserve">  </w:t>
            </w:r>
            <w:r>
              <w:rPr>
                <w:rFonts w:hint="eastAsia" w:ascii="宋体" w:hAnsi="宋体" w:cs="宋体"/>
                <w:sz w:val="18"/>
                <w:szCs w:val="18"/>
              </w:rPr>
              <w:t>电视/广播零售   2030</w:t>
            </w:r>
            <w:r>
              <w:rPr>
                <w:rFonts w:hint="eastAsia" w:ascii="宋体" w:hAnsi="宋体" w:cs="宋体"/>
                <w:sz w:val="18"/>
                <w:szCs w:val="18"/>
                <w:lang w:val="en"/>
              </w:rPr>
              <w:t xml:space="preserve">  </w:t>
            </w:r>
            <w:r>
              <w:rPr>
                <w:rFonts w:hint="eastAsia" w:ascii="宋体" w:hAnsi="宋体" w:cs="宋体"/>
                <w:sz w:val="18"/>
                <w:szCs w:val="18"/>
              </w:rPr>
              <w:t xml:space="preserve">邮寄零售  </w:t>
            </w:r>
            <w:r>
              <w:rPr>
                <w:rFonts w:hint="eastAsia" w:ascii="宋体" w:hAnsi="宋体" w:cs="宋体"/>
                <w:w w:val="135"/>
                <w:sz w:val="18"/>
                <w:szCs w:val="18"/>
              </w:rPr>
              <w:t xml:space="preserve">   </w:t>
            </w:r>
            <w:r>
              <w:rPr>
                <w:rFonts w:hint="eastAsia" w:ascii="宋体" w:hAnsi="宋体" w:cs="宋体"/>
                <w:sz w:val="18"/>
                <w:szCs w:val="18"/>
              </w:rPr>
              <w:t xml:space="preserve"> 2040</w:t>
            </w:r>
            <w:r>
              <w:rPr>
                <w:rFonts w:hint="eastAsia" w:ascii="宋体" w:hAnsi="宋体" w:cs="宋体"/>
                <w:sz w:val="18"/>
                <w:szCs w:val="18"/>
                <w:lang w:val="en"/>
              </w:rPr>
              <w:t xml:space="preserve">  </w:t>
            </w:r>
            <w:r>
              <w:rPr>
                <w:rFonts w:hint="eastAsia" w:ascii="宋体" w:hAnsi="宋体" w:cs="宋体"/>
                <w:sz w:val="18"/>
                <w:szCs w:val="18"/>
              </w:rPr>
              <w:t>无人售货设备零售</w:t>
            </w:r>
          </w:p>
          <w:p>
            <w:pPr>
              <w:snapToGrid w:val="0"/>
              <w:spacing w:line="240" w:lineRule="exact"/>
              <w:ind w:firstLine="180" w:firstLineChars="100"/>
              <w:rPr>
                <w:rFonts w:hint="eastAsia" w:ascii="宋体" w:hAnsi="宋体" w:cs="宋体"/>
                <w:sz w:val="18"/>
                <w:szCs w:val="18"/>
              </w:rPr>
            </w:pPr>
            <w:r>
              <w:rPr>
                <w:rFonts w:hint="eastAsia" w:ascii="宋体" w:hAnsi="宋体" w:cs="宋体"/>
                <w:sz w:val="18"/>
                <w:szCs w:val="18"/>
              </w:rPr>
              <w:t>2050</w:t>
            </w:r>
            <w:r>
              <w:rPr>
                <w:rFonts w:hint="eastAsia" w:ascii="宋体" w:hAnsi="宋体" w:cs="宋体"/>
                <w:sz w:val="18"/>
                <w:szCs w:val="18"/>
                <w:lang w:val="en"/>
              </w:rPr>
              <w:t xml:space="preserve">  </w:t>
            </w:r>
            <w:r>
              <w:rPr>
                <w:rFonts w:hint="eastAsia" w:ascii="宋体" w:hAnsi="宋体" w:cs="宋体"/>
                <w:sz w:val="18"/>
                <w:szCs w:val="18"/>
              </w:rPr>
              <w:t>电话零售   2060</w:t>
            </w:r>
            <w:r>
              <w:rPr>
                <w:rFonts w:hint="eastAsia" w:ascii="宋体" w:hAnsi="宋体" w:cs="宋体"/>
                <w:sz w:val="18"/>
                <w:szCs w:val="18"/>
                <w:lang w:val="en"/>
              </w:rPr>
              <w:t xml:space="preserve">  </w:t>
            </w:r>
            <w:r>
              <w:rPr>
                <w:rFonts w:hint="eastAsia" w:ascii="宋体" w:hAnsi="宋体" w:cs="宋体"/>
                <w:sz w:val="18"/>
                <w:szCs w:val="18"/>
              </w:rPr>
              <w:t xml:space="preserve">直销        </w:t>
            </w:r>
            <w:r>
              <w:rPr>
                <w:rFonts w:hint="eastAsia" w:ascii="宋体" w:hAnsi="宋体" w:cs="宋体"/>
                <w:w w:val="86"/>
                <w:sz w:val="18"/>
                <w:szCs w:val="18"/>
              </w:rPr>
              <w:t xml:space="preserve"> </w:t>
            </w:r>
            <w:r>
              <w:rPr>
                <w:rFonts w:ascii="宋体" w:hAnsi="宋体" w:cs="宋体"/>
                <w:w w:val="86"/>
                <w:sz w:val="18"/>
                <w:szCs w:val="18"/>
              </w:rPr>
              <w:t xml:space="preserve"> </w:t>
            </w:r>
            <w:r>
              <w:rPr>
                <w:rFonts w:hint="eastAsia" w:ascii="宋体" w:hAnsi="宋体" w:cs="宋体"/>
                <w:w w:val="86"/>
                <w:sz w:val="15"/>
                <w:szCs w:val="18"/>
              </w:rPr>
              <w:t xml:space="preserve">  </w:t>
            </w:r>
            <w:r>
              <w:rPr>
                <w:rFonts w:hint="eastAsia" w:ascii="宋体" w:hAnsi="宋体" w:cs="宋体"/>
                <w:w w:val="86"/>
                <w:sz w:val="18"/>
                <w:szCs w:val="18"/>
              </w:rPr>
              <w:t xml:space="preserve"> </w:t>
            </w:r>
            <w:r>
              <w:rPr>
                <w:rFonts w:hint="eastAsia" w:ascii="宋体" w:hAnsi="宋体" w:cs="宋体"/>
                <w:sz w:val="18"/>
                <w:szCs w:val="18"/>
              </w:rPr>
              <w:t>2070</w:t>
            </w:r>
            <w:r>
              <w:rPr>
                <w:rFonts w:hint="eastAsia" w:ascii="宋体" w:hAnsi="宋体" w:cs="宋体"/>
                <w:sz w:val="18"/>
                <w:szCs w:val="18"/>
                <w:lang w:val="en"/>
              </w:rPr>
              <w:t xml:space="preserve">  </w:t>
            </w:r>
            <w:r>
              <w:rPr>
                <w:rFonts w:hint="eastAsia" w:ascii="宋体" w:hAnsi="宋体" w:cs="宋体"/>
                <w:sz w:val="18"/>
                <w:szCs w:val="18"/>
              </w:rPr>
              <w:t>流动货摊零售   2090</w:t>
            </w:r>
            <w:r>
              <w:rPr>
                <w:rFonts w:hint="eastAsia" w:ascii="宋体" w:hAnsi="宋体" w:cs="宋体"/>
                <w:sz w:val="18"/>
                <w:szCs w:val="18"/>
                <w:lang w:val="en"/>
              </w:rPr>
              <w:t xml:space="preserve">  </w:t>
            </w:r>
            <w:r>
              <w:rPr>
                <w:rFonts w:hint="eastAsia" w:ascii="宋体" w:hAnsi="宋体" w:cs="宋体"/>
                <w:sz w:val="18"/>
                <w:szCs w:val="18"/>
              </w:rPr>
              <w:t xml:space="preserve">其他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369"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S02</w:t>
            </w:r>
          </w:p>
        </w:tc>
        <w:tc>
          <w:tcPr>
            <w:tcW w:w="9381" w:type="dxa"/>
            <w:tcBorders>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住宿业单位星级评定情况   □    1 一星     2 二星    3 三星    4 四星    5 五星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340" w:hRule="exact"/>
          <w:jc w:val="center"/>
        </w:trPr>
        <w:tc>
          <w:tcPr>
            <w:tcW w:w="9861" w:type="dxa"/>
            <w:gridSpan w:val="2"/>
            <w:tcBorders>
              <w:left w:val="nil"/>
              <w:righ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单位组织结构情况</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trHeight w:val="765" w:hRule="atLeast"/>
          <w:jc w:val="center"/>
        </w:trPr>
        <w:tc>
          <w:tcPr>
            <w:tcW w:w="480" w:type="dxa"/>
            <w:tcBorders>
              <w:left w:val="nil"/>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214</w:t>
            </w:r>
          </w:p>
        </w:tc>
        <w:tc>
          <w:tcPr>
            <w:tcW w:w="9381" w:type="dxa"/>
            <w:tcBorders>
              <w:right w:val="nil"/>
            </w:tcBorders>
            <w:noWrap w:val="0"/>
            <w:vAlign w:val="center"/>
          </w:tcPr>
          <w:p>
            <w:pPr>
              <w:snapToGrid w:val="0"/>
              <w:spacing w:line="240" w:lineRule="exact"/>
              <w:rPr>
                <w:rFonts w:hint="eastAsia" w:ascii="宋体" w:hAnsi="宋体" w:cs="宋体"/>
                <w:kern w:val="0"/>
                <w:sz w:val="18"/>
                <w:szCs w:val="18"/>
              </w:rPr>
            </w:pPr>
            <w:r>
              <w:rPr>
                <w:rFonts w:hint="eastAsia" w:ascii="宋体" w:hAnsi="宋体" w:cs="宋体"/>
                <w:sz w:val="18"/>
                <w:szCs w:val="18"/>
              </w:rPr>
              <w:t xml:space="preserve">本法人（视同法人）单位是否有上一级法人  □  1是   2否    </w:t>
            </w:r>
          </w:p>
          <w:p>
            <w:pPr>
              <w:snapToGrid w:val="0"/>
              <w:spacing w:line="240" w:lineRule="exact"/>
              <w:rPr>
                <w:rFonts w:hint="eastAsia" w:ascii="宋体" w:hAnsi="宋体" w:cs="宋体"/>
                <w:sz w:val="18"/>
                <w:szCs w:val="18"/>
              </w:rPr>
            </w:pPr>
            <w:r>
              <w:rPr>
                <w:rFonts w:hint="eastAsia" w:ascii="宋体" w:hAnsi="宋体" w:cs="宋体"/>
                <w:sz w:val="18"/>
                <w:szCs w:val="18"/>
              </w:rPr>
              <w:t>如为1，请填写上一级法人（视同法人）统一社会信用代码 □□□□□□□□□□□□□□□□□□</w:t>
            </w:r>
          </w:p>
          <w:p>
            <w:pPr>
              <w:snapToGrid w:val="0"/>
              <w:spacing w:line="240" w:lineRule="exact"/>
              <w:ind w:left="-52" w:leftChars="-25"/>
              <w:rPr>
                <w:rFonts w:hint="eastAsia" w:ascii="宋体" w:hAnsi="宋体" w:cs="宋体"/>
                <w:sz w:val="18"/>
                <w:szCs w:val="18"/>
              </w:rPr>
            </w:pPr>
            <w:r>
              <w:rPr>
                <w:rFonts w:hint="eastAsia" w:ascii="宋体" w:hAnsi="宋体" w:cs="宋体"/>
                <w:sz w:val="18"/>
                <w:szCs w:val="18"/>
              </w:rPr>
              <w:t xml:space="preserve">              上一级法人（视同法人）单位详细名称 </w:t>
            </w:r>
            <w:r>
              <w:rPr>
                <w:rFonts w:hint="eastAsia" w:ascii="宋体" w:hAnsi="宋体" w:cs="宋体"/>
                <w:sz w:val="18"/>
                <w:szCs w:val="18"/>
                <w:u w:val="single"/>
              </w:rPr>
              <w:t xml:space="preserve">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trHeight w:val="510" w:hRule="exact"/>
          <w:jc w:val="center"/>
        </w:trPr>
        <w:tc>
          <w:tcPr>
            <w:tcW w:w="480" w:type="dxa"/>
            <w:tcBorders>
              <w:left w:val="nil"/>
              <w:bottom w:val="single" w:color="auto" w:sz="8" w:space="0"/>
            </w:tcBorders>
            <w:noWrap w:val="0"/>
            <w:tcMar>
              <w:top w:w="0" w:type="dxa"/>
              <w:left w:w="57" w:type="dxa"/>
              <w:bottom w:w="0" w:type="dxa"/>
              <w:right w:w="57" w:type="dxa"/>
            </w:tcMar>
            <w:vAlign w:val="center"/>
          </w:tcPr>
          <w:p>
            <w:pPr>
              <w:snapToGrid w:val="0"/>
              <w:spacing w:line="240" w:lineRule="exact"/>
              <w:jc w:val="center"/>
              <w:rPr>
                <w:rFonts w:hint="eastAsia" w:ascii="宋体" w:hAnsi="宋体" w:cs="宋体"/>
                <w:b/>
                <w:bCs/>
                <w:sz w:val="18"/>
                <w:szCs w:val="18"/>
              </w:rPr>
            </w:pPr>
            <w:r>
              <w:rPr>
                <w:rFonts w:hint="eastAsia" w:ascii="宋体" w:hAnsi="宋体" w:cs="宋体"/>
                <w:b/>
                <w:bCs/>
                <w:sz w:val="18"/>
                <w:szCs w:val="18"/>
              </w:rPr>
              <w:t>212</w:t>
            </w:r>
          </w:p>
        </w:tc>
        <w:tc>
          <w:tcPr>
            <w:tcW w:w="9381" w:type="dxa"/>
            <w:tcBorders>
              <w:bottom w:val="single" w:color="auto" w:sz="8" w:space="0"/>
              <w:right w:val="nil"/>
            </w:tcBorders>
            <w:noWrap w:val="0"/>
            <w:vAlign w:val="center"/>
          </w:tcPr>
          <w:p>
            <w:pPr>
              <w:snapToGrid w:val="0"/>
              <w:spacing w:line="240" w:lineRule="exact"/>
              <w:rPr>
                <w:rFonts w:hint="eastAsia" w:ascii="宋体" w:hAnsi="宋体" w:cs="宋体"/>
                <w:sz w:val="18"/>
                <w:szCs w:val="18"/>
              </w:rPr>
            </w:pPr>
            <w:r>
              <w:rPr>
                <w:rFonts w:hint="eastAsia" w:ascii="宋体" w:hAnsi="宋体" w:cs="宋体"/>
                <w:sz w:val="18"/>
                <w:szCs w:val="18"/>
              </w:rPr>
              <w:t xml:space="preserve">本法人（视同法人）单位是否有下属产业活动单位（分支机构、派出机构、分公司、分部、分厂、分店等） □ </w:t>
            </w:r>
          </w:p>
          <w:p>
            <w:pPr>
              <w:snapToGrid w:val="0"/>
              <w:spacing w:line="240" w:lineRule="exact"/>
              <w:rPr>
                <w:rFonts w:hint="eastAsia" w:ascii="宋体" w:hAnsi="宋体" w:cs="宋体"/>
                <w:sz w:val="18"/>
                <w:szCs w:val="18"/>
              </w:rPr>
            </w:pPr>
            <w:r>
              <w:rPr>
                <w:rFonts w:hint="eastAsia" w:ascii="宋体" w:hAnsi="宋体" w:cs="宋体"/>
                <w:sz w:val="18"/>
                <w:szCs w:val="18"/>
              </w:rPr>
              <w:t xml:space="preserve"> 1是   2否</w:t>
            </w:r>
          </w:p>
        </w:tc>
      </w:tr>
    </w:tbl>
    <w:p>
      <w:pPr>
        <w:keepNext w:val="0"/>
        <w:keepLines w:val="0"/>
        <w:pageBreakBefore w:val="0"/>
        <w:widowControl w:val="0"/>
        <w:kinsoku/>
        <w:wordWrap/>
        <w:overflowPunct/>
        <w:topLinePunct w:val="0"/>
        <w:autoSpaceDE/>
        <w:autoSpaceDN/>
        <w:bidi w:val="0"/>
        <w:adjustRightInd/>
        <w:snapToGrid/>
        <w:spacing w:line="240" w:lineRule="exact"/>
        <w:ind w:left="-294" w:leftChars="-140" w:right="-147" w:rightChars="-70" w:firstLine="180" w:firstLineChars="100"/>
        <w:textAlignment w:val="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sz w:val="18"/>
          <w:szCs w:val="18"/>
        </w:rPr>
        <w:t xml:space="preserve">单位负责人：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统计负责人：         填表人：            联系电话：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报出日期：</w:t>
      </w:r>
      <w:r>
        <w:rPr>
          <w:rFonts w:hint="eastAsia" w:asciiTheme="minorEastAsia" w:hAnsiTheme="minorEastAsia" w:eastAsiaTheme="minorEastAsia" w:cstheme="minorEastAsia"/>
          <w:sz w:val="18"/>
          <w:szCs w:val="18"/>
          <w:lang w:val="en-US" w:eastAsia="zh-CN"/>
        </w:rPr>
        <w:t>2 0</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年   月   日</w:t>
      </w:r>
    </w:p>
    <w:p>
      <w:pPr>
        <w:spacing w:line="240" w:lineRule="exact"/>
        <w:outlineLvl w:val="9"/>
        <w:rPr>
          <w:rFonts w:hint="eastAsia" w:asciiTheme="minorEastAsia" w:hAnsiTheme="minorEastAsia" w:eastAsiaTheme="minorEastAsia" w:cstheme="minorEastAsia"/>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1438" w:leftChars="104" w:right="-63" w:rightChars="-30" w:hanging="1220" w:hangingChars="678"/>
        <w:textAlignment w:val="auto"/>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说明：1.统计范围：辖区内规模以上工业法人单位</w:t>
      </w:r>
      <w:r>
        <w:rPr>
          <w:rFonts w:hint="eastAsia" w:ascii="宋体" w:hAnsi="宋体"/>
          <w:sz w:val="18"/>
          <w:szCs w:val="18"/>
          <w:lang w:eastAsia="zh-CN"/>
        </w:rPr>
        <w:t>和</w:t>
      </w:r>
      <w:r>
        <w:rPr>
          <w:rFonts w:hint="eastAsia" w:ascii="宋体" w:hAnsi="宋体"/>
          <w:sz w:val="18"/>
          <w:szCs w:val="18"/>
        </w:rPr>
        <w:t>规模以上工业</w:t>
      </w:r>
      <w:r>
        <w:rPr>
          <w:rFonts w:hint="eastAsia" w:ascii="宋体" w:hAnsi="宋体"/>
          <w:sz w:val="18"/>
          <w:szCs w:val="18"/>
          <w:lang w:eastAsia="zh-CN"/>
        </w:rPr>
        <w:t>个体经营户</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autoSpaceDE/>
        <w:autoSpaceDN/>
        <w:bidi w:val="0"/>
        <w:adjustRightInd w:val="0"/>
        <w:snapToGrid w:val="0"/>
        <w:spacing w:line="240" w:lineRule="exact"/>
        <w:ind w:left="218" w:leftChars="104" w:right="-63" w:rightChars="-30" w:firstLine="498" w:firstLineChars="277"/>
        <w:textAlignment w:val="auto"/>
        <w:outlineLvl w:val="9"/>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sz w:val="18"/>
          <w:szCs w:val="18"/>
        </w:rPr>
        <w:t>2.报送日期及方式：调查单位202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年3月1</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p>
    <w:p>
      <w:pPr>
        <w:ind w:left="218" w:leftChars="104" w:firstLine="498" w:firstLineChars="277"/>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3.调查单位填报要求：</w:t>
      </w:r>
      <w:r>
        <w:rPr>
          <w:rFonts w:hint="eastAsia" w:ascii="宋体" w:cs="宋体"/>
          <w:sz w:val="18"/>
          <w:szCs w:val="18"/>
        </w:rPr>
        <w:t>本表主要数据由国家统计局在调查开始前统一导入数据采集处理软件中，生成报表数据。调查单位应根据实际情况对表中的数据进行认真核对与填写，指标数据如有变动应及时进行修改</w:t>
      </w:r>
      <w:r>
        <w:rPr>
          <w:rFonts w:ascii="宋体" w:cs="宋体"/>
          <w:sz w:val="18"/>
          <w:szCs w:val="18"/>
        </w:rPr>
        <w:t>(</w:t>
      </w:r>
      <w:r>
        <w:rPr>
          <w:rFonts w:hint="eastAsia" w:ascii="宋体" w:cs="宋体"/>
          <w:sz w:val="18"/>
          <w:szCs w:val="18"/>
        </w:rPr>
        <w:t>加灰底的指标除外</w:t>
      </w:r>
      <w:r>
        <w:rPr>
          <w:rFonts w:ascii="宋体" w:cs="宋体"/>
          <w:sz w:val="18"/>
          <w:szCs w:val="18"/>
        </w:rPr>
        <w:t>)</w:t>
      </w:r>
      <w:r>
        <w:rPr>
          <w:rFonts w:hint="eastAsia" w:ascii="宋体" w:cs="宋体"/>
          <w:sz w:val="18"/>
          <w:szCs w:val="18"/>
        </w:rPr>
        <w:t>。调查单位</w:t>
      </w:r>
      <w:r>
        <w:rPr>
          <w:rFonts w:ascii="宋体" w:cs="宋体"/>
          <w:sz w:val="18"/>
          <w:szCs w:val="18"/>
        </w:rPr>
        <w:t>应首先填</w:t>
      </w:r>
      <w:r>
        <w:rPr>
          <w:rFonts w:hint="eastAsia" w:ascii="宋体" w:cs="宋体"/>
          <w:sz w:val="18"/>
          <w:szCs w:val="18"/>
        </w:rPr>
        <w:t>写</w:t>
      </w:r>
      <w:r>
        <w:rPr>
          <w:rFonts w:ascii="宋体" w:cs="宋体"/>
          <w:sz w:val="18"/>
          <w:szCs w:val="18"/>
        </w:rPr>
        <w:t>上报本表</w:t>
      </w:r>
      <w:r>
        <w:rPr>
          <w:rFonts w:hint="eastAsia" w:ascii="宋体" w:cs="宋体"/>
          <w:sz w:val="18"/>
          <w:szCs w:val="18"/>
        </w:rPr>
        <w:t>后</w:t>
      </w:r>
      <w:r>
        <w:rPr>
          <w:rFonts w:ascii="宋体" w:cs="宋体"/>
          <w:sz w:val="18"/>
          <w:szCs w:val="18"/>
        </w:rPr>
        <w:t>，</w:t>
      </w:r>
      <w:r>
        <w:rPr>
          <w:rFonts w:hint="eastAsia" w:ascii="宋体" w:cs="宋体"/>
          <w:sz w:val="18"/>
          <w:szCs w:val="18"/>
        </w:rPr>
        <w:t>再上报其他</w:t>
      </w:r>
      <w:r>
        <w:rPr>
          <w:rFonts w:ascii="宋体" w:cs="宋体"/>
          <w:sz w:val="18"/>
          <w:szCs w:val="18"/>
        </w:rPr>
        <w:t>报表</w:t>
      </w:r>
      <w:r>
        <w:rPr>
          <w:rFonts w:hint="eastAsia" w:asciiTheme="minorEastAsia" w:hAnsiTheme="minorEastAsia" w:eastAsiaTheme="minorEastAsia" w:cstheme="minorEastAsia"/>
          <w:sz w:val="18"/>
          <w:szCs w:val="18"/>
        </w:rPr>
        <w:t>。</w:t>
      </w:r>
    </w:p>
    <w:p>
      <w:pPr>
        <w:ind w:firstLine="720" w:firstLineChars="400"/>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4.统计机构数据审核、处理要求：</w:t>
      </w:r>
    </w:p>
    <w:p>
      <w:pPr>
        <w:ind w:left="218" w:leftChars="104" w:firstLine="498" w:firstLineChars="277"/>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(1)调查单位不能修改本表中“100是否为‘视同法人单位’”“102单位详细名称”“103行业代码”“104</w:t>
      </w:r>
    </w:p>
    <w:p>
      <w:pPr>
        <w:ind w:left="216" w:leftChars="103" w:firstLine="0" w:firstLineChars="0"/>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报表类别”“105、106”中的“区划代码和城乡代码”。</w:t>
      </w:r>
    </w:p>
    <w:p>
      <w:pPr>
        <w:ind w:left="218" w:leftChars="104" w:firstLine="498" w:firstLineChars="277"/>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统计机构不能修改本表中的“102单位详细名称”“104报表类别”，不能跨报表类别修改“103行业代码”，不能跨省(自治区、直辖市)修改“105、106”中的“区划代码”；“105、106”中的“城乡代码”根据2025年《统计用区划代码和城乡划分代码》提取生成。</w:t>
      </w:r>
    </w:p>
    <w:p>
      <w:pPr>
        <w:ind w:left="218" w:leftChars="104" w:firstLine="498" w:firstLineChars="277"/>
        <w:outlineLvl w:val="9"/>
        <w:rPr>
          <w:bCs/>
          <w:kern w:val="0"/>
          <w:sz w:val="18"/>
          <w:szCs w:val="18"/>
        </w:rPr>
      </w:pPr>
      <w:r>
        <w:rPr>
          <w:rFonts w:hint="eastAsia" w:asciiTheme="minorEastAsia" w:hAnsiTheme="minorEastAsia" w:eastAsiaTheme="minorEastAsia" w:cstheme="minorEastAsia"/>
          <w:sz w:val="18"/>
          <w:szCs w:val="18"/>
        </w:rPr>
        <w:t>(3)“106单位注册地区划及详细地址”如与“105单位所在地区划及详细地址”一致，则程序自动将单位所在地区划及详细地址信息摘抄至单位注册地区划及详细地址处。“191单位规模”“192从业人员”和“193企业主要经济指标”等指标数据由各级统计机构待相关报表数据确认后进行摘抄或计算取得。具体方法为：“192 从业人员”数据，对于年度新纳入单位，由调查单位自行填报，其他单位从“从业人员及工资总额”(102-1表)中的“从业人员期末人数(01)”和“其中：女性(02)”摘抄取得；“193企业主要经济指标”数据分别从各行业“财务状况”表中的“营业收入(301)”“其中：主营业务收入(302)”“资产总计(213)”“利润总额(327)”摘抄取得；“191单位规模”依据《统计上大中小微型企业划分办法（2017）》及“192从业人员”和“193企业主要经济指标”的数据计算取得。</w:t>
      </w:r>
      <w:r>
        <w:rPr>
          <w:bCs/>
          <w:kern w:val="0"/>
          <w:sz w:val="18"/>
          <w:szCs w:val="18"/>
        </w:rPr>
        <w:br w:type="page"/>
      </w: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23" w:name="_Toc8942513"/>
      <w:bookmarkStart w:id="24" w:name="_Toc150336407"/>
      <w:bookmarkStart w:id="25" w:name="_Toc558198463"/>
      <w:r>
        <w:rPr>
          <w:rFonts w:hint="eastAsia" w:ascii="宋体" w:hAnsi="宋体" w:cs="宋体"/>
          <w:b/>
          <w:bCs/>
          <w:sz w:val="32"/>
          <w:szCs w:val="32"/>
          <w:lang w:eastAsia="zh-CN"/>
        </w:rPr>
        <w:t>企业组织结构调查表</w:t>
      </w:r>
      <w:bookmarkEnd w:id="23"/>
      <w:bookmarkEnd w:id="24"/>
      <w:bookmarkEnd w:id="25"/>
    </w:p>
    <w:tbl>
      <w:tblPr>
        <w:tblStyle w:val="17"/>
        <w:tblW w:w="9524" w:type="dxa"/>
        <w:jc w:val="center"/>
        <w:tblLayout w:type="autofit"/>
        <w:tblCellMar>
          <w:top w:w="0" w:type="dxa"/>
          <w:left w:w="108" w:type="dxa"/>
          <w:bottom w:w="0" w:type="dxa"/>
          <w:right w:w="108" w:type="dxa"/>
        </w:tblCellMar>
      </w:tblPr>
      <w:tblGrid>
        <w:gridCol w:w="6347"/>
        <w:gridCol w:w="1151"/>
        <w:gridCol w:w="2026"/>
      </w:tblGrid>
      <w:tr>
        <w:tblPrEx>
          <w:tblCellMar>
            <w:top w:w="0" w:type="dxa"/>
            <w:left w:w="108" w:type="dxa"/>
            <w:bottom w:w="0" w:type="dxa"/>
            <w:right w:w="108" w:type="dxa"/>
          </w:tblCellMar>
        </w:tblPrEx>
        <w:trPr>
          <w:trHeight w:val="255" w:hRule="exact"/>
          <w:jc w:val="center"/>
        </w:trPr>
        <w:tc>
          <w:tcPr>
            <w:tcW w:w="6347" w:type="dxa"/>
            <w:noWrap w:val="0"/>
            <w:vAlign w:val="top"/>
          </w:tcPr>
          <w:p>
            <w:pPr>
              <w:widowControl/>
              <w:spacing w:line="240" w:lineRule="exact"/>
              <w:rPr>
                <w:rFonts w:hint="eastAsia" w:ascii="宋体" w:hAnsi="宋体" w:eastAsia="宋体" w:cs="宋体"/>
                <w:sz w:val="18"/>
                <w:szCs w:val="18"/>
              </w:rPr>
            </w:pPr>
          </w:p>
        </w:tc>
        <w:tc>
          <w:tcPr>
            <w:tcW w:w="1151" w:type="dxa"/>
            <w:noWrap w:val="0"/>
            <w:vAlign w:val="center"/>
          </w:tcPr>
          <w:p>
            <w:pPr>
              <w:widowControl/>
              <w:spacing w:line="240" w:lineRule="exact"/>
              <w:ind w:right="-210" w:rightChars="-100"/>
              <w:jc w:val="right"/>
              <w:rPr>
                <w:rFonts w:hint="eastAsia" w:ascii="宋体" w:hAnsi="宋体" w:eastAsia="宋体" w:cs="宋体"/>
                <w:sz w:val="18"/>
                <w:szCs w:val="18"/>
              </w:rPr>
            </w:pPr>
            <w:r>
              <w:rPr>
                <w:rFonts w:hint="eastAsia" w:ascii="宋体" w:hAnsi="宋体" w:eastAsia="宋体" w:cs="宋体"/>
                <w:sz w:val="18"/>
                <w:szCs w:val="18"/>
              </w:rPr>
              <w:t>表    号：</w:t>
            </w:r>
          </w:p>
        </w:tc>
        <w:tc>
          <w:tcPr>
            <w:tcW w:w="2026" w:type="dxa"/>
            <w:noWrap w:val="0"/>
            <w:vAlign w:val="center"/>
          </w:tcPr>
          <w:p>
            <w:pPr>
              <w:widowControl/>
              <w:spacing w:line="240" w:lineRule="exact"/>
              <w:ind w:left="-63" w:leftChars="-30" w:right="-63" w:rightChars="-30"/>
              <w:jc w:val="distribute"/>
              <w:rPr>
                <w:rFonts w:hint="eastAsia" w:ascii="宋体" w:hAnsi="宋体" w:eastAsia="宋体" w:cs="宋体"/>
                <w:sz w:val="18"/>
                <w:szCs w:val="18"/>
              </w:rPr>
            </w:pP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１０8</w:t>
            </w:r>
            <w:r>
              <w:rPr>
                <w:rFonts w:hint="eastAsia" w:ascii="宋体" w:hAnsi="宋体" w:eastAsia="宋体" w:cs="宋体"/>
                <w:sz w:val="18"/>
                <w:szCs w:val="18"/>
              </w:rPr>
              <w:t>表</w:t>
            </w:r>
          </w:p>
        </w:tc>
      </w:tr>
      <w:tr>
        <w:tblPrEx>
          <w:tblCellMar>
            <w:top w:w="0" w:type="dxa"/>
            <w:left w:w="108" w:type="dxa"/>
            <w:bottom w:w="0" w:type="dxa"/>
            <w:right w:w="108" w:type="dxa"/>
          </w:tblCellMar>
        </w:tblPrEx>
        <w:trPr>
          <w:trHeight w:val="292" w:hRule="exact"/>
          <w:jc w:val="center"/>
        </w:trPr>
        <w:tc>
          <w:tcPr>
            <w:tcW w:w="6347" w:type="dxa"/>
            <w:noWrap w:val="0"/>
            <w:vAlign w:val="bottom"/>
          </w:tcPr>
          <w:p>
            <w:pPr>
              <w:widowControl/>
              <w:spacing w:line="240" w:lineRule="exact"/>
              <w:ind w:left="-63" w:leftChars="-30"/>
              <w:rPr>
                <w:rFonts w:hint="eastAsia" w:ascii="宋体" w:hAnsi="宋体" w:eastAsia="宋体" w:cs="宋体"/>
                <w:sz w:val="18"/>
                <w:szCs w:val="18"/>
              </w:rPr>
            </w:pPr>
          </w:p>
        </w:tc>
        <w:tc>
          <w:tcPr>
            <w:tcW w:w="1151" w:type="dxa"/>
            <w:noWrap w:val="0"/>
            <w:vAlign w:val="top"/>
          </w:tcPr>
          <w:p>
            <w:pPr>
              <w:widowControl/>
              <w:spacing w:line="240" w:lineRule="exact"/>
              <w:ind w:right="-210" w:rightChars="-100"/>
              <w:jc w:val="right"/>
              <w:rPr>
                <w:rFonts w:hint="eastAsia" w:ascii="宋体" w:hAnsi="宋体" w:eastAsia="宋体" w:cs="宋体"/>
                <w:sz w:val="18"/>
                <w:szCs w:val="18"/>
              </w:rPr>
            </w:pPr>
            <w:r>
              <w:rPr>
                <w:rFonts w:hint="eastAsia" w:ascii="宋体" w:hAnsi="宋体" w:eastAsia="宋体" w:cs="宋体"/>
                <w:sz w:val="18"/>
                <w:szCs w:val="18"/>
              </w:rPr>
              <w:t>制定机关：</w:t>
            </w:r>
          </w:p>
        </w:tc>
        <w:tc>
          <w:tcPr>
            <w:tcW w:w="2026" w:type="dxa"/>
            <w:noWrap w:val="0"/>
            <w:vAlign w:val="center"/>
          </w:tcPr>
          <w:p>
            <w:pPr>
              <w:spacing w:line="200" w:lineRule="exact"/>
              <w:ind w:left="-63" w:leftChars="-30" w:right="-63" w:rightChars="-30"/>
              <w:jc w:val="distribute"/>
              <w:rPr>
                <w:rFonts w:hint="eastAsia" w:ascii="宋体" w:hAnsi="宋体" w:eastAsia="宋体" w:cs="宋体"/>
                <w:sz w:val="18"/>
                <w:szCs w:val="18"/>
              </w:rPr>
            </w:pPr>
            <w:r>
              <w:rPr>
                <w:rFonts w:hint="eastAsia" w:ascii="宋体" w:hAnsi="宋体" w:eastAsia="宋体" w:cs="宋体"/>
                <w:sz w:val="18"/>
                <w:szCs w:val="18"/>
              </w:rPr>
              <w:t>国 家 统 计 局</w:t>
            </w:r>
          </w:p>
        </w:tc>
      </w:tr>
      <w:tr>
        <w:tblPrEx>
          <w:tblCellMar>
            <w:top w:w="0" w:type="dxa"/>
            <w:left w:w="108" w:type="dxa"/>
            <w:bottom w:w="0" w:type="dxa"/>
            <w:right w:w="108" w:type="dxa"/>
          </w:tblCellMar>
        </w:tblPrEx>
        <w:trPr>
          <w:trHeight w:val="255" w:hRule="exact"/>
          <w:jc w:val="center"/>
        </w:trPr>
        <w:tc>
          <w:tcPr>
            <w:tcW w:w="6347" w:type="dxa"/>
            <w:noWrap w:val="0"/>
            <w:vAlign w:val="bottom"/>
          </w:tcPr>
          <w:p>
            <w:pPr>
              <w:widowControl/>
              <w:spacing w:line="240" w:lineRule="exact"/>
              <w:ind w:left="-63" w:leftChars="-30"/>
              <w:rPr>
                <w:rFonts w:hint="eastAsia" w:ascii="宋体" w:hAnsi="宋体" w:eastAsia="宋体" w:cs="宋体"/>
                <w:sz w:val="18"/>
                <w:szCs w:val="18"/>
              </w:rPr>
            </w:pPr>
            <w:r>
              <w:rPr>
                <w:rFonts w:hint="eastAsia" w:ascii="宋体" w:hAnsi="宋体" w:eastAsia="宋体" w:cs="宋体"/>
                <w:sz w:val="18"/>
                <w:szCs w:val="18"/>
              </w:rPr>
              <w:t>统一社会信用代码□□□□□□□□□□□□□□□□□□</w:t>
            </w:r>
          </w:p>
        </w:tc>
        <w:tc>
          <w:tcPr>
            <w:tcW w:w="1151" w:type="dxa"/>
            <w:noWrap w:val="0"/>
            <w:vAlign w:val="top"/>
          </w:tcPr>
          <w:p>
            <w:pPr>
              <w:widowControl/>
              <w:spacing w:line="240" w:lineRule="exact"/>
              <w:ind w:right="-210" w:rightChars="-100"/>
              <w:jc w:val="right"/>
              <w:rPr>
                <w:rFonts w:hint="eastAsia" w:ascii="宋体" w:hAnsi="宋体" w:eastAsia="宋体" w:cs="宋体"/>
                <w:sz w:val="18"/>
                <w:szCs w:val="18"/>
              </w:rPr>
            </w:pPr>
            <w:r>
              <w:rPr>
                <w:rFonts w:hint="eastAsia" w:ascii="宋体" w:hAnsi="宋体" w:eastAsia="宋体" w:cs="宋体"/>
                <w:sz w:val="18"/>
                <w:szCs w:val="18"/>
              </w:rPr>
              <w:t>文    号：</w:t>
            </w:r>
          </w:p>
        </w:tc>
        <w:tc>
          <w:tcPr>
            <w:tcW w:w="2026" w:type="dxa"/>
            <w:noWrap w:val="0"/>
            <w:vAlign w:val="center"/>
          </w:tcPr>
          <w:p>
            <w:pPr>
              <w:spacing w:line="220" w:lineRule="exact"/>
              <w:ind w:left="-63" w:leftChars="-30" w:right="-63" w:rightChars="-30"/>
              <w:jc w:val="distribute"/>
              <w:rPr>
                <w:rFonts w:hint="eastAsia" w:ascii="宋体" w:hAnsi="宋体" w:eastAsia="宋体" w:cs="宋体"/>
                <w:sz w:val="18"/>
                <w:szCs w:val="18"/>
                <w:lang w:eastAsia="zh-CN"/>
              </w:rPr>
            </w:pPr>
            <w:r>
              <w:rPr>
                <w:rFonts w:hint="eastAsia" w:ascii="宋体" w:hAnsi="宋体" w:eastAsia="宋体" w:cs="宋体"/>
                <w:snapToGrid w:val="0"/>
                <w:kern w:val="10"/>
                <w:sz w:val="18"/>
                <w:szCs w:val="18"/>
              </w:rPr>
              <w:t>国统字〔</w:t>
            </w:r>
            <w:r>
              <w:rPr>
                <w:rFonts w:hint="eastAsia" w:ascii="宋体" w:hAnsi="宋体" w:cs="宋体"/>
                <w:snapToGrid w:val="0"/>
                <w:kern w:val="10"/>
                <w:sz w:val="18"/>
                <w:szCs w:val="18"/>
                <w:lang w:val="en-US" w:eastAsia="zh-CN"/>
              </w:rPr>
              <w:t>2025</w:t>
            </w:r>
            <w:r>
              <w:rPr>
                <w:rFonts w:hint="eastAsia" w:ascii="宋体" w:hAnsi="宋体" w:eastAsia="宋体" w:cs="宋体"/>
                <w:snapToGrid w:val="0"/>
                <w:kern w:val="10"/>
                <w:sz w:val="18"/>
                <w:szCs w:val="18"/>
              </w:rPr>
              <w:t>〕</w:t>
            </w:r>
            <w:r>
              <w:rPr>
                <w:rFonts w:hint="eastAsia" w:ascii="宋体" w:hAnsi="宋体" w:cs="宋体"/>
                <w:snapToGrid w:val="0"/>
                <w:kern w:val="10"/>
                <w:sz w:val="18"/>
                <w:szCs w:val="18"/>
                <w:lang w:val="en-US" w:eastAsia="zh-CN"/>
              </w:rPr>
              <w:t>88</w:t>
            </w:r>
            <w:r>
              <w:rPr>
                <w:rFonts w:hint="eastAsia" w:ascii="宋体" w:hAnsi="宋体" w:eastAsia="宋体" w:cs="宋体"/>
                <w:snapToGrid w:val="0"/>
                <w:kern w:val="10"/>
                <w:sz w:val="18"/>
                <w:szCs w:val="18"/>
                <w:lang w:eastAsia="zh-CN"/>
              </w:rPr>
              <w:t>号</w:t>
            </w:r>
          </w:p>
        </w:tc>
      </w:tr>
      <w:tr>
        <w:tblPrEx>
          <w:tblCellMar>
            <w:top w:w="0" w:type="dxa"/>
            <w:left w:w="108" w:type="dxa"/>
            <w:bottom w:w="0" w:type="dxa"/>
            <w:right w:w="108" w:type="dxa"/>
          </w:tblCellMar>
        </w:tblPrEx>
        <w:trPr>
          <w:trHeight w:val="255" w:hRule="exact"/>
          <w:jc w:val="center"/>
        </w:trPr>
        <w:tc>
          <w:tcPr>
            <w:tcW w:w="6347" w:type="dxa"/>
            <w:noWrap w:val="0"/>
            <w:vAlign w:val="bottom"/>
          </w:tcPr>
          <w:p>
            <w:pPr>
              <w:widowControl/>
              <w:spacing w:line="240" w:lineRule="exact"/>
              <w:ind w:left="-63" w:leftChars="-30"/>
              <w:rPr>
                <w:rFonts w:hint="default" w:ascii="宋体" w:hAnsi="宋体" w:eastAsia="宋体" w:cs="宋体"/>
                <w:sz w:val="18"/>
                <w:szCs w:val="18"/>
                <w:lang w:val="en-US" w:eastAsia="zh-CN"/>
              </w:rPr>
            </w:pPr>
            <w:r>
              <w:rPr>
                <w:rFonts w:hint="eastAsia" w:ascii="宋体" w:hAnsi="宋体" w:eastAsia="宋体" w:cs="宋体"/>
                <w:sz w:val="18"/>
                <w:szCs w:val="18"/>
              </w:rPr>
              <w:t xml:space="preserve">单位详细名称：                              </w:t>
            </w:r>
            <w:r>
              <w:rPr>
                <w:rFonts w:hint="eastAsia" w:ascii="宋体" w:hAnsi="宋体" w:cs="宋体"/>
                <w:sz w:val="18"/>
                <w:szCs w:val="18"/>
                <w:lang w:val="en-US" w:eastAsia="zh-CN"/>
              </w:rPr>
              <w:t xml:space="preserve">      20   年</w:t>
            </w:r>
          </w:p>
        </w:tc>
        <w:tc>
          <w:tcPr>
            <w:tcW w:w="1151" w:type="dxa"/>
            <w:noWrap w:val="0"/>
            <w:vAlign w:val="top"/>
          </w:tcPr>
          <w:p>
            <w:pPr>
              <w:widowControl/>
              <w:spacing w:line="240" w:lineRule="exact"/>
              <w:ind w:right="-210" w:rightChars="-100"/>
              <w:jc w:val="right"/>
              <w:rPr>
                <w:rFonts w:hint="eastAsia" w:ascii="宋体" w:hAnsi="宋体" w:eastAsia="宋体" w:cs="宋体"/>
                <w:sz w:val="18"/>
                <w:szCs w:val="18"/>
              </w:rPr>
            </w:pPr>
            <w:r>
              <w:rPr>
                <w:rFonts w:hint="eastAsia" w:ascii="宋体" w:hAnsi="宋体" w:eastAsia="宋体" w:cs="宋体"/>
                <w:sz w:val="18"/>
                <w:szCs w:val="18"/>
              </w:rPr>
              <w:t>有效期至：</w:t>
            </w:r>
          </w:p>
        </w:tc>
        <w:tc>
          <w:tcPr>
            <w:tcW w:w="2026" w:type="dxa"/>
            <w:noWrap w:val="0"/>
            <w:vAlign w:val="center"/>
          </w:tcPr>
          <w:p>
            <w:pPr>
              <w:spacing w:line="220" w:lineRule="exact"/>
              <w:ind w:left="-63" w:leftChars="-30" w:right="-63" w:rightChars="-30"/>
              <w:jc w:val="distribute"/>
              <w:rPr>
                <w:rFonts w:hint="eastAsia" w:ascii="宋体" w:hAnsi="宋体" w:eastAsia="宋体" w:cs="宋体"/>
                <w:sz w:val="18"/>
                <w:szCs w:val="18"/>
              </w:rPr>
            </w:pPr>
            <w:r>
              <w:rPr>
                <w:rFonts w:hint="eastAsia" w:ascii="宋体" w:hAnsi="宋体" w:eastAsia="宋体" w:cs="宋体"/>
                <w:sz w:val="18"/>
                <w:szCs w:val="18"/>
                <w:lang w:val="en-US" w:eastAsia="zh-CN"/>
              </w:rPr>
              <w:t>202</w:t>
            </w:r>
            <w:r>
              <w:rPr>
                <w:rFonts w:hint="eastAsia" w:ascii="宋体" w:hAnsi="宋体" w:cs="宋体"/>
                <w:sz w:val="18"/>
                <w:szCs w:val="18"/>
                <w:lang w:val="en-US" w:eastAsia="zh-CN"/>
              </w:rPr>
              <w:t>6</w:t>
            </w:r>
            <w:r>
              <w:rPr>
                <w:rFonts w:hint="eastAsia" w:ascii="宋体" w:hAnsi="宋体" w:eastAsia="宋体" w:cs="宋体"/>
                <w:sz w:val="18"/>
                <w:szCs w:val="18"/>
              </w:rPr>
              <w:t>年</w:t>
            </w:r>
            <w:r>
              <w:rPr>
                <w:rFonts w:hint="eastAsia" w:ascii="宋体" w:hAnsi="宋体" w:cs="宋体"/>
                <w:sz w:val="18"/>
                <w:szCs w:val="18"/>
                <w:lang w:val="en-US" w:eastAsia="zh-CN"/>
              </w:rPr>
              <w:t>6</w:t>
            </w:r>
            <w:r>
              <w:rPr>
                <w:rFonts w:hint="eastAsia" w:ascii="宋体" w:hAnsi="宋体" w:eastAsia="宋体" w:cs="宋体"/>
                <w:sz w:val="18"/>
                <w:szCs w:val="18"/>
              </w:rPr>
              <w:t>月</w:t>
            </w:r>
          </w:p>
        </w:tc>
      </w:tr>
    </w:tbl>
    <w:p>
      <w:pPr>
        <w:widowControl/>
        <w:spacing w:line="40" w:lineRule="exact"/>
        <w:rPr>
          <w:rFonts w:hint="eastAsia" w:ascii="宋体" w:hAnsi="宋体" w:eastAsia="宋体" w:cs="宋体"/>
          <w:sz w:val="18"/>
          <w:szCs w:val="18"/>
        </w:rPr>
      </w:pPr>
    </w:p>
    <w:tbl>
      <w:tblPr>
        <w:tblStyle w:val="17"/>
        <w:tblW w:w="9526"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51" w:type="dxa"/>
          <w:bottom w:w="0" w:type="dxa"/>
          <w:right w:w="51" w:type="dxa"/>
        </w:tblCellMar>
      </w:tblPr>
      <w:tblGrid>
        <w:gridCol w:w="1050"/>
        <w:gridCol w:w="766"/>
        <w:gridCol w:w="575"/>
        <w:gridCol w:w="602"/>
        <w:gridCol w:w="495"/>
        <w:gridCol w:w="452"/>
        <w:gridCol w:w="495"/>
        <w:gridCol w:w="465"/>
        <w:gridCol w:w="612"/>
        <w:gridCol w:w="566"/>
        <w:gridCol w:w="615"/>
        <w:gridCol w:w="657"/>
        <w:gridCol w:w="615"/>
        <w:gridCol w:w="730"/>
        <w:gridCol w:w="831"/>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516" w:hRule="atLeast"/>
          <w:jc w:val="center"/>
        </w:trPr>
        <w:tc>
          <w:tcPr>
            <w:tcW w:w="5000" w:type="pct"/>
            <w:gridSpan w:val="15"/>
            <w:tcBorders>
              <w:top w:val="single" w:color="auto" w:sz="8" w:space="0"/>
              <w:bottom w:val="single" w:color="auto" w:sz="2" w:space="0"/>
            </w:tcBorders>
            <w:shd w:val="clear" w:color="auto" w:fill="BEBEBE"/>
            <w:noWrap/>
            <w:tcMar>
              <w:left w:w="0" w:type="dxa"/>
              <w:right w:w="0" w:type="dxa"/>
            </w:tcMar>
            <w:vAlign w:val="center"/>
          </w:tcPr>
          <w:p>
            <w:pPr>
              <w:spacing w:line="240" w:lineRule="exact"/>
              <w:rPr>
                <w:rFonts w:hint="eastAsia" w:ascii="宋体" w:hAnsi="宋体" w:cs="宋体"/>
                <w:sz w:val="18"/>
                <w:szCs w:val="18"/>
              </w:rPr>
            </w:pPr>
            <w:r>
              <w:rPr>
                <w:rFonts w:hint="eastAsia" w:ascii="宋体" w:hAnsi="宋体" w:cs="宋体"/>
                <w:sz w:val="18"/>
                <w:szCs w:val="18"/>
              </w:rPr>
              <w:t>本法人单位下属产业活动单位共</w:t>
            </w:r>
            <w:r>
              <w:rPr>
                <w:rFonts w:hint="eastAsia" w:ascii="宋体" w:hAnsi="宋体" w:cs="宋体"/>
                <w:sz w:val="18"/>
                <w:szCs w:val="18"/>
                <w:u w:val="single"/>
              </w:rPr>
              <w:t xml:space="preserve">       </w:t>
            </w:r>
            <w:r>
              <w:rPr>
                <w:rFonts w:hint="eastAsia" w:ascii="宋体" w:hAnsi="宋体" w:cs="宋体"/>
                <w:sz w:val="18"/>
                <w:szCs w:val="18"/>
              </w:rPr>
              <w:t>个</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405" w:hRule="atLeast"/>
          <w:jc w:val="center"/>
        </w:trPr>
        <w:tc>
          <w:tcPr>
            <w:tcW w:w="551" w:type="pct"/>
            <w:vMerge w:val="restart"/>
            <w:tcBorders>
              <w:top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序号</w:t>
            </w:r>
          </w:p>
        </w:tc>
        <w:tc>
          <w:tcPr>
            <w:tcW w:w="402" w:type="pct"/>
            <w:vMerge w:val="restart"/>
            <w:tcBorders>
              <w:top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产业活动</w:t>
            </w:r>
          </w:p>
          <w:p>
            <w:pPr>
              <w:snapToGrid w:val="0"/>
              <w:spacing w:line="280" w:lineRule="exact"/>
              <w:jc w:val="center"/>
              <w:rPr>
                <w:rFonts w:hint="eastAsia" w:ascii="宋体" w:hAnsi="宋体" w:cs="宋体"/>
                <w:sz w:val="18"/>
                <w:szCs w:val="18"/>
              </w:rPr>
            </w:pPr>
            <w:r>
              <w:rPr>
                <w:rFonts w:hint="eastAsia" w:ascii="宋体" w:hAnsi="宋体" w:cs="宋体"/>
                <w:sz w:val="18"/>
                <w:szCs w:val="18"/>
              </w:rPr>
              <w:t>单位类别</w:t>
            </w:r>
          </w:p>
          <w:p>
            <w:pPr>
              <w:jc w:val="center"/>
              <w:rPr>
                <w:rFonts w:hint="eastAsia" w:ascii="宋体" w:hAnsi="宋体" w:cs="宋体"/>
                <w:sz w:val="18"/>
                <w:szCs w:val="18"/>
              </w:rPr>
            </w:pPr>
            <w:r>
              <w:rPr>
                <w:rFonts w:hint="eastAsia" w:ascii="宋体" w:hAnsi="宋体" w:cs="宋体"/>
                <w:sz w:val="18"/>
                <w:szCs w:val="18"/>
              </w:rPr>
              <w:t>（1本部</w:t>
            </w:r>
          </w:p>
          <w:p>
            <w:pPr>
              <w:jc w:val="center"/>
              <w:rPr>
                <w:rFonts w:ascii="宋体" w:hAnsi="宋体" w:cs="宋体"/>
                <w:sz w:val="18"/>
                <w:szCs w:val="18"/>
              </w:rPr>
            </w:pPr>
            <w:r>
              <w:rPr>
                <w:rFonts w:hint="eastAsia" w:ascii="宋体" w:hAnsi="宋体" w:cs="宋体"/>
                <w:sz w:val="18"/>
                <w:szCs w:val="18"/>
              </w:rPr>
              <w:t>2分支</w:t>
            </w:r>
          </w:p>
          <w:p>
            <w:pPr>
              <w:jc w:val="center"/>
              <w:rPr>
                <w:rFonts w:hint="eastAsia" w:ascii="宋体" w:hAnsi="宋体" w:cs="宋体"/>
                <w:sz w:val="18"/>
                <w:szCs w:val="18"/>
              </w:rPr>
            </w:pPr>
            <w:r>
              <w:rPr>
                <w:rFonts w:hint="eastAsia" w:ascii="宋体" w:hAnsi="宋体" w:cs="宋体"/>
                <w:sz w:val="18"/>
                <w:szCs w:val="18"/>
              </w:rPr>
              <w:t>机构）</w:t>
            </w:r>
          </w:p>
        </w:tc>
        <w:tc>
          <w:tcPr>
            <w:tcW w:w="302" w:type="pct"/>
            <w:vMerge w:val="restart"/>
            <w:tcBorders>
              <w:top w:val="single" w:color="auto" w:sz="2" w:space="0"/>
            </w:tcBorders>
            <w:shd w:val="clear" w:color="auto" w:fill="auto"/>
            <w:noWrap w:val="0"/>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统一社会信用代码</w:t>
            </w:r>
          </w:p>
        </w:tc>
        <w:tc>
          <w:tcPr>
            <w:tcW w:w="316" w:type="pct"/>
            <w:vMerge w:val="restart"/>
            <w:tcBorders>
              <w:top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单位</w:t>
            </w:r>
          </w:p>
          <w:p>
            <w:pPr>
              <w:snapToGrid w:val="0"/>
              <w:spacing w:line="280" w:lineRule="exact"/>
              <w:jc w:val="center"/>
              <w:rPr>
                <w:rFonts w:hint="eastAsia" w:ascii="宋体" w:hAnsi="宋体" w:cs="宋体"/>
                <w:sz w:val="18"/>
                <w:szCs w:val="18"/>
              </w:rPr>
            </w:pPr>
            <w:r>
              <w:rPr>
                <w:rFonts w:hint="eastAsia" w:ascii="宋体" w:hAnsi="宋体" w:cs="宋体"/>
                <w:sz w:val="18"/>
                <w:szCs w:val="18"/>
              </w:rPr>
              <w:t>详细</w:t>
            </w:r>
          </w:p>
          <w:p>
            <w:pPr>
              <w:snapToGrid w:val="0"/>
              <w:spacing w:line="280" w:lineRule="exact"/>
              <w:jc w:val="center"/>
              <w:rPr>
                <w:rFonts w:hint="eastAsia" w:ascii="宋体" w:hAnsi="宋体" w:cs="宋体"/>
                <w:sz w:val="18"/>
                <w:szCs w:val="18"/>
              </w:rPr>
            </w:pPr>
            <w:r>
              <w:rPr>
                <w:rFonts w:hint="eastAsia" w:ascii="宋体" w:hAnsi="宋体" w:cs="宋体"/>
                <w:sz w:val="18"/>
                <w:szCs w:val="18"/>
              </w:rPr>
              <w:t>名称</w:t>
            </w:r>
          </w:p>
        </w:tc>
        <w:tc>
          <w:tcPr>
            <w:tcW w:w="1001" w:type="pct"/>
            <w:gridSpan w:val="4"/>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详细地址</w:t>
            </w:r>
          </w:p>
        </w:tc>
        <w:tc>
          <w:tcPr>
            <w:tcW w:w="321" w:type="pct"/>
            <w:vMerge w:val="restart"/>
            <w:tcBorders>
              <w:top w:val="single" w:color="auto" w:sz="2" w:space="0"/>
            </w:tcBorders>
            <w:shd w:val="clear" w:color="auto" w:fill="D7D7D7"/>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区划</w:t>
            </w:r>
          </w:p>
          <w:p>
            <w:pPr>
              <w:snapToGrid w:val="0"/>
              <w:spacing w:line="280" w:lineRule="exact"/>
              <w:jc w:val="center"/>
              <w:rPr>
                <w:rFonts w:hint="eastAsia" w:ascii="宋体" w:hAnsi="宋体" w:cs="宋体"/>
                <w:sz w:val="18"/>
                <w:szCs w:val="18"/>
              </w:rPr>
            </w:pPr>
            <w:r>
              <w:rPr>
                <w:rFonts w:hint="eastAsia" w:ascii="宋体" w:hAnsi="宋体" w:cs="宋体"/>
                <w:sz w:val="18"/>
                <w:szCs w:val="18"/>
              </w:rPr>
              <w:t>代码</w:t>
            </w:r>
          </w:p>
          <w:p>
            <w:pPr>
              <w:snapToGrid w:val="0"/>
              <w:spacing w:line="280" w:lineRule="exact"/>
              <w:jc w:val="center"/>
              <w:rPr>
                <w:rFonts w:hint="eastAsia" w:ascii="宋体" w:hAnsi="宋体" w:cs="宋体"/>
                <w:sz w:val="18"/>
                <w:szCs w:val="18"/>
              </w:rPr>
            </w:pPr>
            <w:r>
              <w:rPr>
                <w:rFonts w:hint="eastAsia" w:ascii="宋体" w:hAnsi="宋体" w:cs="宋体"/>
                <w:sz w:val="18"/>
                <w:szCs w:val="18"/>
              </w:rPr>
              <w:t>（6位）</w:t>
            </w:r>
          </w:p>
        </w:tc>
        <w:tc>
          <w:tcPr>
            <w:tcW w:w="297" w:type="pct"/>
            <w:vMerge w:val="restart"/>
            <w:tcBorders>
              <w:top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联系</w:t>
            </w:r>
          </w:p>
          <w:p>
            <w:pPr>
              <w:snapToGrid w:val="0"/>
              <w:spacing w:line="280" w:lineRule="exact"/>
              <w:jc w:val="center"/>
              <w:rPr>
                <w:rFonts w:hint="eastAsia" w:ascii="宋体" w:hAnsi="宋体" w:cs="宋体"/>
                <w:sz w:val="18"/>
                <w:szCs w:val="18"/>
              </w:rPr>
            </w:pPr>
            <w:r>
              <w:rPr>
                <w:rFonts w:hint="eastAsia" w:ascii="宋体" w:hAnsi="宋体" w:cs="宋体"/>
                <w:sz w:val="18"/>
                <w:szCs w:val="18"/>
              </w:rPr>
              <w:t>电话</w:t>
            </w:r>
          </w:p>
        </w:tc>
        <w:tc>
          <w:tcPr>
            <w:tcW w:w="323" w:type="pct"/>
            <w:vMerge w:val="restart"/>
            <w:tcBorders>
              <w:top w:val="single" w:color="auto" w:sz="2" w:space="0"/>
            </w:tcBorders>
            <w:shd w:val="clear" w:color="auto" w:fill="auto"/>
            <w:noWrap/>
            <w:tcMar>
              <w:left w:w="0" w:type="dxa"/>
              <w:right w:w="0" w:type="dxa"/>
            </w:tcMar>
            <w:vAlign w:val="center"/>
          </w:tcPr>
          <w:p>
            <w:pPr>
              <w:snapToGrid w:val="0"/>
              <w:spacing w:line="280" w:lineRule="exact"/>
              <w:jc w:val="center"/>
              <w:rPr>
                <w:rFonts w:ascii="宋体" w:hAnsi="宋体" w:cs="宋体"/>
                <w:sz w:val="18"/>
                <w:szCs w:val="18"/>
              </w:rPr>
            </w:pPr>
            <w:r>
              <w:rPr>
                <w:rFonts w:hint="eastAsia" w:ascii="宋体" w:hAnsi="宋体" w:cs="宋体"/>
                <w:sz w:val="18"/>
                <w:szCs w:val="18"/>
              </w:rPr>
              <w:t>主要</w:t>
            </w:r>
          </w:p>
          <w:p>
            <w:pPr>
              <w:snapToGrid w:val="0"/>
              <w:spacing w:line="280" w:lineRule="exact"/>
              <w:jc w:val="center"/>
              <w:rPr>
                <w:rFonts w:ascii="宋体" w:hAnsi="宋体" w:cs="宋体"/>
                <w:sz w:val="18"/>
                <w:szCs w:val="18"/>
              </w:rPr>
            </w:pPr>
            <w:r>
              <w:rPr>
                <w:rFonts w:hint="eastAsia" w:ascii="宋体" w:hAnsi="宋体" w:cs="宋体"/>
                <w:sz w:val="18"/>
                <w:szCs w:val="18"/>
              </w:rPr>
              <w:t>业务</w:t>
            </w:r>
          </w:p>
          <w:p>
            <w:pPr>
              <w:snapToGrid w:val="0"/>
              <w:spacing w:line="280" w:lineRule="exact"/>
              <w:jc w:val="center"/>
              <w:rPr>
                <w:rFonts w:hint="eastAsia" w:ascii="宋体" w:hAnsi="宋体" w:cs="宋体"/>
                <w:sz w:val="18"/>
                <w:szCs w:val="18"/>
              </w:rPr>
            </w:pPr>
            <w:r>
              <w:rPr>
                <w:rFonts w:hint="eastAsia" w:ascii="宋体" w:hAnsi="宋体" w:cs="宋体"/>
                <w:sz w:val="18"/>
                <w:szCs w:val="18"/>
              </w:rPr>
              <w:t>活动</w:t>
            </w:r>
          </w:p>
        </w:tc>
        <w:tc>
          <w:tcPr>
            <w:tcW w:w="345" w:type="pct"/>
            <w:vMerge w:val="restart"/>
            <w:tcBorders>
              <w:top w:val="single" w:color="auto" w:sz="2" w:space="0"/>
            </w:tcBorders>
            <w:shd w:val="clear" w:color="auto" w:fill="D7D7D7"/>
            <w:noWrap/>
            <w:tcMar>
              <w:left w:w="0" w:type="dxa"/>
              <w:right w:w="0" w:type="dxa"/>
            </w:tcMar>
            <w:vAlign w:val="center"/>
          </w:tcPr>
          <w:p>
            <w:pPr>
              <w:snapToGrid w:val="0"/>
              <w:spacing w:line="280" w:lineRule="exact"/>
              <w:jc w:val="center"/>
              <w:rPr>
                <w:rFonts w:ascii="宋体" w:hAnsi="宋体" w:cs="宋体"/>
                <w:sz w:val="18"/>
                <w:szCs w:val="18"/>
              </w:rPr>
            </w:pPr>
            <w:r>
              <w:rPr>
                <w:rFonts w:hint="eastAsia" w:ascii="宋体" w:hAnsi="宋体" w:cs="宋体"/>
                <w:sz w:val="18"/>
                <w:szCs w:val="18"/>
              </w:rPr>
              <w:t>行业</w:t>
            </w:r>
          </w:p>
          <w:p>
            <w:pPr>
              <w:snapToGrid w:val="0"/>
              <w:spacing w:line="280" w:lineRule="exact"/>
              <w:jc w:val="center"/>
              <w:rPr>
                <w:rFonts w:hint="eastAsia" w:ascii="宋体" w:hAnsi="宋体" w:cs="宋体"/>
                <w:sz w:val="18"/>
                <w:szCs w:val="18"/>
              </w:rPr>
            </w:pPr>
            <w:r>
              <w:rPr>
                <w:rFonts w:hint="eastAsia" w:ascii="宋体" w:hAnsi="宋体" w:cs="宋体"/>
                <w:sz w:val="18"/>
                <w:szCs w:val="18"/>
              </w:rPr>
              <w:t>代码</w:t>
            </w:r>
          </w:p>
        </w:tc>
        <w:tc>
          <w:tcPr>
            <w:tcW w:w="323" w:type="pct"/>
            <w:vMerge w:val="restart"/>
            <w:tcBorders>
              <w:top w:val="single" w:color="auto" w:sz="2" w:space="0"/>
            </w:tcBorders>
            <w:noWrap/>
            <w:tcMar>
              <w:left w:w="0" w:type="dxa"/>
              <w:right w:w="0" w:type="dxa"/>
            </w:tcMar>
            <w:vAlign w:val="center"/>
          </w:tcPr>
          <w:p>
            <w:pPr>
              <w:snapToGrid w:val="0"/>
              <w:spacing w:line="280" w:lineRule="exact"/>
              <w:jc w:val="center"/>
              <w:rPr>
                <w:rFonts w:ascii="宋体" w:hAnsi="宋体" w:cs="宋体"/>
                <w:sz w:val="18"/>
                <w:szCs w:val="18"/>
                <w:lang w:val="en"/>
              </w:rPr>
            </w:pPr>
            <w:r>
              <w:rPr>
                <w:rFonts w:hint="eastAsia" w:ascii="宋体" w:hAnsi="宋体" w:cs="宋体"/>
                <w:sz w:val="18"/>
                <w:szCs w:val="18"/>
                <w:lang w:val="en"/>
              </w:rPr>
              <w:t>从业</w:t>
            </w:r>
          </w:p>
          <w:p>
            <w:pPr>
              <w:snapToGrid w:val="0"/>
              <w:spacing w:line="280" w:lineRule="exact"/>
              <w:jc w:val="center"/>
              <w:rPr>
                <w:rFonts w:ascii="宋体" w:hAnsi="宋体" w:cs="宋体"/>
                <w:sz w:val="18"/>
                <w:szCs w:val="18"/>
                <w:lang w:val="en"/>
              </w:rPr>
            </w:pPr>
            <w:r>
              <w:rPr>
                <w:rFonts w:hint="eastAsia" w:ascii="宋体" w:hAnsi="宋体" w:cs="宋体"/>
                <w:sz w:val="18"/>
                <w:szCs w:val="18"/>
                <w:lang w:val="en"/>
              </w:rPr>
              <w:t>人员</w:t>
            </w:r>
          </w:p>
          <w:p>
            <w:pPr>
              <w:snapToGrid w:val="0"/>
              <w:spacing w:line="280" w:lineRule="exact"/>
              <w:jc w:val="center"/>
              <w:rPr>
                <w:rFonts w:ascii="宋体" w:hAnsi="宋体" w:cs="宋体"/>
                <w:sz w:val="18"/>
                <w:szCs w:val="18"/>
                <w:lang w:val="en"/>
              </w:rPr>
            </w:pPr>
            <w:r>
              <w:rPr>
                <w:rFonts w:hint="eastAsia" w:ascii="宋体" w:hAnsi="宋体" w:cs="宋体"/>
                <w:sz w:val="18"/>
                <w:szCs w:val="18"/>
                <w:lang w:val="en"/>
              </w:rPr>
              <w:t>期末</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人数</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（人）</w:t>
            </w:r>
          </w:p>
        </w:tc>
        <w:tc>
          <w:tcPr>
            <w:tcW w:w="383" w:type="pct"/>
            <w:vMerge w:val="restart"/>
            <w:tcBorders>
              <w:top w:val="single" w:color="auto" w:sz="2" w:space="0"/>
            </w:tcBorders>
            <w:noWrap/>
            <w:tcMar>
              <w:left w:w="0" w:type="dxa"/>
              <w:right w:w="0" w:type="dxa"/>
            </w:tcMar>
            <w:vAlign w:val="center"/>
          </w:tcPr>
          <w:p>
            <w:pPr>
              <w:snapToGrid w:val="0"/>
              <w:spacing w:line="280" w:lineRule="exact"/>
              <w:jc w:val="center"/>
              <w:rPr>
                <w:rFonts w:ascii="宋体" w:hAnsi="宋体" w:cs="宋体"/>
                <w:sz w:val="18"/>
                <w:szCs w:val="18"/>
                <w:lang w:val="en"/>
              </w:rPr>
            </w:pPr>
            <w:r>
              <w:rPr>
                <w:rFonts w:hint="eastAsia" w:ascii="宋体" w:hAnsi="宋体" w:cs="宋体"/>
                <w:sz w:val="18"/>
                <w:szCs w:val="18"/>
                <w:lang w:val="en"/>
              </w:rPr>
              <w:t>经营性</w:t>
            </w:r>
          </w:p>
          <w:p>
            <w:pPr>
              <w:snapToGrid w:val="0"/>
              <w:spacing w:line="280" w:lineRule="exact"/>
              <w:jc w:val="center"/>
              <w:rPr>
                <w:rFonts w:ascii="宋体" w:hAnsi="宋体" w:cs="宋体"/>
                <w:sz w:val="18"/>
                <w:szCs w:val="18"/>
                <w:lang w:val="en"/>
              </w:rPr>
            </w:pPr>
            <w:r>
              <w:rPr>
                <w:rFonts w:hint="eastAsia" w:ascii="宋体" w:hAnsi="宋体" w:cs="宋体"/>
                <w:sz w:val="18"/>
                <w:szCs w:val="18"/>
                <w:lang w:val="en"/>
              </w:rPr>
              <w:t>单位</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收入</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（千元）</w:t>
            </w:r>
          </w:p>
        </w:tc>
        <w:tc>
          <w:tcPr>
            <w:tcW w:w="437" w:type="pct"/>
            <w:vMerge w:val="restart"/>
            <w:tcBorders>
              <w:top w:val="single" w:color="auto" w:sz="2" w:space="0"/>
            </w:tcBorders>
            <w:noWrap/>
            <w:tcMar>
              <w:left w:w="0" w:type="dxa"/>
              <w:right w:w="0" w:type="dxa"/>
            </w:tcMar>
            <w:vAlign w:val="center"/>
          </w:tcPr>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非经营性</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单位支出</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（费用）</w:t>
            </w:r>
          </w:p>
          <w:p>
            <w:pPr>
              <w:snapToGrid w:val="0"/>
              <w:spacing w:line="280" w:lineRule="exact"/>
              <w:jc w:val="center"/>
              <w:rPr>
                <w:rFonts w:hint="eastAsia" w:ascii="宋体" w:hAnsi="宋体" w:cs="宋体"/>
                <w:sz w:val="18"/>
                <w:szCs w:val="18"/>
                <w:lang w:val="en"/>
              </w:rPr>
            </w:pPr>
            <w:r>
              <w:rPr>
                <w:rFonts w:hint="eastAsia" w:ascii="宋体" w:hAnsi="宋体" w:cs="宋体"/>
                <w:sz w:val="18"/>
                <w:szCs w:val="18"/>
                <w:lang w:val="en"/>
              </w:rPr>
              <w:t>（千元）</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1285" w:hRule="atLeast"/>
          <w:jc w:val="center"/>
        </w:trPr>
        <w:tc>
          <w:tcPr>
            <w:tcW w:w="551" w:type="pct"/>
            <w:vMerge w:val="continue"/>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402" w:type="pct"/>
            <w:vMerge w:val="continue"/>
            <w:tcBorders>
              <w:top w:val="single" w:color="auto" w:sz="2" w:space="0"/>
              <w:bottom w:val="single" w:color="auto" w:sz="2" w:space="0"/>
            </w:tcBorders>
            <w:shd w:val="clear" w:color="auto" w:fill="auto"/>
            <w:noWrap/>
            <w:tcMar>
              <w:left w:w="0" w:type="dxa"/>
              <w:right w:w="0" w:type="dxa"/>
            </w:tcMar>
            <w:vAlign w:val="center"/>
          </w:tcPr>
          <w:p>
            <w:pPr>
              <w:jc w:val="center"/>
              <w:rPr>
                <w:rFonts w:hint="eastAsia" w:ascii="宋体" w:hAnsi="宋体" w:cs="宋体"/>
                <w:sz w:val="18"/>
                <w:szCs w:val="18"/>
              </w:rPr>
            </w:pPr>
          </w:p>
        </w:tc>
        <w:tc>
          <w:tcPr>
            <w:tcW w:w="302" w:type="pct"/>
            <w:vMerge w:val="continue"/>
            <w:tcBorders>
              <w:top w:val="single" w:color="auto" w:sz="2" w:space="0"/>
              <w:bottom w:val="single" w:color="auto" w:sz="2" w:space="0"/>
            </w:tcBorders>
            <w:shd w:val="clear" w:color="auto" w:fill="auto"/>
            <w:noWrap w:val="0"/>
            <w:vAlign w:val="center"/>
          </w:tcPr>
          <w:p>
            <w:pPr>
              <w:snapToGrid w:val="0"/>
              <w:spacing w:line="280" w:lineRule="exact"/>
              <w:jc w:val="center"/>
              <w:rPr>
                <w:rFonts w:hint="eastAsia" w:ascii="宋体" w:hAnsi="宋体" w:cs="宋体"/>
                <w:sz w:val="18"/>
                <w:szCs w:val="18"/>
              </w:rPr>
            </w:pPr>
          </w:p>
        </w:tc>
        <w:tc>
          <w:tcPr>
            <w:tcW w:w="316" w:type="pct"/>
            <w:vMerge w:val="continue"/>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260" w:type="pct"/>
            <w:tcBorders>
              <w:top w:val="single" w:color="auto" w:sz="2" w:space="0"/>
              <w:bottom w:val="single" w:color="auto" w:sz="2" w:space="0"/>
            </w:tcBorders>
            <w:shd w:val="clear" w:color="auto" w:fill="auto"/>
            <w:noWrap/>
            <w:tcMar>
              <w:left w:w="0" w:type="dxa"/>
              <w:right w:w="0" w:type="dxa"/>
            </w:tcMar>
            <w:vAlign w:val="center"/>
          </w:tcPr>
          <w:p/>
          <w:p>
            <w:pPr>
              <w:snapToGrid w:val="0"/>
              <w:spacing w:line="280" w:lineRule="exact"/>
              <w:jc w:val="center"/>
              <w:rPr>
                <w:rFonts w:hint="eastAsia" w:ascii="宋体" w:hAnsi="宋体" w:cs="宋体"/>
                <w:sz w:val="18"/>
                <w:szCs w:val="18"/>
              </w:rPr>
            </w:pPr>
            <w:r>
              <w:rPr>
                <w:rFonts w:hint="eastAsia" w:ascii="宋体" w:hAnsi="宋体" w:cs="宋体"/>
                <w:sz w:val="18"/>
                <w:szCs w:val="18"/>
              </w:rPr>
              <w:t>省</w:t>
            </w:r>
          </w:p>
          <w:p>
            <w:pPr>
              <w:snapToGrid w:val="0"/>
              <w:spacing w:line="280" w:lineRule="exact"/>
              <w:jc w:val="center"/>
              <w:rPr>
                <w:rFonts w:hint="eastAsia" w:ascii="宋体" w:hAnsi="宋体" w:cs="宋体"/>
                <w:sz w:val="18"/>
                <w:szCs w:val="18"/>
              </w:rPr>
            </w:pPr>
            <w:r>
              <w:rPr>
                <w:rFonts w:hint="eastAsia" w:ascii="宋体" w:hAnsi="宋体" w:cs="宋体"/>
                <w:sz w:val="18"/>
                <w:szCs w:val="18"/>
              </w:rPr>
              <w:t>（自治区、直辖市）</w:t>
            </w:r>
          </w:p>
        </w:tc>
        <w:tc>
          <w:tcPr>
            <w:tcW w:w="237" w:type="pct"/>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ind w:left="-105" w:leftChars="-50" w:right="-105" w:rightChars="-50"/>
              <w:jc w:val="center"/>
              <w:rPr>
                <w:rFonts w:hint="eastAsia" w:ascii="宋体" w:hAnsi="宋体" w:cs="宋体"/>
                <w:sz w:val="18"/>
                <w:szCs w:val="18"/>
              </w:rPr>
            </w:pPr>
            <w:r>
              <w:rPr>
                <w:rFonts w:hint="eastAsia" w:ascii="宋体" w:hAnsi="宋体" w:cs="宋体"/>
                <w:sz w:val="18"/>
                <w:szCs w:val="18"/>
              </w:rPr>
              <w:t>地</w:t>
            </w:r>
          </w:p>
          <w:p>
            <w:pPr>
              <w:snapToGrid w:val="0"/>
              <w:spacing w:line="280" w:lineRule="exact"/>
              <w:ind w:left="-105" w:leftChars="-50" w:right="-105" w:rightChars="-50"/>
              <w:jc w:val="center"/>
              <w:rPr>
                <w:rFonts w:ascii="宋体" w:hAnsi="宋体" w:cs="宋体"/>
                <w:sz w:val="18"/>
                <w:szCs w:val="18"/>
              </w:rPr>
            </w:pPr>
            <w:r>
              <w:rPr>
                <w:rFonts w:hint="eastAsia" w:ascii="宋体" w:hAnsi="宋体" w:cs="宋体"/>
                <w:sz w:val="18"/>
                <w:szCs w:val="18"/>
              </w:rPr>
              <w:t>（市、</w:t>
            </w:r>
          </w:p>
          <w:p>
            <w:pPr>
              <w:snapToGrid w:val="0"/>
              <w:spacing w:line="280" w:lineRule="exact"/>
              <w:ind w:left="-105" w:leftChars="-50" w:right="-105" w:rightChars="-50"/>
              <w:jc w:val="center"/>
              <w:rPr>
                <w:rFonts w:ascii="宋体" w:hAnsi="宋体" w:cs="宋体"/>
                <w:sz w:val="18"/>
                <w:szCs w:val="18"/>
              </w:rPr>
            </w:pPr>
            <w:r>
              <w:rPr>
                <w:rFonts w:hint="eastAsia" w:ascii="宋体" w:hAnsi="宋体" w:cs="宋体"/>
                <w:sz w:val="18"/>
                <w:szCs w:val="18"/>
              </w:rPr>
              <w:t>州、</w:t>
            </w:r>
          </w:p>
          <w:p>
            <w:pPr>
              <w:snapToGrid w:val="0"/>
              <w:spacing w:line="280" w:lineRule="exact"/>
              <w:ind w:left="-105" w:leftChars="-50" w:right="-105" w:rightChars="-50"/>
              <w:jc w:val="center"/>
              <w:rPr>
                <w:rFonts w:hint="eastAsia" w:ascii="宋体" w:hAnsi="宋体" w:cs="宋体"/>
                <w:sz w:val="18"/>
                <w:szCs w:val="18"/>
              </w:rPr>
            </w:pPr>
            <w:r>
              <w:rPr>
                <w:rFonts w:hint="eastAsia" w:ascii="宋体" w:hAnsi="宋体" w:cs="宋体"/>
                <w:sz w:val="18"/>
                <w:szCs w:val="18"/>
              </w:rPr>
              <w:t>盟）</w:t>
            </w:r>
          </w:p>
        </w:tc>
        <w:tc>
          <w:tcPr>
            <w:tcW w:w="260" w:type="pct"/>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县</w:t>
            </w:r>
          </w:p>
          <w:p>
            <w:pPr>
              <w:snapToGrid w:val="0"/>
              <w:spacing w:line="280" w:lineRule="exact"/>
              <w:jc w:val="center"/>
              <w:rPr>
                <w:rFonts w:hint="eastAsia" w:ascii="宋体" w:hAnsi="宋体" w:cs="宋体"/>
                <w:sz w:val="18"/>
                <w:szCs w:val="18"/>
              </w:rPr>
            </w:pPr>
            <w:r>
              <w:rPr>
                <w:rFonts w:hint="eastAsia" w:ascii="宋体" w:hAnsi="宋体" w:cs="宋体"/>
                <w:sz w:val="18"/>
                <w:szCs w:val="18"/>
              </w:rPr>
              <w:t>（市、区、旗）</w:t>
            </w:r>
          </w:p>
        </w:tc>
        <w:tc>
          <w:tcPr>
            <w:tcW w:w="244" w:type="pct"/>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街（路）门牌号</w:t>
            </w:r>
          </w:p>
        </w:tc>
        <w:tc>
          <w:tcPr>
            <w:tcW w:w="321" w:type="pct"/>
            <w:vMerge w:val="continue"/>
            <w:tcBorders>
              <w:top w:val="single" w:color="auto" w:sz="2" w:space="0"/>
              <w:bottom w:val="single" w:color="auto" w:sz="2" w:space="0"/>
            </w:tcBorders>
            <w:shd w:val="clear" w:color="auto" w:fill="D7D7D7"/>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297" w:type="pct"/>
            <w:vMerge w:val="continue"/>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323" w:type="pct"/>
            <w:vMerge w:val="continue"/>
            <w:tcBorders>
              <w:top w:val="single" w:color="auto" w:sz="2" w:space="0"/>
              <w:bottom w:val="single" w:color="auto" w:sz="2" w:space="0"/>
            </w:tcBorders>
            <w:shd w:val="clear" w:color="auto" w:fill="auto"/>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345" w:type="pct"/>
            <w:vMerge w:val="continue"/>
            <w:tcBorders>
              <w:top w:val="single" w:color="auto" w:sz="2" w:space="0"/>
              <w:bottom w:val="single" w:color="auto" w:sz="2" w:space="0"/>
            </w:tcBorders>
            <w:shd w:val="clear" w:color="auto" w:fill="D7D7D7"/>
            <w:noWrap/>
            <w:tcMar>
              <w:left w:w="0" w:type="dxa"/>
              <w:right w:w="0" w:type="dxa"/>
            </w:tcMar>
            <w:vAlign w:val="center"/>
          </w:tcPr>
          <w:p>
            <w:pPr>
              <w:snapToGrid w:val="0"/>
              <w:spacing w:line="280" w:lineRule="exact"/>
              <w:jc w:val="center"/>
              <w:rPr>
                <w:rFonts w:hint="eastAsia" w:ascii="宋体" w:hAnsi="宋体" w:cs="宋体"/>
                <w:sz w:val="18"/>
                <w:szCs w:val="18"/>
              </w:rPr>
            </w:pPr>
          </w:p>
        </w:tc>
        <w:tc>
          <w:tcPr>
            <w:tcW w:w="323" w:type="pct"/>
            <w:vMerge w:val="continue"/>
            <w:tcBorders>
              <w:top w:val="single" w:color="auto" w:sz="2" w:space="0"/>
              <w:bottom w:val="single" w:color="auto" w:sz="2" w:space="0"/>
            </w:tcBorders>
            <w:noWrap/>
            <w:tcMar>
              <w:left w:w="0" w:type="dxa"/>
              <w:right w:w="0" w:type="dxa"/>
            </w:tcMar>
            <w:vAlign w:val="center"/>
          </w:tcPr>
          <w:p>
            <w:pPr>
              <w:snapToGrid w:val="0"/>
              <w:spacing w:line="280" w:lineRule="exact"/>
              <w:jc w:val="center"/>
              <w:rPr>
                <w:rFonts w:hint="eastAsia" w:ascii="宋体" w:hAnsi="宋体" w:cs="宋体"/>
                <w:sz w:val="18"/>
                <w:szCs w:val="18"/>
                <w:lang w:val="en"/>
              </w:rPr>
            </w:pPr>
          </w:p>
        </w:tc>
        <w:tc>
          <w:tcPr>
            <w:tcW w:w="383" w:type="pct"/>
            <w:vMerge w:val="continue"/>
            <w:tcBorders>
              <w:top w:val="single" w:color="auto" w:sz="2" w:space="0"/>
              <w:bottom w:val="single" w:color="auto" w:sz="2" w:space="0"/>
            </w:tcBorders>
            <w:noWrap/>
            <w:tcMar>
              <w:left w:w="0" w:type="dxa"/>
              <w:right w:w="0" w:type="dxa"/>
            </w:tcMar>
            <w:vAlign w:val="center"/>
          </w:tcPr>
          <w:p>
            <w:pPr>
              <w:snapToGrid w:val="0"/>
              <w:spacing w:line="280" w:lineRule="exact"/>
              <w:jc w:val="center"/>
              <w:rPr>
                <w:rFonts w:hint="eastAsia" w:ascii="宋体" w:hAnsi="宋体" w:cs="宋体"/>
                <w:sz w:val="18"/>
                <w:szCs w:val="18"/>
                <w:lang w:val="en"/>
              </w:rPr>
            </w:pPr>
          </w:p>
        </w:tc>
        <w:tc>
          <w:tcPr>
            <w:tcW w:w="437" w:type="pct"/>
            <w:vMerge w:val="continue"/>
            <w:tcBorders>
              <w:top w:val="single" w:color="auto" w:sz="2" w:space="0"/>
              <w:bottom w:val="single" w:color="auto" w:sz="2" w:space="0"/>
            </w:tcBorders>
            <w:noWrap/>
            <w:tcMar>
              <w:left w:w="0" w:type="dxa"/>
              <w:right w:w="0" w:type="dxa"/>
            </w:tcMar>
            <w:vAlign w:val="center"/>
          </w:tcPr>
          <w:p>
            <w:pPr>
              <w:snapToGrid w:val="0"/>
              <w:spacing w:line="280" w:lineRule="exact"/>
              <w:jc w:val="center"/>
              <w:rPr>
                <w:rFonts w:hint="eastAsia" w:ascii="宋体" w:hAnsi="宋体" w:cs="宋体"/>
                <w:sz w:val="18"/>
                <w:szCs w:val="18"/>
                <w:lang w:val="en"/>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12" w:hRule="atLeast"/>
          <w:jc w:val="center"/>
        </w:trPr>
        <w:tc>
          <w:tcPr>
            <w:tcW w:w="551"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甲</w:t>
            </w:r>
          </w:p>
        </w:tc>
        <w:tc>
          <w:tcPr>
            <w:tcW w:w="402"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1</w:t>
            </w:r>
          </w:p>
        </w:tc>
        <w:tc>
          <w:tcPr>
            <w:tcW w:w="302"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2</w:t>
            </w:r>
          </w:p>
        </w:tc>
        <w:tc>
          <w:tcPr>
            <w:tcW w:w="316"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3</w:t>
            </w:r>
          </w:p>
        </w:tc>
        <w:tc>
          <w:tcPr>
            <w:tcW w:w="1001" w:type="pct"/>
            <w:gridSpan w:val="4"/>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4</w:t>
            </w:r>
          </w:p>
        </w:tc>
        <w:tc>
          <w:tcPr>
            <w:tcW w:w="321" w:type="pct"/>
            <w:shd w:val="clear" w:color="auto" w:fill="D7D7D7"/>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5</w:t>
            </w:r>
          </w:p>
        </w:tc>
        <w:tc>
          <w:tcPr>
            <w:tcW w:w="297"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6</w:t>
            </w:r>
          </w:p>
        </w:tc>
        <w:tc>
          <w:tcPr>
            <w:tcW w:w="323" w:type="pct"/>
            <w:shd w:val="clear" w:color="auto" w:fill="auto"/>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7</w:t>
            </w:r>
          </w:p>
        </w:tc>
        <w:tc>
          <w:tcPr>
            <w:tcW w:w="345" w:type="pct"/>
            <w:shd w:val="clear" w:color="auto" w:fill="D7D7D7"/>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8</w:t>
            </w:r>
          </w:p>
        </w:tc>
        <w:tc>
          <w:tcPr>
            <w:tcW w:w="323" w:type="pct"/>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9</w:t>
            </w:r>
          </w:p>
        </w:tc>
        <w:tc>
          <w:tcPr>
            <w:tcW w:w="383" w:type="pct"/>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10</w:t>
            </w:r>
          </w:p>
        </w:tc>
        <w:tc>
          <w:tcPr>
            <w:tcW w:w="437" w:type="pct"/>
            <w:noWrap w:val="0"/>
            <w:vAlign w:val="center"/>
          </w:tcPr>
          <w:p>
            <w:pPr>
              <w:snapToGrid w:val="0"/>
              <w:spacing w:line="240" w:lineRule="exact"/>
              <w:jc w:val="center"/>
              <w:rPr>
                <w:rFonts w:hint="eastAsia" w:ascii="宋体" w:hAnsi="宋体" w:cs="宋体"/>
                <w:sz w:val="18"/>
                <w:szCs w:val="18"/>
              </w:rPr>
            </w:pPr>
            <w:r>
              <w:rPr>
                <w:rFonts w:hint="eastAsia" w:ascii="宋体" w:hAnsi="宋体" w:cs="宋体"/>
                <w:sz w:val="18"/>
                <w:szCs w:val="18"/>
              </w:rPr>
              <w:t>11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1586" w:hRule="atLeast"/>
          <w:jc w:val="center"/>
        </w:trPr>
        <w:tc>
          <w:tcPr>
            <w:tcW w:w="551" w:type="pct"/>
            <w:noWrap w:val="0"/>
            <w:vAlign w:val="center"/>
          </w:tcPr>
          <w:p>
            <w:pPr>
              <w:snapToGrid w:val="0"/>
              <w:spacing w:line="280" w:lineRule="exact"/>
              <w:jc w:val="center"/>
              <w:rPr>
                <w:rFonts w:hint="eastAsia" w:ascii="宋体" w:hAnsi="宋体" w:cs="宋体"/>
                <w:sz w:val="18"/>
                <w:szCs w:val="18"/>
              </w:rPr>
            </w:pPr>
            <w:r>
              <w:rPr>
                <w:rFonts w:hint="eastAsia" w:ascii="宋体" w:hAnsi="宋体" w:cs="宋体"/>
                <w:sz w:val="18"/>
                <w:szCs w:val="18"/>
              </w:rPr>
              <w:t>本     部</w:t>
            </w:r>
          </w:p>
          <w:p>
            <w:pPr>
              <w:snapToGrid w:val="0"/>
              <w:spacing w:line="280" w:lineRule="exact"/>
              <w:jc w:val="center"/>
              <w:rPr>
                <w:rFonts w:hint="eastAsia" w:ascii="宋体" w:hAnsi="宋体" w:cs="宋体"/>
                <w:sz w:val="18"/>
                <w:szCs w:val="18"/>
              </w:rPr>
            </w:pPr>
            <w:r>
              <w:rPr>
                <w:rFonts w:hint="eastAsia" w:ascii="宋体" w:hAnsi="宋体" w:cs="宋体"/>
                <w:sz w:val="18"/>
                <w:szCs w:val="18"/>
              </w:rPr>
              <w:t>分支机构1</w:t>
            </w:r>
          </w:p>
          <w:p>
            <w:pPr>
              <w:snapToGrid w:val="0"/>
              <w:spacing w:line="280" w:lineRule="exact"/>
              <w:jc w:val="center"/>
              <w:rPr>
                <w:rFonts w:hint="eastAsia" w:ascii="宋体" w:hAnsi="宋体" w:cs="宋体"/>
                <w:sz w:val="18"/>
                <w:szCs w:val="18"/>
              </w:rPr>
            </w:pPr>
            <w:r>
              <w:rPr>
                <w:rFonts w:hint="eastAsia" w:ascii="宋体" w:hAnsi="宋体" w:cs="宋体"/>
                <w:sz w:val="18"/>
                <w:szCs w:val="18"/>
              </w:rPr>
              <w:t>分支机构2</w:t>
            </w:r>
          </w:p>
          <w:p>
            <w:pPr>
              <w:snapToGrid w:val="0"/>
              <w:spacing w:line="280" w:lineRule="exact"/>
              <w:jc w:val="center"/>
              <w:rPr>
                <w:rFonts w:ascii="宋体" w:hAnsi="宋体" w:cs="宋体"/>
                <w:sz w:val="18"/>
                <w:szCs w:val="18"/>
              </w:rPr>
            </w:pPr>
            <w:r>
              <w:rPr>
                <w:sz w:val="18"/>
                <w:szCs w:val="18"/>
              </w:rPr>
              <w:t>⁝</w:t>
            </w:r>
          </w:p>
          <w:p>
            <w:pPr>
              <w:snapToGrid w:val="0"/>
              <w:spacing w:line="280" w:lineRule="exact"/>
              <w:jc w:val="center"/>
              <w:rPr>
                <w:rFonts w:hint="eastAsia" w:ascii="宋体" w:hAnsi="宋体" w:cs="宋体"/>
                <w:sz w:val="18"/>
                <w:szCs w:val="18"/>
              </w:rPr>
            </w:pPr>
            <w:r>
              <w:rPr>
                <w:rFonts w:hint="eastAsia" w:ascii="宋体" w:hAnsi="宋体" w:cs="宋体"/>
                <w:sz w:val="18"/>
                <w:szCs w:val="18"/>
              </w:rPr>
              <w:t>分支机构N</w:t>
            </w:r>
          </w:p>
        </w:tc>
        <w:tc>
          <w:tcPr>
            <w:tcW w:w="4449" w:type="pct"/>
            <w:gridSpan w:val="14"/>
            <w:noWrap w:val="0"/>
            <w:vAlign w:val="center"/>
          </w:tcPr>
          <w:p>
            <w:pPr>
              <w:snapToGrid w:val="0"/>
              <w:spacing w:line="280" w:lineRule="exact"/>
              <w:jc w:val="center"/>
              <w:rPr>
                <w:rFonts w:hint="eastAsia" w:ascii="宋体" w:hAnsi="宋体" w:cs="宋体"/>
                <w:sz w:val="18"/>
                <w:szCs w:val="18"/>
              </w:rPr>
            </w:pPr>
          </w:p>
        </w:tc>
      </w:tr>
    </w:tbl>
    <w:p>
      <w:pPr>
        <w:keepNext w:val="0"/>
        <w:keepLines w:val="0"/>
        <w:pageBreakBefore w:val="0"/>
        <w:widowControl w:val="0"/>
        <w:kinsoku/>
        <w:wordWrap/>
        <w:overflowPunct/>
        <w:topLinePunct w:val="0"/>
        <w:autoSpaceDE/>
        <w:autoSpaceDN/>
        <w:bidi w:val="0"/>
        <w:adjustRightInd/>
        <w:snapToGrid/>
        <w:spacing w:line="260" w:lineRule="exact"/>
        <w:ind w:left="0" w:leftChars="0" w:right="84" w:rightChars="40"/>
        <w:textAlignment w:val="auto"/>
        <w:rPr>
          <w:rFonts w:hint="eastAsia" w:ascii="宋体" w:hAnsi="宋体" w:eastAsia="宋体" w:cs="宋体"/>
          <w:sz w:val="18"/>
          <w:szCs w:val="18"/>
        </w:rPr>
      </w:pPr>
      <w:r>
        <w:rPr>
          <w:rFonts w:hint="eastAsia" w:ascii="宋体" w:hAnsi="宋体" w:eastAsia="宋体" w:cs="宋体"/>
          <w:sz w:val="18"/>
          <w:szCs w:val="18"/>
        </w:rPr>
        <w:t xml:space="preserve">单位负责人：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填表人：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联系电话：            报出日期：</w:t>
      </w:r>
      <w:r>
        <w:rPr>
          <w:rFonts w:hint="eastAsia" w:ascii="宋体" w:hAnsi="宋体" w:eastAsia="宋体" w:cs="宋体"/>
          <w:sz w:val="18"/>
          <w:szCs w:val="18"/>
          <w:lang w:val="en-US" w:eastAsia="zh-CN"/>
        </w:rPr>
        <w:t xml:space="preserve">2 0   </w:t>
      </w:r>
      <w:r>
        <w:rPr>
          <w:rFonts w:hint="eastAsia" w:ascii="宋体" w:hAnsi="宋体" w:eastAsia="宋体" w:cs="宋体"/>
          <w:sz w:val="18"/>
          <w:szCs w:val="18"/>
        </w:rPr>
        <w:t>年   月   日</w:t>
      </w:r>
    </w:p>
    <w:p>
      <w:pPr>
        <w:spacing w:line="240" w:lineRule="exact"/>
        <w:rPr>
          <w:rFonts w:hint="eastAsia" w:ascii="宋体" w:hAnsi="宋体" w:eastAsia="宋体" w:cs="宋体"/>
          <w:kern w:val="0"/>
          <w:sz w:val="18"/>
          <w:szCs w:val="18"/>
        </w:rPr>
      </w:pPr>
    </w:p>
    <w:p>
      <w:pPr>
        <w:spacing w:line="240" w:lineRule="exact"/>
        <w:ind w:left="234" w:leftChars="103" w:hanging="18" w:hangingChars="10"/>
        <w:jc w:val="left"/>
        <w:rPr>
          <w:rFonts w:hint="default" w:ascii="宋体" w:hAnsi="宋体" w:eastAsia="宋体" w:cs="宋体"/>
          <w:color w:val="000000"/>
          <w:sz w:val="18"/>
          <w:szCs w:val="18"/>
          <w:lang w:val="en-US" w:eastAsia="zh-CN"/>
        </w:rPr>
      </w:pPr>
      <w:r>
        <w:rPr>
          <w:rFonts w:hint="eastAsia" w:ascii="宋体" w:hAnsi="宋体" w:eastAsia="宋体" w:cs="宋体"/>
          <w:kern w:val="0"/>
          <w:sz w:val="18"/>
          <w:szCs w:val="18"/>
        </w:rPr>
        <w:t>说明：</w:t>
      </w:r>
      <w:r>
        <w:rPr>
          <w:rFonts w:hint="eastAsia" w:ascii="宋体" w:hAnsi="宋体"/>
          <w:color w:val="000000"/>
          <w:sz w:val="18"/>
          <w:szCs w:val="18"/>
        </w:rPr>
        <w:t>1.统计范围</w:t>
      </w:r>
      <w:r>
        <w:rPr>
          <w:rFonts w:ascii="宋体" w:hAnsi="宋体"/>
          <w:color w:val="000000"/>
          <w:sz w:val="18"/>
          <w:szCs w:val="18"/>
        </w:rPr>
        <w:t>：</w:t>
      </w:r>
      <w:r>
        <w:rPr>
          <w:rFonts w:hint="eastAsia" w:ascii="宋体" w:hAnsi="宋体" w:eastAsia="宋体" w:cs="宋体"/>
          <w:sz w:val="18"/>
          <w:szCs w:val="18"/>
        </w:rPr>
        <w:t>辖区内</w:t>
      </w:r>
      <w:r>
        <w:rPr>
          <w:rFonts w:hint="eastAsia" w:ascii="宋体" w:hAnsi="宋体" w:eastAsia="宋体" w:cs="宋体"/>
          <w:sz w:val="18"/>
          <w:szCs w:val="18"/>
          <w:lang w:eastAsia="zh-CN"/>
        </w:rPr>
        <w:t>规模以上工业</w:t>
      </w:r>
      <w:r>
        <w:rPr>
          <w:rFonts w:hint="eastAsia" w:ascii="宋体" w:hAnsi="宋体" w:eastAsia="宋体" w:cs="宋体"/>
          <w:sz w:val="18"/>
          <w:szCs w:val="18"/>
        </w:rPr>
        <w:t>法人单位</w:t>
      </w:r>
      <w:r>
        <w:rPr>
          <w:rFonts w:hint="eastAsia" w:ascii="宋体" w:hAnsi="宋体" w:cs="宋体"/>
          <w:color w:val="000000"/>
          <w:sz w:val="18"/>
          <w:szCs w:val="18"/>
          <w:lang w:eastAsia="zh-CN"/>
        </w:rPr>
        <w:t>且</w:t>
      </w:r>
      <w:r>
        <w:rPr>
          <w:rFonts w:hint="eastAsia" w:ascii="宋体" w:hAnsi="宋体" w:cs="宋体"/>
          <w:color w:val="000000"/>
          <w:sz w:val="18"/>
          <w:szCs w:val="18"/>
          <w:lang w:val="en-US" w:eastAsia="zh-CN"/>
        </w:rPr>
        <w:t>101-1表212栏“本法人（视同法人）单位是否有下属产业活动单位（分支机构、派出机构、分公司、分部、分厂、分店等）”选“1.是”的填写本表。</w:t>
      </w:r>
      <w:r>
        <w:rPr>
          <w:rFonts w:hint="eastAsia" w:ascii="宋体" w:hAnsi="宋体" w:cs="宋体"/>
          <w:color w:val="000000"/>
          <w:sz w:val="18"/>
          <w:szCs w:val="18"/>
        </w:rPr>
        <w:t>分支机构不含已经视同法人单位统计的产业活动单位。</w:t>
      </w:r>
    </w:p>
    <w:p>
      <w:pPr>
        <w:spacing w:line="240" w:lineRule="exact"/>
        <w:ind w:left="218" w:leftChars="104" w:firstLine="0" w:firstLineChars="0"/>
        <w:jc w:val="left"/>
        <w:rPr>
          <w:rFonts w:hint="eastAsia" w:ascii="宋体" w:hAnsi="宋体" w:eastAsia="宋体" w:cs="宋体"/>
          <w:color w:val="000000"/>
          <w:sz w:val="18"/>
          <w:szCs w:val="18"/>
          <w:lang w:eastAsia="zh-CN"/>
        </w:rPr>
      </w:pPr>
      <w:r>
        <w:rPr>
          <w:rFonts w:hint="eastAsia" w:ascii="宋体" w:cs="宋体"/>
          <w:color w:val="000000"/>
          <w:sz w:val="18"/>
          <w:szCs w:val="18"/>
          <w:lang w:val="en-US" w:eastAsia="zh-CN"/>
        </w:rPr>
        <w:t xml:space="preserve">      </w:t>
      </w:r>
      <w:r>
        <w:rPr>
          <w:rFonts w:ascii="宋体" w:cs="宋体"/>
          <w:color w:val="000000"/>
          <w:sz w:val="18"/>
          <w:szCs w:val="18"/>
        </w:rPr>
        <w:t>2.</w:t>
      </w:r>
      <w:r>
        <w:rPr>
          <w:rFonts w:hint="eastAsia" w:ascii="宋体" w:cs="宋体"/>
          <w:color w:val="000000"/>
          <w:sz w:val="18"/>
          <w:szCs w:val="18"/>
        </w:rPr>
        <w:t>报送日期及方式：</w:t>
      </w:r>
      <w:r>
        <w:rPr>
          <w:rFonts w:hint="eastAsia" w:asciiTheme="minorEastAsia" w:hAnsiTheme="minorEastAsia" w:eastAsiaTheme="minorEastAsia" w:cstheme="minorEastAsia"/>
          <w:sz w:val="18"/>
          <w:szCs w:val="18"/>
        </w:rPr>
        <w:t>调查单位202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年3月1</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宋体" w:hAnsi="宋体" w:eastAsia="宋体" w:cs="宋体"/>
          <w:color w:val="000000"/>
          <w:sz w:val="18"/>
          <w:szCs w:val="18"/>
          <w:lang w:eastAsia="zh-CN"/>
        </w:rPr>
        <w:t>。</w:t>
      </w:r>
    </w:p>
    <w:p>
      <w:pPr>
        <w:spacing w:line="240" w:lineRule="exact"/>
        <w:ind w:left="218" w:leftChars="104" w:firstLine="498" w:firstLineChars="277"/>
        <w:jc w:val="both"/>
        <w:rPr>
          <w:rFonts w:hint="eastAsia" w:ascii="宋体" w:cs="宋体"/>
          <w:color w:val="000000"/>
          <w:sz w:val="18"/>
          <w:szCs w:val="18"/>
        </w:rPr>
      </w:pPr>
      <w:r>
        <w:rPr>
          <w:rFonts w:ascii="宋体" w:cs="宋体"/>
          <w:color w:val="000000"/>
          <w:sz w:val="18"/>
          <w:szCs w:val="18"/>
        </w:rPr>
        <w:t>3.</w:t>
      </w:r>
      <w:r>
        <w:rPr>
          <w:rFonts w:hint="eastAsia" w:ascii="宋体" w:cs="宋体"/>
          <w:color w:val="000000"/>
          <w:sz w:val="18"/>
          <w:szCs w:val="18"/>
        </w:rPr>
        <w:t>调查单位填报要求：本表部分数据由国家统计局在调查开始前统一导入数据采集处理软件中，生成报表数据。调查单位应根据实际情况对表中的数据进行认真核对与填写，指标数据如有变动应及时进行修改</w:t>
      </w:r>
      <w:r>
        <w:rPr>
          <w:rFonts w:ascii="宋体" w:cs="宋体"/>
          <w:color w:val="000000"/>
          <w:sz w:val="18"/>
          <w:szCs w:val="18"/>
        </w:rPr>
        <w:t>(</w:t>
      </w:r>
      <w:r>
        <w:rPr>
          <w:rFonts w:hint="eastAsia" w:ascii="宋体" w:cs="宋体"/>
          <w:color w:val="000000"/>
          <w:sz w:val="18"/>
          <w:szCs w:val="18"/>
        </w:rPr>
        <w:t>加灰底的指标除外</w:t>
      </w:r>
      <w:r>
        <w:rPr>
          <w:rFonts w:ascii="宋体" w:cs="宋体"/>
          <w:color w:val="000000"/>
          <w:sz w:val="18"/>
          <w:szCs w:val="18"/>
        </w:rPr>
        <w:t>)</w:t>
      </w:r>
      <w:r>
        <w:rPr>
          <w:rFonts w:hint="eastAsia" w:ascii="宋体" w:cs="宋体"/>
          <w:color w:val="000000"/>
          <w:sz w:val="18"/>
          <w:szCs w:val="18"/>
        </w:rPr>
        <w:t>。</w:t>
      </w:r>
    </w:p>
    <w:p>
      <w:pPr>
        <w:spacing w:line="240" w:lineRule="exact"/>
        <w:jc w:val="left"/>
        <w:rPr>
          <w:rFonts w:ascii="宋体" w:cs="宋体"/>
          <w:color w:val="000000"/>
          <w:sz w:val="18"/>
          <w:szCs w:val="18"/>
        </w:rPr>
      </w:pPr>
      <w:r>
        <w:rPr>
          <w:rFonts w:hint="eastAsia" w:ascii="宋体" w:cs="宋体"/>
          <w:color w:val="000000"/>
          <w:sz w:val="18"/>
          <w:szCs w:val="18"/>
        </w:rPr>
        <w:t xml:space="preserve">   </w:t>
      </w:r>
      <w:r>
        <w:rPr>
          <w:rFonts w:ascii="宋体" w:cs="宋体"/>
          <w:color w:val="000000"/>
          <w:sz w:val="18"/>
          <w:szCs w:val="18"/>
        </w:rPr>
        <w:t xml:space="preserve">   </w:t>
      </w:r>
      <w:r>
        <w:rPr>
          <w:rFonts w:hint="eastAsia" w:ascii="宋体" w:cs="宋体"/>
          <w:color w:val="000000"/>
          <w:sz w:val="18"/>
          <w:szCs w:val="18"/>
          <w:lang w:val="en-US" w:eastAsia="zh-CN"/>
        </w:rPr>
        <w:t xml:space="preserve">  </w:t>
      </w:r>
      <w:r>
        <w:rPr>
          <w:rFonts w:hint="eastAsia" w:ascii="宋体" w:cs="宋体"/>
          <w:color w:val="000000"/>
          <w:sz w:val="18"/>
          <w:szCs w:val="18"/>
        </w:rPr>
        <w:t>4.区划代码、行业代码由统计机构填写。</w:t>
      </w:r>
    </w:p>
    <w:p>
      <w:pPr>
        <w:keepNext w:val="0"/>
        <w:keepLines w:val="0"/>
        <w:pageBreakBefore w:val="0"/>
        <w:widowControl w:val="0"/>
        <w:kinsoku/>
        <w:wordWrap/>
        <w:overflowPunct/>
        <w:topLinePunct w:val="0"/>
        <w:autoSpaceDE/>
        <w:autoSpaceDN/>
        <w:bidi w:val="0"/>
        <w:adjustRightInd/>
        <w:snapToGrid/>
        <w:spacing w:line="240" w:lineRule="atLeast"/>
        <w:ind w:left="219" w:leftChars="0" w:hanging="219" w:hangingChars="122"/>
        <w:textAlignment w:val="auto"/>
        <w:rPr>
          <w:rFonts w:hint="eastAsia" w:ascii="宋体" w:cs="宋体"/>
          <w:color w:val="000000"/>
          <w:sz w:val="18"/>
          <w:szCs w:val="18"/>
        </w:rPr>
      </w:pPr>
      <w:r>
        <w:rPr>
          <w:rFonts w:hint="eastAsia" w:ascii="宋体" w:cs="宋体"/>
          <w:color w:val="000000"/>
          <w:sz w:val="18"/>
          <w:szCs w:val="18"/>
        </w:rPr>
        <w:t xml:space="preserve">      </w:t>
      </w:r>
      <w:r>
        <w:rPr>
          <w:rFonts w:hint="eastAsia" w:ascii="宋体" w:cs="宋体"/>
          <w:color w:val="000000"/>
          <w:sz w:val="18"/>
          <w:szCs w:val="18"/>
          <w:lang w:val="en-US" w:eastAsia="zh-CN"/>
        </w:rPr>
        <w:t xml:space="preserve">  </w:t>
      </w:r>
      <w:r>
        <w:rPr>
          <w:rFonts w:hint="eastAsia" w:ascii="宋体" w:cs="宋体"/>
          <w:color w:val="000000"/>
          <w:sz w:val="18"/>
          <w:szCs w:val="18"/>
        </w:rPr>
        <w:t>5.</w:t>
      </w:r>
      <w:r>
        <w:rPr>
          <w:rFonts w:hint="eastAsia" w:ascii="宋体" w:cs="宋体"/>
          <w:color w:val="000000"/>
          <w:sz w:val="18"/>
          <w:szCs w:val="18"/>
          <w:lang w:eastAsia="zh-CN"/>
        </w:rPr>
        <w:t>产业活动</w:t>
      </w:r>
      <w:r>
        <w:rPr>
          <w:rFonts w:hint="eastAsia" w:ascii="宋体" w:cs="宋体"/>
          <w:color w:val="000000"/>
          <w:sz w:val="18"/>
          <w:szCs w:val="18"/>
        </w:rPr>
        <w:t>单位类别</w:t>
      </w:r>
      <w:r>
        <w:rPr>
          <w:rFonts w:ascii="宋体" w:cs="宋体"/>
          <w:color w:val="000000"/>
          <w:sz w:val="18"/>
          <w:szCs w:val="18"/>
        </w:rPr>
        <w:t>：</w:t>
      </w:r>
      <w:r>
        <w:rPr>
          <w:rFonts w:hint="eastAsia" w:ascii="宋体" w:cs="宋体"/>
          <w:color w:val="000000"/>
          <w:sz w:val="18"/>
          <w:szCs w:val="18"/>
        </w:rPr>
        <w:t>1法人</w:t>
      </w:r>
      <w:r>
        <w:rPr>
          <w:rFonts w:ascii="宋体" w:cs="宋体"/>
          <w:color w:val="000000"/>
          <w:sz w:val="18"/>
          <w:szCs w:val="18"/>
        </w:rPr>
        <w:t>单位本部（</w:t>
      </w:r>
      <w:r>
        <w:rPr>
          <w:rFonts w:hint="eastAsia" w:ascii="宋体" w:cs="宋体"/>
          <w:color w:val="000000"/>
          <w:sz w:val="18"/>
          <w:szCs w:val="18"/>
        </w:rPr>
        <w:t>总部</w:t>
      </w:r>
      <w:r>
        <w:rPr>
          <w:rFonts w:ascii="宋体" w:cs="宋体"/>
          <w:color w:val="000000"/>
          <w:sz w:val="18"/>
          <w:szCs w:val="18"/>
        </w:rPr>
        <w:t>、</w:t>
      </w:r>
      <w:r>
        <w:rPr>
          <w:rFonts w:hint="eastAsia" w:ascii="宋体" w:cs="宋体"/>
          <w:color w:val="000000"/>
          <w:sz w:val="18"/>
          <w:szCs w:val="18"/>
        </w:rPr>
        <w:t>本店</w:t>
      </w:r>
      <w:r>
        <w:rPr>
          <w:rFonts w:ascii="宋体" w:cs="宋体"/>
          <w:color w:val="000000"/>
          <w:sz w:val="18"/>
          <w:szCs w:val="18"/>
        </w:rPr>
        <w:t>、本所等）</w:t>
      </w:r>
      <w:r>
        <w:rPr>
          <w:rFonts w:hint="eastAsia" w:ascii="宋体" w:cs="宋体"/>
          <w:color w:val="000000"/>
          <w:sz w:val="18"/>
          <w:szCs w:val="18"/>
        </w:rPr>
        <w:t xml:space="preserve"> 2法人</w:t>
      </w:r>
      <w:r>
        <w:rPr>
          <w:rFonts w:ascii="宋体" w:cs="宋体"/>
          <w:color w:val="000000"/>
          <w:sz w:val="18"/>
          <w:szCs w:val="18"/>
        </w:rPr>
        <w:t>单位分支机构（</w:t>
      </w:r>
      <w:r>
        <w:rPr>
          <w:rFonts w:hint="eastAsia" w:ascii="宋体" w:cs="宋体"/>
          <w:color w:val="000000"/>
          <w:sz w:val="18"/>
          <w:szCs w:val="18"/>
        </w:rPr>
        <w:t>分部</w:t>
      </w:r>
      <w:r>
        <w:rPr>
          <w:rFonts w:ascii="宋体" w:cs="宋体"/>
          <w:color w:val="000000"/>
          <w:sz w:val="18"/>
          <w:szCs w:val="18"/>
        </w:rPr>
        <w:t>、分厂、分</w:t>
      </w:r>
      <w:r>
        <w:rPr>
          <w:rFonts w:hint="eastAsia" w:ascii="宋体" w:cs="宋体"/>
          <w:color w:val="000000"/>
          <w:sz w:val="18"/>
          <w:szCs w:val="18"/>
        </w:rPr>
        <w:t>店</w:t>
      </w:r>
      <w:r>
        <w:rPr>
          <w:rFonts w:ascii="宋体" w:cs="宋体"/>
          <w:color w:val="000000"/>
          <w:sz w:val="18"/>
          <w:szCs w:val="18"/>
        </w:rPr>
        <w:t>、支所等）</w:t>
      </w:r>
      <w:r>
        <w:rPr>
          <w:rFonts w:hint="eastAsia" w:ascii="宋体" w:cs="宋体"/>
          <w:color w:val="000000"/>
          <w:sz w:val="18"/>
          <w:szCs w:val="18"/>
        </w:rPr>
        <w:t>。</w:t>
      </w:r>
    </w:p>
    <w:p>
      <w:pPr>
        <w:spacing w:line="320" w:lineRule="exact"/>
        <w:ind w:left="219" w:leftChars="0" w:right="-764" w:rightChars="-364" w:hanging="219" w:hangingChars="122"/>
        <w:outlineLvl w:val="9"/>
        <w:rPr>
          <w:rFonts w:hint="eastAsia" w:ascii="宋体" w:cs="宋体"/>
          <w:color w:val="000000"/>
          <w:sz w:val="18"/>
          <w:szCs w:val="18"/>
          <w:lang w:val="en-US" w:eastAsia="zh-CN"/>
        </w:rPr>
      </w:pPr>
      <w:r>
        <w:rPr>
          <w:rFonts w:hint="eastAsia" w:ascii="宋体" w:cs="宋体"/>
          <w:color w:val="000000"/>
          <w:sz w:val="18"/>
          <w:szCs w:val="18"/>
          <w:lang w:val="en-US" w:eastAsia="zh-CN"/>
        </w:rPr>
        <w:t xml:space="preserve">        6.数据审核要求：本表由负责法人单位一套表统计的各相关专业对全部指标进行审核，普查中心对单位类别、</w:t>
      </w:r>
    </w:p>
    <w:p>
      <w:pPr>
        <w:spacing w:line="320" w:lineRule="exact"/>
        <w:ind w:right="-764" w:rightChars="-364" w:firstLine="180" w:firstLineChars="100"/>
        <w:outlineLvl w:val="9"/>
        <w:rPr>
          <w:rFonts w:hint="eastAsia" w:asciiTheme="minorEastAsia" w:hAnsiTheme="minorEastAsia" w:eastAsiaTheme="minorEastAsia" w:cstheme="minorEastAsia"/>
          <w:bCs/>
          <w:sz w:val="18"/>
          <w:szCs w:val="18"/>
        </w:rPr>
      </w:pPr>
      <w:r>
        <w:rPr>
          <w:rFonts w:hint="eastAsia" w:ascii="宋体" w:cs="宋体"/>
          <w:color w:val="000000"/>
          <w:sz w:val="18"/>
          <w:szCs w:val="18"/>
          <w:lang w:val="en-US" w:eastAsia="zh-CN"/>
        </w:rPr>
        <w:t>统一社会信用代码、单位详细名称、详细地址、区划代码、联系电话等属性指标再审核。</w:t>
      </w:r>
      <w:r>
        <w:rPr>
          <w:rFonts w:hint="eastAsia" w:ascii="宋体" w:cs="宋体"/>
          <w:color w:val="000000"/>
          <w:sz w:val="18"/>
          <w:szCs w:val="18"/>
        </w:rPr>
        <w:br w:type="page"/>
      </w: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26" w:name="_Toc487568771"/>
      <w:bookmarkStart w:id="27" w:name="_Toc1710602327"/>
      <w:bookmarkStart w:id="28" w:name="_Toc730611925"/>
      <w:bookmarkStart w:id="29" w:name="_Toc547875353"/>
      <w:r>
        <w:rPr>
          <w:rFonts w:hint="eastAsia" w:ascii="宋体" w:hAnsi="宋体" w:eastAsia="宋体" w:cs="宋体"/>
          <w:b/>
          <w:bCs/>
          <w:sz w:val="32"/>
          <w:szCs w:val="32"/>
        </w:rPr>
        <w:t>从业人员及工资总额</w:t>
      </w:r>
      <w:bookmarkEnd w:id="26"/>
      <w:bookmarkEnd w:id="27"/>
      <w:bookmarkEnd w:id="28"/>
      <w:bookmarkEnd w:id="29"/>
    </w:p>
    <w:p>
      <w:pPr>
        <w:spacing w:line="14" w:lineRule="exact"/>
        <w:outlineLvl w:val="9"/>
        <w:rPr>
          <w:rFonts w:hint="eastAsia" w:asciiTheme="minorEastAsia" w:hAnsiTheme="minorEastAsia" w:eastAsiaTheme="minorEastAsia" w:cstheme="minorEastAsia"/>
          <w:sz w:val="18"/>
          <w:szCs w:val="18"/>
        </w:rPr>
      </w:pPr>
    </w:p>
    <w:tbl>
      <w:tblPr>
        <w:tblStyle w:val="17"/>
        <w:tblW w:w="9411" w:type="dxa"/>
        <w:jc w:val="center"/>
        <w:tblLayout w:type="autofit"/>
        <w:tblCellMar>
          <w:top w:w="0" w:type="dxa"/>
          <w:left w:w="108" w:type="dxa"/>
          <w:bottom w:w="0" w:type="dxa"/>
          <w:right w:w="108" w:type="dxa"/>
        </w:tblCellMar>
      </w:tblPr>
      <w:tblGrid>
        <w:gridCol w:w="6247"/>
        <w:gridCol w:w="1127"/>
        <w:gridCol w:w="2037"/>
      </w:tblGrid>
      <w:tr>
        <w:tblPrEx>
          <w:tblCellMar>
            <w:top w:w="0" w:type="dxa"/>
            <w:left w:w="108" w:type="dxa"/>
            <w:bottom w:w="0" w:type="dxa"/>
            <w:right w:w="108" w:type="dxa"/>
          </w:tblCellMar>
        </w:tblPrEx>
        <w:trPr>
          <w:trHeight w:val="255" w:hRule="exact"/>
          <w:jc w:val="center"/>
        </w:trPr>
        <w:tc>
          <w:tcPr>
            <w:tcW w:w="6247" w:type="dxa"/>
            <w:noWrap w:val="0"/>
            <w:tcMar>
              <w:left w:w="0" w:type="dxa"/>
              <w:right w:w="0" w:type="dxa"/>
            </w:tcMar>
            <w:vAlign w:val="top"/>
          </w:tcPr>
          <w:p>
            <w:pPr>
              <w:spacing w:line="240" w:lineRule="exact"/>
              <w:jc w:val="center"/>
              <w:rPr>
                <w:rFonts w:hint="eastAsia" w:ascii="宋体" w:hAnsi="宋体" w:eastAsia="宋体" w:cs="宋体"/>
                <w:sz w:val="32"/>
                <w:szCs w:val="32"/>
              </w:rPr>
            </w:pPr>
          </w:p>
        </w:tc>
        <w:tc>
          <w:tcPr>
            <w:tcW w:w="1127" w:type="dxa"/>
            <w:noWrap w:val="0"/>
            <w:vAlign w:val="bottom"/>
          </w:tcPr>
          <w:p>
            <w:pPr>
              <w:spacing w:line="240" w:lineRule="exact"/>
              <w:ind w:right="-252" w:rightChars="-120"/>
              <w:jc w:val="center"/>
              <w:rPr>
                <w:rFonts w:hint="eastAsia" w:ascii="宋体" w:hAnsi="宋体" w:eastAsia="宋体" w:cs="宋体"/>
                <w:sz w:val="32"/>
                <w:szCs w:val="32"/>
              </w:rPr>
            </w:pPr>
            <w:r>
              <w:rPr>
                <w:rFonts w:hint="eastAsia" w:ascii="宋体" w:hAnsi="宋体" w:eastAsia="宋体" w:cs="宋体"/>
                <w:sz w:val="18"/>
                <w:szCs w:val="18"/>
              </w:rPr>
              <w:t>表    号：</w:t>
            </w:r>
          </w:p>
        </w:tc>
        <w:tc>
          <w:tcPr>
            <w:tcW w:w="2037" w:type="dxa"/>
            <w:noWrap w:val="0"/>
            <w:vAlign w:val="center"/>
          </w:tcPr>
          <w:p>
            <w:pPr>
              <w:spacing w:line="240" w:lineRule="exact"/>
              <w:ind w:left="-84" w:leftChars="-40" w:right="-84" w:rightChars="-40"/>
              <w:jc w:val="distribute"/>
              <w:rPr>
                <w:rFonts w:hint="eastAsia" w:ascii="宋体" w:hAnsi="宋体" w:eastAsia="宋体" w:cs="宋体"/>
                <w:sz w:val="18"/>
                <w:szCs w:val="18"/>
              </w:rPr>
            </w:pPr>
            <w:r>
              <w:rPr>
                <w:rFonts w:hint="eastAsia" w:ascii="宋体" w:hAnsi="宋体" w:eastAsia="宋体" w:cs="宋体"/>
                <w:sz w:val="18"/>
                <w:szCs w:val="18"/>
                <w:lang w:val="en-US" w:eastAsia="zh-CN"/>
              </w:rPr>
              <w:t>102-1</w:t>
            </w:r>
            <w:r>
              <w:rPr>
                <w:rFonts w:hint="eastAsia" w:ascii="宋体" w:hAnsi="宋体" w:eastAsia="宋体" w:cs="宋体"/>
                <w:sz w:val="18"/>
                <w:szCs w:val="18"/>
              </w:rPr>
              <w:t>表</w:t>
            </w:r>
          </w:p>
        </w:tc>
      </w:tr>
      <w:tr>
        <w:tblPrEx>
          <w:tblCellMar>
            <w:top w:w="0" w:type="dxa"/>
            <w:left w:w="108" w:type="dxa"/>
            <w:bottom w:w="0" w:type="dxa"/>
            <w:right w:w="108" w:type="dxa"/>
          </w:tblCellMar>
        </w:tblPrEx>
        <w:trPr>
          <w:trHeight w:val="295" w:hRule="atLeast"/>
          <w:jc w:val="center"/>
        </w:trPr>
        <w:tc>
          <w:tcPr>
            <w:tcW w:w="6247" w:type="dxa"/>
            <w:noWrap w:val="0"/>
            <w:tcMar>
              <w:left w:w="0" w:type="dxa"/>
              <w:right w:w="0" w:type="dxa"/>
            </w:tcMar>
            <w:vAlign w:val="bottom"/>
          </w:tcPr>
          <w:p>
            <w:pPr>
              <w:spacing w:line="240" w:lineRule="exact"/>
              <w:rPr>
                <w:rFonts w:hint="eastAsia" w:ascii="宋体" w:hAnsi="宋体" w:eastAsia="宋体" w:cs="宋体"/>
                <w:sz w:val="32"/>
                <w:szCs w:val="32"/>
              </w:rPr>
            </w:pPr>
          </w:p>
        </w:tc>
        <w:tc>
          <w:tcPr>
            <w:tcW w:w="1127" w:type="dxa"/>
            <w:noWrap w:val="0"/>
            <w:vAlign w:val="top"/>
          </w:tcPr>
          <w:p>
            <w:pPr>
              <w:spacing w:line="240" w:lineRule="exact"/>
              <w:ind w:right="-252" w:rightChars="-120"/>
              <w:jc w:val="center"/>
              <w:rPr>
                <w:rFonts w:hint="eastAsia" w:ascii="宋体" w:hAnsi="宋体" w:eastAsia="宋体" w:cs="宋体"/>
                <w:sz w:val="32"/>
                <w:szCs w:val="32"/>
              </w:rPr>
            </w:pPr>
            <w:r>
              <w:rPr>
                <w:rFonts w:hint="eastAsia" w:ascii="宋体" w:hAnsi="宋体" w:eastAsia="宋体" w:cs="宋体"/>
                <w:sz w:val="18"/>
                <w:szCs w:val="18"/>
              </w:rPr>
              <w:t>制定机关：</w:t>
            </w:r>
          </w:p>
        </w:tc>
        <w:tc>
          <w:tcPr>
            <w:tcW w:w="2037" w:type="dxa"/>
            <w:noWrap w:val="0"/>
            <w:vAlign w:val="center"/>
          </w:tcPr>
          <w:p>
            <w:pPr>
              <w:spacing w:line="200" w:lineRule="exact"/>
              <w:ind w:left="-84" w:leftChars="-40" w:right="-84" w:rightChars="-40"/>
              <w:jc w:val="distribute"/>
              <w:rPr>
                <w:rFonts w:hint="eastAsia" w:ascii="宋体" w:hAnsi="宋体" w:eastAsia="宋体" w:cs="宋体"/>
                <w:sz w:val="18"/>
                <w:szCs w:val="18"/>
              </w:rPr>
            </w:pPr>
            <w:r>
              <w:rPr>
                <w:rFonts w:hint="eastAsia" w:ascii="宋体" w:hAnsi="宋体"/>
                <w:color w:val="000000"/>
                <w:sz w:val="18"/>
                <w:szCs w:val="18"/>
              </w:rPr>
              <w:t>国家统计局</w:t>
            </w:r>
          </w:p>
        </w:tc>
      </w:tr>
      <w:tr>
        <w:tblPrEx>
          <w:tblCellMar>
            <w:top w:w="0" w:type="dxa"/>
            <w:left w:w="108" w:type="dxa"/>
            <w:bottom w:w="0" w:type="dxa"/>
            <w:right w:w="108" w:type="dxa"/>
          </w:tblCellMar>
        </w:tblPrEx>
        <w:trPr>
          <w:trHeight w:val="255" w:hRule="exact"/>
          <w:jc w:val="center"/>
        </w:trPr>
        <w:tc>
          <w:tcPr>
            <w:tcW w:w="6247" w:type="dxa"/>
            <w:noWrap w:val="0"/>
            <w:tcMar>
              <w:left w:w="0" w:type="dxa"/>
              <w:right w:w="0" w:type="dxa"/>
            </w:tcMar>
            <w:vAlign w:val="bottom"/>
          </w:tcPr>
          <w:p>
            <w:pPr>
              <w:spacing w:line="240" w:lineRule="exact"/>
              <w:rPr>
                <w:rFonts w:hint="eastAsia" w:ascii="宋体" w:hAnsi="宋体" w:eastAsia="宋体" w:cs="宋体"/>
                <w:sz w:val="32"/>
                <w:szCs w:val="32"/>
              </w:rPr>
            </w:pPr>
            <w:r>
              <w:rPr>
                <w:rFonts w:hint="eastAsia" w:ascii="宋体" w:hAnsi="宋体" w:eastAsia="宋体" w:cs="宋体"/>
                <w:sz w:val="18"/>
                <w:szCs w:val="18"/>
              </w:rPr>
              <w:t>统一社会信用代码□□□□□□□□□□□□□□□□□□</w:t>
            </w:r>
          </w:p>
        </w:tc>
        <w:tc>
          <w:tcPr>
            <w:tcW w:w="1127" w:type="dxa"/>
            <w:noWrap w:val="0"/>
            <w:vAlign w:val="center"/>
          </w:tcPr>
          <w:p>
            <w:pPr>
              <w:spacing w:line="240" w:lineRule="exact"/>
              <w:ind w:right="-252" w:rightChars="-120"/>
              <w:jc w:val="center"/>
              <w:rPr>
                <w:rFonts w:hint="eastAsia" w:ascii="宋体" w:hAnsi="宋体" w:eastAsia="宋体" w:cs="宋体"/>
                <w:sz w:val="32"/>
                <w:szCs w:val="32"/>
              </w:rPr>
            </w:pPr>
            <w:r>
              <w:rPr>
                <w:rFonts w:hint="eastAsia" w:ascii="宋体" w:hAnsi="宋体" w:eastAsia="宋体" w:cs="宋体"/>
                <w:sz w:val="18"/>
                <w:szCs w:val="18"/>
              </w:rPr>
              <w:t>文    号：</w:t>
            </w:r>
          </w:p>
        </w:tc>
        <w:tc>
          <w:tcPr>
            <w:tcW w:w="2037" w:type="dxa"/>
            <w:noWrap w:val="0"/>
            <w:vAlign w:val="center"/>
          </w:tcPr>
          <w:p>
            <w:pPr>
              <w:ind w:left="-84" w:leftChars="-40" w:right="-84" w:rightChars="-40"/>
              <w:jc w:val="distribute"/>
              <w:rPr>
                <w:rFonts w:hint="eastAsia" w:ascii="宋体" w:hAnsi="宋体" w:eastAsia="宋体" w:cs="宋体"/>
                <w:sz w:val="32"/>
                <w:szCs w:val="32"/>
                <w:lang w:eastAsia="zh-CN"/>
              </w:rPr>
            </w:pPr>
            <w:r>
              <w:rPr>
                <w:rFonts w:hint="eastAsia" w:ascii="宋体" w:hAnsi="宋体" w:cs="宋体"/>
                <w:sz w:val="18"/>
                <w:szCs w:val="18"/>
                <w:highlight w:val="none"/>
              </w:rPr>
              <w:t>国统字〔202</w:t>
            </w:r>
            <w:r>
              <w:rPr>
                <w:rFonts w:hint="eastAsia" w:ascii="宋体" w:hAnsi="宋体" w:cs="宋体"/>
                <w:sz w:val="18"/>
                <w:szCs w:val="18"/>
                <w:highlight w:val="none"/>
                <w:lang w:val="en-US" w:eastAsia="zh-CN"/>
              </w:rPr>
              <w:t>5</w:t>
            </w:r>
            <w:r>
              <w:rPr>
                <w:rFonts w:hint="eastAsia" w:ascii="宋体" w:hAnsi="宋体" w:cs="宋体"/>
                <w:sz w:val="18"/>
                <w:szCs w:val="18"/>
                <w:highlight w:val="none"/>
              </w:rPr>
              <w:t>〕</w:t>
            </w:r>
            <w:r>
              <w:rPr>
                <w:rFonts w:hint="eastAsia" w:ascii="宋体" w:hAnsi="宋体" w:cs="宋体"/>
                <w:sz w:val="18"/>
                <w:szCs w:val="18"/>
                <w:highlight w:val="none"/>
                <w:lang w:val="en-US" w:eastAsia="zh-CN"/>
              </w:rPr>
              <w:t>88</w:t>
            </w:r>
            <w:r>
              <w:rPr>
                <w:rFonts w:hint="eastAsia" w:ascii="宋体" w:hAnsi="宋体" w:cs="宋体"/>
                <w:sz w:val="18"/>
                <w:szCs w:val="18"/>
                <w:highlight w:val="none"/>
              </w:rPr>
              <w:t>号</w:t>
            </w:r>
          </w:p>
        </w:tc>
      </w:tr>
      <w:tr>
        <w:tblPrEx>
          <w:tblCellMar>
            <w:top w:w="0" w:type="dxa"/>
            <w:left w:w="108" w:type="dxa"/>
            <w:bottom w:w="0" w:type="dxa"/>
            <w:right w:w="108" w:type="dxa"/>
          </w:tblCellMar>
        </w:tblPrEx>
        <w:trPr>
          <w:trHeight w:val="255" w:hRule="exact"/>
          <w:jc w:val="center"/>
        </w:trPr>
        <w:tc>
          <w:tcPr>
            <w:tcW w:w="6247" w:type="dxa"/>
            <w:noWrap w:val="0"/>
            <w:tcMar>
              <w:left w:w="0" w:type="dxa"/>
              <w:right w:w="0" w:type="dxa"/>
            </w:tcMar>
            <w:vAlign w:val="bottom"/>
          </w:tcPr>
          <w:p>
            <w:pPr>
              <w:spacing w:line="240" w:lineRule="exact"/>
              <w:rPr>
                <w:rFonts w:hint="eastAsia" w:ascii="宋体" w:hAnsi="宋体" w:eastAsia="宋体" w:cs="宋体"/>
                <w:sz w:val="32"/>
                <w:szCs w:val="32"/>
              </w:rPr>
            </w:pPr>
            <w:r>
              <w:rPr>
                <w:rFonts w:hint="eastAsia" w:ascii="宋体" w:hAnsi="宋体" w:eastAsia="宋体" w:cs="宋体"/>
                <w:sz w:val="18"/>
                <w:szCs w:val="18"/>
              </w:rPr>
              <w:t xml:space="preserve">单位详细名称：　　　　　　　　　　　　　　　　　 </w:t>
            </w:r>
            <w:r>
              <w:rPr>
                <w:rFonts w:hint="eastAsia" w:ascii="宋体" w:hAnsi="宋体" w:eastAsia="宋体" w:cs="宋体"/>
                <w:spacing w:val="90"/>
                <w:kern w:val="0"/>
                <w:sz w:val="18"/>
                <w:szCs w:val="18"/>
                <w:fitText w:val="450" w:id="1474293513"/>
                <w:lang w:val="en-US" w:eastAsia="zh-CN"/>
              </w:rPr>
              <w:t>20</w:t>
            </w:r>
            <w:r>
              <w:rPr>
                <w:rFonts w:hint="eastAsia" w:ascii="宋体" w:hAnsi="宋体" w:cs="宋体"/>
                <w:spacing w:val="0"/>
                <w:kern w:val="0"/>
                <w:sz w:val="18"/>
                <w:szCs w:val="18"/>
                <w:fitText w:val="450" w:id="1474293513"/>
                <w:lang w:val="en-US" w:eastAsia="zh-CN"/>
              </w:rPr>
              <w:t xml:space="preserve"> </w:t>
            </w:r>
            <w:r>
              <w:rPr>
                <w:rFonts w:hint="eastAsia" w:ascii="宋体" w:hAnsi="宋体" w:eastAsia="宋体" w:cs="宋体"/>
                <w:kern w:val="0"/>
                <w:sz w:val="18"/>
                <w:szCs w:val="18"/>
                <w:lang w:val="en-US" w:eastAsia="zh-CN"/>
              </w:rPr>
              <w:t xml:space="preserve"> </w:t>
            </w:r>
            <w:r>
              <w:rPr>
                <w:rFonts w:hint="eastAsia" w:ascii="宋体" w:hAnsi="宋体" w:eastAsia="宋体" w:cs="宋体"/>
                <w:sz w:val="18"/>
                <w:szCs w:val="18"/>
              </w:rPr>
              <w:t>年</w:t>
            </w:r>
          </w:p>
        </w:tc>
        <w:tc>
          <w:tcPr>
            <w:tcW w:w="1127" w:type="dxa"/>
            <w:noWrap w:val="0"/>
            <w:vAlign w:val="center"/>
          </w:tcPr>
          <w:p>
            <w:pPr>
              <w:spacing w:line="240" w:lineRule="exact"/>
              <w:ind w:right="-252" w:rightChars="-120"/>
              <w:jc w:val="center"/>
              <w:rPr>
                <w:rFonts w:hint="eastAsia" w:ascii="宋体" w:hAnsi="宋体" w:eastAsia="宋体" w:cs="宋体"/>
                <w:sz w:val="32"/>
                <w:szCs w:val="32"/>
              </w:rPr>
            </w:pPr>
            <w:r>
              <w:rPr>
                <w:rFonts w:hint="eastAsia" w:ascii="宋体" w:hAnsi="宋体" w:eastAsia="宋体" w:cs="宋体"/>
                <w:sz w:val="18"/>
                <w:szCs w:val="18"/>
              </w:rPr>
              <w:t>有效期至：</w:t>
            </w:r>
          </w:p>
        </w:tc>
        <w:tc>
          <w:tcPr>
            <w:tcW w:w="2037" w:type="dxa"/>
            <w:noWrap w:val="0"/>
            <w:vAlign w:val="center"/>
          </w:tcPr>
          <w:p>
            <w:pPr>
              <w:ind w:left="-84" w:leftChars="-40" w:right="-84" w:rightChars="-40"/>
              <w:jc w:val="distribute"/>
              <w:rPr>
                <w:rFonts w:hint="eastAsia" w:ascii="宋体" w:hAnsi="宋体" w:eastAsia="宋体" w:cs="宋体"/>
                <w:sz w:val="32"/>
                <w:szCs w:val="32"/>
              </w:rPr>
            </w:pPr>
            <w:r>
              <w:rPr>
                <w:rFonts w:hint="eastAsia" w:ascii="宋体" w:hAnsi="宋体" w:eastAsia="宋体" w:cs="宋体"/>
                <w:sz w:val="18"/>
                <w:szCs w:val="18"/>
                <w:lang w:val="en-US" w:eastAsia="zh-CN"/>
              </w:rPr>
              <w:t>202</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年6</w:t>
            </w:r>
            <w:r>
              <w:rPr>
                <w:rFonts w:hint="eastAsia" w:ascii="宋体" w:hAnsi="宋体" w:eastAsia="宋体" w:cs="宋体"/>
                <w:sz w:val="18"/>
                <w:szCs w:val="18"/>
              </w:rPr>
              <w:t>月</w:t>
            </w:r>
          </w:p>
        </w:tc>
      </w:tr>
    </w:tbl>
    <w:p>
      <w:pPr>
        <w:spacing w:line="14" w:lineRule="exact"/>
        <w:rPr>
          <w:rFonts w:hint="eastAsia" w:ascii="宋体" w:hAnsi="宋体" w:eastAsia="宋体" w:cs="宋体"/>
          <w:sz w:val="18"/>
          <w:szCs w:val="18"/>
        </w:rPr>
      </w:pPr>
    </w:p>
    <w:tbl>
      <w:tblPr>
        <w:tblStyle w:val="17"/>
        <w:tblW w:w="9411" w:type="dxa"/>
        <w:jc w:val="center"/>
        <w:tblLayout w:type="fixed"/>
        <w:tblCellMar>
          <w:top w:w="0" w:type="dxa"/>
          <w:left w:w="108" w:type="dxa"/>
          <w:bottom w:w="0" w:type="dxa"/>
          <w:right w:w="108" w:type="dxa"/>
        </w:tblCellMar>
      </w:tblPr>
      <w:tblGrid>
        <w:gridCol w:w="3093"/>
        <w:gridCol w:w="622"/>
        <w:gridCol w:w="502"/>
        <w:gridCol w:w="532"/>
        <w:gridCol w:w="3025"/>
        <w:gridCol w:w="634"/>
        <w:gridCol w:w="536"/>
        <w:gridCol w:w="467"/>
      </w:tblGrid>
      <w:tr>
        <w:tblPrEx>
          <w:tblCellMar>
            <w:top w:w="0" w:type="dxa"/>
            <w:left w:w="108" w:type="dxa"/>
            <w:bottom w:w="0" w:type="dxa"/>
            <w:right w:w="108" w:type="dxa"/>
          </w:tblCellMar>
        </w:tblPrEx>
        <w:trPr>
          <w:trHeight w:val="680" w:hRule="atLeast"/>
          <w:jc w:val="center"/>
        </w:trPr>
        <w:tc>
          <w:tcPr>
            <w:tcW w:w="1642" w:type="pct"/>
            <w:tcBorders>
              <w:top w:val="single" w:color="auto" w:sz="8" w:space="0"/>
              <w:left w:val="nil"/>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指标名称</w:t>
            </w:r>
          </w:p>
        </w:tc>
        <w:tc>
          <w:tcPr>
            <w:tcW w:w="330" w:type="pct"/>
            <w:tcBorders>
              <w:top w:val="single" w:color="auto" w:sz="8"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计量单位</w:t>
            </w:r>
          </w:p>
        </w:tc>
        <w:tc>
          <w:tcPr>
            <w:tcW w:w="266" w:type="pct"/>
            <w:tcBorders>
              <w:top w:val="single" w:color="auto" w:sz="8"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代码</w:t>
            </w:r>
          </w:p>
        </w:tc>
        <w:tc>
          <w:tcPr>
            <w:tcW w:w="282" w:type="pct"/>
            <w:tcBorders>
              <w:top w:val="single" w:color="auto" w:sz="8"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本年</w:t>
            </w:r>
          </w:p>
        </w:tc>
        <w:tc>
          <w:tcPr>
            <w:tcW w:w="1606" w:type="pct"/>
            <w:tcBorders>
              <w:top w:val="single" w:color="auto" w:sz="8" w:space="0"/>
              <w:left w:val="double" w:color="auto" w:sz="4"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指标名称</w:t>
            </w:r>
          </w:p>
        </w:tc>
        <w:tc>
          <w:tcPr>
            <w:tcW w:w="337" w:type="pct"/>
            <w:tcBorders>
              <w:top w:val="single" w:color="auto" w:sz="8"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计量单位</w:t>
            </w:r>
          </w:p>
        </w:tc>
        <w:tc>
          <w:tcPr>
            <w:tcW w:w="285" w:type="pct"/>
            <w:tcBorders>
              <w:top w:val="single" w:color="auto" w:sz="8"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代码</w:t>
            </w:r>
          </w:p>
        </w:tc>
        <w:tc>
          <w:tcPr>
            <w:tcW w:w="248" w:type="pct"/>
            <w:tcBorders>
              <w:top w:val="single" w:color="auto" w:sz="8" w:space="0"/>
              <w:left w:val="single" w:color="auto" w:sz="2" w:space="0"/>
              <w:bottom w:val="single" w:color="auto" w:sz="2" w:space="0"/>
              <w:right w:val="nil"/>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本年</w:t>
            </w:r>
          </w:p>
        </w:tc>
      </w:tr>
      <w:tr>
        <w:tblPrEx>
          <w:tblCellMar>
            <w:top w:w="0" w:type="dxa"/>
            <w:left w:w="108" w:type="dxa"/>
            <w:bottom w:w="0" w:type="dxa"/>
            <w:right w:w="108" w:type="dxa"/>
          </w:tblCellMar>
        </w:tblPrEx>
        <w:trPr>
          <w:trHeight w:val="312" w:hRule="atLeast"/>
          <w:jc w:val="center"/>
        </w:trPr>
        <w:tc>
          <w:tcPr>
            <w:tcW w:w="3092" w:type="dxa"/>
            <w:tcBorders>
              <w:top w:val="single" w:color="auto" w:sz="2" w:space="0"/>
              <w:left w:val="nil"/>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甲</w:t>
            </w:r>
          </w:p>
        </w:tc>
        <w:tc>
          <w:tcPr>
            <w:tcW w:w="622" w:type="dxa"/>
            <w:tcBorders>
              <w:top w:val="single" w:color="auto" w:sz="2"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乙</w:t>
            </w:r>
          </w:p>
        </w:tc>
        <w:tc>
          <w:tcPr>
            <w:tcW w:w="502" w:type="dxa"/>
            <w:tcBorders>
              <w:top w:val="single" w:color="auto" w:sz="2"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丙</w:t>
            </w:r>
          </w:p>
        </w:tc>
        <w:tc>
          <w:tcPr>
            <w:tcW w:w="531" w:type="dxa"/>
            <w:tcBorders>
              <w:top w:val="single" w:color="auto" w:sz="2"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rPr>
              <w:t>1</w:t>
            </w:r>
          </w:p>
        </w:tc>
        <w:tc>
          <w:tcPr>
            <w:tcW w:w="3023" w:type="dxa"/>
            <w:tcBorders>
              <w:top w:val="single" w:color="auto" w:sz="2" w:space="0"/>
              <w:left w:val="double" w:color="auto" w:sz="4"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甲</w:t>
            </w:r>
          </w:p>
        </w:tc>
        <w:tc>
          <w:tcPr>
            <w:tcW w:w="636" w:type="dxa"/>
            <w:tcBorders>
              <w:top w:val="single" w:color="auto" w:sz="2"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乙</w:t>
            </w:r>
          </w:p>
        </w:tc>
        <w:tc>
          <w:tcPr>
            <w:tcW w:w="538" w:type="dxa"/>
            <w:tcBorders>
              <w:top w:val="single" w:color="auto" w:sz="2" w:space="0"/>
              <w:left w:val="single" w:color="auto" w:sz="2" w:space="0"/>
              <w:bottom w:val="single" w:color="auto" w:sz="2" w:space="0"/>
              <w:right w:val="single" w:color="auto" w:sz="2" w:space="0"/>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szCs w:val="18"/>
              </w:rPr>
              <w:t>丙</w:t>
            </w:r>
          </w:p>
        </w:tc>
        <w:tc>
          <w:tcPr>
            <w:tcW w:w="467" w:type="dxa"/>
            <w:tcBorders>
              <w:top w:val="single" w:color="auto" w:sz="2" w:space="0"/>
              <w:left w:val="single" w:color="auto" w:sz="2" w:space="0"/>
              <w:bottom w:val="single" w:color="auto" w:sz="2" w:space="0"/>
              <w:right w:val="nil"/>
            </w:tcBorders>
            <w:noWrap w:val="0"/>
            <w:vAlign w:val="center"/>
          </w:tcPr>
          <w:p>
            <w:pPr>
              <w:autoSpaceDE w:val="0"/>
              <w:autoSpaceDN w:val="0"/>
              <w:spacing w:line="220" w:lineRule="exact"/>
              <w:jc w:val="center"/>
              <w:rPr>
                <w:rFonts w:hint="eastAsia" w:ascii="宋体" w:hAnsi="宋体" w:cs="宋体"/>
                <w:sz w:val="18"/>
                <w:szCs w:val="18"/>
              </w:rPr>
            </w:pPr>
            <w:r>
              <w:rPr>
                <w:rFonts w:hint="eastAsia" w:ascii="宋体" w:hAnsi="宋体" w:cs="宋体"/>
                <w:sz w:val="18"/>
              </w:rPr>
              <w:t>1</w:t>
            </w:r>
          </w:p>
        </w:tc>
      </w:tr>
      <w:tr>
        <w:tblPrEx>
          <w:tblCellMar>
            <w:top w:w="0" w:type="dxa"/>
            <w:left w:w="108" w:type="dxa"/>
            <w:bottom w:w="0" w:type="dxa"/>
            <w:right w:w="108" w:type="dxa"/>
          </w:tblCellMar>
        </w:tblPrEx>
        <w:trPr>
          <w:trHeight w:val="7309" w:hRule="atLeast"/>
          <w:jc w:val="center"/>
        </w:trPr>
        <w:tc>
          <w:tcPr>
            <w:tcW w:w="3092" w:type="dxa"/>
            <w:tcBorders>
              <w:top w:val="single" w:color="auto" w:sz="2" w:space="0"/>
              <w:left w:val="nil"/>
              <w:bottom w:val="single" w:color="auto" w:sz="8" w:space="0"/>
              <w:right w:val="single" w:color="auto" w:sz="2" w:space="0"/>
            </w:tcBorders>
            <w:noWrap w:val="0"/>
            <w:vAlign w:val="top"/>
          </w:tcPr>
          <w:p>
            <w:pPr>
              <w:autoSpaceDE w:val="0"/>
              <w:autoSpaceDN w:val="0"/>
              <w:adjustRightInd w:val="0"/>
              <w:snapToGrid w:val="0"/>
              <w:spacing w:before="24" w:beforeLines="10" w:line="300" w:lineRule="exact"/>
              <w:ind w:left="-105" w:leftChars="-50" w:right="-105" w:rightChars="-50"/>
              <w:jc w:val="left"/>
              <w:rPr>
                <w:rFonts w:hint="eastAsia" w:ascii="宋体" w:hAnsi="宋体" w:cs="宋体"/>
                <w:spacing w:val="-4"/>
                <w:sz w:val="18"/>
                <w:szCs w:val="18"/>
              </w:rPr>
            </w:pPr>
            <w:r>
              <w:rPr>
                <w:rFonts w:hint="eastAsia" w:ascii="宋体" w:hAnsi="宋体" w:cs="宋体"/>
                <w:spacing w:val="-4"/>
                <w:sz w:val="18"/>
                <w:szCs w:val="18"/>
              </w:rPr>
              <w:t>一、从业人员</w:t>
            </w:r>
          </w:p>
          <w:p>
            <w:pPr>
              <w:autoSpaceDE w:val="0"/>
              <w:autoSpaceDN w:val="0"/>
              <w:adjustRightInd w:val="0"/>
              <w:snapToGrid w:val="0"/>
              <w:spacing w:line="300" w:lineRule="exact"/>
              <w:ind w:left="-105" w:leftChars="-50" w:right="-105" w:rightChars="-50"/>
              <w:jc w:val="left"/>
              <w:rPr>
                <w:rFonts w:hint="eastAsia" w:ascii="宋体" w:hAnsi="宋体" w:cs="宋体"/>
                <w:spacing w:val="-4"/>
                <w:sz w:val="18"/>
                <w:szCs w:val="18"/>
              </w:rPr>
            </w:pPr>
            <w:r>
              <w:rPr>
                <w:rFonts w:hint="eastAsia" w:ascii="宋体" w:hAnsi="宋体" w:cs="宋体"/>
                <w:spacing w:val="-4"/>
                <w:sz w:val="18"/>
                <w:szCs w:val="18"/>
              </w:rPr>
              <w:t xml:space="preserve">    从业人员期末人数</w:t>
            </w:r>
          </w:p>
          <w:p>
            <w:pPr>
              <w:autoSpaceDE w:val="0"/>
              <w:autoSpaceDN w:val="0"/>
              <w:snapToGrid w:val="0"/>
              <w:spacing w:line="300" w:lineRule="exact"/>
              <w:ind w:left="-105" w:leftChars="-50" w:right="-105" w:rightChars="-50"/>
              <w:jc w:val="left"/>
              <w:rPr>
                <w:rFonts w:hint="eastAsia" w:ascii="宋体" w:hAnsi="宋体" w:cs="宋体"/>
                <w:spacing w:val="-4"/>
                <w:sz w:val="18"/>
                <w:szCs w:val="18"/>
              </w:rPr>
            </w:pPr>
            <w:r>
              <w:rPr>
                <w:rFonts w:hint="eastAsia" w:ascii="宋体" w:hAnsi="宋体" w:cs="宋体"/>
                <w:spacing w:val="-4"/>
                <w:sz w:val="18"/>
                <w:szCs w:val="18"/>
              </w:rPr>
              <w:t xml:space="preserve">      其中：女性</w:t>
            </w:r>
          </w:p>
          <w:p>
            <w:pPr>
              <w:autoSpaceDE w:val="0"/>
              <w:autoSpaceDN w:val="0"/>
              <w:snapToGrid w:val="0"/>
              <w:spacing w:line="300" w:lineRule="exact"/>
              <w:ind w:right="-105" w:rightChars="-50"/>
              <w:jc w:val="left"/>
              <w:rPr>
                <w:rFonts w:hint="eastAsia" w:ascii="宋体" w:hAnsi="宋体" w:cs="宋体"/>
                <w:spacing w:val="-4"/>
                <w:sz w:val="18"/>
                <w:szCs w:val="18"/>
              </w:rPr>
            </w:pPr>
            <w:r>
              <w:rPr>
                <w:rFonts w:hint="eastAsia" w:ascii="宋体" w:hAnsi="宋体" w:cs="宋体"/>
                <w:spacing w:val="-4"/>
                <w:sz w:val="18"/>
                <w:szCs w:val="18"/>
              </w:rPr>
              <w:t xml:space="preserve">   按人员类型分：</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在岗职工</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劳务派遣人员</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其他从业人员</w:t>
            </w:r>
          </w:p>
          <w:p>
            <w:pPr>
              <w:autoSpaceDE w:val="0"/>
              <w:autoSpaceDN w:val="0"/>
              <w:snapToGrid w:val="0"/>
              <w:spacing w:line="300" w:lineRule="exact"/>
              <w:ind w:left="-105" w:leftChars="-50"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按职业类型分：</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中层及以上管理人员</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专业技术人员</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办事人员和有关人员</w:t>
            </w:r>
          </w:p>
          <w:p>
            <w:pPr>
              <w:autoSpaceDE w:val="0"/>
              <w:autoSpaceDN w:val="0"/>
              <w:snapToGrid w:val="0"/>
              <w:spacing w:line="300" w:lineRule="exact"/>
              <w:ind w:right="-105" w:rightChars="-50"/>
              <w:jc w:val="left"/>
              <w:rPr>
                <w:rFonts w:hint="eastAsia" w:ascii="宋体" w:hAnsi="宋体" w:cs="宋体"/>
                <w:spacing w:val="-4"/>
                <w:sz w:val="18"/>
                <w:szCs w:val="18"/>
              </w:rPr>
            </w:pPr>
            <w:r>
              <w:rPr>
                <w:rFonts w:hint="eastAsia" w:ascii="宋体" w:hAnsi="宋体" w:cs="宋体"/>
                <w:spacing w:val="-4"/>
                <w:sz w:val="18"/>
                <w:szCs w:val="18"/>
              </w:rPr>
              <w:t xml:space="preserve">     社会生产服务和生活服务人员</w:t>
            </w:r>
          </w:p>
          <w:p>
            <w:pPr>
              <w:autoSpaceDE w:val="0"/>
              <w:autoSpaceDN w:val="0"/>
              <w:snapToGrid w:val="0"/>
              <w:spacing w:line="300" w:lineRule="exact"/>
              <w:ind w:left="-105" w:leftChars="-50" w:right="-105" w:rightChars="-50" w:firstLine="516" w:firstLineChars="300"/>
              <w:jc w:val="left"/>
              <w:rPr>
                <w:rFonts w:hint="eastAsia" w:ascii="宋体" w:hAnsi="宋体" w:cs="宋体"/>
                <w:spacing w:val="-14"/>
                <w:sz w:val="18"/>
                <w:szCs w:val="18"/>
              </w:rPr>
            </w:pPr>
            <w:r>
              <w:rPr>
                <w:rFonts w:hint="eastAsia" w:ascii="宋体" w:hAnsi="宋体" w:cs="宋体"/>
                <w:spacing w:val="-4"/>
                <w:sz w:val="18"/>
                <w:szCs w:val="18"/>
              </w:rPr>
              <w:t>生产制造及有关人员</w:t>
            </w:r>
          </w:p>
          <w:p>
            <w:pPr>
              <w:autoSpaceDE w:val="0"/>
              <w:autoSpaceDN w:val="0"/>
              <w:snapToGrid w:val="0"/>
              <w:spacing w:line="300" w:lineRule="exact"/>
              <w:ind w:left="-105" w:leftChars="-50"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从业人员平均人数</w:t>
            </w:r>
          </w:p>
          <w:p>
            <w:pPr>
              <w:autoSpaceDE w:val="0"/>
              <w:autoSpaceDN w:val="0"/>
              <w:snapToGrid w:val="0"/>
              <w:spacing w:line="300" w:lineRule="exact"/>
              <w:ind w:left="-105" w:leftChars="-50"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按人员类型分：</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在岗职工</w:t>
            </w:r>
          </w:p>
          <w:p>
            <w:pPr>
              <w:autoSpaceDE w:val="0"/>
              <w:autoSpaceDN w:val="0"/>
              <w:snapToGrid w:val="0"/>
              <w:spacing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劳务派遣人员</w:t>
            </w:r>
          </w:p>
          <w:p>
            <w:pPr>
              <w:autoSpaceDE w:val="0"/>
              <w:autoSpaceDN w:val="0"/>
              <w:snapToGrid w:val="0"/>
              <w:spacing w:after="48" w:afterLines="20" w:line="300" w:lineRule="exact"/>
              <w:ind w:left="-105" w:leftChars="-50"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其他从业人员</w:t>
            </w:r>
          </w:p>
          <w:p>
            <w:pPr>
              <w:autoSpaceDE w:val="0"/>
              <w:autoSpaceDN w:val="0"/>
              <w:snapToGrid w:val="0"/>
              <w:spacing w:before="24" w:beforeLines="10" w:line="300" w:lineRule="exact"/>
              <w:ind w:left="-105" w:leftChars="-50"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按职业类型分：</w:t>
            </w:r>
          </w:p>
          <w:p>
            <w:pPr>
              <w:autoSpaceDE w:val="0"/>
              <w:autoSpaceDN w:val="0"/>
              <w:snapToGrid w:val="0"/>
              <w:spacing w:line="300" w:lineRule="exact"/>
              <w:ind w:firstLine="430" w:firstLineChars="250"/>
              <w:jc w:val="left"/>
              <w:rPr>
                <w:rFonts w:hint="eastAsia" w:ascii="宋体" w:hAnsi="宋体" w:cs="宋体"/>
                <w:spacing w:val="-4"/>
                <w:sz w:val="18"/>
                <w:szCs w:val="18"/>
              </w:rPr>
            </w:pPr>
            <w:r>
              <w:rPr>
                <w:rFonts w:hint="eastAsia" w:ascii="宋体" w:hAnsi="宋体" w:cs="宋体"/>
                <w:spacing w:val="-4"/>
                <w:sz w:val="18"/>
                <w:szCs w:val="18"/>
              </w:rPr>
              <w:t>中层及以上管理人员</w:t>
            </w:r>
          </w:p>
          <w:p>
            <w:pPr>
              <w:autoSpaceDE w:val="0"/>
              <w:autoSpaceDN w:val="0"/>
              <w:snapToGrid w:val="0"/>
              <w:spacing w:line="300" w:lineRule="exact"/>
              <w:ind w:firstLine="430" w:firstLineChars="250"/>
              <w:jc w:val="left"/>
              <w:rPr>
                <w:rFonts w:hint="eastAsia" w:ascii="宋体" w:hAnsi="宋体" w:cs="宋体"/>
                <w:spacing w:val="-4"/>
                <w:sz w:val="18"/>
                <w:szCs w:val="18"/>
              </w:rPr>
            </w:pPr>
            <w:r>
              <w:rPr>
                <w:rFonts w:hint="eastAsia" w:ascii="宋体" w:hAnsi="宋体" w:cs="宋体"/>
                <w:spacing w:val="-4"/>
                <w:sz w:val="18"/>
                <w:szCs w:val="18"/>
              </w:rPr>
              <w:t>专业技术人员</w:t>
            </w:r>
          </w:p>
          <w:p>
            <w:pPr>
              <w:tabs>
                <w:tab w:val="left" w:pos="2445"/>
              </w:tabs>
              <w:autoSpaceDE w:val="0"/>
              <w:autoSpaceDN w:val="0"/>
              <w:snapToGrid w:val="0"/>
              <w:spacing w:line="300" w:lineRule="exact"/>
              <w:ind w:firstLine="430" w:firstLineChars="250"/>
              <w:jc w:val="left"/>
              <w:rPr>
                <w:rFonts w:hint="eastAsia" w:ascii="宋体" w:hAnsi="宋体" w:cs="宋体"/>
                <w:spacing w:val="-4"/>
                <w:sz w:val="18"/>
                <w:szCs w:val="18"/>
              </w:rPr>
            </w:pPr>
            <w:r>
              <w:rPr>
                <w:rFonts w:hint="eastAsia" w:ascii="宋体" w:hAnsi="宋体" w:cs="宋体"/>
                <w:spacing w:val="-4"/>
                <w:sz w:val="18"/>
                <w:szCs w:val="18"/>
              </w:rPr>
              <w:t>办事人员和有关人员</w:t>
            </w:r>
          </w:p>
          <w:p>
            <w:pPr>
              <w:autoSpaceDE w:val="0"/>
              <w:autoSpaceDN w:val="0"/>
              <w:snapToGrid w:val="0"/>
              <w:spacing w:line="300" w:lineRule="exact"/>
              <w:ind w:firstLine="430" w:firstLineChars="250"/>
              <w:jc w:val="left"/>
              <w:rPr>
                <w:rFonts w:hint="eastAsia" w:ascii="宋体" w:hAnsi="宋体" w:cs="宋体"/>
                <w:spacing w:val="-4"/>
                <w:sz w:val="18"/>
                <w:szCs w:val="18"/>
              </w:rPr>
            </w:pPr>
            <w:r>
              <w:rPr>
                <w:rFonts w:hint="eastAsia" w:ascii="宋体" w:hAnsi="宋体" w:cs="宋体"/>
                <w:spacing w:val="-4"/>
                <w:sz w:val="18"/>
                <w:szCs w:val="18"/>
              </w:rPr>
              <w:t>社会生产服务和生活服务人员</w:t>
            </w:r>
          </w:p>
          <w:p>
            <w:pPr>
              <w:autoSpaceDE w:val="0"/>
              <w:autoSpaceDN w:val="0"/>
              <w:snapToGrid w:val="0"/>
              <w:spacing w:line="300" w:lineRule="exact"/>
              <w:ind w:firstLine="380" w:firstLineChars="250"/>
              <w:jc w:val="left"/>
              <w:rPr>
                <w:rFonts w:hint="eastAsia" w:ascii="宋体" w:hAnsi="宋体" w:cs="宋体"/>
                <w:spacing w:val="-4"/>
                <w:sz w:val="18"/>
                <w:szCs w:val="18"/>
              </w:rPr>
            </w:pPr>
            <w:r>
              <w:rPr>
                <w:rFonts w:hint="eastAsia" w:ascii="宋体" w:hAnsi="宋体" w:cs="宋体"/>
                <w:spacing w:val="-14"/>
                <w:sz w:val="18"/>
                <w:szCs w:val="18"/>
              </w:rPr>
              <w:t xml:space="preserve"> </w:t>
            </w:r>
            <w:r>
              <w:rPr>
                <w:rFonts w:ascii="宋体" w:hAnsi="宋体" w:cs="宋体"/>
                <w:spacing w:val="-4"/>
                <w:sz w:val="18"/>
                <w:szCs w:val="18"/>
              </w:rPr>
              <w:t>生产制造及有关人员</w:t>
            </w:r>
          </w:p>
        </w:tc>
        <w:tc>
          <w:tcPr>
            <w:tcW w:w="622" w:type="dxa"/>
            <w:tcBorders>
              <w:top w:val="single" w:color="auto" w:sz="2" w:space="0"/>
              <w:left w:val="single" w:color="auto" w:sz="2" w:space="0"/>
              <w:bottom w:val="single" w:color="auto" w:sz="8" w:space="0"/>
              <w:right w:val="single" w:color="auto" w:sz="2" w:space="0"/>
            </w:tcBorders>
            <w:noWrap w:val="0"/>
            <w:vAlign w:val="top"/>
          </w:tcPr>
          <w:p>
            <w:pPr>
              <w:autoSpaceDE w:val="0"/>
              <w:autoSpaceDN w:val="0"/>
              <w:snapToGrid w:val="0"/>
              <w:spacing w:before="24" w:beforeLines="10"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before="24" w:beforeLines="10"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before="24" w:beforeLines="10"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人</w:t>
            </w:r>
          </w:p>
        </w:tc>
        <w:tc>
          <w:tcPr>
            <w:tcW w:w="502" w:type="dxa"/>
            <w:tcBorders>
              <w:top w:val="single" w:color="auto" w:sz="2" w:space="0"/>
              <w:left w:val="single" w:color="auto" w:sz="2" w:space="0"/>
              <w:bottom w:val="single" w:color="auto" w:sz="8" w:space="0"/>
              <w:right w:val="single" w:color="auto" w:sz="2" w:space="0"/>
            </w:tcBorders>
            <w:noWrap w:val="0"/>
            <w:vAlign w:val="top"/>
          </w:tcPr>
          <w:p>
            <w:pPr>
              <w:autoSpaceDE w:val="0"/>
              <w:autoSpaceDN w:val="0"/>
              <w:snapToGrid w:val="0"/>
              <w:spacing w:before="24" w:beforeLines="10"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01</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02</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05</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06</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07</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71</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72</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73</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74</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75</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08</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09</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10</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11</w:t>
            </w:r>
          </w:p>
          <w:p>
            <w:pPr>
              <w:autoSpaceDE w:val="0"/>
              <w:autoSpaceDN w:val="0"/>
              <w:snapToGrid w:val="0"/>
              <w:spacing w:before="24" w:beforeLines="10"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76</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77</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78</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79</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80</w:t>
            </w:r>
          </w:p>
        </w:tc>
        <w:tc>
          <w:tcPr>
            <w:tcW w:w="531" w:type="dxa"/>
            <w:tcBorders>
              <w:top w:val="single" w:color="auto" w:sz="2" w:space="0"/>
              <w:left w:val="single" w:color="auto" w:sz="2" w:space="0"/>
              <w:bottom w:val="single" w:color="auto" w:sz="8" w:space="0"/>
              <w:right w:val="single" w:color="auto" w:sz="2" w:space="0"/>
            </w:tcBorders>
            <w:noWrap w:val="0"/>
            <w:vAlign w:val="top"/>
          </w:tcPr>
          <w:p>
            <w:pPr>
              <w:snapToGrid w:val="0"/>
              <w:spacing w:line="300" w:lineRule="exact"/>
              <w:ind w:left="-105" w:leftChars="-50" w:right="-105" w:rightChars="-50"/>
              <w:jc w:val="center"/>
              <w:rPr>
                <w:rFonts w:hint="eastAsia" w:ascii="宋体" w:hAnsi="宋体" w:cs="宋体"/>
                <w:b/>
                <w:bCs/>
                <w:spacing w:val="-4"/>
                <w:sz w:val="18"/>
                <w:szCs w:val="18"/>
              </w:rPr>
            </w:pPr>
          </w:p>
        </w:tc>
        <w:tc>
          <w:tcPr>
            <w:tcW w:w="3023" w:type="dxa"/>
            <w:tcBorders>
              <w:top w:val="single" w:color="auto" w:sz="2" w:space="0"/>
              <w:left w:val="double" w:color="auto" w:sz="4" w:space="0"/>
              <w:bottom w:val="single" w:color="auto" w:sz="8" w:space="0"/>
              <w:right w:val="single" w:color="auto" w:sz="2" w:space="0"/>
            </w:tcBorders>
            <w:noWrap w:val="0"/>
            <w:vAlign w:val="top"/>
          </w:tcPr>
          <w:p>
            <w:pPr>
              <w:autoSpaceDE w:val="0"/>
              <w:autoSpaceDN w:val="0"/>
              <w:snapToGrid w:val="0"/>
              <w:spacing w:line="300" w:lineRule="exact"/>
              <w:ind w:right="-105" w:rightChars="-50"/>
              <w:jc w:val="left"/>
              <w:rPr>
                <w:rFonts w:hint="eastAsia" w:ascii="宋体" w:hAnsi="宋体" w:cs="宋体"/>
                <w:spacing w:val="-4"/>
                <w:sz w:val="18"/>
                <w:szCs w:val="18"/>
              </w:rPr>
            </w:pPr>
            <w:r>
              <w:rPr>
                <w:rFonts w:hint="eastAsia" w:ascii="宋体" w:hAnsi="宋体" w:cs="宋体"/>
                <w:spacing w:val="-4"/>
                <w:sz w:val="18"/>
                <w:szCs w:val="18"/>
              </w:rPr>
              <w:t>二、工资总额</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从业人员工资总额</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按人员类型分：</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在岗职工</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劳务派遣人员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其他从业人员</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rPr>
            </w:pPr>
            <w:r>
              <w:rPr>
                <w:rFonts w:hint="eastAsia" w:ascii="宋体" w:hAnsi="宋体" w:cs="宋体"/>
                <w:spacing w:val="-4"/>
                <w:sz w:val="18"/>
                <w:szCs w:val="18"/>
              </w:rPr>
              <w:t>按职业类型分：</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中层及以上管理人员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专业技术人员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办事人员和有关人员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rPr>
              <w:t>社会生产服务和生活服务人员</w:t>
            </w:r>
          </w:p>
          <w:p>
            <w:pPr>
              <w:autoSpaceDE w:val="0"/>
              <w:autoSpaceDN w:val="0"/>
              <w:snapToGrid w:val="0"/>
              <w:spacing w:after="24" w:afterLines="10" w:line="300" w:lineRule="exact"/>
              <w:ind w:right="-105" w:rightChars="-50" w:firstLine="456" w:firstLineChars="300"/>
              <w:jc w:val="left"/>
              <w:rPr>
                <w:rFonts w:hint="eastAsia" w:ascii="宋体" w:hAnsi="宋体" w:cs="宋体"/>
                <w:spacing w:val="-4"/>
                <w:sz w:val="18"/>
                <w:szCs w:val="18"/>
              </w:rPr>
            </w:pPr>
            <w:r>
              <w:rPr>
                <w:rFonts w:hint="eastAsia" w:ascii="宋体" w:hAnsi="宋体" w:cs="宋体"/>
                <w:spacing w:val="-14"/>
                <w:sz w:val="18"/>
                <w:szCs w:val="18"/>
              </w:rPr>
              <w:t xml:space="preserve"> </w:t>
            </w:r>
            <w:r>
              <w:rPr>
                <w:rFonts w:hint="eastAsia" w:ascii="宋体" w:hAnsi="宋体" w:cs="宋体"/>
                <w:spacing w:val="-4"/>
                <w:sz w:val="18"/>
                <w:szCs w:val="18"/>
              </w:rPr>
              <w:t>生产制造及有关人员</w:t>
            </w:r>
          </w:p>
          <w:p>
            <w:pPr>
              <w:autoSpaceDE w:val="0"/>
              <w:autoSpaceDN w:val="0"/>
              <w:snapToGrid w:val="0"/>
              <w:spacing w:line="300" w:lineRule="exact"/>
              <w:ind w:right="-105" w:rightChars="-5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三、平均工资</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从业人员平均工资</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按人员类型分：</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在岗职工</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劳务派遣人员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其他从业人员</w:t>
            </w:r>
          </w:p>
          <w:p>
            <w:pPr>
              <w:autoSpaceDE w:val="0"/>
              <w:autoSpaceDN w:val="0"/>
              <w:snapToGrid w:val="0"/>
              <w:spacing w:line="300" w:lineRule="exact"/>
              <w:ind w:right="-105" w:rightChars="-50" w:firstLine="344" w:firstLineChars="2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按职业类型分：</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中层及以上管理人员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专业技术人员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办事人员和有关人员</w:t>
            </w:r>
          </w:p>
          <w:p>
            <w:pPr>
              <w:autoSpaceDE w:val="0"/>
              <w:autoSpaceDN w:val="0"/>
              <w:snapToGrid w:val="0"/>
              <w:spacing w:line="300" w:lineRule="exact"/>
              <w:ind w:right="-105" w:rightChars="-50" w:firstLine="516" w:firstLineChars="300"/>
              <w:jc w:val="left"/>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社会生产服务和生活服务人员</w:t>
            </w:r>
          </w:p>
          <w:p>
            <w:pPr>
              <w:autoSpaceDE w:val="0"/>
              <w:autoSpaceDN w:val="0"/>
              <w:snapToGrid w:val="0"/>
              <w:spacing w:after="24" w:afterLines="10" w:line="300" w:lineRule="exact"/>
              <w:ind w:right="-105" w:rightChars="-50" w:firstLine="516" w:firstLineChars="300"/>
              <w:jc w:val="left"/>
              <w:rPr>
                <w:rFonts w:hint="eastAsia" w:ascii="宋体" w:hAnsi="宋体" w:cs="宋体"/>
                <w:spacing w:val="-4"/>
                <w:sz w:val="18"/>
                <w:szCs w:val="18"/>
              </w:rPr>
            </w:pPr>
            <w:r>
              <w:rPr>
                <w:rFonts w:hint="eastAsia" w:ascii="宋体" w:hAnsi="宋体" w:cs="宋体"/>
                <w:spacing w:val="-4"/>
                <w:sz w:val="18"/>
                <w:szCs w:val="18"/>
                <w:shd w:val="clear" w:color="FFFFFF" w:fill="D9D9D9"/>
              </w:rPr>
              <w:t>生产制造及有关人员</w:t>
            </w:r>
          </w:p>
        </w:tc>
        <w:tc>
          <w:tcPr>
            <w:tcW w:w="636" w:type="dxa"/>
            <w:tcBorders>
              <w:top w:val="single" w:color="auto" w:sz="2" w:space="0"/>
              <w:left w:val="single" w:color="auto" w:sz="2" w:space="0"/>
              <w:bottom w:val="single" w:color="auto" w:sz="8" w:space="0"/>
              <w:right w:val="single" w:color="auto" w:sz="2" w:space="0"/>
            </w:tcBorders>
            <w:noWrap w:val="0"/>
            <w:vAlign w:val="top"/>
          </w:tcPr>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千元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元</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shd w:val="clear" w:color="FFFFFF" w:fill="D9D9D9"/>
              </w:rPr>
              <w:t>元</w:t>
            </w:r>
          </w:p>
        </w:tc>
        <w:tc>
          <w:tcPr>
            <w:tcW w:w="538" w:type="dxa"/>
            <w:tcBorders>
              <w:top w:val="single" w:color="auto" w:sz="2" w:space="0"/>
              <w:left w:val="single" w:color="auto" w:sz="2" w:space="0"/>
              <w:bottom w:val="single" w:color="auto" w:sz="8" w:space="0"/>
              <w:right w:val="single" w:color="auto" w:sz="2" w:space="0"/>
            </w:tcBorders>
            <w:noWrap w:val="0"/>
            <w:vAlign w:val="top"/>
          </w:tcPr>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12</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13</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18</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19</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81</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82</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83</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84</w:t>
            </w:r>
          </w:p>
          <w:p>
            <w:pPr>
              <w:autoSpaceDE w:val="0"/>
              <w:autoSpaceDN w:val="0"/>
              <w:snapToGrid w:val="0"/>
              <w:spacing w:line="300" w:lineRule="exact"/>
              <w:ind w:left="-105" w:leftChars="-50" w:right="-105" w:rightChars="-50"/>
              <w:jc w:val="center"/>
              <w:rPr>
                <w:rFonts w:hint="eastAsia" w:ascii="宋体" w:hAnsi="宋体" w:cs="宋体"/>
                <w:spacing w:val="-4"/>
                <w:sz w:val="18"/>
                <w:szCs w:val="18"/>
              </w:rPr>
            </w:pPr>
            <w:r>
              <w:rPr>
                <w:rFonts w:hint="eastAsia" w:ascii="宋体" w:hAnsi="宋体" w:cs="宋体"/>
                <w:spacing w:val="-4"/>
                <w:sz w:val="18"/>
                <w:szCs w:val="18"/>
              </w:rPr>
              <w:t>85</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rPr>
                <w:rFonts w:ascii="宋体" w:hAnsi="宋体" w:cs="宋体"/>
                <w:spacing w:val="-4"/>
                <w:sz w:val="18"/>
                <w:szCs w:val="18"/>
                <w:shd w:val="clear" w:color="FFFFFF" w:fill="D9D9D9"/>
              </w:rPr>
            </w:pPr>
            <w:r>
              <w:rPr>
                <w:rFonts w:ascii="宋体" w:hAnsi="宋体" w:cs="宋体"/>
                <w:spacing w:val="-4"/>
                <w:sz w:val="18"/>
                <w:szCs w:val="18"/>
                <w:shd w:val="clear" w:color="FFFFFF" w:fill="D9D9D9"/>
              </w:rPr>
              <w:t>20</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rPr>
                <w:rFonts w:ascii="宋体" w:hAnsi="宋体" w:cs="宋体"/>
                <w:spacing w:val="-4"/>
                <w:sz w:val="18"/>
                <w:szCs w:val="18"/>
                <w:shd w:val="clear" w:color="FFFFFF" w:fill="D9D9D9"/>
              </w:rPr>
            </w:pPr>
            <w:r>
              <w:rPr>
                <w:rFonts w:ascii="宋体" w:hAnsi="宋体" w:cs="宋体"/>
                <w:spacing w:val="-4"/>
                <w:sz w:val="18"/>
                <w:szCs w:val="18"/>
                <w:shd w:val="clear" w:color="FFFFFF" w:fill="D9D9D9"/>
              </w:rPr>
              <w:t>21</w:t>
            </w:r>
          </w:p>
          <w:p>
            <w:pPr>
              <w:autoSpaceDE w:val="0"/>
              <w:autoSpaceDN w:val="0"/>
              <w:snapToGrid w:val="0"/>
              <w:spacing w:line="300" w:lineRule="exact"/>
              <w:ind w:left="-105" w:leftChars="-50" w:right="-105" w:rightChars="-50"/>
              <w:jc w:val="center"/>
              <w:rPr>
                <w:rFonts w:ascii="宋体" w:hAnsi="宋体" w:cs="宋体"/>
                <w:spacing w:val="-4"/>
                <w:sz w:val="18"/>
                <w:szCs w:val="18"/>
                <w:shd w:val="clear" w:color="FFFFFF" w:fill="D9D9D9"/>
              </w:rPr>
            </w:pPr>
            <w:r>
              <w:rPr>
                <w:rFonts w:ascii="宋体" w:hAnsi="宋体" w:cs="宋体"/>
                <w:spacing w:val="-4"/>
                <w:sz w:val="18"/>
                <w:szCs w:val="18"/>
                <w:shd w:val="clear" w:color="FFFFFF" w:fill="D9D9D9"/>
              </w:rPr>
              <w:t>22</w:t>
            </w:r>
          </w:p>
          <w:p>
            <w:pPr>
              <w:autoSpaceDE w:val="0"/>
              <w:autoSpaceDN w:val="0"/>
              <w:snapToGrid w:val="0"/>
              <w:spacing w:line="300" w:lineRule="exact"/>
              <w:ind w:left="-105" w:leftChars="-50" w:right="-105" w:rightChars="-50"/>
              <w:jc w:val="center"/>
              <w:rPr>
                <w:rFonts w:ascii="宋体" w:hAnsi="宋体" w:cs="宋体"/>
                <w:spacing w:val="-4"/>
                <w:sz w:val="18"/>
                <w:szCs w:val="18"/>
                <w:shd w:val="clear" w:color="FFFFFF" w:fill="D9D9D9"/>
              </w:rPr>
            </w:pPr>
            <w:r>
              <w:rPr>
                <w:rFonts w:ascii="宋体" w:hAnsi="宋体" w:cs="宋体"/>
                <w:spacing w:val="-4"/>
                <w:sz w:val="18"/>
                <w:szCs w:val="18"/>
                <w:shd w:val="clear" w:color="FFFFFF" w:fill="D9D9D9"/>
              </w:rPr>
              <w:t>23</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8</w:t>
            </w:r>
            <w:r>
              <w:rPr>
                <w:rFonts w:ascii="宋体" w:hAnsi="宋体" w:cs="宋体"/>
                <w:spacing w:val="-4"/>
                <w:sz w:val="18"/>
                <w:szCs w:val="18"/>
                <w:shd w:val="clear" w:color="FFFFFF" w:fill="D9D9D9"/>
              </w:rPr>
              <w:t>6</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8</w:t>
            </w:r>
            <w:r>
              <w:rPr>
                <w:rFonts w:ascii="宋体" w:hAnsi="宋体" w:cs="宋体"/>
                <w:spacing w:val="-4"/>
                <w:sz w:val="18"/>
                <w:szCs w:val="18"/>
                <w:shd w:val="clear" w:color="FFFFFF" w:fill="D9D9D9"/>
              </w:rPr>
              <w:t>7</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8</w:t>
            </w:r>
            <w:r>
              <w:rPr>
                <w:rFonts w:ascii="宋体" w:hAnsi="宋体" w:cs="宋体"/>
                <w:spacing w:val="-4"/>
                <w:sz w:val="18"/>
                <w:szCs w:val="18"/>
                <w:shd w:val="clear" w:color="FFFFFF" w:fill="D9D9D9"/>
              </w:rPr>
              <w:t>8</w:t>
            </w:r>
          </w:p>
          <w:p>
            <w:pPr>
              <w:autoSpaceDE w:val="0"/>
              <w:autoSpaceDN w:val="0"/>
              <w:snapToGrid w:val="0"/>
              <w:spacing w:line="300" w:lineRule="exact"/>
              <w:ind w:left="-105" w:leftChars="-50" w:right="-105" w:rightChars="-50"/>
              <w:jc w:val="center"/>
              <w:rPr>
                <w:rFonts w:hint="eastAsia" w:ascii="宋体" w:hAnsi="宋体" w:cs="宋体"/>
                <w:spacing w:val="-4"/>
                <w:sz w:val="18"/>
                <w:szCs w:val="18"/>
                <w:shd w:val="clear" w:color="FFFFFF" w:fill="D9D9D9"/>
              </w:rPr>
            </w:pPr>
            <w:r>
              <w:rPr>
                <w:rFonts w:hint="eastAsia" w:ascii="宋体" w:hAnsi="宋体" w:cs="宋体"/>
                <w:spacing w:val="-4"/>
                <w:sz w:val="18"/>
                <w:szCs w:val="18"/>
                <w:shd w:val="clear" w:color="FFFFFF" w:fill="D9D9D9"/>
              </w:rPr>
              <w:t>8</w:t>
            </w:r>
            <w:r>
              <w:rPr>
                <w:rFonts w:ascii="宋体" w:hAnsi="宋体" w:cs="宋体"/>
                <w:spacing w:val="-4"/>
                <w:sz w:val="18"/>
                <w:szCs w:val="18"/>
                <w:shd w:val="clear" w:color="FFFFFF" w:fill="D9D9D9"/>
              </w:rPr>
              <w:t>9</w:t>
            </w:r>
          </w:p>
          <w:p>
            <w:pPr>
              <w:snapToGrid w:val="0"/>
              <w:spacing w:line="300" w:lineRule="exact"/>
              <w:ind w:left="-105" w:leftChars="-50" w:right="-105" w:rightChars="-50"/>
              <w:jc w:val="center"/>
              <w:rPr>
                <w:rFonts w:ascii="宋体" w:hAnsi="宋体" w:cs="宋体"/>
                <w:spacing w:val="-4"/>
                <w:sz w:val="18"/>
                <w:szCs w:val="18"/>
              </w:rPr>
            </w:pPr>
            <w:r>
              <w:rPr>
                <w:rFonts w:ascii="宋体" w:hAnsi="宋体" w:cs="宋体"/>
                <w:spacing w:val="-4"/>
                <w:sz w:val="18"/>
                <w:szCs w:val="18"/>
                <w:shd w:val="clear" w:color="FFFFFF" w:fill="D9D9D9"/>
              </w:rPr>
              <w:t>90</w:t>
            </w:r>
          </w:p>
        </w:tc>
        <w:tc>
          <w:tcPr>
            <w:tcW w:w="467" w:type="dxa"/>
            <w:tcBorders>
              <w:top w:val="single" w:color="auto" w:sz="2" w:space="0"/>
              <w:left w:val="single" w:color="auto" w:sz="2" w:space="0"/>
              <w:bottom w:val="single" w:color="auto" w:sz="8" w:space="0"/>
              <w:right w:val="nil"/>
            </w:tcBorders>
            <w:noWrap w:val="0"/>
            <w:vAlign w:val="top"/>
          </w:tcPr>
          <w:p>
            <w:pPr>
              <w:snapToGrid w:val="0"/>
              <w:spacing w:line="300" w:lineRule="exact"/>
              <w:ind w:left="-105" w:leftChars="-50" w:right="-105" w:rightChars="-50"/>
              <w:jc w:val="center"/>
              <w:rPr>
                <w:rFonts w:hint="eastAsia" w:ascii="宋体" w:hAnsi="宋体" w:cs="宋体"/>
                <w:b/>
                <w:bCs/>
                <w:spacing w:val="-4"/>
                <w:sz w:val="18"/>
                <w:szCs w:val="18"/>
              </w:rPr>
            </w:pPr>
          </w:p>
        </w:tc>
      </w:tr>
    </w:tbl>
    <w:p>
      <w:pPr>
        <w:keepNext w:val="0"/>
        <w:keepLines w:val="0"/>
        <w:pageBreakBefore w:val="0"/>
        <w:widowControl w:val="0"/>
        <w:kinsoku/>
        <w:wordWrap/>
        <w:overflowPunct/>
        <w:topLinePunct w:val="0"/>
        <w:autoSpaceDE/>
        <w:autoSpaceDN/>
        <w:bidi w:val="0"/>
        <w:adjustRightInd/>
        <w:snapToGrid/>
        <w:spacing w:line="240" w:lineRule="exact"/>
        <w:ind w:left="126" w:leftChars="60" w:right="105" w:rightChars="50"/>
        <w:textAlignment w:val="auto"/>
        <w:outlineLvl w:val="9"/>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 xml:space="preserve">单位负责人：        统计负责人：        填表人：        </w:t>
      </w:r>
      <w:r>
        <w:rPr>
          <w:rFonts w:hint="eastAsia" w:asciiTheme="minorEastAsia" w:hAnsiTheme="minorEastAsia" w:eastAsiaTheme="minorEastAsia" w:cstheme="minorEastAsia"/>
          <w:kern w:val="0"/>
          <w:sz w:val="18"/>
          <w:szCs w:val="18"/>
          <w:lang w:val="en-US" w:eastAsia="zh-CN"/>
        </w:rPr>
        <w:t xml:space="preserve"> </w:t>
      </w:r>
      <w:r>
        <w:rPr>
          <w:rFonts w:hint="eastAsia" w:asciiTheme="minorEastAsia" w:hAnsiTheme="minorEastAsia" w:eastAsiaTheme="minorEastAsia" w:cstheme="minorEastAsia"/>
          <w:kern w:val="0"/>
          <w:sz w:val="18"/>
          <w:szCs w:val="18"/>
        </w:rPr>
        <w:t xml:space="preserve"> 联系电话：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kern w:val="0"/>
          <w:sz w:val="18"/>
          <w:szCs w:val="18"/>
        </w:rPr>
        <w:t xml:space="preserve">      报出日期：2 0   年   月   日</w:t>
      </w:r>
    </w:p>
    <w:p>
      <w:pPr>
        <w:kinsoku w:val="0"/>
        <w:overflowPunct w:val="0"/>
        <w:adjustRightInd w:val="0"/>
        <w:snapToGrid w:val="0"/>
        <w:spacing w:line="240" w:lineRule="exact"/>
        <w:ind w:left="1619" w:leftChars="-1" w:hanging="1621" w:hangingChars="901"/>
        <w:outlineLvl w:val="9"/>
        <w:rPr>
          <w:rFonts w:hint="eastAsia" w:asciiTheme="minorEastAsia" w:hAnsiTheme="minorEastAsia" w:eastAsiaTheme="minorEastAsia" w:cstheme="minorEastAsia"/>
          <w:bCs/>
          <w:kern w:val="0"/>
          <w:sz w:val="18"/>
          <w:szCs w:val="18"/>
        </w:rPr>
      </w:pPr>
    </w:p>
    <w:p>
      <w:pPr>
        <w:keepNext w:val="0"/>
        <w:keepLines w:val="0"/>
        <w:pageBreakBefore w:val="0"/>
        <w:widowControl w:val="0"/>
        <w:kinsoku w:val="0"/>
        <w:wordWrap/>
        <w:overflowPunct w:val="0"/>
        <w:topLinePunct w:val="0"/>
        <w:autoSpaceDE/>
        <w:autoSpaceDN/>
        <w:bidi w:val="0"/>
        <w:adjustRightInd w:val="0"/>
        <w:snapToGrid w:val="0"/>
        <w:spacing w:line="240" w:lineRule="exact"/>
        <w:ind w:left="1674" w:leftChars="60" w:right="105" w:rightChars="50" w:hanging="1548" w:hangingChars="860"/>
        <w:textAlignment w:val="auto"/>
        <w:outlineLvl w:val="9"/>
        <w:rPr>
          <w:rFonts w:hint="eastAsia" w:asciiTheme="minorEastAsia" w:hAnsiTheme="minorEastAsia" w:eastAsiaTheme="minorEastAsia" w:cstheme="minorEastAsia"/>
          <w:sz w:val="18"/>
        </w:rPr>
      </w:pPr>
      <w:r>
        <w:rPr>
          <w:rFonts w:hint="eastAsia" w:asciiTheme="minorEastAsia" w:hAnsiTheme="minorEastAsia" w:eastAsiaTheme="minorEastAsia" w:cstheme="minorEastAsia"/>
          <w:bCs/>
          <w:kern w:val="0"/>
          <w:sz w:val="18"/>
          <w:szCs w:val="18"/>
        </w:rPr>
        <w:t>说明：1.统计范围：</w:t>
      </w:r>
      <w:r>
        <w:rPr>
          <w:rFonts w:hint="eastAsia" w:asciiTheme="minorEastAsia" w:hAnsiTheme="minorEastAsia" w:eastAsiaTheme="minorEastAsia" w:cstheme="minorEastAsia"/>
          <w:sz w:val="18"/>
          <w:szCs w:val="18"/>
        </w:rPr>
        <w:t>辖区内规模以上工业法人单位。</w:t>
      </w:r>
    </w:p>
    <w:p>
      <w:pPr>
        <w:keepNext w:val="0"/>
        <w:keepLines w:val="0"/>
        <w:pageBreakBefore w:val="0"/>
        <w:widowControl w:val="0"/>
        <w:kinsoku w:val="0"/>
        <w:wordWrap/>
        <w:overflowPunct w:val="0"/>
        <w:topLinePunct w:val="0"/>
        <w:autoSpaceDE/>
        <w:autoSpaceDN/>
        <w:bidi w:val="0"/>
        <w:adjustRightInd w:val="0"/>
        <w:snapToGrid w:val="0"/>
        <w:spacing w:line="240" w:lineRule="exact"/>
        <w:ind w:left="2181" w:leftChars="310" w:right="105" w:rightChars="50" w:hanging="1530" w:hangingChars="850"/>
        <w:textAlignment w:val="auto"/>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2.报送日期及方式：调查单位202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月</w:t>
      </w:r>
      <w:r>
        <w:rPr>
          <w:rFonts w:hint="eastAsia" w:asciiTheme="minorEastAsia" w:hAnsiTheme="minorEastAsia" w:eastAsiaTheme="minorEastAsia" w:cstheme="minorEastAsia"/>
          <w:sz w:val="18"/>
          <w:szCs w:val="18"/>
          <w:lang w:val="en-US" w:eastAsia="zh-CN"/>
        </w:rPr>
        <w:t>18</w:t>
      </w:r>
      <w:r>
        <w:rPr>
          <w:rFonts w:hint="eastAsia" w:asciiTheme="minorEastAsia" w:hAnsiTheme="minorEastAsia" w:eastAsiaTheme="minorEastAsia" w:cstheme="minorEastAsia"/>
          <w:sz w:val="18"/>
          <w:szCs w:val="18"/>
        </w:rPr>
        <w:t>日</w:t>
      </w:r>
      <w:r>
        <w:rPr>
          <w:rFonts w:hint="eastAsia" w:asciiTheme="minorEastAsia" w:hAnsiTheme="minorEastAsia" w:eastAsiaTheme="minorEastAsia" w:cstheme="minorEastAsia"/>
          <w:sz w:val="18"/>
          <w:szCs w:val="18"/>
          <w:lang w:val="en-US" w:eastAsia="zh-CN"/>
        </w:rPr>
        <w:t>18</w:t>
      </w:r>
      <w:r>
        <w:rPr>
          <w:rFonts w:hint="eastAsia" w:asciiTheme="minorEastAsia" w:hAnsiTheme="minorEastAsia" w:eastAsiaTheme="minorEastAsia" w:cstheme="minorEastAsia"/>
          <w:sz w:val="18"/>
          <w:szCs w:val="18"/>
        </w:rPr>
        <w:t>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sz w:val="18"/>
          <w:szCs w:val="18"/>
        </w:rPr>
        <w:t>。</w:t>
      </w:r>
    </w:p>
    <w:p>
      <w:pPr>
        <w:kinsoku w:val="0"/>
        <w:overflowPunct w:val="0"/>
        <w:adjustRightInd w:val="0"/>
        <w:snapToGrid w:val="0"/>
        <w:spacing w:line="240" w:lineRule="exact"/>
        <w:ind w:left="1732" w:leftChars="310" w:hanging="1081" w:hangingChars="601"/>
        <w:outlineLvl w:val="9"/>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3.从业人员平均工资由联网直报平台根据调查单位填报数据计算生成，调查单位无需填写</w:t>
      </w:r>
      <w:r>
        <w:rPr>
          <w:rFonts w:hint="eastAsia" w:asciiTheme="minorEastAsia" w:hAnsiTheme="minorEastAsia" w:eastAsiaTheme="minorEastAsia" w:cstheme="minorEastAsia"/>
          <w:sz w:val="18"/>
          <w:szCs w:val="18"/>
          <w:lang w:eastAsia="zh-CN"/>
        </w:rPr>
        <w:t>。</w:t>
      </w:r>
    </w:p>
    <w:p>
      <w:pPr>
        <w:kinsoku w:val="0"/>
        <w:overflowPunct w:val="0"/>
        <w:adjustRightInd w:val="0"/>
        <w:snapToGrid w:val="0"/>
        <w:spacing w:line="240" w:lineRule="exact"/>
        <w:ind w:left="1732" w:leftChars="310" w:hanging="1081" w:hangingChars="601"/>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审核关系：</w:t>
      </w:r>
    </w:p>
    <w:p>
      <w:pPr>
        <w:snapToGrid w:val="0"/>
        <w:spacing w:line="240" w:lineRule="exact"/>
        <w:ind w:firstLine="720" w:firstLineChars="400"/>
        <w:rPr>
          <w:rFonts w:ascii="宋体" w:hAnsi="宋体" w:cs="宋体"/>
          <w:color w:val="000000"/>
          <w:kern w:val="0"/>
          <w:sz w:val="18"/>
          <w:szCs w:val="18"/>
        </w:rPr>
      </w:pPr>
      <w:r>
        <w:rPr>
          <w:rFonts w:hint="eastAsia" w:ascii="宋体" w:hAnsi="宋体" w:cs="宋体"/>
          <w:color w:val="000000"/>
          <w:kern w:val="0"/>
          <w:sz w:val="18"/>
          <w:szCs w:val="18"/>
        </w:rPr>
        <w:t>（1）01≥02              （2）01=05+06+07      （3）01=71+72+73+74+75     （4）08=09+10+11</w:t>
      </w:r>
    </w:p>
    <w:p>
      <w:pPr>
        <w:ind w:firstLine="720" w:firstLineChars="400"/>
        <w:outlineLvl w:val="9"/>
        <w:rPr>
          <w:rFonts w:hint="eastAsia" w:ascii="宋体" w:hAnsi="宋体" w:cs="宋体"/>
          <w:color w:val="000000"/>
          <w:kern w:val="0"/>
          <w:sz w:val="18"/>
          <w:szCs w:val="18"/>
        </w:rPr>
      </w:pPr>
      <w:r>
        <w:rPr>
          <w:rFonts w:hint="eastAsia" w:ascii="宋体" w:hAnsi="宋体" w:cs="宋体"/>
          <w:color w:val="000000"/>
          <w:kern w:val="0"/>
          <w:sz w:val="18"/>
          <w:szCs w:val="18"/>
        </w:rPr>
        <w:t>（5）08=76+77+78+79+80   （6）12=13+18+19      （7）12=81+82+83+84+85</w:t>
      </w:r>
    </w:p>
    <w:p>
      <w:pPr>
        <w:pStyle w:val="15"/>
        <w:rPr>
          <w:rFonts w:hint="eastAsia" w:ascii="宋体" w:hAnsi="宋体" w:cs="宋体"/>
          <w:color w:val="000000"/>
          <w:kern w:val="0"/>
          <w:sz w:val="18"/>
          <w:szCs w:val="18"/>
        </w:rPr>
      </w:pPr>
    </w:p>
    <w:p>
      <w:pPr>
        <w:pStyle w:val="15"/>
        <w:rPr>
          <w:rFonts w:hint="eastAsia" w:ascii="宋体" w:hAnsi="宋体" w:cs="宋体"/>
          <w:color w:val="000000"/>
          <w:kern w:val="0"/>
          <w:sz w:val="18"/>
          <w:szCs w:val="18"/>
        </w:rPr>
      </w:pPr>
    </w:p>
    <w:p>
      <w:pPr>
        <w:pStyle w:val="2"/>
      </w:pPr>
    </w:p>
    <w:p>
      <w:pPr>
        <w:pStyle w:val="2"/>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30" w:name="_Toc1009903768"/>
      <w:bookmarkStart w:id="31" w:name="_Toc276436420"/>
      <w:bookmarkStart w:id="32" w:name="_Toc516674282"/>
      <w:bookmarkStart w:id="33" w:name="_Toc1753375539"/>
      <w:bookmarkStart w:id="34" w:name="_Toc1844479078"/>
      <w:bookmarkStart w:id="35" w:name="_Toc116210762"/>
      <w:r>
        <w:rPr>
          <w:rFonts w:hint="eastAsia" w:ascii="宋体" w:hAnsi="宋体" w:eastAsia="宋体" w:cs="宋体"/>
          <w:b/>
          <w:bCs/>
          <w:sz w:val="32"/>
          <w:szCs w:val="32"/>
        </w:rPr>
        <w:t>财务状况（成本费用）</w:t>
      </w:r>
      <w:bookmarkEnd w:id="30"/>
      <w:bookmarkEnd w:id="31"/>
      <w:bookmarkEnd w:id="32"/>
      <w:bookmarkEnd w:id="33"/>
    </w:p>
    <w:p>
      <w:pPr>
        <w:snapToGrid w:val="0"/>
        <w:spacing w:line="40" w:lineRule="exact"/>
        <w:rPr>
          <w:rFonts w:hint="eastAsia" w:asciiTheme="minorEastAsia" w:hAnsiTheme="minorEastAsia" w:eastAsiaTheme="minorEastAsia" w:cstheme="minorEastAsia"/>
          <w:vanish/>
        </w:rPr>
      </w:pPr>
    </w:p>
    <w:tbl>
      <w:tblPr>
        <w:tblStyle w:val="17"/>
        <w:tblW w:w="9517" w:type="dxa"/>
        <w:tblInd w:w="-67" w:type="dxa"/>
        <w:tblLayout w:type="fixed"/>
        <w:tblCellMar>
          <w:top w:w="0" w:type="dxa"/>
          <w:left w:w="108" w:type="dxa"/>
          <w:bottom w:w="0" w:type="dxa"/>
          <w:right w:w="108" w:type="dxa"/>
        </w:tblCellMar>
      </w:tblPr>
      <w:tblGrid>
        <w:gridCol w:w="2678"/>
        <w:gridCol w:w="1062"/>
        <w:gridCol w:w="2781"/>
        <w:gridCol w:w="1082"/>
        <w:gridCol w:w="1914"/>
      </w:tblGrid>
      <w:tr>
        <w:tblPrEx>
          <w:tblCellMar>
            <w:top w:w="0" w:type="dxa"/>
            <w:left w:w="108" w:type="dxa"/>
            <w:bottom w:w="0" w:type="dxa"/>
            <w:right w:w="108" w:type="dxa"/>
          </w:tblCellMar>
        </w:tblPrEx>
        <w:trPr>
          <w:trHeight w:val="227" w:hRule="exact"/>
        </w:trPr>
        <w:tc>
          <w:tcPr>
            <w:tcW w:w="2678" w:type="dxa"/>
            <w:noWrap w:val="0"/>
            <w:tcMar>
              <w:left w:w="0" w:type="dxa"/>
              <w:right w:w="0" w:type="dxa"/>
            </w:tcMar>
            <w:vAlign w:val="top"/>
          </w:tcPr>
          <w:p>
            <w:pPr>
              <w:spacing w:line="240" w:lineRule="auto"/>
              <w:jc w:val="center"/>
              <w:rPr>
                <w:rFonts w:ascii="宋体"/>
                <w:sz w:val="32"/>
                <w:szCs w:val="32"/>
              </w:rPr>
            </w:pPr>
          </w:p>
        </w:tc>
        <w:tc>
          <w:tcPr>
            <w:tcW w:w="1062" w:type="dxa"/>
            <w:noWrap w:val="0"/>
            <w:tcMar>
              <w:left w:w="0" w:type="dxa"/>
              <w:right w:w="0" w:type="dxa"/>
            </w:tcMar>
            <w:vAlign w:val="top"/>
          </w:tcPr>
          <w:p>
            <w:pPr>
              <w:spacing w:line="240" w:lineRule="exact"/>
              <w:jc w:val="center"/>
              <w:rPr>
                <w:rFonts w:ascii="宋体"/>
                <w:sz w:val="32"/>
                <w:szCs w:val="32"/>
              </w:rPr>
            </w:pPr>
          </w:p>
        </w:tc>
        <w:tc>
          <w:tcPr>
            <w:tcW w:w="2781" w:type="dxa"/>
            <w:noWrap w:val="0"/>
            <w:tcMar>
              <w:left w:w="0" w:type="dxa"/>
              <w:right w:w="0" w:type="dxa"/>
            </w:tcMar>
            <w:vAlign w:val="top"/>
          </w:tcPr>
          <w:p>
            <w:pPr>
              <w:spacing w:line="240" w:lineRule="exact"/>
              <w:jc w:val="center"/>
              <w:rPr>
                <w:rFonts w:ascii="宋体"/>
                <w:sz w:val="32"/>
                <w:szCs w:val="32"/>
              </w:rPr>
            </w:pPr>
          </w:p>
        </w:tc>
        <w:tc>
          <w:tcPr>
            <w:tcW w:w="1082" w:type="dxa"/>
            <w:noWrap w:val="0"/>
            <w:tcMar>
              <w:left w:w="0" w:type="dxa"/>
              <w:right w:w="0" w:type="dxa"/>
            </w:tcMar>
            <w:vAlign w:val="center"/>
          </w:tcPr>
          <w:p>
            <w:pPr>
              <w:spacing w:line="200" w:lineRule="exact"/>
              <w:ind w:left="-104" w:leftChars="-50" w:right="-52" w:rightChars="-25" w:hanging="1"/>
              <w:jc w:val="right"/>
              <w:rPr>
                <w:rFonts w:ascii="宋体"/>
                <w:sz w:val="32"/>
                <w:szCs w:val="32"/>
              </w:rPr>
            </w:pPr>
            <w:r>
              <w:rPr>
                <w:rFonts w:hint="eastAsia" w:ascii="宋体" w:hAnsi="宋体"/>
                <w:sz w:val="18"/>
                <w:szCs w:val="18"/>
              </w:rPr>
              <w:t>表</w:t>
            </w:r>
            <w:r>
              <w:rPr>
                <w:rFonts w:ascii="宋体" w:hAnsi="宋体"/>
                <w:sz w:val="18"/>
                <w:szCs w:val="18"/>
              </w:rPr>
              <w:t xml:space="preserve">    </w:t>
            </w:r>
            <w:r>
              <w:rPr>
                <w:rFonts w:hint="eastAsia" w:ascii="宋体" w:hAnsi="宋体"/>
                <w:sz w:val="18"/>
                <w:szCs w:val="18"/>
              </w:rPr>
              <w:t>号：</w:t>
            </w:r>
          </w:p>
        </w:tc>
        <w:tc>
          <w:tcPr>
            <w:tcW w:w="1914" w:type="dxa"/>
            <w:noWrap w:val="0"/>
            <w:tcMar>
              <w:left w:w="0" w:type="dxa"/>
              <w:right w:w="0" w:type="dxa"/>
            </w:tcMar>
            <w:vAlign w:val="center"/>
          </w:tcPr>
          <w:p>
            <w:pPr>
              <w:spacing w:line="200" w:lineRule="exact"/>
              <w:jc w:val="distribute"/>
              <w:rPr>
                <w:rFonts w:hint="default" w:ascii="宋体" w:eastAsia="宋体"/>
                <w:sz w:val="32"/>
                <w:szCs w:val="32"/>
                <w:lang w:val="en-US" w:eastAsia="zh-CN"/>
              </w:rPr>
            </w:pPr>
            <w:r>
              <w:rPr>
                <w:rFonts w:hint="eastAsia" w:ascii="宋体" w:hAnsi="宋体"/>
                <w:sz w:val="18"/>
                <w:szCs w:val="18"/>
              </w:rPr>
              <w:t>Ｂ１０３表</w:t>
            </w:r>
            <w:r>
              <w:rPr>
                <w:rFonts w:hint="eastAsia" w:ascii="宋体" w:hAnsi="宋体"/>
                <w:sz w:val="18"/>
                <w:szCs w:val="18"/>
                <w:lang w:val="en-US" w:eastAsia="zh-CN"/>
              </w:rPr>
              <w:t xml:space="preserve">  </w:t>
            </w:r>
          </w:p>
        </w:tc>
      </w:tr>
      <w:tr>
        <w:tblPrEx>
          <w:tblCellMar>
            <w:top w:w="0" w:type="dxa"/>
            <w:left w:w="108" w:type="dxa"/>
            <w:bottom w:w="0" w:type="dxa"/>
            <w:right w:w="108" w:type="dxa"/>
          </w:tblCellMar>
        </w:tblPrEx>
        <w:trPr>
          <w:trHeight w:val="227" w:hRule="exact"/>
        </w:trPr>
        <w:tc>
          <w:tcPr>
            <w:tcW w:w="6521" w:type="dxa"/>
            <w:gridSpan w:val="3"/>
            <w:noWrap w:val="0"/>
            <w:tcMar>
              <w:left w:w="0" w:type="dxa"/>
              <w:right w:w="0" w:type="dxa"/>
            </w:tcMar>
            <w:vAlign w:val="top"/>
          </w:tcPr>
          <w:p>
            <w:pPr>
              <w:spacing w:line="240" w:lineRule="exact"/>
              <w:rPr>
                <w:rFonts w:ascii="宋体"/>
                <w:sz w:val="32"/>
                <w:szCs w:val="32"/>
              </w:rPr>
            </w:pPr>
            <w:r>
              <w:rPr>
                <w:rFonts w:hint="eastAsia" w:ascii="宋体" w:hAnsi="宋体"/>
                <w:sz w:val="18"/>
                <w:szCs w:val="18"/>
              </w:rPr>
              <w:t>统一社会信用代码□□□□□□□□□□□□□□□□□□</w:t>
            </w:r>
          </w:p>
        </w:tc>
        <w:tc>
          <w:tcPr>
            <w:tcW w:w="1082" w:type="dxa"/>
            <w:noWrap w:val="0"/>
            <w:tcMar>
              <w:left w:w="0" w:type="dxa"/>
              <w:right w:w="0" w:type="dxa"/>
            </w:tcMar>
            <w:vAlign w:val="center"/>
          </w:tcPr>
          <w:p>
            <w:pPr>
              <w:spacing w:line="200" w:lineRule="exact"/>
              <w:ind w:left="35" w:leftChars="-50" w:right="-52" w:rightChars="-25" w:hanging="140" w:hangingChars="78"/>
              <w:jc w:val="right"/>
              <w:rPr>
                <w:rFonts w:ascii="宋体"/>
                <w:sz w:val="32"/>
                <w:szCs w:val="32"/>
              </w:rPr>
            </w:pPr>
            <w:r>
              <w:rPr>
                <w:rFonts w:hint="eastAsia" w:ascii="宋体" w:hAnsi="宋体"/>
                <w:sz w:val="18"/>
                <w:szCs w:val="18"/>
              </w:rPr>
              <w:t>制定机关：</w:t>
            </w:r>
          </w:p>
        </w:tc>
        <w:tc>
          <w:tcPr>
            <w:tcW w:w="1914" w:type="dxa"/>
            <w:noWrap w:val="0"/>
            <w:tcMar>
              <w:left w:w="0" w:type="dxa"/>
              <w:right w:w="0" w:type="dxa"/>
            </w:tcMar>
            <w:vAlign w:val="center"/>
          </w:tcPr>
          <w:p>
            <w:pPr>
              <w:spacing w:line="200" w:lineRule="exact"/>
              <w:jc w:val="distribute"/>
              <w:rPr>
                <w:rFonts w:ascii="宋体"/>
                <w:sz w:val="32"/>
                <w:szCs w:val="32"/>
              </w:rPr>
            </w:pPr>
            <w:r>
              <w:rPr>
                <w:rFonts w:hint="eastAsia" w:ascii="宋体" w:hAnsi="宋体"/>
                <w:sz w:val="18"/>
                <w:szCs w:val="18"/>
              </w:rPr>
              <w:t>国家统计局</w:t>
            </w:r>
          </w:p>
        </w:tc>
      </w:tr>
      <w:tr>
        <w:tblPrEx>
          <w:tblCellMar>
            <w:top w:w="0" w:type="dxa"/>
            <w:left w:w="108" w:type="dxa"/>
            <w:bottom w:w="0" w:type="dxa"/>
            <w:right w:w="108" w:type="dxa"/>
          </w:tblCellMar>
        </w:tblPrEx>
        <w:trPr>
          <w:trHeight w:val="227" w:hRule="exact"/>
        </w:trPr>
        <w:tc>
          <w:tcPr>
            <w:tcW w:w="6521" w:type="dxa"/>
            <w:gridSpan w:val="3"/>
            <w:noWrap w:val="0"/>
            <w:tcMar>
              <w:left w:w="0" w:type="dxa"/>
              <w:right w:w="0" w:type="dxa"/>
            </w:tcMar>
            <w:vAlign w:val="top"/>
          </w:tcPr>
          <w:p>
            <w:pPr>
              <w:spacing w:line="240" w:lineRule="exact"/>
              <w:rPr>
                <w:rFonts w:hint="default" w:ascii="宋体" w:eastAsia="宋体"/>
                <w:sz w:val="32"/>
                <w:szCs w:val="32"/>
                <w:lang w:val="en-US" w:eastAsia="zh-CN"/>
              </w:rPr>
            </w:pPr>
            <w:r>
              <w:rPr>
                <w:rFonts w:hint="eastAsia" w:ascii="宋体"/>
                <w:sz w:val="32"/>
                <w:szCs w:val="32"/>
                <w:lang w:val="en-US" w:eastAsia="zh-CN"/>
              </w:rPr>
              <w:t xml:space="preserve"> </w:t>
            </w:r>
          </w:p>
        </w:tc>
        <w:tc>
          <w:tcPr>
            <w:tcW w:w="1082" w:type="dxa"/>
            <w:noWrap w:val="0"/>
            <w:tcMar>
              <w:left w:w="0" w:type="dxa"/>
              <w:right w:w="0" w:type="dxa"/>
            </w:tcMar>
            <w:vAlign w:val="center"/>
          </w:tcPr>
          <w:p>
            <w:pPr>
              <w:spacing w:line="200" w:lineRule="exact"/>
              <w:ind w:left="-105" w:leftChars="-50" w:right="-52" w:rightChars="-25"/>
              <w:jc w:val="right"/>
              <w:rPr>
                <w:rFonts w:ascii="宋体"/>
                <w:sz w:val="32"/>
                <w:szCs w:val="32"/>
              </w:rPr>
            </w:pP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号：</w:t>
            </w:r>
          </w:p>
        </w:tc>
        <w:tc>
          <w:tcPr>
            <w:tcW w:w="1914" w:type="dxa"/>
            <w:noWrap w:val="0"/>
            <w:tcMar>
              <w:left w:w="0" w:type="dxa"/>
              <w:right w:w="0" w:type="dxa"/>
            </w:tcMar>
            <w:vAlign w:val="center"/>
          </w:tcPr>
          <w:p>
            <w:pPr>
              <w:spacing w:line="200" w:lineRule="exact"/>
              <w:jc w:val="distribute"/>
              <w:rPr>
                <w:rFonts w:ascii="宋体"/>
                <w:sz w:val="32"/>
                <w:szCs w:val="32"/>
              </w:rPr>
            </w:pPr>
            <w:r>
              <w:rPr>
                <w:rFonts w:hint="eastAsia" w:ascii="宋体" w:hAnsi="宋体"/>
                <w:sz w:val="18"/>
                <w:szCs w:val="18"/>
              </w:rPr>
              <w:t>国统字〔</w:t>
            </w:r>
            <w:r>
              <w:rPr>
                <w:rFonts w:ascii="宋体" w:hAnsi="宋体"/>
                <w:sz w:val="18"/>
                <w:szCs w:val="18"/>
              </w:rPr>
              <w:t>202</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hint="eastAsia" w:ascii="宋体" w:hAnsi="宋体"/>
                <w:sz w:val="18"/>
                <w:szCs w:val="18"/>
              </w:rPr>
              <w:t>号</w:t>
            </w:r>
          </w:p>
        </w:tc>
      </w:tr>
      <w:tr>
        <w:tblPrEx>
          <w:tblCellMar>
            <w:top w:w="0" w:type="dxa"/>
            <w:left w:w="108" w:type="dxa"/>
            <w:bottom w:w="0" w:type="dxa"/>
            <w:right w:w="108" w:type="dxa"/>
          </w:tblCellMar>
        </w:tblPrEx>
        <w:trPr>
          <w:trHeight w:val="227" w:hRule="exact"/>
        </w:trPr>
        <w:tc>
          <w:tcPr>
            <w:tcW w:w="2678" w:type="dxa"/>
            <w:noWrap w:val="0"/>
            <w:tcMar>
              <w:left w:w="0" w:type="dxa"/>
              <w:right w:w="0" w:type="dxa"/>
            </w:tcMar>
            <w:vAlign w:val="top"/>
          </w:tcPr>
          <w:p>
            <w:pPr>
              <w:spacing w:line="240" w:lineRule="exact"/>
              <w:rPr>
                <w:rFonts w:ascii="宋体"/>
                <w:sz w:val="32"/>
                <w:szCs w:val="32"/>
              </w:rPr>
            </w:pPr>
            <w:r>
              <w:rPr>
                <w:rFonts w:hint="eastAsia" w:ascii="宋体" w:hAnsi="宋体" w:cs="宋体"/>
                <w:sz w:val="18"/>
                <w:szCs w:val="18"/>
              </w:rPr>
              <w:t>单位详细名称：</w:t>
            </w:r>
          </w:p>
        </w:tc>
        <w:tc>
          <w:tcPr>
            <w:tcW w:w="1062" w:type="dxa"/>
            <w:noWrap w:val="0"/>
            <w:tcMar>
              <w:left w:w="0" w:type="dxa"/>
              <w:right w:w="0" w:type="dxa"/>
            </w:tcMar>
            <w:vAlign w:val="top"/>
          </w:tcPr>
          <w:p>
            <w:pPr>
              <w:spacing w:line="240" w:lineRule="exact"/>
              <w:jc w:val="center"/>
              <w:rPr>
                <w:rFonts w:ascii="宋体"/>
                <w:sz w:val="32"/>
                <w:szCs w:val="32"/>
              </w:rPr>
            </w:pPr>
          </w:p>
        </w:tc>
        <w:tc>
          <w:tcPr>
            <w:tcW w:w="2781" w:type="dxa"/>
            <w:noWrap w:val="0"/>
            <w:tcMar>
              <w:left w:w="0" w:type="dxa"/>
              <w:right w:w="0" w:type="dxa"/>
            </w:tcMar>
            <w:vAlign w:val="top"/>
          </w:tcPr>
          <w:p>
            <w:pPr>
              <w:spacing w:line="240" w:lineRule="exact"/>
              <w:ind w:firstLine="450" w:firstLineChars="250"/>
              <w:rPr>
                <w:rFonts w:ascii="宋体" w:hAnsi="宋体"/>
                <w:sz w:val="18"/>
                <w:szCs w:val="18"/>
              </w:rPr>
            </w:pPr>
            <w:r>
              <w:rPr>
                <w:rFonts w:hint="eastAsia" w:ascii="宋体" w:hAnsi="宋体"/>
                <w:sz w:val="18"/>
                <w:szCs w:val="18"/>
              </w:rPr>
              <w:t>２０２</w:t>
            </w:r>
            <w:r>
              <w:rPr>
                <w:rFonts w:hint="eastAsia" w:ascii="宋体" w:hAnsi="宋体"/>
                <w:sz w:val="18"/>
                <w:szCs w:val="18"/>
                <w:lang w:val="en-US" w:eastAsia="zh-CN"/>
              </w:rPr>
              <w:t>5</w:t>
            </w:r>
            <w:r>
              <w:rPr>
                <w:rFonts w:ascii="宋体" w:hAnsi="宋体"/>
                <w:sz w:val="18"/>
                <w:szCs w:val="18"/>
              </w:rPr>
              <w:t xml:space="preserve"> </w:t>
            </w:r>
            <w:r>
              <w:rPr>
                <w:rFonts w:hint="eastAsia" w:ascii="宋体" w:hAnsi="宋体"/>
                <w:sz w:val="18"/>
                <w:szCs w:val="18"/>
              </w:rPr>
              <w:t>年</w:t>
            </w:r>
            <w:r>
              <w:rPr>
                <w:rFonts w:ascii="宋体" w:hAnsi="宋体"/>
                <w:sz w:val="18"/>
                <w:szCs w:val="18"/>
              </w:rPr>
              <w:t xml:space="preserve">   </w:t>
            </w:r>
          </w:p>
        </w:tc>
        <w:tc>
          <w:tcPr>
            <w:tcW w:w="1082" w:type="dxa"/>
            <w:noWrap w:val="0"/>
            <w:tcMar>
              <w:left w:w="0" w:type="dxa"/>
              <w:right w:w="0" w:type="dxa"/>
            </w:tcMar>
            <w:vAlign w:val="center"/>
          </w:tcPr>
          <w:p>
            <w:pPr>
              <w:spacing w:line="200" w:lineRule="exact"/>
              <w:ind w:left="-105" w:leftChars="-50" w:right="-52" w:rightChars="-25"/>
              <w:jc w:val="right"/>
              <w:rPr>
                <w:rFonts w:ascii="宋体"/>
                <w:sz w:val="32"/>
                <w:szCs w:val="32"/>
              </w:rPr>
            </w:pPr>
            <w:r>
              <w:rPr>
                <w:rFonts w:hint="eastAsia" w:ascii="宋体" w:hAnsi="宋体"/>
                <w:sz w:val="18"/>
                <w:szCs w:val="18"/>
              </w:rPr>
              <w:t>有效期至：</w:t>
            </w:r>
          </w:p>
        </w:tc>
        <w:tc>
          <w:tcPr>
            <w:tcW w:w="1914" w:type="dxa"/>
            <w:noWrap w:val="0"/>
            <w:tcMar>
              <w:left w:w="0" w:type="dxa"/>
              <w:right w:w="0" w:type="dxa"/>
            </w:tcMar>
            <w:vAlign w:val="center"/>
          </w:tcPr>
          <w:p>
            <w:pPr>
              <w:spacing w:line="200" w:lineRule="exact"/>
              <w:jc w:val="distribute"/>
              <w:rPr>
                <w:rFonts w:ascii="宋体"/>
                <w:sz w:val="32"/>
                <w:szCs w:val="32"/>
              </w:rPr>
            </w:pPr>
            <w:r>
              <w:rPr>
                <w:rFonts w:hint="eastAsia" w:ascii="宋体" w:hAnsi="宋体"/>
                <w:sz w:val="18"/>
                <w:szCs w:val="18"/>
              </w:rPr>
              <w:t>２０２</w:t>
            </w:r>
            <w:r>
              <w:rPr>
                <w:rFonts w:hint="eastAsia" w:ascii="宋体" w:hAnsi="宋体"/>
                <w:sz w:val="18"/>
                <w:szCs w:val="18"/>
                <w:lang w:val="en-US" w:eastAsia="zh-CN"/>
              </w:rPr>
              <w:t>6</w:t>
            </w:r>
            <w:r>
              <w:rPr>
                <w:rFonts w:hint="eastAsia" w:ascii="宋体" w:hAnsi="宋体"/>
                <w:sz w:val="18"/>
                <w:szCs w:val="18"/>
              </w:rPr>
              <w:t>年６月</w:t>
            </w:r>
          </w:p>
        </w:tc>
      </w:tr>
    </w:tbl>
    <w:p>
      <w:pPr>
        <w:snapToGrid w:val="0"/>
        <w:spacing w:line="40" w:lineRule="exact"/>
        <w:rPr>
          <w:vanish/>
        </w:rPr>
      </w:pPr>
    </w:p>
    <w:tbl>
      <w:tblPr>
        <w:tblStyle w:val="17"/>
        <w:tblW w:w="9534"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2534"/>
        <w:gridCol w:w="651"/>
        <w:gridCol w:w="652"/>
        <w:gridCol w:w="572"/>
        <w:gridCol w:w="3527"/>
        <w:gridCol w:w="574"/>
        <w:gridCol w:w="576"/>
        <w:gridCol w:w="448"/>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534" w:type="dxa"/>
            <w:tcBorders>
              <w:top w:val="single" w:color="auto" w:sz="8" w:space="0"/>
            </w:tcBorders>
            <w:noWrap w:val="0"/>
            <w:vAlign w:val="center"/>
          </w:tcPr>
          <w:p>
            <w:pPr>
              <w:spacing w:line="240" w:lineRule="exact"/>
              <w:jc w:val="center"/>
              <w:rPr>
                <w:rFonts w:ascii="宋体" w:cs="宋体"/>
                <w:sz w:val="18"/>
                <w:szCs w:val="18"/>
              </w:rPr>
            </w:pPr>
            <w:r>
              <w:rPr>
                <w:rFonts w:hint="eastAsia" w:ascii="宋体" w:hAnsi="宋体" w:cs="宋体"/>
                <w:sz w:val="18"/>
                <w:szCs w:val="18"/>
              </w:rPr>
              <w:t>指标名称</w:t>
            </w:r>
          </w:p>
        </w:tc>
        <w:tc>
          <w:tcPr>
            <w:tcW w:w="651" w:type="dxa"/>
            <w:tcBorders>
              <w:top w:val="single" w:color="auto" w:sz="8" w:space="0"/>
            </w:tcBorders>
            <w:noWrap w:val="0"/>
            <w:vAlign w:val="center"/>
          </w:tcPr>
          <w:p>
            <w:pPr>
              <w:spacing w:line="240" w:lineRule="exact"/>
              <w:jc w:val="center"/>
              <w:rPr>
                <w:rFonts w:hint="eastAsia" w:ascii="宋体" w:cs="宋体"/>
                <w:sz w:val="18"/>
                <w:szCs w:val="18"/>
              </w:rPr>
            </w:pPr>
            <w:r>
              <w:rPr>
                <w:rFonts w:hint="eastAsia" w:ascii="宋体" w:cs="宋体"/>
                <w:sz w:val="18"/>
                <w:szCs w:val="18"/>
              </w:rPr>
              <w:t>计量</w:t>
            </w:r>
          </w:p>
          <w:p>
            <w:pPr>
              <w:spacing w:line="240" w:lineRule="exact"/>
              <w:jc w:val="center"/>
              <w:rPr>
                <w:rFonts w:ascii="宋体" w:cs="宋体"/>
                <w:sz w:val="18"/>
                <w:szCs w:val="18"/>
              </w:rPr>
            </w:pPr>
            <w:r>
              <w:rPr>
                <w:rFonts w:hint="eastAsia" w:ascii="宋体" w:cs="宋体"/>
                <w:sz w:val="18"/>
                <w:szCs w:val="18"/>
              </w:rPr>
              <w:t>单位</w:t>
            </w:r>
          </w:p>
        </w:tc>
        <w:tc>
          <w:tcPr>
            <w:tcW w:w="652" w:type="dxa"/>
            <w:tcBorders>
              <w:top w:val="single" w:color="auto" w:sz="8" w:space="0"/>
            </w:tcBorders>
            <w:noWrap w:val="0"/>
            <w:vAlign w:val="center"/>
          </w:tcPr>
          <w:p>
            <w:pPr>
              <w:spacing w:line="240" w:lineRule="exact"/>
              <w:jc w:val="center"/>
              <w:rPr>
                <w:rFonts w:ascii="宋体" w:cs="宋体"/>
                <w:sz w:val="18"/>
                <w:szCs w:val="18"/>
              </w:rPr>
            </w:pPr>
            <w:r>
              <w:rPr>
                <w:rFonts w:hint="eastAsia" w:ascii="宋体" w:hAnsi="宋体" w:cs="宋体"/>
                <w:sz w:val="18"/>
                <w:szCs w:val="18"/>
              </w:rPr>
              <w:t>代码</w:t>
            </w:r>
          </w:p>
        </w:tc>
        <w:tc>
          <w:tcPr>
            <w:tcW w:w="572" w:type="dxa"/>
            <w:tcBorders>
              <w:top w:val="single" w:color="auto" w:sz="8" w:space="0"/>
              <w:right w:val="double" w:color="auto" w:sz="4" w:space="0"/>
            </w:tcBorders>
            <w:noWrap w:val="0"/>
            <w:vAlign w:val="center"/>
          </w:tcPr>
          <w:p>
            <w:pPr>
              <w:spacing w:line="240" w:lineRule="exact"/>
              <w:ind w:left="-105" w:leftChars="-50" w:right="-105" w:rightChars="-50"/>
              <w:jc w:val="center"/>
              <w:rPr>
                <w:rFonts w:ascii="宋体" w:cs="宋体"/>
                <w:sz w:val="18"/>
                <w:szCs w:val="18"/>
              </w:rPr>
            </w:pPr>
            <w:r>
              <w:rPr>
                <w:rFonts w:hint="eastAsia" w:ascii="宋体" w:hAnsi="宋体" w:cs="宋体"/>
                <w:sz w:val="18"/>
                <w:szCs w:val="18"/>
              </w:rPr>
              <w:t>本年</w:t>
            </w:r>
          </w:p>
        </w:tc>
        <w:tc>
          <w:tcPr>
            <w:tcW w:w="3527" w:type="dxa"/>
            <w:tcBorders>
              <w:top w:val="single" w:color="auto" w:sz="8" w:space="0"/>
              <w:left w:val="double" w:color="auto" w:sz="4" w:space="0"/>
            </w:tcBorders>
            <w:noWrap w:val="0"/>
            <w:vAlign w:val="center"/>
          </w:tcPr>
          <w:p>
            <w:pPr>
              <w:spacing w:line="240" w:lineRule="exact"/>
              <w:jc w:val="center"/>
              <w:rPr>
                <w:rFonts w:ascii="宋体" w:cs="宋体"/>
                <w:sz w:val="18"/>
                <w:szCs w:val="18"/>
              </w:rPr>
            </w:pPr>
            <w:r>
              <w:rPr>
                <w:rFonts w:hint="eastAsia" w:ascii="宋体" w:hAnsi="宋体" w:cs="宋体"/>
                <w:sz w:val="18"/>
                <w:szCs w:val="18"/>
              </w:rPr>
              <w:t>指标名称</w:t>
            </w:r>
          </w:p>
        </w:tc>
        <w:tc>
          <w:tcPr>
            <w:tcW w:w="574" w:type="dxa"/>
            <w:tcBorders>
              <w:top w:val="single" w:color="auto" w:sz="8" w:space="0"/>
            </w:tcBorders>
            <w:noWrap w:val="0"/>
            <w:vAlign w:val="center"/>
          </w:tcPr>
          <w:p>
            <w:pPr>
              <w:spacing w:line="240" w:lineRule="exact"/>
              <w:ind w:left="-105" w:leftChars="-50" w:right="-105" w:rightChars="-50"/>
              <w:jc w:val="center"/>
              <w:rPr>
                <w:rFonts w:ascii="宋体" w:cs="宋体"/>
                <w:sz w:val="18"/>
                <w:szCs w:val="18"/>
              </w:rPr>
            </w:pPr>
            <w:r>
              <w:rPr>
                <w:rFonts w:hint="eastAsia" w:ascii="宋体" w:cs="宋体"/>
                <w:sz w:val="18"/>
                <w:szCs w:val="18"/>
              </w:rPr>
              <w:t>计量</w:t>
            </w:r>
          </w:p>
          <w:p>
            <w:pPr>
              <w:spacing w:line="240" w:lineRule="exact"/>
              <w:ind w:left="-105" w:leftChars="-50" w:right="-105" w:rightChars="-50"/>
              <w:jc w:val="center"/>
              <w:rPr>
                <w:rFonts w:ascii="宋体" w:cs="宋体"/>
                <w:sz w:val="18"/>
                <w:szCs w:val="18"/>
              </w:rPr>
            </w:pPr>
            <w:r>
              <w:rPr>
                <w:rFonts w:hint="eastAsia" w:ascii="宋体" w:cs="宋体"/>
                <w:sz w:val="18"/>
                <w:szCs w:val="18"/>
              </w:rPr>
              <w:t>单位</w:t>
            </w:r>
          </w:p>
        </w:tc>
        <w:tc>
          <w:tcPr>
            <w:tcW w:w="576" w:type="dxa"/>
            <w:tcBorders>
              <w:top w:val="single" w:color="auto" w:sz="8" w:space="0"/>
            </w:tcBorders>
            <w:noWrap w:val="0"/>
            <w:vAlign w:val="center"/>
          </w:tcPr>
          <w:p>
            <w:pPr>
              <w:spacing w:line="240" w:lineRule="exact"/>
              <w:ind w:left="-105" w:leftChars="-50" w:right="-105" w:rightChars="-50"/>
              <w:jc w:val="center"/>
              <w:rPr>
                <w:rFonts w:ascii="宋体" w:cs="宋体"/>
                <w:sz w:val="18"/>
                <w:szCs w:val="18"/>
              </w:rPr>
            </w:pPr>
            <w:r>
              <w:rPr>
                <w:rFonts w:hint="eastAsia" w:ascii="宋体" w:hAnsi="宋体" w:cs="宋体"/>
                <w:sz w:val="18"/>
                <w:szCs w:val="18"/>
              </w:rPr>
              <w:t>代码</w:t>
            </w:r>
          </w:p>
        </w:tc>
        <w:tc>
          <w:tcPr>
            <w:tcW w:w="448" w:type="dxa"/>
            <w:tcBorders>
              <w:top w:val="single" w:color="auto" w:sz="8" w:space="0"/>
            </w:tcBorders>
            <w:noWrap w:val="0"/>
            <w:vAlign w:val="center"/>
          </w:tcPr>
          <w:p>
            <w:pPr>
              <w:spacing w:line="240" w:lineRule="exact"/>
              <w:ind w:left="-105" w:leftChars="-50" w:right="-105" w:rightChars="-50"/>
              <w:jc w:val="center"/>
              <w:rPr>
                <w:rFonts w:ascii="宋体" w:cs="宋体"/>
                <w:sz w:val="18"/>
                <w:szCs w:val="18"/>
              </w:rPr>
            </w:pPr>
            <w:r>
              <w:rPr>
                <w:rFonts w:hint="eastAsia" w:ascii="宋体" w:hAnsi="宋体" w:cs="宋体"/>
                <w:sz w:val="18"/>
                <w:szCs w:val="18"/>
              </w:rPr>
              <w:t>本年</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534" w:type="dxa"/>
            <w:noWrap w:val="0"/>
            <w:vAlign w:val="center"/>
          </w:tcPr>
          <w:p>
            <w:pPr>
              <w:spacing w:line="240" w:lineRule="exact"/>
              <w:jc w:val="center"/>
              <w:rPr>
                <w:rFonts w:ascii="宋体" w:cs="宋体"/>
                <w:sz w:val="18"/>
                <w:szCs w:val="18"/>
              </w:rPr>
            </w:pPr>
            <w:r>
              <w:rPr>
                <w:rFonts w:hint="eastAsia" w:ascii="宋体" w:hAnsi="宋体" w:cs="宋体"/>
                <w:sz w:val="18"/>
                <w:szCs w:val="18"/>
              </w:rPr>
              <w:t>甲</w:t>
            </w:r>
          </w:p>
        </w:tc>
        <w:tc>
          <w:tcPr>
            <w:tcW w:w="651" w:type="dxa"/>
            <w:noWrap w:val="0"/>
            <w:vAlign w:val="center"/>
          </w:tcPr>
          <w:p>
            <w:pPr>
              <w:spacing w:line="240" w:lineRule="exact"/>
              <w:jc w:val="center"/>
              <w:rPr>
                <w:rFonts w:ascii="宋体" w:cs="宋体"/>
                <w:sz w:val="18"/>
                <w:szCs w:val="18"/>
              </w:rPr>
            </w:pPr>
            <w:r>
              <w:rPr>
                <w:rFonts w:hint="eastAsia" w:ascii="宋体" w:hAnsi="宋体" w:cs="宋体"/>
                <w:sz w:val="18"/>
                <w:szCs w:val="18"/>
              </w:rPr>
              <w:t>乙</w:t>
            </w:r>
          </w:p>
        </w:tc>
        <w:tc>
          <w:tcPr>
            <w:tcW w:w="652" w:type="dxa"/>
            <w:noWrap w:val="0"/>
            <w:vAlign w:val="center"/>
          </w:tcPr>
          <w:p>
            <w:pPr>
              <w:spacing w:line="240" w:lineRule="exact"/>
              <w:jc w:val="center"/>
              <w:rPr>
                <w:rFonts w:ascii="宋体" w:cs="宋体"/>
                <w:sz w:val="18"/>
                <w:szCs w:val="18"/>
              </w:rPr>
            </w:pPr>
            <w:r>
              <w:rPr>
                <w:rFonts w:hint="eastAsia" w:ascii="宋体" w:hAnsi="宋体" w:cs="宋体"/>
                <w:sz w:val="18"/>
                <w:szCs w:val="18"/>
              </w:rPr>
              <w:t>丙</w:t>
            </w:r>
          </w:p>
        </w:tc>
        <w:tc>
          <w:tcPr>
            <w:tcW w:w="572" w:type="dxa"/>
            <w:tcBorders>
              <w:right w:val="double" w:color="auto" w:sz="4" w:space="0"/>
            </w:tcBorders>
            <w:noWrap w:val="0"/>
            <w:vAlign w:val="center"/>
          </w:tcPr>
          <w:p>
            <w:pPr>
              <w:spacing w:line="240" w:lineRule="exact"/>
              <w:jc w:val="center"/>
              <w:rPr>
                <w:rFonts w:ascii="宋体" w:cs="宋体"/>
                <w:sz w:val="18"/>
                <w:szCs w:val="18"/>
              </w:rPr>
            </w:pPr>
            <w:r>
              <w:rPr>
                <w:rFonts w:ascii="宋体" w:hAnsi="宋体" w:cs="宋体"/>
                <w:sz w:val="18"/>
                <w:szCs w:val="18"/>
              </w:rPr>
              <w:t>1</w:t>
            </w:r>
          </w:p>
        </w:tc>
        <w:tc>
          <w:tcPr>
            <w:tcW w:w="3527" w:type="dxa"/>
            <w:tcBorders>
              <w:left w:val="double" w:color="auto" w:sz="4" w:space="0"/>
            </w:tcBorders>
            <w:noWrap w:val="0"/>
            <w:vAlign w:val="center"/>
          </w:tcPr>
          <w:p>
            <w:pPr>
              <w:spacing w:line="240" w:lineRule="exact"/>
              <w:jc w:val="center"/>
              <w:rPr>
                <w:rFonts w:ascii="宋体" w:cs="宋体"/>
                <w:sz w:val="18"/>
                <w:szCs w:val="18"/>
              </w:rPr>
            </w:pPr>
            <w:r>
              <w:rPr>
                <w:rFonts w:hint="eastAsia" w:ascii="宋体" w:hAnsi="宋体" w:cs="宋体"/>
                <w:sz w:val="18"/>
                <w:szCs w:val="18"/>
              </w:rPr>
              <w:t>甲</w:t>
            </w:r>
          </w:p>
        </w:tc>
        <w:tc>
          <w:tcPr>
            <w:tcW w:w="574" w:type="dxa"/>
            <w:noWrap w:val="0"/>
            <w:vAlign w:val="center"/>
          </w:tcPr>
          <w:p>
            <w:pPr>
              <w:spacing w:line="240" w:lineRule="exact"/>
              <w:ind w:left="-105" w:leftChars="-50" w:right="-105" w:rightChars="-50"/>
              <w:jc w:val="center"/>
              <w:rPr>
                <w:rFonts w:ascii="宋体" w:cs="宋体"/>
                <w:sz w:val="18"/>
                <w:szCs w:val="18"/>
              </w:rPr>
            </w:pPr>
            <w:r>
              <w:rPr>
                <w:rFonts w:hint="eastAsia" w:ascii="宋体" w:hAnsi="宋体" w:cs="宋体"/>
                <w:sz w:val="18"/>
                <w:szCs w:val="18"/>
              </w:rPr>
              <w:t>乙</w:t>
            </w:r>
          </w:p>
        </w:tc>
        <w:tc>
          <w:tcPr>
            <w:tcW w:w="576" w:type="dxa"/>
            <w:noWrap w:val="0"/>
            <w:vAlign w:val="center"/>
          </w:tcPr>
          <w:p>
            <w:pPr>
              <w:spacing w:line="240" w:lineRule="exact"/>
              <w:ind w:left="-105" w:leftChars="-50" w:right="-105" w:rightChars="-50"/>
              <w:jc w:val="center"/>
              <w:rPr>
                <w:rFonts w:ascii="宋体" w:cs="宋体"/>
                <w:sz w:val="18"/>
                <w:szCs w:val="18"/>
              </w:rPr>
            </w:pPr>
            <w:r>
              <w:rPr>
                <w:rFonts w:hint="eastAsia" w:ascii="宋体" w:hAnsi="宋体" w:cs="宋体"/>
                <w:sz w:val="18"/>
                <w:szCs w:val="18"/>
              </w:rPr>
              <w:t>丙</w:t>
            </w:r>
          </w:p>
        </w:tc>
        <w:tc>
          <w:tcPr>
            <w:tcW w:w="448" w:type="dxa"/>
            <w:noWrap w:val="0"/>
            <w:vAlign w:val="center"/>
          </w:tcPr>
          <w:p>
            <w:pPr>
              <w:spacing w:line="240" w:lineRule="exact"/>
              <w:ind w:left="-105" w:leftChars="-50" w:right="-105" w:rightChars="-50"/>
              <w:jc w:val="center"/>
              <w:rPr>
                <w:rFonts w:ascii="宋体" w:cs="宋体"/>
                <w:sz w:val="18"/>
                <w:szCs w:val="18"/>
              </w:rPr>
            </w:pPr>
            <w:r>
              <w:rPr>
                <w:rFonts w:ascii="宋体" w:hAnsi="宋体" w:cs="宋体"/>
                <w:sz w:val="18"/>
                <w:szCs w:val="18"/>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9627" w:hRule="atLeast"/>
          <w:jc w:val="center"/>
        </w:trPr>
        <w:tc>
          <w:tcPr>
            <w:tcW w:w="2534" w:type="dxa"/>
            <w:tcBorders>
              <w:bottom w:val="single" w:color="auto" w:sz="8" w:space="0"/>
            </w:tcBorders>
            <w:noWrap w:val="0"/>
            <w:vAlign w:val="top"/>
          </w:tcPr>
          <w:p>
            <w:pPr>
              <w:snapToGrid w:val="0"/>
              <w:spacing w:line="240" w:lineRule="exact"/>
              <w:ind w:left="-178" w:leftChars="-85" w:firstLine="180" w:firstLineChars="100"/>
              <w:rPr>
                <w:rFonts w:ascii="宋体"/>
                <w:sz w:val="18"/>
                <w:szCs w:val="18"/>
              </w:rPr>
            </w:pPr>
            <w:r>
              <w:rPr>
                <w:rFonts w:hint="eastAsia" w:ascii="宋体" w:cs="宋体"/>
                <w:sz w:val="18"/>
                <w:szCs w:val="18"/>
              </w:rPr>
              <w:t>一、年初存货</w:t>
            </w:r>
          </w:p>
          <w:p>
            <w:pPr>
              <w:snapToGrid w:val="0"/>
              <w:spacing w:line="240" w:lineRule="exact"/>
              <w:ind w:firstLine="540" w:firstLineChars="300"/>
              <w:rPr>
                <w:rFonts w:ascii="宋体" w:cs="宋体"/>
                <w:sz w:val="18"/>
                <w:szCs w:val="18"/>
              </w:rPr>
            </w:pPr>
            <w:r>
              <w:rPr>
                <w:rFonts w:hint="eastAsia" w:ascii="宋体" w:cs="宋体"/>
                <w:sz w:val="18"/>
                <w:szCs w:val="18"/>
              </w:rPr>
              <w:t>其中：产成品</w:t>
            </w:r>
          </w:p>
          <w:p>
            <w:pPr>
              <w:snapToGrid w:val="0"/>
              <w:spacing w:line="240" w:lineRule="exact"/>
              <w:ind w:left="-178" w:leftChars="-85" w:firstLine="180" w:firstLineChars="100"/>
              <w:rPr>
                <w:rFonts w:ascii="宋体" w:cs="宋体"/>
                <w:sz w:val="18"/>
                <w:szCs w:val="18"/>
              </w:rPr>
            </w:pPr>
            <w:r>
              <w:rPr>
                <w:rFonts w:hint="eastAsia" w:ascii="宋体" w:cs="宋体"/>
                <w:sz w:val="18"/>
                <w:szCs w:val="18"/>
              </w:rPr>
              <w:t>二、期末资产负债</w:t>
            </w:r>
          </w:p>
          <w:p>
            <w:pPr>
              <w:snapToGrid w:val="0"/>
              <w:spacing w:line="240" w:lineRule="exact"/>
              <w:ind w:firstLine="360" w:firstLineChars="200"/>
              <w:rPr>
                <w:rFonts w:ascii="宋体"/>
                <w:sz w:val="18"/>
                <w:szCs w:val="18"/>
                <w:highlight w:val="lightGray"/>
              </w:rPr>
            </w:pPr>
            <w:r>
              <w:rPr>
                <w:rFonts w:hint="eastAsia" w:ascii="宋体" w:cs="宋体"/>
                <w:sz w:val="18"/>
                <w:szCs w:val="18"/>
                <w:highlight w:val="lightGray"/>
              </w:rPr>
              <w:t>流动资产合计</w:t>
            </w:r>
          </w:p>
          <w:p>
            <w:pPr>
              <w:snapToGrid w:val="0"/>
              <w:spacing w:line="240" w:lineRule="exact"/>
              <w:ind w:firstLine="540" w:firstLineChars="300"/>
              <w:rPr>
                <w:rFonts w:ascii="宋体"/>
                <w:sz w:val="18"/>
                <w:szCs w:val="18"/>
                <w:highlight w:val="lightGray"/>
              </w:rPr>
            </w:pPr>
            <w:r>
              <w:rPr>
                <w:rFonts w:hint="eastAsia" w:ascii="宋体" w:cs="宋体"/>
                <w:sz w:val="18"/>
                <w:szCs w:val="18"/>
                <w:highlight w:val="lightGray"/>
              </w:rPr>
              <w:t>其中：应收账款</w:t>
            </w:r>
          </w:p>
          <w:p>
            <w:pPr>
              <w:snapToGrid w:val="0"/>
              <w:spacing w:line="240" w:lineRule="exact"/>
              <w:ind w:firstLine="540" w:firstLineChars="300"/>
              <w:rPr>
                <w:rFonts w:ascii="宋体" w:cs="宋体"/>
                <w:sz w:val="18"/>
                <w:szCs w:val="18"/>
                <w:highlight w:val="lightGray"/>
              </w:rPr>
            </w:pPr>
            <w:r>
              <w:rPr>
                <w:rFonts w:ascii="宋体" w:cs="宋体"/>
                <w:sz w:val="18"/>
                <w:szCs w:val="18"/>
                <w:highlight w:val="lightGray"/>
              </w:rPr>
              <w:t xml:space="preserve">      </w:t>
            </w:r>
            <w:r>
              <w:rPr>
                <w:rFonts w:hint="eastAsia" w:ascii="宋体" w:cs="宋体"/>
                <w:sz w:val="18"/>
                <w:szCs w:val="18"/>
                <w:highlight w:val="lightGray"/>
              </w:rPr>
              <w:t>存货</w:t>
            </w:r>
          </w:p>
          <w:p>
            <w:pPr>
              <w:snapToGrid w:val="0"/>
              <w:spacing w:line="240" w:lineRule="exact"/>
              <w:ind w:firstLine="1260" w:firstLineChars="700"/>
              <w:rPr>
                <w:rFonts w:ascii="宋体" w:cs="宋体"/>
                <w:sz w:val="18"/>
                <w:szCs w:val="18"/>
              </w:rPr>
            </w:pPr>
            <w:r>
              <w:rPr>
                <w:rFonts w:hint="eastAsia" w:ascii="宋体" w:cs="宋体"/>
                <w:sz w:val="18"/>
                <w:szCs w:val="18"/>
                <w:highlight w:val="lightGray"/>
              </w:rPr>
              <w:t>其中：产成品</w:t>
            </w:r>
          </w:p>
          <w:p>
            <w:pPr>
              <w:snapToGrid w:val="0"/>
              <w:spacing w:line="240" w:lineRule="exact"/>
              <w:rPr>
                <w:rFonts w:ascii="宋体" w:cs="宋体"/>
                <w:sz w:val="18"/>
                <w:szCs w:val="18"/>
              </w:rPr>
            </w:pPr>
            <w:r>
              <w:rPr>
                <w:rFonts w:ascii="宋体" w:cs="宋体"/>
                <w:sz w:val="18"/>
                <w:szCs w:val="18"/>
              </w:rPr>
              <w:t xml:space="preserve">    </w:t>
            </w:r>
            <w:r>
              <w:rPr>
                <w:rFonts w:hint="eastAsia" w:ascii="宋体" w:cs="宋体"/>
                <w:sz w:val="18"/>
                <w:szCs w:val="18"/>
              </w:rPr>
              <w:t>长期股权投资</w:t>
            </w:r>
          </w:p>
          <w:p>
            <w:pPr>
              <w:snapToGrid w:val="0"/>
              <w:spacing w:line="240" w:lineRule="exact"/>
              <w:ind w:firstLine="360" w:firstLineChars="200"/>
              <w:rPr>
                <w:rFonts w:ascii="宋体" w:cs="宋体"/>
                <w:sz w:val="18"/>
                <w:szCs w:val="18"/>
                <w:highlight w:val="lightGray"/>
              </w:rPr>
            </w:pPr>
            <w:r>
              <w:rPr>
                <w:rFonts w:hint="eastAsia" w:ascii="宋体" w:cs="宋体"/>
                <w:sz w:val="18"/>
                <w:szCs w:val="18"/>
                <w:highlight w:val="lightGray"/>
              </w:rPr>
              <w:t>固定资产原价</w:t>
            </w:r>
          </w:p>
          <w:p>
            <w:pPr>
              <w:snapToGrid w:val="0"/>
              <w:spacing w:line="240" w:lineRule="exact"/>
              <w:ind w:firstLine="360" w:firstLineChars="200"/>
              <w:rPr>
                <w:rFonts w:ascii="宋体" w:cs="宋体"/>
                <w:sz w:val="18"/>
                <w:szCs w:val="18"/>
              </w:rPr>
            </w:pPr>
            <w:r>
              <w:rPr>
                <w:rFonts w:ascii="宋体" w:cs="宋体"/>
                <w:sz w:val="18"/>
                <w:szCs w:val="18"/>
              </w:rPr>
              <w:t xml:space="preserve">  </w:t>
            </w:r>
            <w:r>
              <w:rPr>
                <w:rFonts w:hint="eastAsia" w:ascii="宋体" w:cs="宋体"/>
                <w:sz w:val="18"/>
                <w:szCs w:val="18"/>
              </w:rPr>
              <w:t>其中：房屋和构筑物</w:t>
            </w:r>
          </w:p>
          <w:p>
            <w:pPr>
              <w:snapToGrid w:val="0"/>
              <w:spacing w:line="240" w:lineRule="exact"/>
              <w:ind w:firstLine="360" w:firstLineChars="200"/>
              <w:rPr>
                <w:rFonts w:ascii="宋体" w:cs="宋体"/>
                <w:sz w:val="18"/>
                <w:szCs w:val="18"/>
              </w:rPr>
            </w:pPr>
            <w:r>
              <w:rPr>
                <w:rFonts w:ascii="宋体" w:cs="宋体"/>
                <w:sz w:val="18"/>
                <w:szCs w:val="18"/>
              </w:rPr>
              <w:t xml:space="preserve">        </w:t>
            </w:r>
            <w:r>
              <w:rPr>
                <w:rFonts w:hint="eastAsia" w:ascii="宋体" w:cs="宋体"/>
                <w:sz w:val="18"/>
                <w:szCs w:val="18"/>
              </w:rPr>
              <w:t>机器设备</w:t>
            </w:r>
            <w:r>
              <w:rPr>
                <w:rFonts w:ascii="宋体" w:cs="宋体"/>
                <w:sz w:val="18"/>
                <w:szCs w:val="18"/>
              </w:rPr>
              <w:t xml:space="preserve">    </w:t>
            </w:r>
          </w:p>
          <w:p>
            <w:pPr>
              <w:snapToGrid w:val="0"/>
              <w:spacing w:line="240" w:lineRule="exact"/>
              <w:ind w:firstLine="360" w:firstLineChars="200"/>
              <w:rPr>
                <w:rFonts w:ascii="宋体" w:cs="宋体"/>
                <w:sz w:val="18"/>
                <w:szCs w:val="18"/>
              </w:rPr>
            </w:pPr>
            <w:r>
              <w:rPr>
                <w:rFonts w:hint="eastAsia" w:ascii="宋体" w:cs="宋体"/>
                <w:sz w:val="18"/>
                <w:szCs w:val="18"/>
              </w:rPr>
              <w:t>固定资产累计折旧</w:t>
            </w:r>
          </w:p>
          <w:p>
            <w:pPr>
              <w:snapToGrid w:val="0"/>
              <w:spacing w:line="240" w:lineRule="exact"/>
              <w:ind w:firstLine="540" w:firstLineChars="300"/>
              <w:rPr>
                <w:rFonts w:ascii="宋体" w:cs="宋体"/>
                <w:sz w:val="18"/>
                <w:szCs w:val="18"/>
              </w:rPr>
            </w:pPr>
            <w:r>
              <w:rPr>
                <w:rFonts w:hint="eastAsia" w:ascii="宋体" w:cs="宋体"/>
                <w:sz w:val="18"/>
                <w:szCs w:val="18"/>
              </w:rPr>
              <w:t>其中：本年折旧</w:t>
            </w:r>
          </w:p>
          <w:p>
            <w:pPr>
              <w:snapToGrid w:val="0"/>
              <w:spacing w:line="240" w:lineRule="exact"/>
              <w:ind w:firstLine="360"/>
              <w:rPr>
                <w:rFonts w:ascii="宋体" w:cs="宋体"/>
                <w:sz w:val="18"/>
                <w:szCs w:val="18"/>
              </w:rPr>
            </w:pPr>
            <w:r>
              <w:rPr>
                <w:rFonts w:hint="eastAsia" w:ascii="宋体" w:cs="宋体"/>
                <w:sz w:val="18"/>
                <w:szCs w:val="18"/>
              </w:rPr>
              <w:t>固定资产净额</w:t>
            </w:r>
          </w:p>
          <w:p>
            <w:pPr>
              <w:snapToGrid w:val="0"/>
              <w:spacing w:line="240" w:lineRule="exact"/>
              <w:ind w:firstLine="360"/>
              <w:rPr>
                <w:rFonts w:ascii="宋体" w:cs="宋体"/>
                <w:sz w:val="18"/>
                <w:szCs w:val="18"/>
              </w:rPr>
            </w:pPr>
            <w:r>
              <w:rPr>
                <w:rFonts w:hint="eastAsia" w:ascii="宋体" w:cs="宋体"/>
                <w:sz w:val="18"/>
                <w:szCs w:val="18"/>
              </w:rPr>
              <w:t>在建工程</w:t>
            </w:r>
          </w:p>
          <w:p>
            <w:pPr>
              <w:snapToGrid w:val="0"/>
              <w:spacing w:line="240" w:lineRule="exact"/>
              <w:ind w:firstLine="360"/>
              <w:rPr>
                <w:rFonts w:ascii="宋体" w:cs="宋体"/>
                <w:sz w:val="18"/>
                <w:szCs w:val="18"/>
              </w:rPr>
            </w:pPr>
            <w:r>
              <w:rPr>
                <w:rFonts w:hint="eastAsia" w:ascii="宋体" w:cs="宋体"/>
                <w:sz w:val="18"/>
                <w:szCs w:val="18"/>
              </w:rPr>
              <w:t>无形资产</w:t>
            </w:r>
          </w:p>
          <w:p>
            <w:pPr>
              <w:snapToGrid w:val="0"/>
              <w:spacing w:line="240" w:lineRule="exact"/>
              <w:ind w:firstLine="360"/>
              <w:rPr>
                <w:rFonts w:ascii="宋体" w:cs="宋体"/>
                <w:sz w:val="18"/>
                <w:szCs w:val="18"/>
              </w:rPr>
            </w:pPr>
            <w:r>
              <w:rPr>
                <w:rFonts w:ascii="宋体" w:cs="宋体"/>
                <w:sz w:val="18"/>
                <w:szCs w:val="18"/>
              </w:rPr>
              <w:t xml:space="preserve">  </w:t>
            </w:r>
            <w:r>
              <w:rPr>
                <w:rFonts w:hint="eastAsia" w:ascii="宋体" w:cs="宋体"/>
                <w:sz w:val="18"/>
                <w:szCs w:val="18"/>
              </w:rPr>
              <w:t>其中：土地使用权</w:t>
            </w:r>
          </w:p>
          <w:p>
            <w:pPr>
              <w:snapToGrid w:val="0"/>
              <w:spacing w:line="240" w:lineRule="exact"/>
              <w:ind w:firstLine="360" w:firstLineChars="200"/>
              <w:rPr>
                <w:rFonts w:ascii="宋体" w:cs="宋体"/>
                <w:sz w:val="18"/>
                <w:szCs w:val="18"/>
                <w:highlight w:val="lightGray"/>
              </w:rPr>
            </w:pPr>
            <w:r>
              <w:rPr>
                <w:rFonts w:hint="eastAsia" w:ascii="宋体" w:cs="宋体"/>
                <w:sz w:val="18"/>
                <w:szCs w:val="18"/>
                <w:highlight w:val="lightGray"/>
              </w:rPr>
              <w:t>资产总计</w:t>
            </w:r>
          </w:p>
          <w:p>
            <w:pPr>
              <w:snapToGrid w:val="0"/>
              <w:spacing w:line="240" w:lineRule="exact"/>
              <w:ind w:firstLine="360" w:firstLineChars="200"/>
              <w:rPr>
                <w:rFonts w:ascii="宋体" w:cs="宋体"/>
                <w:sz w:val="18"/>
                <w:szCs w:val="18"/>
              </w:rPr>
            </w:pPr>
            <w:r>
              <w:rPr>
                <w:rFonts w:hint="eastAsia" w:ascii="宋体" w:cs="宋体"/>
                <w:sz w:val="18"/>
                <w:szCs w:val="18"/>
              </w:rPr>
              <w:t>流动负债合计</w:t>
            </w:r>
          </w:p>
          <w:p>
            <w:pPr>
              <w:snapToGrid w:val="0"/>
              <w:spacing w:line="240" w:lineRule="exact"/>
              <w:ind w:firstLine="540" w:firstLineChars="300"/>
              <w:rPr>
                <w:rFonts w:ascii="宋体" w:cs="宋体"/>
                <w:sz w:val="18"/>
                <w:szCs w:val="18"/>
              </w:rPr>
            </w:pPr>
            <w:r>
              <w:rPr>
                <w:rFonts w:hint="eastAsia" w:ascii="宋体" w:cs="宋体"/>
                <w:sz w:val="18"/>
                <w:szCs w:val="18"/>
              </w:rPr>
              <w:t>其中：应付账款</w:t>
            </w:r>
          </w:p>
          <w:p>
            <w:pPr>
              <w:snapToGrid w:val="0"/>
              <w:spacing w:line="240" w:lineRule="exact"/>
              <w:ind w:firstLine="360" w:firstLineChars="200"/>
              <w:rPr>
                <w:rFonts w:ascii="宋体" w:cs="宋体"/>
                <w:sz w:val="18"/>
                <w:szCs w:val="18"/>
                <w:highlight w:val="lightGray"/>
              </w:rPr>
            </w:pPr>
            <w:r>
              <w:rPr>
                <w:rFonts w:hint="eastAsia" w:ascii="宋体" w:cs="宋体"/>
                <w:sz w:val="18"/>
                <w:szCs w:val="18"/>
                <w:highlight w:val="lightGray"/>
              </w:rPr>
              <w:t>负债合计</w:t>
            </w:r>
          </w:p>
          <w:p>
            <w:pPr>
              <w:snapToGrid w:val="0"/>
              <w:spacing w:line="240" w:lineRule="exact"/>
              <w:ind w:firstLine="360" w:firstLineChars="200"/>
              <w:rPr>
                <w:rFonts w:ascii="宋体" w:cs="宋体"/>
                <w:sz w:val="18"/>
                <w:szCs w:val="18"/>
              </w:rPr>
            </w:pPr>
            <w:r>
              <w:rPr>
                <w:rFonts w:hint="eastAsia" w:ascii="宋体" w:cs="宋体"/>
                <w:sz w:val="18"/>
                <w:szCs w:val="18"/>
              </w:rPr>
              <w:t>所有者权益合计</w:t>
            </w:r>
          </w:p>
          <w:p>
            <w:pPr>
              <w:snapToGrid w:val="0"/>
              <w:spacing w:line="240" w:lineRule="exact"/>
              <w:ind w:firstLine="540" w:firstLineChars="300"/>
              <w:rPr>
                <w:rFonts w:ascii="宋体" w:cs="宋体"/>
                <w:sz w:val="18"/>
                <w:szCs w:val="18"/>
              </w:rPr>
            </w:pPr>
            <w:r>
              <w:rPr>
                <w:rFonts w:hint="eastAsia" w:ascii="宋体" w:cs="宋体"/>
                <w:sz w:val="18"/>
                <w:szCs w:val="18"/>
              </w:rPr>
              <w:t>其中：实收资本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国家资本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集体资本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法人资本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个人资本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港澳台资本</w:t>
            </w:r>
          </w:p>
          <w:p>
            <w:pPr>
              <w:pStyle w:val="23"/>
              <w:widowControl w:val="0"/>
              <w:snapToGrid w:val="0"/>
              <w:spacing w:before="0" w:beforeAutospacing="0" w:after="0" w:afterAutospacing="0" w:line="240" w:lineRule="exact"/>
              <w:ind w:firstLine="1260" w:firstLineChars="700"/>
              <w:rPr>
                <w:rFonts w:ascii="宋体" w:hAnsi="Times New Roman" w:eastAsia="宋体" w:cs="Times New Roman"/>
                <w:color w:val="auto"/>
                <w:kern w:val="2"/>
              </w:rPr>
            </w:pPr>
            <w:r>
              <w:rPr>
                <w:rFonts w:hint="eastAsia" w:ascii="宋体" w:hAnsi="Times New Roman" w:eastAsia="宋体" w:cs="宋体"/>
                <w:color w:val="auto"/>
                <w:kern w:val="2"/>
              </w:rPr>
              <w:t>外商资本</w:t>
            </w:r>
          </w:p>
          <w:p>
            <w:pPr>
              <w:snapToGrid w:val="0"/>
              <w:spacing w:line="240" w:lineRule="exact"/>
              <w:ind w:left="-178" w:leftChars="-85" w:firstLine="180" w:firstLineChars="100"/>
              <w:rPr>
                <w:rFonts w:ascii="宋体" w:cs="宋体"/>
                <w:sz w:val="18"/>
                <w:szCs w:val="18"/>
              </w:rPr>
            </w:pPr>
            <w:r>
              <w:rPr>
                <w:rFonts w:hint="eastAsia" w:ascii="宋体" w:cs="宋体"/>
                <w:sz w:val="18"/>
                <w:szCs w:val="18"/>
              </w:rPr>
              <w:t>三、制造成本</w:t>
            </w:r>
          </w:p>
          <w:p>
            <w:pPr>
              <w:snapToGrid w:val="0"/>
              <w:spacing w:line="240" w:lineRule="exact"/>
              <w:ind w:firstLine="540" w:firstLineChars="300"/>
              <w:rPr>
                <w:rFonts w:ascii="宋体" w:cs="宋体"/>
                <w:sz w:val="18"/>
                <w:szCs w:val="18"/>
              </w:rPr>
            </w:pPr>
            <w:r>
              <w:rPr>
                <w:rFonts w:hint="eastAsia" w:ascii="宋体" w:cs="宋体"/>
                <w:sz w:val="18"/>
                <w:szCs w:val="18"/>
              </w:rPr>
              <w:t>其中：直接材料消耗</w:t>
            </w:r>
          </w:p>
          <w:p>
            <w:pPr>
              <w:snapToGrid w:val="0"/>
              <w:spacing w:line="240" w:lineRule="exact"/>
              <w:ind w:firstLine="720" w:firstLineChars="400"/>
              <w:rPr>
                <w:rFonts w:ascii="宋体" w:cs="宋体"/>
                <w:sz w:val="18"/>
                <w:szCs w:val="18"/>
              </w:rPr>
            </w:pPr>
            <w:r>
              <w:rPr>
                <w:rFonts w:hint="eastAsia" w:ascii="宋体" w:cs="宋体"/>
                <w:sz w:val="18"/>
                <w:szCs w:val="18"/>
              </w:rPr>
              <w:t>生产部门人员薪酬</w:t>
            </w:r>
          </w:p>
          <w:p>
            <w:pPr>
              <w:snapToGrid w:val="0"/>
              <w:spacing w:line="240" w:lineRule="exact"/>
              <w:ind w:left="-178" w:leftChars="-85" w:firstLine="180" w:firstLineChars="100"/>
              <w:rPr>
                <w:rFonts w:ascii="宋体" w:hAnsi="宋体" w:cs="宋体"/>
                <w:sz w:val="18"/>
                <w:szCs w:val="18"/>
              </w:rPr>
            </w:pPr>
            <w:r>
              <w:rPr>
                <w:rFonts w:hint="eastAsia" w:ascii="宋体" w:hAnsi="宋体" w:cs="宋体"/>
                <w:sz w:val="18"/>
                <w:szCs w:val="18"/>
              </w:rPr>
              <w:t>四、损益及分配</w:t>
            </w:r>
          </w:p>
          <w:p>
            <w:pPr>
              <w:spacing w:line="240" w:lineRule="exact"/>
              <w:ind w:firstLine="360" w:firstLineChars="200"/>
              <w:rPr>
                <w:rFonts w:ascii="宋体" w:hAnsi="宋体" w:cs="宋体"/>
                <w:sz w:val="18"/>
                <w:szCs w:val="18"/>
                <w:highlight w:val="lightGray"/>
              </w:rPr>
            </w:pPr>
            <w:r>
              <w:rPr>
                <w:rFonts w:hint="eastAsia" w:ascii="宋体" w:hAnsi="宋体" w:cs="宋体"/>
                <w:sz w:val="18"/>
                <w:szCs w:val="18"/>
                <w:highlight w:val="lightGray"/>
              </w:rPr>
              <w:t>营业收入</w:t>
            </w:r>
          </w:p>
          <w:p>
            <w:pPr>
              <w:spacing w:line="240" w:lineRule="exact"/>
              <w:ind w:firstLine="540" w:firstLineChars="300"/>
              <w:rPr>
                <w:rFonts w:hint="eastAsia" w:ascii="宋体"/>
                <w:sz w:val="18"/>
                <w:szCs w:val="18"/>
              </w:rPr>
            </w:pPr>
            <w:r>
              <w:rPr>
                <w:rFonts w:ascii="宋体" w:hAnsi="宋体" w:cs="宋体"/>
                <w:sz w:val="18"/>
                <w:szCs w:val="18"/>
              </w:rPr>
              <w:t>其中</w:t>
            </w:r>
            <w:r>
              <w:rPr>
                <w:rFonts w:hint="eastAsia" w:ascii="宋体" w:hAnsi="宋体" w:cs="宋体"/>
                <w:sz w:val="18"/>
                <w:szCs w:val="18"/>
              </w:rPr>
              <w:t>：</w:t>
            </w:r>
            <w:r>
              <w:rPr>
                <w:rFonts w:ascii="宋体" w:hAnsi="宋体" w:cs="宋体"/>
                <w:sz w:val="18"/>
                <w:szCs w:val="18"/>
              </w:rPr>
              <w:t>主营业务收入</w:t>
            </w:r>
          </w:p>
          <w:p>
            <w:pPr>
              <w:spacing w:line="240" w:lineRule="exact"/>
              <w:ind w:firstLine="360" w:firstLineChars="200"/>
              <w:rPr>
                <w:rFonts w:ascii="宋体" w:cs="宋体"/>
                <w:sz w:val="18"/>
                <w:szCs w:val="18"/>
                <w:highlight w:val="lightGray"/>
              </w:rPr>
            </w:pPr>
            <w:r>
              <w:rPr>
                <w:rFonts w:hint="eastAsia" w:ascii="宋体" w:hAnsi="宋体" w:cs="宋体"/>
                <w:sz w:val="18"/>
                <w:szCs w:val="18"/>
                <w:highlight w:val="lightGray"/>
              </w:rPr>
              <w:t>营业成本</w:t>
            </w:r>
          </w:p>
          <w:p>
            <w:pPr>
              <w:spacing w:line="240" w:lineRule="exact"/>
              <w:ind w:firstLine="360" w:firstLineChars="200"/>
              <w:jc w:val="left"/>
              <w:rPr>
                <w:rFonts w:hint="eastAsia" w:ascii="宋体" w:cs="宋体"/>
                <w:sz w:val="18"/>
                <w:szCs w:val="18"/>
                <w:highlight w:val="lightGray"/>
              </w:rPr>
            </w:pPr>
            <w:r>
              <w:rPr>
                <w:rFonts w:hint="eastAsia" w:ascii="宋体" w:hAnsi="宋体" w:cs="宋体"/>
                <w:sz w:val="18"/>
                <w:szCs w:val="18"/>
                <w:highlight w:val="lightGray"/>
              </w:rPr>
              <w:t>税金及附加</w:t>
            </w:r>
          </w:p>
          <w:p>
            <w:pPr>
              <w:snapToGrid w:val="0"/>
              <w:spacing w:line="240" w:lineRule="exact"/>
              <w:ind w:firstLine="360" w:firstLineChars="200"/>
              <w:rPr>
                <w:rFonts w:ascii="宋体" w:cs="宋体"/>
                <w:sz w:val="18"/>
                <w:szCs w:val="18"/>
                <w:highlight w:val="lightGray"/>
              </w:rPr>
            </w:pPr>
            <w:r>
              <w:rPr>
                <w:rFonts w:hint="eastAsia" w:ascii="宋体" w:cs="宋体"/>
                <w:sz w:val="18"/>
                <w:szCs w:val="18"/>
                <w:highlight w:val="lightGray"/>
              </w:rPr>
              <w:t>销售费用</w:t>
            </w:r>
          </w:p>
          <w:p>
            <w:pPr>
              <w:snapToGrid w:val="0"/>
              <w:spacing w:line="240" w:lineRule="exact"/>
              <w:ind w:firstLine="360" w:firstLineChars="200"/>
              <w:rPr>
                <w:rFonts w:ascii="宋体" w:cs="宋体"/>
                <w:sz w:val="18"/>
                <w:szCs w:val="18"/>
                <w:highlight w:val="lightGray"/>
              </w:rPr>
            </w:pPr>
            <w:r>
              <w:rPr>
                <w:rFonts w:hint="eastAsia" w:ascii="宋体" w:cs="宋体"/>
                <w:sz w:val="18"/>
                <w:szCs w:val="18"/>
                <w:highlight w:val="lightGray"/>
              </w:rPr>
              <w:t>管理费用</w:t>
            </w:r>
          </w:p>
          <w:p>
            <w:pPr>
              <w:spacing w:line="240" w:lineRule="exact"/>
              <w:ind w:firstLine="540" w:firstLineChars="300"/>
              <w:rPr>
                <w:rFonts w:ascii="宋体" w:cs="宋体"/>
                <w:sz w:val="18"/>
                <w:szCs w:val="18"/>
              </w:rPr>
            </w:pPr>
            <w:r>
              <w:rPr>
                <w:rFonts w:hint="eastAsia" w:ascii="宋体" w:hAnsi="宋体" w:cs="宋体"/>
                <w:sz w:val="18"/>
                <w:szCs w:val="18"/>
              </w:rPr>
              <w:t>其中：上交管理费</w:t>
            </w:r>
          </w:p>
          <w:p>
            <w:pPr>
              <w:spacing w:line="240" w:lineRule="exact"/>
              <w:ind w:left="1102" w:leftChars="525"/>
              <w:rPr>
                <w:rFonts w:ascii="宋体" w:cs="宋体"/>
                <w:sz w:val="18"/>
                <w:szCs w:val="18"/>
              </w:rPr>
            </w:pPr>
            <w:r>
              <w:rPr>
                <w:rFonts w:hint="eastAsia" w:ascii="宋体" w:hAnsi="宋体" w:cs="宋体"/>
                <w:sz w:val="18"/>
                <w:szCs w:val="18"/>
              </w:rPr>
              <w:t>董事会费</w:t>
            </w:r>
          </w:p>
        </w:tc>
        <w:tc>
          <w:tcPr>
            <w:tcW w:w="651" w:type="dxa"/>
            <w:tcBorders>
              <w:bottom w:val="single" w:color="auto" w:sz="8" w:space="0"/>
            </w:tcBorders>
            <w:noWrap w:val="0"/>
            <w:vAlign w:val="top"/>
          </w:tcPr>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ascii="宋体" w:cs="宋体"/>
                <w:sz w:val="18"/>
                <w:szCs w:val="18"/>
              </w:rPr>
              <w:t>—</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hAnsi="宋体" w:cs="宋体"/>
                <w:sz w:val="18"/>
                <w:szCs w:val="18"/>
              </w:rPr>
            </w:pPr>
            <w:r>
              <w:rPr>
                <w:rFonts w:ascii="宋体" w:hAnsi="宋体" w:cs="宋体"/>
                <w:sz w:val="18"/>
                <w:szCs w:val="18"/>
              </w:rPr>
              <w:t>—</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jc w:val="center"/>
              <w:rPr>
                <w:rFonts w:hint="eastAsia" w:ascii="宋体" w:hAns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p>
            <w:pPr>
              <w:snapToGrid w:val="0"/>
              <w:spacing w:line="240" w:lineRule="exact"/>
              <w:jc w:val="center"/>
              <w:rPr>
                <w:rFonts w:ascii="宋体" w:cs="宋体"/>
                <w:sz w:val="18"/>
                <w:szCs w:val="18"/>
              </w:rPr>
            </w:pPr>
            <w:r>
              <w:rPr>
                <w:rFonts w:hint="eastAsia" w:ascii="宋体" w:cs="宋体"/>
                <w:sz w:val="18"/>
                <w:szCs w:val="18"/>
              </w:rPr>
              <w:t>千元</w:t>
            </w:r>
          </w:p>
        </w:tc>
        <w:tc>
          <w:tcPr>
            <w:tcW w:w="652" w:type="dxa"/>
            <w:tcBorders>
              <w:bottom w:val="single" w:color="auto" w:sz="8" w:space="0"/>
            </w:tcBorders>
            <w:noWrap w:val="0"/>
            <w:vAlign w:val="top"/>
          </w:tcPr>
          <w:p>
            <w:pPr>
              <w:snapToGrid w:val="0"/>
              <w:spacing w:line="240" w:lineRule="exact"/>
              <w:jc w:val="center"/>
              <w:rPr>
                <w:rFonts w:ascii="宋体" w:cs="宋体"/>
                <w:sz w:val="18"/>
                <w:szCs w:val="18"/>
              </w:rPr>
            </w:pPr>
            <w:r>
              <w:rPr>
                <w:rFonts w:ascii="宋体" w:cs="宋体"/>
                <w:sz w:val="18"/>
                <w:szCs w:val="18"/>
              </w:rPr>
              <w:t>101</w:t>
            </w:r>
          </w:p>
          <w:p>
            <w:pPr>
              <w:snapToGrid w:val="0"/>
              <w:spacing w:line="240" w:lineRule="exact"/>
              <w:jc w:val="center"/>
              <w:rPr>
                <w:rFonts w:ascii="宋体"/>
                <w:sz w:val="18"/>
                <w:szCs w:val="18"/>
              </w:rPr>
            </w:pPr>
            <w:r>
              <w:rPr>
                <w:rFonts w:ascii="宋体" w:cs="宋体"/>
                <w:sz w:val="18"/>
                <w:szCs w:val="18"/>
              </w:rPr>
              <w:t>102</w:t>
            </w:r>
          </w:p>
          <w:p>
            <w:pPr>
              <w:snapToGrid w:val="0"/>
              <w:spacing w:line="240" w:lineRule="exact"/>
              <w:jc w:val="center"/>
              <w:rPr>
                <w:rFonts w:ascii="宋体"/>
                <w:sz w:val="18"/>
                <w:szCs w:val="18"/>
              </w:rPr>
            </w:pPr>
            <w:r>
              <w:rPr>
                <w:rFonts w:ascii="宋体" w:cs="宋体"/>
                <w:sz w:val="18"/>
                <w:szCs w:val="18"/>
              </w:rPr>
              <w:t>—</w:t>
            </w:r>
          </w:p>
          <w:p>
            <w:pPr>
              <w:snapToGrid w:val="0"/>
              <w:spacing w:line="240" w:lineRule="exact"/>
              <w:jc w:val="center"/>
              <w:rPr>
                <w:rFonts w:ascii="宋体" w:cs="宋体"/>
                <w:sz w:val="18"/>
                <w:szCs w:val="18"/>
              </w:rPr>
            </w:pPr>
            <w:r>
              <w:rPr>
                <w:rFonts w:ascii="宋体" w:cs="宋体"/>
                <w:sz w:val="18"/>
                <w:szCs w:val="18"/>
              </w:rPr>
              <w:t>201</w:t>
            </w:r>
          </w:p>
          <w:p>
            <w:pPr>
              <w:snapToGrid w:val="0"/>
              <w:spacing w:line="240" w:lineRule="exact"/>
              <w:jc w:val="center"/>
              <w:rPr>
                <w:rFonts w:ascii="宋体" w:cs="宋体"/>
                <w:sz w:val="18"/>
                <w:szCs w:val="18"/>
              </w:rPr>
            </w:pPr>
            <w:r>
              <w:rPr>
                <w:rFonts w:ascii="宋体" w:cs="宋体"/>
                <w:sz w:val="18"/>
                <w:szCs w:val="18"/>
              </w:rPr>
              <w:t>202</w:t>
            </w:r>
          </w:p>
          <w:p>
            <w:pPr>
              <w:snapToGrid w:val="0"/>
              <w:spacing w:line="240" w:lineRule="exact"/>
              <w:jc w:val="center"/>
              <w:rPr>
                <w:rFonts w:ascii="宋体" w:cs="宋体"/>
                <w:sz w:val="18"/>
                <w:szCs w:val="18"/>
              </w:rPr>
            </w:pPr>
            <w:r>
              <w:rPr>
                <w:rFonts w:ascii="宋体" w:cs="宋体"/>
                <w:sz w:val="18"/>
                <w:szCs w:val="18"/>
              </w:rPr>
              <w:t>205</w:t>
            </w:r>
          </w:p>
          <w:p>
            <w:pPr>
              <w:snapToGrid w:val="0"/>
              <w:spacing w:line="240" w:lineRule="exact"/>
              <w:jc w:val="center"/>
              <w:rPr>
                <w:rFonts w:ascii="宋体" w:cs="宋体"/>
                <w:sz w:val="18"/>
                <w:szCs w:val="18"/>
              </w:rPr>
            </w:pPr>
            <w:r>
              <w:rPr>
                <w:rFonts w:ascii="宋体" w:cs="宋体"/>
                <w:sz w:val="18"/>
                <w:szCs w:val="18"/>
              </w:rPr>
              <w:t>206</w:t>
            </w:r>
          </w:p>
          <w:p>
            <w:pPr>
              <w:snapToGrid w:val="0"/>
              <w:spacing w:line="240" w:lineRule="exact"/>
              <w:jc w:val="center"/>
              <w:rPr>
                <w:rFonts w:ascii="宋体" w:cs="宋体"/>
                <w:sz w:val="18"/>
                <w:szCs w:val="18"/>
              </w:rPr>
            </w:pPr>
            <w:r>
              <w:rPr>
                <w:rFonts w:ascii="宋体" w:cs="宋体"/>
                <w:sz w:val="18"/>
                <w:szCs w:val="18"/>
              </w:rPr>
              <w:t>243</w:t>
            </w:r>
          </w:p>
          <w:p>
            <w:pPr>
              <w:snapToGrid w:val="0"/>
              <w:spacing w:line="240" w:lineRule="exact"/>
              <w:jc w:val="center"/>
              <w:rPr>
                <w:rFonts w:ascii="宋体" w:cs="宋体"/>
                <w:sz w:val="18"/>
                <w:szCs w:val="18"/>
              </w:rPr>
            </w:pPr>
            <w:r>
              <w:rPr>
                <w:rFonts w:ascii="宋体" w:cs="宋体"/>
                <w:sz w:val="18"/>
                <w:szCs w:val="18"/>
              </w:rPr>
              <w:t>209</w:t>
            </w:r>
          </w:p>
          <w:p>
            <w:pPr>
              <w:snapToGrid w:val="0"/>
              <w:spacing w:line="240" w:lineRule="exact"/>
              <w:jc w:val="center"/>
              <w:rPr>
                <w:rFonts w:ascii="宋体" w:cs="宋体"/>
                <w:sz w:val="18"/>
                <w:szCs w:val="18"/>
              </w:rPr>
            </w:pPr>
            <w:r>
              <w:rPr>
                <w:rFonts w:ascii="宋体" w:cs="宋体"/>
                <w:sz w:val="18"/>
                <w:szCs w:val="18"/>
              </w:rPr>
              <w:t>231</w:t>
            </w:r>
          </w:p>
          <w:p>
            <w:pPr>
              <w:snapToGrid w:val="0"/>
              <w:spacing w:line="240" w:lineRule="exact"/>
              <w:jc w:val="center"/>
              <w:rPr>
                <w:rFonts w:ascii="宋体" w:cs="宋体"/>
                <w:sz w:val="18"/>
                <w:szCs w:val="18"/>
              </w:rPr>
            </w:pPr>
            <w:r>
              <w:rPr>
                <w:rFonts w:ascii="宋体" w:cs="宋体"/>
                <w:sz w:val="18"/>
                <w:szCs w:val="18"/>
              </w:rPr>
              <w:t>232</w:t>
            </w:r>
          </w:p>
          <w:p>
            <w:pPr>
              <w:snapToGrid w:val="0"/>
              <w:spacing w:line="240" w:lineRule="exact"/>
              <w:jc w:val="center"/>
              <w:rPr>
                <w:rFonts w:ascii="宋体" w:cs="宋体"/>
                <w:sz w:val="18"/>
                <w:szCs w:val="18"/>
              </w:rPr>
            </w:pPr>
            <w:r>
              <w:rPr>
                <w:rFonts w:ascii="宋体" w:cs="宋体"/>
                <w:sz w:val="18"/>
                <w:szCs w:val="18"/>
              </w:rPr>
              <w:t>210</w:t>
            </w:r>
          </w:p>
          <w:p>
            <w:pPr>
              <w:snapToGrid w:val="0"/>
              <w:spacing w:line="240" w:lineRule="exact"/>
              <w:jc w:val="center"/>
              <w:rPr>
                <w:rFonts w:ascii="宋体" w:cs="宋体"/>
                <w:sz w:val="18"/>
                <w:szCs w:val="18"/>
              </w:rPr>
            </w:pPr>
            <w:r>
              <w:rPr>
                <w:rFonts w:ascii="宋体" w:cs="宋体"/>
                <w:sz w:val="18"/>
                <w:szCs w:val="18"/>
              </w:rPr>
              <w:t>211</w:t>
            </w:r>
          </w:p>
          <w:p>
            <w:pPr>
              <w:snapToGrid w:val="0"/>
              <w:spacing w:line="240" w:lineRule="exact"/>
              <w:jc w:val="center"/>
              <w:rPr>
                <w:rFonts w:ascii="宋体" w:cs="宋体"/>
                <w:sz w:val="18"/>
                <w:szCs w:val="18"/>
              </w:rPr>
            </w:pPr>
            <w:r>
              <w:rPr>
                <w:rFonts w:ascii="宋体" w:cs="宋体"/>
                <w:sz w:val="18"/>
                <w:szCs w:val="18"/>
              </w:rPr>
              <w:t>252</w:t>
            </w:r>
          </w:p>
          <w:p>
            <w:pPr>
              <w:snapToGrid w:val="0"/>
              <w:spacing w:line="240" w:lineRule="exact"/>
              <w:jc w:val="center"/>
              <w:rPr>
                <w:rFonts w:ascii="宋体" w:cs="宋体"/>
                <w:sz w:val="18"/>
                <w:szCs w:val="18"/>
              </w:rPr>
            </w:pPr>
            <w:r>
              <w:rPr>
                <w:rFonts w:ascii="宋体" w:cs="宋体"/>
                <w:sz w:val="18"/>
                <w:szCs w:val="18"/>
              </w:rPr>
              <w:t>212</w:t>
            </w:r>
          </w:p>
          <w:p>
            <w:pPr>
              <w:snapToGrid w:val="0"/>
              <w:spacing w:line="240" w:lineRule="exact"/>
              <w:jc w:val="center"/>
              <w:rPr>
                <w:rFonts w:ascii="宋体" w:cs="宋体"/>
                <w:sz w:val="18"/>
                <w:szCs w:val="18"/>
              </w:rPr>
            </w:pPr>
            <w:r>
              <w:rPr>
                <w:rFonts w:ascii="宋体" w:cs="宋体"/>
                <w:sz w:val="18"/>
                <w:szCs w:val="18"/>
              </w:rPr>
              <w:t>246</w:t>
            </w:r>
          </w:p>
          <w:p>
            <w:pPr>
              <w:snapToGrid w:val="0"/>
              <w:spacing w:line="240" w:lineRule="exact"/>
              <w:jc w:val="center"/>
              <w:rPr>
                <w:rFonts w:ascii="宋体" w:cs="宋体"/>
                <w:sz w:val="18"/>
                <w:szCs w:val="18"/>
              </w:rPr>
            </w:pPr>
            <w:r>
              <w:rPr>
                <w:rFonts w:ascii="宋体" w:cs="宋体"/>
                <w:sz w:val="18"/>
                <w:szCs w:val="18"/>
              </w:rPr>
              <w:t>247</w:t>
            </w:r>
          </w:p>
          <w:p>
            <w:pPr>
              <w:snapToGrid w:val="0"/>
              <w:spacing w:line="240" w:lineRule="exact"/>
              <w:jc w:val="center"/>
              <w:rPr>
                <w:rFonts w:ascii="宋体" w:cs="宋体"/>
                <w:sz w:val="18"/>
                <w:szCs w:val="18"/>
              </w:rPr>
            </w:pPr>
            <w:r>
              <w:rPr>
                <w:rFonts w:ascii="宋体" w:cs="宋体"/>
                <w:sz w:val="18"/>
                <w:szCs w:val="18"/>
              </w:rPr>
              <w:t>213</w:t>
            </w:r>
          </w:p>
          <w:p>
            <w:pPr>
              <w:snapToGrid w:val="0"/>
              <w:spacing w:line="240" w:lineRule="exact"/>
              <w:jc w:val="center"/>
              <w:rPr>
                <w:rFonts w:ascii="宋体" w:cs="宋体"/>
                <w:sz w:val="18"/>
                <w:szCs w:val="18"/>
              </w:rPr>
            </w:pPr>
            <w:r>
              <w:rPr>
                <w:rFonts w:ascii="宋体" w:cs="宋体"/>
                <w:sz w:val="18"/>
                <w:szCs w:val="18"/>
              </w:rPr>
              <w:t>214</w:t>
            </w:r>
          </w:p>
          <w:p>
            <w:pPr>
              <w:snapToGrid w:val="0"/>
              <w:spacing w:line="240" w:lineRule="exact"/>
              <w:jc w:val="center"/>
              <w:rPr>
                <w:rFonts w:ascii="宋体" w:cs="宋体"/>
                <w:sz w:val="18"/>
                <w:szCs w:val="18"/>
              </w:rPr>
            </w:pPr>
            <w:r>
              <w:rPr>
                <w:rFonts w:ascii="宋体" w:cs="宋体"/>
                <w:sz w:val="18"/>
                <w:szCs w:val="18"/>
              </w:rPr>
              <w:t>215</w:t>
            </w:r>
          </w:p>
          <w:p>
            <w:pPr>
              <w:snapToGrid w:val="0"/>
              <w:spacing w:line="240" w:lineRule="exact"/>
              <w:jc w:val="center"/>
              <w:rPr>
                <w:rFonts w:ascii="宋体" w:cs="宋体"/>
                <w:sz w:val="18"/>
                <w:szCs w:val="18"/>
              </w:rPr>
            </w:pPr>
            <w:r>
              <w:rPr>
                <w:rFonts w:ascii="宋体" w:cs="宋体"/>
                <w:sz w:val="18"/>
                <w:szCs w:val="18"/>
              </w:rPr>
              <w:t>217</w:t>
            </w:r>
          </w:p>
          <w:p>
            <w:pPr>
              <w:snapToGrid w:val="0"/>
              <w:spacing w:line="240" w:lineRule="exact"/>
              <w:jc w:val="center"/>
              <w:rPr>
                <w:rFonts w:ascii="宋体" w:cs="宋体"/>
                <w:sz w:val="18"/>
                <w:szCs w:val="18"/>
              </w:rPr>
            </w:pPr>
            <w:r>
              <w:rPr>
                <w:rFonts w:ascii="宋体" w:cs="宋体"/>
                <w:sz w:val="18"/>
                <w:szCs w:val="18"/>
              </w:rPr>
              <w:t>218</w:t>
            </w:r>
          </w:p>
          <w:p>
            <w:pPr>
              <w:snapToGrid w:val="0"/>
              <w:spacing w:line="240" w:lineRule="exact"/>
              <w:jc w:val="center"/>
              <w:rPr>
                <w:rFonts w:ascii="宋体" w:cs="宋体"/>
                <w:sz w:val="18"/>
                <w:szCs w:val="18"/>
              </w:rPr>
            </w:pPr>
            <w:r>
              <w:rPr>
                <w:rFonts w:ascii="宋体" w:cs="宋体"/>
                <w:sz w:val="18"/>
                <w:szCs w:val="18"/>
              </w:rPr>
              <w:t>219</w:t>
            </w:r>
          </w:p>
          <w:p>
            <w:pPr>
              <w:snapToGrid w:val="0"/>
              <w:spacing w:line="240" w:lineRule="exact"/>
              <w:jc w:val="center"/>
              <w:rPr>
                <w:rFonts w:ascii="宋体" w:cs="宋体"/>
                <w:sz w:val="18"/>
                <w:szCs w:val="18"/>
              </w:rPr>
            </w:pPr>
            <w:r>
              <w:rPr>
                <w:rFonts w:ascii="宋体" w:cs="宋体"/>
                <w:sz w:val="18"/>
                <w:szCs w:val="18"/>
              </w:rPr>
              <w:t>220</w:t>
            </w:r>
          </w:p>
          <w:p>
            <w:pPr>
              <w:snapToGrid w:val="0"/>
              <w:spacing w:line="240" w:lineRule="exact"/>
              <w:jc w:val="center"/>
              <w:rPr>
                <w:rFonts w:ascii="宋体" w:cs="宋体"/>
                <w:sz w:val="18"/>
                <w:szCs w:val="18"/>
              </w:rPr>
            </w:pPr>
            <w:r>
              <w:rPr>
                <w:rFonts w:ascii="宋体" w:cs="宋体"/>
                <w:sz w:val="18"/>
                <w:szCs w:val="18"/>
              </w:rPr>
              <w:t>221</w:t>
            </w:r>
          </w:p>
          <w:p>
            <w:pPr>
              <w:snapToGrid w:val="0"/>
              <w:spacing w:line="240" w:lineRule="exact"/>
              <w:jc w:val="center"/>
              <w:rPr>
                <w:rFonts w:ascii="宋体" w:cs="宋体"/>
                <w:sz w:val="18"/>
                <w:szCs w:val="18"/>
              </w:rPr>
            </w:pPr>
            <w:r>
              <w:rPr>
                <w:rFonts w:ascii="宋体" w:cs="宋体"/>
                <w:sz w:val="18"/>
                <w:szCs w:val="18"/>
              </w:rPr>
              <w:t>222</w:t>
            </w:r>
          </w:p>
          <w:p>
            <w:pPr>
              <w:snapToGrid w:val="0"/>
              <w:spacing w:line="240" w:lineRule="exact"/>
              <w:jc w:val="center"/>
              <w:rPr>
                <w:rFonts w:ascii="宋体" w:cs="宋体"/>
                <w:sz w:val="18"/>
                <w:szCs w:val="18"/>
              </w:rPr>
            </w:pPr>
            <w:r>
              <w:rPr>
                <w:rFonts w:ascii="宋体" w:cs="宋体"/>
                <w:sz w:val="18"/>
                <w:szCs w:val="18"/>
              </w:rPr>
              <w:t>223</w:t>
            </w:r>
          </w:p>
          <w:p>
            <w:pPr>
              <w:snapToGrid w:val="0"/>
              <w:spacing w:line="240" w:lineRule="exact"/>
              <w:jc w:val="center"/>
              <w:rPr>
                <w:rFonts w:ascii="宋体" w:cs="宋体"/>
                <w:sz w:val="18"/>
                <w:szCs w:val="18"/>
              </w:rPr>
            </w:pPr>
            <w:r>
              <w:rPr>
                <w:rFonts w:ascii="宋体" w:cs="宋体"/>
                <w:sz w:val="18"/>
                <w:szCs w:val="18"/>
              </w:rPr>
              <w:t>224</w:t>
            </w:r>
          </w:p>
          <w:p>
            <w:pPr>
              <w:snapToGrid w:val="0"/>
              <w:spacing w:line="240" w:lineRule="exact"/>
              <w:jc w:val="center"/>
              <w:rPr>
                <w:rFonts w:ascii="宋体" w:cs="宋体"/>
                <w:sz w:val="18"/>
                <w:szCs w:val="18"/>
              </w:rPr>
            </w:pPr>
            <w:r>
              <w:rPr>
                <w:rFonts w:ascii="宋体" w:cs="宋体"/>
                <w:sz w:val="18"/>
                <w:szCs w:val="18"/>
              </w:rPr>
              <w:t>225</w:t>
            </w:r>
          </w:p>
          <w:p>
            <w:pPr>
              <w:snapToGrid w:val="0"/>
              <w:spacing w:line="240" w:lineRule="exact"/>
              <w:jc w:val="center"/>
              <w:rPr>
                <w:rFonts w:ascii="宋体" w:cs="宋体"/>
                <w:sz w:val="18"/>
                <w:szCs w:val="18"/>
              </w:rPr>
            </w:pPr>
            <w:r>
              <w:rPr>
                <w:rFonts w:ascii="宋体" w:hAnsi="宋体" w:cs="宋体"/>
                <w:sz w:val="18"/>
                <w:szCs w:val="18"/>
              </w:rPr>
              <w:t>801</w:t>
            </w:r>
          </w:p>
          <w:p>
            <w:pPr>
              <w:snapToGrid w:val="0"/>
              <w:spacing w:line="240" w:lineRule="exact"/>
              <w:jc w:val="center"/>
              <w:rPr>
                <w:rFonts w:ascii="宋体" w:hAnsi="宋体" w:cs="宋体"/>
                <w:sz w:val="18"/>
                <w:szCs w:val="18"/>
              </w:rPr>
            </w:pPr>
            <w:r>
              <w:rPr>
                <w:rFonts w:ascii="宋体" w:hAnsi="宋体" w:cs="宋体"/>
                <w:sz w:val="18"/>
                <w:szCs w:val="18"/>
              </w:rPr>
              <w:t>802</w:t>
            </w:r>
          </w:p>
          <w:p>
            <w:pPr>
              <w:snapToGrid w:val="0"/>
              <w:spacing w:line="240" w:lineRule="exact"/>
              <w:jc w:val="center"/>
              <w:rPr>
                <w:rFonts w:ascii="宋体" w:hAnsi="宋体" w:cs="宋体"/>
                <w:sz w:val="18"/>
                <w:szCs w:val="18"/>
              </w:rPr>
            </w:pPr>
            <w:r>
              <w:rPr>
                <w:rFonts w:ascii="宋体" w:hAnsi="宋体" w:cs="宋体"/>
                <w:sz w:val="18"/>
                <w:szCs w:val="18"/>
              </w:rPr>
              <w:t>901</w:t>
            </w:r>
          </w:p>
          <w:p>
            <w:pPr>
              <w:snapToGrid w:val="0"/>
              <w:spacing w:line="240" w:lineRule="exact"/>
              <w:jc w:val="center"/>
              <w:rPr>
                <w:rFonts w:ascii="宋体" w:hAnsi="宋体" w:cs="宋体"/>
                <w:sz w:val="18"/>
                <w:szCs w:val="18"/>
              </w:rPr>
            </w:pPr>
            <w:r>
              <w:rPr>
                <w:rFonts w:ascii="宋体" w:hAnsi="宋体" w:cs="宋体"/>
                <w:sz w:val="18"/>
                <w:szCs w:val="18"/>
              </w:rPr>
              <w:t>—</w:t>
            </w:r>
          </w:p>
          <w:p>
            <w:pPr>
              <w:spacing w:line="240" w:lineRule="exact"/>
              <w:jc w:val="center"/>
              <w:rPr>
                <w:rFonts w:ascii="宋体" w:hAnsi="宋体" w:cs="宋体"/>
                <w:sz w:val="18"/>
                <w:szCs w:val="18"/>
              </w:rPr>
            </w:pPr>
            <w:r>
              <w:rPr>
                <w:rFonts w:ascii="宋体" w:hAnsi="宋体" w:cs="宋体"/>
                <w:sz w:val="18"/>
                <w:szCs w:val="18"/>
              </w:rPr>
              <w:t>301</w:t>
            </w:r>
          </w:p>
          <w:p>
            <w:pPr>
              <w:spacing w:line="240" w:lineRule="exact"/>
              <w:jc w:val="center"/>
              <w:rPr>
                <w:rFonts w:ascii="宋体" w:hAnsi="宋体" w:cs="宋体"/>
                <w:sz w:val="18"/>
                <w:szCs w:val="18"/>
              </w:rPr>
            </w:pPr>
            <w:r>
              <w:rPr>
                <w:rFonts w:ascii="宋体" w:hAnsi="宋体" w:cs="宋体"/>
                <w:sz w:val="18"/>
                <w:szCs w:val="18"/>
              </w:rPr>
              <w:t>302</w:t>
            </w:r>
          </w:p>
          <w:p>
            <w:pPr>
              <w:spacing w:line="240" w:lineRule="exact"/>
              <w:jc w:val="center"/>
              <w:rPr>
                <w:rFonts w:ascii="宋体" w:hAnsi="宋体" w:cs="宋体"/>
                <w:sz w:val="18"/>
                <w:szCs w:val="18"/>
              </w:rPr>
            </w:pPr>
            <w:r>
              <w:rPr>
                <w:rFonts w:ascii="宋体" w:hAnsi="宋体" w:cs="宋体"/>
                <w:sz w:val="18"/>
                <w:szCs w:val="18"/>
              </w:rPr>
              <w:t>307</w:t>
            </w:r>
          </w:p>
          <w:p>
            <w:pPr>
              <w:spacing w:line="240" w:lineRule="exact"/>
              <w:jc w:val="center"/>
              <w:rPr>
                <w:rFonts w:hint="eastAsia" w:ascii="宋体" w:hAnsi="宋体" w:cs="宋体"/>
                <w:sz w:val="18"/>
                <w:szCs w:val="18"/>
              </w:rPr>
            </w:pPr>
            <w:r>
              <w:rPr>
                <w:rFonts w:ascii="宋体" w:hAnsi="宋体" w:cs="宋体"/>
                <w:sz w:val="18"/>
                <w:szCs w:val="18"/>
              </w:rPr>
              <w:t>309</w:t>
            </w:r>
          </w:p>
          <w:p>
            <w:pPr>
              <w:snapToGrid w:val="0"/>
              <w:spacing w:line="240" w:lineRule="exact"/>
              <w:jc w:val="center"/>
              <w:rPr>
                <w:rFonts w:ascii="宋体" w:hAnsi="宋体" w:cs="宋体"/>
                <w:sz w:val="18"/>
                <w:szCs w:val="18"/>
              </w:rPr>
            </w:pPr>
            <w:r>
              <w:rPr>
                <w:rFonts w:ascii="宋体" w:hAnsi="宋体" w:cs="宋体"/>
                <w:sz w:val="18"/>
                <w:szCs w:val="18"/>
              </w:rPr>
              <w:t>312</w:t>
            </w:r>
          </w:p>
          <w:p>
            <w:pPr>
              <w:snapToGrid w:val="0"/>
              <w:spacing w:line="240" w:lineRule="exact"/>
              <w:jc w:val="center"/>
              <w:rPr>
                <w:rFonts w:ascii="宋体" w:cs="宋体"/>
                <w:sz w:val="18"/>
                <w:szCs w:val="18"/>
              </w:rPr>
            </w:pPr>
            <w:r>
              <w:rPr>
                <w:rFonts w:ascii="宋体" w:hAnsi="宋体" w:cs="宋体"/>
                <w:sz w:val="18"/>
                <w:szCs w:val="18"/>
              </w:rPr>
              <w:t>313</w:t>
            </w:r>
          </w:p>
          <w:p>
            <w:pPr>
              <w:spacing w:line="240" w:lineRule="exact"/>
              <w:jc w:val="center"/>
              <w:rPr>
                <w:rFonts w:ascii="宋体" w:hAnsi="宋体" w:cs="宋体"/>
                <w:sz w:val="18"/>
                <w:szCs w:val="18"/>
              </w:rPr>
            </w:pPr>
            <w:r>
              <w:rPr>
                <w:rFonts w:ascii="宋体" w:hAnsi="宋体" w:cs="宋体"/>
                <w:sz w:val="18"/>
                <w:szCs w:val="18"/>
              </w:rPr>
              <w:t>872</w:t>
            </w:r>
          </w:p>
          <w:p>
            <w:pPr>
              <w:snapToGrid w:val="0"/>
              <w:spacing w:line="240" w:lineRule="exact"/>
              <w:jc w:val="center"/>
              <w:rPr>
                <w:rFonts w:ascii="宋体" w:hAnsi="宋体" w:cs="宋体"/>
                <w:sz w:val="18"/>
                <w:szCs w:val="18"/>
              </w:rPr>
            </w:pPr>
            <w:r>
              <w:rPr>
                <w:rFonts w:ascii="宋体" w:hAnsi="宋体" w:cs="宋体"/>
                <w:sz w:val="18"/>
                <w:szCs w:val="18"/>
              </w:rPr>
              <w:t>877</w:t>
            </w:r>
          </w:p>
        </w:tc>
        <w:tc>
          <w:tcPr>
            <w:tcW w:w="572" w:type="dxa"/>
            <w:tcBorders>
              <w:bottom w:val="single" w:color="auto" w:sz="8" w:space="0"/>
              <w:right w:val="double" w:color="auto" w:sz="4" w:space="0"/>
            </w:tcBorders>
            <w:noWrap w:val="0"/>
            <w:vAlign w:val="top"/>
          </w:tcPr>
          <w:p>
            <w:pPr>
              <w:snapToGrid w:val="0"/>
              <w:spacing w:line="240" w:lineRule="exact"/>
              <w:jc w:val="center"/>
              <w:rPr>
                <w:rFonts w:ascii="宋体" w:cs="宋体"/>
                <w:sz w:val="18"/>
                <w:szCs w:val="18"/>
              </w:rPr>
            </w:pPr>
          </w:p>
        </w:tc>
        <w:tc>
          <w:tcPr>
            <w:tcW w:w="3527" w:type="dxa"/>
            <w:tcBorders>
              <w:left w:val="double" w:color="auto" w:sz="4" w:space="0"/>
              <w:bottom w:val="single" w:color="auto" w:sz="8" w:space="0"/>
            </w:tcBorders>
            <w:noWrap w:val="0"/>
            <w:vAlign w:val="top"/>
          </w:tcPr>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研发费用</w:t>
            </w:r>
          </w:p>
          <w:p>
            <w:pPr>
              <w:spacing w:line="240" w:lineRule="exact"/>
              <w:ind w:firstLine="360" w:firstLineChars="200"/>
              <w:jc w:val="left"/>
              <w:rPr>
                <w:rFonts w:ascii="宋体" w:cs="宋体"/>
                <w:sz w:val="18"/>
                <w:szCs w:val="18"/>
                <w:highlight w:val="lightGray"/>
              </w:rPr>
            </w:pPr>
            <w:r>
              <w:rPr>
                <w:rFonts w:hint="eastAsia" w:ascii="宋体" w:hAnsi="宋体" w:cs="宋体"/>
                <w:sz w:val="18"/>
                <w:szCs w:val="18"/>
                <w:highlight w:val="lightGray"/>
              </w:rPr>
              <w:t>财务费用</w:t>
            </w:r>
          </w:p>
          <w:p>
            <w:pPr>
              <w:spacing w:line="240" w:lineRule="exact"/>
              <w:ind w:left="210" w:leftChars="100" w:firstLine="360" w:firstLineChars="200"/>
              <w:jc w:val="left"/>
              <w:rPr>
                <w:rFonts w:ascii="宋体" w:cs="宋体"/>
                <w:sz w:val="18"/>
                <w:szCs w:val="18"/>
              </w:rPr>
            </w:pPr>
            <w:r>
              <w:rPr>
                <w:rFonts w:hint="eastAsia" w:ascii="宋体" w:cs="宋体"/>
                <w:sz w:val="18"/>
                <w:szCs w:val="18"/>
              </w:rPr>
              <w:t>其中：</w:t>
            </w:r>
            <w:r>
              <w:rPr>
                <w:rFonts w:hint="eastAsia" w:ascii="宋体" w:hAnsi="宋体" w:cs="宋体"/>
                <w:sz w:val="18"/>
                <w:szCs w:val="18"/>
              </w:rPr>
              <w:t>利息费用</w:t>
            </w:r>
          </w:p>
          <w:p>
            <w:pPr>
              <w:spacing w:line="240" w:lineRule="exact"/>
              <w:ind w:left="1102" w:leftChars="525"/>
              <w:jc w:val="left"/>
              <w:rPr>
                <w:rFonts w:ascii="宋体" w:cs="宋体"/>
                <w:sz w:val="18"/>
                <w:szCs w:val="18"/>
              </w:rPr>
            </w:pPr>
            <w:r>
              <w:rPr>
                <w:rFonts w:hint="eastAsia" w:ascii="宋体" w:hAnsi="宋体" w:cs="宋体"/>
                <w:sz w:val="18"/>
                <w:szCs w:val="18"/>
              </w:rPr>
              <w:t>利息收入</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资产减值损失(损失以“-”号记)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信用减值损失(损失以“-”号记)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其他收益</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投资收益(损失以“-”号记)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净敞口套期收益(损失以“-”号记)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公允价值变动收益(损失以“-”号记)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资产处置收益(损失以“-”号记)</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营业利润</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营业外收入</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营业外支出</w:t>
            </w:r>
          </w:p>
          <w:p>
            <w:pPr>
              <w:spacing w:line="240" w:lineRule="exact"/>
              <w:ind w:firstLine="360" w:firstLineChars="200"/>
              <w:jc w:val="left"/>
              <w:rPr>
                <w:rFonts w:hint="eastAsia" w:ascii="宋体" w:hAnsi="宋体" w:cs="宋体"/>
                <w:sz w:val="18"/>
                <w:szCs w:val="18"/>
                <w:highlight w:val="lightGray"/>
              </w:rPr>
            </w:pPr>
            <w:r>
              <w:rPr>
                <w:rFonts w:hint="eastAsia" w:ascii="宋体" w:hAnsi="宋体" w:cs="宋体"/>
                <w:sz w:val="18"/>
                <w:szCs w:val="18"/>
                <w:highlight w:val="lightGray"/>
              </w:rPr>
              <w:t>利润总额</w:t>
            </w:r>
          </w:p>
          <w:p>
            <w:pPr>
              <w:spacing w:line="240" w:lineRule="exact"/>
              <w:ind w:firstLine="360" w:firstLineChars="200"/>
              <w:jc w:val="left"/>
              <w:rPr>
                <w:rFonts w:hint="eastAsia" w:ascii="宋体" w:hAnsi="宋体" w:cs="宋体"/>
                <w:sz w:val="18"/>
                <w:szCs w:val="18"/>
              </w:rPr>
            </w:pPr>
            <w:r>
              <w:rPr>
                <w:rFonts w:hint="eastAsia" w:ascii="宋体" w:hAnsi="宋体" w:cs="宋体"/>
                <w:sz w:val="18"/>
                <w:szCs w:val="18"/>
              </w:rPr>
              <w:t>所得税费用</w:t>
            </w:r>
          </w:p>
          <w:p>
            <w:pPr>
              <w:spacing w:line="240" w:lineRule="exact"/>
              <w:jc w:val="left"/>
              <w:rPr>
                <w:rFonts w:ascii="宋体" w:cs="宋体"/>
                <w:sz w:val="18"/>
                <w:szCs w:val="18"/>
              </w:rPr>
            </w:pPr>
            <w:r>
              <w:rPr>
                <w:rFonts w:hint="eastAsia" w:ascii="宋体" w:hAnsi="宋体" w:cs="宋体"/>
                <w:sz w:val="18"/>
                <w:szCs w:val="18"/>
              </w:rPr>
              <w:t>五、人工成本、其他费用及增值税</w:t>
            </w:r>
          </w:p>
          <w:p>
            <w:pPr>
              <w:spacing w:line="240" w:lineRule="exact"/>
              <w:ind w:firstLine="360" w:firstLineChars="200"/>
              <w:rPr>
                <w:rFonts w:ascii="宋体" w:cs="宋体"/>
                <w:sz w:val="18"/>
                <w:szCs w:val="18"/>
              </w:rPr>
            </w:pPr>
            <w:r>
              <w:rPr>
                <w:rFonts w:hint="eastAsia" w:ascii="宋体" w:hAnsi="宋体" w:cs="宋体"/>
                <w:sz w:val="18"/>
                <w:szCs w:val="18"/>
              </w:rPr>
              <w:t>应付职工薪酬</w:t>
            </w:r>
            <w:r>
              <w:rPr>
                <w:rFonts w:ascii="宋体" w:hAnsi="宋体" w:cs="宋体"/>
                <w:sz w:val="18"/>
                <w:szCs w:val="18"/>
                <w:lang w:val="en"/>
              </w:rPr>
              <w:t>(</w:t>
            </w:r>
            <w:r>
              <w:rPr>
                <w:rFonts w:hint="eastAsia" w:ascii="宋体" w:hAnsi="宋体" w:cs="宋体"/>
                <w:sz w:val="18"/>
                <w:szCs w:val="18"/>
              </w:rPr>
              <w:t>本年贷方累计发生额</w:t>
            </w:r>
            <w:r>
              <w:rPr>
                <w:rFonts w:ascii="宋体" w:hAnsi="宋体" w:cs="宋体"/>
                <w:sz w:val="18"/>
                <w:szCs w:val="18"/>
                <w:lang w:val="en"/>
              </w:rPr>
              <w:t>)</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其中：工资、奖金、津贴和补贴</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福利费</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社保费</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住房公积金</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工会经费</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职工教育经费</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劳务派遣人员薪酬</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其他职工薪酬</w:t>
            </w:r>
          </w:p>
          <w:p>
            <w:pPr>
              <w:spacing w:line="240" w:lineRule="exact"/>
              <w:ind w:firstLine="360" w:firstLineChars="200"/>
              <w:rPr>
                <w:rFonts w:ascii="宋体" w:cs="宋体"/>
                <w:sz w:val="18"/>
                <w:szCs w:val="18"/>
              </w:rPr>
            </w:pPr>
            <w:r>
              <w:rPr>
                <w:rFonts w:hint="eastAsia" w:ascii="宋体" w:hAnsi="宋体" w:cs="宋体"/>
                <w:sz w:val="18"/>
                <w:szCs w:val="18"/>
              </w:rPr>
              <w:t>其他属于劳动者报酬的部分</w:t>
            </w:r>
          </w:p>
          <w:p>
            <w:pPr>
              <w:spacing w:line="240" w:lineRule="exact"/>
              <w:ind w:firstLine="360" w:firstLineChars="200"/>
              <w:rPr>
                <w:rFonts w:ascii="宋体" w:cs="宋体"/>
                <w:sz w:val="18"/>
                <w:szCs w:val="18"/>
              </w:rPr>
            </w:pPr>
            <w:r>
              <w:rPr>
                <w:rFonts w:hint="eastAsia" w:ascii="宋体" w:hAnsi="宋体" w:cs="宋体"/>
                <w:sz w:val="18"/>
                <w:szCs w:val="18"/>
              </w:rPr>
              <w:t>上交政府的各项非税费用</w:t>
            </w:r>
          </w:p>
          <w:p>
            <w:pPr>
              <w:spacing w:line="240" w:lineRule="exact"/>
              <w:ind w:firstLine="360" w:firstLineChars="200"/>
              <w:rPr>
                <w:rFonts w:ascii="宋体" w:cs="宋体"/>
                <w:sz w:val="18"/>
                <w:szCs w:val="18"/>
              </w:rPr>
            </w:pPr>
            <w:r>
              <w:rPr>
                <w:rFonts w:hint="eastAsia" w:ascii="宋体" w:hAnsi="宋体" w:cs="宋体"/>
                <w:sz w:val="18"/>
                <w:szCs w:val="18"/>
              </w:rPr>
              <w:t>水电费</w:t>
            </w:r>
          </w:p>
          <w:p>
            <w:pPr>
              <w:spacing w:line="240" w:lineRule="exact"/>
              <w:ind w:firstLine="360" w:firstLineChars="200"/>
              <w:rPr>
                <w:rFonts w:ascii="宋体" w:cs="宋体"/>
                <w:sz w:val="18"/>
                <w:szCs w:val="18"/>
              </w:rPr>
            </w:pPr>
            <w:r>
              <w:rPr>
                <w:rFonts w:ascii="宋体" w:hAnsi="宋体" w:cs="宋体"/>
                <w:sz w:val="18"/>
                <w:szCs w:val="18"/>
              </w:rPr>
              <w:t xml:space="preserve">  </w:t>
            </w:r>
            <w:r>
              <w:rPr>
                <w:rFonts w:hint="eastAsia" w:ascii="宋体" w:hAnsi="宋体" w:cs="宋体"/>
                <w:sz w:val="18"/>
                <w:szCs w:val="18"/>
              </w:rPr>
              <w:t>其中：上缴的各项税费</w:t>
            </w:r>
          </w:p>
          <w:p>
            <w:pPr>
              <w:spacing w:line="240" w:lineRule="exact"/>
              <w:ind w:firstLine="360" w:firstLineChars="200"/>
              <w:rPr>
                <w:rFonts w:ascii="宋体" w:cs="宋体"/>
                <w:sz w:val="18"/>
                <w:szCs w:val="18"/>
              </w:rPr>
            </w:pPr>
            <w:r>
              <w:rPr>
                <w:rFonts w:hint="eastAsia" w:ascii="宋体" w:hAnsi="宋体" w:cs="宋体"/>
                <w:sz w:val="18"/>
                <w:szCs w:val="18"/>
              </w:rPr>
              <w:t>差旅费</w:t>
            </w:r>
          </w:p>
          <w:p>
            <w:pPr>
              <w:spacing w:line="240" w:lineRule="exact"/>
              <w:ind w:firstLine="360" w:firstLineChars="200"/>
              <w:jc w:val="left"/>
              <w:rPr>
                <w:rFonts w:hint="eastAsia" w:ascii="宋体" w:cs="宋体"/>
                <w:sz w:val="18"/>
                <w:szCs w:val="18"/>
                <w:highlight w:val="lightGray"/>
              </w:rPr>
            </w:pPr>
            <w:r>
              <w:rPr>
                <w:rFonts w:hint="eastAsia" w:ascii="宋体" w:hAnsi="宋体" w:cs="宋体"/>
                <w:sz w:val="18"/>
                <w:szCs w:val="18"/>
                <w:highlight w:val="lightGray"/>
              </w:rPr>
              <w:t>应交增值税</w:t>
            </w:r>
            <w:r>
              <w:rPr>
                <w:rFonts w:ascii="宋体" w:hAnsi="宋体" w:cs="宋体"/>
                <w:sz w:val="18"/>
                <w:szCs w:val="18"/>
                <w:highlight w:val="lightGray"/>
                <w:lang w:val="en"/>
              </w:rPr>
              <w:t>(</w:t>
            </w:r>
            <w:r>
              <w:rPr>
                <w:rFonts w:hint="eastAsia" w:ascii="宋体" w:hAnsi="宋体" w:cs="宋体"/>
                <w:sz w:val="18"/>
                <w:szCs w:val="18"/>
                <w:highlight w:val="lightGray"/>
              </w:rPr>
              <w:t>本年累计发生额</w:t>
            </w:r>
            <w:r>
              <w:rPr>
                <w:rFonts w:ascii="宋体" w:hAnsi="宋体" w:cs="宋体"/>
                <w:sz w:val="18"/>
                <w:szCs w:val="18"/>
                <w:highlight w:val="lightGray"/>
                <w:lang w:val="en"/>
              </w:rPr>
              <w:t>)</w:t>
            </w:r>
          </w:p>
          <w:p>
            <w:pPr>
              <w:spacing w:line="240" w:lineRule="exact"/>
              <w:ind w:firstLine="360" w:firstLineChars="200"/>
              <w:jc w:val="left"/>
              <w:rPr>
                <w:rFonts w:ascii="宋体" w:cs="宋体"/>
                <w:sz w:val="18"/>
                <w:szCs w:val="18"/>
              </w:rPr>
            </w:pPr>
            <w:r>
              <w:rPr>
                <w:rFonts w:hint="eastAsia" w:ascii="宋体" w:hAnsi="宋体" w:cs="宋体"/>
                <w:sz w:val="18"/>
                <w:szCs w:val="18"/>
              </w:rPr>
              <w:t>销项税额</w:t>
            </w:r>
          </w:p>
          <w:p>
            <w:pPr>
              <w:spacing w:line="240" w:lineRule="exact"/>
              <w:ind w:firstLine="360" w:firstLineChars="200"/>
              <w:jc w:val="left"/>
              <w:rPr>
                <w:rFonts w:ascii="宋体" w:cs="宋体"/>
                <w:sz w:val="18"/>
                <w:szCs w:val="18"/>
              </w:rPr>
            </w:pPr>
            <w:r>
              <w:rPr>
                <w:rFonts w:hint="eastAsia" w:ascii="宋体" w:hAnsi="宋体" w:cs="宋体"/>
                <w:sz w:val="18"/>
                <w:szCs w:val="18"/>
              </w:rPr>
              <w:t>进项税额</w:t>
            </w:r>
          </w:p>
          <w:p>
            <w:pPr>
              <w:spacing w:line="240" w:lineRule="exact"/>
              <w:rPr>
                <w:rFonts w:ascii="宋体"/>
                <w:sz w:val="18"/>
                <w:szCs w:val="18"/>
              </w:rPr>
            </w:pPr>
            <w:r>
              <w:rPr>
                <w:rFonts w:hint="eastAsia" w:ascii="宋体" w:cs="宋体"/>
                <w:sz w:val="18"/>
                <w:szCs w:val="18"/>
              </w:rPr>
              <w:t>六、其他资料</w:t>
            </w:r>
          </w:p>
          <w:p>
            <w:pPr>
              <w:spacing w:line="240" w:lineRule="exact"/>
              <w:ind w:firstLine="360" w:firstLineChars="200"/>
              <w:rPr>
                <w:rFonts w:ascii="宋体" w:hAnsi="宋体" w:cs="宋体"/>
                <w:sz w:val="18"/>
                <w:szCs w:val="18"/>
                <w:highlight w:val="lightGray"/>
              </w:rPr>
            </w:pPr>
            <w:r>
              <w:rPr>
                <w:rFonts w:hint="eastAsia" w:ascii="宋体" w:hAnsi="宋体" w:cs="宋体"/>
                <w:sz w:val="18"/>
                <w:szCs w:val="18"/>
                <w:highlight w:val="lightGray"/>
              </w:rPr>
              <w:t>工业总产值</w:t>
            </w:r>
            <w:r>
              <w:rPr>
                <w:rFonts w:ascii="宋体" w:hAnsi="宋体" w:cs="宋体"/>
                <w:sz w:val="18"/>
                <w:szCs w:val="18"/>
                <w:highlight w:val="lightGray"/>
              </w:rPr>
              <w:t>(</w:t>
            </w:r>
            <w:r>
              <w:rPr>
                <w:rFonts w:hint="eastAsia" w:ascii="宋体" w:hAnsi="宋体" w:cs="宋体"/>
                <w:sz w:val="18"/>
                <w:szCs w:val="18"/>
                <w:highlight w:val="lightGray"/>
              </w:rPr>
              <w:t>当年价格</w:t>
            </w:r>
            <w:r>
              <w:rPr>
                <w:rFonts w:ascii="宋体" w:hAnsi="宋体" w:cs="宋体"/>
                <w:sz w:val="18"/>
                <w:szCs w:val="18"/>
                <w:highlight w:val="lightGray"/>
              </w:rPr>
              <w:t>)</w:t>
            </w:r>
          </w:p>
          <w:p>
            <w:pPr>
              <w:snapToGrid w:val="0"/>
              <w:spacing w:line="240" w:lineRule="exact"/>
              <w:ind w:firstLine="345"/>
              <w:rPr>
                <w:rFonts w:ascii="宋体"/>
                <w:sz w:val="18"/>
                <w:szCs w:val="18"/>
              </w:rPr>
            </w:pPr>
            <w:r>
              <w:rPr>
                <w:rFonts w:hint="eastAsia" w:ascii="宋体" w:hAnsi="宋体" w:cs="宋体"/>
                <w:sz w:val="18"/>
                <w:szCs w:val="18"/>
                <w:highlight w:val="lightGray"/>
              </w:rPr>
              <w:t>平均用工人数</w:t>
            </w:r>
          </w:p>
          <w:p>
            <w:pPr>
              <w:spacing w:line="240" w:lineRule="exact"/>
              <w:ind w:firstLine="360" w:firstLineChars="200"/>
              <w:jc w:val="left"/>
              <w:rPr>
                <w:rFonts w:ascii="宋体" w:cs="宋体"/>
                <w:sz w:val="18"/>
                <w:szCs w:val="18"/>
              </w:rPr>
            </w:pPr>
            <w:r>
              <w:rPr>
                <w:rFonts w:hint="eastAsia" w:ascii="宋体" w:hAnsi="宋体" w:cs="宋体"/>
                <w:sz w:val="18"/>
                <w:szCs w:val="18"/>
              </w:rPr>
              <w:t>期末用工人数</w:t>
            </w:r>
          </w:p>
        </w:tc>
        <w:tc>
          <w:tcPr>
            <w:tcW w:w="574" w:type="dxa"/>
            <w:tcBorders>
              <w:bottom w:val="single" w:color="auto" w:sz="8" w:space="0"/>
            </w:tcBorders>
            <w:noWrap w:val="0"/>
            <w:vAlign w:val="top"/>
          </w:tcPr>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hint="eastAsia"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hAns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ascii="宋体" w:hAnsi="宋体" w:cs="宋体"/>
                <w:sz w:val="18"/>
                <w:szCs w:val="18"/>
              </w:rPr>
              <w:t>—</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pacing w:line="240" w:lineRule="exact"/>
              <w:ind w:left="-50" w:right="-50"/>
              <w:jc w:val="center"/>
              <w:rPr>
                <w:sz w:val="18"/>
                <w:szCs w:val="18"/>
              </w:rPr>
            </w:pPr>
            <w:r>
              <w:rPr>
                <w:rFonts w:cs="宋体"/>
                <w:sz w:val="18"/>
                <w:szCs w:val="18"/>
              </w:rPr>
              <w:t>—</w:t>
            </w:r>
          </w:p>
          <w:p>
            <w:pPr>
              <w:snapToGrid w:val="0"/>
              <w:spacing w:line="240" w:lineRule="exact"/>
              <w:ind w:left="-50" w:right="-50"/>
              <w:jc w:val="center"/>
              <w:rPr>
                <w:rFonts w:ascii="宋体" w:cs="宋体"/>
                <w:sz w:val="18"/>
                <w:szCs w:val="18"/>
              </w:rPr>
            </w:pPr>
            <w:r>
              <w:rPr>
                <w:rFonts w:hint="eastAsia" w:ascii="宋体" w:cs="宋体"/>
                <w:sz w:val="18"/>
                <w:szCs w:val="18"/>
              </w:rPr>
              <w:t>千元</w:t>
            </w:r>
          </w:p>
          <w:p>
            <w:pPr>
              <w:snapToGrid w:val="0"/>
              <w:spacing w:line="240" w:lineRule="exact"/>
              <w:ind w:left="-50" w:right="-50"/>
              <w:jc w:val="center"/>
              <w:rPr>
                <w:rFonts w:ascii="宋体" w:cs="宋体"/>
                <w:sz w:val="18"/>
                <w:szCs w:val="18"/>
              </w:rPr>
            </w:pPr>
            <w:r>
              <w:rPr>
                <w:rFonts w:hint="eastAsia" w:ascii="宋体" w:cs="宋体"/>
                <w:sz w:val="18"/>
                <w:szCs w:val="18"/>
              </w:rPr>
              <w:t>人</w:t>
            </w:r>
          </w:p>
          <w:p>
            <w:pPr>
              <w:snapToGrid w:val="0"/>
              <w:spacing w:line="240" w:lineRule="exact"/>
              <w:ind w:left="-50" w:right="-50"/>
              <w:jc w:val="center"/>
              <w:rPr>
                <w:rFonts w:ascii="宋体" w:cs="宋体"/>
                <w:sz w:val="18"/>
                <w:szCs w:val="18"/>
              </w:rPr>
            </w:pPr>
            <w:r>
              <w:rPr>
                <w:rFonts w:hint="eastAsia" w:ascii="宋体" w:cs="宋体"/>
                <w:sz w:val="18"/>
                <w:szCs w:val="18"/>
              </w:rPr>
              <w:t>人</w:t>
            </w:r>
          </w:p>
        </w:tc>
        <w:tc>
          <w:tcPr>
            <w:tcW w:w="576" w:type="dxa"/>
            <w:tcBorders>
              <w:bottom w:val="single" w:color="auto" w:sz="8" w:space="0"/>
            </w:tcBorders>
            <w:noWrap w:val="0"/>
            <w:vAlign w:val="top"/>
          </w:tcPr>
          <w:p>
            <w:pPr>
              <w:spacing w:line="240" w:lineRule="exact"/>
              <w:jc w:val="center"/>
              <w:rPr>
                <w:rFonts w:hint="eastAsia" w:ascii="宋体" w:hAnsi="宋体" w:cs="宋体"/>
                <w:sz w:val="18"/>
                <w:szCs w:val="18"/>
              </w:rPr>
            </w:pPr>
            <w:r>
              <w:rPr>
                <w:rFonts w:ascii="宋体" w:hAnsi="宋体" w:cs="宋体"/>
                <w:sz w:val="18"/>
                <w:szCs w:val="18"/>
              </w:rPr>
              <w:t>331</w:t>
            </w:r>
          </w:p>
          <w:p>
            <w:pPr>
              <w:spacing w:line="240" w:lineRule="exact"/>
              <w:jc w:val="center"/>
              <w:rPr>
                <w:rFonts w:ascii="宋体" w:hAnsi="宋体" w:cs="宋体"/>
                <w:sz w:val="18"/>
                <w:szCs w:val="18"/>
              </w:rPr>
            </w:pPr>
            <w:r>
              <w:rPr>
                <w:rFonts w:ascii="宋体" w:hAnsi="宋体" w:cs="宋体"/>
                <w:sz w:val="18"/>
                <w:szCs w:val="18"/>
              </w:rPr>
              <w:t>317</w:t>
            </w:r>
          </w:p>
          <w:p>
            <w:pPr>
              <w:spacing w:line="240" w:lineRule="exact"/>
              <w:jc w:val="center"/>
              <w:rPr>
                <w:rFonts w:ascii="宋体" w:hAnsi="宋体" w:cs="宋体"/>
                <w:sz w:val="18"/>
                <w:szCs w:val="18"/>
              </w:rPr>
            </w:pPr>
            <w:r>
              <w:rPr>
                <w:rFonts w:ascii="宋体" w:hAnsi="宋体" w:cs="宋体"/>
                <w:sz w:val="18"/>
                <w:szCs w:val="18"/>
              </w:rPr>
              <w:t>319</w:t>
            </w:r>
          </w:p>
          <w:p>
            <w:pPr>
              <w:spacing w:line="240" w:lineRule="exact"/>
              <w:jc w:val="center"/>
              <w:rPr>
                <w:rFonts w:ascii="宋体" w:hAnsi="宋体" w:cs="宋体"/>
                <w:sz w:val="18"/>
                <w:szCs w:val="18"/>
              </w:rPr>
            </w:pPr>
            <w:r>
              <w:rPr>
                <w:rFonts w:ascii="宋体" w:hAnsi="宋体" w:cs="宋体"/>
                <w:sz w:val="18"/>
                <w:szCs w:val="18"/>
              </w:rPr>
              <w:t>318</w:t>
            </w:r>
          </w:p>
          <w:p>
            <w:pPr>
              <w:spacing w:line="240" w:lineRule="exact"/>
              <w:jc w:val="center"/>
              <w:rPr>
                <w:rFonts w:ascii="宋体" w:hAnsi="宋体" w:cs="宋体"/>
                <w:sz w:val="18"/>
                <w:szCs w:val="18"/>
              </w:rPr>
            </w:pPr>
            <w:r>
              <w:rPr>
                <w:rFonts w:ascii="宋体" w:hAnsi="宋体" w:cs="宋体"/>
                <w:sz w:val="18"/>
                <w:szCs w:val="18"/>
              </w:rPr>
              <w:t>320</w:t>
            </w:r>
          </w:p>
          <w:p>
            <w:pPr>
              <w:spacing w:line="240" w:lineRule="exact"/>
              <w:jc w:val="center"/>
              <w:rPr>
                <w:rFonts w:ascii="宋体" w:hAnsi="宋体" w:cs="宋体"/>
                <w:sz w:val="18"/>
                <w:szCs w:val="18"/>
              </w:rPr>
            </w:pPr>
            <w:r>
              <w:rPr>
                <w:rFonts w:hint="eastAsia" w:ascii="宋体" w:hAnsi="宋体" w:cs="宋体"/>
                <w:sz w:val="18"/>
                <w:szCs w:val="18"/>
              </w:rPr>
              <w:t>333</w:t>
            </w:r>
          </w:p>
          <w:p>
            <w:pPr>
              <w:spacing w:line="240" w:lineRule="exact"/>
              <w:jc w:val="center"/>
              <w:rPr>
                <w:rFonts w:ascii="宋体" w:hAnsi="宋体" w:cs="宋体"/>
                <w:sz w:val="18"/>
                <w:szCs w:val="18"/>
              </w:rPr>
            </w:pPr>
            <w:r>
              <w:rPr>
                <w:rFonts w:ascii="宋体" w:hAnsi="宋体" w:cs="宋体"/>
                <w:sz w:val="18"/>
                <w:szCs w:val="18"/>
              </w:rPr>
              <w:t>330</w:t>
            </w:r>
          </w:p>
          <w:p>
            <w:pPr>
              <w:spacing w:line="240" w:lineRule="exact"/>
              <w:jc w:val="center"/>
              <w:rPr>
                <w:rFonts w:ascii="宋体" w:hAnsi="宋体" w:cs="宋体"/>
                <w:sz w:val="18"/>
                <w:szCs w:val="18"/>
              </w:rPr>
            </w:pPr>
            <w:r>
              <w:rPr>
                <w:rFonts w:ascii="宋体" w:hAnsi="宋体" w:cs="宋体"/>
                <w:sz w:val="18"/>
                <w:szCs w:val="18"/>
              </w:rPr>
              <w:t>322</w:t>
            </w:r>
          </w:p>
          <w:p>
            <w:pPr>
              <w:spacing w:line="240" w:lineRule="exact"/>
              <w:jc w:val="center"/>
              <w:rPr>
                <w:rFonts w:ascii="宋体" w:hAnsi="宋体" w:cs="宋体"/>
                <w:sz w:val="18"/>
                <w:szCs w:val="18"/>
              </w:rPr>
            </w:pPr>
            <w:r>
              <w:rPr>
                <w:rFonts w:hint="eastAsia" w:ascii="宋体" w:hAnsi="宋体" w:cs="宋体"/>
                <w:sz w:val="18"/>
                <w:szCs w:val="18"/>
              </w:rPr>
              <w:t>334</w:t>
            </w:r>
          </w:p>
          <w:p>
            <w:pPr>
              <w:spacing w:line="240" w:lineRule="exact"/>
              <w:jc w:val="center"/>
              <w:rPr>
                <w:rFonts w:ascii="宋体" w:hAnsi="宋体" w:cs="宋体"/>
                <w:sz w:val="18"/>
                <w:szCs w:val="18"/>
              </w:rPr>
            </w:pPr>
            <w:r>
              <w:rPr>
                <w:rFonts w:ascii="宋体" w:hAnsi="宋体" w:cs="宋体"/>
                <w:sz w:val="18"/>
                <w:szCs w:val="18"/>
              </w:rPr>
              <w:t>321</w:t>
            </w:r>
          </w:p>
          <w:p>
            <w:pPr>
              <w:spacing w:line="240" w:lineRule="exact"/>
              <w:jc w:val="center"/>
              <w:rPr>
                <w:rFonts w:ascii="宋体" w:hAnsi="宋体" w:cs="宋体"/>
                <w:sz w:val="18"/>
                <w:szCs w:val="18"/>
              </w:rPr>
            </w:pPr>
            <w:r>
              <w:rPr>
                <w:rFonts w:ascii="宋体" w:hAnsi="宋体" w:cs="宋体"/>
                <w:sz w:val="18"/>
                <w:szCs w:val="18"/>
              </w:rPr>
              <w:t>335</w:t>
            </w:r>
          </w:p>
          <w:p>
            <w:pPr>
              <w:spacing w:line="240" w:lineRule="exact"/>
              <w:jc w:val="center"/>
              <w:rPr>
                <w:rFonts w:ascii="宋体" w:hAnsi="宋体" w:cs="宋体"/>
                <w:sz w:val="18"/>
                <w:szCs w:val="18"/>
              </w:rPr>
            </w:pPr>
            <w:r>
              <w:rPr>
                <w:rFonts w:ascii="宋体" w:hAnsi="宋体" w:cs="宋体"/>
                <w:sz w:val="18"/>
                <w:szCs w:val="18"/>
              </w:rPr>
              <w:t>323</w:t>
            </w:r>
          </w:p>
          <w:p>
            <w:pPr>
              <w:spacing w:line="240" w:lineRule="exact"/>
              <w:jc w:val="center"/>
              <w:rPr>
                <w:rFonts w:ascii="宋体" w:hAnsi="宋体" w:cs="宋体"/>
                <w:sz w:val="18"/>
                <w:szCs w:val="18"/>
              </w:rPr>
            </w:pPr>
            <w:r>
              <w:rPr>
                <w:rFonts w:ascii="宋体" w:hAnsi="宋体" w:cs="宋体"/>
                <w:sz w:val="18"/>
                <w:szCs w:val="18"/>
              </w:rPr>
              <w:t>325</w:t>
            </w:r>
          </w:p>
          <w:p>
            <w:pPr>
              <w:spacing w:line="240" w:lineRule="exact"/>
              <w:jc w:val="center"/>
              <w:rPr>
                <w:rFonts w:ascii="宋体" w:hAnsi="宋体" w:cs="宋体"/>
                <w:sz w:val="18"/>
                <w:szCs w:val="18"/>
              </w:rPr>
            </w:pPr>
            <w:r>
              <w:rPr>
                <w:rFonts w:ascii="宋体" w:hAnsi="宋体" w:cs="宋体"/>
                <w:sz w:val="18"/>
                <w:szCs w:val="18"/>
              </w:rPr>
              <w:t>326</w:t>
            </w:r>
          </w:p>
          <w:p>
            <w:pPr>
              <w:spacing w:line="240" w:lineRule="exact"/>
              <w:jc w:val="center"/>
              <w:rPr>
                <w:rFonts w:ascii="宋体" w:hAnsi="宋体" w:cs="宋体"/>
                <w:sz w:val="18"/>
                <w:szCs w:val="18"/>
              </w:rPr>
            </w:pPr>
            <w:r>
              <w:rPr>
                <w:rFonts w:ascii="宋体" w:hAnsi="宋体" w:cs="宋体"/>
                <w:sz w:val="18"/>
                <w:szCs w:val="18"/>
              </w:rPr>
              <w:t>327</w:t>
            </w:r>
          </w:p>
          <w:p>
            <w:pPr>
              <w:spacing w:line="240" w:lineRule="exact"/>
              <w:jc w:val="center"/>
              <w:rPr>
                <w:rFonts w:ascii="宋体" w:hAnsi="宋体" w:cs="宋体"/>
                <w:sz w:val="18"/>
                <w:szCs w:val="18"/>
              </w:rPr>
            </w:pPr>
            <w:r>
              <w:rPr>
                <w:rFonts w:ascii="宋体" w:hAnsi="宋体" w:cs="宋体"/>
                <w:sz w:val="18"/>
                <w:szCs w:val="18"/>
              </w:rPr>
              <w:t>328</w:t>
            </w:r>
          </w:p>
          <w:p>
            <w:pPr>
              <w:spacing w:line="240" w:lineRule="exact"/>
              <w:jc w:val="center"/>
              <w:rPr>
                <w:rFonts w:ascii="宋体" w:hAnsi="宋体" w:cs="宋体"/>
                <w:sz w:val="18"/>
                <w:szCs w:val="18"/>
              </w:rPr>
            </w:pPr>
            <w:r>
              <w:rPr>
                <w:rFonts w:ascii="宋体" w:hAnsi="宋体" w:cs="宋体"/>
                <w:sz w:val="18"/>
                <w:szCs w:val="18"/>
              </w:rPr>
              <w:t>—</w:t>
            </w:r>
          </w:p>
          <w:p>
            <w:pPr>
              <w:spacing w:line="240" w:lineRule="exact"/>
              <w:jc w:val="center"/>
              <w:rPr>
                <w:rFonts w:ascii="宋体" w:hAnsi="宋体" w:cs="宋体"/>
                <w:sz w:val="18"/>
                <w:szCs w:val="18"/>
              </w:rPr>
            </w:pPr>
            <w:r>
              <w:rPr>
                <w:rFonts w:ascii="宋体" w:hAnsi="宋体" w:cs="宋体"/>
                <w:sz w:val="18"/>
                <w:szCs w:val="18"/>
              </w:rPr>
              <w:t>401</w:t>
            </w:r>
          </w:p>
          <w:p>
            <w:pPr>
              <w:spacing w:line="240" w:lineRule="exact"/>
              <w:jc w:val="center"/>
              <w:rPr>
                <w:rFonts w:ascii="宋体" w:hAnsi="宋体" w:cs="宋体"/>
                <w:sz w:val="18"/>
                <w:szCs w:val="18"/>
              </w:rPr>
            </w:pPr>
            <w:r>
              <w:rPr>
                <w:rFonts w:ascii="宋体" w:hAnsi="宋体" w:cs="宋体"/>
                <w:sz w:val="18"/>
                <w:szCs w:val="18"/>
              </w:rPr>
              <w:t>405</w:t>
            </w:r>
          </w:p>
          <w:p>
            <w:pPr>
              <w:spacing w:line="240" w:lineRule="exact"/>
              <w:jc w:val="center"/>
              <w:rPr>
                <w:rFonts w:ascii="宋体" w:hAnsi="宋体" w:cs="宋体"/>
                <w:sz w:val="18"/>
                <w:szCs w:val="18"/>
              </w:rPr>
            </w:pPr>
            <w:r>
              <w:rPr>
                <w:rFonts w:ascii="宋体" w:hAnsi="宋体" w:cs="宋体"/>
                <w:sz w:val="18"/>
                <w:szCs w:val="18"/>
              </w:rPr>
              <w:t>406</w:t>
            </w:r>
          </w:p>
          <w:p>
            <w:pPr>
              <w:spacing w:line="240" w:lineRule="exact"/>
              <w:jc w:val="center"/>
              <w:rPr>
                <w:rFonts w:ascii="宋体" w:hAnsi="宋体" w:cs="宋体"/>
                <w:sz w:val="18"/>
                <w:szCs w:val="18"/>
              </w:rPr>
            </w:pPr>
            <w:r>
              <w:rPr>
                <w:rFonts w:ascii="宋体" w:hAnsi="宋体" w:cs="宋体"/>
                <w:sz w:val="18"/>
                <w:szCs w:val="18"/>
              </w:rPr>
              <w:t>407</w:t>
            </w:r>
          </w:p>
          <w:p>
            <w:pPr>
              <w:spacing w:line="240" w:lineRule="exact"/>
              <w:jc w:val="center"/>
              <w:rPr>
                <w:rFonts w:ascii="宋体" w:hAnsi="宋体" w:cs="宋体"/>
                <w:sz w:val="18"/>
                <w:szCs w:val="18"/>
              </w:rPr>
            </w:pPr>
            <w:r>
              <w:rPr>
                <w:rFonts w:ascii="宋体" w:hAnsi="宋体" w:cs="宋体"/>
                <w:sz w:val="18"/>
                <w:szCs w:val="18"/>
              </w:rPr>
              <w:t>408</w:t>
            </w:r>
          </w:p>
          <w:p>
            <w:pPr>
              <w:spacing w:line="240" w:lineRule="exact"/>
              <w:jc w:val="center"/>
              <w:rPr>
                <w:rFonts w:ascii="宋体" w:hAnsi="宋体" w:cs="宋体"/>
                <w:sz w:val="18"/>
                <w:szCs w:val="18"/>
              </w:rPr>
            </w:pPr>
            <w:r>
              <w:rPr>
                <w:rFonts w:ascii="宋体" w:hAnsi="宋体" w:cs="宋体"/>
                <w:sz w:val="18"/>
                <w:szCs w:val="18"/>
              </w:rPr>
              <w:t>316</w:t>
            </w:r>
          </w:p>
          <w:p>
            <w:pPr>
              <w:snapToGrid w:val="0"/>
              <w:spacing w:line="240" w:lineRule="exact"/>
              <w:jc w:val="center"/>
              <w:rPr>
                <w:rFonts w:ascii="宋体" w:hAnsi="宋体" w:cs="宋体"/>
                <w:sz w:val="18"/>
                <w:szCs w:val="18"/>
              </w:rPr>
            </w:pPr>
            <w:r>
              <w:rPr>
                <w:rFonts w:ascii="宋体" w:hAnsi="宋体" w:cs="宋体"/>
                <w:sz w:val="18"/>
                <w:szCs w:val="18"/>
              </w:rPr>
              <w:t>884</w:t>
            </w:r>
          </w:p>
          <w:p>
            <w:pPr>
              <w:snapToGrid w:val="0"/>
              <w:spacing w:line="240" w:lineRule="exact"/>
              <w:jc w:val="center"/>
              <w:rPr>
                <w:rFonts w:ascii="宋体" w:hAnsi="宋体" w:cs="宋体"/>
                <w:sz w:val="18"/>
                <w:szCs w:val="18"/>
              </w:rPr>
            </w:pPr>
            <w:r>
              <w:rPr>
                <w:rFonts w:ascii="宋体" w:hAnsi="宋体" w:cs="宋体"/>
                <w:sz w:val="18"/>
                <w:szCs w:val="18"/>
              </w:rPr>
              <w:t>409</w:t>
            </w:r>
          </w:p>
          <w:p>
            <w:pPr>
              <w:snapToGrid w:val="0"/>
              <w:spacing w:line="240" w:lineRule="exact"/>
              <w:jc w:val="center"/>
              <w:rPr>
                <w:rFonts w:ascii="宋体" w:hAnsi="宋体" w:cs="宋体"/>
                <w:sz w:val="18"/>
                <w:szCs w:val="18"/>
              </w:rPr>
            </w:pPr>
            <w:r>
              <w:rPr>
                <w:rFonts w:ascii="宋体" w:hAnsi="宋体" w:cs="宋体"/>
                <w:sz w:val="18"/>
                <w:szCs w:val="18"/>
              </w:rPr>
              <w:t>410</w:t>
            </w:r>
          </w:p>
          <w:p>
            <w:pPr>
              <w:snapToGrid w:val="0"/>
              <w:spacing w:line="240" w:lineRule="exact"/>
              <w:jc w:val="center"/>
              <w:rPr>
                <w:rFonts w:ascii="宋体" w:hAnsi="宋体" w:cs="宋体"/>
                <w:sz w:val="18"/>
                <w:szCs w:val="18"/>
              </w:rPr>
            </w:pPr>
            <w:r>
              <w:rPr>
                <w:rFonts w:ascii="宋体" w:hAnsi="宋体" w:cs="宋体"/>
                <w:sz w:val="18"/>
                <w:szCs w:val="18"/>
              </w:rPr>
              <w:t>411</w:t>
            </w:r>
          </w:p>
          <w:p>
            <w:pPr>
              <w:snapToGrid w:val="0"/>
              <w:spacing w:line="240" w:lineRule="exact"/>
              <w:jc w:val="center"/>
              <w:rPr>
                <w:rFonts w:ascii="宋体" w:hAnsi="宋体" w:cs="宋体"/>
                <w:sz w:val="18"/>
                <w:szCs w:val="18"/>
              </w:rPr>
            </w:pPr>
            <w:r>
              <w:rPr>
                <w:rFonts w:ascii="宋体" w:hAnsi="宋体" w:cs="宋体"/>
                <w:sz w:val="18"/>
                <w:szCs w:val="18"/>
              </w:rPr>
              <w:t>882</w:t>
            </w:r>
          </w:p>
          <w:p>
            <w:pPr>
              <w:snapToGrid w:val="0"/>
              <w:spacing w:line="240" w:lineRule="exact"/>
              <w:jc w:val="center"/>
              <w:rPr>
                <w:rFonts w:ascii="宋体" w:hAnsi="宋体" w:cs="宋体"/>
                <w:sz w:val="18"/>
                <w:szCs w:val="18"/>
              </w:rPr>
            </w:pPr>
            <w:r>
              <w:rPr>
                <w:rFonts w:ascii="宋体" w:hAnsi="宋体" w:cs="宋体"/>
                <w:sz w:val="18"/>
                <w:szCs w:val="18"/>
              </w:rPr>
              <w:t>412</w:t>
            </w:r>
          </w:p>
          <w:p>
            <w:pPr>
              <w:snapToGrid w:val="0"/>
              <w:spacing w:line="240" w:lineRule="exact"/>
              <w:jc w:val="center"/>
              <w:rPr>
                <w:rFonts w:ascii="宋体" w:hAnsi="宋体" w:cs="宋体"/>
                <w:sz w:val="18"/>
                <w:szCs w:val="18"/>
              </w:rPr>
            </w:pPr>
            <w:r>
              <w:rPr>
                <w:rFonts w:ascii="宋体" w:hAnsi="宋体" w:cs="宋体"/>
                <w:sz w:val="18"/>
                <w:szCs w:val="18"/>
              </w:rPr>
              <w:t>413</w:t>
            </w:r>
          </w:p>
          <w:p>
            <w:pPr>
              <w:snapToGrid w:val="0"/>
              <w:spacing w:line="240" w:lineRule="exact"/>
              <w:jc w:val="center"/>
              <w:rPr>
                <w:rFonts w:ascii="宋体" w:hAnsi="宋体" w:cs="宋体"/>
                <w:sz w:val="18"/>
                <w:szCs w:val="18"/>
              </w:rPr>
            </w:pPr>
            <w:r>
              <w:rPr>
                <w:rFonts w:ascii="宋体" w:hAnsi="宋体" w:cs="宋体"/>
                <w:sz w:val="18"/>
                <w:szCs w:val="18"/>
              </w:rPr>
              <w:t>414</w:t>
            </w:r>
          </w:p>
          <w:p>
            <w:pPr>
              <w:snapToGrid w:val="0"/>
              <w:spacing w:line="240" w:lineRule="exact"/>
              <w:jc w:val="center"/>
              <w:rPr>
                <w:rFonts w:ascii="宋体" w:hAnsi="宋体" w:cs="宋体"/>
                <w:sz w:val="18"/>
                <w:szCs w:val="18"/>
              </w:rPr>
            </w:pPr>
            <w:r>
              <w:rPr>
                <w:rFonts w:ascii="宋体" w:hAnsi="宋体" w:cs="宋体"/>
                <w:sz w:val="18"/>
                <w:szCs w:val="18"/>
              </w:rPr>
              <w:t>402</w:t>
            </w:r>
          </w:p>
          <w:p>
            <w:pPr>
              <w:snapToGrid w:val="0"/>
              <w:spacing w:line="240" w:lineRule="exact"/>
              <w:jc w:val="center"/>
              <w:rPr>
                <w:rFonts w:ascii="宋体" w:hAnsi="宋体" w:cs="宋体"/>
                <w:sz w:val="18"/>
                <w:szCs w:val="18"/>
              </w:rPr>
            </w:pPr>
            <w:r>
              <w:rPr>
                <w:rFonts w:ascii="宋体" w:hAnsi="宋体" w:cs="宋体"/>
                <w:sz w:val="18"/>
                <w:szCs w:val="18"/>
              </w:rPr>
              <w:t>404</w:t>
            </w:r>
          </w:p>
          <w:p>
            <w:pPr>
              <w:snapToGrid w:val="0"/>
              <w:spacing w:line="240" w:lineRule="exact"/>
              <w:jc w:val="center"/>
              <w:rPr>
                <w:rFonts w:ascii="宋体" w:hAnsi="宋体" w:cs="宋体"/>
                <w:sz w:val="18"/>
                <w:szCs w:val="18"/>
              </w:rPr>
            </w:pPr>
            <w:r>
              <w:rPr>
                <w:rFonts w:ascii="宋体" w:hAnsi="宋体" w:cs="宋体"/>
                <w:sz w:val="18"/>
                <w:szCs w:val="18"/>
              </w:rPr>
              <w:t>403</w:t>
            </w:r>
          </w:p>
          <w:p>
            <w:pPr>
              <w:spacing w:line="240" w:lineRule="exact"/>
              <w:jc w:val="center"/>
              <w:rPr>
                <w:rFonts w:ascii="宋体" w:hAnsi="宋体" w:cs="宋体"/>
                <w:sz w:val="18"/>
                <w:szCs w:val="18"/>
              </w:rPr>
            </w:pPr>
            <w:r>
              <w:rPr>
                <w:rFonts w:ascii="宋体" w:hAnsi="宋体" w:cs="宋体"/>
                <w:sz w:val="18"/>
                <w:szCs w:val="18"/>
              </w:rPr>
              <w:t>—</w:t>
            </w:r>
          </w:p>
          <w:p>
            <w:pPr>
              <w:spacing w:line="240" w:lineRule="exact"/>
              <w:jc w:val="center"/>
              <w:rPr>
                <w:rFonts w:ascii="宋体" w:hAnsi="宋体" w:cs="宋体"/>
                <w:sz w:val="18"/>
                <w:szCs w:val="18"/>
              </w:rPr>
            </w:pPr>
            <w:r>
              <w:rPr>
                <w:rFonts w:ascii="宋体" w:hAnsi="宋体" w:cs="宋体"/>
                <w:sz w:val="18"/>
                <w:szCs w:val="18"/>
              </w:rPr>
              <w:t>601</w:t>
            </w:r>
          </w:p>
          <w:p>
            <w:pPr>
              <w:spacing w:line="240" w:lineRule="exact"/>
              <w:jc w:val="center"/>
              <w:rPr>
                <w:rFonts w:ascii="宋体" w:hAnsi="宋体" w:cs="宋体"/>
                <w:sz w:val="18"/>
                <w:szCs w:val="18"/>
              </w:rPr>
            </w:pPr>
            <w:r>
              <w:rPr>
                <w:rFonts w:ascii="宋体" w:hAnsi="宋体" w:cs="宋体"/>
                <w:sz w:val="18"/>
                <w:szCs w:val="18"/>
              </w:rPr>
              <w:t>606</w:t>
            </w:r>
          </w:p>
          <w:p>
            <w:pPr>
              <w:snapToGrid w:val="0"/>
              <w:spacing w:line="240" w:lineRule="exact"/>
              <w:jc w:val="center"/>
              <w:rPr>
                <w:rFonts w:ascii="宋体" w:cs="宋体"/>
                <w:sz w:val="18"/>
                <w:szCs w:val="18"/>
              </w:rPr>
            </w:pPr>
            <w:r>
              <w:rPr>
                <w:rFonts w:ascii="宋体" w:hAnsi="宋体" w:cs="宋体"/>
                <w:sz w:val="18"/>
                <w:szCs w:val="18"/>
              </w:rPr>
              <w:t>609</w:t>
            </w:r>
          </w:p>
        </w:tc>
        <w:tc>
          <w:tcPr>
            <w:tcW w:w="448" w:type="dxa"/>
            <w:tcBorders>
              <w:bottom w:val="single" w:color="auto" w:sz="8" w:space="0"/>
            </w:tcBorders>
            <w:noWrap w:val="0"/>
            <w:vAlign w:val="top"/>
          </w:tcPr>
          <w:p>
            <w:pPr>
              <w:snapToGrid w:val="0"/>
              <w:spacing w:line="240" w:lineRule="exact"/>
              <w:jc w:val="center"/>
              <w:rPr>
                <w:rFonts w:ascii="宋体" w:cs="宋体"/>
                <w:sz w:val="18"/>
                <w:szCs w:val="18"/>
              </w:rPr>
            </w:pPr>
          </w:p>
        </w:tc>
      </w:tr>
    </w:tbl>
    <w:p>
      <w:pPr>
        <w:spacing w:line="220" w:lineRule="exact"/>
        <w:ind w:right="105" w:rightChars="50"/>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单位负责人：        统计负责人：         填表人：          联系电话：           报出日期：</w:t>
      </w:r>
      <w:r>
        <w:rPr>
          <w:rFonts w:hint="eastAsia" w:asciiTheme="minorEastAsia" w:hAnsiTheme="minorEastAsia" w:eastAsiaTheme="minorEastAsia" w:cstheme="minorEastAsia"/>
          <w:kern w:val="0"/>
          <w:sz w:val="18"/>
          <w:szCs w:val="18"/>
          <w:lang w:val="en-US" w:eastAsia="zh-CN"/>
        </w:rPr>
        <w:t>2 0</w:t>
      </w:r>
      <w:r>
        <w:rPr>
          <w:rFonts w:hint="eastAsia" w:asciiTheme="minorEastAsia" w:hAnsiTheme="minorEastAsia" w:eastAsiaTheme="minorEastAsia" w:cstheme="minorEastAsia"/>
          <w:kern w:val="0"/>
          <w:sz w:val="18"/>
          <w:szCs w:val="18"/>
        </w:rPr>
        <w:t xml:space="preserve">  </w:t>
      </w:r>
      <w:r>
        <w:rPr>
          <w:rFonts w:hint="eastAsia" w:asciiTheme="minorEastAsia" w:hAnsiTheme="minorEastAsia" w:eastAsiaTheme="minorEastAsia" w:cstheme="minorEastAsia"/>
          <w:kern w:val="0"/>
          <w:sz w:val="18"/>
          <w:szCs w:val="18"/>
          <w:lang w:val="en-US" w:eastAsia="zh-CN"/>
        </w:rPr>
        <w:t xml:space="preserve"> </w:t>
      </w:r>
      <w:r>
        <w:rPr>
          <w:rFonts w:hint="eastAsia" w:asciiTheme="minorEastAsia" w:hAnsiTheme="minorEastAsia" w:eastAsiaTheme="minorEastAsia" w:cstheme="minorEastAsia"/>
          <w:kern w:val="0"/>
          <w:sz w:val="18"/>
          <w:szCs w:val="18"/>
        </w:rPr>
        <w:t>年  月</w:t>
      </w:r>
      <w:r>
        <w:rPr>
          <w:rFonts w:hint="eastAsia" w:asciiTheme="minorEastAsia" w:hAnsiTheme="minorEastAsia" w:eastAsiaTheme="minorEastAsia" w:cstheme="minorEastAsia"/>
          <w:kern w:val="0"/>
          <w:sz w:val="18"/>
          <w:szCs w:val="18"/>
          <w:lang w:val="en"/>
        </w:rPr>
        <w:t xml:space="preserve"> </w:t>
      </w:r>
      <w:r>
        <w:rPr>
          <w:rFonts w:hint="eastAsia" w:asciiTheme="minorEastAsia" w:hAnsiTheme="minorEastAsia" w:eastAsiaTheme="minorEastAsia" w:cstheme="minorEastAsia"/>
          <w:kern w:val="0"/>
          <w:sz w:val="18"/>
          <w:szCs w:val="18"/>
        </w:rPr>
        <w:t xml:space="preserve"> </w:t>
      </w:r>
      <w:r>
        <w:rPr>
          <w:rFonts w:hint="eastAsia" w:asciiTheme="minorEastAsia" w:hAnsiTheme="minorEastAsia" w:eastAsiaTheme="minorEastAsia" w:cstheme="minorEastAsia"/>
          <w:kern w:val="0"/>
          <w:sz w:val="18"/>
          <w:szCs w:val="18"/>
          <w:lang w:val="en"/>
        </w:rPr>
        <w:t>日</w:t>
      </w:r>
      <w:r>
        <w:rPr>
          <w:rFonts w:hint="eastAsia" w:asciiTheme="minorEastAsia" w:hAnsiTheme="minorEastAsia" w:eastAsiaTheme="minorEastAsia" w:cstheme="minorEastAsia"/>
          <w:kern w:val="0"/>
          <w:sz w:val="18"/>
          <w:szCs w:val="18"/>
        </w:rPr>
        <w:t xml:space="preserve"> </w:t>
      </w:r>
    </w:p>
    <w:p>
      <w:pPr>
        <w:snapToGrid w:val="0"/>
        <w:spacing w:before="124" w:beforeLines="40" w:line="220" w:lineRule="exact"/>
        <w:ind w:left="84" w:leftChars="40" w:right="-310" w:rightChars="-148"/>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说明：1.统计范围：辖区内规模以上工业法人单位和规模以上工业个体经营户。</w:t>
      </w:r>
    </w:p>
    <w:p>
      <w:pPr>
        <w:snapToGrid w:val="0"/>
        <w:spacing w:line="220" w:lineRule="exact"/>
        <w:ind w:left="222" w:leftChars="106" w:right="63" w:rightChars="30" w:firstLine="383" w:firstLineChars="213"/>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2.报送日期及方式：调查单位202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年3月1</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spacing w:val="-2"/>
          <w:sz w:val="18"/>
          <w:szCs w:val="18"/>
        </w:rPr>
        <w:t>。</w:t>
      </w:r>
    </w:p>
    <w:p>
      <w:pPr>
        <w:numPr>
          <w:ilvl w:val="0"/>
          <w:numId w:val="0"/>
        </w:numPr>
        <w:spacing w:line="220" w:lineRule="exact"/>
        <w:ind w:left="220" w:leftChars="0" w:firstLine="318" w:firstLineChars="177"/>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  3.数据处理要求：对于2025年12月在规模以上工业法人单位和规模以上工业个体经营户名录库的调查单位，表中置灰指标数据由统计机构从B203表、B204-1表12月份定报中摘抄，其他指标由企业自行填报。新增的调查</w:t>
      </w:r>
    </w:p>
    <w:p>
      <w:pPr>
        <w:numPr>
          <w:ilvl w:val="0"/>
          <w:numId w:val="0"/>
        </w:numPr>
        <w:spacing w:line="220" w:lineRule="exact"/>
        <w:ind w:left="216" w:leftChars="0" w:hanging="216" w:hangingChars="12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   单位需填报本表各项指标数据。</w:t>
      </w:r>
    </w:p>
    <w:p>
      <w:pPr>
        <w:keepNext w:val="0"/>
        <w:keepLines w:val="0"/>
        <w:pageBreakBefore w:val="0"/>
        <w:widowControl/>
        <w:kinsoku/>
        <w:wordWrap/>
        <w:overflowPunct/>
        <w:topLinePunct w:val="0"/>
        <w:autoSpaceDE/>
        <w:autoSpaceDN/>
        <w:bidi w:val="0"/>
        <w:adjustRightInd/>
        <w:snapToGrid/>
        <w:spacing w:line="240" w:lineRule="exact"/>
        <w:ind w:left="73" w:leftChars="35" w:firstLine="540" w:firstLineChars="3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4</w:t>
      </w:r>
      <w:r>
        <w:rPr>
          <w:rFonts w:hint="eastAsia" w:asciiTheme="minorEastAsia" w:hAnsiTheme="minorEastAsia" w:eastAsiaTheme="minorEastAsia" w:cstheme="minorEastAsia"/>
          <w:sz w:val="18"/>
          <w:szCs w:val="18"/>
        </w:rPr>
        <w:t>.审核关系：</w:t>
      </w:r>
    </w:p>
    <w:p>
      <w:pPr>
        <w:widowControl/>
        <w:spacing w:line="220" w:lineRule="exact"/>
        <w:ind w:left="-35" w:leftChars="-17" w:firstLine="720" w:firstLineChars="400"/>
        <w:rPr>
          <w:rFonts w:ascii="宋体" w:cs="宋体"/>
          <w:sz w:val="18"/>
          <w:szCs w:val="18"/>
        </w:rPr>
      </w:pPr>
      <w:r>
        <w:rPr>
          <w:rFonts w:ascii="宋体" w:hAnsi="宋体" w:cs="宋体"/>
          <w:kern w:val="0"/>
          <w:sz w:val="18"/>
          <w:szCs w:val="18"/>
        </w:rPr>
        <w:t>(1)</w:t>
      </w:r>
      <w:r>
        <w:rPr>
          <w:rFonts w:hint="eastAsia" w:ascii="宋体" w:cs="宋体"/>
          <w:sz w:val="18"/>
          <w:szCs w:val="18"/>
        </w:rPr>
        <w:t>年初存货</w:t>
      </w:r>
      <w:r>
        <w:rPr>
          <w:rFonts w:ascii="宋体" w:cs="宋体"/>
          <w:sz w:val="18"/>
          <w:szCs w:val="18"/>
        </w:rPr>
        <w:t>(101)</w:t>
      </w:r>
      <w:r>
        <w:rPr>
          <w:rFonts w:hint="eastAsia" w:ascii="宋体" w:cs="宋体"/>
          <w:sz w:val="18"/>
          <w:szCs w:val="18"/>
        </w:rPr>
        <w:t>≥其中：产成品</w:t>
      </w:r>
      <w:r>
        <w:rPr>
          <w:rFonts w:ascii="宋体" w:cs="宋体"/>
          <w:sz w:val="18"/>
          <w:szCs w:val="18"/>
        </w:rPr>
        <w:t>(102)</w:t>
      </w:r>
    </w:p>
    <w:p>
      <w:pPr>
        <w:widowControl/>
        <w:spacing w:line="220" w:lineRule="exact"/>
        <w:ind w:left="-35" w:leftChars="-17" w:firstLine="720" w:firstLineChars="400"/>
        <w:rPr>
          <w:rFonts w:ascii="宋体" w:cs="宋体"/>
          <w:sz w:val="18"/>
          <w:szCs w:val="18"/>
        </w:rPr>
      </w:pPr>
      <w:r>
        <w:rPr>
          <w:rFonts w:ascii="宋体" w:cs="宋体"/>
          <w:sz w:val="18"/>
          <w:szCs w:val="18"/>
        </w:rPr>
        <w:t>(2)</w:t>
      </w:r>
      <w:r>
        <w:rPr>
          <w:rFonts w:hint="eastAsia" w:ascii="宋体" w:cs="宋体"/>
          <w:sz w:val="18"/>
          <w:szCs w:val="18"/>
        </w:rPr>
        <w:t>流动资产合计</w:t>
      </w:r>
      <w:r>
        <w:rPr>
          <w:rFonts w:ascii="宋体" w:cs="宋体"/>
          <w:sz w:val="18"/>
          <w:szCs w:val="18"/>
        </w:rPr>
        <w:t>(201)</w:t>
      </w:r>
      <w:r>
        <w:rPr>
          <w:rFonts w:hint="eastAsia" w:ascii="宋体" w:cs="宋体"/>
          <w:sz w:val="18"/>
          <w:szCs w:val="18"/>
        </w:rPr>
        <w:t>≥其中：应收账款</w:t>
      </w:r>
      <w:r>
        <w:rPr>
          <w:rFonts w:ascii="宋体" w:cs="宋体"/>
          <w:sz w:val="18"/>
          <w:szCs w:val="18"/>
        </w:rPr>
        <w:t>(202)+</w:t>
      </w:r>
      <w:r>
        <w:rPr>
          <w:rFonts w:hint="eastAsia" w:ascii="宋体" w:cs="宋体"/>
          <w:sz w:val="18"/>
          <w:szCs w:val="18"/>
        </w:rPr>
        <w:t>其中：存货</w:t>
      </w:r>
      <w:r>
        <w:rPr>
          <w:rFonts w:ascii="宋体" w:cs="宋体"/>
          <w:sz w:val="18"/>
          <w:szCs w:val="18"/>
        </w:rPr>
        <w:t>(205)</w:t>
      </w:r>
    </w:p>
    <w:p>
      <w:pPr>
        <w:widowControl/>
        <w:spacing w:line="220" w:lineRule="exact"/>
        <w:ind w:left="-35" w:leftChars="-17" w:firstLine="720" w:firstLineChars="400"/>
        <w:rPr>
          <w:rFonts w:ascii="宋体" w:cs="宋体"/>
          <w:sz w:val="18"/>
          <w:szCs w:val="18"/>
        </w:rPr>
      </w:pPr>
      <w:r>
        <w:rPr>
          <w:rFonts w:ascii="宋体" w:cs="宋体"/>
          <w:sz w:val="18"/>
          <w:szCs w:val="18"/>
        </w:rPr>
        <w:t>(3)</w:t>
      </w:r>
      <w:r>
        <w:rPr>
          <w:rFonts w:hint="eastAsia" w:ascii="宋体" w:cs="宋体"/>
          <w:sz w:val="18"/>
          <w:szCs w:val="18"/>
        </w:rPr>
        <w:t>存货</w:t>
      </w:r>
      <w:r>
        <w:rPr>
          <w:rFonts w:ascii="宋体" w:cs="宋体"/>
          <w:sz w:val="18"/>
          <w:szCs w:val="18"/>
        </w:rPr>
        <w:t>(205)</w:t>
      </w:r>
      <w:r>
        <w:rPr>
          <w:rFonts w:hint="eastAsia" w:ascii="宋体" w:cs="宋体"/>
          <w:sz w:val="18"/>
          <w:szCs w:val="18"/>
        </w:rPr>
        <w:t>≥其中：产成品</w:t>
      </w:r>
      <w:r>
        <w:rPr>
          <w:rFonts w:ascii="宋体" w:cs="宋体"/>
          <w:sz w:val="18"/>
          <w:szCs w:val="18"/>
        </w:rPr>
        <w:t>(206)</w:t>
      </w:r>
    </w:p>
    <w:p>
      <w:pPr>
        <w:widowControl/>
        <w:spacing w:line="220" w:lineRule="exact"/>
        <w:ind w:left="-35" w:leftChars="-17" w:firstLine="720" w:firstLineChars="400"/>
        <w:rPr>
          <w:rFonts w:ascii="宋体" w:cs="宋体"/>
          <w:sz w:val="18"/>
          <w:szCs w:val="18"/>
        </w:rPr>
      </w:pPr>
      <w:r>
        <w:rPr>
          <w:rFonts w:ascii="宋体" w:cs="宋体"/>
          <w:sz w:val="18"/>
          <w:szCs w:val="18"/>
        </w:rPr>
        <w:t>(4)</w:t>
      </w:r>
      <w:r>
        <w:rPr>
          <w:rFonts w:hint="eastAsia" w:ascii="宋体" w:cs="宋体"/>
          <w:sz w:val="18"/>
          <w:szCs w:val="18"/>
        </w:rPr>
        <w:t>固定资产原价</w:t>
      </w:r>
      <w:r>
        <w:rPr>
          <w:rFonts w:ascii="宋体" w:cs="宋体"/>
          <w:sz w:val="18"/>
          <w:szCs w:val="18"/>
        </w:rPr>
        <w:t>(209)</w:t>
      </w:r>
      <w:r>
        <w:rPr>
          <w:rFonts w:hint="eastAsia" w:ascii="宋体" w:cs="宋体"/>
          <w:sz w:val="18"/>
          <w:szCs w:val="18"/>
        </w:rPr>
        <w:t>≥其中：房屋和构筑物</w:t>
      </w:r>
      <w:r>
        <w:rPr>
          <w:rFonts w:ascii="宋体" w:cs="宋体"/>
          <w:sz w:val="18"/>
          <w:szCs w:val="18"/>
        </w:rPr>
        <w:t>(231)+</w:t>
      </w:r>
      <w:r>
        <w:rPr>
          <w:rFonts w:hint="eastAsia" w:ascii="宋体" w:cs="宋体"/>
          <w:sz w:val="18"/>
          <w:szCs w:val="18"/>
        </w:rPr>
        <w:t>机器设备</w:t>
      </w:r>
      <w:r>
        <w:rPr>
          <w:rFonts w:ascii="宋体" w:cs="宋体"/>
          <w:sz w:val="18"/>
          <w:szCs w:val="18"/>
        </w:rPr>
        <w:t>(232)</w:t>
      </w:r>
    </w:p>
    <w:p>
      <w:pPr>
        <w:widowControl/>
        <w:spacing w:line="220" w:lineRule="exact"/>
        <w:ind w:left="-35" w:leftChars="-17" w:firstLine="720" w:firstLineChars="400"/>
        <w:rPr>
          <w:rFonts w:ascii="宋体" w:cs="宋体"/>
          <w:sz w:val="18"/>
          <w:szCs w:val="18"/>
        </w:rPr>
      </w:pPr>
      <w:r>
        <w:rPr>
          <w:rFonts w:ascii="宋体" w:cs="宋体"/>
          <w:sz w:val="18"/>
          <w:szCs w:val="18"/>
        </w:rPr>
        <w:t>(5)</w:t>
      </w:r>
      <w:r>
        <w:rPr>
          <w:rFonts w:hint="eastAsia" w:ascii="宋体" w:cs="宋体"/>
          <w:sz w:val="18"/>
          <w:szCs w:val="18"/>
        </w:rPr>
        <w:t>累计折旧</w:t>
      </w:r>
      <w:r>
        <w:rPr>
          <w:rFonts w:ascii="宋体" w:cs="宋体"/>
          <w:sz w:val="18"/>
          <w:szCs w:val="18"/>
        </w:rPr>
        <w:t>(210)</w:t>
      </w:r>
      <w:r>
        <w:rPr>
          <w:rFonts w:hint="eastAsia" w:ascii="宋体" w:cs="宋体"/>
          <w:sz w:val="18"/>
          <w:szCs w:val="18"/>
        </w:rPr>
        <w:t>≥其中：本年折旧</w:t>
      </w:r>
      <w:r>
        <w:rPr>
          <w:rFonts w:ascii="宋体" w:cs="宋体"/>
          <w:sz w:val="18"/>
          <w:szCs w:val="18"/>
        </w:rPr>
        <w:t>(211)</w:t>
      </w:r>
    </w:p>
    <w:p>
      <w:pPr>
        <w:snapToGrid w:val="0"/>
        <w:spacing w:line="240" w:lineRule="exact"/>
        <w:ind w:left="1117" w:leftChars="326" w:hanging="433" w:hangingChars="241"/>
        <w:rPr>
          <w:rFonts w:ascii="宋体" w:cs="宋体"/>
          <w:sz w:val="18"/>
          <w:szCs w:val="18"/>
        </w:rPr>
      </w:pPr>
      <w:r>
        <w:rPr>
          <w:rFonts w:ascii="宋体" w:cs="宋体"/>
          <w:sz w:val="18"/>
          <w:szCs w:val="18"/>
        </w:rPr>
        <w:t>(6)</w:t>
      </w:r>
      <w:r>
        <w:rPr>
          <w:rFonts w:hint="eastAsia" w:ascii="宋体" w:cs="宋体"/>
          <w:sz w:val="18"/>
          <w:szCs w:val="18"/>
        </w:rPr>
        <w:t>固定资产原价</w:t>
      </w:r>
      <w:r>
        <w:rPr>
          <w:rFonts w:ascii="宋体" w:cs="宋体"/>
          <w:sz w:val="18"/>
          <w:szCs w:val="18"/>
        </w:rPr>
        <w:t>(209)-</w:t>
      </w:r>
      <w:r>
        <w:rPr>
          <w:rFonts w:hint="eastAsia" w:ascii="宋体" w:cs="宋体"/>
          <w:sz w:val="18"/>
          <w:szCs w:val="18"/>
        </w:rPr>
        <w:t>累计折旧</w:t>
      </w:r>
      <w:r>
        <w:rPr>
          <w:rFonts w:ascii="宋体" w:cs="宋体"/>
          <w:sz w:val="18"/>
          <w:szCs w:val="18"/>
        </w:rPr>
        <w:t>(210)</w:t>
      </w:r>
      <w:r>
        <w:rPr>
          <w:rFonts w:hint="eastAsia" w:ascii="宋体" w:cs="宋体"/>
          <w:sz w:val="18"/>
          <w:szCs w:val="18"/>
        </w:rPr>
        <w:t>≥固定资产净额</w:t>
      </w:r>
      <w:r>
        <w:rPr>
          <w:rFonts w:ascii="宋体" w:cs="宋体"/>
          <w:sz w:val="18"/>
          <w:szCs w:val="18"/>
        </w:rPr>
        <w:t>(252)</w:t>
      </w:r>
    </w:p>
    <w:p>
      <w:pPr>
        <w:widowControl/>
        <w:spacing w:line="220" w:lineRule="exact"/>
        <w:ind w:left="-35" w:leftChars="-17" w:firstLine="720" w:firstLineChars="400"/>
        <w:rPr>
          <w:rFonts w:ascii="宋体" w:cs="宋体"/>
          <w:sz w:val="18"/>
          <w:szCs w:val="18"/>
        </w:rPr>
      </w:pPr>
      <w:r>
        <w:rPr>
          <w:rFonts w:ascii="宋体" w:cs="宋体"/>
          <w:sz w:val="18"/>
          <w:szCs w:val="18"/>
        </w:rPr>
        <w:t>(7)</w:t>
      </w:r>
      <w:r>
        <w:rPr>
          <w:rFonts w:hint="eastAsia" w:ascii="宋体" w:cs="宋体"/>
          <w:sz w:val="18"/>
          <w:szCs w:val="18"/>
        </w:rPr>
        <w:t>无形资产</w:t>
      </w:r>
      <w:r>
        <w:rPr>
          <w:rFonts w:ascii="宋体" w:cs="宋体"/>
          <w:sz w:val="18"/>
          <w:szCs w:val="18"/>
        </w:rPr>
        <w:t>(246)</w:t>
      </w:r>
      <w:r>
        <w:rPr>
          <w:rFonts w:hint="eastAsia" w:ascii="宋体" w:cs="宋体"/>
          <w:sz w:val="18"/>
          <w:szCs w:val="18"/>
        </w:rPr>
        <w:t>≥其中</w:t>
      </w:r>
      <w:r>
        <w:rPr>
          <w:rFonts w:ascii="宋体" w:cs="宋体"/>
          <w:sz w:val="18"/>
          <w:szCs w:val="18"/>
        </w:rPr>
        <w:t>:</w:t>
      </w:r>
      <w:r>
        <w:rPr>
          <w:rFonts w:hint="eastAsia" w:ascii="宋体" w:cs="宋体"/>
          <w:sz w:val="18"/>
          <w:szCs w:val="18"/>
        </w:rPr>
        <w:t>土地使用权</w:t>
      </w:r>
      <w:r>
        <w:rPr>
          <w:rFonts w:ascii="宋体" w:cs="宋体"/>
          <w:sz w:val="18"/>
          <w:szCs w:val="18"/>
        </w:rPr>
        <w:t>(247)</w:t>
      </w:r>
    </w:p>
    <w:p>
      <w:pPr>
        <w:widowControl/>
        <w:spacing w:line="220" w:lineRule="exact"/>
        <w:ind w:left="-35" w:leftChars="-17" w:firstLine="720" w:firstLineChars="400"/>
        <w:rPr>
          <w:rFonts w:ascii="宋体" w:cs="宋体"/>
          <w:sz w:val="18"/>
          <w:szCs w:val="18"/>
        </w:rPr>
      </w:pPr>
      <w:r>
        <w:rPr>
          <w:rFonts w:ascii="宋体" w:cs="宋体"/>
          <w:sz w:val="18"/>
          <w:szCs w:val="18"/>
        </w:rPr>
        <w:t>(8)</w:t>
      </w:r>
      <w:r>
        <w:rPr>
          <w:rFonts w:hint="eastAsia" w:ascii="宋体" w:cs="宋体"/>
          <w:sz w:val="18"/>
          <w:szCs w:val="18"/>
        </w:rPr>
        <w:t>流动负债合计</w:t>
      </w:r>
      <w:r>
        <w:rPr>
          <w:rFonts w:ascii="宋体" w:cs="宋体"/>
          <w:sz w:val="18"/>
          <w:szCs w:val="18"/>
        </w:rPr>
        <w:t>(214)</w:t>
      </w:r>
      <w:r>
        <w:rPr>
          <w:rFonts w:hint="eastAsia" w:ascii="宋体" w:cs="宋体"/>
          <w:sz w:val="18"/>
          <w:szCs w:val="18"/>
        </w:rPr>
        <w:t>≥其中：应付账款</w:t>
      </w:r>
      <w:r>
        <w:rPr>
          <w:rFonts w:ascii="宋体" w:cs="宋体"/>
          <w:sz w:val="18"/>
          <w:szCs w:val="18"/>
        </w:rPr>
        <w:t>(215)</w:t>
      </w:r>
    </w:p>
    <w:p>
      <w:pPr>
        <w:widowControl/>
        <w:spacing w:line="220" w:lineRule="exact"/>
        <w:ind w:left="-35" w:leftChars="-17" w:firstLine="720" w:firstLineChars="400"/>
        <w:rPr>
          <w:rFonts w:ascii="宋体" w:cs="宋体"/>
          <w:sz w:val="18"/>
          <w:szCs w:val="18"/>
        </w:rPr>
      </w:pPr>
      <w:r>
        <w:rPr>
          <w:rFonts w:ascii="宋体" w:cs="宋体"/>
          <w:sz w:val="18"/>
          <w:szCs w:val="18"/>
        </w:rPr>
        <w:t>(9)</w:t>
      </w:r>
      <w:r>
        <w:rPr>
          <w:rFonts w:hint="eastAsia" w:ascii="宋体" w:cs="宋体"/>
          <w:sz w:val="18"/>
          <w:szCs w:val="18"/>
        </w:rPr>
        <w:t>资产总计</w:t>
      </w:r>
      <w:r>
        <w:rPr>
          <w:rFonts w:ascii="宋体" w:cs="宋体"/>
          <w:sz w:val="18"/>
          <w:szCs w:val="18"/>
        </w:rPr>
        <w:t>(213)=</w:t>
      </w:r>
      <w:r>
        <w:rPr>
          <w:rFonts w:hint="eastAsia" w:ascii="宋体" w:cs="宋体"/>
          <w:sz w:val="18"/>
          <w:szCs w:val="18"/>
        </w:rPr>
        <w:t>负债合计</w:t>
      </w:r>
      <w:r>
        <w:rPr>
          <w:rFonts w:ascii="宋体" w:cs="宋体"/>
          <w:sz w:val="18"/>
          <w:szCs w:val="18"/>
        </w:rPr>
        <w:t>(217)+</w:t>
      </w:r>
      <w:r>
        <w:rPr>
          <w:rFonts w:hint="eastAsia" w:ascii="宋体" w:cs="宋体"/>
          <w:sz w:val="18"/>
          <w:szCs w:val="18"/>
        </w:rPr>
        <w:t>所有者权益合计</w:t>
      </w:r>
      <w:r>
        <w:rPr>
          <w:rFonts w:ascii="宋体" w:cs="宋体"/>
          <w:sz w:val="18"/>
          <w:szCs w:val="18"/>
        </w:rPr>
        <w:t>(218)</w:t>
      </w:r>
    </w:p>
    <w:p>
      <w:pPr>
        <w:widowControl/>
        <w:spacing w:line="220" w:lineRule="exact"/>
        <w:ind w:left="-35" w:leftChars="-17" w:firstLine="720" w:firstLineChars="400"/>
        <w:rPr>
          <w:rFonts w:ascii="宋体" w:cs="宋体"/>
          <w:sz w:val="18"/>
          <w:szCs w:val="18"/>
        </w:rPr>
      </w:pPr>
      <w:r>
        <w:rPr>
          <w:rFonts w:ascii="宋体" w:cs="宋体"/>
          <w:sz w:val="18"/>
          <w:szCs w:val="18"/>
        </w:rPr>
        <w:t>(10)</w:t>
      </w:r>
      <w:r>
        <w:rPr>
          <w:rFonts w:hint="eastAsia" w:ascii="宋体" w:cs="宋体"/>
          <w:sz w:val="18"/>
          <w:szCs w:val="18"/>
        </w:rPr>
        <w:t>所有者权益合计</w:t>
      </w:r>
      <w:r>
        <w:rPr>
          <w:rFonts w:ascii="宋体" w:cs="宋体"/>
          <w:sz w:val="18"/>
          <w:szCs w:val="18"/>
        </w:rPr>
        <w:t>(218)</w:t>
      </w:r>
      <w:r>
        <w:rPr>
          <w:rFonts w:hint="eastAsia" w:ascii="宋体" w:cs="宋体"/>
          <w:sz w:val="18"/>
          <w:szCs w:val="18"/>
        </w:rPr>
        <w:t>≥实收资本</w:t>
      </w:r>
      <w:r>
        <w:rPr>
          <w:rFonts w:ascii="宋体" w:cs="宋体"/>
          <w:sz w:val="18"/>
          <w:szCs w:val="18"/>
        </w:rPr>
        <w:t>(219)</w:t>
      </w:r>
    </w:p>
    <w:p>
      <w:pPr>
        <w:widowControl/>
        <w:spacing w:line="220" w:lineRule="exact"/>
        <w:ind w:left="-35" w:leftChars="-17" w:firstLine="720" w:firstLineChars="400"/>
        <w:rPr>
          <w:rFonts w:ascii="宋体" w:cs="宋体"/>
          <w:sz w:val="18"/>
          <w:szCs w:val="18"/>
        </w:rPr>
      </w:pPr>
      <w:r>
        <w:rPr>
          <w:rFonts w:ascii="宋体" w:cs="宋体"/>
          <w:sz w:val="18"/>
          <w:szCs w:val="18"/>
        </w:rPr>
        <w:t>(11)</w:t>
      </w:r>
      <w:r>
        <w:rPr>
          <w:rFonts w:hint="eastAsia" w:ascii="宋体" w:cs="宋体"/>
          <w:sz w:val="18"/>
          <w:szCs w:val="18"/>
        </w:rPr>
        <w:t>实收资本</w:t>
      </w:r>
      <w:r>
        <w:rPr>
          <w:rFonts w:ascii="宋体" w:cs="宋体"/>
          <w:sz w:val="18"/>
          <w:szCs w:val="18"/>
        </w:rPr>
        <w:t>(219)=</w:t>
      </w:r>
      <w:r>
        <w:rPr>
          <w:rFonts w:hint="eastAsia" w:ascii="宋体" w:cs="宋体"/>
          <w:sz w:val="18"/>
          <w:szCs w:val="18"/>
        </w:rPr>
        <w:t>国家资本</w:t>
      </w:r>
      <w:r>
        <w:rPr>
          <w:rFonts w:ascii="宋体" w:cs="宋体"/>
          <w:sz w:val="18"/>
          <w:szCs w:val="18"/>
        </w:rPr>
        <w:t>(220)+</w:t>
      </w:r>
      <w:r>
        <w:rPr>
          <w:rFonts w:hint="eastAsia" w:ascii="宋体" w:cs="宋体"/>
          <w:sz w:val="18"/>
          <w:szCs w:val="18"/>
        </w:rPr>
        <w:t>集体资本</w:t>
      </w:r>
      <w:r>
        <w:rPr>
          <w:rFonts w:ascii="宋体" w:cs="宋体"/>
          <w:sz w:val="18"/>
          <w:szCs w:val="18"/>
        </w:rPr>
        <w:t>(221)+</w:t>
      </w:r>
      <w:r>
        <w:rPr>
          <w:rFonts w:hint="eastAsia" w:ascii="宋体" w:cs="宋体"/>
          <w:sz w:val="18"/>
          <w:szCs w:val="18"/>
        </w:rPr>
        <w:t>法人资本</w:t>
      </w:r>
      <w:r>
        <w:rPr>
          <w:rFonts w:ascii="宋体" w:cs="宋体"/>
          <w:sz w:val="18"/>
          <w:szCs w:val="18"/>
        </w:rPr>
        <w:t>(222)+</w:t>
      </w:r>
      <w:r>
        <w:rPr>
          <w:rFonts w:hint="eastAsia" w:ascii="宋体" w:cs="宋体"/>
          <w:sz w:val="18"/>
          <w:szCs w:val="18"/>
        </w:rPr>
        <w:t>个人资本</w:t>
      </w:r>
      <w:r>
        <w:rPr>
          <w:rFonts w:ascii="宋体" w:cs="宋体"/>
          <w:sz w:val="18"/>
          <w:szCs w:val="18"/>
        </w:rPr>
        <w:t>(223)+</w:t>
      </w:r>
      <w:r>
        <w:rPr>
          <w:rFonts w:hint="eastAsia" w:ascii="宋体" w:cs="宋体"/>
          <w:sz w:val="18"/>
          <w:szCs w:val="18"/>
        </w:rPr>
        <w:t>港澳台资本</w:t>
      </w:r>
      <w:r>
        <w:rPr>
          <w:rFonts w:ascii="宋体" w:cs="宋体"/>
          <w:sz w:val="18"/>
          <w:szCs w:val="18"/>
        </w:rPr>
        <w:t>(224)</w:t>
      </w:r>
    </w:p>
    <w:p>
      <w:pPr>
        <w:snapToGrid w:val="0"/>
        <w:spacing w:line="220" w:lineRule="exact"/>
        <w:ind w:left="1117" w:leftChars="532" w:firstLine="980" w:firstLineChars="545"/>
        <w:rPr>
          <w:rFonts w:ascii="宋体" w:cs="宋体"/>
          <w:sz w:val="18"/>
          <w:szCs w:val="18"/>
        </w:rPr>
      </w:pPr>
      <w:r>
        <w:rPr>
          <w:rFonts w:ascii="宋体" w:cs="宋体"/>
          <w:sz w:val="18"/>
          <w:szCs w:val="18"/>
        </w:rPr>
        <w:t>+</w:t>
      </w:r>
      <w:r>
        <w:rPr>
          <w:rFonts w:hint="eastAsia" w:ascii="宋体" w:cs="宋体"/>
          <w:sz w:val="18"/>
          <w:szCs w:val="18"/>
        </w:rPr>
        <w:t>外商资本</w:t>
      </w:r>
      <w:r>
        <w:rPr>
          <w:rFonts w:ascii="宋体" w:cs="宋体"/>
          <w:sz w:val="18"/>
          <w:szCs w:val="18"/>
        </w:rPr>
        <w:t>(225)</w:t>
      </w:r>
    </w:p>
    <w:p>
      <w:pPr>
        <w:snapToGrid w:val="0"/>
        <w:spacing w:line="220" w:lineRule="exact"/>
        <w:ind w:left="1117" w:leftChars="326" w:hanging="433" w:hangingChars="241"/>
        <w:rPr>
          <w:rFonts w:ascii="宋体" w:cs="宋体"/>
          <w:sz w:val="18"/>
          <w:szCs w:val="18"/>
        </w:rPr>
      </w:pPr>
      <w:r>
        <w:rPr>
          <w:rFonts w:ascii="宋体" w:cs="宋体"/>
          <w:sz w:val="18"/>
          <w:szCs w:val="18"/>
        </w:rPr>
        <w:t>(12)</w:t>
      </w:r>
      <w:r>
        <w:rPr>
          <w:rFonts w:hint="eastAsia" w:ascii="宋体" w:cs="宋体"/>
          <w:sz w:val="18"/>
          <w:szCs w:val="18"/>
        </w:rPr>
        <w:t>制造成本</w:t>
      </w:r>
      <w:r>
        <w:rPr>
          <w:rFonts w:ascii="宋体" w:cs="宋体"/>
          <w:sz w:val="18"/>
          <w:szCs w:val="18"/>
        </w:rPr>
        <w:t>(801)</w:t>
      </w:r>
      <w:r>
        <w:rPr>
          <w:rFonts w:hint="eastAsia" w:ascii="宋体" w:cs="宋体"/>
          <w:sz w:val="18"/>
          <w:szCs w:val="18"/>
        </w:rPr>
        <w:t>≥直接材料消耗</w:t>
      </w:r>
      <w:r>
        <w:rPr>
          <w:rFonts w:ascii="宋体" w:cs="宋体"/>
          <w:sz w:val="18"/>
          <w:szCs w:val="18"/>
        </w:rPr>
        <w:t>(802)+生产部门</w:t>
      </w:r>
      <w:r>
        <w:rPr>
          <w:rFonts w:hint="eastAsia" w:ascii="宋体" w:cs="宋体"/>
          <w:sz w:val="18"/>
          <w:szCs w:val="18"/>
        </w:rPr>
        <w:t>人员薪酬</w:t>
      </w:r>
      <w:r>
        <w:rPr>
          <w:rFonts w:ascii="宋体" w:cs="宋体"/>
          <w:sz w:val="18"/>
          <w:szCs w:val="18"/>
        </w:rPr>
        <w:t>(901)</w:t>
      </w:r>
    </w:p>
    <w:p>
      <w:pPr>
        <w:snapToGrid w:val="0"/>
        <w:spacing w:line="220" w:lineRule="exact"/>
        <w:ind w:left="1117" w:leftChars="326" w:hanging="433" w:hangingChars="241"/>
        <w:rPr>
          <w:rFonts w:ascii="宋体" w:cs="宋体"/>
          <w:sz w:val="18"/>
          <w:szCs w:val="18"/>
        </w:rPr>
      </w:pPr>
      <w:r>
        <w:rPr>
          <w:rFonts w:ascii="宋体" w:cs="宋体"/>
          <w:sz w:val="18"/>
          <w:szCs w:val="18"/>
        </w:rPr>
        <w:t>(13)</w:t>
      </w:r>
      <w:r>
        <w:rPr>
          <w:rFonts w:hint="eastAsia" w:ascii="宋体" w:cs="宋体"/>
          <w:sz w:val="18"/>
          <w:szCs w:val="18"/>
        </w:rPr>
        <w:t>管理费用</w:t>
      </w:r>
      <w:r>
        <w:rPr>
          <w:rFonts w:ascii="宋体" w:cs="宋体"/>
          <w:sz w:val="18"/>
          <w:szCs w:val="18"/>
        </w:rPr>
        <w:t>(313)</w:t>
      </w:r>
      <w:r>
        <w:rPr>
          <w:rFonts w:hint="eastAsia" w:ascii="宋体" w:cs="宋体"/>
          <w:sz w:val="18"/>
          <w:szCs w:val="18"/>
        </w:rPr>
        <w:t>＞上交管理费</w:t>
      </w:r>
      <w:r>
        <w:rPr>
          <w:rFonts w:ascii="宋体" w:cs="宋体"/>
          <w:sz w:val="18"/>
          <w:szCs w:val="18"/>
        </w:rPr>
        <w:t>(872)+</w:t>
      </w:r>
      <w:r>
        <w:rPr>
          <w:rFonts w:hint="eastAsia" w:ascii="宋体" w:cs="宋体"/>
          <w:sz w:val="18"/>
          <w:szCs w:val="18"/>
        </w:rPr>
        <w:t>董事会费</w:t>
      </w:r>
      <w:r>
        <w:rPr>
          <w:rFonts w:ascii="宋体" w:cs="宋体"/>
          <w:sz w:val="18"/>
          <w:szCs w:val="18"/>
        </w:rPr>
        <w:t>(877)</w:t>
      </w:r>
    </w:p>
    <w:p>
      <w:pPr>
        <w:snapToGrid w:val="0"/>
        <w:spacing w:line="220" w:lineRule="exact"/>
        <w:ind w:left="1117" w:leftChars="326" w:hanging="433" w:hangingChars="241"/>
        <w:rPr>
          <w:rFonts w:ascii="宋体" w:cs="宋体"/>
          <w:sz w:val="18"/>
          <w:szCs w:val="18"/>
        </w:rPr>
      </w:pPr>
      <w:r>
        <w:rPr>
          <w:rFonts w:ascii="宋体" w:cs="宋体"/>
          <w:sz w:val="18"/>
          <w:szCs w:val="18"/>
        </w:rPr>
        <w:t>(14)</w:t>
      </w:r>
      <w:r>
        <w:rPr>
          <w:rFonts w:hint="eastAsia" w:ascii="宋体" w:cs="宋体"/>
          <w:sz w:val="18"/>
          <w:szCs w:val="18"/>
        </w:rPr>
        <w:t>营业收入</w:t>
      </w:r>
      <w:r>
        <w:rPr>
          <w:rFonts w:ascii="宋体" w:cs="宋体"/>
          <w:sz w:val="18"/>
          <w:szCs w:val="18"/>
        </w:rPr>
        <w:t>(301)</w:t>
      </w:r>
      <w:r>
        <w:rPr>
          <w:rFonts w:hint="eastAsia" w:ascii="宋体" w:cs="宋体"/>
          <w:sz w:val="18"/>
          <w:szCs w:val="18"/>
        </w:rPr>
        <w:t>≥其中：主营业务收入</w:t>
      </w:r>
      <w:r>
        <w:rPr>
          <w:rFonts w:ascii="宋体" w:cs="宋体"/>
          <w:sz w:val="18"/>
          <w:szCs w:val="18"/>
        </w:rPr>
        <w:t>(302)</w:t>
      </w:r>
    </w:p>
    <w:p>
      <w:pPr>
        <w:snapToGrid w:val="0"/>
        <w:spacing w:line="220" w:lineRule="exact"/>
        <w:ind w:left="1117" w:leftChars="326" w:hanging="433" w:hangingChars="241"/>
        <w:rPr>
          <w:rFonts w:ascii="宋体" w:cs="宋体"/>
          <w:sz w:val="18"/>
          <w:szCs w:val="18"/>
        </w:rPr>
      </w:pPr>
      <w:r>
        <w:rPr>
          <w:rFonts w:ascii="宋体" w:cs="宋体"/>
          <w:sz w:val="18"/>
          <w:szCs w:val="18"/>
        </w:rPr>
        <w:t>(15)</w:t>
      </w:r>
      <w:r>
        <w:rPr>
          <w:rFonts w:hint="eastAsia" w:ascii="宋体" w:cs="宋体"/>
          <w:sz w:val="18"/>
          <w:szCs w:val="18"/>
        </w:rPr>
        <w:t>当利润总额</w:t>
      </w:r>
      <w:r>
        <w:rPr>
          <w:rFonts w:ascii="宋体" w:cs="宋体"/>
          <w:sz w:val="18"/>
          <w:szCs w:val="18"/>
        </w:rPr>
        <w:t>(327)</w:t>
      </w:r>
      <w:r>
        <w:rPr>
          <w:rFonts w:hint="eastAsia" w:ascii="宋体" w:cs="宋体"/>
          <w:sz w:val="18"/>
          <w:szCs w:val="18"/>
        </w:rPr>
        <w:t>＞</w:t>
      </w:r>
      <w:r>
        <w:rPr>
          <w:rFonts w:ascii="宋体" w:cs="宋体"/>
          <w:sz w:val="18"/>
          <w:szCs w:val="18"/>
        </w:rPr>
        <w:t>0</w:t>
      </w:r>
      <w:r>
        <w:rPr>
          <w:rFonts w:hint="eastAsia" w:ascii="宋体" w:cs="宋体"/>
          <w:sz w:val="18"/>
          <w:szCs w:val="18"/>
        </w:rPr>
        <w:t>时，利润总额</w:t>
      </w:r>
      <w:r>
        <w:rPr>
          <w:rFonts w:ascii="宋体" w:cs="宋体"/>
          <w:sz w:val="18"/>
          <w:szCs w:val="18"/>
        </w:rPr>
        <w:t>(327)</w:t>
      </w:r>
      <w:r>
        <w:rPr>
          <w:rFonts w:hint="eastAsia" w:ascii="宋体" w:cs="宋体"/>
          <w:sz w:val="18"/>
          <w:szCs w:val="18"/>
        </w:rPr>
        <w:t>＞所得税费用</w:t>
      </w:r>
      <w:r>
        <w:rPr>
          <w:rFonts w:ascii="宋体" w:cs="宋体"/>
          <w:sz w:val="18"/>
          <w:szCs w:val="18"/>
        </w:rPr>
        <w:t>(328)</w:t>
      </w:r>
    </w:p>
    <w:p>
      <w:pPr>
        <w:snapToGrid w:val="0"/>
        <w:spacing w:line="220" w:lineRule="exact"/>
        <w:ind w:left="2664" w:leftChars="326" w:hanging="1980" w:hangingChars="1100"/>
        <w:rPr>
          <w:rFonts w:ascii="宋体" w:cs="宋体"/>
          <w:sz w:val="18"/>
          <w:szCs w:val="18"/>
        </w:rPr>
      </w:pPr>
      <w:r>
        <w:rPr>
          <w:rFonts w:ascii="宋体" w:cs="宋体"/>
          <w:sz w:val="18"/>
          <w:szCs w:val="18"/>
        </w:rPr>
        <w:t>(16)</w:t>
      </w:r>
      <w:r>
        <w:rPr>
          <w:rFonts w:hint="eastAsia" w:ascii="宋体" w:cs="宋体"/>
          <w:sz w:val="18"/>
          <w:szCs w:val="18"/>
        </w:rPr>
        <w:t>应付职工薪酬</w:t>
      </w:r>
      <w:r>
        <w:rPr>
          <w:rFonts w:ascii="宋体" w:cs="宋体"/>
          <w:sz w:val="18"/>
          <w:szCs w:val="18"/>
        </w:rPr>
        <w:t>(401)=</w:t>
      </w:r>
      <w:r>
        <w:rPr>
          <w:rFonts w:hint="eastAsia" w:ascii="宋体" w:cs="宋体"/>
          <w:sz w:val="18"/>
          <w:szCs w:val="18"/>
        </w:rPr>
        <w:t>其中：工资、奖金、津贴和补贴</w:t>
      </w:r>
      <w:r>
        <w:rPr>
          <w:rFonts w:ascii="宋体" w:cs="宋体"/>
          <w:sz w:val="18"/>
          <w:szCs w:val="18"/>
        </w:rPr>
        <w:t>(405)+</w:t>
      </w:r>
      <w:r>
        <w:rPr>
          <w:rFonts w:hint="eastAsia" w:ascii="宋体" w:cs="宋体"/>
          <w:sz w:val="18"/>
          <w:szCs w:val="18"/>
        </w:rPr>
        <w:t>福利费</w:t>
      </w:r>
      <w:r>
        <w:rPr>
          <w:rFonts w:ascii="宋体" w:cs="宋体"/>
          <w:sz w:val="18"/>
          <w:szCs w:val="18"/>
        </w:rPr>
        <w:t>(406)+</w:t>
      </w:r>
      <w:r>
        <w:rPr>
          <w:rFonts w:hint="eastAsia" w:ascii="宋体" w:cs="宋体"/>
          <w:sz w:val="18"/>
          <w:szCs w:val="18"/>
        </w:rPr>
        <w:t>社保费</w:t>
      </w:r>
      <w:r>
        <w:rPr>
          <w:rFonts w:ascii="宋体" w:cs="宋体"/>
          <w:sz w:val="18"/>
          <w:szCs w:val="18"/>
        </w:rPr>
        <w:t>(407)+</w:t>
      </w:r>
      <w:r>
        <w:rPr>
          <w:rFonts w:hint="eastAsia" w:ascii="宋体" w:cs="宋体"/>
          <w:sz w:val="18"/>
          <w:szCs w:val="18"/>
        </w:rPr>
        <w:t>住房公积金</w:t>
      </w:r>
      <w:r>
        <w:rPr>
          <w:rFonts w:ascii="宋体" w:cs="宋体"/>
          <w:sz w:val="18"/>
          <w:szCs w:val="18"/>
        </w:rPr>
        <w:t>(408)+</w:t>
      </w:r>
    </w:p>
    <w:p>
      <w:pPr>
        <w:snapToGrid w:val="0"/>
        <w:spacing w:line="220" w:lineRule="exact"/>
        <w:ind w:left="2664" w:leftChars="326" w:hanging="1980" w:hangingChars="1100"/>
        <w:rPr>
          <w:rFonts w:ascii="宋体" w:cs="宋体"/>
          <w:sz w:val="18"/>
          <w:szCs w:val="18"/>
        </w:rPr>
      </w:pPr>
      <w:r>
        <w:rPr>
          <w:rFonts w:hint="eastAsia" w:ascii="宋体" w:cs="宋体"/>
          <w:sz w:val="18"/>
          <w:szCs w:val="18"/>
        </w:rPr>
        <w:t xml:space="preserve">                    工会经费</w:t>
      </w:r>
      <w:r>
        <w:rPr>
          <w:rFonts w:ascii="宋体" w:cs="宋体"/>
          <w:sz w:val="18"/>
          <w:szCs w:val="18"/>
        </w:rPr>
        <w:t>(316)+</w:t>
      </w:r>
      <w:r>
        <w:rPr>
          <w:rFonts w:hint="eastAsia" w:ascii="宋体" w:cs="宋体"/>
          <w:sz w:val="18"/>
          <w:szCs w:val="18"/>
        </w:rPr>
        <w:t>职工教育经费</w:t>
      </w:r>
      <w:r>
        <w:rPr>
          <w:rFonts w:ascii="宋体" w:cs="宋体"/>
          <w:sz w:val="18"/>
          <w:szCs w:val="18"/>
        </w:rPr>
        <w:t>(884)+</w:t>
      </w:r>
      <w:r>
        <w:rPr>
          <w:rFonts w:hint="eastAsia" w:ascii="宋体" w:cs="宋体"/>
          <w:sz w:val="18"/>
          <w:szCs w:val="18"/>
        </w:rPr>
        <w:t>劳务派遣人员薪酬</w:t>
      </w:r>
      <w:r>
        <w:rPr>
          <w:rFonts w:ascii="宋体" w:cs="宋体"/>
          <w:sz w:val="18"/>
          <w:szCs w:val="18"/>
        </w:rPr>
        <w:t>(409)+</w:t>
      </w:r>
      <w:r>
        <w:rPr>
          <w:rFonts w:hint="eastAsia" w:ascii="宋体" w:cs="宋体"/>
          <w:sz w:val="18"/>
          <w:szCs w:val="18"/>
        </w:rPr>
        <w:t>其他职工薪酬</w:t>
      </w:r>
      <w:r>
        <w:rPr>
          <w:rFonts w:ascii="宋体" w:cs="宋体"/>
          <w:sz w:val="18"/>
          <w:szCs w:val="18"/>
        </w:rPr>
        <w:t>(410)</w:t>
      </w:r>
    </w:p>
    <w:p>
      <w:pPr>
        <w:snapToGrid w:val="0"/>
        <w:spacing w:line="220" w:lineRule="exact"/>
        <w:ind w:left="1117" w:leftChars="326" w:hanging="433" w:hangingChars="241"/>
        <w:rPr>
          <w:rFonts w:ascii="宋体" w:cs="宋体"/>
          <w:sz w:val="18"/>
          <w:szCs w:val="18"/>
        </w:rPr>
      </w:pPr>
      <w:r>
        <w:rPr>
          <w:rFonts w:ascii="宋体" w:hAnsi="宋体" w:cs="宋体"/>
          <w:kern w:val="0"/>
          <w:sz w:val="18"/>
          <w:szCs w:val="18"/>
        </w:rPr>
        <w:t>(17)</w:t>
      </w:r>
      <w:r>
        <w:rPr>
          <w:rFonts w:hint="eastAsia" w:ascii="宋体" w:cs="宋体"/>
          <w:sz w:val="18"/>
          <w:szCs w:val="18"/>
        </w:rPr>
        <w:t>应付职工薪酬</w:t>
      </w:r>
      <w:r>
        <w:rPr>
          <w:rFonts w:ascii="宋体" w:cs="宋体"/>
          <w:sz w:val="18"/>
          <w:szCs w:val="18"/>
        </w:rPr>
        <w:t>(401)</w:t>
      </w:r>
      <w:r>
        <w:rPr>
          <w:rFonts w:hint="eastAsia" w:ascii="宋体" w:cs="宋体"/>
          <w:sz w:val="18"/>
          <w:szCs w:val="18"/>
        </w:rPr>
        <w:t>＞</w:t>
      </w:r>
      <w:r>
        <w:rPr>
          <w:rFonts w:ascii="宋体" w:hAnsi="宋体" w:cs="宋体"/>
          <w:kern w:val="0"/>
          <w:sz w:val="18"/>
          <w:szCs w:val="18"/>
        </w:rPr>
        <w:t>生产部门人员薪酬</w:t>
      </w:r>
      <w:r>
        <w:rPr>
          <w:rFonts w:ascii="宋体" w:cs="宋体"/>
          <w:sz w:val="18"/>
          <w:szCs w:val="18"/>
        </w:rPr>
        <w:t>(901)</w:t>
      </w:r>
    </w:p>
    <w:p>
      <w:pPr>
        <w:snapToGrid w:val="0"/>
        <w:spacing w:line="220" w:lineRule="exact"/>
        <w:ind w:left="1117" w:leftChars="326" w:hanging="433" w:hangingChars="241"/>
        <w:rPr>
          <w:rFonts w:ascii="宋体" w:cs="宋体"/>
          <w:sz w:val="18"/>
          <w:szCs w:val="18"/>
        </w:rPr>
      </w:pPr>
      <w:r>
        <w:rPr>
          <w:rFonts w:ascii="宋体" w:cs="宋体"/>
          <w:sz w:val="18"/>
          <w:szCs w:val="18"/>
        </w:rPr>
        <w:t>(18)</w:t>
      </w:r>
      <w:r>
        <w:rPr>
          <w:rFonts w:hint="eastAsia" w:ascii="宋体" w:cs="宋体"/>
          <w:sz w:val="18"/>
          <w:szCs w:val="18"/>
        </w:rPr>
        <w:t>当水电费</w:t>
      </w:r>
      <w:r>
        <w:rPr>
          <w:rFonts w:ascii="宋体" w:cs="宋体"/>
          <w:sz w:val="18"/>
          <w:szCs w:val="18"/>
        </w:rPr>
        <w:t>(412)</w:t>
      </w:r>
      <w:r>
        <w:rPr>
          <w:rFonts w:hint="eastAsia" w:ascii="宋体" w:cs="宋体"/>
          <w:sz w:val="18"/>
          <w:szCs w:val="18"/>
        </w:rPr>
        <w:t>＞</w:t>
      </w:r>
      <w:r>
        <w:rPr>
          <w:rFonts w:ascii="宋体" w:cs="宋体"/>
          <w:sz w:val="18"/>
          <w:szCs w:val="18"/>
        </w:rPr>
        <w:t>0</w:t>
      </w:r>
      <w:r>
        <w:rPr>
          <w:rFonts w:hint="eastAsia" w:ascii="宋体" w:cs="宋体"/>
          <w:sz w:val="18"/>
          <w:szCs w:val="18"/>
        </w:rPr>
        <w:t>时，水电费</w:t>
      </w:r>
      <w:r>
        <w:rPr>
          <w:rFonts w:ascii="宋体" w:cs="宋体"/>
          <w:sz w:val="18"/>
          <w:szCs w:val="18"/>
        </w:rPr>
        <w:t>(412)</w:t>
      </w:r>
      <w:r>
        <w:rPr>
          <w:rFonts w:hint="eastAsia" w:ascii="宋体" w:cs="宋体"/>
          <w:sz w:val="18"/>
          <w:szCs w:val="18"/>
        </w:rPr>
        <w:t>＞其中：上缴的各项税费</w:t>
      </w:r>
      <w:r>
        <w:rPr>
          <w:rFonts w:ascii="宋体" w:cs="宋体"/>
          <w:sz w:val="18"/>
          <w:szCs w:val="18"/>
        </w:rPr>
        <w:t>(413)</w:t>
      </w:r>
    </w:p>
    <w:p>
      <w:pPr>
        <w:snapToGrid w:val="0"/>
        <w:spacing w:line="220" w:lineRule="exact"/>
        <w:ind w:left="1047" w:leftChars="326" w:hanging="363" w:hangingChars="202"/>
        <w:rPr>
          <w:rFonts w:ascii="宋体" w:cs="宋体"/>
          <w:sz w:val="18"/>
          <w:szCs w:val="18"/>
        </w:rPr>
      </w:pPr>
      <w:r>
        <w:rPr>
          <w:rFonts w:ascii="宋体" w:cs="宋体"/>
          <w:sz w:val="18"/>
          <w:szCs w:val="18"/>
        </w:rPr>
        <w:t>(19)</w:t>
      </w:r>
      <w:r>
        <w:rPr>
          <w:rFonts w:hint="eastAsia" w:ascii="宋体" w:cs="宋体"/>
          <w:sz w:val="18"/>
          <w:szCs w:val="18"/>
        </w:rPr>
        <w:t>允许所有者权益合计</w:t>
      </w:r>
      <w:r>
        <w:rPr>
          <w:rFonts w:ascii="宋体" w:cs="宋体"/>
          <w:sz w:val="18"/>
          <w:szCs w:val="18"/>
        </w:rPr>
        <w:t>(218)</w:t>
      </w:r>
      <w:r>
        <w:rPr>
          <w:rFonts w:hint="eastAsia" w:ascii="宋体" w:cs="宋体"/>
          <w:sz w:val="18"/>
          <w:szCs w:val="18"/>
        </w:rPr>
        <w:t>、财务费用</w:t>
      </w:r>
      <w:r>
        <w:rPr>
          <w:rFonts w:ascii="宋体" w:cs="宋体"/>
          <w:sz w:val="18"/>
          <w:szCs w:val="18"/>
        </w:rPr>
        <w:t>(317)</w:t>
      </w:r>
      <w:r>
        <w:rPr>
          <w:rFonts w:hint="eastAsia" w:ascii="宋体" w:cs="宋体"/>
          <w:sz w:val="18"/>
          <w:szCs w:val="18"/>
        </w:rPr>
        <w:t>、</w:t>
      </w:r>
      <w:r>
        <w:rPr>
          <w:rFonts w:hint="eastAsia" w:ascii="宋体"/>
          <w:sz w:val="18"/>
        </w:rPr>
        <w:t>资产减值损失</w:t>
      </w:r>
      <w:r>
        <w:rPr>
          <w:rFonts w:ascii="宋体"/>
          <w:sz w:val="18"/>
        </w:rPr>
        <w:t>(320)</w:t>
      </w:r>
      <w:r>
        <w:rPr>
          <w:rFonts w:hint="eastAsia" w:ascii="宋体"/>
          <w:sz w:val="18"/>
        </w:rPr>
        <w:t>、信用减值损失</w:t>
      </w:r>
      <w:r>
        <w:rPr>
          <w:rFonts w:ascii="宋体"/>
          <w:sz w:val="18"/>
        </w:rPr>
        <w:t>(333)</w:t>
      </w:r>
      <w:r>
        <w:rPr>
          <w:rFonts w:hint="eastAsia" w:ascii="宋体"/>
          <w:sz w:val="18"/>
        </w:rPr>
        <w:t>、</w:t>
      </w:r>
      <w:r>
        <w:rPr>
          <w:rFonts w:hint="eastAsia" w:ascii="宋体" w:cs="宋体"/>
          <w:sz w:val="18"/>
          <w:szCs w:val="18"/>
        </w:rPr>
        <w:t>投资收益</w:t>
      </w:r>
      <w:r>
        <w:rPr>
          <w:rFonts w:ascii="宋体" w:cs="宋体"/>
          <w:sz w:val="18"/>
          <w:szCs w:val="18"/>
        </w:rPr>
        <w:t>(322)</w:t>
      </w:r>
      <w:r>
        <w:rPr>
          <w:rFonts w:hint="eastAsia" w:ascii="宋体" w:cs="宋体"/>
          <w:sz w:val="18"/>
          <w:szCs w:val="18"/>
        </w:rPr>
        <w:t>、公允价值变动收益</w:t>
      </w:r>
      <w:r>
        <w:rPr>
          <w:rFonts w:ascii="宋体" w:cs="宋体"/>
          <w:sz w:val="18"/>
          <w:szCs w:val="18"/>
        </w:rPr>
        <w:t>(321)</w:t>
      </w:r>
      <w:r>
        <w:rPr>
          <w:rFonts w:hint="eastAsia" w:ascii="宋体" w:cs="宋体"/>
          <w:sz w:val="18"/>
          <w:szCs w:val="18"/>
        </w:rPr>
        <w:t>、资产处置收益</w:t>
      </w:r>
      <w:r>
        <w:rPr>
          <w:rFonts w:ascii="宋体" w:cs="宋体"/>
          <w:sz w:val="18"/>
          <w:szCs w:val="18"/>
        </w:rPr>
        <w:t>(</w:t>
      </w:r>
      <w:r>
        <w:rPr>
          <w:rFonts w:hint="eastAsia" w:ascii="宋体" w:cs="宋体"/>
          <w:sz w:val="18"/>
          <w:szCs w:val="18"/>
        </w:rPr>
        <w:t>335</w:t>
      </w:r>
      <w:r>
        <w:rPr>
          <w:rFonts w:ascii="宋体" w:cs="宋体"/>
          <w:sz w:val="18"/>
          <w:szCs w:val="18"/>
        </w:rPr>
        <w:t>)</w:t>
      </w:r>
      <w:r>
        <w:rPr>
          <w:rFonts w:hint="eastAsia" w:ascii="宋体" w:cs="宋体"/>
          <w:sz w:val="18"/>
          <w:szCs w:val="18"/>
        </w:rPr>
        <w:t>、</w:t>
      </w:r>
      <w:r>
        <w:rPr>
          <w:rFonts w:hint="eastAsia" w:ascii="宋体"/>
          <w:sz w:val="18"/>
        </w:rPr>
        <w:t>净敞口套期收益</w:t>
      </w:r>
      <w:r>
        <w:rPr>
          <w:rFonts w:ascii="宋体"/>
          <w:sz w:val="18"/>
        </w:rPr>
        <w:t>(334)</w:t>
      </w:r>
      <w:r>
        <w:rPr>
          <w:rFonts w:hint="eastAsia" w:ascii="宋体"/>
          <w:sz w:val="18"/>
        </w:rPr>
        <w:t>、</w:t>
      </w:r>
      <w:r>
        <w:rPr>
          <w:rFonts w:hint="eastAsia" w:ascii="宋体" w:cs="宋体"/>
          <w:sz w:val="18"/>
          <w:szCs w:val="18"/>
        </w:rPr>
        <w:t>营业利润</w:t>
      </w:r>
      <w:r>
        <w:rPr>
          <w:rFonts w:ascii="宋体" w:cs="宋体"/>
          <w:sz w:val="18"/>
          <w:szCs w:val="18"/>
        </w:rPr>
        <w:t>(323)</w:t>
      </w:r>
      <w:r>
        <w:rPr>
          <w:rFonts w:hint="eastAsia" w:ascii="宋体" w:cs="宋体"/>
          <w:sz w:val="18"/>
          <w:szCs w:val="18"/>
        </w:rPr>
        <w:t>、利润总额</w:t>
      </w:r>
      <w:r>
        <w:rPr>
          <w:rFonts w:ascii="宋体" w:cs="宋体"/>
          <w:sz w:val="18"/>
          <w:szCs w:val="18"/>
        </w:rPr>
        <w:t>(327)</w:t>
      </w:r>
      <w:r>
        <w:rPr>
          <w:rFonts w:hint="eastAsia" w:ascii="宋体" w:cs="宋体"/>
          <w:sz w:val="18"/>
          <w:szCs w:val="18"/>
        </w:rPr>
        <w:t>、应交增值税</w:t>
      </w:r>
      <w:r>
        <w:rPr>
          <w:rFonts w:ascii="宋体" w:cs="宋体"/>
          <w:sz w:val="18"/>
          <w:szCs w:val="18"/>
        </w:rPr>
        <w:t>(402)</w:t>
      </w:r>
      <w:r>
        <w:rPr>
          <w:rFonts w:hint="eastAsia" w:ascii="宋体" w:cs="宋体"/>
          <w:sz w:val="18"/>
          <w:szCs w:val="18"/>
        </w:rPr>
        <w:t>小于</w:t>
      </w:r>
      <w:r>
        <w:rPr>
          <w:rFonts w:ascii="宋体" w:cs="宋体"/>
          <w:sz w:val="18"/>
          <w:szCs w:val="18"/>
        </w:rPr>
        <w:t>0</w:t>
      </w:r>
      <w:r>
        <w:rPr>
          <w:rFonts w:hint="eastAsia" w:ascii="宋体" w:cs="宋体"/>
          <w:sz w:val="18"/>
          <w:szCs w:val="18"/>
        </w:rPr>
        <w:t>，并用“</w:t>
      </w:r>
      <w:r>
        <w:rPr>
          <w:rFonts w:ascii="宋体" w:cs="宋体"/>
          <w:sz w:val="18"/>
          <w:szCs w:val="18"/>
        </w:rPr>
        <w:t>-</w:t>
      </w:r>
      <w:r>
        <w:rPr>
          <w:rFonts w:hint="eastAsia" w:ascii="宋体" w:cs="宋体"/>
          <w:sz w:val="18"/>
          <w:szCs w:val="18"/>
        </w:rPr>
        <w:t>”号表示。</w:t>
      </w:r>
    </w:p>
    <w:p>
      <w:pPr>
        <w:snapToGrid w:val="0"/>
        <w:spacing w:line="220" w:lineRule="exact"/>
        <w:ind w:left="2307" w:leftChars="326" w:hanging="1623" w:hangingChars="902"/>
        <w:rPr>
          <w:rFonts w:ascii="宋体"/>
          <w:sz w:val="18"/>
        </w:rPr>
      </w:pPr>
      <w:r>
        <w:rPr>
          <w:rFonts w:ascii="宋体"/>
          <w:sz w:val="18"/>
        </w:rPr>
        <w:t>(20)</w:t>
      </w:r>
      <w:r>
        <w:rPr>
          <w:rFonts w:hint="eastAsia" w:ascii="宋体"/>
          <w:sz w:val="18"/>
        </w:rPr>
        <w:t>营业利润</w:t>
      </w:r>
      <w:r>
        <w:rPr>
          <w:rFonts w:ascii="宋体"/>
          <w:sz w:val="18"/>
        </w:rPr>
        <w:t>(323)=</w:t>
      </w:r>
      <w:r>
        <w:rPr>
          <w:rFonts w:hint="eastAsia" w:ascii="宋体"/>
          <w:sz w:val="18"/>
        </w:rPr>
        <w:t>营业收入</w:t>
      </w:r>
      <w:r>
        <w:rPr>
          <w:rFonts w:ascii="宋体"/>
          <w:sz w:val="18"/>
        </w:rPr>
        <w:t>(301)-</w:t>
      </w:r>
      <w:r>
        <w:rPr>
          <w:rFonts w:hint="eastAsia" w:ascii="宋体"/>
          <w:sz w:val="18"/>
        </w:rPr>
        <w:t>营业成本</w:t>
      </w:r>
      <w:r>
        <w:rPr>
          <w:rFonts w:ascii="宋体"/>
          <w:sz w:val="18"/>
        </w:rPr>
        <w:t>(307)-</w:t>
      </w:r>
      <w:r>
        <w:rPr>
          <w:rFonts w:hint="eastAsia" w:ascii="宋体"/>
          <w:sz w:val="18"/>
        </w:rPr>
        <w:t>税金及附加</w:t>
      </w:r>
      <w:r>
        <w:rPr>
          <w:rFonts w:ascii="宋体"/>
          <w:sz w:val="18"/>
        </w:rPr>
        <w:t>(309)-</w:t>
      </w:r>
      <w:r>
        <w:rPr>
          <w:rFonts w:hint="eastAsia" w:ascii="宋体"/>
          <w:sz w:val="18"/>
        </w:rPr>
        <w:t>销售费用</w:t>
      </w:r>
      <w:r>
        <w:rPr>
          <w:rFonts w:ascii="宋体"/>
          <w:sz w:val="18"/>
        </w:rPr>
        <w:t>(312)-</w:t>
      </w:r>
      <w:r>
        <w:rPr>
          <w:rFonts w:hint="eastAsia" w:ascii="宋体"/>
          <w:sz w:val="18"/>
        </w:rPr>
        <w:t>管理费用</w:t>
      </w:r>
      <w:r>
        <w:rPr>
          <w:rFonts w:ascii="宋体"/>
          <w:sz w:val="18"/>
        </w:rPr>
        <w:t>(313)-</w:t>
      </w:r>
      <w:r>
        <w:rPr>
          <w:rFonts w:hint="eastAsia" w:ascii="宋体"/>
          <w:sz w:val="18"/>
        </w:rPr>
        <w:t>研发费用</w:t>
      </w:r>
      <w:r>
        <w:rPr>
          <w:rFonts w:ascii="宋体"/>
          <w:sz w:val="18"/>
        </w:rPr>
        <w:t>(331)-</w:t>
      </w:r>
      <w:r>
        <w:rPr>
          <w:rFonts w:hint="eastAsia" w:ascii="宋体"/>
          <w:sz w:val="18"/>
        </w:rPr>
        <w:t>财务费用</w:t>
      </w:r>
      <w:r>
        <w:rPr>
          <w:rFonts w:ascii="宋体"/>
          <w:sz w:val="18"/>
        </w:rPr>
        <w:t>(317)</w:t>
      </w:r>
      <w:r>
        <w:rPr>
          <w:rFonts w:hint="eastAsia" w:ascii="宋体"/>
          <w:sz w:val="18"/>
        </w:rPr>
        <w:t>+资产减值损失</w:t>
      </w:r>
      <w:r>
        <w:rPr>
          <w:rFonts w:ascii="宋体"/>
          <w:sz w:val="18"/>
        </w:rPr>
        <w:t>(320)</w:t>
      </w:r>
      <w:r>
        <w:rPr>
          <w:rFonts w:hint="eastAsia" w:ascii="宋体"/>
          <w:sz w:val="18"/>
        </w:rPr>
        <w:t>+信用减值损失</w:t>
      </w:r>
      <w:r>
        <w:rPr>
          <w:rFonts w:ascii="宋体"/>
          <w:sz w:val="18"/>
        </w:rPr>
        <w:t>(333)+</w:t>
      </w:r>
      <w:r>
        <w:rPr>
          <w:rFonts w:hint="eastAsia" w:ascii="宋体"/>
          <w:sz w:val="18"/>
        </w:rPr>
        <w:t>其他收益</w:t>
      </w:r>
      <w:r>
        <w:rPr>
          <w:rFonts w:ascii="宋体"/>
          <w:sz w:val="18"/>
        </w:rPr>
        <w:t>(330)+</w:t>
      </w:r>
      <w:r>
        <w:rPr>
          <w:rFonts w:hint="eastAsia" w:ascii="宋体"/>
          <w:sz w:val="18"/>
        </w:rPr>
        <w:t>投资收益</w:t>
      </w:r>
      <w:r>
        <w:rPr>
          <w:rFonts w:ascii="宋体"/>
          <w:sz w:val="18"/>
        </w:rPr>
        <w:t>(322)+</w:t>
      </w:r>
      <w:r>
        <w:rPr>
          <w:rFonts w:hint="eastAsia" w:ascii="宋体"/>
          <w:sz w:val="18"/>
        </w:rPr>
        <w:t>净敞口套期收益</w:t>
      </w:r>
      <w:r>
        <w:rPr>
          <w:rFonts w:ascii="宋体"/>
          <w:sz w:val="18"/>
        </w:rPr>
        <w:t>(334)+</w:t>
      </w:r>
      <w:r>
        <w:rPr>
          <w:rFonts w:hint="eastAsia" w:ascii="宋体"/>
          <w:sz w:val="18"/>
        </w:rPr>
        <w:t>公允价值变动收益</w:t>
      </w:r>
      <w:r>
        <w:rPr>
          <w:rFonts w:ascii="宋体"/>
          <w:sz w:val="18"/>
        </w:rPr>
        <w:t>(321)+</w:t>
      </w:r>
      <w:r>
        <w:rPr>
          <w:rFonts w:hint="eastAsia" w:ascii="宋体" w:cs="宋体"/>
          <w:sz w:val="18"/>
          <w:szCs w:val="18"/>
        </w:rPr>
        <w:t>资产处置收益</w:t>
      </w:r>
      <w:r>
        <w:rPr>
          <w:rFonts w:ascii="宋体" w:cs="宋体"/>
          <w:sz w:val="18"/>
          <w:szCs w:val="18"/>
        </w:rPr>
        <w:t>(335)</w:t>
      </w:r>
    </w:p>
    <w:p>
      <w:pPr>
        <w:snapToGrid w:val="0"/>
        <w:spacing w:line="220" w:lineRule="exact"/>
        <w:ind w:firstLine="720" w:firstLineChars="400"/>
        <w:rPr>
          <w:rFonts w:ascii="宋体"/>
          <w:sz w:val="18"/>
        </w:rPr>
      </w:pPr>
      <w:r>
        <w:rPr>
          <w:rFonts w:ascii="宋体"/>
          <w:sz w:val="18"/>
        </w:rPr>
        <w:t>(21)</w:t>
      </w:r>
      <w:r>
        <w:rPr>
          <w:rFonts w:hint="eastAsia" w:ascii="宋体"/>
          <w:sz w:val="18"/>
        </w:rPr>
        <w:t>利润总额</w:t>
      </w:r>
      <w:r>
        <w:rPr>
          <w:rFonts w:ascii="宋体"/>
          <w:sz w:val="18"/>
        </w:rPr>
        <w:t>(327)=</w:t>
      </w:r>
      <w:r>
        <w:rPr>
          <w:rFonts w:hint="eastAsia" w:ascii="宋体"/>
          <w:sz w:val="18"/>
        </w:rPr>
        <w:t>营业利润</w:t>
      </w:r>
      <w:r>
        <w:rPr>
          <w:rFonts w:ascii="宋体"/>
          <w:sz w:val="18"/>
        </w:rPr>
        <w:t>(323)+</w:t>
      </w:r>
      <w:r>
        <w:rPr>
          <w:rFonts w:hint="eastAsia" w:ascii="宋体"/>
          <w:sz w:val="18"/>
        </w:rPr>
        <w:t>营业外收入</w:t>
      </w:r>
      <w:r>
        <w:rPr>
          <w:rFonts w:ascii="宋体"/>
          <w:sz w:val="18"/>
        </w:rPr>
        <w:t>(325)-</w:t>
      </w:r>
      <w:r>
        <w:rPr>
          <w:rFonts w:hint="eastAsia" w:ascii="宋体"/>
          <w:sz w:val="18"/>
        </w:rPr>
        <w:t>营业外支出</w:t>
      </w:r>
      <w:r>
        <w:rPr>
          <w:rFonts w:ascii="宋体"/>
          <w:sz w:val="18"/>
        </w:rPr>
        <w:t>(326)</w:t>
      </w:r>
    </w:p>
    <w:p>
      <w:pPr>
        <w:spacing w:line="240" w:lineRule="exact"/>
        <w:ind w:left="1067" w:leftChars="337" w:hanging="360" w:hangingChars="200"/>
        <w:rPr>
          <w:rFonts w:ascii="宋体"/>
          <w:sz w:val="18"/>
        </w:rPr>
      </w:pPr>
      <w:r>
        <w:rPr>
          <w:rFonts w:ascii="宋体"/>
          <w:sz w:val="18"/>
        </w:rPr>
        <w:t>(22)</w:t>
      </w:r>
      <w:r>
        <w:rPr>
          <w:rFonts w:hint="eastAsia" w:ascii="宋体" w:cs="宋体"/>
          <w:sz w:val="18"/>
          <w:szCs w:val="18"/>
        </w:rPr>
        <w:t>制造成本</w:t>
      </w:r>
      <w:r>
        <w:rPr>
          <w:rFonts w:ascii="宋体" w:cs="宋体"/>
          <w:sz w:val="18"/>
          <w:szCs w:val="18"/>
        </w:rPr>
        <w:t>(80</w:t>
      </w:r>
      <w:r>
        <w:rPr>
          <w:rFonts w:hint="eastAsia" w:ascii="宋体" w:cs="宋体"/>
          <w:sz w:val="18"/>
          <w:szCs w:val="18"/>
        </w:rPr>
        <w:t>1</w:t>
      </w:r>
      <w:r>
        <w:rPr>
          <w:rFonts w:ascii="宋体" w:cs="宋体"/>
          <w:sz w:val="18"/>
          <w:szCs w:val="18"/>
        </w:rPr>
        <w:t>)+</w:t>
      </w:r>
      <w:r>
        <w:rPr>
          <w:rFonts w:hint="eastAsia" w:ascii="宋体" w:cs="宋体"/>
          <w:sz w:val="18"/>
          <w:szCs w:val="18"/>
        </w:rPr>
        <w:t>销售费用</w:t>
      </w:r>
      <w:r>
        <w:rPr>
          <w:rFonts w:ascii="宋体" w:cs="宋体"/>
          <w:sz w:val="18"/>
          <w:szCs w:val="18"/>
        </w:rPr>
        <w:t>(312)+</w:t>
      </w:r>
      <w:r>
        <w:rPr>
          <w:rFonts w:hint="eastAsia" w:ascii="宋体" w:cs="宋体"/>
          <w:sz w:val="18"/>
          <w:szCs w:val="18"/>
        </w:rPr>
        <w:t>管理费用</w:t>
      </w:r>
      <w:r>
        <w:rPr>
          <w:rFonts w:ascii="宋体" w:cs="宋体"/>
          <w:sz w:val="18"/>
          <w:szCs w:val="18"/>
        </w:rPr>
        <w:t>(313)+</w:t>
      </w:r>
      <w:r>
        <w:rPr>
          <w:rFonts w:hint="eastAsia" w:ascii="宋体" w:cs="宋体"/>
          <w:sz w:val="18"/>
          <w:szCs w:val="18"/>
        </w:rPr>
        <w:t>研发费用</w:t>
      </w:r>
      <w:r>
        <w:rPr>
          <w:rFonts w:ascii="宋体" w:cs="宋体"/>
          <w:sz w:val="18"/>
          <w:szCs w:val="18"/>
        </w:rPr>
        <w:t>(331)</w:t>
      </w:r>
      <w:r>
        <w:rPr>
          <w:rFonts w:hint="eastAsia" w:ascii="宋体" w:cs="宋体"/>
          <w:sz w:val="18"/>
          <w:szCs w:val="18"/>
        </w:rPr>
        <w:t>＞</w:t>
      </w:r>
      <w:r>
        <w:rPr>
          <w:rFonts w:hint="eastAsia" w:ascii="宋体"/>
          <w:sz w:val="18"/>
        </w:rPr>
        <w:t>上交政府的各项非税费用</w:t>
      </w:r>
      <w:r>
        <w:rPr>
          <w:rFonts w:ascii="宋体"/>
          <w:sz w:val="18"/>
        </w:rPr>
        <w:t>(882)+</w:t>
      </w:r>
      <w:r>
        <w:rPr>
          <w:rFonts w:hint="eastAsia" w:ascii="宋体"/>
          <w:sz w:val="18"/>
        </w:rPr>
        <w:t>水电费</w:t>
      </w:r>
      <w:r>
        <w:rPr>
          <w:rFonts w:ascii="宋体"/>
          <w:sz w:val="18"/>
        </w:rPr>
        <w:t>(412)+</w:t>
      </w:r>
      <w:r>
        <w:rPr>
          <w:rFonts w:hint="eastAsia" w:ascii="宋体"/>
          <w:sz w:val="18"/>
        </w:rPr>
        <w:t>差旅费</w:t>
      </w:r>
      <w:r>
        <w:rPr>
          <w:rFonts w:ascii="宋体"/>
          <w:sz w:val="18"/>
        </w:rPr>
        <w:t>(414)</w:t>
      </w:r>
    </w:p>
    <w:p>
      <w:pPr>
        <w:pStyle w:val="2"/>
        <w:ind w:left="420" w:firstLine="420"/>
        <w:rPr>
          <w:rFonts w:ascii="Nimbus Roman No9 L" w:hAnsi="Nimbus Roman No9 L" w:cs="Nimbus Roman No9 L"/>
        </w:rPr>
      </w:pPr>
    </w:p>
    <w:p>
      <w:pPr>
        <w:rPr>
          <w:rFonts w:ascii="Nimbus Roman No9 L" w:hAnsi="Nimbus Roman No9 L" w:cs="Nimbus Roman No9 L"/>
        </w:rPr>
      </w:pPr>
    </w:p>
    <w:p>
      <w:pPr>
        <w:pStyle w:val="15"/>
        <w:rPr>
          <w:rFonts w:ascii="Nimbus Roman No9 L" w:hAnsi="Nimbus Roman No9 L" w:cs="Nimbus Roman No9 L"/>
        </w:rPr>
      </w:pPr>
    </w:p>
    <w:p>
      <w:pPr>
        <w:pStyle w:val="15"/>
        <w:rPr>
          <w:rFonts w:ascii="Nimbus Roman No9 L" w:hAnsi="Nimbus Roman No9 L" w:cs="Nimbus Roman No9 L"/>
        </w:rPr>
      </w:pPr>
    </w:p>
    <w:p>
      <w:pPr>
        <w:pStyle w:val="15"/>
        <w:rPr>
          <w:rFonts w:ascii="Nimbus Roman No9 L" w:hAnsi="Nimbus Roman No9 L" w:cs="Nimbus Roman No9 L"/>
        </w:rPr>
      </w:pPr>
    </w:p>
    <w:p>
      <w:pPr>
        <w:pStyle w:val="15"/>
        <w:rPr>
          <w:rFonts w:ascii="Nimbus Roman No9 L" w:hAnsi="Nimbus Roman No9 L" w:cs="Nimbus Roman No9 L"/>
        </w:rPr>
      </w:pPr>
    </w:p>
    <w:p>
      <w:pPr>
        <w:pStyle w:val="2"/>
      </w:pPr>
    </w:p>
    <w:p/>
    <w:p>
      <w:pPr>
        <w:pStyle w:val="2"/>
      </w:pPr>
    </w:p>
    <w:p/>
    <w:p>
      <w:pPr>
        <w:pStyle w:val="2"/>
      </w:pPr>
    </w:p>
    <w:p/>
    <w:p>
      <w:pPr>
        <w:pStyle w:val="2"/>
      </w:pPr>
    </w:p>
    <w:p/>
    <w:p>
      <w:pPr>
        <w:pStyle w:val="15"/>
      </w:pPr>
    </w:p>
    <w:p>
      <w:pPr>
        <w:pStyle w:val="15"/>
      </w:pPr>
    </w:p>
    <w:p/>
    <w:p>
      <w:pPr>
        <w:pStyle w:val="2"/>
      </w:pPr>
    </w:p>
    <w:p/>
    <w:p>
      <w:pPr>
        <w:pStyle w:val="2"/>
      </w:pPr>
    </w:p>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36" w:name="_Toc379425508"/>
      <w:bookmarkStart w:id="37" w:name="_Toc911923688"/>
      <w:bookmarkStart w:id="38" w:name="_Toc1307312878"/>
      <w:r>
        <w:rPr>
          <w:rFonts w:hint="eastAsia" w:ascii="宋体" w:hAnsi="宋体" w:eastAsia="宋体" w:cs="宋体"/>
          <w:b/>
          <w:bCs/>
          <w:sz w:val="32"/>
          <w:szCs w:val="32"/>
          <w:lang w:eastAsia="zh-CN"/>
        </w:rPr>
        <w:t>一套表企业</w:t>
      </w:r>
      <w:r>
        <w:rPr>
          <w:rFonts w:hint="eastAsia" w:ascii="宋体" w:hAnsi="宋体" w:eastAsia="宋体" w:cs="宋体"/>
          <w:b/>
          <w:bCs/>
          <w:sz w:val="32"/>
          <w:szCs w:val="32"/>
        </w:rPr>
        <w:t>数据来源台账</w:t>
      </w:r>
      <w:bookmarkEnd w:id="36"/>
      <w:bookmarkEnd w:id="37"/>
      <w:bookmarkEnd w:id="38"/>
    </w:p>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sz w:val="18"/>
          <w:szCs w:val="18"/>
        </w:rPr>
      </w:pPr>
      <w:r>
        <w:rPr>
          <w:rFonts w:hint="eastAsia" w:asciiTheme="minorEastAsia" w:hAnsiTheme="minorEastAsia"/>
          <w:sz w:val="18"/>
          <w:szCs w:val="18"/>
        </w:rPr>
        <w:t>202</w:t>
      </w:r>
      <w:r>
        <w:rPr>
          <w:rFonts w:hint="eastAsia" w:asciiTheme="minorEastAsia" w:hAnsiTheme="minorEastAsia"/>
          <w:sz w:val="18"/>
          <w:szCs w:val="18"/>
          <w:lang w:val="en-US" w:eastAsia="zh-CN"/>
        </w:rPr>
        <w:t>5</w:t>
      </w:r>
      <w:r>
        <w:rPr>
          <w:rFonts w:hint="eastAsia" w:asciiTheme="minorEastAsia" w:hAnsiTheme="minorEastAsia"/>
          <w:sz w:val="18"/>
          <w:szCs w:val="18"/>
        </w:rPr>
        <w:t>年</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sz w:val="18"/>
          <w:szCs w:val="18"/>
        </w:rPr>
      </w:pPr>
      <w:r>
        <w:rPr>
          <w:rFonts w:hint="eastAsia" w:asciiTheme="minorEastAsia" w:hAnsiTheme="minorEastAsia"/>
          <w:sz w:val="18"/>
          <w:szCs w:val="18"/>
        </w:rPr>
        <w:t>统一社会信用代码□□□□□□□□□□□□□□□□□□</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sz w:val="18"/>
          <w:szCs w:val="18"/>
        </w:rPr>
      </w:pPr>
      <w:r>
        <w:rPr>
          <w:rFonts w:hint="eastAsia" w:asciiTheme="minorEastAsia" w:hAnsiTheme="minorEastAsia"/>
          <w:sz w:val="18"/>
          <w:szCs w:val="18"/>
        </w:rPr>
        <w:t>单位详细名称：_________________________________ (盖章）                                      单位：千元</w:t>
      </w:r>
    </w:p>
    <w:tbl>
      <w:tblPr>
        <w:tblStyle w:val="17"/>
        <w:tblW w:w="5000" w:type="pct"/>
        <w:tblInd w:w="0" w:type="dxa"/>
        <w:tblBorders>
          <w:top w:val="single" w:color="auto" w:sz="4"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2983"/>
        <w:gridCol w:w="604"/>
        <w:gridCol w:w="982"/>
        <w:gridCol w:w="5059"/>
      </w:tblGrid>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blHeader/>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cs="宋体" w:asciiTheme="minorEastAsia" w:hAnsiTheme="minorEastAsia"/>
                <w:b w:val="0"/>
                <w:bCs w:val="0"/>
                <w:kern w:val="0"/>
                <w:sz w:val="18"/>
                <w:szCs w:val="18"/>
              </w:rPr>
            </w:pPr>
            <w:r>
              <w:rPr>
                <w:rFonts w:hint="eastAsia" w:cs="宋体" w:asciiTheme="minorEastAsia" w:hAnsiTheme="minorEastAsia"/>
                <w:b w:val="0"/>
                <w:bCs w:val="0"/>
                <w:kern w:val="0"/>
                <w:sz w:val="18"/>
                <w:szCs w:val="18"/>
              </w:rPr>
              <w:t>指 标 名 称</w:t>
            </w:r>
          </w:p>
        </w:tc>
        <w:tc>
          <w:tcPr>
            <w:tcW w:w="313"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cs="宋体" w:asciiTheme="minorEastAsia" w:hAnsiTheme="minorEastAsia"/>
                <w:b w:val="0"/>
                <w:bCs w:val="0"/>
                <w:kern w:val="0"/>
                <w:sz w:val="18"/>
                <w:szCs w:val="18"/>
              </w:rPr>
            </w:pPr>
            <w:r>
              <w:rPr>
                <w:rFonts w:hint="eastAsia" w:cs="宋体" w:asciiTheme="minorEastAsia" w:hAnsiTheme="minorEastAsia"/>
                <w:b w:val="0"/>
                <w:bCs w:val="0"/>
                <w:kern w:val="0"/>
                <w:sz w:val="18"/>
                <w:szCs w:val="18"/>
              </w:rPr>
              <w:t>代码</w:t>
            </w:r>
          </w:p>
        </w:tc>
        <w:tc>
          <w:tcPr>
            <w:tcW w:w="50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cs="宋体" w:asciiTheme="minorEastAsia" w:hAnsiTheme="minorEastAsia"/>
                <w:b w:val="0"/>
                <w:bCs w:val="0"/>
                <w:kern w:val="0"/>
                <w:sz w:val="18"/>
                <w:szCs w:val="18"/>
              </w:rPr>
            </w:pPr>
            <w:r>
              <w:rPr>
                <w:rFonts w:hint="eastAsia" w:cs="宋体" w:asciiTheme="minorEastAsia" w:hAnsiTheme="minorEastAsia"/>
                <w:b w:val="0"/>
                <w:bCs w:val="0"/>
                <w:kern w:val="0"/>
                <w:sz w:val="18"/>
                <w:szCs w:val="18"/>
              </w:rPr>
              <w:t>本年累计</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center"/>
              <w:textAlignment w:val="auto"/>
              <w:rPr>
                <w:rFonts w:cs="宋体" w:asciiTheme="minorEastAsia" w:hAnsiTheme="minorEastAsia"/>
                <w:b w:val="0"/>
                <w:bCs w:val="0"/>
                <w:kern w:val="0"/>
                <w:sz w:val="18"/>
                <w:szCs w:val="18"/>
              </w:rPr>
            </w:pPr>
            <w:r>
              <w:rPr>
                <w:rFonts w:hint="eastAsia" w:cs="宋体" w:asciiTheme="minorEastAsia" w:hAnsiTheme="minorEastAsia"/>
                <w:b w:val="0"/>
                <w:bCs w:val="0"/>
                <w:kern w:val="0"/>
                <w:sz w:val="18"/>
                <w:szCs w:val="18"/>
              </w:rPr>
              <w:t>数 据 来 源</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b/>
                <w:color w:val="000000"/>
                <w:kern w:val="0"/>
                <w:sz w:val="18"/>
                <w:szCs w:val="18"/>
              </w:rPr>
              <w:t>一、应付职工薪酬</w:t>
            </w:r>
            <w:r>
              <w:rPr>
                <w:rFonts w:hint="eastAsia" w:cs="宋体" w:asciiTheme="minorEastAsia" w:hAnsiTheme="minorEastAsia"/>
                <w:color w:val="000000"/>
                <w:kern w:val="0"/>
                <w:sz w:val="18"/>
                <w:szCs w:val="18"/>
              </w:rPr>
              <w:t>（01=</w:t>
            </w:r>
            <w:r>
              <w:rPr>
                <w:rFonts w:hint="eastAsia" w:cs="宋体" w:asciiTheme="minorEastAsia" w:hAnsiTheme="minorEastAsia"/>
                <w:color w:val="000000"/>
                <w:kern w:val="0"/>
                <w:sz w:val="18"/>
                <w:szCs w:val="18"/>
                <w:lang w:val="en-US" w:eastAsia="zh-CN"/>
              </w:rPr>
              <w:t>02+</w:t>
            </w:r>
            <w:r>
              <w:rPr>
                <w:rFonts w:hint="eastAsia" w:cs="宋体" w:asciiTheme="minorEastAsia" w:hAnsiTheme="minorEastAsia"/>
                <w:color w:val="000000"/>
                <w:kern w:val="0"/>
                <w:sz w:val="18"/>
                <w:szCs w:val="18"/>
              </w:rPr>
              <w:t>03+</w:t>
            </w:r>
            <w:r>
              <w:rPr>
                <w:rFonts w:hint="eastAsia" w:cs="宋体" w:asciiTheme="minorEastAsia" w:hAnsiTheme="minorEastAsia"/>
                <w:color w:val="000000"/>
                <w:kern w:val="0"/>
                <w:sz w:val="18"/>
                <w:szCs w:val="18"/>
                <w:lang w:val="en-US" w:eastAsia="zh-CN"/>
              </w:rPr>
              <w:t>08+09+10+</w:t>
            </w:r>
            <w:r>
              <w:rPr>
                <w:rFonts w:hint="eastAsia" w:cs="宋体" w:asciiTheme="minorEastAsia" w:hAnsiTheme="minorEastAsia"/>
                <w:color w:val="000000"/>
                <w:kern w:val="0"/>
                <w:sz w:val="18"/>
                <w:szCs w:val="18"/>
              </w:rPr>
              <w:t>11+12+</w:t>
            </w:r>
            <w:r>
              <w:rPr>
                <w:rFonts w:hint="eastAsia" w:cs="宋体" w:asciiTheme="minorEastAsia" w:hAnsiTheme="minorEastAsia"/>
                <w:color w:val="000000"/>
                <w:kern w:val="0"/>
                <w:sz w:val="18"/>
                <w:szCs w:val="18"/>
                <w:lang w:val="en-US" w:eastAsia="zh-CN"/>
              </w:rPr>
              <w:t>16</w:t>
            </w:r>
            <w:r>
              <w:rPr>
                <w:rFonts w:hint="eastAsia" w:cs="宋体" w:asciiTheme="minorEastAsia" w:hAnsiTheme="minorEastAsia"/>
                <w:color w:val="000000"/>
                <w:kern w:val="0"/>
                <w:sz w:val="18"/>
                <w:szCs w:val="18"/>
              </w:rPr>
              <w:t>+17+18+19+2</w:t>
            </w:r>
            <w:r>
              <w:rPr>
                <w:rFonts w:hint="eastAsia" w:cs="宋体" w:asciiTheme="minorEastAsia" w:hAnsiTheme="minorEastAsia"/>
                <w:color w:val="000000"/>
                <w:kern w:val="0"/>
                <w:sz w:val="18"/>
                <w:szCs w:val="18"/>
                <w:lang w:val="en-US" w:eastAsia="zh-CN"/>
              </w:rPr>
              <w:t>0</w:t>
            </w:r>
            <w:r>
              <w:rPr>
                <w:rFonts w:hint="eastAsia" w:cs="宋体" w:asciiTheme="minorEastAsia" w:hAnsiTheme="minorEastAsia"/>
                <w:color w:val="000000"/>
                <w:kern w:val="0"/>
                <w:sz w:val="18"/>
                <w:szCs w:val="18"/>
              </w:rPr>
              <w:t>+2</w:t>
            </w:r>
            <w:r>
              <w:rPr>
                <w:rFonts w:hint="eastAsia" w:cs="宋体" w:asciiTheme="minorEastAsia" w:hAnsiTheme="minorEastAsia"/>
                <w:color w:val="000000"/>
                <w:kern w:val="0"/>
                <w:sz w:val="18"/>
                <w:szCs w:val="18"/>
                <w:lang w:val="en-US" w:eastAsia="zh-CN"/>
              </w:rPr>
              <w:t>1</w:t>
            </w:r>
            <w:r>
              <w:rPr>
                <w:rFonts w:hint="eastAsia" w:cs="宋体" w:asciiTheme="minorEastAsia" w:hAnsiTheme="minorEastAsia"/>
                <w:color w:val="000000"/>
                <w:kern w:val="0"/>
                <w:sz w:val="18"/>
                <w:szCs w:val="18"/>
              </w:rPr>
              <w:t>）</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01</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kern w:val="0"/>
                <w:sz w:val="18"/>
                <w:szCs w:val="18"/>
                <w:lang w:eastAsia="zh-CN"/>
              </w:rPr>
            </w:pPr>
            <w:r>
              <w:rPr>
                <w:rFonts w:hint="eastAsia" w:cs="宋体" w:asciiTheme="minorEastAsia" w:hAnsiTheme="minorEastAsia"/>
                <w:kern w:val="0"/>
                <w:sz w:val="18"/>
                <w:szCs w:val="18"/>
              </w:rPr>
              <w:t>取自企业“费用明细表”或“科目余额表”相关会计科目（</w:t>
            </w:r>
            <w:r>
              <w:rPr>
                <w:rFonts w:hint="eastAsia" w:cs="宋体" w:asciiTheme="minorEastAsia" w:hAnsiTheme="minorEastAsia"/>
                <w:b/>
                <w:kern w:val="0"/>
                <w:sz w:val="18"/>
                <w:szCs w:val="18"/>
              </w:rPr>
              <w:t>为计提数，非实发数</w:t>
            </w:r>
            <w:r>
              <w:rPr>
                <w:rFonts w:hint="eastAsia" w:cs="宋体" w:asciiTheme="minorEastAsia" w:hAnsiTheme="minorEastAsia"/>
                <w:kern w:val="0"/>
                <w:sz w:val="18"/>
                <w:szCs w:val="18"/>
              </w:rPr>
              <w:t>）。如果企业“应付职工薪酬”会计科目内容与统计口径不一致，需</w:t>
            </w:r>
            <w:r>
              <w:rPr>
                <w:rFonts w:hint="eastAsia" w:cs="宋体" w:asciiTheme="minorEastAsia" w:hAnsiTheme="minorEastAsia"/>
                <w:b/>
                <w:bCs/>
                <w:kern w:val="0"/>
                <w:sz w:val="18"/>
                <w:szCs w:val="18"/>
              </w:rPr>
              <w:t>按统计口径归并填报</w:t>
            </w:r>
            <w:r>
              <w:rPr>
                <w:rFonts w:hint="eastAsia" w:cs="宋体" w:asciiTheme="minorEastAsia" w:hAnsiTheme="minorEastAsia"/>
                <w:kern w:val="0"/>
                <w:sz w:val="18"/>
                <w:szCs w:val="18"/>
              </w:rPr>
              <w:t>。“应付职工薪酬”口径</w:t>
            </w:r>
            <w:r>
              <w:rPr>
                <w:rFonts w:hint="eastAsia" w:cs="宋体" w:asciiTheme="minorEastAsia" w:hAnsiTheme="minorEastAsia"/>
                <w:kern w:val="0"/>
                <w:sz w:val="18"/>
                <w:szCs w:val="18"/>
                <w:lang w:eastAsia="zh-CN"/>
              </w:rPr>
              <w:t>一般</w:t>
            </w:r>
            <w:r>
              <w:rPr>
                <w:rFonts w:hint="eastAsia" w:cs="宋体" w:asciiTheme="minorEastAsia" w:hAnsiTheme="minorEastAsia"/>
                <w:kern w:val="0"/>
                <w:sz w:val="18"/>
                <w:szCs w:val="18"/>
              </w:rPr>
              <w:t>大于</w:t>
            </w:r>
            <w:r>
              <w:rPr>
                <w:rFonts w:hint="eastAsia" w:cs="宋体" w:asciiTheme="minorEastAsia" w:hAnsiTheme="minorEastAsia"/>
                <w:kern w:val="0"/>
                <w:sz w:val="18"/>
                <w:szCs w:val="18"/>
                <w:lang w:eastAsia="zh-CN"/>
              </w:rPr>
              <w:t>“</w:t>
            </w:r>
            <w:r>
              <w:rPr>
                <w:rFonts w:hint="eastAsia" w:cs="宋体" w:asciiTheme="minorEastAsia" w:hAnsiTheme="minorEastAsia"/>
                <w:kern w:val="0"/>
                <w:sz w:val="18"/>
                <w:szCs w:val="18"/>
              </w:rPr>
              <w:t>从业人员及工资总额</w:t>
            </w:r>
            <w:r>
              <w:rPr>
                <w:rFonts w:hint="eastAsia" w:cs="宋体" w:asciiTheme="minorEastAsia" w:hAnsiTheme="minorEastAsia"/>
                <w:kern w:val="0"/>
                <w:sz w:val="18"/>
                <w:szCs w:val="18"/>
                <w:lang w:eastAsia="zh-CN"/>
              </w:rPr>
              <w:t>”</w:t>
            </w:r>
            <w:r>
              <w:rPr>
                <w:rFonts w:hint="eastAsia" w:cs="宋体" w:asciiTheme="minorEastAsia" w:hAnsiTheme="minorEastAsia"/>
                <w:kern w:val="0"/>
                <w:sz w:val="18"/>
                <w:szCs w:val="18"/>
              </w:rPr>
              <w:t>（</w:t>
            </w:r>
            <w:r>
              <w:rPr>
                <w:rFonts w:hint="eastAsia" w:cs="宋体" w:asciiTheme="minorEastAsia" w:hAnsiTheme="minorEastAsia"/>
                <w:kern w:val="0"/>
                <w:sz w:val="18"/>
                <w:szCs w:val="18"/>
                <w:lang w:val="en-US" w:eastAsia="zh-CN"/>
              </w:rPr>
              <w:t>102-1</w:t>
            </w:r>
            <w:r>
              <w:rPr>
                <w:rFonts w:hint="eastAsia" w:cs="宋体" w:asciiTheme="minorEastAsia" w:hAnsiTheme="minorEastAsia"/>
                <w:kern w:val="0"/>
                <w:sz w:val="18"/>
                <w:szCs w:val="18"/>
              </w:rPr>
              <w:t>表）中的“从业人员工资总额”。</w:t>
            </w:r>
            <w:r>
              <w:rPr>
                <w:rFonts w:hint="eastAsia" w:cs="宋体" w:asciiTheme="minorEastAsia" w:hAnsiTheme="minorEastAsia"/>
                <w:kern w:val="0"/>
                <w:sz w:val="18"/>
                <w:szCs w:val="18"/>
                <w:lang w:eastAsia="zh-CN"/>
              </w:rPr>
              <w:t>法人单位应包含其在本地区以内、以外的全部产业活动单位的应付职工薪酬。</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color w:val="000000"/>
                <w:kern w:val="0"/>
                <w:sz w:val="18"/>
                <w:szCs w:val="18"/>
                <w:lang w:eastAsia="zh-CN"/>
              </w:rPr>
            </w:pPr>
            <w:r>
              <w:rPr>
                <w:rFonts w:hint="eastAsia" w:cs="宋体" w:asciiTheme="minorEastAsia" w:hAnsiTheme="minorEastAsia"/>
                <w:color w:val="000000"/>
                <w:kern w:val="0"/>
                <w:sz w:val="18"/>
                <w:szCs w:val="18"/>
                <w:lang w:val="en-US" w:eastAsia="zh-CN"/>
              </w:rPr>
              <w:t>1.</w:t>
            </w:r>
            <w:r>
              <w:rPr>
                <w:rFonts w:hint="eastAsia" w:cs="宋体" w:asciiTheme="minorEastAsia" w:hAnsiTheme="minorEastAsia"/>
                <w:color w:val="000000"/>
                <w:kern w:val="0"/>
                <w:sz w:val="18"/>
                <w:szCs w:val="18"/>
              </w:rPr>
              <w:t>劳务派遣人员</w:t>
            </w:r>
            <w:r>
              <w:rPr>
                <w:rFonts w:hint="eastAsia" w:cs="宋体" w:asciiTheme="minorEastAsia" w:hAnsiTheme="minorEastAsia"/>
                <w:color w:val="000000"/>
                <w:kern w:val="0"/>
                <w:sz w:val="18"/>
                <w:szCs w:val="18"/>
                <w:lang w:eastAsia="zh-CN"/>
              </w:rPr>
              <w:t>薪酬</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02</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kern w:val="0"/>
                <w:sz w:val="18"/>
                <w:szCs w:val="18"/>
                <w:lang w:eastAsia="zh-CN"/>
              </w:rPr>
            </w:pPr>
            <w:r>
              <w:rPr>
                <w:rFonts w:hint="eastAsia" w:cs="宋体" w:asciiTheme="minorEastAsia" w:hAnsiTheme="minorEastAsia"/>
                <w:kern w:val="0"/>
                <w:sz w:val="18"/>
                <w:szCs w:val="18"/>
              </w:rPr>
              <w:t>劳务派遣人员薪酬</w:t>
            </w:r>
            <w:r>
              <w:rPr>
                <w:rFonts w:hint="eastAsia" w:cs="宋体" w:asciiTheme="minorEastAsia" w:hAnsiTheme="minorEastAsia"/>
                <w:b/>
                <w:bCs/>
                <w:kern w:val="0"/>
                <w:sz w:val="18"/>
                <w:szCs w:val="18"/>
              </w:rPr>
              <w:t>由实际用工法人单位（派遣人员使用方）填报</w:t>
            </w:r>
            <w:r>
              <w:rPr>
                <w:rFonts w:hint="eastAsia" w:cs="宋体" w:asciiTheme="minorEastAsia" w:hAnsiTheme="minorEastAsia"/>
                <w:kern w:val="0"/>
                <w:sz w:val="18"/>
                <w:szCs w:val="18"/>
              </w:rPr>
              <w:t>，而劳务派遣单位（派遣人员派出方）不填报。如果“劳务派遣人员薪酬”已按类别拆分并分别计入“应付职工薪酬”会计科目下的工资、奖金、津贴和补贴、福利费等明细科目，则本项填 0，避免与其他职工薪酬项目重复</w:t>
            </w:r>
            <w:r>
              <w:rPr>
                <w:rFonts w:hint="eastAsia" w:cs="宋体" w:asciiTheme="minorEastAsia" w:hAnsiTheme="minorEastAsia"/>
                <w:kern w:val="0"/>
                <w:sz w:val="18"/>
                <w:szCs w:val="18"/>
                <w:lang w:eastAsia="zh-CN"/>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1647"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lang w:val="en-US" w:eastAsia="zh-CN"/>
              </w:rPr>
              <w:t>2</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eastAsia="zh-CN"/>
              </w:rPr>
              <w:t>工资、奖金、津贴和补贴</w:t>
            </w:r>
          </w:p>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（03=04+05+06）</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03</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color w:val="000000"/>
                <w:kern w:val="0"/>
                <w:sz w:val="18"/>
                <w:szCs w:val="18"/>
                <w:lang w:eastAsia="zh-CN"/>
              </w:rPr>
            </w:pPr>
            <w:r>
              <w:rPr>
                <w:rFonts w:hint="eastAsia" w:cs="宋体" w:asciiTheme="minorEastAsia" w:hAnsiTheme="minorEastAsia"/>
                <w:color w:val="000000"/>
                <w:kern w:val="0"/>
                <w:sz w:val="18"/>
                <w:szCs w:val="18"/>
              </w:rPr>
              <w:t>是</w:t>
            </w:r>
            <w:r>
              <w:rPr>
                <w:rFonts w:hint="eastAsia" w:cs="宋体" w:asciiTheme="minorEastAsia" w:hAnsiTheme="minorEastAsia"/>
                <w:b/>
                <w:color w:val="000000"/>
                <w:kern w:val="0"/>
                <w:sz w:val="18"/>
                <w:szCs w:val="18"/>
              </w:rPr>
              <w:t>税前应付工资</w:t>
            </w:r>
            <w:r>
              <w:rPr>
                <w:rFonts w:hint="eastAsia" w:cs="宋体" w:asciiTheme="minorEastAsia" w:hAnsiTheme="minorEastAsia"/>
                <w:b w:val="0"/>
                <w:bCs/>
                <w:color w:val="000000"/>
                <w:kern w:val="0"/>
                <w:sz w:val="18"/>
                <w:szCs w:val="18"/>
                <w:lang w:eastAsia="zh-CN"/>
              </w:rPr>
              <w:t>，</w:t>
            </w:r>
            <w:r>
              <w:rPr>
                <w:rFonts w:hint="eastAsia" w:cs="宋体" w:asciiTheme="minorEastAsia" w:hAnsiTheme="minorEastAsia"/>
                <w:kern w:val="0"/>
                <w:sz w:val="18"/>
                <w:szCs w:val="18"/>
              </w:rPr>
              <w:t>包括在岗职工、非全日制人员、聘用的正式离退休人员、兼职人员、利用课余时间打工的在校学生、在本单位中工作的外籍和港澳台方人员</w:t>
            </w:r>
            <w:r>
              <w:rPr>
                <w:rFonts w:hint="eastAsia" w:cs="宋体" w:asciiTheme="minorEastAsia" w:hAnsiTheme="minorEastAsia"/>
                <w:kern w:val="0"/>
                <w:sz w:val="18"/>
                <w:szCs w:val="18"/>
                <w:lang w:eastAsia="zh-CN"/>
              </w:rPr>
              <w:t>工资总额</w:t>
            </w:r>
            <w:r>
              <w:rPr>
                <w:rFonts w:hint="eastAsia" w:cs="宋体" w:asciiTheme="minorEastAsia" w:hAnsiTheme="minorEastAsia"/>
                <w:kern w:val="0"/>
                <w:sz w:val="18"/>
                <w:szCs w:val="18"/>
              </w:rPr>
              <w:t>。</w:t>
            </w:r>
            <w:r>
              <w:rPr>
                <w:rFonts w:hint="eastAsia" w:cs="宋体" w:asciiTheme="minorEastAsia" w:hAnsiTheme="minorEastAsia"/>
                <w:b w:val="0"/>
                <w:bCs/>
                <w:color w:val="000000"/>
                <w:kern w:val="0"/>
                <w:sz w:val="18"/>
                <w:szCs w:val="18"/>
                <w:lang w:eastAsia="zh-CN"/>
              </w:rPr>
              <w:t>包含单位从个人工资中代扣代缴的各种费用（如：房费、水费、电费、住房公积金和社会保险金个人缴纳部分等），</w:t>
            </w:r>
            <w:r>
              <w:rPr>
                <w:rFonts w:hint="eastAsia" w:cs="宋体" w:asciiTheme="minorEastAsia" w:hAnsiTheme="minorEastAsia"/>
                <w:color w:val="000000"/>
                <w:kern w:val="0"/>
                <w:sz w:val="18"/>
                <w:szCs w:val="18"/>
                <w:highlight w:val="none"/>
                <w:lang w:eastAsia="zh-CN"/>
              </w:rPr>
              <w:t>以</w:t>
            </w:r>
            <w:r>
              <w:rPr>
                <w:rFonts w:hint="eastAsia" w:cs="宋体" w:asciiTheme="minorEastAsia" w:hAnsiTheme="minorEastAsia"/>
                <w:color w:val="000000"/>
                <w:kern w:val="0"/>
                <w:sz w:val="18"/>
                <w:szCs w:val="18"/>
                <w:highlight w:val="none"/>
              </w:rPr>
              <w:t>下属单位的名义给本单位职工发放的现金或实物</w:t>
            </w:r>
            <w:r>
              <w:rPr>
                <w:rFonts w:hint="eastAsia" w:cs="宋体" w:asciiTheme="minorEastAsia" w:hAnsiTheme="minorEastAsia"/>
                <w:color w:val="000000"/>
                <w:kern w:val="0"/>
                <w:sz w:val="18"/>
                <w:szCs w:val="18"/>
                <w:highlight w:val="none"/>
                <w:lang w:eastAsia="zh-CN"/>
              </w:rPr>
              <w:t>，发给本单位从业人员或在岗职工的讲课费，</w:t>
            </w:r>
            <w:r>
              <w:rPr>
                <w:rFonts w:hint="eastAsia" w:cs="宋体" w:asciiTheme="minorEastAsia" w:hAnsiTheme="minorEastAsia"/>
                <w:kern w:val="0"/>
                <w:sz w:val="18"/>
                <w:szCs w:val="18"/>
                <w:lang w:eastAsia="zh-CN"/>
              </w:rPr>
              <w:t>销售代理的劳务费、佣金费等。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830"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职工工资</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04</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rPr>
            </w:pPr>
            <w:r>
              <w:rPr>
                <w:rFonts w:hint="eastAsia" w:cs="宋体" w:asciiTheme="minorEastAsia" w:hAnsiTheme="minorEastAsia"/>
                <w:kern w:val="0"/>
                <w:sz w:val="18"/>
                <w:szCs w:val="18"/>
              </w:rPr>
              <w:t>包括</w:t>
            </w:r>
            <w:r>
              <w:rPr>
                <w:rFonts w:hint="eastAsia" w:cs="宋体" w:asciiTheme="minorEastAsia" w:hAnsiTheme="minorEastAsia"/>
                <w:kern w:val="0"/>
                <w:sz w:val="18"/>
                <w:szCs w:val="18"/>
                <w:lang w:eastAsia="zh-CN"/>
              </w:rPr>
              <w:t>计时工资、计件工资、</w:t>
            </w:r>
            <w:r>
              <w:rPr>
                <w:rFonts w:hint="eastAsia" w:cs="宋体" w:asciiTheme="minorEastAsia" w:hAnsiTheme="minorEastAsia"/>
                <w:kern w:val="0"/>
                <w:sz w:val="18"/>
                <w:szCs w:val="18"/>
              </w:rPr>
              <w:t>工龄工资</w:t>
            </w:r>
            <w:r>
              <w:rPr>
                <w:rFonts w:hint="eastAsia" w:cs="宋体" w:asciiTheme="minorEastAsia" w:hAnsiTheme="minorEastAsia"/>
                <w:kern w:val="0"/>
                <w:sz w:val="18"/>
                <w:szCs w:val="18"/>
                <w:lang w:eastAsia="zh-CN"/>
              </w:rPr>
              <w:t>等，</w:t>
            </w:r>
            <w:r>
              <w:rPr>
                <w:rFonts w:hint="eastAsia" w:cs="宋体" w:asciiTheme="minorEastAsia" w:hAnsiTheme="minorEastAsia"/>
                <w:b/>
                <w:bCs/>
                <w:kern w:val="0"/>
                <w:sz w:val="18"/>
                <w:szCs w:val="18"/>
                <w:highlight w:val="none"/>
              </w:rPr>
              <w:t>包括单位从个人工资中直接为其代扣代缴的医疗保险费、养老保险费、失业保险费、工伤保险费和生育保险费</w:t>
            </w:r>
            <w:r>
              <w:rPr>
                <w:rFonts w:hint="eastAsia" w:cs="宋体" w:asciiTheme="minorEastAsia" w:hAnsiTheme="minorEastAsia"/>
                <w:b/>
                <w:bCs/>
                <w:kern w:val="0"/>
                <w:sz w:val="18"/>
                <w:szCs w:val="18"/>
                <w:highlight w:val="none"/>
                <w:lang w:eastAsia="zh-CN"/>
              </w:rPr>
              <w:t>、</w:t>
            </w:r>
            <w:r>
              <w:rPr>
                <w:rFonts w:hint="eastAsia" w:cs="宋体" w:asciiTheme="minorEastAsia" w:hAnsiTheme="minorEastAsia"/>
                <w:b/>
                <w:bCs/>
                <w:color w:val="000000"/>
                <w:kern w:val="0"/>
                <w:sz w:val="18"/>
                <w:szCs w:val="18"/>
                <w:highlight w:val="none"/>
              </w:rPr>
              <w:t>住房公积金</w:t>
            </w:r>
            <w:r>
              <w:rPr>
                <w:rFonts w:hint="eastAsia" w:cs="宋体" w:asciiTheme="minorEastAsia" w:hAnsiTheme="minorEastAsia"/>
                <w:b/>
                <w:bCs/>
                <w:kern w:val="0"/>
                <w:sz w:val="18"/>
                <w:szCs w:val="18"/>
                <w:highlight w:val="none"/>
              </w:rPr>
              <w:t>等</w:t>
            </w:r>
            <w:r>
              <w:rPr>
                <w:rFonts w:hint="eastAsia" w:cs="宋体" w:asciiTheme="minorEastAsia" w:hAnsiTheme="minorEastAsia"/>
                <w:kern w:val="0"/>
                <w:sz w:val="18"/>
                <w:szCs w:val="18"/>
                <w:highlight w:val="none"/>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奖金</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cs="宋体" w:asciiTheme="minorEastAsia" w:hAnsiTheme="minorEastAsia" w:eastAsiaTheme="minorEastAsia"/>
                <w:color w:val="000000"/>
                <w:sz w:val="18"/>
                <w:szCs w:val="18"/>
                <w:highlight w:val="none"/>
                <w:lang w:eastAsia="zh-CN"/>
              </w:rPr>
            </w:pPr>
            <w:r>
              <w:rPr>
                <w:rFonts w:hint="eastAsia" w:asciiTheme="minorEastAsia" w:hAnsiTheme="minorEastAsia"/>
                <w:color w:val="000000"/>
                <w:sz w:val="18"/>
                <w:szCs w:val="18"/>
                <w:highlight w:val="none"/>
              </w:rPr>
              <w:t>0</w:t>
            </w:r>
            <w:r>
              <w:rPr>
                <w:rFonts w:hint="eastAsia" w:asciiTheme="minorEastAsia" w:hAnsiTheme="minorEastAsia"/>
                <w:color w:val="000000"/>
                <w:sz w:val="18"/>
                <w:szCs w:val="18"/>
                <w:highlight w:val="none"/>
                <w:lang w:val="en-US" w:eastAsia="zh-CN"/>
              </w:rPr>
              <w:t>5</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kern w:val="0"/>
                <w:sz w:val="18"/>
                <w:szCs w:val="18"/>
                <w:highlight w:val="none"/>
                <w:lang w:eastAsia="zh-CN"/>
              </w:rPr>
            </w:pPr>
            <w:r>
              <w:rPr>
                <w:rFonts w:hint="eastAsia" w:cs="宋体" w:asciiTheme="minorEastAsia" w:hAnsiTheme="minorEastAsia"/>
                <w:kern w:val="0"/>
                <w:sz w:val="18"/>
                <w:szCs w:val="18"/>
                <w:highlight w:val="none"/>
              </w:rPr>
              <w:t>包括值加班工资、绩效奖金、</w:t>
            </w:r>
            <w:r>
              <w:rPr>
                <w:rFonts w:hint="eastAsia" w:cs="宋体" w:asciiTheme="minorEastAsia" w:hAnsiTheme="minorEastAsia"/>
                <w:kern w:val="0"/>
                <w:sz w:val="18"/>
                <w:szCs w:val="18"/>
                <w:highlight w:val="none"/>
                <w:lang w:eastAsia="zh-CN"/>
              </w:rPr>
              <w:t>月度奖、季度奖、年终奖、</w:t>
            </w:r>
            <w:r>
              <w:rPr>
                <w:rFonts w:hint="eastAsia" w:cs="宋体" w:asciiTheme="minorEastAsia" w:hAnsiTheme="minorEastAsia"/>
                <w:kern w:val="0"/>
                <w:sz w:val="18"/>
                <w:szCs w:val="18"/>
                <w:highlight w:val="none"/>
              </w:rPr>
              <w:t>全勤奖、</w:t>
            </w:r>
            <w:r>
              <w:rPr>
                <w:rFonts w:hint="eastAsia" w:cs="宋体" w:asciiTheme="minorEastAsia" w:hAnsiTheme="minorEastAsia"/>
                <w:kern w:val="0"/>
                <w:sz w:val="18"/>
                <w:szCs w:val="18"/>
                <w:highlight w:val="none"/>
                <w:lang w:eastAsia="zh-CN"/>
              </w:rPr>
              <w:t>计生奖、</w:t>
            </w:r>
            <w:r>
              <w:rPr>
                <w:rFonts w:hint="eastAsia" w:cs="宋体" w:asciiTheme="minorEastAsia" w:hAnsiTheme="minorEastAsia"/>
                <w:kern w:val="0"/>
                <w:sz w:val="18"/>
                <w:szCs w:val="18"/>
                <w:highlight w:val="none"/>
              </w:rPr>
              <w:t>生产奖、节约奖、劳动竞赛奖</w:t>
            </w:r>
            <w:r>
              <w:rPr>
                <w:rFonts w:hint="eastAsia" w:cs="宋体" w:asciiTheme="minorEastAsia" w:hAnsiTheme="minorEastAsia"/>
                <w:kern w:val="0"/>
                <w:sz w:val="18"/>
                <w:szCs w:val="18"/>
                <w:highlight w:val="none"/>
                <w:lang w:eastAsia="zh-CN"/>
              </w:rPr>
              <w:t>、周年服务奖</w:t>
            </w:r>
            <w:r>
              <w:rPr>
                <w:rFonts w:hint="eastAsia" w:cs="宋体" w:asciiTheme="minorEastAsia" w:hAnsiTheme="minorEastAsia"/>
                <w:kern w:val="0"/>
                <w:sz w:val="18"/>
                <w:szCs w:val="18"/>
                <w:highlight w:val="none"/>
              </w:rPr>
              <w:t>和其他名目的奖金</w:t>
            </w:r>
            <w:r>
              <w:rPr>
                <w:rFonts w:hint="eastAsia" w:cs="宋体" w:asciiTheme="minorEastAsia" w:hAnsiTheme="minorEastAsia"/>
                <w:kern w:val="0"/>
                <w:sz w:val="18"/>
                <w:szCs w:val="18"/>
                <w:highlight w:val="none"/>
                <w:lang w:eastAsia="zh-CN"/>
              </w:rPr>
              <w:t>，</w:t>
            </w:r>
            <w:r>
              <w:rPr>
                <w:rFonts w:hint="eastAsia" w:cs="宋体" w:asciiTheme="minorEastAsia" w:hAnsiTheme="minorEastAsia"/>
                <w:kern w:val="0"/>
                <w:sz w:val="18"/>
                <w:szCs w:val="18"/>
                <w:highlight w:val="none"/>
              </w:rPr>
              <w:t>以及工作事项完成后的提成工资、年底双薪等</w:t>
            </w:r>
            <w:r>
              <w:rPr>
                <w:rFonts w:hint="eastAsia" w:cs="宋体" w:asciiTheme="minorEastAsia" w:hAnsiTheme="minorEastAsia"/>
                <w:kern w:val="0"/>
                <w:sz w:val="18"/>
                <w:szCs w:val="18"/>
                <w:highlight w:val="none"/>
                <w:lang w:eastAsia="zh-CN"/>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598"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津贴和补贴</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cs="宋体" w:asciiTheme="minorEastAsia" w:hAnsiTheme="minorEastAsia" w:eastAsiaTheme="minorEastAsia"/>
                <w:color w:val="000000"/>
                <w:sz w:val="18"/>
                <w:szCs w:val="18"/>
                <w:highlight w:val="none"/>
                <w:lang w:eastAsia="zh-CN"/>
              </w:rPr>
            </w:pPr>
            <w:r>
              <w:rPr>
                <w:rFonts w:hint="eastAsia" w:asciiTheme="minorEastAsia" w:hAnsiTheme="minorEastAsia"/>
                <w:color w:val="000000"/>
                <w:sz w:val="18"/>
                <w:szCs w:val="18"/>
                <w:highlight w:val="none"/>
              </w:rPr>
              <w:t>0</w:t>
            </w:r>
            <w:r>
              <w:rPr>
                <w:rFonts w:hint="eastAsia" w:asciiTheme="minorEastAsia" w:hAnsiTheme="minorEastAsia"/>
                <w:color w:val="000000"/>
                <w:sz w:val="18"/>
                <w:szCs w:val="18"/>
                <w:highlight w:val="none"/>
                <w:lang w:val="en-US" w:eastAsia="zh-CN"/>
              </w:rPr>
              <w:t>6</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360" w:firstLineChars="2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包括补偿特殊或额外劳动消耗的津贴及岗位性津贴、保健性津贴、技术性津贴、地区津贴和其他津贴。如：</w:t>
            </w:r>
            <w:r>
              <w:rPr>
                <w:rFonts w:hint="eastAsia" w:cs="宋体" w:asciiTheme="minorEastAsia" w:hAnsiTheme="minorEastAsia"/>
                <w:color w:val="000000"/>
                <w:kern w:val="0"/>
                <w:sz w:val="18"/>
                <w:szCs w:val="18"/>
                <w:highlight w:val="none"/>
                <w:lang w:eastAsia="zh-CN"/>
              </w:rPr>
              <w:t>过节费、</w:t>
            </w:r>
            <w:r>
              <w:rPr>
                <w:rFonts w:hint="eastAsia" w:cs="宋体" w:asciiTheme="minorEastAsia" w:hAnsiTheme="minorEastAsia"/>
                <w:color w:val="000000"/>
                <w:kern w:val="0"/>
                <w:sz w:val="18"/>
                <w:szCs w:val="18"/>
                <w:highlight w:val="none"/>
              </w:rPr>
              <w:t>通讯补贴、交通补贴、公车改革补贴、取暖补贴、物业补贴、不休假补贴、无食堂补贴、</w:t>
            </w:r>
            <w:r>
              <w:rPr>
                <w:rFonts w:hint="eastAsia" w:cs="宋体" w:asciiTheme="minorEastAsia" w:hAnsiTheme="minorEastAsia"/>
                <w:color w:val="000000"/>
                <w:kern w:val="0"/>
                <w:sz w:val="18"/>
                <w:szCs w:val="18"/>
                <w:highlight w:val="none"/>
                <w:lang w:eastAsia="zh-CN"/>
              </w:rPr>
              <w:t>伙食性补贴、高温津贴、探亲补贴、租金补贴、物价补贴、</w:t>
            </w:r>
            <w:r>
              <w:rPr>
                <w:rFonts w:hint="eastAsia" w:cs="宋体" w:asciiTheme="minorEastAsia" w:hAnsiTheme="minorEastAsia"/>
                <w:color w:val="000000"/>
                <w:kern w:val="0"/>
                <w:sz w:val="18"/>
                <w:szCs w:val="18"/>
                <w:highlight w:val="none"/>
              </w:rPr>
              <w:t>单位发的可自行支配的</w:t>
            </w:r>
            <w:r>
              <w:rPr>
                <w:rFonts w:hint="eastAsia" w:cs="宋体" w:asciiTheme="minorEastAsia" w:hAnsiTheme="minorEastAsia"/>
                <w:b/>
                <w:bCs/>
                <w:color w:val="000000"/>
                <w:kern w:val="0"/>
                <w:sz w:val="18"/>
                <w:szCs w:val="18"/>
                <w:highlight w:val="none"/>
              </w:rPr>
              <w:t>住房补贴</w:t>
            </w:r>
            <w:r>
              <w:rPr>
                <w:rFonts w:hint="eastAsia" w:cs="宋体" w:asciiTheme="minorEastAsia" w:hAnsiTheme="minorEastAsia"/>
                <w:color w:val="000000"/>
                <w:kern w:val="0"/>
                <w:sz w:val="18"/>
                <w:szCs w:val="18"/>
                <w:highlight w:val="none"/>
              </w:rPr>
              <w:t>以及为员工缴纳的各种商业性保险等</w:t>
            </w:r>
            <w:r>
              <w:rPr>
                <w:rFonts w:hint="eastAsia" w:cs="宋体" w:asciiTheme="minorEastAsia" w:hAnsiTheme="minorEastAsia"/>
                <w:color w:val="000000"/>
                <w:kern w:val="0"/>
                <w:sz w:val="18"/>
                <w:szCs w:val="18"/>
                <w:highlight w:val="none"/>
                <w:lang w:eastAsia="zh-CN"/>
              </w:rPr>
              <w:t>。包括单位给职工个人实报实销的费用（如电话费、服装费等），单位给下乡锻炼、脱产学习、疫情防控人员发放的补贴，</w:t>
            </w:r>
            <w:r>
              <w:rPr>
                <w:rFonts w:hint="eastAsia" w:cs="宋体" w:asciiTheme="minorEastAsia" w:hAnsiTheme="minorEastAsia"/>
                <w:color w:val="000000"/>
                <w:kern w:val="0"/>
                <w:sz w:val="18"/>
                <w:szCs w:val="18"/>
                <w:highlight w:val="none"/>
              </w:rPr>
              <w:t>单位一次性发放或按月发放</w:t>
            </w:r>
            <w:r>
              <w:rPr>
                <w:rFonts w:hint="eastAsia" w:cs="宋体" w:asciiTheme="minorEastAsia" w:hAnsiTheme="minorEastAsia"/>
                <w:color w:val="000000"/>
                <w:kern w:val="0"/>
                <w:sz w:val="18"/>
                <w:szCs w:val="18"/>
                <w:highlight w:val="none"/>
                <w:lang w:eastAsia="zh-CN"/>
              </w:rPr>
              <w:t>属于劳动报酬性质的</w:t>
            </w:r>
            <w:r>
              <w:rPr>
                <w:rFonts w:hint="eastAsia" w:cs="宋体" w:asciiTheme="minorEastAsia" w:hAnsiTheme="minorEastAsia"/>
                <w:color w:val="000000"/>
                <w:kern w:val="0"/>
                <w:sz w:val="18"/>
                <w:szCs w:val="18"/>
                <w:highlight w:val="none"/>
              </w:rPr>
              <w:t>旅游费、保险费、差旅费、餐费、劳务费</w:t>
            </w:r>
            <w:r>
              <w:rPr>
                <w:rFonts w:hint="eastAsia" w:cs="宋体" w:asciiTheme="minorEastAsia" w:hAnsiTheme="minorEastAsia"/>
                <w:color w:val="000000"/>
                <w:kern w:val="0"/>
                <w:sz w:val="18"/>
                <w:szCs w:val="18"/>
                <w:highlight w:val="none"/>
                <w:lang w:eastAsia="zh-CN"/>
              </w:rPr>
              <w:t>等。上述各种项目</w:t>
            </w:r>
            <w:r>
              <w:rPr>
                <w:rFonts w:hint="eastAsia" w:cs="宋体" w:asciiTheme="minorEastAsia" w:hAnsiTheme="minorEastAsia"/>
                <w:b/>
                <w:bCs/>
                <w:color w:val="000000"/>
                <w:kern w:val="0"/>
                <w:sz w:val="18"/>
                <w:szCs w:val="18"/>
                <w:highlight w:val="none"/>
                <w:lang w:eastAsia="zh-CN"/>
              </w:rPr>
              <w:t>包括货币性质和实物性质的津补贴</w:t>
            </w:r>
            <w:r>
              <w:rPr>
                <w:rFonts w:hint="eastAsia" w:cs="宋体" w:asciiTheme="minorEastAsia" w:hAnsiTheme="minorEastAsia"/>
                <w:color w:val="000000"/>
                <w:kern w:val="0"/>
                <w:sz w:val="18"/>
                <w:szCs w:val="18"/>
                <w:highlight w:val="none"/>
                <w:lang w:eastAsia="zh-CN"/>
              </w:rPr>
              <w:t>以及各种形式的充值卡、购物卡（券）、加油卡、电话卡等。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lang w:val="en-US" w:eastAsia="zh-CN"/>
              </w:rPr>
              <w:t>3</w:t>
            </w:r>
            <w:r>
              <w:rPr>
                <w:rFonts w:hint="eastAsia" w:cs="宋体" w:asciiTheme="minorEastAsia" w:hAnsiTheme="minorEastAsia"/>
                <w:color w:val="000000"/>
                <w:kern w:val="0"/>
                <w:sz w:val="18"/>
                <w:szCs w:val="18"/>
                <w:highlight w:val="none"/>
              </w:rPr>
              <w:t>.社会保险费（单位缴纳部分）</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highlight w:val="none"/>
              </w:rPr>
            </w:pPr>
            <w:r>
              <w:rPr>
                <w:rFonts w:hint="eastAsia" w:asciiTheme="minorEastAsia" w:hAnsiTheme="minorEastAsia"/>
                <w:color w:val="000000"/>
                <w:sz w:val="18"/>
                <w:szCs w:val="18"/>
                <w:highlight w:val="none"/>
              </w:rPr>
              <w:t>0</w:t>
            </w:r>
            <w:r>
              <w:rPr>
                <w:rFonts w:hint="eastAsia" w:asciiTheme="minorEastAsia" w:hAnsiTheme="minorEastAsia"/>
                <w:color w:val="000000"/>
                <w:sz w:val="18"/>
                <w:szCs w:val="18"/>
                <w:highlight w:val="none"/>
                <w:lang w:val="en-US" w:eastAsia="zh-CN"/>
              </w:rPr>
              <w:t>8</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highlight w:val="none"/>
              </w:rPr>
            </w:pPr>
            <w:r>
              <w:rPr>
                <w:rFonts w:hint="eastAsia" w:cs="宋体" w:asciiTheme="minorEastAsia" w:hAnsiTheme="minorEastAsia"/>
                <w:kern w:val="0"/>
                <w:sz w:val="18"/>
                <w:szCs w:val="18"/>
                <w:highlight w:val="none"/>
              </w:rPr>
              <w:t>包括单位缴纳的医疗保险费、养老保险费、失业保险费、工伤保险费和生育保险费等。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468"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lang w:val="en-US" w:eastAsia="zh-CN"/>
              </w:rPr>
              <w:t>4</w:t>
            </w:r>
            <w:r>
              <w:rPr>
                <w:rFonts w:hint="eastAsia" w:cs="宋体" w:asciiTheme="minorEastAsia" w:hAnsiTheme="minorEastAsia"/>
                <w:color w:val="000000"/>
                <w:kern w:val="0"/>
                <w:sz w:val="18"/>
                <w:szCs w:val="18"/>
                <w:highlight w:val="none"/>
              </w:rPr>
              <w:t>.住房公积金（单位缴纳部分）</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highlight w:val="none"/>
              </w:rPr>
            </w:pPr>
            <w:r>
              <w:rPr>
                <w:rFonts w:hint="eastAsia" w:asciiTheme="minorEastAsia" w:hAnsiTheme="minorEastAsia"/>
                <w:color w:val="000000"/>
                <w:sz w:val="18"/>
                <w:szCs w:val="18"/>
                <w:highlight w:val="none"/>
              </w:rPr>
              <w:t>0</w:t>
            </w:r>
            <w:r>
              <w:rPr>
                <w:rFonts w:hint="eastAsia" w:asciiTheme="minorEastAsia" w:hAnsiTheme="minorEastAsia"/>
                <w:color w:val="000000"/>
                <w:sz w:val="18"/>
                <w:szCs w:val="18"/>
                <w:highlight w:val="none"/>
                <w:lang w:val="en-US" w:eastAsia="zh-CN"/>
              </w:rPr>
              <w:t>9</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包括单位缴纳的住房公积金。</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lang w:val="en-US" w:eastAsia="zh-CN"/>
              </w:rPr>
              <w:t>5</w:t>
            </w:r>
            <w:r>
              <w:rPr>
                <w:rFonts w:hint="eastAsia" w:cs="宋体" w:asciiTheme="minorEastAsia" w:hAnsiTheme="minorEastAsia"/>
                <w:color w:val="000000"/>
                <w:kern w:val="0"/>
                <w:sz w:val="18"/>
                <w:szCs w:val="18"/>
                <w:highlight w:val="none"/>
              </w:rPr>
              <w:t>.其他保险</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highlight w:val="none"/>
              </w:rPr>
            </w:pPr>
            <w:r>
              <w:rPr>
                <w:rFonts w:hint="eastAsia" w:asciiTheme="minorEastAsia" w:hAnsiTheme="minorEastAsia"/>
                <w:color w:val="000000"/>
                <w:sz w:val="18"/>
                <w:szCs w:val="18"/>
                <w:highlight w:val="none"/>
              </w:rPr>
              <w:t>10</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包括</w:t>
            </w:r>
            <w:r>
              <w:rPr>
                <w:rFonts w:hint="eastAsia" w:cs="宋体" w:asciiTheme="minorEastAsia" w:hAnsiTheme="minorEastAsia"/>
                <w:color w:val="000000"/>
                <w:kern w:val="0"/>
                <w:sz w:val="18"/>
                <w:szCs w:val="18"/>
                <w:highlight w:val="none"/>
                <w:lang w:eastAsia="zh-CN"/>
              </w:rPr>
              <w:t>企业为职工缴纳的</w:t>
            </w:r>
            <w:r>
              <w:rPr>
                <w:rFonts w:hint="eastAsia" w:cs="宋体" w:asciiTheme="minorEastAsia" w:hAnsiTheme="minorEastAsia"/>
                <w:color w:val="000000"/>
                <w:kern w:val="0"/>
                <w:sz w:val="18"/>
                <w:szCs w:val="18"/>
                <w:highlight w:val="none"/>
              </w:rPr>
              <w:t>补充医疗保险、补充养老保险、家属医疗保险、企业年金等。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lang w:val="en-US" w:eastAsia="zh-CN"/>
              </w:rPr>
              <w:t>6</w:t>
            </w:r>
            <w:r>
              <w:rPr>
                <w:rFonts w:hint="eastAsia" w:cs="宋体" w:asciiTheme="minorEastAsia" w:hAnsiTheme="minorEastAsia"/>
                <w:color w:val="000000"/>
                <w:kern w:val="0"/>
                <w:sz w:val="18"/>
                <w:szCs w:val="18"/>
                <w:highlight w:val="none"/>
              </w:rPr>
              <w:t>.职工福利费</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highlight w:val="none"/>
              </w:rPr>
            </w:pPr>
            <w:r>
              <w:rPr>
                <w:rFonts w:hint="eastAsia" w:asciiTheme="minorEastAsia" w:hAnsiTheme="minorEastAsia"/>
                <w:color w:val="000000"/>
                <w:sz w:val="18"/>
                <w:szCs w:val="18"/>
                <w:highlight w:val="none"/>
              </w:rPr>
              <w:t>11</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highlight w:val="none"/>
              </w:rPr>
            </w:pPr>
            <w:r>
              <w:rPr>
                <w:rFonts w:hint="eastAsia" w:cs="宋体" w:asciiTheme="minorEastAsia" w:hAnsiTheme="minorEastAsia"/>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highlight w:val="none"/>
              </w:rPr>
            </w:pPr>
            <w:r>
              <w:rPr>
                <w:rFonts w:hint="eastAsia" w:cs="宋体" w:asciiTheme="minorEastAsia" w:hAnsiTheme="minorEastAsia"/>
                <w:kern w:val="0"/>
                <w:sz w:val="18"/>
                <w:szCs w:val="18"/>
                <w:highlight w:val="none"/>
              </w:rPr>
              <w:t>包括职工医疗费、集体福利费</w:t>
            </w:r>
            <w:r>
              <w:rPr>
                <w:rFonts w:hint="eastAsia" w:cs="宋体" w:asciiTheme="minorEastAsia" w:hAnsiTheme="minorEastAsia"/>
                <w:kern w:val="0"/>
                <w:sz w:val="18"/>
                <w:szCs w:val="18"/>
                <w:highlight w:val="none"/>
                <w:lang w:eastAsia="zh-CN"/>
              </w:rPr>
              <w:t>、集体福利事业设施费、集体福利事业补贴、</w:t>
            </w:r>
            <w:r>
              <w:rPr>
                <w:rFonts w:hint="eastAsia" w:cs="宋体" w:asciiTheme="minorEastAsia" w:hAnsiTheme="minorEastAsia"/>
                <w:kern w:val="0"/>
                <w:sz w:val="18"/>
                <w:szCs w:val="18"/>
                <w:highlight w:val="none"/>
              </w:rPr>
              <w:t>生活困难补助、丧葬补助费、抚恤费、职工异地安家费、防暑降温费</w:t>
            </w:r>
            <w:r>
              <w:rPr>
                <w:rFonts w:hint="eastAsia" w:cs="宋体" w:asciiTheme="minorEastAsia" w:hAnsiTheme="minorEastAsia"/>
                <w:kern w:val="0"/>
                <w:sz w:val="18"/>
                <w:szCs w:val="18"/>
                <w:highlight w:val="none"/>
                <w:lang w:eastAsia="zh-CN"/>
              </w:rPr>
              <w:t>、文体宣传费、探亲路费、计划生育补贴、婴幼儿补贴、独生子女补贴、献血员营养补助等职工福利。</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b w:val="0"/>
                <w:bCs w:val="0"/>
                <w:color w:val="000000"/>
                <w:kern w:val="0"/>
                <w:sz w:val="18"/>
                <w:szCs w:val="18"/>
                <w:highlight w:val="none"/>
                <w:lang w:val="en-US" w:eastAsia="zh-CN" w:bidi="ar-SA"/>
              </w:rPr>
            </w:pPr>
            <w:r>
              <w:rPr>
                <w:rFonts w:hint="eastAsia" w:cs="宋体" w:asciiTheme="minorEastAsia" w:hAnsiTheme="minorEastAsia"/>
                <w:b w:val="0"/>
                <w:bCs w:val="0"/>
                <w:color w:val="000000"/>
                <w:kern w:val="0"/>
                <w:sz w:val="18"/>
                <w:szCs w:val="18"/>
                <w:highlight w:val="none"/>
                <w:lang w:val="en-US" w:eastAsia="zh-CN"/>
              </w:rPr>
              <w:t>7</w:t>
            </w:r>
            <w:r>
              <w:rPr>
                <w:rFonts w:hint="eastAsia" w:cs="宋体" w:asciiTheme="minorEastAsia" w:hAnsiTheme="minorEastAsia"/>
                <w:b w:val="0"/>
                <w:bCs w:val="0"/>
                <w:color w:val="000000"/>
                <w:kern w:val="0"/>
                <w:sz w:val="18"/>
                <w:szCs w:val="18"/>
                <w:highlight w:val="none"/>
              </w:rPr>
              <w:t>.非货币性福利</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eastAsia" w:cs="宋体" w:asciiTheme="minorEastAsia" w:hAnsiTheme="minorEastAsia" w:eastAsiaTheme="minorEastAsia"/>
                <w:b w:val="0"/>
                <w:bCs w:val="0"/>
                <w:color w:val="000000"/>
                <w:kern w:val="2"/>
                <w:sz w:val="18"/>
                <w:szCs w:val="18"/>
                <w:highlight w:val="none"/>
                <w:lang w:val="en-US" w:eastAsia="zh-CN" w:bidi="ar-SA"/>
              </w:rPr>
            </w:pPr>
            <w:r>
              <w:rPr>
                <w:rFonts w:hint="eastAsia" w:asciiTheme="minorEastAsia" w:hAnsiTheme="minorEastAsia"/>
                <w:color w:val="000000"/>
                <w:sz w:val="18"/>
                <w:szCs w:val="18"/>
                <w:highlight w:val="none"/>
              </w:rPr>
              <w:t>12</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b w:val="0"/>
                <w:bCs w:val="0"/>
                <w:color w:val="000000"/>
                <w:kern w:val="0"/>
                <w:sz w:val="18"/>
                <w:szCs w:val="18"/>
                <w:highlight w:val="none"/>
                <w:lang w:val="en-US" w:eastAsia="zh-CN" w:bidi="ar-SA"/>
              </w:rPr>
            </w:pPr>
            <w:r>
              <w:rPr>
                <w:rFonts w:hint="eastAsia" w:cs="宋体" w:asciiTheme="minorEastAsia" w:hAnsiTheme="minorEastAsia"/>
                <w:b w:val="0"/>
                <w:bCs w:val="0"/>
                <w:color w:val="000000"/>
                <w:kern w:val="0"/>
                <w:sz w:val="18"/>
                <w:szCs w:val="18"/>
                <w:highlight w:val="none"/>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color w:val="000000"/>
                <w:kern w:val="0"/>
                <w:sz w:val="18"/>
                <w:szCs w:val="18"/>
                <w:highlight w:val="none"/>
                <w:lang w:val="en-US" w:eastAsia="zh-CN" w:bidi="ar-SA"/>
              </w:rPr>
            </w:pPr>
            <w:r>
              <w:rPr>
                <w:rFonts w:hint="eastAsia" w:cs="宋体" w:asciiTheme="minorEastAsia" w:hAnsiTheme="minorEastAsia"/>
                <w:color w:val="000000"/>
                <w:kern w:val="0"/>
                <w:sz w:val="18"/>
                <w:szCs w:val="18"/>
                <w:highlight w:val="none"/>
              </w:rPr>
              <w:t>包括</w:t>
            </w:r>
            <w:r>
              <w:rPr>
                <w:rFonts w:hint="eastAsia" w:cs="宋体" w:asciiTheme="minorEastAsia" w:hAnsiTheme="minorEastAsia"/>
                <w:color w:val="000000"/>
                <w:kern w:val="0"/>
                <w:sz w:val="18"/>
                <w:szCs w:val="18"/>
                <w:highlight w:val="none"/>
                <w:lang w:eastAsia="zh-CN"/>
              </w:rPr>
              <w:t>单位</w:t>
            </w:r>
            <w:r>
              <w:rPr>
                <w:rFonts w:hint="eastAsia" w:cs="宋体" w:asciiTheme="minorEastAsia" w:hAnsiTheme="minorEastAsia"/>
                <w:color w:val="000000"/>
                <w:kern w:val="0"/>
                <w:sz w:val="18"/>
                <w:szCs w:val="18"/>
                <w:highlight w:val="none"/>
              </w:rPr>
              <w:t>以自己生产的产品、外购商品供职工无偿使用所发生的相关费用。</w:t>
            </w:r>
            <w:r>
              <w:rPr>
                <w:rFonts w:hint="eastAsia" w:cs="宋体" w:asciiTheme="minorEastAsia" w:hAnsiTheme="minorEastAsia"/>
                <w:color w:val="000000"/>
                <w:kern w:val="0"/>
                <w:sz w:val="18"/>
                <w:szCs w:val="18"/>
                <w:highlight w:val="none"/>
                <w:lang w:eastAsia="zh-CN"/>
              </w:rPr>
              <w:t>如：实物补贴、节日福利，</w:t>
            </w:r>
            <w:r>
              <w:rPr>
                <w:rFonts w:hint="eastAsia" w:cs="宋体" w:asciiTheme="minorEastAsia" w:hAnsiTheme="minorEastAsia"/>
                <w:color w:val="000000"/>
                <w:kern w:val="0"/>
                <w:sz w:val="18"/>
                <w:szCs w:val="18"/>
                <w:highlight w:val="none"/>
              </w:rPr>
              <w:t>单位自办食堂提供的工作餐、住宿</w:t>
            </w:r>
            <w:r>
              <w:rPr>
                <w:rFonts w:hint="eastAsia" w:cs="宋体" w:asciiTheme="minorEastAsia" w:hAnsiTheme="minorEastAsia"/>
                <w:color w:val="000000"/>
                <w:kern w:val="0"/>
                <w:sz w:val="18"/>
                <w:szCs w:val="18"/>
                <w:highlight w:val="none"/>
                <w:lang w:eastAsia="zh-CN"/>
              </w:rPr>
              <w:t>（包括</w:t>
            </w:r>
            <w:r>
              <w:rPr>
                <w:rFonts w:hint="eastAsia" w:cs="宋体" w:asciiTheme="minorEastAsia" w:hAnsiTheme="minorEastAsia"/>
                <w:kern w:val="0"/>
                <w:sz w:val="18"/>
                <w:szCs w:val="18"/>
                <w:highlight w:val="none"/>
              </w:rPr>
              <w:t>宿舍租金、管理费、水电费、维修费等</w:t>
            </w:r>
            <w:r>
              <w:rPr>
                <w:rFonts w:hint="eastAsia" w:cs="宋体" w:asciiTheme="minorEastAsia" w:hAnsiTheme="minorEastAsia"/>
                <w:color w:val="000000"/>
                <w:kern w:val="0"/>
                <w:sz w:val="18"/>
                <w:szCs w:val="18"/>
                <w:highlight w:val="none"/>
                <w:lang w:eastAsia="zh-CN"/>
              </w:rPr>
              <w:t>）</w:t>
            </w:r>
            <w:r>
              <w:rPr>
                <w:rFonts w:hint="eastAsia" w:cs="宋体" w:asciiTheme="minorEastAsia" w:hAnsiTheme="minorEastAsia"/>
                <w:color w:val="000000"/>
                <w:kern w:val="0"/>
                <w:sz w:val="18"/>
                <w:szCs w:val="18"/>
                <w:highlight w:val="none"/>
              </w:rPr>
              <w:t>、交通</w:t>
            </w:r>
            <w:r>
              <w:rPr>
                <w:rFonts w:hint="eastAsia" w:cs="宋体" w:asciiTheme="minorEastAsia" w:hAnsiTheme="minorEastAsia"/>
                <w:color w:val="000000"/>
                <w:kern w:val="0"/>
                <w:sz w:val="18"/>
                <w:szCs w:val="18"/>
                <w:highlight w:val="none"/>
                <w:lang w:eastAsia="zh-CN"/>
              </w:rPr>
              <w:t>（包括</w:t>
            </w:r>
            <w:r>
              <w:rPr>
                <w:rFonts w:hint="eastAsia" w:cs="宋体" w:asciiTheme="minorEastAsia" w:hAnsiTheme="minorEastAsia"/>
                <w:kern w:val="0"/>
                <w:sz w:val="18"/>
                <w:szCs w:val="18"/>
                <w:highlight w:val="none"/>
              </w:rPr>
              <w:t>交通车油费、路费、维护费等</w:t>
            </w:r>
            <w:r>
              <w:rPr>
                <w:rFonts w:hint="eastAsia" w:cs="宋体" w:asciiTheme="minorEastAsia" w:hAnsiTheme="minorEastAsia"/>
                <w:color w:val="000000"/>
                <w:kern w:val="0"/>
                <w:sz w:val="18"/>
                <w:szCs w:val="18"/>
                <w:highlight w:val="none"/>
                <w:lang w:eastAsia="zh-CN"/>
              </w:rPr>
              <w:t>）</w:t>
            </w:r>
            <w:r>
              <w:rPr>
                <w:rFonts w:hint="eastAsia" w:cs="宋体" w:asciiTheme="minorEastAsia" w:hAnsiTheme="minorEastAsia"/>
                <w:color w:val="000000"/>
                <w:kern w:val="0"/>
                <w:sz w:val="18"/>
                <w:szCs w:val="18"/>
                <w:highlight w:val="none"/>
              </w:rPr>
              <w:t>及通讯设备或单位包吃包住所发生的相关费用。</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lang w:val="en-US" w:eastAsia="zh-CN"/>
              </w:rPr>
              <w:t>8</w:t>
            </w:r>
            <w:r>
              <w:rPr>
                <w:rFonts w:hint="eastAsia" w:cs="宋体" w:asciiTheme="minorEastAsia" w:hAnsiTheme="minorEastAsia"/>
                <w:color w:val="000000"/>
                <w:kern w:val="0"/>
                <w:sz w:val="18"/>
                <w:szCs w:val="18"/>
              </w:rPr>
              <w:t>.工会经费</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16</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rPr>
            </w:pPr>
            <w:r>
              <w:rPr>
                <w:rFonts w:hint="eastAsia" w:cs="宋体" w:asciiTheme="minorEastAsia" w:hAnsiTheme="minorEastAsia"/>
                <w:kern w:val="0"/>
                <w:sz w:val="18"/>
                <w:szCs w:val="18"/>
              </w:rPr>
              <w:t>包括工会经费等。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lang w:val="en-US" w:eastAsia="zh-CN"/>
              </w:rPr>
              <w:t>9</w:t>
            </w:r>
            <w:r>
              <w:rPr>
                <w:rFonts w:hint="eastAsia" w:cs="宋体" w:asciiTheme="minorEastAsia" w:hAnsiTheme="minorEastAsia"/>
                <w:color w:val="000000"/>
                <w:kern w:val="0"/>
                <w:sz w:val="18"/>
                <w:szCs w:val="18"/>
              </w:rPr>
              <w:t>.职工教育经费</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17</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rPr>
            </w:pPr>
            <w:r>
              <w:rPr>
                <w:rFonts w:hint="eastAsia" w:cs="宋体" w:asciiTheme="minorEastAsia" w:hAnsiTheme="minorEastAsia"/>
                <w:kern w:val="0"/>
                <w:sz w:val="18"/>
                <w:szCs w:val="18"/>
              </w:rPr>
              <w:t>包括培训费、职员训练费用、职工教育经费、教育培训经费、教育经费等。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367"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lang w:val="en-US" w:eastAsia="zh-CN"/>
              </w:rPr>
              <w:t>10</w:t>
            </w:r>
            <w:r>
              <w:rPr>
                <w:rFonts w:hint="eastAsia" w:cs="宋体" w:asciiTheme="minorEastAsia" w:hAnsiTheme="minorEastAsia"/>
                <w:color w:val="000000"/>
                <w:kern w:val="0"/>
                <w:sz w:val="18"/>
                <w:szCs w:val="18"/>
              </w:rPr>
              <w:t>.带薪缺勤</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lang w:val="en-US" w:eastAsia="zh-CN"/>
              </w:rPr>
              <w:t>18</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color w:val="000000"/>
                <w:kern w:val="0"/>
                <w:sz w:val="18"/>
                <w:szCs w:val="18"/>
                <w:lang w:eastAsia="zh-CN"/>
              </w:rPr>
            </w:pPr>
            <w:r>
              <w:rPr>
                <w:rFonts w:hint="eastAsia" w:cs="宋体" w:asciiTheme="minorEastAsia" w:hAnsiTheme="minorEastAsia"/>
                <w:color w:val="000000"/>
                <w:kern w:val="0"/>
                <w:sz w:val="18"/>
                <w:szCs w:val="18"/>
                <w:lang w:eastAsia="zh-CN"/>
              </w:rPr>
              <w:t>包括企业对年休假、病假、短期伤残假、婚假、产假、丧假、探亲假等</w:t>
            </w:r>
            <w:r>
              <w:rPr>
                <w:rFonts w:hint="eastAsia" w:cs="宋体" w:asciiTheme="minorEastAsia" w:hAnsiTheme="minorEastAsia"/>
                <w:color w:val="000000"/>
                <w:kern w:val="0"/>
                <w:sz w:val="18"/>
                <w:szCs w:val="18"/>
              </w:rPr>
              <w:t>对各种原因产生的缺勤进行的补偿</w:t>
            </w:r>
            <w:r>
              <w:rPr>
                <w:rFonts w:hint="eastAsia" w:cs="宋体" w:asciiTheme="minorEastAsia" w:hAnsiTheme="minorEastAsia"/>
                <w:color w:val="000000"/>
                <w:kern w:val="0"/>
                <w:sz w:val="18"/>
                <w:szCs w:val="18"/>
                <w:lang w:eastAsia="zh-CN"/>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90"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lang w:val="en-US" w:eastAsia="zh-CN"/>
              </w:rPr>
              <w:t>11</w:t>
            </w:r>
            <w:r>
              <w:rPr>
                <w:rFonts w:hint="eastAsia" w:cs="宋体" w:asciiTheme="minorEastAsia" w:hAnsiTheme="minorEastAsia"/>
                <w:color w:val="000000"/>
                <w:kern w:val="0"/>
                <w:sz w:val="18"/>
                <w:szCs w:val="18"/>
              </w:rPr>
              <w:t>.利润分享计划</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lang w:val="en-US" w:eastAsia="zh-CN"/>
              </w:rPr>
              <w:t>19</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rPr>
            </w:pPr>
            <w:r>
              <w:rPr>
                <w:rFonts w:hint="eastAsia" w:cs="宋体" w:asciiTheme="minorEastAsia" w:hAnsiTheme="minorEastAsia"/>
                <w:kern w:val="0"/>
                <w:sz w:val="18"/>
                <w:szCs w:val="18"/>
              </w:rPr>
              <w:t>包括员工激励、股权激励报酬、股份支付等。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1</w:t>
            </w:r>
            <w:r>
              <w:rPr>
                <w:rFonts w:hint="eastAsia" w:cs="宋体" w:asciiTheme="minorEastAsia" w:hAnsiTheme="minorEastAsia"/>
                <w:color w:val="000000"/>
                <w:kern w:val="0"/>
                <w:sz w:val="18"/>
                <w:szCs w:val="18"/>
                <w:lang w:val="en-US" w:eastAsia="zh-CN"/>
              </w:rPr>
              <w:t>2</w:t>
            </w:r>
            <w:r>
              <w:rPr>
                <w:rFonts w:hint="eastAsia" w:cs="宋体" w:asciiTheme="minorEastAsia" w:hAnsiTheme="minorEastAsia"/>
                <w:color w:val="000000"/>
                <w:kern w:val="0"/>
                <w:sz w:val="18"/>
                <w:szCs w:val="18"/>
              </w:rPr>
              <w:t>.辞退福利</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lang w:val="en-US" w:eastAsia="zh-CN"/>
              </w:rPr>
              <w:t>20</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kern w:val="0"/>
                <w:sz w:val="18"/>
                <w:szCs w:val="18"/>
              </w:rPr>
            </w:pPr>
            <w:r>
              <w:rPr>
                <w:rFonts w:hint="eastAsia" w:cs="宋体" w:asciiTheme="minorEastAsia" w:hAnsiTheme="minorEastAsia"/>
                <w:kern w:val="0"/>
                <w:sz w:val="18"/>
                <w:szCs w:val="18"/>
              </w:rPr>
              <w:t>指企业在职工劳动合同到期之前解除与职工的劳动关系</w:t>
            </w:r>
            <w:r>
              <w:rPr>
                <w:rFonts w:hint="eastAsia" w:cs="宋体" w:asciiTheme="minorEastAsia" w:hAnsiTheme="minorEastAsia"/>
                <w:kern w:val="0"/>
                <w:sz w:val="18"/>
                <w:szCs w:val="18"/>
                <w:lang w:eastAsia="zh-CN"/>
              </w:rPr>
              <w:t>，</w:t>
            </w:r>
            <w:r>
              <w:rPr>
                <w:rFonts w:hint="eastAsia" w:cs="宋体" w:asciiTheme="minorEastAsia" w:hAnsiTheme="minorEastAsia"/>
                <w:kern w:val="0"/>
                <w:sz w:val="18"/>
                <w:szCs w:val="18"/>
              </w:rPr>
              <w:t>或者为鼓励职工自愿接受裁减而给予职工的补偿。</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90"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1</w:t>
            </w:r>
            <w:r>
              <w:rPr>
                <w:rFonts w:hint="eastAsia" w:cs="宋体" w:asciiTheme="minorEastAsia" w:hAnsiTheme="minorEastAsia"/>
                <w:color w:val="000000"/>
                <w:kern w:val="0"/>
                <w:sz w:val="18"/>
                <w:szCs w:val="18"/>
                <w:lang w:val="en-US" w:eastAsia="zh-CN"/>
              </w:rPr>
              <w:t>3</w:t>
            </w:r>
            <w:r>
              <w:rPr>
                <w:rFonts w:hint="eastAsia" w:cs="宋体" w:asciiTheme="minorEastAsia" w:hAnsiTheme="minorEastAsia"/>
                <w:color w:val="000000"/>
                <w:kern w:val="0"/>
                <w:sz w:val="18"/>
                <w:szCs w:val="18"/>
              </w:rPr>
              <w:t>.其他为获得职工提供的服务而给予的报酬或补偿</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lang w:val="en-US" w:eastAsia="zh-CN"/>
              </w:rPr>
              <w:t>21</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包括未含在上述各类的设定提存计划、设定收益计划、其他</w:t>
            </w:r>
            <w:r>
              <w:rPr>
                <w:rFonts w:hint="eastAsia" w:cs="宋体" w:asciiTheme="minorEastAsia" w:hAnsiTheme="minorEastAsia"/>
                <w:color w:val="000000"/>
                <w:kern w:val="0"/>
                <w:sz w:val="18"/>
                <w:szCs w:val="18"/>
                <w:highlight w:val="none"/>
                <w:lang w:eastAsia="zh-CN"/>
              </w:rPr>
              <w:t>属于劳动报酬性质的</w:t>
            </w:r>
            <w:r>
              <w:rPr>
                <w:rFonts w:hint="eastAsia" w:cs="宋体" w:asciiTheme="minorEastAsia" w:hAnsiTheme="minorEastAsia"/>
                <w:color w:val="000000"/>
                <w:kern w:val="0"/>
                <w:sz w:val="18"/>
                <w:szCs w:val="18"/>
              </w:rPr>
              <w:t>人工成本等。</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b/>
                <w:color w:val="000000"/>
                <w:kern w:val="0"/>
                <w:sz w:val="18"/>
                <w:szCs w:val="18"/>
              </w:rPr>
            </w:pPr>
            <w:r>
              <w:rPr>
                <w:rFonts w:hint="eastAsia" w:cs="宋体" w:asciiTheme="minorEastAsia" w:hAnsiTheme="minorEastAsia"/>
                <w:b/>
                <w:color w:val="000000"/>
                <w:kern w:val="0"/>
                <w:sz w:val="18"/>
                <w:szCs w:val="18"/>
              </w:rPr>
              <w:t>二、税金及附加</w:t>
            </w:r>
          </w:p>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（2</w:t>
            </w:r>
            <w:r>
              <w:rPr>
                <w:rFonts w:hint="eastAsia" w:cs="宋体" w:asciiTheme="minorEastAsia" w:hAnsiTheme="minorEastAsia"/>
                <w:color w:val="000000"/>
                <w:kern w:val="0"/>
                <w:sz w:val="18"/>
                <w:szCs w:val="18"/>
                <w:lang w:val="en-US" w:eastAsia="zh-CN"/>
              </w:rPr>
              <w:t>2</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23+24+25+</w:t>
            </w:r>
            <w:r>
              <w:rPr>
                <w:rFonts w:hint="eastAsia" w:cs="宋体" w:asciiTheme="minorEastAsia" w:hAnsiTheme="minorEastAsia"/>
                <w:color w:val="000000"/>
                <w:kern w:val="0"/>
                <w:sz w:val="18"/>
                <w:szCs w:val="18"/>
              </w:rPr>
              <w:t>26+27+28）</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lang w:val="en-US" w:eastAsia="zh-CN"/>
              </w:rPr>
              <w:t>22</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eastAsiaTheme="minorEastAsia"/>
                <w:color w:val="000000"/>
                <w:kern w:val="0"/>
                <w:sz w:val="18"/>
                <w:szCs w:val="18"/>
                <w:lang w:eastAsia="zh-CN"/>
              </w:rPr>
            </w:pPr>
            <w:r>
              <w:rPr>
                <w:rFonts w:hint="eastAsia" w:cs="宋体" w:asciiTheme="minorEastAsia" w:hAnsiTheme="minorEastAsia"/>
                <w:color w:val="000000"/>
                <w:kern w:val="0"/>
                <w:sz w:val="18"/>
                <w:szCs w:val="18"/>
              </w:rPr>
              <w:t>指企业</w:t>
            </w:r>
            <w:r>
              <w:rPr>
                <w:rFonts w:hint="eastAsia" w:cs="宋体" w:asciiTheme="minorEastAsia" w:hAnsiTheme="minorEastAsia"/>
                <w:b/>
                <w:bCs/>
                <w:color w:val="000000"/>
                <w:kern w:val="0"/>
                <w:sz w:val="18"/>
                <w:szCs w:val="18"/>
              </w:rPr>
              <w:t>因从事生产经营活动</w:t>
            </w:r>
            <w:r>
              <w:rPr>
                <w:rFonts w:hint="eastAsia" w:cs="宋体" w:asciiTheme="minorEastAsia" w:hAnsiTheme="minorEastAsia"/>
                <w:color w:val="000000"/>
                <w:kern w:val="0"/>
                <w:sz w:val="18"/>
                <w:szCs w:val="18"/>
              </w:rPr>
              <w:t>按税法规定</w:t>
            </w:r>
            <w:r>
              <w:rPr>
                <w:rFonts w:hint="eastAsia" w:cs="宋体" w:asciiTheme="minorEastAsia" w:hAnsiTheme="minorEastAsia"/>
                <w:b/>
                <w:bCs/>
                <w:color w:val="000000"/>
                <w:kern w:val="0"/>
                <w:sz w:val="18"/>
                <w:szCs w:val="18"/>
              </w:rPr>
              <w:t>应缴纳</w:t>
            </w:r>
            <w:r>
              <w:rPr>
                <w:rFonts w:hint="eastAsia" w:cs="宋体" w:asciiTheme="minorEastAsia" w:hAnsiTheme="minorEastAsia"/>
                <w:bCs/>
                <w:color w:val="000000"/>
                <w:kern w:val="0"/>
                <w:sz w:val="18"/>
                <w:szCs w:val="18"/>
              </w:rPr>
              <w:t>的</w:t>
            </w:r>
            <w:r>
              <w:rPr>
                <w:rFonts w:hint="eastAsia" w:cs="宋体" w:asciiTheme="minorEastAsia" w:hAnsiTheme="minorEastAsia"/>
                <w:color w:val="000000"/>
                <w:kern w:val="0"/>
                <w:sz w:val="18"/>
                <w:szCs w:val="18"/>
              </w:rPr>
              <w:t>消费税、城市维护建设税、资源税、环境保护税、教育费附加、房产税、城镇土地使用税、车船税、印花税等相关税费。</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default" w:cs="宋体" w:asciiTheme="minorEastAsia" w:hAnsiTheme="minorEastAsia" w:eastAsiaTheme="minorEastAsia"/>
                <w:color w:val="000000"/>
                <w:kern w:val="0"/>
                <w:sz w:val="18"/>
                <w:szCs w:val="18"/>
                <w:lang w:val="en-US" w:eastAsia="zh-CN"/>
              </w:rPr>
            </w:pPr>
            <w:r>
              <w:rPr>
                <w:rFonts w:hint="eastAsia" w:cs="宋体" w:asciiTheme="minorEastAsia" w:hAnsiTheme="minorEastAsia"/>
                <w:color w:val="000000"/>
                <w:kern w:val="0"/>
                <w:sz w:val="18"/>
                <w:szCs w:val="18"/>
                <w:lang w:val="en-US" w:eastAsia="zh-CN"/>
              </w:rPr>
              <w:t>1.消费税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23</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取自企业“费用明细表”或“科目余额表”</w:t>
            </w:r>
            <w:r>
              <w:rPr>
                <w:rFonts w:hint="eastAsia" w:cs="宋体" w:asciiTheme="minorEastAsia" w:hAnsiTheme="minorEastAsia"/>
                <w:color w:val="000000"/>
                <w:kern w:val="0"/>
                <w:sz w:val="18"/>
                <w:szCs w:val="18"/>
                <w:lang w:eastAsia="zh-CN"/>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color w:val="000000"/>
                <w:kern w:val="0"/>
                <w:sz w:val="18"/>
                <w:szCs w:val="18"/>
                <w:lang w:val="en-US" w:eastAsia="zh-CN"/>
              </w:rPr>
            </w:pPr>
            <w:r>
              <w:rPr>
                <w:rFonts w:hint="eastAsia" w:cs="宋体" w:asciiTheme="minorEastAsia" w:hAnsiTheme="minorEastAsia"/>
                <w:color w:val="000000"/>
                <w:kern w:val="0"/>
                <w:sz w:val="18"/>
                <w:szCs w:val="18"/>
                <w:lang w:val="en-US" w:eastAsia="zh-CN"/>
              </w:rPr>
              <w:t>2.城市维护建设税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24</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color w:val="000000"/>
                <w:kern w:val="0"/>
                <w:sz w:val="18"/>
                <w:szCs w:val="18"/>
              </w:rPr>
            </w:pPr>
          </w:p>
        </w:tc>
        <w:tc>
          <w:tcPr>
            <w:tcW w:w="2627" w:type="pct"/>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color w:val="000000"/>
                <w:kern w:val="0"/>
                <w:sz w:val="18"/>
                <w:szCs w:val="18"/>
                <w:lang w:val="en-US" w:eastAsia="zh-CN"/>
              </w:rPr>
            </w:pPr>
            <w:r>
              <w:rPr>
                <w:rFonts w:hint="eastAsia" w:cs="宋体" w:asciiTheme="minorEastAsia" w:hAnsiTheme="minorEastAsia"/>
                <w:color w:val="000000"/>
                <w:kern w:val="0"/>
                <w:sz w:val="18"/>
                <w:szCs w:val="18"/>
                <w:lang w:val="en-US" w:eastAsia="zh-CN"/>
              </w:rPr>
              <w:t>3.</w:t>
            </w:r>
            <w:r>
              <w:rPr>
                <w:rFonts w:hint="eastAsia" w:cs="宋体" w:asciiTheme="minorEastAsia" w:hAnsiTheme="minorEastAsia"/>
                <w:color w:val="000000"/>
                <w:kern w:val="0"/>
                <w:sz w:val="18"/>
                <w:szCs w:val="18"/>
              </w:rPr>
              <w:t>房产税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25</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cs="宋体" w:asciiTheme="minorEastAsia" w:hAnsiTheme="minorEastAsia"/>
                <w:color w:val="000000"/>
                <w:kern w:val="0"/>
                <w:sz w:val="18"/>
                <w:szCs w:val="18"/>
              </w:rPr>
            </w:pPr>
          </w:p>
        </w:tc>
        <w:tc>
          <w:tcPr>
            <w:tcW w:w="2627" w:type="pct"/>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color w:val="000000"/>
                <w:kern w:val="0"/>
                <w:sz w:val="18"/>
                <w:szCs w:val="18"/>
                <w:lang w:val="en-US" w:eastAsia="zh-CN"/>
              </w:rPr>
            </w:pPr>
            <w:r>
              <w:rPr>
                <w:rFonts w:hint="eastAsia" w:cs="宋体" w:asciiTheme="minorEastAsia" w:hAnsiTheme="minorEastAsia"/>
                <w:color w:val="000000"/>
                <w:kern w:val="0"/>
                <w:sz w:val="18"/>
                <w:szCs w:val="18"/>
                <w:lang w:val="en-US" w:eastAsia="zh-CN"/>
              </w:rPr>
              <w:t>4.印花税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cs="宋体" w:asciiTheme="minorEastAsia" w:hAnsiTheme="minorEastAsia"/>
                <w:color w:val="000000"/>
                <w:sz w:val="18"/>
                <w:szCs w:val="18"/>
                <w:lang w:val="en-US" w:eastAsia="zh-CN"/>
              </w:rPr>
              <w:t>26</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color w:val="000000"/>
                <w:kern w:val="0"/>
                <w:sz w:val="18"/>
                <w:szCs w:val="18"/>
                <w:lang w:val="en-US" w:eastAsia="zh-CN"/>
              </w:rPr>
            </w:pPr>
            <w:r>
              <w:rPr>
                <w:rFonts w:hint="eastAsia" w:cs="宋体" w:asciiTheme="minorEastAsia" w:hAnsiTheme="minorEastAsia"/>
                <w:color w:val="000000"/>
                <w:kern w:val="0"/>
                <w:sz w:val="18"/>
                <w:szCs w:val="18"/>
                <w:lang w:val="en-US" w:eastAsia="zh-CN"/>
              </w:rPr>
              <w:t>5.</w:t>
            </w:r>
            <w:r>
              <w:rPr>
                <w:rFonts w:hint="eastAsia" w:cs="宋体" w:asciiTheme="minorEastAsia" w:hAnsiTheme="minorEastAsia"/>
                <w:color w:val="000000"/>
                <w:kern w:val="0"/>
                <w:sz w:val="18"/>
                <w:szCs w:val="18"/>
              </w:rPr>
              <w:t>教育费附加</w:t>
            </w:r>
            <w:r>
              <w:rPr>
                <w:rFonts w:hint="eastAsia" w:cs="宋体" w:asciiTheme="minorEastAsia" w:hAnsiTheme="minorEastAsia"/>
                <w:color w:val="000000"/>
                <w:kern w:val="0"/>
                <w:sz w:val="18"/>
                <w:szCs w:val="18"/>
                <w:lang w:eastAsia="zh-CN"/>
              </w:rPr>
              <w:t>、地方教育附加</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cs="宋体" w:asciiTheme="minorEastAsia" w:hAnsiTheme="minorEastAsia"/>
                <w:color w:val="000000"/>
                <w:sz w:val="18"/>
                <w:szCs w:val="18"/>
                <w:lang w:val="en-US" w:eastAsia="zh-CN"/>
              </w:rPr>
              <w:t>27</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hint="eastAsia" w:cs="宋体" w:asciiTheme="minorEastAsia" w:hAnsiTheme="minorEastAsia" w:eastAsiaTheme="minorEastAsia"/>
                <w:color w:val="000000"/>
                <w:kern w:val="0"/>
                <w:sz w:val="18"/>
                <w:szCs w:val="18"/>
                <w:lang w:eastAsia="zh-CN"/>
              </w:rPr>
            </w:pPr>
            <w:r>
              <w:rPr>
                <w:rFonts w:hint="eastAsia" w:cs="宋体" w:asciiTheme="minorEastAsia" w:hAnsiTheme="minorEastAsia"/>
                <w:color w:val="000000"/>
                <w:kern w:val="0"/>
                <w:sz w:val="18"/>
                <w:szCs w:val="18"/>
                <w:lang w:val="en-US" w:eastAsia="zh-CN"/>
              </w:rPr>
              <w:t>6</w:t>
            </w:r>
            <w:r>
              <w:rPr>
                <w:rFonts w:hint="eastAsia" w:cs="宋体" w:asciiTheme="minorEastAsia" w:hAnsiTheme="minorEastAsia"/>
                <w:color w:val="000000"/>
                <w:kern w:val="0"/>
                <w:sz w:val="18"/>
                <w:szCs w:val="18"/>
              </w:rPr>
              <w:t>.其他</w:t>
            </w:r>
            <w:r>
              <w:rPr>
                <w:rFonts w:hint="eastAsia" w:cs="宋体" w:asciiTheme="minorEastAsia" w:hAnsiTheme="minorEastAsia"/>
                <w:color w:val="000000"/>
                <w:kern w:val="0"/>
                <w:sz w:val="18"/>
                <w:szCs w:val="18"/>
                <w:lang w:eastAsia="zh-CN"/>
              </w:rPr>
              <w:t>税费</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color w:val="000000"/>
                <w:sz w:val="18"/>
                <w:szCs w:val="18"/>
                <w:lang w:val="en-US"/>
              </w:rPr>
            </w:pPr>
            <w:r>
              <w:rPr>
                <w:rFonts w:hint="eastAsia" w:cs="宋体" w:asciiTheme="minorEastAsia" w:hAnsiTheme="minorEastAsia"/>
                <w:color w:val="000000"/>
                <w:sz w:val="18"/>
                <w:szCs w:val="18"/>
                <w:lang w:val="en-US" w:eastAsia="zh-CN"/>
              </w:rPr>
              <w:t>28</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包括</w:t>
            </w:r>
            <w:r>
              <w:rPr>
                <w:rFonts w:hint="eastAsia" w:cs="宋体" w:asciiTheme="minorEastAsia" w:hAnsiTheme="minorEastAsia"/>
                <w:b/>
                <w:bCs/>
                <w:color w:val="000000"/>
                <w:kern w:val="0"/>
                <w:sz w:val="18"/>
                <w:szCs w:val="18"/>
                <w:lang w:eastAsia="zh-CN"/>
              </w:rPr>
              <w:t>资源税、车船税、</w:t>
            </w:r>
            <w:r>
              <w:rPr>
                <w:rFonts w:hint="eastAsia" w:cs="宋体" w:asciiTheme="minorEastAsia" w:hAnsiTheme="minorEastAsia"/>
                <w:b/>
                <w:bCs/>
                <w:color w:val="000000"/>
                <w:kern w:val="0"/>
                <w:sz w:val="18"/>
                <w:szCs w:val="18"/>
              </w:rPr>
              <w:t>城镇土地使用税</w:t>
            </w:r>
            <w:r>
              <w:rPr>
                <w:rFonts w:hint="eastAsia" w:cs="宋体" w:asciiTheme="minorEastAsia" w:hAnsiTheme="minorEastAsia"/>
                <w:b/>
                <w:bCs/>
                <w:color w:val="000000"/>
                <w:kern w:val="0"/>
                <w:sz w:val="18"/>
                <w:szCs w:val="18"/>
                <w:lang w:val="en-US" w:eastAsia="zh-CN"/>
              </w:rPr>
              <w:t>、环境保护</w:t>
            </w:r>
            <w:r>
              <w:rPr>
                <w:rFonts w:hint="eastAsia" w:cs="宋体" w:asciiTheme="minorEastAsia" w:hAnsiTheme="minorEastAsia"/>
                <w:b/>
                <w:bCs/>
                <w:color w:val="000000"/>
                <w:kern w:val="0"/>
                <w:sz w:val="18"/>
                <w:szCs w:val="18"/>
              </w:rPr>
              <w:t>税</w:t>
            </w:r>
            <w:r>
              <w:rPr>
                <w:rFonts w:hint="eastAsia" w:cs="宋体" w:asciiTheme="minorEastAsia" w:hAnsiTheme="minorEastAsia"/>
                <w:b/>
                <w:bCs/>
                <w:color w:val="000000"/>
                <w:kern w:val="0"/>
                <w:sz w:val="18"/>
                <w:szCs w:val="18"/>
                <w:lang w:eastAsia="zh-CN"/>
              </w:rPr>
              <w:t>、房地产开发企业销售商品房产生的土地增值税等</w:t>
            </w:r>
            <w:r>
              <w:rPr>
                <w:rFonts w:hint="eastAsia" w:cs="宋体" w:asciiTheme="minorEastAsia" w:hAnsiTheme="minorEastAsia"/>
                <w:color w:val="000000"/>
                <w:kern w:val="0"/>
                <w:sz w:val="18"/>
                <w:szCs w:val="18"/>
              </w:rPr>
              <w:t>其他</w:t>
            </w:r>
            <w:r>
              <w:rPr>
                <w:rFonts w:hint="eastAsia" w:cs="宋体" w:asciiTheme="minorEastAsia" w:hAnsiTheme="minorEastAsia"/>
                <w:color w:val="000000"/>
                <w:kern w:val="0"/>
                <w:sz w:val="18"/>
                <w:szCs w:val="18"/>
                <w:lang w:val="en-US" w:eastAsia="zh-CN"/>
              </w:rPr>
              <w:t>税费及附加</w:t>
            </w:r>
            <w:r>
              <w:rPr>
                <w:rFonts w:hint="eastAsia" w:cs="宋体" w:asciiTheme="minorEastAsia" w:hAnsiTheme="minorEastAsia"/>
                <w:color w:val="000000"/>
                <w:kern w:val="0"/>
                <w:sz w:val="18"/>
                <w:szCs w:val="18"/>
              </w:rPr>
              <w:t>。</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b/>
                <w:color w:val="000000"/>
                <w:kern w:val="0"/>
                <w:sz w:val="18"/>
                <w:szCs w:val="18"/>
              </w:rPr>
            </w:pPr>
            <w:r>
              <w:rPr>
                <w:rFonts w:hint="eastAsia" w:cs="宋体" w:asciiTheme="minorEastAsia" w:hAnsiTheme="minorEastAsia"/>
                <w:b/>
                <w:color w:val="000000"/>
                <w:kern w:val="0"/>
                <w:sz w:val="18"/>
                <w:szCs w:val="18"/>
              </w:rPr>
              <w:t>三、应交增值税</w:t>
            </w:r>
          </w:p>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kern w:val="0"/>
                <w:sz w:val="18"/>
                <w:szCs w:val="18"/>
              </w:rPr>
            </w:pPr>
            <w:r>
              <w:rPr>
                <w:rFonts w:hint="eastAsia" w:cs="宋体" w:asciiTheme="minorEastAsia" w:hAnsiTheme="minorEastAsia"/>
                <w:kern w:val="0"/>
                <w:sz w:val="18"/>
                <w:szCs w:val="18"/>
              </w:rPr>
              <w:t>（3</w:t>
            </w:r>
            <w:r>
              <w:rPr>
                <w:rFonts w:hint="eastAsia" w:cs="宋体" w:asciiTheme="minorEastAsia" w:hAnsiTheme="minorEastAsia"/>
                <w:kern w:val="0"/>
                <w:sz w:val="18"/>
                <w:szCs w:val="18"/>
                <w:lang w:val="en-US" w:eastAsia="zh-CN"/>
              </w:rPr>
              <w:t>4</w:t>
            </w:r>
            <w:r>
              <w:rPr>
                <w:rFonts w:hint="eastAsia" w:cs="宋体" w:asciiTheme="minorEastAsia" w:hAnsiTheme="minorEastAsia"/>
                <w:kern w:val="0"/>
                <w:sz w:val="18"/>
                <w:szCs w:val="18"/>
              </w:rPr>
              <w:t>=3</w:t>
            </w:r>
            <w:r>
              <w:rPr>
                <w:rFonts w:hint="eastAsia" w:cs="宋体" w:asciiTheme="minorEastAsia" w:hAnsiTheme="minorEastAsia"/>
                <w:kern w:val="0"/>
                <w:sz w:val="18"/>
                <w:szCs w:val="18"/>
                <w:lang w:val="en-US" w:eastAsia="zh-CN"/>
              </w:rPr>
              <w:t>5</w:t>
            </w:r>
            <w:r>
              <w:rPr>
                <w:rFonts w:hint="eastAsia" w:cs="宋体" w:asciiTheme="minorEastAsia" w:hAnsiTheme="minorEastAsia"/>
                <w:kern w:val="0"/>
                <w:sz w:val="18"/>
                <w:szCs w:val="18"/>
              </w:rPr>
              <w:t>或3</w:t>
            </w:r>
            <w:r>
              <w:rPr>
                <w:rFonts w:hint="eastAsia" w:cs="宋体" w:asciiTheme="minorEastAsia" w:hAnsiTheme="minorEastAsia"/>
                <w:kern w:val="0"/>
                <w:sz w:val="18"/>
                <w:szCs w:val="18"/>
                <w:lang w:val="en-US" w:eastAsia="zh-CN"/>
              </w:rPr>
              <w:t>4</w:t>
            </w:r>
            <w:r>
              <w:rPr>
                <w:rFonts w:hint="eastAsia" w:cs="宋体" w:asciiTheme="minorEastAsia" w:hAnsiTheme="minorEastAsia"/>
                <w:kern w:val="0"/>
                <w:sz w:val="18"/>
                <w:szCs w:val="18"/>
              </w:rPr>
              <w:t>=4</w:t>
            </w:r>
            <w:r>
              <w:rPr>
                <w:rFonts w:hint="eastAsia" w:cs="宋体" w:asciiTheme="minorEastAsia" w:hAnsiTheme="minorEastAsia"/>
                <w:kern w:val="0"/>
                <w:sz w:val="18"/>
                <w:szCs w:val="18"/>
                <w:lang w:val="en-US" w:eastAsia="zh-CN"/>
              </w:rPr>
              <w:t>3</w:t>
            </w:r>
            <w:r>
              <w:rPr>
                <w:rFonts w:hint="eastAsia" w:cs="宋体" w:asciiTheme="minorEastAsia" w:hAnsiTheme="minorEastAsia"/>
                <w:kern w:val="0"/>
                <w:sz w:val="18"/>
                <w:szCs w:val="18"/>
              </w:rPr>
              <w:t>或3</w:t>
            </w:r>
            <w:r>
              <w:rPr>
                <w:rFonts w:hint="eastAsia" w:cs="宋体" w:asciiTheme="minorEastAsia" w:hAnsiTheme="minorEastAsia"/>
                <w:kern w:val="0"/>
                <w:sz w:val="18"/>
                <w:szCs w:val="18"/>
                <w:lang w:val="en-US" w:eastAsia="zh-CN"/>
              </w:rPr>
              <w:t>4</w:t>
            </w:r>
            <w:r>
              <w:rPr>
                <w:rFonts w:hint="eastAsia" w:cs="宋体" w:asciiTheme="minorEastAsia" w:hAnsiTheme="minorEastAsia"/>
                <w:kern w:val="0"/>
                <w:sz w:val="18"/>
                <w:szCs w:val="18"/>
              </w:rPr>
              <w:t>=5</w:t>
            </w:r>
            <w:r>
              <w:rPr>
                <w:rFonts w:hint="eastAsia" w:cs="宋体" w:asciiTheme="minorEastAsia" w:hAnsiTheme="minorEastAsia"/>
                <w:kern w:val="0"/>
                <w:sz w:val="18"/>
                <w:szCs w:val="18"/>
                <w:lang w:val="en-US" w:eastAsia="zh-CN"/>
              </w:rPr>
              <w:t>2</w:t>
            </w:r>
            <w:r>
              <w:rPr>
                <w:rFonts w:hint="eastAsia" w:cs="宋体" w:asciiTheme="minorEastAsia" w:hAnsiTheme="minorEastAsia"/>
                <w:kern w:val="0"/>
                <w:sz w:val="18"/>
                <w:szCs w:val="18"/>
              </w:rPr>
              <w:t>）</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cs="宋体" w:asciiTheme="minorEastAsia" w:hAnsiTheme="minorEastAsia"/>
                <w:color w:val="000000"/>
                <w:sz w:val="18"/>
                <w:szCs w:val="18"/>
                <w:lang w:val="en-US" w:eastAsia="zh-CN"/>
              </w:rPr>
              <w:t>34</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hint="eastAsia" w:eastAsia="宋体" w:cs="宋体" w:asciiTheme="minorEastAsia" w:hAnsiTheme="minorEastAsia"/>
                <w:color w:val="000000"/>
                <w:kern w:val="0"/>
                <w:sz w:val="18"/>
                <w:szCs w:val="18"/>
                <w:lang w:eastAsia="zh-CN"/>
              </w:rPr>
            </w:pPr>
            <w:r>
              <w:rPr>
                <w:rFonts w:hint="eastAsia" w:cs="宋体" w:asciiTheme="minorEastAsia" w:hAnsiTheme="minorEastAsia"/>
                <w:color w:val="000000"/>
                <w:kern w:val="0"/>
                <w:sz w:val="18"/>
                <w:szCs w:val="18"/>
              </w:rPr>
              <w:t>指按</w:t>
            </w:r>
            <w:r>
              <w:rPr>
                <w:rFonts w:hint="eastAsia" w:cs="宋体" w:asciiTheme="minorEastAsia" w:hAnsiTheme="minorEastAsia"/>
                <w:b/>
                <w:bCs/>
                <w:color w:val="000000"/>
                <w:kern w:val="0"/>
                <w:sz w:val="18"/>
                <w:szCs w:val="18"/>
              </w:rPr>
              <w:t>权责发生制</w:t>
            </w:r>
            <w:r>
              <w:rPr>
                <w:rFonts w:hint="eastAsia" w:cs="宋体" w:asciiTheme="minorEastAsia" w:hAnsiTheme="minorEastAsia"/>
                <w:color w:val="000000"/>
                <w:kern w:val="0"/>
                <w:sz w:val="18"/>
                <w:szCs w:val="18"/>
              </w:rPr>
              <w:t>核算企业本期</w:t>
            </w:r>
            <w:r>
              <w:rPr>
                <w:rFonts w:hint="eastAsia" w:cs="宋体" w:asciiTheme="minorEastAsia" w:hAnsiTheme="minorEastAsia"/>
                <w:b/>
                <w:bCs/>
                <w:color w:val="000000"/>
                <w:kern w:val="0"/>
                <w:sz w:val="18"/>
                <w:szCs w:val="18"/>
              </w:rPr>
              <w:t>应负担</w:t>
            </w:r>
            <w:r>
              <w:rPr>
                <w:rFonts w:hint="eastAsia" w:cs="宋体" w:asciiTheme="minorEastAsia" w:hAnsiTheme="minorEastAsia"/>
                <w:color w:val="000000"/>
                <w:kern w:val="0"/>
                <w:sz w:val="18"/>
                <w:szCs w:val="18"/>
              </w:rPr>
              <w:t>的增值税，并非实际缴纳的增值税，</w:t>
            </w:r>
            <w:r>
              <w:rPr>
                <w:rFonts w:hint="eastAsia" w:ascii="宋体" w:hAnsi="Calibri" w:eastAsia="宋体" w:cs="宋体"/>
                <w:b/>
                <w:bCs/>
                <w:kern w:val="0"/>
                <w:sz w:val="18"/>
                <w:szCs w:val="18"/>
              </w:rPr>
              <w:t>不设置留抵</w:t>
            </w:r>
            <w:r>
              <w:rPr>
                <w:rFonts w:hint="eastAsia" w:ascii="宋体" w:hAnsi="Calibri" w:eastAsia="宋体" w:cs="宋体"/>
                <w:kern w:val="0"/>
                <w:sz w:val="18"/>
                <w:szCs w:val="18"/>
              </w:rPr>
              <w:t>，同时也不抵扣会计账簿或增值税纳税申报表中上年年末留抵的进项税额。</w:t>
            </w:r>
            <w:r>
              <w:rPr>
                <w:rFonts w:hint="eastAsia" w:ascii="宋体" w:hAnsi="Calibri" w:eastAsia="宋体" w:cs="宋体"/>
                <w:kern w:val="0"/>
                <w:sz w:val="18"/>
                <w:szCs w:val="18"/>
                <w:lang w:eastAsia="zh-CN"/>
              </w:rPr>
              <w:t>若年度分别按一般纳税人、小规模纳税人两种方法计税，应分别计算后加总计入。</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方法1：适用一般纳税人（主要是有进出口业务企业）</w:t>
            </w:r>
          </w:p>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（3</w:t>
            </w:r>
            <w:r>
              <w:rPr>
                <w:rFonts w:hint="eastAsia" w:cs="宋体" w:asciiTheme="minorEastAsia" w:hAnsiTheme="minorEastAsia"/>
                <w:color w:val="000000"/>
                <w:kern w:val="0"/>
                <w:sz w:val="18"/>
                <w:szCs w:val="18"/>
                <w:lang w:val="en-US" w:eastAsia="zh-CN"/>
              </w:rPr>
              <w:t>5</w:t>
            </w:r>
            <w:r>
              <w:rPr>
                <w:rFonts w:hint="eastAsia" w:cs="宋体" w:asciiTheme="minorEastAsia" w:hAnsiTheme="minorEastAsia"/>
                <w:color w:val="000000"/>
                <w:kern w:val="0"/>
                <w:sz w:val="18"/>
                <w:szCs w:val="18"/>
              </w:rPr>
              <w:t>=3</w:t>
            </w:r>
            <w:r>
              <w:rPr>
                <w:rFonts w:hint="eastAsia" w:cs="宋体" w:asciiTheme="minorEastAsia" w:hAnsiTheme="minorEastAsia"/>
                <w:color w:val="000000"/>
                <w:kern w:val="0"/>
                <w:sz w:val="18"/>
                <w:szCs w:val="18"/>
                <w:lang w:val="en-US" w:eastAsia="zh-CN"/>
              </w:rPr>
              <w:t>6</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37</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38</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39</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40</w:t>
            </w: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1</w:t>
            </w: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2</w:t>
            </w:r>
            <w:r>
              <w:rPr>
                <w:rFonts w:hint="eastAsia" w:cs="宋体" w:asciiTheme="minorEastAsia" w:hAnsiTheme="minorEastAsia"/>
                <w:color w:val="000000"/>
                <w:kern w:val="0"/>
                <w:sz w:val="18"/>
                <w:szCs w:val="18"/>
              </w:rPr>
              <w:t>）</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lang w:val="en-US" w:eastAsia="zh-CN"/>
              </w:rPr>
              <w:t>35</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应交增值税=销项税额－（进项税额－进项税额转出）－出口抵减内销产品应纳税额－减免税款+出口退税+简易计税</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1.销项税额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36</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根据本期会计科目“销项税额”“进项税额转出”“出口退税”“简易计税”年初至期末</w:t>
            </w:r>
            <w:r>
              <w:rPr>
                <w:rFonts w:hint="eastAsia" w:cs="宋体" w:asciiTheme="minorEastAsia" w:hAnsiTheme="minorEastAsia"/>
                <w:b/>
                <w:bCs/>
                <w:color w:val="000000"/>
                <w:kern w:val="0"/>
                <w:sz w:val="18"/>
                <w:szCs w:val="18"/>
              </w:rPr>
              <w:t>贷方累计发生额</w:t>
            </w:r>
            <w:r>
              <w:rPr>
                <w:rFonts w:hint="eastAsia" w:cs="宋体" w:asciiTheme="minorEastAsia" w:hAnsiTheme="minorEastAsia"/>
                <w:color w:val="000000"/>
                <w:kern w:val="0"/>
                <w:sz w:val="18"/>
                <w:szCs w:val="18"/>
              </w:rPr>
              <w:t>，“进项税额”“出口抵减内销产品应纳税额”“减免税款”年初至期末</w:t>
            </w:r>
            <w:r>
              <w:rPr>
                <w:rFonts w:hint="eastAsia" w:cs="宋体" w:asciiTheme="minorEastAsia" w:hAnsiTheme="minorEastAsia"/>
                <w:b/>
                <w:bCs/>
                <w:color w:val="000000"/>
                <w:kern w:val="0"/>
                <w:sz w:val="18"/>
                <w:szCs w:val="18"/>
              </w:rPr>
              <w:t>借方累计发生额</w:t>
            </w:r>
            <w:r>
              <w:rPr>
                <w:rFonts w:hint="eastAsia" w:cs="宋体" w:asciiTheme="minorEastAsia" w:hAnsiTheme="minorEastAsia"/>
                <w:color w:val="000000"/>
                <w:kern w:val="0"/>
                <w:sz w:val="18"/>
                <w:szCs w:val="18"/>
              </w:rPr>
              <w:t>填报。</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2.进项税额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37</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3.进项税额转出</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38</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4.出口抵减内销产品应纳税额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39</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5.减免税款</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40</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6.出口退税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41</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7.简易计税</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42</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kinsoku/>
              <w:wordWrap/>
              <w:overflowPunct/>
              <w:topLinePunct w:val="0"/>
              <w:autoSpaceDE/>
              <w:autoSpaceDN/>
              <w:bidi w:val="0"/>
              <w:adjustRightInd/>
              <w:snapToGrid/>
              <w:spacing w:line="220" w:lineRule="exac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方法2：适用一般纳税人</w:t>
            </w:r>
          </w:p>
          <w:p>
            <w:pPr>
              <w:keepNext w:val="0"/>
              <w:keepLines w:val="0"/>
              <w:pageBreakBefore w:val="0"/>
              <w:kinsoku/>
              <w:wordWrap/>
              <w:overflowPunct/>
              <w:topLinePunct w:val="0"/>
              <w:autoSpaceDE/>
              <w:autoSpaceDN/>
              <w:bidi w:val="0"/>
              <w:adjustRightInd/>
              <w:snapToGrid/>
              <w:spacing w:line="220" w:lineRule="exact"/>
              <w:textAlignment w:val="auto"/>
            </w:pP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3</w:t>
            </w: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4</w:t>
            </w: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5</w:t>
            </w:r>
            <w:r>
              <w:rPr>
                <w:rFonts w:hint="eastAsia" w:cs="宋体" w:asciiTheme="minorEastAsia" w:hAnsiTheme="minorEastAsia"/>
                <w:color w:val="000000"/>
                <w:kern w:val="0"/>
                <w:sz w:val="18"/>
                <w:szCs w:val="18"/>
              </w:rPr>
              <w:t>+4</w:t>
            </w:r>
            <w:r>
              <w:rPr>
                <w:rFonts w:hint="eastAsia" w:cs="宋体" w:asciiTheme="minorEastAsia" w:hAnsiTheme="minorEastAsia"/>
                <w:color w:val="000000"/>
                <w:kern w:val="0"/>
                <w:sz w:val="18"/>
                <w:szCs w:val="18"/>
                <w:lang w:val="en-US" w:eastAsia="zh-CN"/>
              </w:rPr>
              <w:t>6</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47</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48</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49</w:t>
            </w:r>
            <w:r>
              <w:rPr>
                <w:rFonts w:hint="eastAsia" w:cs="宋体" w:asciiTheme="minorEastAsia" w:hAnsiTheme="minorEastAsia"/>
                <w:color w:val="000000"/>
                <w:kern w:val="0"/>
                <w:sz w:val="18"/>
                <w:szCs w:val="18"/>
              </w:rPr>
              <w:t>-</w:t>
            </w:r>
            <w:r>
              <w:rPr>
                <w:rFonts w:hint="eastAsia" w:cs="宋体" w:asciiTheme="minorEastAsia" w:hAnsiTheme="minorEastAsia"/>
                <w:color w:val="000000"/>
                <w:kern w:val="0"/>
                <w:sz w:val="18"/>
                <w:szCs w:val="18"/>
                <w:lang w:val="en-US" w:eastAsia="zh-CN"/>
              </w:rPr>
              <w:t>50</w:t>
            </w:r>
            <w:r>
              <w:rPr>
                <w:rFonts w:hint="eastAsia" w:cs="宋体" w:asciiTheme="minorEastAsia" w:hAnsiTheme="minorEastAsia"/>
                <w:color w:val="000000"/>
                <w:kern w:val="0"/>
                <w:sz w:val="18"/>
                <w:szCs w:val="18"/>
              </w:rPr>
              <w:t>-5</w:t>
            </w:r>
            <w:r>
              <w:rPr>
                <w:rFonts w:hint="eastAsia" w:cs="宋体" w:asciiTheme="minorEastAsia" w:hAnsiTheme="minorEastAsia"/>
                <w:color w:val="000000"/>
                <w:kern w:val="0"/>
                <w:sz w:val="18"/>
                <w:szCs w:val="18"/>
                <w:lang w:val="en-US" w:eastAsia="zh-CN"/>
              </w:rPr>
              <w:t>1</w:t>
            </w:r>
            <w:r>
              <w:rPr>
                <w:rFonts w:hint="eastAsia" w:cs="宋体" w:asciiTheme="minorEastAsia" w:hAnsiTheme="minorEastAsia"/>
                <w:color w:val="000000"/>
                <w:kern w:val="0"/>
                <w:sz w:val="18"/>
                <w:szCs w:val="18"/>
              </w:rPr>
              <w:t>）</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43</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应交增值税=销项税额－（进项税额－进项税额转出－免、抵、退应退税额）+简易计税办法计算的应纳税额+按简易计税办法计算的纳税检查应补缴税额－应纳税额减征额－加计抵减额</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1.销项税额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44</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根据本期《增值税及附加税费申报表（一般纳税人适用）》（以“国家税务总局公告2021年第20号”版式为例）主表“销项税额”（第11栏）、“进项税额”（第12栏）、“进项税额转出”（第14栏）、“免、抵、退应退税额”（第15栏）、“简易计税办法计算的应纳税额”（第21栏）、“按简易计税办法计算的纳税检查应补缴税额”（第22栏）、“应纳税额减征额”（第23栏）栏目 “本年累计”列，附表4“税额抵减情况表”（第2列减第3列）“本期发生额”-“本期调减额”的本期累计数（政策有效期内，符合加计抵减条件的企业填报）填报。</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2.进项税额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45</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3.进项税额转出</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46</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4.免、抵、退应退税额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47</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5.简易计税办法计算的应纳税额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48</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6.按简易计税办法计算的纳税检查应补缴税额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cs="宋体" w:asciiTheme="minorEastAsia" w:hAnsiTheme="minorEastAsia"/>
                <w:color w:val="000000"/>
                <w:sz w:val="18"/>
                <w:szCs w:val="18"/>
              </w:rPr>
            </w:pPr>
            <w:r>
              <w:rPr>
                <w:rFonts w:hint="eastAsia" w:asciiTheme="minorEastAsia" w:hAnsiTheme="minorEastAsia"/>
                <w:color w:val="000000"/>
                <w:sz w:val="18"/>
                <w:szCs w:val="18"/>
              </w:rPr>
              <w:t>49</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27" w:hRule="atLeas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7.应纳税额减征额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50</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8.加计抵减额</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51</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vMerge w:val="continue"/>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方法3：适用小规模纳税人（5</w:t>
            </w:r>
            <w:r>
              <w:rPr>
                <w:rFonts w:hint="eastAsia" w:cs="宋体" w:asciiTheme="minorEastAsia" w:hAnsiTheme="minorEastAsia"/>
                <w:color w:val="000000"/>
                <w:kern w:val="0"/>
                <w:sz w:val="18"/>
                <w:szCs w:val="18"/>
                <w:lang w:val="en-US" w:eastAsia="zh-CN"/>
              </w:rPr>
              <w:t>2</w:t>
            </w:r>
            <w:r>
              <w:rPr>
                <w:rFonts w:hint="eastAsia" w:cs="宋体" w:asciiTheme="minorEastAsia" w:hAnsiTheme="minorEastAsia"/>
                <w:color w:val="000000"/>
                <w:kern w:val="0"/>
                <w:sz w:val="18"/>
                <w:szCs w:val="18"/>
              </w:rPr>
              <w:t>=5</w:t>
            </w:r>
            <w:r>
              <w:rPr>
                <w:rFonts w:hint="eastAsia" w:cs="宋体" w:asciiTheme="minorEastAsia" w:hAnsiTheme="minorEastAsia"/>
                <w:color w:val="000000"/>
                <w:kern w:val="0"/>
                <w:sz w:val="18"/>
                <w:szCs w:val="18"/>
                <w:lang w:val="en-US" w:eastAsia="zh-CN"/>
              </w:rPr>
              <w:t>3</w:t>
            </w:r>
            <w:r>
              <w:rPr>
                <w:rFonts w:hint="eastAsia" w:cs="宋体" w:asciiTheme="minorEastAsia" w:hAnsiTheme="minorEastAsia"/>
                <w:color w:val="000000"/>
                <w:kern w:val="0"/>
                <w:sz w:val="18"/>
                <w:szCs w:val="18"/>
              </w:rPr>
              <w:t>）</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rPr>
              <w:t>52</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应交增值税=应纳税额合计</w:t>
            </w:r>
          </w:p>
        </w:tc>
      </w:tr>
      <w:tr>
        <w:tblPrEx>
          <w:tblBorders>
            <w:top w:val="single" w:color="auto" w:sz="4"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Pr>
        <w:tc>
          <w:tcPr>
            <w:tcW w:w="1549"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ind w:firstLine="180" w:firstLineChars="100"/>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应纳税额合计</w:t>
            </w:r>
          </w:p>
        </w:tc>
        <w:tc>
          <w:tcPr>
            <w:tcW w:w="313" w:type="pct"/>
            <w:shd w:val="clear" w:color="auto" w:fill="auto"/>
            <w:noWrap/>
            <w:vAlign w:val="center"/>
          </w:tcPr>
          <w:p>
            <w:pPr>
              <w:keepNext w:val="0"/>
              <w:keepLines w:val="0"/>
              <w:pageBreakBefore w:val="0"/>
              <w:kinsoku/>
              <w:wordWrap/>
              <w:overflowPunct/>
              <w:topLinePunct w:val="0"/>
              <w:autoSpaceDE/>
              <w:autoSpaceDN/>
              <w:bidi w:val="0"/>
              <w:adjustRightInd/>
              <w:snapToGrid/>
              <w:spacing w:line="220" w:lineRule="exact"/>
              <w:jc w:val="center"/>
              <w:textAlignment w:val="auto"/>
              <w:rPr>
                <w:rFonts w:hint="default" w:cs="宋体" w:asciiTheme="minorEastAsia" w:hAnsiTheme="minorEastAsia" w:eastAsiaTheme="minorEastAsia"/>
                <w:color w:val="000000"/>
                <w:sz w:val="18"/>
                <w:szCs w:val="18"/>
                <w:lang w:val="en-US" w:eastAsia="zh-CN"/>
              </w:rPr>
            </w:pPr>
            <w:r>
              <w:rPr>
                <w:rFonts w:hint="eastAsia" w:asciiTheme="minorEastAsia" w:hAnsiTheme="minorEastAsia"/>
                <w:color w:val="000000"/>
                <w:sz w:val="18"/>
                <w:szCs w:val="18"/>
                <w:lang w:eastAsia="zh-CN"/>
              </w:rPr>
              <w:t>5</w:t>
            </w:r>
            <w:r>
              <w:rPr>
                <w:rFonts w:hint="eastAsia" w:asciiTheme="minorEastAsia" w:hAnsiTheme="minorEastAsia"/>
                <w:color w:val="000000"/>
                <w:sz w:val="18"/>
                <w:szCs w:val="18"/>
                <w:lang w:val="en-US" w:eastAsia="zh-CN"/>
              </w:rPr>
              <w:t>3</w:t>
            </w:r>
          </w:p>
        </w:tc>
        <w:tc>
          <w:tcPr>
            <w:tcW w:w="509" w:type="pct"/>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　</w:t>
            </w:r>
          </w:p>
        </w:tc>
        <w:tc>
          <w:tcPr>
            <w:tcW w:w="262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220" w:lineRule="exact"/>
              <w:jc w:val="left"/>
              <w:textAlignment w:val="auto"/>
              <w:rPr>
                <w:rFonts w:cs="宋体" w:asciiTheme="minorEastAsia" w:hAnsiTheme="minorEastAsia"/>
                <w:color w:val="000000"/>
                <w:kern w:val="0"/>
                <w:sz w:val="18"/>
                <w:szCs w:val="18"/>
              </w:rPr>
            </w:pPr>
            <w:r>
              <w:rPr>
                <w:rFonts w:hint="eastAsia" w:cs="宋体" w:asciiTheme="minorEastAsia" w:hAnsiTheme="minorEastAsia"/>
                <w:color w:val="000000"/>
                <w:kern w:val="0"/>
                <w:sz w:val="18"/>
                <w:szCs w:val="18"/>
              </w:rPr>
              <w:t>根据《增值税纳税申报表（小规模纳税人适用）》填报。</w:t>
            </w:r>
          </w:p>
        </w:tc>
      </w:tr>
    </w:tbl>
    <w:p>
      <w:pPr>
        <w:rPr>
          <w:rFonts w:asciiTheme="minorEastAsia" w:hAnsiTheme="minorEastAsia"/>
          <w:sz w:val="18"/>
          <w:szCs w:val="18"/>
        </w:rPr>
      </w:pPr>
      <w:r>
        <w:rPr>
          <w:rFonts w:hint="eastAsia" w:asciiTheme="minorEastAsia" w:hAnsiTheme="minorEastAsia"/>
          <w:sz w:val="18"/>
          <w:szCs w:val="18"/>
        </w:rPr>
        <w:t>单位负责人：          统计负责人：        填报人：         联系电话：           报出日期：</w:t>
      </w:r>
    </w:p>
    <w:p>
      <w:pPr>
        <w:keepNext w:val="0"/>
        <w:keepLines w:val="0"/>
        <w:pageBreakBefore w:val="0"/>
        <w:widowControl w:val="0"/>
        <w:kinsoku/>
        <w:wordWrap/>
        <w:overflowPunct/>
        <w:topLinePunct w:val="0"/>
        <w:autoSpaceDE/>
        <w:autoSpaceDN/>
        <w:bidi w:val="0"/>
        <w:adjustRightInd/>
        <w:snapToGrid/>
        <w:spacing w:line="240" w:lineRule="exact"/>
        <w:ind w:left="0" w:hanging="707" w:hangingChars="393"/>
        <w:textAlignment w:val="auto"/>
        <w:rPr>
          <w:rFonts w:hint="eastAsia" w:asciiTheme="minorEastAsia" w:hAnsiTheme="minorEastAsia"/>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0" w:hanging="707" w:hangingChars="393"/>
        <w:textAlignment w:val="auto"/>
        <w:rPr>
          <w:rFonts w:asciiTheme="minorEastAsia" w:hAnsiTheme="minorEastAsia"/>
          <w:sz w:val="18"/>
          <w:szCs w:val="18"/>
        </w:rPr>
      </w:pPr>
      <w:r>
        <w:rPr>
          <w:rFonts w:hint="eastAsia" w:asciiTheme="minorEastAsia" w:hAnsiTheme="minorEastAsia"/>
          <w:sz w:val="18"/>
          <w:szCs w:val="18"/>
        </w:rPr>
        <w:t>说明：1.统计范围：</w:t>
      </w:r>
      <w:r>
        <w:rPr>
          <w:rFonts w:hint="eastAsia" w:asciiTheme="minorEastAsia" w:hAnsiTheme="minorEastAsia" w:eastAsiaTheme="minorEastAsia" w:cstheme="minorEastAsia"/>
          <w:sz w:val="18"/>
          <w:szCs w:val="18"/>
        </w:rPr>
        <w:t>辖区内规模以上工业法人单位和规模以上工业个体经营户</w:t>
      </w:r>
      <w:r>
        <w:rPr>
          <w:rFonts w:hint="eastAsia" w:asciiTheme="minorEastAsia" w:hAnsiTheme="minorEastAsia"/>
          <w:sz w:val="18"/>
          <w:szCs w:val="18"/>
        </w:rPr>
        <w:t>。</w:t>
      </w:r>
    </w:p>
    <w:p>
      <w:pPr>
        <w:spacing w:line="240" w:lineRule="exact"/>
        <w:ind w:left="567"/>
        <w:rPr>
          <w:rFonts w:asciiTheme="minorEastAsia" w:hAnsiTheme="minorEastAsia"/>
          <w:sz w:val="18"/>
          <w:szCs w:val="18"/>
        </w:rPr>
      </w:pPr>
      <w:r>
        <w:rPr>
          <w:rFonts w:hint="eastAsia" w:asciiTheme="minorEastAsia" w:hAnsiTheme="minorEastAsia"/>
          <w:sz w:val="18"/>
          <w:szCs w:val="18"/>
        </w:rPr>
        <w:t>2.报送日期及方式：调查单位在区级统计机构年报会审时提交纸介质台账，并加盖单位印章。</w:t>
      </w:r>
    </w:p>
    <w:p>
      <w:pPr>
        <w:spacing w:line="240" w:lineRule="exact"/>
        <w:ind w:left="702" w:leftChars="269" w:hanging="138" w:hangingChars="77"/>
        <w:rPr>
          <w:rFonts w:asciiTheme="minorEastAsia" w:hAnsiTheme="minorEastAsia"/>
          <w:sz w:val="18"/>
          <w:szCs w:val="18"/>
        </w:rPr>
      </w:pPr>
      <w:r>
        <w:rPr>
          <w:rFonts w:hint="eastAsia" w:asciiTheme="minorEastAsia" w:hAnsiTheme="minorEastAsia"/>
          <w:sz w:val="18"/>
          <w:szCs w:val="18"/>
        </w:rPr>
        <w:t>3.</w:t>
      </w:r>
      <w:r>
        <w:rPr>
          <w:rFonts w:hint="eastAsia" w:asciiTheme="minorEastAsia" w:hAnsiTheme="minorEastAsia"/>
          <w:sz w:val="18"/>
          <w:szCs w:val="18"/>
          <w:lang w:eastAsia="zh-CN"/>
        </w:rPr>
        <w:t>一套表企业</w:t>
      </w:r>
      <w:r>
        <w:rPr>
          <w:rFonts w:hint="eastAsia" w:asciiTheme="minorEastAsia" w:hAnsiTheme="minorEastAsia"/>
          <w:sz w:val="18"/>
          <w:szCs w:val="18"/>
        </w:rPr>
        <w:t>“财务状况”</w:t>
      </w:r>
      <w:r>
        <w:rPr>
          <w:rFonts w:hint="eastAsia" w:asciiTheme="minorEastAsia" w:hAnsiTheme="minorEastAsia"/>
          <w:sz w:val="18"/>
          <w:szCs w:val="18"/>
          <w:lang w:eastAsia="zh-CN"/>
        </w:rPr>
        <w:t>表</w:t>
      </w:r>
      <w:r>
        <w:rPr>
          <w:rFonts w:hint="eastAsia" w:asciiTheme="minorEastAsia" w:hAnsiTheme="minorEastAsia"/>
          <w:sz w:val="18"/>
          <w:szCs w:val="18"/>
        </w:rPr>
        <w:t>中的“应付职工薪酬”</w:t>
      </w:r>
      <w:r>
        <w:rPr>
          <w:rFonts w:hint="eastAsia" w:asciiTheme="minorEastAsia" w:hAnsiTheme="minorEastAsia"/>
          <w:sz w:val="18"/>
          <w:szCs w:val="18"/>
          <w:lang w:eastAsia="zh-CN"/>
        </w:rPr>
        <w:t>（</w:t>
      </w:r>
      <w:r>
        <w:rPr>
          <w:rFonts w:hint="eastAsia" w:asciiTheme="minorEastAsia" w:hAnsiTheme="minorEastAsia"/>
          <w:sz w:val="18"/>
          <w:szCs w:val="18"/>
          <w:lang w:val="en-US" w:eastAsia="zh-CN"/>
        </w:rPr>
        <w:t>401</w:t>
      </w:r>
      <w:r>
        <w:rPr>
          <w:rFonts w:hint="eastAsia" w:asciiTheme="minorEastAsia" w:hAnsiTheme="minorEastAsia"/>
          <w:sz w:val="18"/>
          <w:szCs w:val="18"/>
          <w:lang w:eastAsia="zh-CN"/>
        </w:rPr>
        <w:t>）、</w:t>
      </w:r>
      <w:r>
        <w:rPr>
          <w:rFonts w:hint="eastAsia" w:asciiTheme="minorEastAsia" w:hAnsiTheme="minorEastAsia"/>
          <w:sz w:val="18"/>
          <w:szCs w:val="18"/>
        </w:rPr>
        <w:t>“税金及附加”</w:t>
      </w:r>
      <w:r>
        <w:rPr>
          <w:rFonts w:hint="eastAsia" w:asciiTheme="minorEastAsia" w:hAnsiTheme="minorEastAsia"/>
          <w:sz w:val="18"/>
          <w:szCs w:val="18"/>
          <w:lang w:eastAsia="zh-CN"/>
        </w:rPr>
        <w:t>（</w:t>
      </w:r>
      <w:r>
        <w:rPr>
          <w:rFonts w:hint="eastAsia" w:asciiTheme="minorEastAsia" w:hAnsiTheme="minorEastAsia"/>
          <w:sz w:val="18"/>
          <w:szCs w:val="18"/>
          <w:lang w:val="en-US" w:eastAsia="zh-CN"/>
        </w:rPr>
        <w:t>309</w:t>
      </w:r>
      <w:r>
        <w:rPr>
          <w:rFonts w:hint="eastAsia" w:asciiTheme="minorEastAsia" w:hAnsiTheme="minorEastAsia"/>
          <w:sz w:val="18"/>
          <w:szCs w:val="18"/>
          <w:lang w:eastAsia="zh-CN"/>
        </w:rPr>
        <w:t>）、</w:t>
      </w:r>
      <w:r>
        <w:rPr>
          <w:rFonts w:hint="eastAsia" w:asciiTheme="minorEastAsia" w:hAnsiTheme="minorEastAsia"/>
          <w:sz w:val="18"/>
          <w:szCs w:val="18"/>
        </w:rPr>
        <w:t>“应交增值税”</w:t>
      </w:r>
      <w:r>
        <w:rPr>
          <w:rFonts w:hint="eastAsia" w:asciiTheme="minorEastAsia" w:hAnsiTheme="minorEastAsia"/>
          <w:sz w:val="18"/>
          <w:szCs w:val="18"/>
          <w:lang w:eastAsia="zh-CN"/>
        </w:rPr>
        <w:t>（</w:t>
      </w:r>
      <w:r>
        <w:rPr>
          <w:rFonts w:hint="eastAsia" w:asciiTheme="minorEastAsia" w:hAnsiTheme="minorEastAsia"/>
          <w:sz w:val="18"/>
          <w:szCs w:val="18"/>
          <w:lang w:val="en-US" w:eastAsia="zh-CN"/>
        </w:rPr>
        <w:t>402</w:t>
      </w:r>
      <w:r>
        <w:rPr>
          <w:rFonts w:hint="eastAsia" w:asciiTheme="minorEastAsia" w:hAnsiTheme="minorEastAsia"/>
          <w:sz w:val="18"/>
          <w:szCs w:val="18"/>
          <w:lang w:eastAsia="zh-CN"/>
        </w:rPr>
        <w:t>）</w:t>
      </w:r>
      <w:r>
        <w:rPr>
          <w:rFonts w:hint="eastAsia" w:asciiTheme="minorEastAsia" w:hAnsiTheme="minorEastAsia"/>
          <w:sz w:val="18"/>
          <w:szCs w:val="18"/>
        </w:rPr>
        <w:t>应与本台账保持一致。</w:t>
      </w:r>
    </w:p>
    <w:p>
      <w:pPr>
        <w:spacing w:line="240" w:lineRule="exact"/>
        <w:ind w:left="567"/>
        <w:rPr>
          <w:rFonts w:hint="eastAsia" w:asciiTheme="minorEastAsia" w:hAnsiTheme="minorEastAsia"/>
          <w:sz w:val="18"/>
          <w:szCs w:val="18"/>
        </w:rPr>
      </w:pPr>
      <w:r>
        <w:rPr>
          <w:rFonts w:hint="eastAsia" w:asciiTheme="minorEastAsia" w:hAnsiTheme="minorEastAsia"/>
          <w:sz w:val="18"/>
          <w:szCs w:val="18"/>
        </w:rPr>
        <w:t>4.本台账指标均取整数，不保留小数。</w:t>
      </w:r>
    </w:p>
    <w:p>
      <w:pPr>
        <w:pStyle w:val="15"/>
        <w:rPr>
          <w:rFonts w:hint="eastAsia" w:asciiTheme="minorEastAsia" w:hAnsiTheme="minorEastAsia"/>
          <w:sz w:val="18"/>
          <w:szCs w:val="18"/>
        </w:rPr>
      </w:pPr>
    </w:p>
    <w:p>
      <w:pPr>
        <w:pStyle w:val="15"/>
        <w:rPr>
          <w:rFonts w:hint="eastAsia" w:asciiTheme="minorEastAsia" w:hAnsiTheme="minorEastAsia"/>
          <w:sz w:val="18"/>
          <w:szCs w:val="18"/>
        </w:rPr>
      </w:pPr>
    </w:p>
    <w:p>
      <w:pPr>
        <w:pStyle w:val="15"/>
        <w:rPr>
          <w:rFonts w:hint="eastAsia" w:asciiTheme="minorEastAsia" w:hAnsiTheme="minorEastAsia"/>
          <w:sz w:val="18"/>
          <w:szCs w:val="18"/>
        </w:rPr>
      </w:pPr>
    </w:p>
    <w:p>
      <w:pPr>
        <w:pStyle w:val="15"/>
        <w:rPr>
          <w:rFonts w:hint="eastAsia" w:asciiTheme="minorEastAsia" w:hAnsiTheme="minorEastAsia"/>
          <w:sz w:val="18"/>
          <w:szCs w:val="18"/>
        </w:rPr>
      </w:pPr>
    </w:p>
    <w:p>
      <w:pPr>
        <w:pStyle w:val="15"/>
        <w:rPr>
          <w:rFonts w:hint="eastAsia" w:asciiTheme="minorEastAsia" w:hAnsiTheme="minorEastAsia"/>
          <w:sz w:val="18"/>
          <w:szCs w:val="18"/>
        </w:rPr>
      </w:pPr>
    </w:p>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39" w:name="_Toc693171766"/>
      <w:bookmarkStart w:id="40" w:name="_Toc1137365720"/>
      <w:bookmarkStart w:id="41" w:name="_Toc300406484"/>
      <w:bookmarkStart w:id="42" w:name="_Toc1927312879"/>
      <w:r>
        <w:rPr>
          <w:rFonts w:hint="eastAsia" w:ascii="宋体" w:hAnsi="宋体" w:eastAsia="宋体" w:cs="宋体"/>
          <w:b/>
          <w:bCs/>
          <w:sz w:val="32"/>
          <w:szCs w:val="32"/>
        </w:rPr>
        <w:t>主要工业产品生产能力</w:t>
      </w:r>
      <w:bookmarkEnd w:id="39"/>
      <w:bookmarkEnd w:id="40"/>
      <w:bookmarkEnd w:id="41"/>
      <w:bookmarkEnd w:id="42"/>
    </w:p>
    <w:tbl>
      <w:tblPr>
        <w:tblStyle w:val="17"/>
        <w:tblW w:w="9411" w:type="dxa"/>
        <w:jc w:val="center"/>
        <w:tblLayout w:type="fixed"/>
        <w:tblCellMar>
          <w:top w:w="0" w:type="dxa"/>
          <w:left w:w="108" w:type="dxa"/>
          <w:bottom w:w="0" w:type="dxa"/>
          <w:right w:w="108" w:type="dxa"/>
        </w:tblCellMar>
      </w:tblPr>
      <w:tblGrid>
        <w:gridCol w:w="2632"/>
        <w:gridCol w:w="1051"/>
        <w:gridCol w:w="2751"/>
        <w:gridCol w:w="1207"/>
        <w:gridCol w:w="1770"/>
      </w:tblGrid>
      <w:tr>
        <w:tblPrEx>
          <w:tblCellMar>
            <w:top w:w="0" w:type="dxa"/>
            <w:left w:w="108" w:type="dxa"/>
            <w:bottom w:w="0" w:type="dxa"/>
            <w:right w:w="108" w:type="dxa"/>
          </w:tblCellMar>
        </w:tblPrEx>
        <w:trPr>
          <w:jc w:val="center"/>
        </w:trPr>
        <w:tc>
          <w:tcPr>
            <w:tcW w:w="2632" w:type="dxa"/>
            <w:noWrap w:val="0"/>
            <w:tcMar>
              <w:left w:w="0" w:type="dxa"/>
              <w:right w:w="0" w:type="dxa"/>
            </w:tcMar>
            <w:vAlign w:val="top"/>
          </w:tcPr>
          <w:p>
            <w:pPr>
              <w:spacing w:line="240" w:lineRule="exact"/>
              <w:jc w:val="center"/>
              <w:rPr>
                <w:rFonts w:ascii="宋体"/>
                <w:sz w:val="32"/>
                <w:szCs w:val="32"/>
              </w:rPr>
            </w:pPr>
          </w:p>
        </w:tc>
        <w:tc>
          <w:tcPr>
            <w:tcW w:w="1051" w:type="dxa"/>
            <w:noWrap w:val="0"/>
            <w:tcMar>
              <w:left w:w="0" w:type="dxa"/>
              <w:right w:w="0" w:type="dxa"/>
            </w:tcMar>
            <w:vAlign w:val="top"/>
          </w:tcPr>
          <w:p>
            <w:pPr>
              <w:spacing w:line="240" w:lineRule="exact"/>
              <w:jc w:val="center"/>
              <w:rPr>
                <w:rFonts w:ascii="宋体"/>
                <w:sz w:val="32"/>
                <w:szCs w:val="32"/>
              </w:rPr>
            </w:pPr>
          </w:p>
        </w:tc>
        <w:tc>
          <w:tcPr>
            <w:tcW w:w="2751" w:type="dxa"/>
            <w:noWrap w:val="0"/>
            <w:tcMar>
              <w:left w:w="0" w:type="dxa"/>
              <w:right w:w="0" w:type="dxa"/>
            </w:tcMar>
            <w:vAlign w:val="top"/>
          </w:tcPr>
          <w:p>
            <w:pPr>
              <w:spacing w:line="240" w:lineRule="exact"/>
              <w:jc w:val="center"/>
              <w:rPr>
                <w:rFonts w:ascii="宋体"/>
                <w:sz w:val="18"/>
                <w:szCs w:val="18"/>
              </w:rPr>
            </w:pPr>
          </w:p>
        </w:tc>
        <w:tc>
          <w:tcPr>
            <w:tcW w:w="1207" w:type="dxa"/>
            <w:noWrap w:val="0"/>
            <w:tcMar>
              <w:left w:w="0" w:type="dxa"/>
              <w:right w:w="0" w:type="dxa"/>
            </w:tcMar>
            <w:vAlign w:val="top"/>
          </w:tcPr>
          <w:p>
            <w:pPr>
              <w:spacing w:line="240" w:lineRule="exact"/>
              <w:ind w:left="-104" w:leftChars="-50" w:right="-52" w:rightChars="-25" w:hanging="1"/>
              <w:jc w:val="right"/>
              <w:rPr>
                <w:rFonts w:ascii="宋体"/>
                <w:sz w:val="18"/>
                <w:szCs w:val="18"/>
              </w:rPr>
            </w:pPr>
            <w:r>
              <w:rPr>
                <w:rFonts w:hint="eastAsia" w:ascii="宋体" w:hAnsi="宋体"/>
                <w:sz w:val="18"/>
                <w:szCs w:val="18"/>
              </w:rPr>
              <w:t>表</w:t>
            </w:r>
            <w:r>
              <w:rPr>
                <w:rFonts w:ascii="宋体" w:hAnsi="宋体"/>
                <w:sz w:val="18"/>
                <w:szCs w:val="18"/>
              </w:rPr>
              <w:t xml:space="preserve">    </w:t>
            </w:r>
            <w:r>
              <w:rPr>
                <w:rFonts w:hint="eastAsia" w:ascii="宋体" w:hAnsi="宋体"/>
                <w:sz w:val="18"/>
                <w:szCs w:val="18"/>
              </w:rPr>
              <w:t>号：</w:t>
            </w:r>
          </w:p>
        </w:tc>
        <w:tc>
          <w:tcPr>
            <w:tcW w:w="1770" w:type="dxa"/>
            <w:noWrap w:val="0"/>
            <w:tcMar>
              <w:left w:w="0" w:type="dxa"/>
              <w:right w:w="0" w:type="dxa"/>
            </w:tcMar>
            <w:vAlign w:val="center"/>
          </w:tcPr>
          <w:p>
            <w:pPr>
              <w:spacing w:line="240" w:lineRule="exact"/>
              <w:jc w:val="distribute"/>
              <w:rPr>
                <w:rFonts w:ascii="宋体"/>
                <w:sz w:val="18"/>
                <w:szCs w:val="18"/>
              </w:rPr>
            </w:pPr>
            <w:r>
              <w:rPr>
                <w:rFonts w:hint="eastAsia" w:ascii="宋体" w:hAnsi="宋体"/>
                <w:sz w:val="18"/>
                <w:szCs w:val="18"/>
              </w:rPr>
              <w:t>Ｂ１０４－３表</w:t>
            </w:r>
          </w:p>
        </w:tc>
      </w:tr>
      <w:tr>
        <w:tblPrEx>
          <w:tblCellMar>
            <w:top w:w="0" w:type="dxa"/>
            <w:left w:w="108" w:type="dxa"/>
            <w:bottom w:w="0" w:type="dxa"/>
            <w:right w:w="108" w:type="dxa"/>
          </w:tblCellMar>
        </w:tblPrEx>
        <w:trPr>
          <w:jc w:val="center"/>
        </w:trPr>
        <w:tc>
          <w:tcPr>
            <w:tcW w:w="6434" w:type="dxa"/>
            <w:gridSpan w:val="3"/>
            <w:noWrap w:val="0"/>
            <w:tcMar>
              <w:left w:w="0" w:type="dxa"/>
              <w:right w:w="0" w:type="dxa"/>
            </w:tcMar>
            <w:vAlign w:val="top"/>
          </w:tcPr>
          <w:p>
            <w:pPr>
              <w:spacing w:line="240" w:lineRule="exact"/>
              <w:rPr>
                <w:rFonts w:ascii="宋体"/>
                <w:sz w:val="32"/>
                <w:szCs w:val="32"/>
              </w:rPr>
            </w:pPr>
            <w:r>
              <w:rPr>
                <w:rFonts w:hint="eastAsia" w:ascii="宋体" w:hAnsi="宋体"/>
                <w:sz w:val="18"/>
                <w:szCs w:val="18"/>
              </w:rPr>
              <w:t>统一社会信用代码□□□□□□□□□□□□□□□□□□</w:t>
            </w:r>
          </w:p>
        </w:tc>
        <w:tc>
          <w:tcPr>
            <w:tcW w:w="1207" w:type="dxa"/>
            <w:noWrap w:val="0"/>
            <w:tcMar>
              <w:left w:w="0" w:type="dxa"/>
              <w:right w:w="0" w:type="dxa"/>
            </w:tcMar>
            <w:vAlign w:val="center"/>
          </w:tcPr>
          <w:p>
            <w:pPr>
              <w:spacing w:line="240" w:lineRule="exact"/>
              <w:ind w:left="35" w:leftChars="-50" w:right="-52" w:rightChars="-25" w:hanging="140" w:hangingChars="78"/>
              <w:jc w:val="right"/>
              <w:rPr>
                <w:rFonts w:ascii="宋体"/>
                <w:sz w:val="32"/>
                <w:szCs w:val="32"/>
              </w:rPr>
            </w:pPr>
            <w:r>
              <w:rPr>
                <w:rFonts w:hint="eastAsia" w:ascii="宋体" w:hAnsi="宋体"/>
                <w:sz w:val="18"/>
                <w:szCs w:val="18"/>
              </w:rPr>
              <w:t>制定机关：</w:t>
            </w:r>
          </w:p>
        </w:tc>
        <w:tc>
          <w:tcPr>
            <w:tcW w:w="1770"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国家统计局</w:t>
            </w:r>
          </w:p>
        </w:tc>
      </w:tr>
      <w:tr>
        <w:tblPrEx>
          <w:tblCellMar>
            <w:top w:w="0" w:type="dxa"/>
            <w:left w:w="108" w:type="dxa"/>
            <w:bottom w:w="0" w:type="dxa"/>
            <w:right w:w="108" w:type="dxa"/>
          </w:tblCellMar>
        </w:tblPrEx>
        <w:trPr>
          <w:jc w:val="center"/>
        </w:trPr>
        <w:tc>
          <w:tcPr>
            <w:tcW w:w="6434" w:type="dxa"/>
            <w:gridSpan w:val="3"/>
            <w:noWrap w:val="0"/>
            <w:tcMar>
              <w:left w:w="0" w:type="dxa"/>
              <w:right w:w="0" w:type="dxa"/>
            </w:tcMar>
            <w:vAlign w:val="top"/>
          </w:tcPr>
          <w:p>
            <w:pPr>
              <w:spacing w:line="240" w:lineRule="exact"/>
              <w:rPr>
                <w:rFonts w:ascii="宋体"/>
                <w:sz w:val="32"/>
                <w:szCs w:val="32"/>
              </w:rPr>
            </w:pPr>
          </w:p>
        </w:tc>
        <w:tc>
          <w:tcPr>
            <w:tcW w:w="1207" w:type="dxa"/>
            <w:noWrap w:val="0"/>
            <w:tcMar>
              <w:left w:w="0" w:type="dxa"/>
              <w:right w:w="0" w:type="dxa"/>
            </w:tcMar>
            <w:vAlign w:val="center"/>
          </w:tcPr>
          <w:p>
            <w:pPr>
              <w:spacing w:line="240" w:lineRule="exact"/>
              <w:ind w:left="-105" w:leftChars="-50" w:right="-52" w:rightChars="-25"/>
              <w:jc w:val="right"/>
              <w:rPr>
                <w:rFonts w:ascii="宋体"/>
                <w:sz w:val="32"/>
                <w:szCs w:val="32"/>
              </w:rPr>
            </w:pP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号：</w:t>
            </w:r>
          </w:p>
        </w:tc>
        <w:tc>
          <w:tcPr>
            <w:tcW w:w="1770"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国统字〔202</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hint="eastAsia" w:ascii="宋体" w:hAnsi="宋体"/>
                <w:sz w:val="18"/>
                <w:szCs w:val="18"/>
              </w:rPr>
              <w:t>号</w:t>
            </w:r>
          </w:p>
        </w:tc>
      </w:tr>
      <w:tr>
        <w:tblPrEx>
          <w:tblCellMar>
            <w:top w:w="0" w:type="dxa"/>
            <w:left w:w="108" w:type="dxa"/>
            <w:bottom w:w="0" w:type="dxa"/>
            <w:right w:w="108" w:type="dxa"/>
          </w:tblCellMar>
        </w:tblPrEx>
        <w:trPr>
          <w:jc w:val="center"/>
        </w:trPr>
        <w:tc>
          <w:tcPr>
            <w:tcW w:w="2632" w:type="dxa"/>
            <w:noWrap w:val="0"/>
            <w:tcMar>
              <w:left w:w="0" w:type="dxa"/>
              <w:right w:w="0" w:type="dxa"/>
            </w:tcMar>
            <w:vAlign w:val="top"/>
          </w:tcPr>
          <w:p>
            <w:pPr>
              <w:spacing w:line="240" w:lineRule="exact"/>
              <w:rPr>
                <w:rFonts w:ascii="宋体"/>
                <w:sz w:val="32"/>
                <w:szCs w:val="32"/>
              </w:rPr>
            </w:pPr>
            <w:r>
              <w:rPr>
                <w:rFonts w:hint="eastAsia" w:ascii="宋体" w:hAnsi="宋体" w:cs="宋体"/>
                <w:sz w:val="18"/>
                <w:szCs w:val="18"/>
              </w:rPr>
              <w:t>单位详细名称：</w:t>
            </w:r>
          </w:p>
        </w:tc>
        <w:tc>
          <w:tcPr>
            <w:tcW w:w="1051" w:type="dxa"/>
            <w:noWrap w:val="0"/>
            <w:tcMar>
              <w:left w:w="0" w:type="dxa"/>
              <w:right w:w="0" w:type="dxa"/>
            </w:tcMar>
            <w:vAlign w:val="top"/>
          </w:tcPr>
          <w:p>
            <w:pPr>
              <w:spacing w:line="240" w:lineRule="exact"/>
              <w:jc w:val="center"/>
              <w:rPr>
                <w:rFonts w:ascii="宋体"/>
                <w:sz w:val="32"/>
                <w:szCs w:val="32"/>
              </w:rPr>
            </w:pPr>
          </w:p>
        </w:tc>
        <w:tc>
          <w:tcPr>
            <w:tcW w:w="2751" w:type="dxa"/>
            <w:noWrap w:val="0"/>
            <w:tcMar>
              <w:left w:w="0" w:type="dxa"/>
              <w:right w:w="0" w:type="dxa"/>
            </w:tcMar>
            <w:vAlign w:val="top"/>
          </w:tcPr>
          <w:p>
            <w:pPr>
              <w:spacing w:line="240" w:lineRule="exact"/>
              <w:ind w:firstLine="450" w:firstLineChars="250"/>
              <w:rPr>
                <w:rFonts w:ascii="宋体" w:hAnsi="宋体"/>
                <w:sz w:val="18"/>
                <w:szCs w:val="18"/>
              </w:rPr>
            </w:pPr>
            <w:r>
              <w:rPr>
                <w:rFonts w:hint="eastAsia" w:ascii="宋体" w:hAnsi="宋体"/>
                <w:sz w:val="18"/>
                <w:szCs w:val="18"/>
              </w:rPr>
              <w:t>２０２</w:t>
            </w:r>
            <w:r>
              <w:rPr>
                <w:rFonts w:hint="eastAsia" w:ascii="宋体" w:hAnsi="宋体"/>
                <w:sz w:val="18"/>
                <w:szCs w:val="18"/>
                <w:lang w:val="en-US" w:eastAsia="zh-CN"/>
              </w:rPr>
              <w:t>5</w:t>
            </w:r>
            <w:r>
              <w:rPr>
                <w:rFonts w:hint="eastAsia" w:ascii="宋体" w:hAnsi="宋体"/>
                <w:sz w:val="18"/>
                <w:szCs w:val="18"/>
              </w:rPr>
              <w:t>年</w:t>
            </w:r>
            <w:r>
              <w:rPr>
                <w:rFonts w:ascii="宋体" w:hAnsi="宋体"/>
                <w:sz w:val="18"/>
                <w:szCs w:val="18"/>
              </w:rPr>
              <w:t xml:space="preserve">   </w:t>
            </w:r>
          </w:p>
        </w:tc>
        <w:tc>
          <w:tcPr>
            <w:tcW w:w="1207" w:type="dxa"/>
            <w:noWrap w:val="0"/>
            <w:tcMar>
              <w:left w:w="0" w:type="dxa"/>
              <w:right w:w="0" w:type="dxa"/>
            </w:tcMar>
            <w:vAlign w:val="center"/>
          </w:tcPr>
          <w:p>
            <w:pPr>
              <w:spacing w:line="240" w:lineRule="exact"/>
              <w:ind w:left="-105" w:leftChars="-50" w:right="-52" w:rightChars="-25"/>
              <w:jc w:val="right"/>
              <w:rPr>
                <w:rFonts w:ascii="宋体"/>
                <w:sz w:val="32"/>
                <w:szCs w:val="32"/>
              </w:rPr>
            </w:pPr>
            <w:r>
              <w:rPr>
                <w:rFonts w:hint="eastAsia" w:ascii="宋体" w:hAnsi="宋体"/>
                <w:sz w:val="18"/>
                <w:szCs w:val="18"/>
              </w:rPr>
              <w:t>有效期至：</w:t>
            </w:r>
          </w:p>
        </w:tc>
        <w:tc>
          <w:tcPr>
            <w:tcW w:w="1770"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２０２</w:t>
            </w:r>
            <w:r>
              <w:rPr>
                <w:rFonts w:hint="eastAsia" w:ascii="宋体" w:hAnsi="宋体"/>
                <w:sz w:val="18"/>
                <w:szCs w:val="18"/>
                <w:lang w:val="en-US" w:eastAsia="zh-CN"/>
              </w:rPr>
              <w:t>6</w:t>
            </w:r>
            <w:r>
              <w:rPr>
                <w:rFonts w:hint="eastAsia" w:ascii="宋体" w:hAnsi="宋体"/>
                <w:sz w:val="18"/>
                <w:szCs w:val="18"/>
              </w:rPr>
              <w:t>年６月</w:t>
            </w:r>
          </w:p>
        </w:tc>
      </w:tr>
    </w:tbl>
    <w:p>
      <w:pPr>
        <w:spacing w:line="20" w:lineRule="exact"/>
        <w:rPr>
          <w:sz w:val="18"/>
          <w:szCs w:val="18"/>
        </w:rPr>
      </w:pPr>
    </w:p>
    <w:tbl>
      <w:tblPr>
        <w:tblStyle w:val="17"/>
        <w:tblW w:w="9427"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28" w:type="dxa"/>
          <w:bottom w:w="0" w:type="dxa"/>
          <w:right w:w="28" w:type="dxa"/>
        </w:tblCellMar>
      </w:tblPr>
      <w:tblGrid>
        <w:gridCol w:w="2876"/>
        <w:gridCol w:w="1309"/>
        <w:gridCol w:w="1309"/>
        <w:gridCol w:w="1311"/>
        <w:gridCol w:w="1311"/>
        <w:gridCol w:w="1311"/>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trHeight w:val="539" w:hRule="atLeast"/>
          <w:tblHeader/>
          <w:jc w:val="center"/>
        </w:trPr>
        <w:tc>
          <w:tcPr>
            <w:tcW w:w="2876" w:type="dxa"/>
            <w:tcBorders>
              <w:top w:val="single" w:color="auto" w:sz="8" w:space="0"/>
              <w:left w:val="nil"/>
            </w:tcBorders>
            <w:shd w:val="clear" w:color="auto" w:fill="auto"/>
            <w:noWrap w:val="0"/>
            <w:vAlign w:val="center"/>
          </w:tcPr>
          <w:p>
            <w:pPr>
              <w:autoSpaceDE w:val="0"/>
              <w:autoSpaceDN w:val="0"/>
              <w:adjustRightInd w:val="0"/>
              <w:spacing w:line="280" w:lineRule="exact"/>
              <w:jc w:val="center"/>
              <w:rPr>
                <w:kern w:val="0"/>
                <w:sz w:val="18"/>
                <w:szCs w:val="18"/>
              </w:rPr>
            </w:pPr>
            <w:r>
              <w:rPr>
                <w:rFonts w:hint="eastAsia" w:cs="宋体"/>
                <w:kern w:val="0"/>
                <w:sz w:val="18"/>
                <w:szCs w:val="18"/>
              </w:rPr>
              <w:t>产品名称</w:t>
            </w:r>
          </w:p>
        </w:tc>
        <w:tc>
          <w:tcPr>
            <w:tcW w:w="1309" w:type="dxa"/>
            <w:tcBorders>
              <w:top w:val="single" w:color="auto" w:sz="8" w:space="0"/>
            </w:tcBorders>
            <w:shd w:val="clear" w:color="auto" w:fill="auto"/>
            <w:noWrap w:val="0"/>
            <w:vAlign w:val="center"/>
          </w:tcPr>
          <w:p>
            <w:pPr>
              <w:autoSpaceDE w:val="0"/>
              <w:autoSpaceDN w:val="0"/>
              <w:adjustRightInd w:val="0"/>
              <w:spacing w:line="280" w:lineRule="exact"/>
              <w:jc w:val="center"/>
              <w:rPr>
                <w:kern w:val="0"/>
                <w:sz w:val="18"/>
                <w:szCs w:val="18"/>
              </w:rPr>
            </w:pPr>
            <w:r>
              <w:rPr>
                <w:rFonts w:hint="eastAsia" w:cs="宋体"/>
                <w:kern w:val="0"/>
                <w:sz w:val="18"/>
                <w:szCs w:val="18"/>
              </w:rPr>
              <w:t>计量单位</w:t>
            </w:r>
          </w:p>
        </w:tc>
        <w:tc>
          <w:tcPr>
            <w:tcW w:w="1309" w:type="dxa"/>
            <w:tcBorders>
              <w:top w:val="single" w:color="auto" w:sz="8" w:space="0"/>
            </w:tcBorders>
            <w:shd w:val="clear" w:color="auto" w:fill="auto"/>
            <w:noWrap w:val="0"/>
            <w:vAlign w:val="center"/>
          </w:tcPr>
          <w:p>
            <w:pPr>
              <w:autoSpaceDE w:val="0"/>
              <w:autoSpaceDN w:val="0"/>
              <w:adjustRightInd w:val="0"/>
              <w:spacing w:line="280" w:lineRule="exact"/>
              <w:jc w:val="center"/>
              <w:rPr>
                <w:kern w:val="0"/>
                <w:sz w:val="18"/>
                <w:szCs w:val="18"/>
              </w:rPr>
            </w:pPr>
            <w:r>
              <w:rPr>
                <w:rFonts w:hint="eastAsia" w:cs="宋体"/>
                <w:kern w:val="0"/>
                <w:sz w:val="18"/>
                <w:szCs w:val="18"/>
              </w:rPr>
              <w:t>产品代码</w:t>
            </w:r>
          </w:p>
        </w:tc>
        <w:tc>
          <w:tcPr>
            <w:tcW w:w="1311" w:type="dxa"/>
            <w:tcBorders>
              <w:top w:val="single" w:color="auto" w:sz="8" w:space="0"/>
            </w:tcBorders>
            <w:shd w:val="clear" w:color="auto" w:fill="auto"/>
            <w:noWrap w:val="0"/>
            <w:vAlign w:val="center"/>
          </w:tcPr>
          <w:p>
            <w:pPr>
              <w:autoSpaceDE w:val="0"/>
              <w:autoSpaceDN w:val="0"/>
              <w:adjustRightInd w:val="0"/>
              <w:spacing w:line="280" w:lineRule="exact"/>
              <w:jc w:val="center"/>
              <w:rPr>
                <w:sz w:val="18"/>
                <w:szCs w:val="18"/>
              </w:rPr>
            </w:pPr>
            <w:r>
              <w:rPr>
                <w:rFonts w:hint="eastAsia" w:cs="宋体"/>
                <w:sz w:val="18"/>
                <w:szCs w:val="18"/>
              </w:rPr>
              <w:t>年初生产能力</w:t>
            </w:r>
          </w:p>
        </w:tc>
        <w:tc>
          <w:tcPr>
            <w:tcW w:w="1311" w:type="dxa"/>
            <w:tcBorders>
              <w:top w:val="single" w:color="auto" w:sz="8" w:space="0"/>
            </w:tcBorders>
            <w:shd w:val="clear" w:color="auto" w:fill="auto"/>
            <w:noWrap w:val="0"/>
            <w:vAlign w:val="center"/>
          </w:tcPr>
          <w:p>
            <w:pPr>
              <w:autoSpaceDE w:val="0"/>
              <w:autoSpaceDN w:val="0"/>
              <w:adjustRightInd w:val="0"/>
              <w:spacing w:line="280" w:lineRule="exact"/>
              <w:jc w:val="center"/>
              <w:rPr>
                <w:sz w:val="18"/>
                <w:szCs w:val="18"/>
              </w:rPr>
            </w:pPr>
            <w:r>
              <w:rPr>
                <w:rFonts w:hint="eastAsia" w:cs="宋体"/>
                <w:sz w:val="18"/>
                <w:szCs w:val="18"/>
              </w:rPr>
              <w:t>年末生产能力</w:t>
            </w:r>
          </w:p>
        </w:tc>
        <w:tc>
          <w:tcPr>
            <w:tcW w:w="1311" w:type="dxa"/>
            <w:tcBorders>
              <w:top w:val="single" w:color="auto" w:sz="8" w:space="0"/>
              <w:right w:val="nil"/>
            </w:tcBorders>
            <w:shd w:val="clear" w:color="auto" w:fill="D9D9D9"/>
            <w:noWrap w:val="0"/>
            <w:vAlign w:val="center"/>
          </w:tcPr>
          <w:p>
            <w:pPr>
              <w:spacing w:line="240" w:lineRule="exact"/>
              <w:jc w:val="center"/>
              <w:rPr>
                <w:rFonts w:ascii="宋体"/>
                <w:sz w:val="18"/>
              </w:rPr>
            </w:pPr>
            <w:r>
              <w:rPr>
                <w:rFonts w:hint="eastAsia" w:ascii="宋体" w:hAnsi="宋体"/>
                <w:sz w:val="18"/>
              </w:rPr>
              <w:t>产品产量</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trHeight w:val="340" w:hRule="atLeast"/>
          <w:tblHeader/>
          <w:jc w:val="center"/>
        </w:trPr>
        <w:tc>
          <w:tcPr>
            <w:tcW w:w="2876" w:type="dxa"/>
            <w:tcBorders>
              <w:left w:val="nil"/>
            </w:tcBorders>
            <w:shd w:val="clear" w:color="auto" w:fill="auto"/>
            <w:noWrap w:val="0"/>
            <w:vAlign w:val="center"/>
          </w:tcPr>
          <w:p>
            <w:pPr>
              <w:autoSpaceDE w:val="0"/>
              <w:autoSpaceDN w:val="0"/>
              <w:adjustRightInd w:val="0"/>
              <w:jc w:val="center"/>
              <w:rPr>
                <w:kern w:val="0"/>
                <w:sz w:val="18"/>
                <w:szCs w:val="18"/>
              </w:rPr>
            </w:pPr>
            <w:r>
              <w:rPr>
                <w:rFonts w:hint="eastAsia" w:cs="宋体"/>
                <w:kern w:val="0"/>
                <w:sz w:val="18"/>
                <w:szCs w:val="18"/>
              </w:rPr>
              <w:t>甲</w:t>
            </w:r>
          </w:p>
        </w:tc>
        <w:tc>
          <w:tcPr>
            <w:tcW w:w="1309" w:type="dxa"/>
            <w:shd w:val="clear" w:color="auto" w:fill="auto"/>
            <w:noWrap w:val="0"/>
            <w:vAlign w:val="center"/>
          </w:tcPr>
          <w:p>
            <w:pPr>
              <w:autoSpaceDE w:val="0"/>
              <w:autoSpaceDN w:val="0"/>
              <w:adjustRightInd w:val="0"/>
              <w:jc w:val="center"/>
              <w:rPr>
                <w:kern w:val="0"/>
                <w:sz w:val="18"/>
                <w:szCs w:val="18"/>
              </w:rPr>
            </w:pPr>
            <w:r>
              <w:rPr>
                <w:rFonts w:hint="eastAsia" w:cs="宋体"/>
                <w:kern w:val="0"/>
                <w:sz w:val="18"/>
                <w:szCs w:val="18"/>
              </w:rPr>
              <w:t>乙</w:t>
            </w:r>
          </w:p>
        </w:tc>
        <w:tc>
          <w:tcPr>
            <w:tcW w:w="1309" w:type="dxa"/>
            <w:shd w:val="clear" w:color="auto" w:fill="auto"/>
            <w:noWrap w:val="0"/>
            <w:vAlign w:val="center"/>
          </w:tcPr>
          <w:p>
            <w:pPr>
              <w:autoSpaceDE w:val="0"/>
              <w:autoSpaceDN w:val="0"/>
              <w:adjustRightInd w:val="0"/>
              <w:jc w:val="center"/>
              <w:rPr>
                <w:kern w:val="0"/>
                <w:sz w:val="18"/>
                <w:szCs w:val="18"/>
              </w:rPr>
            </w:pPr>
            <w:r>
              <w:rPr>
                <w:rFonts w:hint="eastAsia" w:cs="宋体"/>
                <w:kern w:val="0"/>
                <w:sz w:val="18"/>
                <w:szCs w:val="18"/>
              </w:rPr>
              <w:t>丙</w:t>
            </w:r>
          </w:p>
        </w:tc>
        <w:tc>
          <w:tcPr>
            <w:tcW w:w="1311" w:type="dxa"/>
            <w:shd w:val="clear" w:color="auto" w:fill="auto"/>
            <w:noWrap w:val="0"/>
            <w:vAlign w:val="center"/>
          </w:tcPr>
          <w:p>
            <w:pPr>
              <w:autoSpaceDE w:val="0"/>
              <w:autoSpaceDN w:val="0"/>
              <w:adjustRightInd w:val="0"/>
              <w:jc w:val="center"/>
              <w:rPr>
                <w:rFonts w:ascii="宋体" w:cs="宋体"/>
                <w:sz w:val="18"/>
                <w:szCs w:val="18"/>
              </w:rPr>
            </w:pPr>
            <w:r>
              <w:rPr>
                <w:rFonts w:ascii="宋体" w:hAnsi="宋体" w:cs="宋体"/>
                <w:sz w:val="18"/>
                <w:szCs w:val="18"/>
              </w:rPr>
              <w:t>1</w:t>
            </w:r>
          </w:p>
        </w:tc>
        <w:tc>
          <w:tcPr>
            <w:tcW w:w="1311" w:type="dxa"/>
            <w:shd w:val="clear" w:color="auto" w:fill="auto"/>
            <w:noWrap w:val="0"/>
            <w:vAlign w:val="center"/>
          </w:tcPr>
          <w:p>
            <w:pPr>
              <w:autoSpaceDE w:val="0"/>
              <w:autoSpaceDN w:val="0"/>
              <w:adjustRightInd w:val="0"/>
              <w:jc w:val="center"/>
              <w:rPr>
                <w:rFonts w:ascii="宋体" w:cs="宋体"/>
                <w:sz w:val="18"/>
                <w:szCs w:val="18"/>
              </w:rPr>
            </w:pPr>
            <w:r>
              <w:rPr>
                <w:rFonts w:ascii="宋体" w:hAnsi="宋体" w:cs="宋体"/>
                <w:sz w:val="18"/>
                <w:szCs w:val="18"/>
              </w:rPr>
              <w:t>2</w:t>
            </w:r>
          </w:p>
        </w:tc>
        <w:tc>
          <w:tcPr>
            <w:tcW w:w="1311" w:type="dxa"/>
            <w:tcBorders>
              <w:right w:val="nil"/>
            </w:tcBorders>
            <w:shd w:val="clear" w:color="auto" w:fill="D9D9D9"/>
            <w:noWrap w:val="0"/>
            <w:vAlign w:val="center"/>
          </w:tcPr>
          <w:p>
            <w:pPr>
              <w:autoSpaceDE w:val="0"/>
              <w:autoSpaceDN w:val="0"/>
              <w:adjustRightInd w:val="0"/>
              <w:jc w:val="center"/>
              <w:rPr>
                <w:rFonts w:ascii="宋体" w:cs="宋体"/>
                <w:kern w:val="0"/>
                <w:sz w:val="18"/>
                <w:szCs w:val="18"/>
              </w:rPr>
            </w:pPr>
            <w:r>
              <w:rPr>
                <w:rFonts w:ascii="宋体" w:hAnsi="宋体" w:cs="宋体"/>
                <w:kern w:val="0"/>
                <w:sz w:val="18"/>
                <w:szCs w:val="18"/>
              </w:rPr>
              <w:t>3</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trHeight w:val="1931" w:hRule="atLeast"/>
          <w:jc w:val="center"/>
        </w:trPr>
        <w:tc>
          <w:tcPr>
            <w:tcW w:w="2876" w:type="dxa"/>
            <w:tcBorders>
              <w:left w:val="nil"/>
              <w:bottom w:val="single" w:color="auto" w:sz="8" w:space="0"/>
            </w:tcBorders>
            <w:noWrap w:val="0"/>
            <w:vAlign w:val="top"/>
          </w:tcPr>
          <w:p>
            <w:pPr>
              <w:spacing w:line="280" w:lineRule="exact"/>
              <w:rPr>
                <w:rFonts w:ascii="宋体" w:cs="宋体"/>
                <w:b/>
                <w:bCs/>
                <w:sz w:val="18"/>
                <w:szCs w:val="18"/>
              </w:rPr>
            </w:pPr>
          </w:p>
          <w:p>
            <w:pPr>
              <w:spacing w:line="280" w:lineRule="exact"/>
              <w:rPr>
                <w:rFonts w:hint="eastAsia" w:ascii="宋体" w:cs="宋体"/>
                <w:sz w:val="18"/>
                <w:szCs w:val="18"/>
              </w:rPr>
            </w:pPr>
            <w:r>
              <w:rPr>
                <w:rFonts w:hint="eastAsia" w:ascii="宋体" w:cs="宋体"/>
                <w:sz w:val="18"/>
                <w:szCs w:val="18"/>
              </w:rPr>
              <w:t>按《主要工业产品生产能力目录》</w:t>
            </w:r>
          </w:p>
          <w:p>
            <w:pPr>
              <w:spacing w:line="280" w:lineRule="exact"/>
              <w:rPr>
                <w:rFonts w:ascii="宋体" w:cs="宋体"/>
                <w:b/>
                <w:bCs/>
                <w:sz w:val="18"/>
                <w:szCs w:val="18"/>
              </w:rPr>
            </w:pPr>
            <w:r>
              <w:rPr>
                <w:rFonts w:hint="eastAsia" w:ascii="宋体" w:cs="宋体"/>
                <w:sz w:val="18"/>
                <w:szCs w:val="18"/>
              </w:rPr>
              <w:t>填报</w:t>
            </w:r>
          </w:p>
        </w:tc>
        <w:tc>
          <w:tcPr>
            <w:tcW w:w="1309" w:type="dxa"/>
            <w:tcBorders>
              <w:bottom w:val="single" w:color="auto" w:sz="8" w:space="0"/>
            </w:tcBorders>
            <w:noWrap w:val="0"/>
            <w:vAlign w:val="top"/>
          </w:tcPr>
          <w:p>
            <w:pPr>
              <w:spacing w:line="280" w:lineRule="exact"/>
              <w:rPr>
                <w:rFonts w:ascii="宋体" w:cs="宋体"/>
                <w:sz w:val="18"/>
                <w:szCs w:val="18"/>
              </w:rPr>
            </w:pPr>
          </w:p>
        </w:tc>
        <w:tc>
          <w:tcPr>
            <w:tcW w:w="1309" w:type="dxa"/>
            <w:tcBorders>
              <w:bottom w:val="single" w:color="auto" w:sz="8" w:space="0"/>
            </w:tcBorders>
            <w:noWrap w:val="0"/>
            <w:vAlign w:val="top"/>
          </w:tcPr>
          <w:p>
            <w:pPr>
              <w:spacing w:line="280" w:lineRule="exact"/>
              <w:rPr>
                <w:rFonts w:ascii="宋体" w:cs="宋体"/>
                <w:sz w:val="18"/>
                <w:szCs w:val="18"/>
              </w:rPr>
            </w:pPr>
          </w:p>
        </w:tc>
        <w:tc>
          <w:tcPr>
            <w:tcW w:w="3933" w:type="dxa"/>
            <w:gridSpan w:val="3"/>
            <w:tcBorders>
              <w:bottom w:val="single" w:color="auto" w:sz="8" w:space="0"/>
              <w:right w:val="nil"/>
            </w:tcBorders>
            <w:noWrap w:val="0"/>
            <w:vAlign w:val="top"/>
          </w:tcPr>
          <w:p>
            <w:pPr>
              <w:autoSpaceDE w:val="0"/>
              <w:autoSpaceDN w:val="0"/>
              <w:adjustRightInd w:val="0"/>
              <w:spacing w:line="280" w:lineRule="exact"/>
              <w:rPr>
                <w:kern w:val="0"/>
                <w:sz w:val="18"/>
                <w:szCs w:val="18"/>
              </w:rPr>
            </w:pPr>
          </w:p>
        </w:tc>
      </w:tr>
    </w:tbl>
    <w:p>
      <w:pPr>
        <w:adjustRightInd w:val="0"/>
        <w:spacing w:line="240" w:lineRule="exact"/>
        <w:ind w:left="84" w:leftChars="4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单位负责人：       统计负责人：        填表人：        联系电话：           报出日期：</w:t>
      </w:r>
      <w:r>
        <w:rPr>
          <w:rFonts w:hint="eastAsia" w:asciiTheme="minorEastAsia" w:hAnsiTheme="minorEastAsia" w:eastAsiaTheme="minorEastAsia" w:cstheme="minorEastAsia"/>
          <w:sz w:val="18"/>
          <w:szCs w:val="18"/>
          <w:lang w:val="en-US" w:eastAsia="zh-CN"/>
        </w:rPr>
        <w:t>2 0</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年   月   日</w:t>
      </w:r>
    </w:p>
    <w:p>
      <w:pPr>
        <w:spacing w:line="240" w:lineRule="exact"/>
        <w:rPr>
          <w:rFonts w:hint="eastAsia" w:asciiTheme="minorEastAsia" w:hAnsiTheme="minorEastAsia" w:eastAsiaTheme="minorEastAsia" w:cstheme="minorEastAsia"/>
          <w:sz w:val="18"/>
          <w:szCs w:val="18"/>
        </w:rPr>
      </w:pPr>
    </w:p>
    <w:p>
      <w:pPr>
        <w:spacing w:line="240" w:lineRule="exact"/>
        <w:ind w:left="634" w:leftChars="40" w:hanging="550" w:hangingChars="306"/>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说明：1.统计范围：辖区内规模以上工业法人单位。</w:t>
      </w:r>
    </w:p>
    <w:p>
      <w:pPr>
        <w:keepNext w:val="0"/>
        <w:keepLines w:val="0"/>
        <w:pageBreakBefore w:val="0"/>
        <w:widowControl w:val="0"/>
        <w:kinsoku/>
        <w:wordWrap/>
        <w:overflowPunct/>
        <w:topLinePunct w:val="0"/>
        <w:autoSpaceDE/>
        <w:autoSpaceDN/>
        <w:bidi w:val="0"/>
        <w:adjustRightInd/>
        <w:snapToGrid/>
        <w:spacing w:line="240" w:lineRule="exact"/>
        <w:ind w:left="2202" w:leftChars="290" w:right="210" w:rightChars="100" w:hanging="1593" w:hangingChars="885"/>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2.报送日期及方式：调查单位202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年3月1</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sz w:val="18"/>
          <w:szCs w:val="18"/>
        </w:rPr>
        <w:t>。</w:t>
      </w:r>
    </w:p>
    <w:p>
      <w:pPr>
        <w:spacing w:line="240" w:lineRule="exact"/>
        <w:ind w:left="789" w:leftChars="290" w:hanging="180" w:hangingChars="100"/>
        <w:rPr>
          <w:rFonts w:hint="default" w:asciiTheme="minorEastAsia" w:hAnsiTheme="minorEastAsia" w:eastAsiaTheme="minorEastAsia" w:cstheme="minorEastAsia"/>
          <w:sz w:val="18"/>
          <w:szCs w:val="18"/>
          <w:lang w:val="en"/>
        </w:rPr>
      </w:pPr>
      <w:r>
        <w:rPr>
          <w:rFonts w:hint="eastAsia" w:asciiTheme="minorEastAsia" w:hAnsiTheme="minorEastAsia" w:eastAsiaTheme="minorEastAsia" w:cstheme="minorEastAsia"/>
          <w:sz w:val="18"/>
          <w:szCs w:val="18"/>
        </w:rPr>
        <w:t>3.</w:t>
      </w:r>
      <w:r>
        <w:rPr>
          <w:rFonts w:hint="default" w:asciiTheme="minorEastAsia" w:hAnsiTheme="minorEastAsia" w:eastAsiaTheme="minorEastAsia" w:cstheme="minorEastAsia"/>
          <w:sz w:val="18"/>
          <w:szCs w:val="18"/>
          <w:lang w:val="en"/>
        </w:rPr>
        <w:t>数据填报和处理要求：</w:t>
      </w:r>
    </w:p>
    <w:p>
      <w:pPr>
        <w:spacing w:line="240" w:lineRule="exact"/>
        <w:ind w:left="787" w:leftChars="375" w:firstLine="0" w:firstLineChars="0"/>
        <w:rPr>
          <w:rFonts w:hint="eastAsia" w:asciiTheme="minorEastAsia" w:hAnsiTheme="minorEastAsia" w:eastAsiaTheme="minorEastAsia" w:cstheme="minorEastAsia"/>
          <w:sz w:val="18"/>
          <w:szCs w:val="18"/>
        </w:rPr>
      </w:pPr>
      <w:r>
        <w:rPr>
          <w:rFonts w:hint="default" w:asciiTheme="minorEastAsia" w:hAnsiTheme="minorEastAsia" w:eastAsiaTheme="minorEastAsia" w:cstheme="minorEastAsia"/>
          <w:sz w:val="18"/>
          <w:szCs w:val="18"/>
          <w:lang w:val="en"/>
        </w:rPr>
        <w:t>（1）</w:t>
      </w:r>
      <w:r>
        <w:rPr>
          <w:rFonts w:hint="eastAsia" w:asciiTheme="minorEastAsia" w:hAnsiTheme="minorEastAsia" w:eastAsiaTheme="minorEastAsia" w:cstheme="minorEastAsia"/>
          <w:sz w:val="18"/>
          <w:szCs w:val="18"/>
        </w:rPr>
        <w:t>本表甲栏按《主要工业产品生产能力目录》填报。</w:t>
      </w:r>
    </w:p>
    <w:p>
      <w:pPr>
        <w:keepNext w:val="0"/>
        <w:keepLines w:val="0"/>
        <w:pageBreakBefore w:val="0"/>
        <w:widowControl w:val="0"/>
        <w:kinsoku/>
        <w:wordWrap/>
        <w:overflowPunct/>
        <w:topLinePunct w:val="0"/>
        <w:autoSpaceDE/>
        <w:autoSpaceDN/>
        <w:bidi w:val="0"/>
        <w:adjustRightInd/>
        <w:snapToGrid/>
        <w:spacing w:line="240" w:lineRule="exact"/>
        <w:ind w:left="1237" w:leftChars="375" w:right="210" w:rightChars="100" w:hanging="450" w:hangingChars="250"/>
        <w:textAlignment w:val="auto"/>
        <w:rPr>
          <w:rFonts w:hint="eastAsia" w:asciiTheme="minorEastAsia" w:hAnsiTheme="minorEastAsia" w:eastAsiaTheme="minorEastAsia" w:cstheme="minorEastAsia"/>
          <w:sz w:val="18"/>
        </w:rPr>
      </w:pPr>
      <w:r>
        <w:rPr>
          <w:rFonts w:hint="default" w:asciiTheme="minorEastAsia" w:hAnsiTheme="minorEastAsia" w:eastAsiaTheme="minorEastAsia" w:cstheme="minorEastAsia"/>
          <w:sz w:val="18"/>
          <w:szCs w:val="18"/>
          <w:lang w:val="en"/>
        </w:rPr>
        <w:t>（2）</w:t>
      </w:r>
      <w:r>
        <w:rPr>
          <w:rFonts w:hint="eastAsia" w:ascii="宋体"/>
          <w:sz w:val="18"/>
          <w:szCs w:val="18"/>
        </w:rPr>
        <w:t>本表“产品产量”数据统一由国家统计局在数据处理软件中复制，年报新增的调查单位自行填报“产品产量”数据</w:t>
      </w:r>
      <w:r>
        <w:rPr>
          <w:rFonts w:hint="eastAsia" w:asciiTheme="minorEastAsia" w:hAnsiTheme="minorEastAsia" w:eastAsiaTheme="minorEastAsia" w:cstheme="minorEastAsia"/>
          <w:sz w:val="18"/>
          <w:szCs w:val="18"/>
        </w:rPr>
        <w:t>。</w:t>
      </w: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rPr>
          <w:rFonts w:hint="eastAsia" w:asciiTheme="minorEastAsia" w:hAnsiTheme="minorEastAsia" w:eastAsiaTheme="minorEastAsia" w:cstheme="minorEastAsia"/>
          <w:spacing w:val="-2"/>
          <w:sz w:val="18"/>
          <w:szCs w:val="18"/>
        </w:rPr>
      </w:pPr>
    </w:p>
    <w:p>
      <w:pPr>
        <w:pStyle w:val="2"/>
        <w:rPr>
          <w:rFonts w:hint="eastAsia" w:asciiTheme="minorEastAsia" w:hAnsiTheme="minorEastAsia" w:eastAsiaTheme="minorEastAsia" w:cstheme="minorEastAsia"/>
          <w:spacing w:val="-2"/>
          <w:sz w:val="18"/>
          <w:szCs w:val="18"/>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43" w:name="_Toc363585424"/>
      <w:bookmarkStart w:id="44" w:name="_Toc1268025930"/>
      <w:bookmarkStart w:id="45" w:name="_Toc1647961691"/>
      <w:bookmarkStart w:id="46" w:name="_Toc1133142491"/>
      <w:r>
        <w:rPr>
          <w:rFonts w:hint="eastAsia" w:ascii="宋体" w:hAnsi="宋体" w:eastAsia="宋体" w:cs="宋体"/>
          <w:b/>
          <w:bCs/>
          <w:sz w:val="32"/>
          <w:szCs w:val="32"/>
        </w:rPr>
        <w:t>工业企业战略性新兴产业总产值</w:t>
      </w:r>
      <w:bookmarkEnd w:id="43"/>
      <w:bookmarkEnd w:id="44"/>
      <w:bookmarkEnd w:id="45"/>
      <w:bookmarkEnd w:id="46"/>
    </w:p>
    <w:tbl>
      <w:tblPr>
        <w:tblStyle w:val="17"/>
        <w:tblW w:w="9289" w:type="dxa"/>
        <w:tblInd w:w="0" w:type="dxa"/>
        <w:tblLayout w:type="fixed"/>
        <w:tblCellMar>
          <w:top w:w="0" w:type="dxa"/>
          <w:left w:w="108" w:type="dxa"/>
          <w:bottom w:w="0" w:type="dxa"/>
          <w:right w:w="108" w:type="dxa"/>
        </w:tblCellMar>
      </w:tblPr>
      <w:tblGrid>
        <w:gridCol w:w="2719"/>
        <w:gridCol w:w="1051"/>
        <w:gridCol w:w="2574"/>
        <w:gridCol w:w="1036"/>
        <w:gridCol w:w="1909"/>
      </w:tblGrid>
      <w:tr>
        <w:tblPrEx>
          <w:tblCellMar>
            <w:top w:w="0" w:type="dxa"/>
            <w:left w:w="108" w:type="dxa"/>
            <w:bottom w:w="0" w:type="dxa"/>
            <w:right w:w="108" w:type="dxa"/>
          </w:tblCellMar>
        </w:tblPrEx>
        <w:tc>
          <w:tcPr>
            <w:tcW w:w="6344" w:type="dxa"/>
            <w:gridSpan w:val="3"/>
            <w:noWrap w:val="0"/>
            <w:tcMar>
              <w:left w:w="0" w:type="dxa"/>
              <w:right w:w="0" w:type="dxa"/>
            </w:tcMar>
            <w:vAlign w:val="top"/>
          </w:tcPr>
          <w:p>
            <w:pPr>
              <w:spacing w:line="240" w:lineRule="exact"/>
              <w:rPr>
                <w:rFonts w:ascii="宋体"/>
                <w:sz w:val="32"/>
                <w:szCs w:val="32"/>
              </w:rPr>
            </w:pPr>
          </w:p>
        </w:tc>
        <w:tc>
          <w:tcPr>
            <w:tcW w:w="1036" w:type="dxa"/>
            <w:noWrap w:val="0"/>
            <w:tcMar>
              <w:left w:w="0" w:type="dxa"/>
              <w:right w:w="0" w:type="dxa"/>
            </w:tcMar>
            <w:vAlign w:val="top"/>
          </w:tcPr>
          <w:p>
            <w:pPr>
              <w:spacing w:line="240" w:lineRule="exact"/>
              <w:ind w:right="-52" w:rightChars="-25" w:hanging="1" w:firstLineChars="0"/>
              <w:jc w:val="right"/>
              <w:rPr>
                <w:rFonts w:ascii="宋体"/>
                <w:sz w:val="32"/>
                <w:szCs w:val="32"/>
              </w:rPr>
            </w:pPr>
            <w:r>
              <w:rPr>
                <w:rFonts w:hint="eastAsia" w:ascii="宋体" w:hAnsi="宋体"/>
                <w:sz w:val="18"/>
                <w:szCs w:val="18"/>
              </w:rPr>
              <w:t>表</w:t>
            </w:r>
            <w:r>
              <w:rPr>
                <w:rFonts w:ascii="宋体" w:hAnsi="宋体"/>
                <w:sz w:val="18"/>
                <w:szCs w:val="18"/>
              </w:rPr>
              <w:t xml:space="preserve">    </w:t>
            </w:r>
            <w:r>
              <w:rPr>
                <w:rFonts w:hint="eastAsia" w:ascii="宋体" w:hAnsi="宋体"/>
                <w:sz w:val="18"/>
                <w:szCs w:val="18"/>
              </w:rPr>
              <w:t>号：</w:t>
            </w:r>
          </w:p>
        </w:tc>
        <w:tc>
          <w:tcPr>
            <w:tcW w:w="1909"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Ｂ１０４－４表</w:t>
            </w:r>
          </w:p>
        </w:tc>
      </w:tr>
      <w:tr>
        <w:tblPrEx>
          <w:tblCellMar>
            <w:top w:w="0" w:type="dxa"/>
            <w:left w:w="108" w:type="dxa"/>
            <w:bottom w:w="0" w:type="dxa"/>
            <w:right w:w="108" w:type="dxa"/>
          </w:tblCellMar>
        </w:tblPrEx>
        <w:tc>
          <w:tcPr>
            <w:tcW w:w="6344" w:type="dxa"/>
            <w:gridSpan w:val="3"/>
            <w:noWrap w:val="0"/>
            <w:tcMar>
              <w:left w:w="0" w:type="dxa"/>
              <w:right w:w="0" w:type="dxa"/>
            </w:tcMar>
            <w:vAlign w:val="top"/>
          </w:tcPr>
          <w:p>
            <w:pPr>
              <w:spacing w:line="240" w:lineRule="exact"/>
              <w:rPr>
                <w:rFonts w:ascii="宋体"/>
                <w:sz w:val="32"/>
                <w:szCs w:val="32"/>
              </w:rPr>
            </w:pPr>
            <w:r>
              <w:rPr>
                <w:rFonts w:hint="eastAsia" w:ascii="宋体" w:hAnsi="宋体"/>
                <w:sz w:val="18"/>
                <w:szCs w:val="18"/>
              </w:rPr>
              <w:t>统一社会信用代码□□□□□□□□□□□□□□□□□□</w:t>
            </w:r>
          </w:p>
        </w:tc>
        <w:tc>
          <w:tcPr>
            <w:tcW w:w="1036" w:type="dxa"/>
            <w:noWrap w:val="0"/>
            <w:tcMar>
              <w:left w:w="0" w:type="dxa"/>
              <w:right w:w="0" w:type="dxa"/>
            </w:tcMar>
            <w:vAlign w:val="center"/>
          </w:tcPr>
          <w:p>
            <w:pPr>
              <w:spacing w:line="240" w:lineRule="exact"/>
              <w:ind w:left="140" w:leftChars="0" w:right="-52" w:rightChars="-25" w:hanging="140" w:hangingChars="78"/>
              <w:jc w:val="right"/>
              <w:rPr>
                <w:rFonts w:ascii="宋体"/>
                <w:sz w:val="32"/>
                <w:szCs w:val="32"/>
              </w:rPr>
            </w:pPr>
            <w:r>
              <w:rPr>
                <w:rFonts w:hint="eastAsia" w:ascii="宋体" w:hAnsi="宋体"/>
                <w:sz w:val="18"/>
                <w:szCs w:val="18"/>
              </w:rPr>
              <w:t>制定机关：</w:t>
            </w:r>
          </w:p>
        </w:tc>
        <w:tc>
          <w:tcPr>
            <w:tcW w:w="1909"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国家统计局</w:t>
            </w:r>
          </w:p>
        </w:tc>
      </w:tr>
      <w:tr>
        <w:tblPrEx>
          <w:tblCellMar>
            <w:top w:w="0" w:type="dxa"/>
            <w:left w:w="108" w:type="dxa"/>
            <w:bottom w:w="0" w:type="dxa"/>
            <w:right w:w="108" w:type="dxa"/>
          </w:tblCellMar>
        </w:tblPrEx>
        <w:tc>
          <w:tcPr>
            <w:tcW w:w="2719" w:type="dxa"/>
            <w:noWrap w:val="0"/>
            <w:tcMar>
              <w:left w:w="0" w:type="dxa"/>
              <w:right w:w="0" w:type="dxa"/>
            </w:tcMar>
            <w:vAlign w:val="top"/>
          </w:tcPr>
          <w:p>
            <w:pPr>
              <w:spacing w:line="240" w:lineRule="exact"/>
              <w:rPr>
                <w:rFonts w:ascii="宋体"/>
                <w:sz w:val="32"/>
                <w:szCs w:val="32"/>
              </w:rPr>
            </w:pPr>
            <w:r>
              <w:rPr>
                <w:rFonts w:hint="eastAsia" w:ascii="宋体" w:hAnsi="宋体" w:cs="宋体"/>
                <w:sz w:val="18"/>
                <w:szCs w:val="18"/>
              </w:rPr>
              <w:t>单位详细名称：</w:t>
            </w:r>
          </w:p>
        </w:tc>
        <w:tc>
          <w:tcPr>
            <w:tcW w:w="1051" w:type="dxa"/>
            <w:noWrap w:val="0"/>
            <w:tcMar>
              <w:left w:w="0" w:type="dxa"/>
              <w:right w:w="0" w:type="dxa"/>
            </w:tcMar>
            <w:vAlign w:val="top"/>
          </w:tcPr>
          <w:p>
            <w:pPr>
              <w:spacing w:line="240" w:lineRule="exact"/>
              <w:jc w:val="center"/>
              <w:rPr>
                <w:rFonts w:ascii="宋体"/>
                <w:sz w:val="32"/>
                <w:szCs w:val="32"/>
              </w:rPr>
            </w:pPr>
          </w:p>
        </w:tc>
        <w:tc>
          <w:tcPr>
            <w:tcW w:w="2574" w:type="dxa"/>
            <w:noWrap w:val="0"/>
            <w:tcMar>
              <w:left w:w="0" w:type="dxa"/>
              <w:right w:w="0" w:type="dxa"/>
            </w:tcMar>
            <w:vAlign w:val="top"/>
          </w:tcPr>
          <w:p>
            <w:pPr>
              <w:spacing w:line="240" w:lineRule="exact"/>
              <w:ind w:firstLine="450" w:firstLineChars="250"/>
              <w:rPr>
                <w:rFonts w:hint="eastAsia" w:ascii="宋体" w:hAnsi="宋体"/>
                <w:sz w:val="18"/>
                <w:szCs w:val="18"/>
              </w:rPr>
            </w:pPr>
            <w:r>
              <w:rPr>
                <w:rFonts w:hint="eastAsia" w:ascii="宋体" w:hAnsi="宋体"/>
                <w:sz w:val="18"/>
                <w:szCs w:val="18"/>
                <w:lang w:val="en-US" w:eastAsia="zh-CN"/>
              </w:rPr>
              <w:t>2 0 2 5</w:t>
            </w:r>
            <w:r>
              <w:rPr>
                <w:rFonts w:hint="eastAsia" w:ascii="宋体" w:hAnsi="宋体"/>
                <w:sz w:val="18"/>
                <w:szCs w:val="18"/>
              </w:rPr>
              <w:t>年</w:t>
            </w:r>
            <w:r>
              <w:rPr>
                <w:rFonts w:ascii="宋体" w:hAnsi="宋体"/>
                <w:sz w:val="18"/>
                <w:szCs w:val="18"/>
              </w:rPr>
              <w:t xml:space="preserve">   </w:t>
            </w:r>
          </w:p>
        </w:tc>
        <w:tc>
          <w:tcPr>
            <w:tcW w:w="1036" w:type="dxa"/>
            <w:noWrap w:val="0"/>
            <w:tcMar>
              <w:left w:w="0" w:type="dxa"/>
              <w:right w:w="0" w:type="dxa"/>
            </w:tcMar>
            <w:vAlign w:val="center"/>
          </w:tcPr>
          <w:p>
            <w:pPr>
              <w:spacing w:line="240" w:lineRule="exact"/>
              <w:ind w:right="-52" w:rightChars="-25"/>
              <w:jc w:val="right"/>
              <w:rPr>
                <w:rFonts w:hint="eastAsia" w:ascii="宋体" w:hAnsi="宋体"/>
                <w:sz w:val="18"/>
                <w:szCs w:val="18"/>
              </w:rPr>
            </w:pP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号：</w:t>
            </w:r>
          </w:p>
        </w:tc>
        <w:tc>
          <w:tcPr>
            <w:tcW w:w="1909" w:type="dxa"/>
            <w:noWrap w:val="0"/>
            <w:tcMar>
              <w:left w:w="0" w:type="dxa"/>
              <w:right w:w="0" w:type="dxa"/>
            </w:tcMar>
            <w:vAlign w:val="center"/>
          </w:tcPr>
          <w:p>
            <w:pPr>
              <w:spacing w:line="240" w:lineRule="exact"/>
              <w:jc w:val="distribute"/>
              <w:rPr>
                <w:rFonts w:hint="eastAsia" w:ascii="宋体" w:hAnsi="宋体"/>
                <w:sz w:val="18"/>
                <w:szCs w:val="18"/>
              </w:rPr>
            </w:pPr>
            <w:r>
              <w:rPr>
                <w:rFonts w:hint="eastAsia" w:ascii="宋体" w:hAnsi="宋体"/>
                <w:sz w:val="18"/>
                <w:szCs w:val="18"/>
              </w:rPr>
              <w:t>国统字〔202</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hint="eastAsia" w:ascii="宋体" w:hAnsi="宋体"/>
                <w:sz w:val="18"/>
                <w:szCs w:val="18"/>
              </w:rPr>
              <w:t>号</w:t>
            </w:r>
          </w:p>
        </w:tc>
      </w:tr>
    </w:tbl>
    <w:p>
      <w:pPr>
        <w:snapToGrid w:val="0"/>
        <w:spacing w:line="40" w:lineRule="exact"/>
        <w:rPr>
          <w:vanish/>
        </w:rPr>
      </w:pPr>
    </w:p>
    <w:tbl>
      <w:tblPr>
        <w:tblStyle w:val="17"/>
        <w:tblW w:w="9301" w:type="dxa"/>
        <w:tblInd w:w="98"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2810"/>
        <w:gridCol w:w="1010"/>
        <w:gridCol w:w="2059"/>
        <w:gridCol w:w="1745"/>
        <w:gridCol w:w="1677"/>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指标名称</w:t>
            </w:r>
          </w:p>
        </w:tc>
        <w:tc>
          <w:tcPr>
            <w:tcW w:w="1010"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代码</w:t>
            </w:r>
          </w:p>
        </w:tc>
        <w:tc>
          <w:tcPr>
            <w:tcW w:w="2059" w:type="dxa"/>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计量单位</w:t>
            </w:r>
          </w:p>
        </w:tc>
        <w:tc>
          <w:tcPr>
            <w:tcW w:w="1745" w:type="dxa"/>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本年</w:t>
            </w:r>
          </w:p>
        </w:tc>
        <w:tc>
          <w:tcPr>
            <w:tcW w:w="1677" w:type="dxa"/>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上年</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甲</w:t>
            </w:r>
          </w:p>
        </w:tc>
        <w:tc>
          <w:tcPr>
            <w:tcW w:w="1010" w:type="dxa"/>
            <w:tcBorders>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乙</w:t>
            </w:r>
          </w:p>
        </w:tc>
        <w:tc>
          <w:tcPr>
            <w:tcW w:w="2059" w:type="dxa"/>
            <w:tcBorders>
              <w:bottom w:val="single" w:color="auto" w:sz="2" w:space="0"/>
            </w:tcBorders>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丙</w:t>
            </w:r>
          </w:p>
        </w:tc>
        <w:tc>
          <w:tcPr>
            <w:tcW w:w="1745" w:type="dxa"/>
            <w:tcBorders>
              <w:bottom w:val="single" w:color="auto" w:sz="2" w:space="0"/>
            </w:tcBorders>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c>
          <w:tcPr>
            <w:tcW w:w="1677" w:type="dxa"/>
            <w:tcBorders>
              <w:bottom w:val="single" w:color="auto" w:sz="2" w:space="0"/>
            </w:tcBorders>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single" w:color="auto" w:sz="2" w:space="0"/>
              <w:bottom w:val="nil"/>
            </w:tcBorders>
            <w:noWrap w:val="0"/>
            <w:vAlign w:val="center"/>
          </w:tcPr>
          <w:p>
            <w:pPr>
              <w:widowControl/>
              <w:ind w:firstLine="0" w:firstLineChars="0"/>
              <w:rPr>
                <w:rFonts w:ascii="宋体" w:hAnsi="宋体" w:cs="宋体"/>
                <w:kern w:val="0"/>
                <w:sz w:val="18"/>
                <w:szCs w:val="18"/>
              </w:rPr>
            </w:pPr>
            <w:r>
              <w:rPr>
                <w:rFonts w:hint="eastAsia" w:ascii="宋体" w:hAnsi="宋体" w:cs="宋体"/>
                <w:kern w:val="0"/>
                <w:sz w:val="18"/>
                <w:szCs w:val="18"/>
              </w:rPr>
              <w:t>战略性新兴产业工业总产值</w:t>
            </w:r>
          </w:p>
        </w:tc>
        <w:tc>
          <w:tcPr>
            <w:tcW w:w="1010" w:type="dxa"/>
            <w:tcBorders>
              <w:top w:val="single" w:color="auto" w:sz="2" w:space="0"/>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610</w:t>
            </w:r>
          </w:p>
        </w:tc>
        <w:tc>
          <w:tcPr>
            <w:tcW w:w="2059" w:type="dxa"/>
            <w:tcBorders>
              <w:top w:val="single" w:color="auto" w:sz="2" w:space="0"/>
              <w:bottom w:val="nil"/>
            </w:tcBorders>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千元</w:t>
            </w:r>
          </w:p>
        </w:tc>
        <w:tc>
          <w:tcPr>
            <w:tcW w:w="1745" w:type="dxa"/>
            <w:tcBorders>
              <w:top w:val="single" w:color="auto" w:sz="2" w:space="0"/>
              <w:bottom w:val="nil"/>
            </w:tcBorders>
            <w:noWrap w:val="0"/>
            <w:vAlign w:val="center"/>
          </w:tcPr>
          <w:p>
            <w:pPr>
              <w:widowControl/>
              <w:jc w:val="center"/>
              <w:rPr>
                <w:rFonts w:ascii="宋体" w:hAnsi="宋体" w:cs="宋体"/>
                <w:kern w:val="0"/>
                <w:sz w:val="18"/>
                <w:szCs w:val="18"/>
              </w:rPr>
            </w:pPr>
          </w:p>
        </w:tc>
        <w:tc>
          <w:tcPr>
            <w:tcW w:w="1677" w:type="dxa"/>
            <w:tcBorders>
              <w:top w:val="single" w:color="auto" w:sz="2" w:space="0"/>
              <w:bottom w:val="nil"/>
            </w:tcBorders>
            <w:noWrap w:val="0"/>
            <w:vAlign w:val="center"/>
          </w:tcPr>
          <w:p>
            <w:pPr>
              <w:widowControl/>
              <w:jc w:val="center"/>
              <w:rPr>
                <w:rFonts w:ascii="宋体" w:hAnsi="宋体" w:cs="宋体"/>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0" w:firstLineChars="0"/>
              <w:rPr>
                <w:rFonts w:ascii="宋体" w:hAnsi="宋体" w:cs="宋体"/>
                <w:kern w:val="0"/>
                <w:sz w:val="18"/>
                <w:szCs w:val="18"/>
              </w:rPr>
            </w:pPr>
            <w:r>
              <w:rPr>
                <w:rFonts w:hint="eastAsia" w:ascii="宋体" w:hAnsi="宋体" w:cs="宋体"/>
                <w:kern w:val="0"/>
                <w:sz w:val="18"/>
                <w:szCs w:val="18"/>
              </w:rPr>
              <w:t>其中：新一代信息技术产业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611</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50" w:firstLineChars="250"/>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980" w:firstLineChars="5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高端装备制造业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612</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新材料产业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613</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生物产业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614</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新能源汽车</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615</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新能源产业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616</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绿色环保产业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617</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航空航天产业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618</w:t>
            </w:r>
          </w:p>
        </w:tc>
        <w:tc>
          <w:tcPr>
            <w:tcW w:w="2059" w:type="dxa"/>
            <w:tcBorders>
              <w:top w:val="nil"/>
              <w:bottom w:val="nil"/>
            </w:tcBorders>
            <w:noWrap w:val="0"/>
            <w:vAlign w:val="center"/>
          </w:tcPr>
          <w:p>
            <w:pPr>
              <w:widowControl/>
              <w:jc w:val="center"/>
              <w:rPr>
                <w:rFonts w:ascii="Arial" w:hAnsi="Arial" w:cs="Arial"/>
                <w:kern w:val="0"/>
                <w:sz w:val="18"/>
                <w:szCs w:val="18"/>
              </w:rPr>
            </w:pPr>
            <w:r>
              <w:rPr>
                <w:rFonts w:hint="eastAsia" w:ascii="宋体" w:hAnsi="宋体" w:cs="宋体"/>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hint="eastAsia" w:ascii="宋体" w:hAnsi="宋体" w:cs="宋体"/>
                <w:kern w:val="0"/>
                <w:sz w:val="18"/>
                <w:szCs w:val="18"/>
              </w:rPr>
            </w:pPr>
            <w:r>
              <w:rPr>
                <w:rFonts w:hint="eastAsia" w:ascii="宋体" w:hAnsi="宋体" w:cs="宋体"/>
                <w:kern w:val="0"/>
                <w:sz w:val="18"/>
                <w:szCs w:val="18"/>
              </w:rPr>
              <w:t>海洋装备产业</w:t>
            </w:r>
          </w:p>
        </w:tc>
        <w:tc>
          <w:tcPr>
            <w:tcW w:w="1010" w:type="dxa"/>
            <w:tcBorders>
              <w:top w:val="nil"/>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619</w:t>
            </w:r>
          </w:p>
        </w:tc>
        <w:tc>
          <w:tcPr>
            <w:tcW w:w="2059" w:type="dxa"/>
            <w:tcBorders>
              <w:top w:val="nil"/>
              <w:bottom w:val="nil"/>
            </w:tcBorders>
            <w:noWrap w:val="0"/>
            <w:vAlign w:val="center"/>
          </w:tcPr>
          <w:p>
            <w:pPr>
              <w:widowControl/>
              <w:jc w:val="center"/>
              <w:rPr>
                <w:rFonts w:hint="eastAsia" w:ascii="Arial" w:hAnsi="Arial" w:cs="Arial"/>
                <w:kern w:val="0"/>
                <w:sz w:val="18"/>
                <w:szCs w:val="18"/>
              </w:rPr>
            </w:pPr>
            <w:r>
              <w:rPr>
                <w:rFonts w:hint="eastAsia" w:ascii="Arial" w:hAnsi="Arial" w:cs="Arial"/>
                <w:kern w:val="0"/>
                <w:sz w:val="18"/>
                <w:szCs w:val="18"/>
              </w:rPr>
              <w:t>千元</w:t>
            </w: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nil"/>
            </w:tcBorders>
            <w:noWrap w:val="0"/>
            <w:vAlign w:val="center"/>
          </w:tcPr>
          <w:p>
            <w:pPr>
              <w:widowControl/>
              <w:ind w:firstLine="441" w:firstLineChars="245"/>
              <w:rPr>
                <w:rFonts w:hint="eastAsia" w:ascii="宋体" w:hAnsi="宋体" w:cs="宋体"/>
                <w:kern w:val="0"/>
                <w:sz w:val="18"/>
                <w:szCs w:val="18"/>
              </w:rPr>
            </w:pPr>
            <w:r>
              <w:rPr>
                <w:rFonts w:hint="eastAsia" w:ascii="宋体" w:hAnsi="宋体" w:cs="宋体"/>
                <w:kern w:val="0"/>
                <w:sz w:val="18"/>
                <w:szCs w:val="18"/>
              </w:rPr>
              <w:t>战略性新兴产业产品产值</w:t>
            </w:r>
          </w:p>
        </w:tc>
        <w:tc>
          <w:tcPr>
            <w:tcW w:w="1010" w:type="dxa"/>
            <w:tcBorders>
              <w:top w:val="nil"/>
              <w:bottom w:val="nil"/>
            </w:tcBorders>
            <w:noWrap w:val="0"/>
            <w:vAlign w:val="center"/>
          </w:tcPr>
          <w:p>
            <w:pPr>
              <w:widowControl/>
              <w:jc w:val="center"/>
              <w:rPr>
                <w:rFonts w:ascii="宋体" w:hAnsi="宋体" w:cs="宋体"/>
                <w:kern w:val="0"/>
                <w:sz w:val="18"/>
                <w:szCs w:val="18"/>
              </w:rPr>
            </w:pPr>
          </w:p>
        </w:tc>
        <w:tc>
          <w:tcPr>
            <w:tcW w:w="2059" w:type="dxa"/>
            <w:tcBorders>
              <w:top w:val="nil"/>
              <w:bottom w:val="nil"/>
            </w:tcBorders>
            <w:noWrap w:val="0"/>
            <w:vAlign w:val="center"/>
          </w:tcPr>
          <w:p>
            <w:pPr>
              <w:widowControl/>
              <w:jc w:val="center"/>
              <w:rPr>
                <w:rFonts w:ascii="Arial" w:hAnsi="Arial" w:cs="Arial"/>
                <w:kern w:val="0"/>
                <w:sz w:val="18"/>
                <w:szCs w:val="18"/>
              </w:rPr>
            </w:pPr>
          </w:p>
        </w:tc>
        <w:tc>
          <w:tcPr>
            <w:tcW w:w="1745" w:type="dxa"/>
            <w:tcBorders>
              <w:top w:val="nil"/>
              <w:bottom w:val="nil"/>
            </w:tcBorders>
            <w:noWrap w:val="0"/>
            <w:vAlign w:val="center"/>
          </w:tcPr>
          <w:p>
            <w:pPr>
              <w:widowControl/>
              <w:jc w:val="center"/>
              <w:rPr>
                <w:rFonts w:ascii="Arial" w:hAnsi="Arial" w:cs="Arial"/>
                <w:kern w:val="0"/>
                <w:sz w:val="18"/>
                <w:szCs w:val="18"/>
              </w:rPr>
            </w:pPr>
          </w:p>
        </w:tc>
        <w:tc>
          <w:tcPr>
            <w:tcW w:w="1677" w:type="dxa"/>
            <w:tcBorders>
              <w:top w:val="nil"/>
              <w:bottom w:val="nil"/>
            </w:tcBorders>
            <w:noWrap w:val="0"/>
            <w:vAlign w:val="center"/>
          </w:tcPr>
          <w:p>
            <w:pPr>
              <w:widowControl/>
              <w:jc w:val="center"/>
              <w:rPr>
                <w:rFonts w:ascii="Arial" w:hAnsi="Arial" w:cs="Arial"/>
                <w:kern w:val="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PrEx>
        <w:trPr>
          <w:trHeight w:val="340" w:hRule="atLeast"/>
        </w:trPr>
        <w:tc>
          <w:tcPr>
            <w:tcW w:w="2810" w:type="dxa"/>
            <w:tcBorders>
              <w:top w:val="nil"/>
              <w:bottom w:val="single" w:color="auto" w:sz="8" w:space="0"/>
            </w:tcBorders>
            <w:noWrap w:val="0"/>
            <w:vAlign w:val="center"/>
          </w:tcPr>
          <w:p>
            <w:pPr>
              <w:widowControl/>
              <w:ind w:firstLine="441" w:firstLineChars="245"/>
              <w:rPr>
                <w:rFonts w:ascii="宋体" w:hAnsi="宋体" w:cs="宋体"/>
                <w:kern w:val="0"/>
                <w:sz w:val="18"/>
                <w:szCs w:val="18"/>
              </w:rPr>
            </w:pPr>
            <w:r>
              <w:rPr>
                <w:rFonts w:hint="eastAsia" w:ascii="宋体" w:hAnsi="宋体" w:cs="宋体"/>
                <w:kern w:val="0"/>
                <w:sz w:val="18"/>
                <w:szCs w:val="18"/>
              </w:rPr>
              <w:t>…</w:t>
            </w:r>
          </w:p>
        </w:tc>
        <w:tc>
          <w:tcPr>
            <w:tcW w:w="1010" w:type="dxa"/>
            <w:tcBorders>
              <w:top w:val="nil"/>
              <w:bottom w:val="single" w:color="auto" w:sz="8" w:space="0"/>
            </w:tcBorders>
            <w:noWrap w:val="0"/>
            <w:vAlign w:val="center"/>
          </w:tcPr>
          <w:p>
            <w:pPr>
              <w:widowControl/>
              <w:jc w:val="center"/>
              <w:rPr>
                <w:rFonts w:ascii="宋体" w:hAnsi="宋体" w:cs="宋体"/>
                <w:kern w:val="0"/>
                <w:sz w:val="18"/>
                <w:szCs w:val="18"/>
              </w:rPr>
            </w:pPr>
          </w:p>
        </w:tc>
        <w:tc>
          <w:tcPr>
            <w:tcW w:w="2059" w:type="dxa"/>
            <w:tcBorders>
              <w:top w:val="nil"/>
              <w:bottom w:val="single" w:color="auto" w:sz="8" w:space="0"/>
            </w:tcBorders>
            <w:noWrap w:val="0"/>
            <w:vAlign w:val="center"/>
          </w:tcPr>
          <w:p>
            <w:pPr>
              <w:widowControl/>
              <w:jc w:val="center"/>
              <w:rPr>
                <w:rFonts w:ascii="Arial" w:hAnsi="Arial" w:cs="Arial"/>
                <w:kern w:val="0"/>
                <w:sz w:val="18"/>
                <w:szCs w:val="18"/>
              </w:rPr>
            </w:pPr>
          </w:p>
        </w:tc>
        <w:tc>
          <w:tcPr>
            <w:tcW w:w="1745" w:type="dxa"/>
            <w:tcBorders>
              <w:top w:val="nil"/>
              <w:bottom w:val="single" w:color="auto" w:sz="8" w:space="0"/>
            </w:tcBorders>
            <w:noWrap w:val="0"/>
            <w:vAlign w:val="center"/>
          </w:tcPr>
          <w:p>
            <w:pPr>
              <w:widowControl/>
              <w:jc w:val="center"/>
              <w:rPr>
                <w:rFonts w:ascii="Arial" w:hAnsi="Arial" w:cs="Arial"/>
                <w:kern w:val="0"/>
                <w:sz w:val="18"/>
                <w:szCs w:val="18"/>
              </w:rPr>
            </w:pPr>
          </w:p>
        </w:tc>
        <w:tc>
          <w:tcPr>
            <w:tcW w:w="1677" w:type="dxa"/>
            <w:tcBorders>
              <w:top w:val="nil"/>
              <w:bottom w:val="single" w:color="auto" w:sz="8" w:space="0"/>
            </w:tcBorders>
            <w:noWrap w:val="0"/>
            <w:vAlign w:val="center"/>
          </w:tcPr>
          <w:p>
            <w:pPr>
              <w:widowControl/>
              <w:jc w:val="center"/>
              <w:rPr>
                <w:rFonts w:ascii="Arial" w:hAnsi="Arial" w:cs="Arial"/>
                <w:kern w:val="0"/>
                <w:sz w:val="18"/>
                <w:szCs w:val="18"/>
              </w:rPr>
            </w:pPr>
          </w:p>
        </w:tc>
      </w:tr>
    </w:tbl>
    <w:p>
      <w:pPr>
        <w:adjustRightInd w:val="0"/>
        <w:spacing w:line="240" w:lineRule="exact"/>
        <w:rPr>
          <w:rFonts w:hint="eastAsia" w:ascii="宋体" w:cs="宋体"/>
          <w:sz w:val="18"/>
          <w:szCs w:val="18"/>
        </w:rPr>
      </w:pPr>
      <w:r>
        <w:rPr>
          <w:rFonts w:hint="eastAsia" w:ascii="宋体" w:cs="宋体"/>
          <w:sz w:val="18"/>
          <w:szCs w:val="18"/>
        </w:rPr>
        <w:t>单位负责人：</w:t>
      </w:r>
      <w:r>
        <w:rPr>
          <w:rFonts w:ascii="宋体" w:cs="宋体"/>
          <w:sz w:val="18"/>
          <w:szCs w:val="18"/>
        </w:rPr>
        <w:t xml:space="preserve">        </w:t>
      </w:r>
      <w:r>
        <w:rPr>
          <w:rFonts w:hint="eastAsia" w:ascii="宋体" w:cs="宋体"/>
          <w:sz w:val="18"/>
          <w:szCs w:val="18"/>
        </w:rPr>
        <w:t>统计负责人：</w:t>
      </w:r>
      <w:r>
        <w:rPr>
          <w:rFonts w:ascii="宋体" w:cs="宋体"/>
          <w:sz w:val="18"/>
          <w:szCs w:val="18"/>
        </w:rPr>
        <w:t xml:space="preserve">        </w:t>
      </w:r>
      <w:r>
        <w:rPr>
          <w:rFonts w:hint="eastAsia" w:ascii="宋体" w:cs="宋体"/>
          <w:sz w:val="18"/>
          <w:szCs w:val="18"/>
        </w:rPr>
        <w:t>填表人：</w:t>
      </w:r>
      <w:r>
        <w:rPr>
          <w:rFonts w:ascii="宋体" w:cs="宋体"/>
          <w:sz w:val="18"/>
          <w:szCs w:val="18"/>
        </w:rPr>
        <w:t xml:space="preserve">        </w:t>
      </w:r>
      <w:r>
        <w:rPr>
          <w:rFonts w:hint="eastAsia" w:ascii="宋体" w:cs="宋体"/>
          <w:sz w:val="18"/>
          <w:szCs w:val="18"/>
        </w:rPr>
        <w:t>联系电话：</w:t>
      </w:r>
      <w:r>
        <w:rPr>
          <w:rFonts w:ascii="宋体" w:cs="宋体"/>
          <w:sz w:val="18"/>
          <w:szCs w:val="18"/>
        </w:rPr>
        <w:t xml:space="preserve">        </w:t>
      </w:r>
      <w:r>
        <w:rPr>
          <w:rFonts w:hint="eastAsia" w:ascii="宋体" w:cs="宋体"/>
          <w:sz w:val="18"/>
          <w:szCs w:val="18"/>
        </w:rPr>
        <w:t>报出日期：２０</w:t>
      </w:r>
      <w:r>
        <w:rPr>
          <w:rFonts w:ascii="宋体" w:cs="宋体"/>
          <w:sz w:val="18"/>
          <w:szCs w:val="18"/>
        </w:rPr>
        <w:t xml:space="preserve">   </w:t>
      </w:r>
      <w:r>
        <w:rPr>
          <w:rFonts w:hint="eastAsia" w:ascii="宋体" w:cs="宋体"/>
          <w:sz w:val="18"/>
          <w:szCs w:val="18"/>
        </w:rPr>
        <w:t>年</w:t>
      </w:r>
      <w:r>
        <w:rPr>
          <w:rFonts w:ascii="宋体" w:cs="宋体"/>
          <w:sz w:val="18"/>
          <w:szCs w:val="18"/>
        </w:rPr>
        <w:t xml:space="preserve">  </w:t>
      </w:r>
      <w:r>
        <w:rPr>
          <w:rFonts w:hint="eastAsia" w:ascii="宋体" w:cs="宋体"/>
          <w:sz w:val="18"/>
          <w:szCs w:val="18"/>
        </w:rPr>
        <w:t>　月</w:t>
      </w:r>
      <w:r>
        <w:rPr>
          <w:rFonts w:ascii="宋体" w:cs="宋体"/>
          <w:sz w:val="18"/>
          <w:szCs w:val="18"/>
        </w:rPr>
        <w:t xml:space="preserve"> </w:t>
      </w:r>
      <w:r>
        <w:rPr>
          <w:rFonts w:hint="eastAsia" w:ascii="宋体" w:cs="宋体"/>
          <w:sz w:val="18"/>
          <w:szCs w:val="18"/>
        </w:rPr>
        <w:t>　</w:t>
      </w:r>
      <w:r>
        <w:rPr>
          <w:rFonts w:ascii="宋体" w:cs="宋体"/>
          <w:sz w:val="18"/>
          <w:szCs w:val="18"/>
        </w:rPr>
        <w:t xml:space="preserve"> </w:t>
      </w:r>
      <w:r>
        <w:rPr>
          <w:rFonts w:hint="eastAsia" w:ascii="宋体" w:cs="宋体"/>
          <w:sz w:val="18"/>
          <w:szCs w:val="18"/>
        </w:rPr>
        <w:t>日</w:t>
      </w:r>
    </w:p>
    <w:p>
      <w:pPr>
        <w:pStyle w:val="15"/>
      </w:pPr>
    </w:p>
    <w:p>
      <w:pPr>
        <w:widowControl/>
        <w:tabs>
          <w:tab w:val="left" w:pos="544"/>
        </w:tabs>
        <w:adjustRightInd w:val="0"/>
        <w:snapToGrid w:val="0"/>
        <w:ind w:left="2164" w:hanging="2163" w:hangingChars="1202"/>
        <w:jc w:val="left"/>
        <w:rPr>
          <w:rFonts w:ascii="宋体" w:cs="宋体"/>
          <w:kern w:val="0"/>
          <w:sz w:val="18"/>
          <w:szCs w:val="18"/>
        </w:rPr>
      </w:pPr>
      <w:r>
        <w:rPr>
          <w:rFonts w:hint="eastAsia" w:ascii="宋体" w:hAnsi="宋体" w:cs="宋体"/>
          <w:kern w:val="0"/>
          <w:sz w:val="18"/>
          <w:szCs w:val="18"/>
        </w:rPr>
        <w:t>说明：</w:t>
      </w:r>
      <w:r>
        <w:rPr>
          <w:rFonts w:ascii="宋体" w:hAnsi="宋体" w:cs="宋体"/>
          <w:kern w:val="0"/>
          <w:sz w:val="18"/>
          <w:szCs w:val="18"/>
        </w:rPr>
        <w:t>1.</w:t>
      </w:r>
      <w:r>
        <w:rPr>
          <w:rFonts w:hint="eastAsia" w:ascii="宋体" w:hAnsi="宋体" w:cs="宋体"/>
          <w:kern w:val="0"/>
          <w:sz w:val="18"/>
          <w:szCs w:val="18"/>
        </w:rPr>
        <w:t>统计范围：辖区内经认定的从事战略性新兴产业生产的规模以上工业法人单位。</w:t>
      </w:r>
    </w:p>
    <w:p>
      <w:pPr>
        <w:widowControl/>
        <w:tabs>
          <w:tab w:val="left" w:pos="544"/>
        </w:tabs>
        <w:adjustRightInd w:val="0"/>
        <w:snapToGrid w:val="0"/>
        <w:ind w:left="2164" w:leftChars="258" w:hanging="1623" w:hangingChars="902"/>
        <w:jc w:val="left"/>
        <w:rPr>
          <w:rFonts w:ascii="宋体"/>
          <w:kern w:val="0"/>
          <w:sz w:val="18"/>
          <w:szCs w:val="18"/>
        </w:rPr>
      </w:pPr>
      <w:r>
        <w:rPr>
          <w:rFonts w:ascii="宋体" w:hAnsi="宋体" w:cs="宋体"/>
          <w:kern w:val="0"/>
          <w:sz w:val="18"/>
          <w:szCs w:val="18"/>
        </w:rPr>
        <w:t>2.</w:t>
      </w:r>
      <w:r>
        <w:rPr>
          <w:rFonts w:hint="eastAsia" w:ascii="宋体" w:hAnsi="宋体" w:cs="宋体"/>
          <w:kern w:val="0"/>
          <w:sz w:val="18"/>
          <w:szCs w:val="18"/>
        </w:rPr>
        <w:t>报送日期及方式：</w:t>
      </w:r>
      <w:r>
        <w:rPr>
          <w:rFonts w:hint="eastAsia" w:ascii="宋体" w:hAnsi="宋体" w:cs="Calibri Light"/>
          <w:spacing w:val="-2"/>
          <w:sz w:val="18"/>
          <w:szCs w:val="18"/>
        </w:rPr>
        <w:t>调查单位</w:t>
      </w:r>
      <w:r>
        <w:rPr>
          <w:rFonts w:ascii="宋体" w:hAnsi="宋体" w:cs="Calibri Light"/>
          <w:spacing w:val="-2"/>
          <w:sz w:val="18"/>
          <w:szCs w:val="18"/>
        </w:rPr>
        <w:t>202</w:t>
      </w:r>
      <w:r>
        <w:rPr>
          <w:rFonts w:hint="eastAsia" w:ascii="宋体" w:hAnsi="宋体" w:cs="Calibri Light"/>
          <w:spacing w:val="-2"/>
          <w:sz w:val="18"/>
          <w:szCs w:val="18"/>
          <w:lang w:val="en-US" w:eastAsia="zh-CN"/>
        </w:rPr>
        <w:t>6</w:t>
      </w:r>
      <w:r>
        <w:rPr>
          <w:rFonts w:hint="eastAsia" w:ascii="宋体" w:hAnsi="宋体" w:cs="Calibri Light"/>
          <w:spacing w:val="-2"/>
          <w:sz w:val="18"/>
          <w:szCs w:val="18"/>
        </w:rPr>
        <w:t>年</w:t>
      </w:r>
      <w:r>
        <w:rPr>
          <w:rFonts w:ascii="宋体" w:hAnsi="宋体" w:cs="Calibri Light"/>
          <w:spacing w:val="-2"/>
          <w:sz w:val="18"/>
          <w:szCs w:val="18"/>
        </w:rPr>
        <w:t>3</w:t>
      </w:r>
      <w:r>
        <w:rPr>
          <w:rFonts w:hint="eastAsia" w:ascii="宋体" w:hAnsi="宋体" w:cs="Calibri Light"/>
          <w:spacing w:val="-2"/>
          <w:sz w:val="18"/>
          <w:szCs w:val="18"/>
        </w:rPr>
        <w:t>月</w:t>
      </w:r>
      <w:r>
        <w:rPr>
          <w:rFonts w:ascii="宋体" w:hAnsi="宋体" w:cs="Calibri Light"/>
          <w:spacing w:val="-2"/>
          <w:sz w:val="18"/>
          <w:szCs w:val="18"/>
        </w:rPr>
        <w:t>1</w:t>
      </w:r>
      <w:r>
        <w:rPr>
          <w:rFonts w:hint="eastAsia" w:ascii="宋体" w:hAnsi="宋体" w:cs="Calibri Light"/>
          <w:spacing w:val="-2"/>
          <w:sz w:val="18"/>
          <w:szCs w:val="18"/>
          <w:lang w:val="en-US" w:eastAsia="zh-CN"/>
        </w:rPr>
        <w:t>6</w:t>
      </w:r>
      <w:r>
        <w:rPr>
          <w:rFonts w:hint="eastAsia" w:ascii="宋体" w:hAnsi="宋体" w:cs="Calibri Light"/>
          <w:spacing w:val="-2"/>
          <w:sz w:val="18"/>
          <w:szCs w:val="18"/>
        </w:rPr>
        <w:t>日</w:t>
      </w:r>
      <w:r>
        <w:rPr>
          <w:rFonts w:ascii="宋体" w:hAnsi="宋体" w:cs="Calibri Light"/>
          <w:spacing w:val="-2"/>
          <w:sz w:val="18"/>
          <w:szCs w:val="18"/>
        </w:rPr>
        <w:t>24</w:t>
      </w:r>
      <w:r>
        <w:rPr>
          <w:rFonts w:hint="eastAsia" w:ascii="宋体" w:hAnsi="宋体" w:cs="Calibri Light"/>
          <w:spacing w:val="-2"/>
          <w:sz w:val="18"/>
          <w:szCs w:val="18"/>
        </w:rPr>
        <w:t>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宋体" w:hAnsi="宋体" w:cs="Calibri Light"/>
          <w:spacing w:val="-2"/>
          <w:sz w:val="18"/>
          <w:szCs w:val="18"/>
        </w:rPr>
        <w:t>。</w:t>
      </w:r>
    </w:p>
    <w:p>
      <w:pPr>
        <w:widowControl/>
        <w:adjustRightInd w:val="0"/>
        <w:snapToGrid w:val="0"/>
        <w:ind w:left="541" w:leftChars="258"/>
        <w:jc w:val="left"/>
        <w:rPr>
          <w:rFonts w:ascii="宋体" w:cs="宋体"/>
          <w:kern w:val="0"/>
          <w:sz w:val="18"/>
          <w:szCs w:val="18"/>
          <w:highlight w:val="none"/>
        </w:rPr>
      </w:pPr>
      <w:r>
        <w:rPr>
          <w:rFonts w:ascii="宋体" w:hAnsi="宋体" w:cs="宋体"/>
          <w:kern w:val="0"/>
          <w:sz w:val="18"/>
          <w:szCs w:val="18"/>
          <w:highlight w:val="none"/>
        </w:rPr>
        <w:t>3.</w:t>
      </w:r>
      <w:r>
        <w:rPr>
          <w:rFonts w:hint="eastAsia" w:ascii="宋体" w:hAnsi="宋体" w:cs="宋体"/>
          <w:kern w:val="0"/>
          <w:sz w:val="18"/>
          <w:szCs w:val="18"/>
          <w:highlight w:val="none"/>
        </w:rPr>
        <w:t>本表战略性新兴产业的认定和划分依据《工业战略性新兴产业分类》。</w:t>
      </w:r>
    </w:p>
    <w:p>
      <w:pPr>
        <w:widowControl/>
        <w:adjustRightInd w:val="0"/>
        <w:snapToGrid w:val="0"/>
        <w:ind w:left="541" w:leftChars="258"/>
        <w:jc w:val="left"/>
        <w:rPr>
          <w:rFonts w:ascii="宋体" w:cs="宋体"/>
          <w:kern w:val="0"/>
          <w:sz w:val="18"/>
          <w:szCs w:val="18"/>
          <w:highlight w:val="none"/>
        </w:rPr>
      </w:pPr>
      <w:r>
        <w:rPr>
          <w:rFonts w:ascii="宋体"/>
          <w:kern w:val="0"/>
          <w:sz w:val="18"/>
          <w:szCs w:val="18"/>
          <w:highlight w:val="none"/>
        </w:rPr>
        <w:t>4.</w:t>
      </w:r>
      <w:r>
        <w:rPr>
          <w:rFonts w:hint="eastAsia" w:ascii="宋体" w:cs="宋体"/>
          <w:kern w:val="0"/>
          <w:sz w:val="18"/>
          <w:szCs w:val="18"/>
          <w:highlight w:val="none"/>
        </w:rPr>
        <w:t>审核关系</w:t>
      </w:r>
      <w:r>
        <w:rPr>
          <w:rFonts w:ascii="宋体" w:cs="宋体"/>
          <w:kern w:val="0"/>
          <w:sz w:val="18"/>
          <w:szCs w:val="18"/>
          <w:highlight w:val="none"/>
        </w:rPr>
        <w:t>:</w:t>
      </w:r>
    </w:p>
    <w:p>
      <w:pPr>
        <w:widowControl/>
        <w:adjustRightInd w:val="0"/>
        <w:snapToGrid w:val="0"/>
        <w:ind w:left="541" w:leftChars="258"/>
        <w:jc w:val="left"/>
        <w:rPr>
          <w:rFonts w:ascii="宋体" w:cs="宋体"/>
          <w:kern w:val="0"/>
          <w:sz w:val="18"/>
          <w:szCs w:val="18"/>
          <w:highlight w:val="none"/>
        </w:rPr>
      </w:pPr>
      <w:r>
        <w:rPr>
          <w:rFonts w:ascii="宋体" w:cs="宋体"/>
          <w:kern w:val="0"/>
          <w:sz w:val="18"/>
          <w:szCs w:val="18"/>
          <w:highlight w:val="none"/>
        </w:rPr>
        <w:t xml:space="preserve">  (1)610</w:t>
      </w:r>
      <w:r>
        <w:rPr>
          <w:rFonts w:ascii="宋体" w:hAnsi="宋体" w:cs="宋体"/>
          <w:kern w:val="0"/>
          <w:sz w:val="18"/>
          <w:szCs w:val="18"/>
          <w:highlight w:val="none"/>
        </w:rPr>
        <w:t>=</w:t>
      </w:r>
      <w:r>
        <w:rPr>
          <w:rFonts w:ascii="宋体" w:cs="宋体"/>
          <w:kern w:val="0"/>
          <w:sz w:val="18"/>
          <w:szCs w:val="18"/>
          <w:highlight w:val="none"/>
        </w:rPr>
        <w:t>611+612+613+614+615+616+617+618</w:t>
      </w:r>
      <w:r>
        <w:rPr>
          <w:rFonts w:hint="eastAsia" w:ascii="宋体" w:cs="宋体"/>
          <w:kern w:val="0"/>
          <w:sz w:val="18"/>
          <w:szCs w:val="18"/>
          <w:highlight w:val="none"/>
        </w:rPr>
        <w:t>+619</w:t>
      </w:r>
    </w:p>
    <w:p>
      <w:pPr>
        <w:widowControl/>
        <w:adjustRightInd w:val="0"/>
        <w:snapToGrid w:val="0"/>
        <w:ind w:left="541" w:leftChars="258"/>
        <w:jc w:val="left"/>
        <w:rPr>
          <w:rFonts w:hint="eastAsia" w:ascii="宋体" w:hAnsi="宋体" w:cs="Calibri Light"/>
          <w:spacing w:val="-2"/>
          <w:sz w:val="18"/>
          <w:szCs w:val="18"/>
          <w:highlight w:val="none"/>
        </w:rPr>
      </w:pPr>
      <w:r>
        <w:rPr>
          <w:rFonts w:ascii="宋体" w:cs="宋体"/>
          <w:kern w:val="0"/>
          <w:sz w:val="18"/>
          <w:szCs w:val="18"/>
          <w:highlight w:val="none"/>
        </w:rPr>
        <w:t xml:space="preserve">  (2)610</w:t>
      </w:r>
      <w:r>
        <w:rPr>
          <w:rFonts w:hint="eastAsia" w:ascii="宋体" w:hAnsi="宋体" w:cs="宋体"/>
          <w:kern w:val="0"/>
          <w:sz w:val="18"/>
          <w:szCs w:val="18"/>
          <w:highlight w:val="none"/>
        </w:rPr>
        <w:t>≤《财务状况（成本费用）》（</w:t>
      </w:r>
      <w:r>
        <w:rPr>
          <w:rFonts w:ascii="宋体" w:hAnsi="宋体" w:cs="宋体"/>
          <w:kern w:val="0"/>
          <w:sz w:val="18"/>
          <w:szCs w:val="18"/>
          <w:highlight w:val="none"/>
        </w:rPr>
        <w:t>B103</w:t>
      </w:r>
      <w:r>
        <w:rPr>
          <w:rFonts w:hint="eastAsia" w:ascii="宋体" w:hAnsi="宋体" w:cs="宋体"/>
          <w:kern w:val="0"/>
          <w:sz w:val="18"/>
          <w:szCs w:val="18"/>
          <w:highlight w:val="none"/>
        </w:rPr>
        <w:t>表）的</w:t>
      </w:r>
      <w:r>
        <w:rPr>
          <w:rFonts w:ascii="宋体" w:hAnsi="宋体" w:cs="宋体"/>
          <w:kern w:val="0"/>
          <w:sz w:val="18"/>
          <w:szCs w:val="18"/>
          <w:highlight w:val="none"/>
        </w:rPr>
        <w:t>601</w:t>
      </w:r>
    </w:p>
    <w:p>
      <w:pPr>
        <w:widowControl/>
        <w:adjustRightInd w:val="0"/>
        <w:snapToGrid w:val="0"/>
        <w:ind w:left="541" w:leftChars="258" w:firstLine="176" w:firstLineChars="100"/>
        <w:jc w:val="left"/>
        <w:rPr>
          <w:rFonts w:hint="eastAsia" w:ascii="宋体" w:hAnsi="宋体" w:eastAsia="宋体" w:cs="宋体"/>
          <w:b/>
          <w:bCs/>
          <w:sz w:val="32"/>
          <w:szCs w:val="32"/>
        </w:rPr>
      </w:pPr>
      <w:r>
        <w:rPr>
          <w:rFonts w:ascii="宋体" w:hAnsi="宋体" w:cs="Calibri Light"/>
          <w:spacing w:val="-2"/>
          <w:sz w:val="18"/>
          <w:szCs w:val="18"/>
          <w:highlight w:val="none"/>
        </w:rPr>
        <w:t>(3)</w:t>
      </w:r>
      <w:r>
        <w:rPr>
          <w:rFonts w:hint="eastAsia" w:ascii="宋体" w:hAnsi="宋体" w:cs="Calibri Light"/>
          <w:spacing w:val="-2"/>
          <w:sz w:val="18"/>
          <w:szCs w:val="18"/>
          <w:highlight w:val="none"/>
          <w:lang w:eastAsia="zh-CN"/>
        </w:rPr>
        <w:t>战略性新兴</w:t>
      </w:r>
      <w:r>
        <w:rPr>
          <w:rFonts w:hint="eastAsia" w:ascii="宋体" w:hAnsi="宋体" w:cs="Calibri Light"/>
          <w:spacing w:val="-2"/>
          <w:sz w:val="18"/>
          <w:szCs w:val="18"/>
          <w:highlight w:val="none"/>
        </w:rPr>
        <w:t>产业各产业产值等于该产业下所有战略性新兴产业产品产值之和</w:t>
      </w: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47" w:name="_Toc1115822095"/>
      <w:r>
        <w:rPr>
          <w:rFonts w:hint="eastAsia" w:ascii="宋体" w:hAnsi="宋体" w:eastAsia="宋体" w:cs="宋体"/>
          <w:b/>
          <w:bCs/>
          <w:sz w:val="32"/>
          <w:szCs w:val="32"/>
        </w:rPr>
        <w:t>企业研究开发项目情况</w:t>
      </w:r>
      <w:bookmarkEnd w:id="34"/>
      <w:bookmarkEnd w:id="35"/>
      <w:bookmarkEnd w:id="47"/>
    </w:p>
    <w:p>
      <w:pPr>
        <w:spacing w:line="14" w:lineRule="exact"/>
        <w:rPr>
          <w:rFonts w:hint="eastAsia" w:asciiTheme="minorEastAsia" w:hAnsiTheme="minorEastAsia" w:eastAsiaTheme="minorEastAsia" w:cstheme="minorEastAsia"/>
          <w:sz w:val="18"/>
          <w:szCs w:val="18"/>
        </w:rPr>
      </w:pPr>
    </w:p>
    <w:tbl>
      <w:tblPr>
        <w:tblStyle w:val="17"/>
        <w:tblW w:w="9356" w:type="dxa"/>
        <w:jc w:val="center"/>
        <w:tblLayout w:type="fixed"/>
        <w:tblCellMar>
          <w:top w:w="0" w:type="dxa"/>
          <w:left w:w="108" w:type="dxa"/>
          <w:bottom w:w="0" w:type="dxa"/>
          <w:right w:w="108" w:type="dxa"/>
        </w:tblCellMar>
      </w:tblPr>
      <w:tblGrid>
        <w:gridCol w:w="2908"/>
        <w:gridCol w:w="1713"/>
        <w:gridCol w:w="1249"/>
        <w:gridCol w:w="1525"/>
        <w:gridCol w:w="1961"/>
      </w:tblGrid>
      <w:tr>
        <w:tblPrEx>
          <w:tblCellMar>
            <w:top w:w="0" w:type="dxa"/>
            <w:left w:w="108" w:type="dxa"/>
            <w:bottom w:w="0" w:type="dxa"/>
            <w:right w:w="108" w:type="dxa"/>
          </w:tblCellMar>
        </w:tblPrEx>
        <w:trPr>
          <w:jc w:val="center"/>
        </w:trPr>
        <w:tc>
          <w:tcPr>
            <w:tcW w:w="4814"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ind w:left="2970" w:hanging="2970" w:hangingChars="1650"/>
              <w:jc w:val="left"/>
              <w:rPr>
                <w:color w:val="auto"/>
                <w:kern w:val="0"/>
                <w:sz w:val="18"/>
                <w:szCs w:val="18"/>
              </w:rPr>
            </w:pPr>
          </w:p>
        </w:tc>
        <w:tc>
          <w:tcPr>
            <w:tcW w:w="1299" w:type="dxa"/>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color w:val="auto"/>
                <w:kern w:val="0"/>
                <w:sz w:val="18"/>
                <w:szCs w:val="18"/>
              </w:rPr>
            </w:pPr>
          </w:p>
        </w:tc>
        <w:tc>
          <w:tcPr>
            <w:tcW w:w="1586" w:type="dxa"/>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right"/>
              <w:rPr>
                <w:color w:val="auto"/>
                <w:kern w:val="0"/>
                <w:sz w:val="18"/>
                <w:szCs w:val="18"/>
              </w:rPr>
            </w:pPr>
            <w:r>
              <w:rPr>
                <w:color w:val="auto"/>
                <w:kern w:val="0"/>
                <w:sz w:val="18"/>
                <w:szCs w:val="18"/>
              </w:rPr>
              <w:t>表　　号：</w:t>
            </w:r>
          </w:p>
        </w:tc>
        <w:tc>
          <w:tcPr>
            <w:tcW w:w="2041" w:type="dxa"/>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distribute"/>
              <w:rPr>
                <w:color w:val="auto"/>
                <w:kern w:val="0"/>
                <w:sz w:val="18"/>
                <w:szCs w:val="18"/>
              </w:rPr>
            </w:pPr>
            <w:r>
              <w:rPr>
                <w:rFonts w:hint="eastAsia" w:ascii="宋体" w:hAnsi="宋体"/>
                <w:color w:val="auto"/>
                <w:sz w:val="18"/>
                <w:szCs w:val="18"/>
              </w:rPr>
              <w:t>１</w:t>
            </w:r>
            <w:r>
              <w:rPr>
                <w:rFonts w:ascii="宋体" w:hAnsi="宋体"/>
                <w:color w:val="auto"/>
                <w:sz w:val="18"/>
                <w:szCs w:val="18"/>
              </w:rPr>
              <w:t>０７</w:t>
            </w:r>
            <w:r>
              <w:rPr>
                <w:rFonts w:hint="eastAsia" w:ascii="宋体" w:hAnsi="宋体"/>
                <w:color w:val="auto"/>
                <w:sz w:val="18"/>
                <w:szCs w:val="18"/>
              </w:rPr>
              <w:t>-</w:t>
            </w:r>
            <w:r>
              <w:rPr>
                <w:color w:val="auto"/>
                <w:kern w:val="0"/>
                <w:sz w:val="18"/>
                <w:szCs w:val="18"/>
              </w:rPr>
              <w:t>１</w:t>
            </w:r>
            <w:r>
              <w:rPr>
                <w:color w:val="auto"/>
                <w:sz w:val="18"/>
                <w:szCs w:val="18"/>
              </w:rPr>
              <w:t>表</w:t>
            </w:r>
          </w:p>
        </w:tc>
      </w:tr>
      <w:tr>
        <w:tblPrEx>
          <w:tblCellMar>
            <w:top w:w="0" w:type="dxa"/>
            <w:left w:w="108" w:type="dxa"/>
            <w:bottom w:w="0" w:type="dxa"/>
            <w:right w:w="108" w:type="dxa"/>
          </w:tblCellMar>
        </w:tblPrEx>
        <w:trPr>
          <w:jc w:val="center"/>
        </w:trPr>
        <w:tc>
          <w:tcPr>
            <w:tcW w:w="6113" w:type="dxa"/>
            <w:gridSpan w:val="3"/>
            <w:tcBorders>
              <w:top w:val="nil"/>
              <w:left w:val="nil"/>
              <w:bottom w:val="nil"/>
              <w:right w:val="nil"/>
            </w:tcBorders>
            <w:noWrap w:val="0"/>
            <w:tcMar>
              <w:left w:w="28" w:type="dxa"/>
              <w:right w:w="28" w:type="dxa"/>
            </w:tcMar>
            <w:vAlign w:val="bottom"/>
          </w:tcPr>
          <w:p>
            <w:pPr>
              <w:widowControl/>
              <w:adjustRightInd w:val="0"/>
              <w:snapToGrid w:val="0"/>
              <w:spacing w:line="260" w:lineRule="atLeast"/>
              <w:rPr>
                <w:color w:val="auto"/>
                <w:kern w:val="0"/>
                <w:sz w:val="18"/>
                <w:szCs w:val="18"/>
              </w:rPr>
            </w:pPr>
          </w:p>
        </w:tc>
        <w:tc>
          <w:tcPr>
            <w:tcW w:w="1586" w:type="dxa"/>
            <w:tcBorders>
              <w:top w:val="nil"/>
              <w:left w:val="nil"/>
              <w:bottom w:val="nil"/>
              <w:right w:val="nil"/>
            </w:tcBorders>
            <w:noWrap w:val="0"/>
            <w:tcMar>
              <w:left w:w="28" w:type="dxa"/>
              <w:right w:w="28" w:type="dxa"/>
            </w:tcMar>
            <w:vAlign w:val="top"/>
          </w:tcPr>
          <w:p>
            <w:pPr>
              <w:widowControl/>
              <w:adjustRightInd w:val="0"/>
              <w:snapToGrid w:val="0"/>
              <w:spacing w:line="260" w:lineRule="atLeast"/>
              <w:jc w:val="right"/>
              <w:rPr>
                <w:color w:val="auto"/>
                <w:kern w:val="0"/>
                <w:sz w:val="18"/>
                <w:szCs w:val="18"/>
              </w:rPr>
            </w:pPr>
            <w:r>
              <w:rPr>
                <w:color w:val="auto"/>
                <w:kern w:val="0"/>
                <w:sz w:val="18"/>
                <w:szCs w:val="18"/>
              </w:rPr>
              <w:t>制表机关：</w:t>
            </w:r>
          </w:p>
        </w:tc>
        <w:tc>
          <w:tcPr>
            <w:tcW w:w="2041" w:type="dxa"/>
            <w:tcBorders>
              <w:top w:val="nil"/>
              <w:left w:val="nil"/>
              <w:bottom w:val="nil"/>
              <w:right w:val="nil"/>
            </w:tcBorders>
            <w:noWrap w:val="0"/>
            <w:tcMar>
              <w:left w:w="28" w:type="dxa"/>
              <w:right w:w="28" w:type="dxa"/>
            </w:tcMar>
            <w:vAlign w:val="center"/>
          </w:tcPr>
          <w:p>
            <w:pPr>
              <w:spacing w:line="260" w:lineRule="exact"/>
              <w:jc w:val="distribute"/>
              <w:rPr>
                <w:color w:val="auto"/>
                <w:kern w:val="0"/>
                <w:sz w:val="18"/>
                <w:szCs w:val="18"/>
              </w:rPr>
            </w:pPr>
            <w:r>
              <w:rPr>
                <w:color w:val="auto"/>
                <w:sz w:val="18"/>
                <w:szCs w:val="18"/>
              </w:rPr>
              <w:t>国家统计局</w:t>
            </w:r>
          </w:p>
        </w:tc>
      </w:tr>
      <w:tr>
        <w:tblPrEx>
          <w:tblCellMar>
            <w:top w:w="0" w:type="dxa"/>
            <w:left w:w="108" w:type="dxa"/>
            <w:bottom w:w="0" w:type="dxa"/>
            <w:right w:w="108" w:type="dxa"/>
          </w:tblCellMar>
        </w:tblPrEx>
        <w:trPr>
          <w:jc w:val="center"/>
        </w:trPr>
        <w:tc>
          <w:tcPr>
            <w:tcW w:w="6113" w:type="dxa"/>
            <w:gridSpan w:val="3"/>
            <w:tcBorders>
              <w:top w:val="nil"/>
              <w:left w:val="nil"/>
              <w:bottom w:val="nil"/>
              <w:right w:val="nil"/>
            </w:tcBorders>
            <w:noWrap w:val="0"/>
            <w:tcMar>
              <w:left w:w="28" w:type="dxa"/>
              <w:right w:w="28" w:type="dxa"/>
            </w:tcMar>
            <w:vAlign w:val="top"/>
          </w:tcPr>
          <w:p>
            <w:pPr>
              <w:widowControl/>
              <w:adjustRightInd w:val="0"/>
              <w:snapToGrid w:val="0"/>
              <w:spacing w:line="260" w:lineRule="atLeast"/>
              <w:jc w:val="left"/>
              <w:rPr>
                <w:color w:val="auto"/>
                <w:kern w:val="0"/>
                <w:sz w:val="18"/>
                <w:szCs w:val="18"/>
              </w:rPr>
            </w:pPr>
            <w:r>
              <w:rPr>
                <w:rFonts w:hint="eastAsia"/>
                <w:color w:val="auto"/>
                <w:sz w:val="18"/>
              </w:rPr>
              <w:t>统一社会信用代码□□□□□□□□□□□□□□□□□□</w:t>
            </w:r>
          </w:p>
        </w:tc>
        <w:tc>
          <w:tcPr>
            <w:tcW w:w="1586" w:type="dxa"/>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right"/>
              <w:rPr>
                <w:color w:val="auto"/>
                <w:kern w:val="0"/>
                <w:sz w:val="18"/>
                <w:szCs w:val="18"/>
              </w:rPr>
            </w:pPr>
            <w:r>
              <w:rPr>
                <w:color w:val="auto"/>
                <w:kern w:val="0"/>
                <w:sz w:val="18"/>
                <w:szCs w:val="18"/>
              </w:rPr>
              <w:t>文　　号：</w:t>
            </w:r>
          </w:p>
        </w:tc>
        <w:tc>
          <w:tcPr>
            <w:tcW w:w="2041" w:type="dxa"/>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distribute"/>
              <w:rPr>
                <w:color w:val="auto"/>
                <w:kern w:val="0"/>
                <w:sz w:val="18"/>
                <w:szCs w:val="18"/>
              </w:rPr>
            </w:pPr>
            <w:r>
              <w:rPr>
                <w:rFonts w:hint="eastAsia" w:ascii="宋体" w:hAnsi="宋体"/>
                <w:color w:val="auto"/>
                <w:sz w:val="18"/>
                <w:szCs w:val="18"/>
              </w:rPr>
              <w:t>国统字〔202</w:t>
            </w:r>
            <w:r>
              <w:rPr>
                <w:rFonts w:hint="eastAsia" w:ascii="宋体" w:hAnsi="宋体"/>
                <w:color w:val="auto"/>
                <w:sz w:val="18"/>
                <w:szCs w:val="18"/>
                <w:lang w:val="en-US" w:eastAsia="zh-CN"/>
              </w:rPr>
              <w:t>5</w:t>
            </w:r>
            <w:r>
              <w:rPr>
                <w:rFonts w:hint="eastAsia" w:ascii="宋体" w:hAnsi="宋体"/>
                <w:color w:val="auto"/>
                <w:sz w:val="18"/>
                <w:szCs w:val="18"/>
              </w:rPr>
              <w:t>〕</w:t>
            </w:r>
            <w:r>
              <w:rPr>
                <w:rFonts w:hint="eastAsia" w:ascii="宋体" w:hAnsi="宋体"/>
                <w:color w:val="auto"/>
                <w:sz w:val="18"/>
                <w:szCs w:val="18"/>
                <w:lang w:val="en-US" w:eastAsia="zh-CN"/>
              </w:rPr>
              <w:t>88</w:t>
            </w:r>
            <w:r>
              <w:rPr>
                <w:rFonts w:hint="eastAsia" w:ascii="宋体" w:hAnsi="宋体"/>
                <w:color w:val="auto"/>
                <w:sz w:val="18"/>
                <w:szCs w:val="18"/>
              </w:rPr>
              <w:t>号</w:t>
            </w:r>
          </w:p>
        </w:tc>
      </w:tr>
      <w:tr>
        <w:tblPrEx>
          <w:tblCellMar>
            <w:top w:w="0" w:type="dxa"/>
            <w:left w:w="108" w:type="dxa"/>
            <w:bottom w:w="0" w:type="dxa"/>
            <w:right w:w="108" w:type="dxa"/>
          </w:tblCellMar>
        </w:tblPrEx>
        <w:trPr>
          <w:jc w:val="center"/>
        </w:trPr>
        <w:tc>
          <w:tcPr>
            <w:tcW w:w="3028" w:type="dxa"/>
            <w:tcBorders>
              <w:top w:val="nil"/>
              <w:left w:val="nil"/>
              <w:right w:val="nil"/>
            </w:tcBorders>
            <w:noWrap w:val="0"/>
            <w:tcMar>
              <w:left w:w="28" w:type="dxa"/>
              <w:right w:w="28" w:type="dxa"/>
            </w:tcMar>
            <w:vAlign w:val="center"/>
          </w:tcPr>
          <w:p>
            <w:pPr>
              <w:widowControl/>
              <w:adjustRightInd w:val="0"/>
              <w:snapToGrid w:val="0"/>
              <w:spacing w:line="260" w:lineRule="atLeast"/>
              <w:jc w:val="left"/>
              <w:rPr>
                <w:color w:val="auto"/>
                <w:kern w:val="0"/>
                <w:sz w:val="18"/>
                <w:szCs w:val="18"/>
              </w:rPr>
            </w:pPr>
            <w:r>
              <w:rPr>
                <w:color w:val="auto"/>
                <w:kern w:val="0"/>
                <w:sz w:val="18"/>
                <w:szCs w:val="18"/>
              </w:rPr>
              <w:t>单位详细名称：</w:t>
            </w:r>
          </w:p>
        </w:tc>
        <w:tc>
          <w:tcPr>
            <w:tcW w:w="3085" w:type="dxa"/>
            <w:gridSpan w:val="2"/>
            <w:tcBorders>
              <w:top w:val="nil"/>
              <w:left w:val="nil"/>
            </w:tcBorders>
            <w:noWrap w:val="0"/>
            <w:tcMar>
              <w:left w:w="28" w:type="dxa"/>
              <w:right w:w="28" w:type="dxa"/>
            </w:tcMar>
            <w:vAlign w:val="top"/>
          </w:tcPr>
          <w:p>
            <w:pPr>
              <w:adjustRightInd w:val="0"/>
              <w:snapToGrid w:val="0"/>
              <w:spacing w:line="260" w:lineRule="atLeast"/>
              <w:ind w:firstLine="1170" w:firstLineChars="650"/>
              <w:rPr>
                <w:color w:val="auto"/>
                <w:kern w:val="0"/>
                <w:sz w:val="18"/>
                <w:szCs w:val="18"/>
              </w:rPr>
            </w:pPr>
            <w:r>
              <w:rPr>
                <w:rFonts w:hint="eastAsia" w:ascii="宋体" w:hAnsi="宋体"/>
                <w:color w:val="auto"/>
                <w:sz w:val="18"/>
                <w:szCs w:val="18"/>
              </w:rPr>
              <w:t xml:space="preserve">２０ </w:t>
            </w:r>
            <w:r>
              <w:rPr>
                <w:rFonts w:ascii="宋体" w:hAnsi="宋体"/>
                <w:color w:val="auto"/>
                <w:sz w:val="18"/>
                <w:szCs w:val="18"/>
              </w:rPr>
              <w:t xml:space="preserve"> </w:t>
            </w:r>
            <w:r>
              <w:rPr>
                <w:color w:val="auto"/>
                <w:kern w:val="0"/>
                <w:sz w:val="18"/>
                <w:szCs w:val="18"/>
              </w:rPr>
              <w:t>年</w:t>
            </w:r>
          </w:p>
        </w:tc>
        <w:tc>
          <w:tcPr>
            <w:tcW w:w="1586" w:type="dxa"/>
            <w:tcBorders>
              <w:top w:val="nil"/>
              <w:left w:val="nil"/>
            </w:tcBorders>
            <w:noWrap w:val="0"/>
            <w:tcMar>
              <w:left w:w="28" w:type="dxa"/>
              <w:right w:w="28" w:type="dxa"/>
            </w:tcMar>
            <w:vAlign w:val="top"/>
          </w:tcPr>
          <w:p>
            <w:pPr>
              <w:adjustRightInd w:val="0"/>
              <w:snapToGrid w:val="0"/>
              <w:spacing w:line="260" w:lineRule="atLeast"/>
              <w:jc w:val="right"/>
              <w:rPr>
                <w:color w:val="auto"/>
                <w:kern w:val="0"/>
                <w:sz w:val="18"/>
                <w:szCs w:val="18"/>
              </w:rPr>
            </w:pPr>
            <w:r>
              <w:rPr>
                <w:color w:val="auto"/>
                <w:kern w:val="0"/>
                <w:sz w:val="18"/>
                <w:szCs w:val="18"/>
              </w:rPr>
              <w:t>有效期至：</w:t>
            </w:r>
          </w:p>
        </w:tc>
        <w:tc>
          <w:tcPr>
            <w:tcW w:w="2041" w:type="dxa"/>
            <w:tcBorders>
              <w:top w:val="nil"/>
              <w:left w:val="nil"/>
            </w:tcBorders>
            <w:noWrap w:val="0"/>
            <w:tcMar>
              <w:left w:w="28" w:type="dxa"/>
              <w:right w:w="28" w:type="dxa"/>
            </w:tcMar>
            <w:vAlign w:val="center"/>
          </w:tcPr>
          <w:p>
            <w:pPr>
              <w:widowControl/>
              <w:adjustRightInd w:val="0"/>
              <w:snapToGrid w:val="0"/>
              <w:spacing w:line="260" w:lineRule="atLeast"/>
              <w:jc w:val="distribute"/>
              <w:rPr>
                <w:color w:val="auto"/>
                <w:kern w:val="0"/>
                <w:sz w:val="18"/>
                <w:szCs w:val="18"/>
              </w:rPr>
            </w:pPr>
            <w:r>
              <w:rPr>
                <w:color w:val="auto"/>
                <w:kern w:val="0"/>
                <w:sz w:val="18"/>
                <w:szCs w:val="18"/>
              </w:rPr>
              <w:t>２０</w:t>
            </w:r>
            <w:r>
              <w:rPr>
                <w:rFonts w:hint="eastAsia"/>
                <w:color w:val="auto"/>
                <w:kern w:val="0"/>
                <w:sz w:val="18"/>
                <w:szCs w:val="18"/>
              </w:rPr>
              <w:t>２</w:t>
            </w:r>
            <w:r>
              <w:rPr>
                <w:rFonts w:hint="eastAsia"/>
                <w:color w:val="auto"/>
                <w:kern w:val="0"/>
                <w:sz w:val="18"/>
                <w:szCs w:val="18"/>
                <w:lang w:val="en-US" w:eastAsia="zh-CN"/>
              </w:rPr>
              <w:t>6</w:t>
            </w:r>
            <w:r>
              <w:rPr>
                <w:color w:val="auto"/>
                <w:kern w:val="0"/>
                <w:sz w:val="18"/>
                <w:szCs w:val="18"/>
              </w:rPr>
              <w:t>年６月</w:t>
            </w:r>
          </w:p>
        </w:tc>
      </w:tr>
    </w:tbl>
    <w:p>
      <w:pPr>
        <w:spacing w:line="14" w:lineRule="exact"/>
        <w:rPr>
          <w:rFonts w:ascii="宋体" w:cs="宋体"/>
          <w:color w:val="auto"/>
          <w:sz w:val="18"/>
          <w:szCs w:val="18"/>
        </w:rPr>
      </w:pPr>
    </w:p>
    <w:tbl>
      <w:tblPr>
        <w:tblStyle w:val="17"/>
        <w:tblW w:w="9403" w:type="dxa"/>
        <w:jc w:val="center"/>
        <w:tblLayout w:type="autofit"/>
        <w:tblCellMar>
          <w:top w:w="0" w:type="dxa"/>
          <w:left w:w="0" w:type="dxa"/>
          <w:bottom w:w="0" w:type="dxa"/>
          <w:right w:w="0" w:type="dxa"/>
        </w:tblCellMar>
      </w:tblPr>
      <w:tblGrid>
        <w:gridCol w:w="402"/>
        <w:gridCol w:w="427"/>
        <w:gridCol w:w="538"/>
        <w:gridCol w:w="538"/>
        <w:gridCol w:w="640"/>
        <w:gridCol w:w="640"/>
        <w:gridCol w:w="538"/>
        <w:gridCol w:w="538"/>
        <w:gridCol w:w="773"/>
        <w:gridCol w:w="642"/>
        <w:gridCol w:w="764"/>
        <w:gridCol w:w="647"/>
        <w:gridCol w:w="645"/>
        <w:gridCol w:w="557"/>
        <w:gridCol w:w="557"/>
        <w:gridCol w:w="557"/>
      </w:tblGrid>
      <w:tr>
        <w:tblPrEx>
          <w:tblCellMar>
            <w:top w:w="0" w:type="dxa"/>
            <w:left w:w="0" w:type="dxa"/>
            <w:bottom w:w="0" w:type="dxa"/>
            <w:right w:w="0" w:type="dxa"/>
          </w:tblCellMar>
        </w:tblPrEx>
        <w:trPr>
          <w:trHeight w:val="283" w:hRule="atLeast"/>
          <w:jc w:val="center"/>
        </w:trPr>
        <w:tc>
          <w:tcPr>
            <w:tcW w:w="214" w:type="pct"/>
            <w:vMerge w:val="restart"/>
            <w:tcBorders>
              <w:top w:val="single" w:color="auto" w:sz="8" w:space="0"/>
              <w:left w:val="nil"/>
              <w:right w:val="single" w:color="auto" w:sz="2" w:space="0"/>
            </w:tcBorders>
            <w:noWrap/>
            <w:vAlign w:val="center"/>
          </w:tcPr>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序号</w:t>
            </w:r>
          </w:p>
        </w:tc>
        <w:tc>
          <w:tcPr>
            <w:tcW w:w="227"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名称</w:t>
            </w:r>
          </w:p>
        </w:tc>
        <w:tc>
          <w:tcPr>
            <w:tcW w:w="286"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来源</w:t>
            </w:r>
          </w:p>
        </w:tc>
        <w:tc>
          <w:tcPr>
            <w:tcW w:w="286"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开展</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形式</w:t>
            </w:r>
          </w:p>
        </w:tc>
        <w:tc>
          <w:tcPr>
            <w:tcW w:w="340"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项目当年成果形式</w:t>
            </w:r>
          </w:p>
        </w:tc>
        <w:tc>
          <w:tcPr>
            <w:tcW w:w="340"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项目技术经济目标</w:t>
            </w:r>
          </w:p>
        </w:tc>
        <w:tc>
          <w:tcPr>
            <w:tcW w:w="286"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起始</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日期</w:t>
            </w:r>
          </w:p>
        </w:tc>
        <w:tc>
          <w:tcPr>
            <w:tcW w:w="286"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完成</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日期</w:t>
            </w:r>
          </w:p>
        </w:tc>
        <w:tc>
          <w:tcPr>
            <w:tcW w:w="411"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跨年项目</w:t>
            </w:r>
          </w:p>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当年所处</w:t>
            </w:r>
          </w:p>
          <w:p>
            <w:pPr>
              <w:widowControl/>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主要进展</w:t>
            </w:r>
          </w:p>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阶段</w:t>
            </w:r>
          </w:p>
        </w:tc>
        <w:tc>
          <w:tcPr>
            <w:tcW w:w="341"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项目研究</w:t>
            </w:r>
            <w:r>
              <w:rPr>
                <w:rFonts w:ascii="宋体" w:hAnsi="宋体" w:cs="宋体"/>
                <w:kern w:val="0"/>
                <w:sz w:val="18"/>
                <w:szCs w:val="18"/>
                <w:highlight w:val="none"/>
              </w:rPr>
              <w:t>开发</w:t>
            </w:r>
            <w:r>
              <w:rPr>
                <w:rFonts w:hint="eastAsia" w:ascii="宋体" w:hAnsi="宋体" w:cs="宋体"/>
                <w:kern w:val="0"/>
                <w:sz w:val="18"/>
                <w:szCs w:val="18"/>
                <w:highlight w:val="none"/>
              </w:rPr>
              <w:t>人员 （人）</w:t>
            </w:r>
          </w:p>
        </w:tc>
        <w:tc>
          <w:tcPr>
            <w:tcW w:w="406" w:type="pct"/>
            <w:vMerge w:val="restart"/>
            <w:tcBorders>
              <w:top w:val="single" w:color="auto" w:sz="8" w:space="0"/>
              <w:left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r>
              <w:rPr>
                <w:rFonts w:hint="eastAsia" w:ascii="宋体" w:hAnsi="宋体" w:cs="宋体"/>
                <w:kern w:val="0"/>
                <w:sz w:val="18"/>
                <w:szCs w:val="18"/>
                <w:highlight w:val="none"/>
              </w:rPr>
              <w:t>项目人员实际工作时间</w:t>
            </w:r>
            <w:r>
              <w:rPr>
                <w:rFonts w:ascii="宋体" w:hAnsi="宋体" w:cs="宋体"/>
                <w:kern w:val="0"/>
                <w:sz w:val="18"/>
                <w:szCs w:val="18"/>
                <w:highlight w:val="none"/>
              </w:rPr>
              <w:t xml:space="preserve">  </w:t>
            </w:r>
            <w:r>
              <w:rPr>
                <w:rFonts w:hint="eastAsia" w:ascii="宋体" w:hAnsi="宋体" w:cs="宋体"/>
                <w:kern w:val="0"/>
                <w:sz w:val="18"/>
                <w:szCs w:val="18"/>
                <w:highlight w:val="none"/>
              </w:rPr>
              <w:t>（人月）</w:t>
            </w:r>
          </w:p>
        </w:tc>
        <w:tc>
          <w:tcPr>
            <w:tcW w:w="344" w:type="pct"/>
            <w:vMerge w:val="restart"/>
            <w:tcBorders>
              <w:top w:val="single" w:color="auto" w:sz="8" w:space="0"/>
              <w:left w:val="single" w:color="auto" w:sz="2" w:space="0"/>
            </w:tcBorders>
            <w:noWrap w:val="0"/>
            <w:vAlign w:val="center"/>
          </w:tcPr>
          <w:p>
            <w:pPr>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项目</w:t>
            </w:r>
          </w:p>
          <w:p>
            <w:pPr>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经费</w:t>
            </w:r>
          </w:p>
          <w:p>
            <w:pPr>
              <w:spacing w:line="276" w:lineRule="auto"/>
              <w:jc w:val="center"/>
              <w:rPr>
                <w:rFonts w:ascii="宋体" w:hAnsi="宋体" w:cs="宋体"/>
                <w:kern w:val="0"/>
                <w:sz w:val="18"/>
                <w:szCs w:val="18"/>
                <w:highlight w:val="none"/>
              </w:rPr>
            </w:pPr>
            <w:r>
              <w:rPr>
                <w:rFonts w:hint="eastAsia" w:ascii="宋体" w:hAnsi="宋体" w:cs="宋体"/>
                <w:kern w:val="0"/>
                <w:sz w:val="18"/>
                <w:szCs w:val="18"/>
                <w:highlight w:val="none"/>
              </w:rPr>
              <w:t>支出</w:t>
            </w:r>
          </w:p>
          <w:p>
            <w:pPr>
              <w:spacing w:line="276" w:lineRule="auto"/>
              <w:jc w:val="center"/>
              <w:rPr>
                <w:rFonts w:ascii="宋体"/>
                <w:kern w:val="0"/>
                <w:sz w:val="18"/>
                <w:szCs w:val="18"/>
                <w:highlight w:val="none"/>
              </w:rPr>
            </w:pPr>
            <w:r>
              <w:rPr>
                <w:rFonts w:hint="eastAsia" w:ascii="宋体" w:hAnsi="宋体" w:cs="宋体"/>
                <w:kern w:val="0"/>
                <w:sz w:val="18"/>
                <w:szCs w:val="18"/>
                <w:highlight w:val="none"/>
              </w:rPr>
              <w:t>（千元）</w:t>
            </w:r>
          </w:p>
        </w:tc>
        <w:tc>
          <w:tcPr>
            <w:tcW w:w="341" w:type="pct"/>
            <w:tcBorders>
              <w:top w:val="single" w:color="auto" w:sz="8" w:space="0"/>
              <w:bottom w:val="single" w:color="auto" w:sz="2" w:space="0"/>
              <w:right w:val="nil"/>
            </w:tcBorders>
            <w:noWrap w:val="0"/>
            <w:vAlign w:val="center"/>
          </w:tcPr>
          <w:p>
            <w:pPr>
              <w:spacing w:line="276" w:lineRule="auto"/>
              <w:jc w:val="center"/>
              <w:rPr>
                <w:rFonts w:ascii="宋体"/>
                <w:kern w:val="0"/>
                <w:sz w:val="18"/>
                <w:szCs w:val="18"/>
                <w:highlight w:val="none"/>
              </w:rPr>
            </w:pPr>
          </w:p>
        </w:tc>
        <w:tc>
          <w:tcPr>
            <w:tcW w:w="296" w:type="pct"/>
            <w:tcBorders>
              <w:top w:val="single" w:color="auto" w:sz="8" w:space="0"/>
              <w:bottom w:val="single" w:color="auto" w:sz="2" w:space="0"/>
              <w:right w:val="nil"/>
            </w:tcBorders>
            <w:noWrap w:val="0"/>
            <w:vAlign w:val="center"/>
          </w:tcPr>
          <w:p>
            <w:pPr>
              <w:spacing w:line="276" w:lineRule="auto"/>
              <w:jc w:val="center"/>
              <w:rPr>
                <w:rFonts w:ascii="宋体"/>
                <w:kern w:val="0"/>
                <w:sz w:val="18"/>
                <w:szCs w:val="18"/>
                <w:highlight w:val="none"/>
              </w:rPr>
            </w:pPr>
          </w:p>
        </w:tc>
        <w:tc>
          <w:tcPr>
            <w:tcW w:w="296" w:type="pct"/>
            <w:tcBorders>
              <w:top w:val="single" w:color="auto" w:sz="8" w:space="0"/>
              <w:bottom w:val="single" w:color="auto" w:sz="2" w:space="0"/>
              <w:right w:val="nil"/>
            </w:tcBorders>
            <w:noWrap w:val="0"/>
            <w:vAlign w:val="center"/>
          </w:tcPr>
          <w:p>
            <w:pPr>
              <w:spacing w:line="276" w:lineRule="auto"/>
              <w:jc w:val="center"/>
              <w:rPr>
                <w:rFonts w:ascii="宋体"/>
                <w:kern w:val="0"/>
                <w:sz w:val="18"/>
                <w:szCs w:val="18"/>
                <w:highlight w:val="none"/>
              </w:rPr>
            </w:pPr>
          </w:p>
        </w:tc>
        <w:tc>
          <w:tcPr>
            <w:tcW w:w="296" w:type="pct"/>
            <w:tcBorders>
              <w:top w:val="single" w:color="auto" w:sz="8" w:space="0"/>
              <w:bottom w:val="single" w:color="auto" w:sz="2" w:space="0"/>
              <w:right w:val="nil"/>
            </w:tcBorders>
            <w:noWrap w:val="0"/>
            <w:vAlign w:val="center"/>
          </w:tcPr>
          <w:p>
            <w:pPr>
              <w:spacing w:line="276" w:lineRule="auto"/>
              <w:jc w:val="center"/>
              <w:rPr>
                <w:rFonts w:ascii="宋体"/>
                <w:kern w:val="0"/>
                <w:sz w:val="18"/>
                <w:szCs w:val="18"/>
                <w:highlight w:val="none"/>
              </w:rPr>
            </w:pPr>
          </w:p>
        </w:tc>
      </w:tr>
      <w:tr>
        <w:tblPrEx>
          <w:tblCellMar>
            <w:top w:w="0" w:type="dxa"/>
            <w:left w:w="0" w:type="dxa"/>
            <w:bottom w:w="0" w:type="dxa"/>
            <w:right w:w="0" w:type="dxa"/>
          </w:tblCellMar>
        </w:tblPrEx>
        <w:trPr>
          <w:trHeight w:val="90" w:hRule="atLeast"/>
          <w:jc w:val="center"/>
        </w:trPr>
        <w:tc>
          <w:tcPr>
            <w:tcW w:w="214" w:type="pct"/>
            <w:vMerge w:val="continue"/>
            <w:tcBorders>
              <w:left w:val="nil"/>
              <w:bottom w:val="single" w:color="auto" w:sz="2" w:space="0"/>
              <w:right w:val="single" w:color="auto" w:sz="2" w:space="0"/>
            </w:tcBorders>
            <w:noWrap/>
            <w:vAlign w:val="center"/>
          </w:tcPr>
          <w:p>
            <w:pPr>
              <w:widowControl/>
              <w:spacing w:line="276" w:lineRule="auto"/>
              <w:jc w:val="center"/>
              <w:rPr>
                <w:rFonts w:ascii="宋体"/>
                <w:kern w:val="0"/>
                <w:sz w:val="18"/>
                <w:szCs w:val="18"/>
                <w:highlight w:val="none"/>
              </w:rPr>
            </w:pPr>
          </w:p>
        </w:tc>
        <w:tc>
          <w:tcPr>
            <w:tcW w:w="227"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340"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340"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286" w:type="pct"/>
            <w:vMerge w:val="continue"/>
            <w:tcBorders>
              <w:left w:val="single" w:color="auto" w:sz="2" w:space="0"/>
              <w:bottom w:val="single" w:color="auto" w:sz="2" w:space="0"/>
              <w:right w:val="single" w:color="auto" w:sz="2" w:space="0"/>
            </w:tcBorders>
            <w:noWrap w:val="0"/>
            <w:vAlign w:val="top"/>
          </w:tcPr>
          <w:p>
            <w:pPr>
              <w:widowControl/>
              <w:spacing w:line="276" w:lineRule="auto"/>
              <w:jc w:val="center"/>
              <w:rPr>
                <w:rFonts w:ascii="宋体"/>
                <w:kern w:val="0"/>
                <w:sz w:val="18"/>
                <w:szCs w:val="18"/>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411"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341"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406" w:type="pct"/>
            <w:vMerge w:val="continue"/>
            <w:tcBorders>
              <w:left w:val="single" w:color="auto" w:sz="2" w:space="0"/>
              <w:bottom w:val="single" w:color="auto" w:sz="2" w:space="0"/>
              <w:right w:val="single" w:color="auto" w:sz="2" w:space="0"/>
            </w:tcBorders>
            <w:noWrap w:val="0"/>
            <w:vAlign w:val="center"/>
          </w:tcPr>
          <w:p>
            <w:pPr>
              <w:widowControl/>
              <w:spacing w:line="276" w:lineRule="auto"/>
              <w:jc w:val="center"/>
              <w:rPr>
                <w:rFonts w:ascii="宋体"/>
                <w:kern w:val="0"/>
                <w:sz w:val="18"/>
                <w:szCs w:val="18"/>
                <w:highlight w:val="none"/>
              </w:rPr>
            </w:pPr>
          </w:p>
        </w:tc>
        <w:tc>
          <w:tcPr>
            <w:tcW w:w="344" w:type="pct"/>
            <w:vMerge w:val="continue"/>
            <w:tcBorders>
              <w:left w:val="single" w:color="auto" w:sz="2" w:space="0"/>
              <w:bottom w:val="single" w:color="auto" w:sz="2" w:space="0"/>
              <w:right w:val="single" w:color="000000" w:sz="2" w:space="0"/>
            </w:tcBorders>
            <w:noWrap w:val="0"/>
            <w:vAlign w:val="center"/>
          </w:tcPr>
          <w:p>
            <w:pPr>
              <w:spacing w:line="276" w:lineRule="auto"/>
              <w:jc w:val="center"/>
              <w:rPr>
                <w:rFonts w:ascii="宋体"/>
                <w:kern w:val="0"/>
                <w:sz w:val="18"/>
                <w:szCs w:val="18"/>
                <w:highlight w:val="none"/>
              </w:rPr>
            </w:pPr>
          </w:p>
        </w:tc>
        <w:tc>
          <w:tcPr>
            <w:tcW w:w="341" w:type="pct"/>
            <w:vMerge w:val="restart"/>
            <w:tcBorders>
              <w:top w:val="single" w:color="auto" w:sz="2" w:space="0"/>
              <w:left w:val="single" w:color="000000" w:sz="2" w:space="0"/>
              <w:bottom w:val="single" w:color="000000" w:sz="2" w:space="0"/>
              <w:right w:val="single" w:color="auto" w:sz="2" w:space="0"/>
            </w:tcBorders>
            <w:noWrap w:val="0"/>
            <w:vAlign w:val="center"/>
          </w:tcPr>
          <w:p>
            <w:pPr>
              <w:spacing w:line="276" w:lineRule="auto"/>
              <w:jc w:val="center"/>
              <w:rPr>
                <w:rFonts w:ascii="宋体"/>
                <w:kern w:val="0"/>
                <w:sz w:val="18"/>
                <w:szCs w:val="18"/>
                <w:highlight w:val="none"/>
              </w:rPr>
            </w:pPr>
            <w:r>
              <w:rPr>
                <w:rFonts w:hint="eastAsia" w:ascii="宋体" w:hAnsi="宋体" w:cs="宋体"/>
                <w:kern w:val="0"/>
                <w:sz w:val="18"/>
                <w:szCs w:val="18"/>
                <w:highlight w:val="none"/>
              </w:rPr>
              <w:t>其中：政府资金</w:t>
            </w:r>
          </w:p>
        </w:tc>
        <w:tc>
          <w:tcPr>
            <w:tcW w:w="296" w:type="pct"/>
            <w:vMerge w:val="restart"/>
            <w:tcBorders>
              <w:top w:val="single" w:color="auto" w:sz="2" w:space="0"/>
              <w:left w:val="single" w:color="auto" w:sz="2" w:space="0"/>
              <w:bottom w:val="single" w:color="000000" w:sz="2" w:space="0"/>
              <w:right w:val="nil"/>
            </w:tcBorders>
            <w:noWrap w:val="0"/>
            <w:vAlign w:val="center"/>
          </w:tcPr>
          <w:p>
            <w:pPr>
              <w:spacing w:line="276" w:lineRule="auto"/>
              <w:jc w:val="center"/>
              <w:rPr>
                <w:rFonts w:hint="eastAsia" w:ascii="宋体" w:hAnsi="宋体" w:cs="宋体"/>
                <w:kern w:val="0"/>
                <w:sz w:val="18"/>
                <w:szCs w:val="18"/>
                <w:highlight w:val="none"/>
              </w:rPr>
            </w:pPr>
            <w:r>
              <w:rPr>
                <w:rFonts w:hint="eastAsia" w:ascii="宋体" w:hAnsi="宋体" w:cs="宋体"/>
                <w:kern w:val="0"/>
                <w:sz w:val="18"/>
                <w:szCs w:val="18"/>
                <w:highlight w:val="none"/>
              </w:rPr>
              <w:t>*其中：用于科学原理的探索发现</w:t>
            </w:r>
          </w:p>
        </w:tc>
        <w:tc>
          <w:tcPr>
            <w:tcW w:w="296" w:type="pct"/>
            <w:tcBorders>
              <w:top w:val="single" w:color="auto" w:sz="2" w:space="0"/>
              <w:left w:val="nil"/>
              <w:bottom w:val="single" w:color="auto" w:sz="2" w:space="0"/>
              <w:right w:val="nil"/>
            </w:tcBorders>
            <w:noWrap w:val="0"/>
            <w:vAlign w:val="center"/>
          </w:tcPr>
          <w:p>
            <w:pPr>
              <w:spacing w:line="276" w:lineRule="auto"/>
              <w:jc w:val="center"/>
              <w:rPr>
                <w:rFonts w:hint="eastAsia" w:ascii="宋体" w:hAnsi="宋体" w:cs="宋体"/>
                <w:kern w:val="0"/>
                <w:sz w:val="18"/>
                <w:szCs w:val="18"/>
                <w:highlight w:val="none"/>
              </w:rPr>
            </w:pPr>
          </w:p>
        </w:tc>
        <w:tc>
          <w:tcPr>
            <w:tcW w:w="296" w:type="pct"/>
            <w:tcBorders>
              <w:top w:val="single" w:color="auto" w:sz="2" w:space="0"/>
              <w:left w:val="nil"/>
              <w:bottom w:val="single" w:color="auto" w:sz="2" w:space="0"/>
              <w:right w:val="nil"/>
            </w:tcBorders>
            <w:noWrap w:val="0"/>
            <w:vAlign w:val="center"/>
          </w:tcPr>
          <w:p>
            <w:pPr>
              <w:spacing w:line="276" w:lineRule="auto"/>
              <w:jc w:val="center"/>
              <w:rPr>
                <w:rFonts w:hint="eastAsia" w:ascii="宋体" w:hAnsi="宋体" w:cs="宋体"/>
                <w:kern w:val="0"/>
                <w:sz w:val="18"/>
                <w:szCs w:val="18"/>
                <w:highlight w:val="none"/>
              </w:rPr>
            </w:pPr>
          </w:p>
        </w:tc>
      </w:tr>
      <w:tr>
        <w:tblPrEx>
          <w:tblCellMar>
            <w:top w:w="0" w:type="dxa"/>
            <w:left w:w="0" w:type="dxa"/>
            <w:bottom w:w="0" w:type="dxa"/>
            <w:right w:w="0" w:type="dxa"/>
          </w:tblCellMar>
        </w:tblPrEx>
        <w:trPr>
          <w:trHeight w:val="1073" w:hRule="atLeast"/>
          <w:jc w:val="center"/>
        </w:trPr>
        <w:tc>
          <w:tcPr>
            <w:tcW w:w="214" w:type="pct"/>
            <w:vMerge w:val="continue"/>
            <w:tcBorders>
              <w:left w:val="nil"/>
              <w:bottom w:val="single" w:color="auto" w:sz="2" w:space="0"/>
              <w:right w:val="single" w:color="auto" w:sz="2" w:space="0"/>
            </w:tcBorders>
            <w:noWrap/>
            <w:vAlign w:val="center"/>
          </w:tcPr>
          <w:p>
            <w:pPr>
              <w:spacing w:line="276" w:lineRule="auto"/>
              <w:jc w:val="center"/>
              <w:rPr>
                <w:highlight w:val="none"/>
              </w:rPr>
            </w:pPr>
          </w:p>
        </w:tc>
        <w:tc>
          <w:tcPr>
            <w:tcW w:w="227"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340"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340"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286" w:type="pct"/>
            <w:vMerge w:val="continue"/>
            <w:tcBorders>
              <w:left w:val="single" w:color="auto" w:sz="2" w:space="0"/>
              <w:bottom w:val="single" w:color="auto" w:sz="2" w:space="0"/>
              <w:right w:val="single" w:color="auto" w:sz="2" w:space="0"/>
            </w:tcBorders>
            <w:noWrap w:val="0"/>
            <w:vAlign w:val="top"/>
          </w:tcPr>
          <w:p>
            <w:pPr>
              <w:spacing w:line="276" w:lineRule="auto"/>
              <w:jc w:val="center"/>
              <w:rPr>
                <w:highlight w:val="none"/>
              </w:rPr>
            </w:pPr>
          </w:p>
        </w:tc>
        <w:tc>
          <w:tcPr>
            <w:tcW w:w="286"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411"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341"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406" w:type="pct"/>
            <w:vMerge w:val="continue"/>
            <w:tcBorders>
              <w:left w:val="single" w:color="auto" w:sz="2" w:space="0"/>
              <w:bottom w:val="single" w:color="auto" w:sz="2" w:space="0"/>
              <w:right w:val="single" w:color="auto" w:sz="2" w:space="0"/>
            </w:tcBorders>
            <w:noWrap w:val="0"/>
            <w:vAlign w:val="center"/>
          </w:tcPr>
          <w:p>
            <w:pPr>
              <w:spacing w:line="276" w:lineRule="auto"/>
              <w:jc w:val="center"/>
              <w:rPr>
                <w:highlight w:val="none"/>
              </w:rPr>
            </w:pPr>
          </w:p>
        </w:tc>
        <w:tc>
          <w:tcPr>
            <w:tcW w:w="344" w:type="pct"/>
            <w:vMerge w:val="continue"/>
            <w:tcBorders>
              <w:left w:val="single" w:color="auto" w:sz="2" w:space="0"/>
              <w:bottom w:val="single" w:color="auto" w:sz="2" w:space="0"/>
              <w:right w:val="single" w:color="000000" w:sz="2" w:space="0"/>
            </w:tcBorders>
            <w:noWrap w:val="0"/>
            <w:vAlign w:val="center"/>
          </w:tcPr>
          <w:p>
            <w:pPr>
              <w:spacing w:line="276" w:lineRule="auto"/>
              <w:jc w:val="center"/>
              <w:rPr>
                <w:highlight w:val="none"/>
              </w:rPr>
            </w:pPr>
          </w:p>
        </w:tc>
        <w:tc>
          <w:tcPr>
            <w:tcW w:w="341" w:type="pct"/>
            <w:vMerge w:val="continue"/>
            <w:tcBorders>
              <w:top w:val="single" w:color="000000" w:sz="2" w:space="0"/>
              <w:left w:val="single" w:color="000000" w:sz="2" w:space="0"/>
              <w:bottom w:val="single" w:color="auto" w:sz="2" w:space="0"/>
              <w:right w:val="single" w:color="auto" w:sz="2" w:space="0"/>
            </w:tcBorders>
            <w:noWrap w:val="0"/>
            <w:vAlign w:val="center"/>
          </w:tcPr>
          <w:p>
            <w:pPr>
              <w:spacing w:line="276" w:lineRule="auto"/>
              <w:jc w:val="center"/>
              <w:rPr>
                <w:highlight w:val="none"/>
              </w:rPr>
            </w:pPr>
          </w:p>
        </w:tc>
        <w:tc>
          <w:tcPr>
            <w:tcW w:w="296" w:type="pct"/>
            <w:vMerge w:val="continue"/>
            <w:tcBorders>
              <w:top w:val="single" w:color="000000" w:sz="2" w:space="0"/>
              <w:left w:val="single" w:color="auto" w:sz="2" w:space="0"/>
              <w:bottom w:val="single" w:color="000000" w:sz="2" w:space="0"/>
              <w:right w:val="single" w:color="000000" w:sz="2" w:space="0"/>
            </w:tcBorders>
            <w:noWrap w:val="0"/>
            <w:vAlign w:val="center"/>
          </w:tcPr>
          <w:p>
            <w:pPr>
              <w:spacing w:line="276" w:lineRule="auto"/>
              <w:jc w:val="center"/>
              <w:rPr>
                <w:highlight w:val="none"/>
              </w:rPr>
            </w:pPr>
          </w:p>
        </w:tc>
        <w:tc>
          <w:tcPr>
            <w:tcW w:w="296" w:type="pct"/>
            <w:tcBorders>
              <w:top w:val="single" w:color="auto" w:sz="2" w:space="0"/>
              <w:left w:val="single" w:color="000000" w:sz="2" w:space="0"/>
              <w:bottom w:val="single" w:color="auto" w:sz="2" w:space="0"/>
              <w:right w:val="single" w:color="auto" w:sz="2" w:space="0"/>
            </w:tcBorders>
            <w:noWrap w:val="0"/>
            <w:vAlign w:val="center"/>
          </w:tcPr>
          <w:p>
            <w:pPr>
              <w:spacing w:line="276" w:lineRule="auto"/>
              <w:jc w:val="center"/>
              <w:rPr>
                <w:rFonts w:hint="eastAsia" w:ascii="宋体" w:hAnsi="宋体" w:cs="宋体"/>
                <w:kern w:val="0"/>
                <w:sz w:val="18"/>
                <w:szCs w:val="18"/>
                <w:highlight w:val="none"/>
              </w:rPr>
            </w:pPr>
            <w:r>
              <w:rPr>
                <w:rFonts w:hint="eastAsia" w:ascii="宋体" w:hAnsi="宋体" w:cs="宋体"/>
                <w:kern w:val="0"/>
                <w:sz w:val="18"/>
                <w:szCs w:val="18"/>
                <w:highlight w:val="none"/>
              </w:rPr>
              <w:t>*其中：企业自主开展</w:t>
            </w:r>
          </w:p>
        </w:tc>
        <w:tc>
          <w:tcPr>
            <w:tcW w:w="296" w:type="pct"/>
            <w:tcBorders>
              <w:top w:val="single" w:color="auto" w:sz="2" w:space="0"/>
              <w:left w:val="single" w:color="auto" w:sz="2" w:space="0"/>
              <w:bottom w:val="single" w:color="auto" w:sz="2" w:space="0"/>
              <w:right w:val="nil"/>
            </w:tcBorders>
            <w:noWrap w:val="0"/>
            <w:vAlign w:val="center"/>
          </w:tcPr>
          <w:p>
            <w:pPr>
              <w:spacing w:line="276" w:lineRule="auto"/>
              <w:jc w:val="center"/>
              <w:rPr>
                <w:rFonts w:hint="eastAsia" w:ascii="宋体" w:hAnsi="宋体" w:cs="宋体"/>
                <w:kern w:val="0"/>
                <w:sz w:val="18"/>
                <w:szCs w:val="18"/>
                <w:highlight w:val="none"/>
              </w:rPr>
            </w:pPr>
            <w:r>
              <w:rPr>
                <w:rFonts w:hint="eastAsia" w:ascii="宋体" w:hAnsi="宋体" w:cs="宋体"/>
                <w:kern w:val="0"/>
                <w:sz w:val="18"/>
                <w:szCs w:val="18"/>
                <w:highlight w:val="none"/>
              </w:rPr>
              <w:t>*委托外单位开展</w:t>
            </w:r>
          </w:p>
        </w:tc>
      </w:tr>
      <w:tr>
        <w:tblPrEx>
          <w:tblCellMar>
            <w:top w:w="0" w:type="dxa"/>
            <w:left w:w="0" w:type="dxa"/>
            <w:bottom w:w="0" w:type="dxa"/>
            <w:right w:w="0" w:type="dxa"/>
          </w:tblCellMar>
        </w:tblPrEx>
        <w:trPr>
          <w:trHeight w:val="340" w:hRule="atLeast"/>
          <w:jc w:val="center"/>
        </w:trPr>
        <w:tc>
          <w:tcPr>
            <w:tcW w:w="214" w:type="pct"/>
            <w:tcBorders>
              <w:top w:val="single" w:color="auto" w:sz="2" w:space="0"/>
              <w:left w:val="nil"/>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hint="eastAsia" w:ascii="宋体" w:hAnsi="宋体" w:cs="宋体"/>
                <w:kern w:val="0"/>
                <w:sz w:val="18"/>
                <w:szCs w:val="18"/>
                <w:highlight w:val="none"/>
              </w:rPr>
              <w:t>甲</w:t>
            </w:r>
          </w:p>
        </w:tc>
        <w:tc>
          <w:tcPr>
            <w:tcW w:w="227"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hint="eastAsia" w:ascii="宋体" w:hAnsi="宋体" w:cs="宋体"/>
                <w:kern w:val="0"/>
                <w:sz w:val="18"/>
                <w:szCs w:val="18"/>
                <w:highlight w:val="none"/>
              </w:rPr>
              <w:t>乙</w:t>
            </w:r>
          </w:p>
        </w:tc>
        <w:tc>
          <w:tcPr>
            <w:tcW w:w="286"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hAnsi="宋体" w:cs="宋体"/>
                <w:kern w:val="0"/>
                <w:sz w:val="18"/>
                <w:szCs w:val="18"/>
                <w:highlight w:val="none"/>
              </w:rPr>
              <w:t>1</w:t>
            </w:r>
          </w:p>
        </w:tc>
        <w:tc>
          <w:tcPr>
            <w:tcW w:w="286"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hAnsi="宋体" w:cs="宋体"/>
                <w:kern w:val="0"/>
                <w:sz w:val="18"/>
                <w:szCs w:val="18"/>
                <w:highlight w:val="none"/>
              </w:rPr>
              <w:t>2</w:t>
            </w:r>
          </w:p>
        </w:tc>
        <w:tc>
          <w:tcPr>
            <w:tcW w:w="340"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hAnsi="宋体" w:cs="宋体"/>
                <w:kern w:val="0"/>
                <w:sz w:val="18"/>
                <w:szCs w:val="18"/>
                <w:highlight w:val="none"/>
              </w:rPr>
              <w:t>3</w:t>
            </w:r>
          </w:p>
        </w:tc>
        <w:tc>
          <w:tcPr>
            <w:tcW w:w="340"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hAnsi="宋体" w:cs="宋体"/>
                <w:kern w:val="0"/>
                <w:sz w:val="18"/>
                <w:szCs w:val="18"/>
                <w:highlight w:val="none"/>
              </w:rPr>
              <w:t>4</w:t>
            </w:r>
          </w:p>
        </w:tc>
        <w:tc>
          <w:tcPr>
            <w:tcW w:w="286" w:type="pct"/>
            <w:tcBorders>
              <w:top w:val="single" w:color="auto" w:sz="2" w:space="0"/>
              <w:left w:val="single" w:color="auto" w:sz="2" w:space="0"/>
              <w:bottom w:val="single" w:color="auto" w:sz="2" w:space="0"/>
              <w:right w:val="single" w:color="auto" w:sz="2" w:space="0"/>
            </w:tcBorders>
            <w:noWrap w:val="0"/>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5</w:t>
            </w:r>
          </w:p>
        </w:tc>
        <w:tc>
          <w:tcPr>
            <w:tcW w:w="286"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6</w:t>
            </w:r>
          </w:p>
        </w:tc>
        <w:tc>
          <w:tcPr>
            <w:tcW w:w="411" w:type="pct"/>
            <w:tcBorders>
              <w:top w:val="single" w:color="auto" w:sz="2" w:space="0"/>
              <w:left w:val="single" w:color="auto" w:sz="2" w:space="0"/>
              <w:bottom w:val="single" w:color="auto" w:sz="2" w:space="0"/>
              <w:right w:val="single" w:color="auto" w:sz="2" w:space="0"/>
            </w:tcBorders>
            <w:noWrap w:val="0"/>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7</w:t>
            </w:r>
          </w:p>
        </w:tc>
        <w:tc>
          <w:tcPr>
            <w:tcW w:w="341"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8</w:t>
            </w:r>
          </w:p>
        </w:tc>
        <w:tc>
          <w:tcPr>
            <w:tcW w:w="406"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9</w:t>
            </w:r>
          </w:p>
        </w:tc>
        <w:tc>
          <w:tcPr>
            <w:tcW w:w="344" w:type="pct"/>
            <w:tcBorders>
              <w:top w:val="single" w:color="auto" w:sz="2" w:space="0"/>
              <w:left w:val="single" w:color="auto" w:sz="2" w:space="0"/>
              <w:bottom w:val="single" w:color="auto" w:sz="2" w:space="0"/>
              <w:right w:val="single" w:color="auto" w:sz="2" w:space="0"/>
            </w:tcBorders>
            <w:noWrap/>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10</w:t>
            </w:r>
          </w:p>
        </w:tc>
        <w:tc>
          <w:tcPr>
            <w:tcW w:w="341" w:type="pct"/>
            <w:tcBorders>
              <w:top w:val="single" w:color="auto" w:sz="2" w:space="0"/>
              <w:left w:val="single" w:color="auto" w:sz="2" w:space="0"/>
              <w:bottom w:val="single" w:color="auto" w:sz="2" w:space="0"/>
              <w:right w:val="single" w:color="auto" w:sz="2" w:space="0"/>
            </w:tcBorders>
            <w:noWrap w:val="0"/>
            <w:vAlign w:val="center"/>
          </w:tcPr>
          <w:p>
            <w:pPr>
              <w:widowControl/>
              <w:spacing w:line="240" w:lineRule="exact"/>
              <w:jc w:val="center"/>
              <w:rPr>
                <w:rFonts w:ascii="宋体"/>
                <w:kern w:val="0"/>
                <w:sz w:val="18"/>
                <w:szCs w:val="18"/>
                <w:highlight w:val="none"/>
              </w:rPr>
            </w:pPr>
            <w:r>
              <w:rPr>
                <w:rFonts w:ascii="宋体"/>
                <w:kern w:val="0"/>
                <w:sz w:val="18"/>
                <w:szCs w:val="18"/>
                <w:highlight w:val="none"/>
              </w:rPr>
              <w:t>11</w:t>
            </w:r>
          </w:p>
        </w:tc>
        <w:tc>
          <w:tcPr>
            <w:tcW w:w="296" w:type="pct"/>
            <w:tcBorders>
              <w:top w:val="single" w:color="000000" w:sz="2" w:space="0"/>
              <w:left w:val="single" w:color="auto" w:sz="2" w:space="0"/>
              <w:bottom w:val="single" w:color="auto" w:sz="2" w:space="0"/>
              <w:right w:val="single" w:color="000000" w:sz="2" w:space="0"/>
            </w:tcBorders>
            <w:noWrap w:val="0"/>
            <w:vAlign w:val="center"/>
          </w:tcPr>
          <w:p>
            <w:pPr>
              <w:widowControl/>
              <w:spacing w:line="240" w:lineRule="exact"/>
              <w:jc w:val="center"/>
              <w:rPr>
                <w:rFonts w:ascii="宋体"/>
                <w:kern w:val="0"/>
                <w:sz w:val="18"/>
                <w:szCs w:val="18"/>
                <w:highlight w:val="none"/>
              </w:rPr>
            </w:pPr>
            <w:r>
              <w:rPr>
                <w:rFonts w:hint="eastAsia" w:ascii="宋体"/>
                <w:kern w:val="0"/>
                <w:sz w:val="18"/>
                <w:szCs w:val="18"/>
                <w:highlight w:val="none"/>
              </w:rPr>
              <w:t>12</w:t>
            </w:r>
          </w:p>
        </w:tc>
        <w:tc>
          <w:tcPr>
            <w:tcW w:w="296" w:type="pct"/>
            <w:tcBorders>
              <w:top w:val="single" w:color="auto" w:sz="2" w:space="0"/>
              <w:left w:val="single" w:color="000000" w:sz="2" w:space="0"/>
              <w:bottom w:val="single" w:color="auto" w:sz="2" w:space="0"/>
              <w:right w:val="nil"/>
            </w:tcBorders>
            <w:noWrap w:val="0"/>
            <w:vAlign w:val="center"/>
          </w:tcPr>
          <w:p>
            <w:pPr>
              <w:widowControl/>
              <w:spacing w:line="240" w:lineRule="exact"/>
              <w:jc w:val="center"/>
              <w:rPr>
                <w:rFonts w:ascii="宋体"/>
                <w:kern w:val="0"/>
                <w:sz w:val="18"/>
                <w:szCs w:val="18"/>
                <w:highlight w:val="none"/>
              </w:rPr>
            </w:pPr>
            <w:r>
              <w:rPr>
                <w:rFonts w:hint="eastAsia" w:ascii="宋体"/>
                <w:kern w:val="0"/>
                <w:sz w:val="18"/>
                <w:szCs w:val="18"/>
                <w:highlight w:val="none"/>
              </w:rPr>
              <w:t>13</w:t>
            </w:r>
          </w:p>
        </w:tc>
        <w:tc>
          <w:tcPr>
            <w:tcW w:w="296" w:type="pct"/>
            <w:tcBorders>
              <w:top w:val="single" w:color="auto" w:sz="2" w:space="0"/>
              <w:left w:val="single" w:color="auto" w:sz="2" w:space="0"/>
              <w:bottom w:val="single" w:color="auto" w:sz="2" w:space="0"/>
              <w:right w:val="nil"/>
            </w:tcBorders>
            <w:noWrap w:val="0"/>
            <w:vAlign w:val="center"/>
          </w:tcPr>
          <w:p>
            <w:pPr>
              <w:widowControl/>
              <w:spacing w:line="240" w:lineRule="exact"/>
              <w:jc w:val="center"/>
              <w:rPr>
                <w:rFonts w:ascii="宋体"/>
                <w:kern w:val="0"/>
                <w:sz w:val="18"/>
                <w:szCs w:val="18"/>
                <w:highlight w:val="none"/>
              </w:rPr>
            </w:pPr>
            <w:r>
              <w:rPr>
                <w:rFonts w:hint="eastAsia" w:ascii="宋体"/>
                <w:kern w:val="0"/>
                <w:sz w:val="18"/>
                <w:szCs w:val="18"/>
                <w:highlight w:val="none"/>
              </w:rPr>
              <w:t>14</w:t>
            </w:r>
          </w:p>
        </w:tc>
      </w:tr>
      <w:tr>
        <w:tblPrEx>
          <w:tblCellMar>
            <w:top w:w="0" w:type="dxa"/>
            <w:left w:w="0" w:type="dxa"/>
            <w:bottom w:w="0" w:type="dxa"/>
            <w:right w:w="0" w:type="dxa"/>
          </w:tblCellMar>
        </w:tblPrEx>
        <w:trPr>
          <w:trHeight w:val="1071" w:hRule="atLeast"/>
          <w:jc w:val="center"/>
        </w:trPr>
        <w:tc>
          <w:tcPr>
            <w:tcW w:w="214" w:type="pct"/>
            <w:tcBorders>
              <w:top w:val="single" w:color="auto" w:sz="2" w:space="0"/>
              <w:left w:val="nil"/>
              <w:bottom w:val="single" w:color="auto" w:sz="8" w:space="0"/>
              <w:right w:val="single" w:color="auto" w:sz="2" w:space="0"/>
            </w:tcBorders>
            <w:noWrap/>
            <w:vAlign w:val="center"/>
          </w:tcPr>
          <w:p>
            <w:pPr>
              <w:widowControl/>
              <w:spacing w:line="240" w:lineRule="exact"/>
              <w:jc w:val="center"/>
              <w:rPr>
                <w:rFonts w:ascii="宋体"/>
                <w:kern w:val="0"/>
                <w:sz w:val="18"/>
                <w:szCs w:val="18"/>
                <w:highlight w:val="none"/>
              </w:rPr>
            </w:pPr>
          </w:p>
        </w:tc>
        <w:tc>
          <w:tcPr>
            <w:tcW w:w="227" w:type="pct"/>
            <w:tcBorders>
              <w:top w:val="single" w:color="auto" w:sz="2" w:space="0"/>
              <w:left w:val="single" w:color="auto" w:sz="2" w:space="0"/>
              <w:bottom w:val="single" w:color="auto" w:sz="8" w:space="0"/>
              <w:right w:val="single" w:color="auto" w:sz="2" w:space="0"/>
            </w:tcBorders>
            <w:noWrap/>
            <w:vAlign w:val="center"/>
          </w:tcPr>
          <w:p>
            <w:pPr>
              <w:widowControl/>
              <w:spacing w:line="240" w:lineRule="exact"/>
              <w:jc w:val="center"/>
              <w:rPr>
                <w:rFonts w:ascii="宋体"/>
                <w:kern w:val="0"/>
                <w:sz w:val="18"/>
                <w:szCs w:val="18"/>
                <w:highlight w:val="none"/>
              </w:rPr>
            </w:pPr>
          </w:p>
        </w:tc>
        <w:tc>
          <w:tcPr>
            <w:tcW w:w="286" w:type="pct"/>
            <w:tcBorders>
              <w:top w:val="single" w:color="auto" w:sz="2" w:space="0"/>
              <w:left w:val="single" w:color="auto" w:sz="2" w:space="0"/>
              <w:bottom w:val="single" w:color="auto" w:sz="8" w:space="0"/>
            </w:tcBorders>
            <w:noWrap w:val="0"/>
            <w:vAlign w:val="top"/>
          </w:tcPr>
          <w:p>
            <w:pPr>
              <w:widowControl/>
              <w:spacing w:line="240" w:lineRule="exact"/>
              <w:rPr>
                <w:rFonts w:ascii="宋体"/>
                <w:kern w:val="0"/>
                <w:sz w:val="18"/>
                <w:szCs w:val="18"/>
                <w:highlight w:val="none"/>
              </w:rPr>
            </w:pPr>
          </w:p>
        </w:tc>
        <w:tc>
          <w:tcPr>
            <w:tcW w:w="3383" w:type="pct"/>
            <w:gridSpan w:val="10"/>
            <w:tcBorders>
              <w:top w:val="single" w:color="auto" w:sz="2" w:space="0"/>
              <w:bottom w:val="single" w:color="auto" w:sz="8" w:space="0"/>
            </w:tcBorders>
            <w:noWrap w:val="0"/>
            <w:vAlign w:val="top"/>
          </w:tcPr>
          <w:p>
            <w:pPr>
              <w:widowControl/>
              <w:spacing w:line="240" w:lineRule="exact"/>
              <w:rPr>
                <w:rFonts w:ascii="宋体"/>
                <w:kern w:val="0"/>
                <w:sz w:val="18"/>
                <w:szCs w:val="18"/>
                <w:highlight w:val="none"/>
              </w:rPr>
            </w:pPr>
            <w:r>
              <w:rPr>
                <w:rFonts w:hint="eastAsia" w:ascii="宋体"/>
                <w:kern w:val="0"/>
                <w:sz w:val="18"/>
                <w:szCs w:val="18"/>
                <w:highlight w:val="none"/>
              </w:rPr>
              <w:t xml:space="preserve"> </w:t>
            </w:r>
            <w:r>
              <w:rPr>
                <w:rFonts w:ascii="宋体"/>
                <w:kern w:val="0"/>
                <w:sz w:val="18"/>
                <w:szCs w:val="18"/>
                <w:highlight w:val="none"/>
              </w:rPr>
              <w:t xml:space="preserve">                                             </w:t>
            </w:r>
          </w:p>
          <w:p>
            <w:pPr>
              <w:widowControl/>
              <w:spacing w:line="240" w:lineRule="exact"/>
              <w:ind w:firstLine="4140" w:firstLineChars="2300"/>
              <w:rPr>
                <w:rFonts w:ascii="宋体"/>
                <w:kern w:val="0"/>
                <w:sz w:val="18"/>
                <w:szCs w:val="18"/>
                <w:highlight w:val="none"/>
              </w:rPr>
            </w:pPr>
          </w:p>
        </w:tc>
        <w:tc>
          <w:tcPr>
            <w:tcW w:w="296" w:type="pct"/>
            <w:tcBorders>
              <w:top w:val="single" w:color="auto" w:sz="2" w:space="0"/>
              <w:bottom w:val="single" w:color="auto" w:sz="8" w:space="0"/>
            </w:tcBorders>
            <w:noWrap w:val="0"/>
            <w:vAlign w:val="top"/>
          </w:tcPr>
          <w:p>
            <w:pPr>
              <w:widowControl/>
              <w:spacing w:line="240" w:lineRule="exact"/>
              <w:ind w:firstLine="4140" w:firstLineChars="2300"/>
              <w:rPr>
                <w:rFonts w:ascii="宋体"/>
                <w:kern w:val="0"/>
                <w:sz w:val="18"/>
                <w:szCs w:val="18"/>
                <w:highlight w:val="none"/>
              </w:rPr>
            </w:pPr>
          </w:p>
        </w:tc>
        <w:tc>
          <w:tcPr>
            <w:tcW w:w="296" w:type="pct"/>
            <w:tcBorders>
              <w:top w:val="single" w:color="auto" w:sz="2" w:space="0"/>
              <w:bottom w:val="single" w:color="auto" w:sz="8" w:space="0"/>
            </w:tcBorders>
            <w:noWrap w:val="0"/>
            <w:vAlign w:val="top"/>
          </w:tcPr>
          <w:p>
            <w:pPr>
              <w:widowControl/>
              <w:spacing w:line="240" w:lineRule="exact"/>
              <w:ind w:firstLine="4140" w:firstLineChars="2300"/>
              <w:rPr>
                <w:rFonts w:ascii="宋体"/>
                <w:kern w:val="0"/>
                <w:sz w:val="18"/>
                <w:szCs w:val="18"/>
                <w:highlight w:val="none"/>
              </w:rPr>
            </w:pPr>
          </w:p>
        </w:tc>
        <w:tc>
          <w:tcPr>
            <w:tcW w:w="296" w:type="pct"/>
            <w:tcBorders>
              <w:top w:val="single" w:color="auto" w:sz="2" w:space="0"/>
              <w:bottom w:val="single" w:color="auto" w:sz="8" w:space="0"/>
            </w:tcBorders>
            <w:noWrap w:val="0"/>
            <w:vAlign w:val="top"/>
          </w:tcPr>
          <w:p>
            <w:pPr>
              <w:widowControl/>
              <w:spacing w:line="240" w:lineRule="exact"/>
              <w:ind w:firstLine="4140" w:firstLineChars="2300"/>
              <w:rPr>
                <w:rFonts w:ascii="宋体"/>
                <w:kern w:val="0"/>
                <w:sz w:val="18"/>
                <w:szCs w:val="18"/>
                <w:highlight w:val="none"/>
              </w:rPr>
            </w:pPr>
          </w:p>
        </w:tc>
      </w:tr>
    </w:tbl>
    <w:p>
      <w:pPr>
        <w:keepNext w:val="0"/>
        <w:keepLines w:val="0"/>
        <w:pageBreakBefore w:val="0"/>
        <w:widowControl w:val="0"/>
        <w:kinsoku/>
        <w:wordWrap/>
        <w:overflowPunct/>
        <w:topLinePunct w:val="0"/>
        <w:autoSpaceDE/>
        <w:autoSpaceDN/>
        <w:bidi w:val="0"/>
        <w:adjustRightInd/>
        <w:snapToGrid/>
        <w:spacing w:line="240" w:lineRule="exact"/>
        <w:ind w:left="-630" w:leftChars="-300" w:right="-709" w:rightChars="-338" w:firstLine="720" w:firstLineChars="40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单位负责人：       统计负责人：         填表人：         联系电话：         报出日期：</w:t>
      </w:r>
      <w:r>
        <w:rPr>
          <w:rFonts w:hint="eastAsia" w:asciiTheme="minorEastAsia" w:hAnsiTheme="minorEastAsia" w:eastAsiaTheme="minorEastAsia" w:cstheme="minorEastAsia"/>
          <w:kern w:val="0"/>
          <w:sz w:val="18"/>
          <w:szCs w:val="18"/>
          <w:lang w:val="en-US" w:eastAsia="zh-CN"/>
        </w:rPr>
        <w:t>2 0</w:t>
      </w:r>
      <w:r>
        <w:rPr>
          <w:rFonts w:hint="eastAsia" w:asciiTheme="minorEastAsia" w:hAnsiTheme="minorEastAsia" w:eastAsiaTheme="minorEastAsia" w:cstheme="minorEastAsia"/>
          <w:kern w:val="0"/>
          <w:sz w:val="18"/>
          <w:szCs w:val="18"/>
        </w:rPr>
        <w:t xml:space="preserve">  </w:t>
      </w:r>
      <w:r>
        <w:rPr>
          <w:rFonts w:hint="eastAsia" w:asciiTheme="minorEastAsia" w:hAnsiTheme="minorEastAsia" w:eastAsiaTheme="minorEastAsia" w:cstheme="minorEastAsia"/>
          <w:kern w:val="0"/>
          <w:sz w:val="18"/>
          <w:szCs w:val="18"/>
          <w:lang w:val="en-US" w:eastAsia="zh-CN"/>
        </w:rPr>
        <w:t xml:space="preserve"> </w:t>
      </w:r>
      <w:r>
        <w:rPr>
          <w:rFonts w:hint="eastAsia" w:asciiTheme="minorEastAsia" w:hAnsiTheme="minorEastAsia" w:eastAsiaTheme="minorEastAsia" w:cstheme="minorEastAsia"/>
          <w:kern w:val="0"/>
          <w:sz w:val="18"/>
          <w:szCs w:val="18"/>
        </w:rPr>
        <w:t xml:space="preserve"> 年   月   日</w:t>
      </w:r>
    </w:p>
    <w:p>
      <w:pPr>
        <w:spacing w:line="240" w:lineRule="exact"/>
        <w:ind w:left="853" w:leftChars="-314" w:right="-567" w:rightChars="-270" w:hanging="1512" w:hangingChars="900"/>
        <w:rPr>
          <w:rFonts w:hint="eastAsia" w:asciiTheme="minorEastAsia" w:hAnsiTheme="minorEastAsia" w:eastAsiaTheme="minorEastAsia" w:cstheme="minorEastAsia"/>
          <w:spacing w:val="-6"/>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1507" w:leftChars="38" w:right="63" w:rightChars="30" w:hanging="1428" w:hangingChars="850"/>
        <w:jc w:val="left"/>
        <w:textAlignment w:val="auto"/>
        <w:rPr>
          <w:rFonts w:hint="eastAsia" w:asciiTheme="minorEastAsia" w:hAnsiTheme="minorEastAsia" w:eastAsiaTheme="minorEastAsia" w:cstheme="minorEastAsia"/>
          <w:spacing w:val="-6"/>
          <w:sz w:val="18"/>
          <w:szCs w:val="18"/>
        </w:rPr>
      </w:pPr>
      <w:r>
        <w:rPr>
          <w:rFonts w:hint="eastAsia" w:asciiTheme="minorEastAsia" w:hAnsiTheme="minorEastAsia" w:eastAsiaTheme="minorEastAsia" w:cstheme="minorEastAsia"/>
          <w:spacing w:val="-6"/>
          <w:sz w:val="18"/>
          <w:szCs w:val="18"/>
        </w:rPr>
        <w:t>说明：1.统计范围：</w:t>
      </w:r>
      <w:r>
        <w:rPr>
          <w:rFonts w:hint="eastAsia" w:asciiTheme="minorEastAsia" w:hAnsiTheme="minorEastAsia" w:eastAsiaTheme="minorEastAsia" w:cstheme="minorEastAsia"/>
          <w:sz w:val="18"/>
          <w:szCs w:val="18"/>
        </w:rPr>
        <w:t>辖区内规模以上工业企业法人单位的全部研究开发项目</w:t>
      </w:r>
      <w:r>
        <w:rPr>
          <w:rFonts w:hint="eastAsia" w:asciiTheme="minorEastAsia" w:hAnsiTheme="minorEastAsia" w:eastAsiaTheme="minorEastAsia" w:cstheme="minorEastAsia"/>
          <w:spacing w:val="-6"/>
          <w:sz w:val="18"/>
          <w:szCs w:val="18"/>
        </w:rPr>
        <w:t>。</w:t>
      </w:r>
    </w:p>
    <w:p>
      <w:pPr>
        <w:keepNext w:val="0"/>
        <w:keepLines w:val="0"/>
        <w:pageBreakBefore w:val="0"/>
        <w:widowControl w:val="0"/>
        <w:kinsoku/>
        <w:wordWrap/>
        <w:overflowPunct/>
        <w:topLinePunct w:val="0"/>
        <w:autoSpaceDE/>
        <w:autoSpaceDN/>
        <w:bidi w:val="0"/>
        <w:adjustRightInd/>
        <w:snapToGrid/>
        <w:spacing w:line="240" w:lineRule="exact"/>
        <w:ind w:left="2082" w:leftChars="259" w:right="42" w:rightChars="20" w:hanging="1539" w:hangingChars="855"/>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2.报送日期及方式：调查单位202</w:t>
      </w:r>
      <w:r>
        <w:rPr>
          <w:rFonts w:hint="eastAsia" w:asciiTheme="minorEastAsia" w:hAnsiTheme="minorEastAsia" w:eastAsiaTheme="minorEastAsia" w:cstheme="minorEastAsia"/>
          <w:kern w:val="0"/>
          <w:sz w:val="18"/>
          <w:szCs w:val="18"/>
          <w:lang w:val="en-US" w:eastAsia="zh-CN"/>
        </w:rPr>
        <w:t>6</w:t>
      </w:r>
      <w:r>
        <w:rPr>
          <w:rFonts w:hint="eastAsia" w:asciiTheme="minorEastAsia" w:hAnsiTheme="minorEastAsia" w:eastAsiaTheme="minorEastAsia" w:cstheme="minorEastAsia"/>
          <w:kern w:val="0"/>
          <w:sz w:val="18"/>
          <w:szCs w:val="18"/>
        </w:rPr>
        <w:t>年3月1</w:t>
      </w:r>
      <w:r>
        <w:rPr>
          <w:rFonts w:hint="eastAsia" w:asciiTheme="minorEastAsia" w:hAnsiTheme="minorEastAsia" w:eastAsiaTheme="minorEastAsia" w:cstheme="minorEastAsia"/>
          <w:kern w:val="0"/>
          <w:sz w:val="18"/>
          <w:szCs w:val="18"/>
          <w:lang w:val="en-US" w:eastAsia="zh-CN"/>
        </w:rPr>
        <w:t>6</w:t>
      </w:r>
      <w:r>
        <w:rPr>
          <w:rFonts w:hint="eastAsia" w:asciiTheme="minorEastAsia" w:hAnsiTheme="minorEastAsia" w:eastAsiaTheme="minorEastAsia" w:cstheme="minorEastAsia"/>
          <w:kern w:val="0"/>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kern w:val="0"/>
          <w:sz w:val="18"/>
          <w:szCs w:val="18"/>
        </w:rPr>
        <w:t>。</w:t>
      </w:r>
    </w:p>
    <w:p>
      <w:pPr>
        <w:spacing w:line="300" w:lineRule="exact"/>
        <w:ind w:firstLine="540" w:firstLineChars="300"/>
        <w:jc w:val="left"/>
        <w:rPr>
          <w:rFonts w:ascii="宋体" w:cs="宋体"/>
          <w:color w:val="auto"/>
          <w:spacing w:val="-6"/>
          <w:sz w:val="18"/>
          <w:szCs w:val="18"/>
        </w:rPr>
      </w:pPr>
      <w:r>
        <w:rPr>
          <w:rFonts w:hint="eastAsia" w:asciiTheme="minorEastAsia" w:hAnsiTheme="minorEastAsia" w:eastAsiaTheme="minorEastAsia" w:cstheme="minorEastAsia"/>
          <w:sz w:val="18"/>
          <w:szCs w:val="18"/>
        </w:rPr>
        <w:t>3.</w:t>
      </w:r>
      <w:r>
        <w:rPr>
          <w:rFonts w:hint="eastAsia" w:ascii="宋体" w:cs="宋体"/>
          <w:color w:val="auto"/>
          <w:sz w:val="18"/>
          <w:szCs w:val="18"/>
        </w:rPr>
        <w:t>本表“项目来源”按《研究开发项目来源分类目录》填报；</w:t>
      </w:r>
    </w:p>
    <w:p>
      <w:pPr>
        <w:spacing w:line="300" w:lineRule="exact"/>
        <w:ind w:left="2"/>
        <w:jc w:val="left"/>
        <w:rPr>
          <w:rFonts w:ascii="宋体" w:cs="宋体"/>
          <w:color w:val="auto"/>
          <w:sz w:val="18"/>
          <w:szCs w:val="18"/>
        </w:rPr>
      </w:pPr>
      <w:r>
        <w:rPr>
          <w:rFonts w:hint="eastAsia" w:ascii="宋体" w:cs="宋体"/>
          <w:color w:val="auto"/>
          <w:sz w:val="18"/>
          <w:szCs w:val="18"/>
        </w:rPr>
        <w:t xml:space="preserve">     </w:t>
      </w:r>
      <w:r>
        <w:rPr>
          <w:rFonts w:ascii="宋体" w:cs="宋体"/>
          <w:color w:val="auto"/>
          <w:sz w:val="18"/>
          <w:szCs w:val="18"/>
        </w:rPr>
        <w:t xml:space="preserve">       </w:t>
      </w:r>
      <w:r>
        <w:rPr>
          <w:rFonts w:hint="eastAsia" w:ascii="宋体" w:cs="宋体"/>
          <w:color w:val="auto"/>
          <w:sz w:val="18"/>
          <w:szCs w:val="18"/>
        </w:rPr>
        <w:t>“项目开展形式”按《研究开发项目开展形式分类目录》填报；</w:t>
      </w:r>
    </w:p>
    <w:p>
      <w:pPr>
        <w:spacing w:line="300" w:lineRule="exact"/>
        <w:ind w:left="2" w:firstLine="1080" w:firstLineChars="600"/>
        <w:jc w:val="left"/>
        <w:rPr>
          <w:rFonts w:ascii="宋体" w:cs="宋体"/>
          <w:color w:val="auto"/>
          <w:sz w:val="18"/>
          <w:szCs w:val="18"/>
        </w:rPr>
      </w:pPr>
      <w:r>
        <w:rPr>
          <w:rFonts w:hint="eastAsia" w:ascii="宋体" w:cs="宋体"/>
          <w:color w:val="auto"/>
          <w:sz w:val="18"/>
          <w:szCs w:val="18"/>
        </w:rPr>
        <w:t>“项目当年成果形式”按《研究开发项目成果形式分类目录》填报；</w:t>
      </w:r>
    </w:p>
    <w:p>
      <w:pPr>
        <w:spacing w:line="300" w:lineRule="exact"/>
        <w:ind w:left="2" w:firstLine="1080" w:firstLineChars="600"/>
        <w:jc w:val="left"/>
        <w:rPr>
          <w:rFonts w:ascii="宋体" w:cs="宋体"/>
          <w:color w:val="auto"/>
          <w:sz w:val="18"/>
          <w:szCs w:val="18"/>
        </w:rPr>
      </w:pPr>
      <w:r>
        <w:rPr>
          <w:rFonts w:hint="eastAsia" w:ascii="宋体" w:cs="宋体"/>
          <w:color w:val="auto"/>
          <w:sz w:val="18"/>
          <w:szCs w:val="18"/>
        </w:rPr>
        <w:t>“项目技术经济目标”按《研究开发项目技术经济目标分类目录》填报；</w:t>
      </w:r>
    </w:p>
    <w:p>
      <w:pPr>
        <w:keepNext w:val="0"/>
        <w:keepLines w:val="0"/>
        <w:pageBreakBefore w:val="0"/>
        <w:widowControl w:val="0"/>
        <w:kinsoku/>
        <w:wordWrap/>
        <w:overflowPunct/>
        <w:topLinePunct w:val="0"/>
        <w:autoSpaceDE/>
        <w:autoSpaceDN/>
        <w:bidi w:val="0"/>
        <w:adjustRightInd/>
        <w:snapToGrid/>
        <w:spacing w:line="240" w:lineRule="exact"/>
        <w:ind w:firstLine="1080" w:firstLineChars="600"/>
        <w:jc w:val="left"/>
        <w:textAlignment w:val="auto"/>
        <w:rPr>
          <w:rFonts w:hint="eastAsia" w:asciiTheme="minorEastAsia" w:hAnsiTheme="minorEastAsia" w:eastAsiaTheme="minorEastAsia" w:cstheme="minorEastAsia"/>
          <w:kern w:val="0"/>
          <w:sz w:val="18"/>
          <w:szCs w:val="18"/>
        </w:rPr>
      </w:pPr>
      <w:r>
        <w:rPr>
          <w:rFonts w:hint="eastAsia" w:ascii="宋体" w:cs="宋体"/>
          <w:color w:val="auto"/>
          <w:sz w:val="18"/>
          <w:szCs w:val="18"/>
        </w:rPr>
        <w:t>“跨年项目当年所处主要进展阶段”按《研究开发项目进展阶段分类目录》填报，非跨年项目免填</w:t>
      </w:r>
      <w:r>
        <w:rPr>
          <w:rFonts w:hint="eastAsia" w:asciiTheme="minorEastAsia" w:hAnsiTheme="minorEastAsia" w:eastAsiaTheme="minorEastAsia" w:cstheme="minorEastAsia"/>
          <w:kern w:val="0"/>
          <w:sz w:val="18"/>
          <w:szCs w:val="18"/>
        </w:rPr>
        <w:t>。</w:t>
      </w:r>
    </w:p>
    <w:p>
      <w:pPr>
        <w:keepNext w:val="0"/>
        <w:keepLines w:val="0"/>
        <w:pageBreakBefore w:val="0"/>
        <w:widowControl w:val="0"/>
        <w:kinsoku/>
        <w:wordWrap/>
        <w:overflowPunct/>
        <w:topLinePunct w:val="0"/>
        <w:autoSpaceDE/>
        <w:autoSpaceDN/>
        <w:bidi w:val="0"/>
        <w:adjustRightInd/>
        <w:snapToGrid/>
        <w:spacing w:line="240" w:lineRule="exact"/>
        <w:ind w:left="638" w:leftChars="257" w:hanging="99" w:hangingChars="55"/>
        <w:textAlignment w:val="auto"/>
        <w:rPr>
          <w:rFonts w:hint="eastAsia" w:eastAsia="宋体" w:asciiTheme="minorEastAsia" w:hAnsiTheme="minorEastAsia" w:cstheme="minorEastAsia"/>
          <w:kern w:val="0"/>
          <w:sz w:val="18"/>
          <w:szCs w:val="18"/>
          <w:lang w:eastAsia="zh-CN"/>
        </w:rPr>
      </w:pPr>
      <w:r>
        <w:rPr>
          <w:rFonts w:hint="eastAsia" w:asciiTheme="minorEastAsia" w:hAnsiTheme="minorEastAsia" w:eastAsiaTheme="minorEastAsia" w:cstheme="minorEastAsia"/>
          <w:kern w:val="0"/>
          <w:sz w:val="18"/>
          <w:szCs w:val="18"/>
          <w:lang w:val="en-US" w:eastAsia="zh-CN"/>
        </w:rPr>
        <w:t>4</w:t>
      </w:r>
      <w:r>
        <w:rPr>
          <w:rFonts w:hint="eastAsia" w:asciiTheme="minorEastAsia" w:hAnsiTheme="minorEastAsia" w:eastAsiaTheme="minorEastAsia" w:cstheme="minorEastAsia"/>
          <w:kern w:val="0"/>
          <w:sz w:val="18"/>
          <w:szCs w:val="18"/>
        </w:rPr>
        <w:t>.</w:t>
      </w:r>
      <w:r>
        <w:rPr>
          <w:rFonts w:hint="eastAsia" w:ascii="宋体" w:hAnsi="宋体" w:cs="宋体"/>
          <w:color w:val="auto"/>
          <w:kern w:val="0"/>
          <w:sz w:val="18"/>
          <w:szCs w:val="18"/>
        </w:rPr>
        <w:t>带*部分指标仅限高技术制造业</w:t>
      </w:r>
      <w:r>
        <w:rPr>
          <w:rFonts w:hint="eastAsia" w:ascii="宋体" w:hAnsi="宋体" w:cs="宋体"/>
          <w:color w:val="auto"/>
          <w:kern w:val="0"/>
          <w:sz w:val="18"/>
          <w:szCs w:val="18"/>
          <w:lang w:eastAsia="zh-CN"/>
        </w:rPr>
        <w:t>大型企业、</w:t>
      </w:r>
      <w:r>
        <w:rPr>
          <w:rFonts w:hint="eastAsia" w:ascii="宋体" w:hAnsi="宋体" w:cs="宋体"/>
          <w:color w:val="auto"/>
          <w:kern w:val="0"/>
          <w:sz w:val="18"/>
          <w:szCs w:val="18"/>
        </w:rPr>
        <w:t>软件和信息技术服务业</w:t>
      </w:r>
      <w:r>
        <w:rPr>
          <w:rFonts w:hint="eastAsia" w:ascii="宋体" w:hAnsi="宋体" w:cs="宋体"/>
          <w:color w:val="auto"/>
          <w:kern w:val="0"/>
          <w:sz w:val="18"/>
          <w:szCs w:val="18"/>
          <w:lang w:eastAsia="zh-CN"/>
        </w:rPr>
        <w:t>大型企业法人单位，</w:t>
      </w:r>
      <w:r>
        <w:rPr>
          <w:rFonts w:hint="eastAsia" w:ascii="宋体" w:hAnsi="宋体" w:cs="宋体"/>
          <w:color w:val="auto"/>
          <w:kern w:val="0"/>
          <w:sz w:val="18"/>
          <w:szCs w:val="18"/>
        </w:rPr>
        <w:t>规模以上研究和试验发展行业</w:t>
      </w:r>
      <w:r>
        <w:rPr>
          <w:rFonts w:hint="eastAsia" w:ascii="宋体" w:hAnsi="宋体" w:cs="宋体"/>
          <w:color w:val="auto"/>
          <w:kern w:val="0"/>
          <w:sz w:val="18"/>
          <w:szCs w:val="18"/>
          <w:lang w:eastAsia="zh-CN"/>
        </w:rPr>
        <w:t>企业法人单位，</w:t>
      </w:r>
      <w:r>
        <w:rPr>
          <w:rFonts w:hint="eastAsia" w:ascii="宋体" w:hAnsi="宋体" w:eastAsia="宋体" w:cs="宋体"/>
          <w:color w:val="auto"/>
          <w:kern w:val="0"/>
          <w:sz w:val="18"/>
          <w:szCs w:val="18"/>
        </w:rPr>
        <w:t>国家重点实验室所在企业</w:t>
      </w:r>
      <w:r>
        <w:rPr>
          <w:rFonts w:hint="eastAsia" w:ascii="宋体" w:hAnsi="宋体" w:eastAsia="宋体" w:cs="宋体"/>
          <w:color w:val="auto"/>
          <w:kern w:val="0"/>
          <w:sz w:val="18"/>
          <w:szCs w:val="18"/>
          <w:lang w:eastAsia="zh-CN"/>
        </w:rPr>
        <w:t>法人单位和</w:t>
      </w:r>
      <w:r>
        <w:rPr>
          <w:rFonts w:hint="eastAsia" w:ascii="宋体" w:hAnsi="宋体" w:eastAsia="宋体" w:cs="宋体"/>
          <w:color w:val="auto"/>
          <w:kern w:val="0"/>
          <w:sz w:val="18"/>
          <w:szCs w:val="18"/>
        </w:rPr>
        <w:t>部分行业龙头企业</w:t>
      </w:r>
      <w:r>
        <w:rPr>
          <w:rFonts w:hint="eastAsia" w:ascii="宋体" w:hAnsi="宋体" w:eastAsia="宋体" w:cs="宋体"/>
          <w:color w:val="auto"/>
          <w:kern w:val="0"/>
          <w:sz w:val="18"/>
          <w:szCs w:val="18"/>
          <w:lang w:eastAsia="zh-CN"/>
        </w:rPr>
        <w:t>法人单位</w:t>
      </w:r>
      <w:r>
        <w:rPr>
          <w:rFonts w:hint="eastAsia" w:ascii="宋体" w:hAnsi="宋体" w:eastAsia="宋体" w:cs="宋体"/>
          <w:color w:val="auto"/>
          <w:kern w:val="0"/>
          <w:sz w:val="18"/>
          <w:szCs w:val="18"/>
        </w:rPr>
        <w:t>填报</w:t>
      </w:r>
      <w:r>
        <w:rPr>
          <w:rFonts w:hint="eastAsia" w:ascii="宋体" w:hAnsi="宋体" w:eastAsia="宋体" w:cs="宋体"/>
          <w:color w:val="auto"/>
          <w:kern w:val="0"/>
          <w:sz w:val="18"/>
          <w:szCs w:val="18"/>
          <w:lang w:eastAsia="zh-CN"/>
        </w:rPr>
        <w:t>。</w:t>
      </w:r>
    </w:p>
    <w:p>
      <w:pPr>
        <w:keepNext w:val="0"/>
        <w:keepLines w:val="0"/>
        <w:pageBreakBefore w:val="0"/>
        <w:widowControl w:val="0"/>
        <w:kinsoku/>
        <w:wordWrap/>
        <w:overflowPunct/>
        <w:topLinePunct w:val="0"/>
        <w:autoSpaceDE/>
        <w:autoSpaceDN/>
        <w:bidi w:val="0"/>
        <w:adjustRightInd/>
        <w:snapToGrid/>
        <w:spacing w:line="240" w:lineRule="exact"/>
        <w:ind w:left="2161" w:leftChars="258" w:hanging="1620" w:hangingChars="90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lang w:val="en-US" w:eastAsia="zh-CN"/>
        </w:rPr>
        <w:t>5.</w:t>
      </w:r>
      <w:r>
        <w:rPr>
          <w:rFonts w:hint="eastAsia" w:asciiTheme="minorEastAsia" w:hAnsiTheme="minorEastAsia" w:eastAsiaTheme="minorEastAsia" w:cstheme="minorEastAsia"/>
          <w:kern w:val="0"/>
          <w:sz w:val="18"/>
          <w:szCs w:val="18"/>
        </w:rPr>
        <w:t>审核关系：</w:t>
      </w:r>
    </w:p>
    <w:p>
      <w:pPr>
        <w:spacing w:line="300" w:lineRule="exact"/>
        <w:ind w:left="735" w:leftChars="350"/>
        <w:jc w:val="left"/>
        <w:rPr>
          <w:rFonts w:ascii="宋体" w:cs="宋体"/>
          <w:color w:val="auto"/>
          <w:sz w:val="18"/>
          <w:szCs w:val="18"/>
        </w:rPr>
      </w:pPr>
      <w:r>
        <w:rPr>
          <w:rFonts w:hint="eastAsia" w:ascii="宋体" w:hAnsi="宋体" w:cs="宋体"/>
          <w:color w:val="auto"/>
          <w:kern w:val="0"/>
          <w:sz w:val="18"/>
          <w:szCs w:val="18"/>
        </w:rPr>
        <w:t>表内审核：</w:t>
      </w:r>
    </w:p>
    <w:p>
      <w:pPr>
        <w:spacing w:line="300" w:lineRule="exact"/>
        <w:ind w:left="840" w:leftChars="400"/>
        <w:jc w:val="left"/>
        <w:rPr>
          <w:rFonts w:ascii="宋体" w:cs="宋体"/>
          <w:color w:val="auto"/>
          <w:sz w:val="18"/>
          <w:szCs w:val="18"/>
        </w:rPr>
      </w:pPr>
      <w:r>
        <w:rPr>
          <w:rFonts w:hint="eastAsia" w:ascii="宋体" w:hAnsi="宋体" w:cs="宋体"/>
          <w:color w:val="auto"/>
          <w:kern w:val="0"/>
          <w:sz w:val="18"/>
          <w:szCs w:val="18"/>
        </w:rPr>
        <w:t>(1)若</w:t>
      </w:r>
      <w:r>
        <w:rPr>
          <w:rFonts w:ascii="宋体" w:hAnsi="宋体" w:cs="宋体"/>
          <w:color w:val="auto"/>
          <w:kern w:val="0"/>
          <w:sz w:val="18"/>
          <w:szCs w:val="18"/>
        </w:rPr>
        <w:t>6</w:t>
      </w:r>
      <w:r>
        <w:rPr>
          <w:rFonts w:hint="eastAsia" w:ascii="宋体" w:hAnsi="宋体" w:cs="宋体"/>
          <w:color w:val="auto"/>
          <w:kern w:val="0"/>
          <w:sz w:val="18"/>
          <w:szCs w:val="18"/>
        </w:rPr>
        <w:t>≠000000，则5≤6且5≤20</w:t>
      </w:r>
      <w:r>
        <w:rPr>
          <w:rFonts w:hint="eastAsia" w:ascii="宋体" w:hAnsi="宋体" w:cs="宋体"/>
          <w:color w:val="auto"/>
          <w:kern w:val="0"/>
          <w:sz w:val="18"/>
          <w:szCs w:val="18"/>
          <w:lang w:val="en-US" w:eastAsia="zh-CN"/>
        </w:rPr>
        <w:t>25</w:t>
      </w:r>
      <w:r>
        <w:rPr>
          <w:rFonts w:hint="eastAsia" w:ascii="宋体" w:hAnsi="宋体" w:cs="宋体"/>
          <w:color w:val="auto"/>
          <w:kern w:val="0"/>
          <w:sz w:val="18"/>
          <w:szCs w:val="18"/>
        </w:rPr>
        <w:t>12且6≥20</w:t>
      </w:r>
      <w:r>
        <w:rPr>
          <w:rFonts w:hint="eastAsia" w:ascii="宋体" w:hAnsi="宋体" w:cs="宋体"/>
          <w:color w:val="auto"/>
          <w:kern w:val="0"/>
          <w:sz w:val="18"/>
          <w:szCs w:val="18"/>
          <w:lang w:val="en-US" w:eastAsia="zh-CN"/>
        </w:rPr>
        <w:t>25</w:t>
      </w:r>
      <w:r>
        <w:rPr>
          <w:rFonts w:hint="eastAsia" w:ascii="宋体" w:hAnsi="宋体" w:cs="宋体"/>
          <w:color w:val="auto"/>
          <w:kern w:val="0"/>
          <w:sz w:val="18"/>
          <w:szCs w:val="18"/>
        </w:rPr>
        <w:t xml:space="preserve">01 </w:t>
      </w:r>
    </w:p>
    <w:p>
      <w:pPr>
        <w:spacing w:line="300" w:lineRule="exact"/>
        <w:ind w:left="840" w:leftChars="400"/>
        <w:jc w:val="left"/>
        <w:rPr>
          <w:rFonts w:ascii="宋体" w:cs="宋体"/>
          <w:color w:val="auto"/>
          <w:sz w:val="18"/>
          <w:szCs w:val="18"/>
        </w:rPr>
      </w:pPr>
      <w:r>
        <w:rPr>
          <w:rFonts w:hint="eastAsia" w:ascii="宋体" w:hAnsi="宋体" w:cs="宋体"/>
          <w:color w:val="auto"/>
          <w:kern w:val="0"/>
          <w:sz w:val="18"/>
          <w:szCs w:val="18"/>
        </w:rPr>
        <w:t>(2)若</w:t>
      </w:r>
      <w:r>
        <w:rPr>
          <w:rFonts w:ascii="宋体" w:hAnsi="宋体" w:cs="宋体"/>
          <w:color w:val="auto"/>
          <w:kern w:val="0"/>
          <w:sz w:val="18"/>
          <w:szCs w:val="18"/>
        </w:rPr>
        <w:t>5</w:t>
      </w:r>
      <w:r>
        <w:rPr>
          <w:rFonts w:hint="eastAsia" w:ascii="宋体" w:hAnsi="宋体" w:cs="宋体"/>
          <w:color w:val="auto"/>
          <w:kern w:val="0"/>
          <w:sz w:val="18"/>
          <w:szCs w:val="18"/>
        </w:rPr>
        <w:t>≤20</w:t>
      </w:r>
      <w:r>
        <w:rPr>
          <w:rFonts w:hint="eastAsia" w:ascii="宋体" w:hAnsi="宋体" w:cs="宋体"/>
          <w:color w:val="auto"/>
          <w:kern w:val="0"/>
          <w:sz w:val="18"/>
          <w:szCs w:val="18"/>
          <w:lang w:val="en-US" w:eastAsia="zh-CN"/>
        </w:rPr>
        <w:t>24</w:t>
      </w:r>
      <w:r>
        <w:rPr>
          <w:rFonts w:hint="eastAsia" w:ascii="宋体" w:hAnsi="宋体" w:cs="宋体"/>
          <w:color w:val="auto"/>
          <w:kern w:val="0"/>
          <w:sz w:val="18"/>
          <w:szCs w:val="18"/>
        </w:rPr>
        <w:t>12或6≥20</w:t>
      </w:r>
      <w:r>
        <w:rPr>
          <w:rFonts w:hint="eastAsia" w:ascii="宋体" w:hAnsi="宋体" w:cs="宋体"/>
          <w:color w:val="auto"/>
          <w:kern w:val="0"/>
          <w:sz w:val="18"/>
          <w:szCs w:val="18"/>
          <w:lang w:val="en-US" w:eastAsia="zh-CN"/>
        </w:rPr>
        <w:t>26</w:t>
      </w:r>
      <w:r>
        <w:rPr>
          <w:rFonts w:hint="eastAsia" w:ascii="宋体" w:hAnsi="宋体" w:cs="宋体"/>
          <w:color w:val="auto"/>
          <w:kern w:val="0"/>
          <w:sz w:val="18"/>
          <w:szCs w:val="18"/>
        </w:rPr>
        <w:t>01，则第7项的有效代码为1、2、3或4</w:t>
      </w:r>
      <w:r>
        <w:rPr>
          <w:rFonts w:ascii="宋体" w:hAnsi="宋体" w:cs="宋体"/>
          <w:color w:val="auto"/>
          <w:sz w:val="18"/>
          <w:szCs w:val="18"/>
        </w:rPr>
        <w:t xml:space="preserve"> </w:t>
      </w:r>
    </w:p>
    <w:p>
      <w:pPr>
        <w:spacing w:line="300" w:lineRule="exact"/>
        <w:ind w:left="840" w:leftChars="400"/>
        <w:jc w:val="left"/>
        <w:rPr>
          <w:rFonts w:ascii="宋体" w:hAnsi="宋体" w:cs="宋体"/>
          <w:color w:val="auto"/>
          <w:kern w:val="0"/>
          <w:sz w:val="18"/>
          <w:szCs w:val="18"/>
        </w:rPr>
      </w:pPr>
      <w:r>
        <w:rPr>
          <w:rFonts w:hint="eastAsia" w:ascii="宋体" w:hAnsi="宋体" w:cs="宋体"/>
          <w:color w:val="auto"/>
          <w:kern w:val="0"/>
          <w:sz w:val="18"/>
          <w:szCs w:val="18"/>
        </w:rPr>
        <w:t>(3)</w:t>
      </w:r>
      <w:r>
        <w:rPr>
          <w:rFonts w:ascii="宋体" w:hAnsi="宋体" w:cs="宋体"/>
          <w:color w:val="auto"/>
          <w:kern w:val="0"/>
          <w:sz w:val="18"/>
          <w:szCs w:val="18"/>
        </w:rPr>
        <w:t>8</w:t>
      </w:r>
      <w:r>
        <w:rPr>
          <w:rFonts w:hint="eastAsia" w:ascii="宋体" w:hAnsi="宋体" w:cs="宋体"/>
          <w:color w:val="auto"/>
          <w:kern w:val="0"/>
          <w:sz w:val="18"/>
          <w:szCs w:val="18"/>
        </w:rPr>
        <w:t>&gt;0     (4)</w:t>
      </w:r>
      <w:r>
        <w:rPr>
          <w:rFonts w:ascii="宋体" w:hAnsi="宋体" w:cs="宋体"/>
          <w:color w:val="auto"/>
          <w:kern w:val="0"/>
          <w:sz w:val="18"/>
          <w:szCs w:val="18"/>
        </w:rPr>
        <w:t>9</w:t>
      </w:r>
      <w:r>
        <w:rPr>
          <w:rFonts w:hint="eastAsia" w:ascii="宋体" w:hAnsi="宋体" w:cs="宋体"/>
          <w:color w:val="auto"/>
          <w:kern w:val="0"/>
          <w:sz w:val="18"/>
          <w:szCs w:val="18"/>
        </w:rPr>
        <w:t>&gt;0     （5）10&gt;0     (</w:t>
      </w:r>
      <w:r>
        <w:rPr>
          <w:rFonts w:ascii="宋体" w:hAnsi="宋体" w:cs="宋体"/>
          <w:color w:val="auto"/>
          <w:kern w:val="0"/>
          <w:sz w:val="18"/>
          <w:szCs w:val="18"/>
        </w:rPr>
        <w:t>6</w:t>
      </w:r>
      <w:r>
        <w:rPr>
          <w:rFonts w:hint="eastAsia" w:ascii="宋体" w:hAnsi="宋体" w:cs="宋体"/>
          <w:color w:val="auto"/>
          <w:kern w:val="0"/>
          <w:sz w:val="18"/>
          <w:szCs w:val="18"/>
        </w:rPr>
        <w:t>)</w:t>
      </w:r>
      <w:r>
        <w:rPr>
          <w:rFonts w:ascii="宋体" w:hAnsi="宋体" w:cs="宋体"/>
          <w:color w:val="auto"/>
          <w:kern w:val="0"/>
          <w:sz w:val="18"/>
          <w:szCs w:val="18"/>
        </w:rPr>
        <w:t>10</w:t>
      </w:r>
      <w:r>
        <w:rPr>
          <w:rFonts w:hint="eastAsia" w:ascii="宋体" w:hAnsi="宋体" w:cs="宋体"/>
          <w:color w:val="auto"/>
          <w:kern w:val="0"/>
          <w:sz w:val="18"/>
          <w:szCs w:val="18"/>
        </w:rPr>
        <w:t>≥</w:t>
      </w:r>
      <w:r>
        <w:rPr>
          <w:rFonts w:ascii="宋体" w:hAnsi="宋体" w:cs="宋体"/>
          <w:color w:val="auto"/>
          <w:kern w:val="0"/>
          <w:sz w:val="18"/>
          <w:szCs w:val="18"/>
        </w:rPr>
        <w:t xml:space="preserve">11 </w:t>
      </w:r>
    </w:p>
    <w:p>
      <w:pPr>
        <w:spacing w:line="300" w:lineRule="exact"/>
        <w:ind w:left="840" w:leftChars="400"/>
        <w:jc w:val="left"/>
        <w:rPr>
          <w:rFonts w:hint="eastAsia" w:ascii="宋体" w:cs="宋体"/>
          <w:color w:val="auto"/>
          <w:sz w:val="18"/>
          <w:szCs w:val="18"/>
        </w:rPr>
      </w:pPr>
      <w:r>
        <w:rPr>
          <w:rFonts w:hint="eastAsia" w:ascii="宋体" w:hAnsi="宋体" w:cs="宋体"/>
          <w:color w:val="auto"/>
          <w:kern w:val="0"/>
          <w:sz w:val="18"/>
          <w:szCs w:val="18"/>
        </w:rPr>
        <w:t>(</w:t>
      </w:r>
      <w:r>
        <w:rPr>
          <w:rFonts w:ascii="宋体" w:hAnsi="宋体" w:cs="宋体"/>
          <w:color w:val="auto"/>
          <w:kern w:val="0"/>
          <w:sz w:val="18"/>
          <w:szCs w:val="18"/>
        </w:rPr>
        <w:t>7</w:t>
      </w:r>
      <w:r>
        <w:rPr>
          <w:rFonts w:hint="eastAsia" w:ascii="宋体" w:hAnsi="宋体" w:cs="宋体"/>
          <w:color w:val="auto"/>
          <w:kern w:val="0"/>
          <w:sz w:val="18"/>
          <w:szCs w:val="18"/>
        </w:rPr>
        <w:t>)</w:t>
      </w:r>
      <w:r>
        <w:rPr>
          <w:rFonts w:hint="eastAsia" w:ascii="宋体" w:cs="宋体"/>
          <w:color w:val="auto"/>
          <w:sz w:val="18"/>
          <w:szCs w:val="18"/>
        </w:rPr>
        <w:t>若第</w:t>
      </w:r>
      <w:r>
        <w:rPr>
          <w:rFonts w:ascii="宋体" w:cs="宋体"/>
          <w:color w:val="auto"/>
          <w:sz w:val="18"/>
          <w:szCs w:val="18"/>
        </w:rPr>
        <w:t>2</w:t>
      </w:r>
      <w:r>
        <w:rPr>
          <w:rFonts w:hint="eastAsia" w:ascii="宋体" w:cs="宋体"/>
          <w:color w:val="auto"/>
          <w:sz w:val="18"/>
          <w:szCs w:val="18"/>
        </w:rPr>
        <w:t>项</w:t>
      </w:r>
      <w:r>
        <w:rPr>
          <w:rFonts w:ascii="宋体" w:cs="宋体"/>
          <w:color w:val="auto"/>
          <w:sz w:val="18"/>
          <w:szCs w:val="18"/>
        </w:rPr>
        <w:t>的有效代码为30</w:t>
      </w:r>
      <w:r>
        <w:rPr>
          <w:rFonts w:hint="eastAsia" w:ascii="宋体" w:cs="宋体"/>
          <w:color w:val="auto"/>
          <w:sz w:val="18"/>
          <w:szCs w:val="18"/>
        </w:rPr>
        <w:t>，</w:t>
      </w:r>
      <w:r>
        <w:rPr>
          <w:rFonts w:ascii="宋体" w:cs="宋体"/>
          <w:color w:val="auto"/>
          <w:sz w:val="18"/>
          <w:szCs w:val="18"/>
        </w:rPr>
        <w:t>则</w:t>
      </w:r>
      <w:r>
        <w:rPr>
          <w:rFonts w:hint="eastAsia" w:ascii="宋体" w:cs="宋体"/>
          <w:color w:val="auto"/>
          <w:sz w:val="18"/>
          <w:szCs w:val="18"/>
        </w:rPr>
        <w:t>第7、</w:t>
      </w:r>
      <w:r>
        <w:rPr>
          <w:rFonts w:ascii="宋体" w:cs="宋体"/>
          <w:color w:val="auto"/>
          <w:sz w:val="18"/>
          <w:szCs w:val="18"/>
        </w:rPr>
        <w:t>8</w:t>
      </w:r>
      <w:r>
        <w:rPr>
          <w:rFonts w:hint="eastAsia" w:ascii="宋体" w:cs="宋体"/>
          <w:color w:val="auto"/>
          <w:sz w:val="18"/>
          <w:szCs w:val="18"/>
        </w:rPr>
        <w:t>和9项</w:t>
      </w:r>
      <w:r>
        <w:rPr>
          <w:rFonts w:ascii="宋体" w:cs="宋体"/>
          <w:color w:val="auto"/>
          <w:sz w:val="18"/>
          <w:szCs w:val="18"/>
        </w:rPr>
        <w:t>免填</w:t>
      </w:r>
      <w:r>
        <w:rPr>
          <w:rFonts w:hint="eastAsia" w:ascii="宋体" w:cs="宋体"/>
          <w:color w:val="auto"/>
          <w:sz w:val="18"/>
          <w:szCs w:val="18"/>
        </w:rPr>
        <w:t>。</w:t>
      </w:r>
    </w:p>
    <w:p>
      <w:pPr>
        <w:spacing w:line="300" w:lineRule="exact"/>
        <w:ind w:left="840" w:leftChars="400"/>
        <w:jc w:val="left"/>
        <w:rPr>
          <w:rFonts w:hint="default" w:ascii="宋体" w:eastAsia="宋体" w:cs="宋体"/>
          <w:color w:val="auto"/>
          <w:sz w:val="18"/>
          <w:szCs w:val="18"/>
          <w:lang w:val="en-US" w:eastAsia="zh-CN"/>
        </w:rPr>
      </w:pPr>
      <w:r>
        <w:rPr>
          <w:rFonts w:hint="eastAsia" w:ascii="宋体" w:cs="宋体"/>
          <w:color w:val="auto"/>
          <w:sz w:val="18"/>
          <w:szCs w:val="18"/>
          <w:lang w:val="en-US" w:eastAsia="zh-CN"/>
        </w:rPr>
        <w:t>(8)</w:t>
      </w:r>
      <w:r>
        <w:rPr>
          <w:rFonts w:ascii="宋体" w:hAnsi="宋体" w:cs="宋体"/>
          <w:color w:val="auto"/>
          <w:kern w:val="0"/>
          <w:sz w:val="18"/>
          <w:szCs w:val="18"/>
        </w:rPr>
        <w:t>10</w:t>
      </w:r>
      <w:r>
        <w:rPr>
          <w:rFonts w:hint="eastAsia" w:ascii="宋体" w:hAnsi="宋体" w:cs="宋体"/>
          <w:color w:val="auto"/>
          <w:kern w:val="0"/>
          <w:sz w:val="18"/>
          <w:szCs w:val="18"/>
        </w:rPr>
        <w:t>≥</w:t>
      </w:r>
      <w:r>
        <w:rPr>
          <w:rFonts w:ascii="宋体" w:hAnsi="宋体" w:cs="宋体"/>
          <w:color w:val="auto"/>
          <w:kern w:val="0"/>
          <w:sz w:val="18"/>
          <w:szCs w:val="18"/>
        </w:rPr>
        <w:t>1</w:t>
      </w:r>
      <w:r>
        <w:rPr>
          <w:rFonts w:hint="default" w:ascii="宋体" w:hAnsi="宋体" w:cs="宋体"/>
          <w:color w:val="auto"/>
          <w:kern w:val="0"/>
          <w:sz w:val="18"/>
          <w:szCs w:val="18"/>
          <w:lang w:val="en"/>
        </w:rPr>
        <w:t>2</w:t>
      </w:r>
      <w:r>
        <w:rPr>
          <w:rFonts w:hint="eastAsia" w:ascii="宋体" w:hAnsi="宋体" w:cs="宋体"/>
          <w:color w:val="auto"/>
          <w:kern w:val="0"/>
          <w:sz w:val="18"/>
          <w:szCs w:val="18"/>
          <w:lang w:val="en-US" w:eastAsia="zh-CN"/>
        </w:rPr>
        <w:t xml:space="preserve">  (9)12</w:t>
      </w:r>
      <w:r>
        <w:rPr>
          <w:rFonts w:hint="eastAsia" w:ascii="宋体" w:hAnsi="宋体" w:cs="宋体"/>
          <w:color w:val="auto"/>
          <w:kern w:val="0"/>
          <w:sz w:val="18"/>
          <w:szCs w:val="18"/>
        </w:rPr>
        <w:t>≥</w:t>
      </w:r>
      <w:r>
        <w:rPr>
          <w:rFonts w:hint="eastAsia" w:ascii="宋体" w:hAnsi="宋体" w:cs="宋体"/>
          <w:color w:val="auto"/>
          <w:kern w:val="0"/>
          <w:sz w:val="18"/>
          <w:szCs w:val="18"/>
          <w:lang w:val="en-US" w:eastAsia="zh-CN"/>
        </w:rPr>
        <w:t>13+14</w:t>
      </w:r>
    </w:p>
    <w:p>
      <w:pPr>
        <w:spacing w:line="300" w:lineRule="exact"/>
        <w:ind w:left="735" w:leftChars="350"/>
        <w:jc w:val="left"/>
        <w:rPr>
          <w:rFonts w:ascii="宋体" w:cs="宋体"/>
          <w:color w:val="auto"/>
          <w:sz w:val="18"/>
          <w:szCs w:val="18"/>
        </w:rPr>
      </w:pPr>
      <w:r>
        <w:rPr>
          <w:rFonts w:hint="eastAsia" w:ascii="宋体" w:hAnsi="宋体" w:cs="宋体"/>
          <w:color w:val="auto"/>
          <w:kern w:val="0"/>
          <w:sz w:val="18"/>
          <w:szCs w:val="18"/>
        </w:rPr>
        <w:t>表间审核：</w:t>
      </w:r>
    </w:p>
    <w:p>
      <w:pPr>
        <w:spacing w:line="300" w:lineRule="exact"/>
        <w:ind w:left="840" w:leftChars="400"/>
        <w:jc w:val="left"/>
        <w:rPr>
          <w:rFonts w:hint="eastAsia" w:ascii="宋体" w:hAnsi="宋体" w:cs="宋体"/>
          <w:color w:val="auto"/>
          <w:kern w:val="0"/>
          <w:sz w:val="18"/>
          <w:szCs w:val="18"/>
        </w:rPr>
      </w:pPr>
      <w:r>
        <w:rPr>
          <w:rFonts w:hint="eastAsia" w:ascii="宋体" w:hAnsi="宋体" w:cs="宋体"/>
          <w:color w:val="auto"/>
          <w:kern w:val="0"/>
          <w:sz w:val="18"/>
          <w:szCs w:val="18"/>
        </w:rPr>
        <w:t>(</w:t>
      </w:r>
      <w:r>
        <w:rPr>
          <w:rFonts w:ascii="宋体" w:hAnsi="宋体" w:cs="宋体"/>
          <w:color w:val="auto"/>
          <w:kern w:val="0"/>
          <w:sz w:val="18"/>
          <w:szCs w:val="18"/>
        </w:rPr>
        <w:t>1</w:t>
      </w:r>
      <w:r>
        <w:rPr>
          <w:rFonts w:hint="eastAsia" w:ascii="宋体" w:hAnsi="宋体" w:cs="宋体"/>
          <w:color w:val="auto"/>
          <w:kern w:val="0"/>
          <w:sz w:val="18"/>
          <w:szCs w:val="18"/>
        </w:rPr>
        <w:t>)</w:t>
      </w:r>
      <w:r>
        <w:rPr>
          <w:rFonts w:ascii="宋体" w:hAnsi="宋体" w:cs="宋体"/>
          <w:color w:val="auto"/>
          <w:kern w:val="0"/>
          <w:sz w:val="18"/>
          <w:szCs w:val="18"/>
        </w:rPr>
        <w:t>1</w:t>
      </w:r>
      <w:r>
        <w:rPr>
          <w:rFonts w:hint="eastAsia" w:ascii="宋体" w:hAnsi="宋体" w:cs="宋体"/>
          <w:color w:val="auto"/>
          <w:kern w:val="0"/>
          <w:sz w:val="18"/>
          <w:szCs w:val="18"/>
        </w:rPr>
        <w:t>07-1表∑(9)≤</w:t>
      </w:r>
      <w:r>
        <w:rPr>
          <w:rFonts w:ascii="宋体" w:hAnsi="宋体" w:cs="宋体"/>
          <w:color w:val="auto"/>
          <w:kern w:val="0"/>
          <w:sz w:val="18"/>
          <w:szCs w:val="18"/>
        </w:rPr>
        <w:t>1</w:t>
      </w:r>
      <w:r>
        <w:rPr>
          <w:rFonts w:hint="eastAsia" w:ascii="宋体" w:hAnsi="宋体" w:cs="宋体"/>
          <w:color w:val="auto"/>
          <w:kern w:val="0"/>
          <w:sz w:val="18"/>
          <w:szCs w:val="18"/>
        </w:rPr>
        <w:t xml:space="preserve">07-2表(1)*12 </w:t>
      </w:r>
    </w:p>
    <w:p>
      <w:pPr>
        <w:spacing w:line="300" w:lineRule="exact"/>
        <w:ind w:left="840" w:leftChars="400"/>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(2)107-1表∑(10)≤107-2表(7)</w:t>
      </w:r>
    </w:p>
    <w:p>
      <w:pPr>
        <w:pStyle w:val="2"/>
        <w:rPr>
          <w:rFonts w:hint="eastAsia" w:ascii="宋体" w:hAnsi="宋体" w:eastAsia="宋体" w:cs="宋体"/>
          <w:color w:val="auto"/>
          <w:kern w:val="0"/>
          <w:sz w:val="18"/>
          <w:szCs w:val="18"/>
        </w:rPr>
      </w:pPr>
    </w:p>
    <w:p>
      <w:pPr>
        <w:rPr>
          <w:rFonts w:hint="eastAsia" w:ascii="宋体" w:hAnsi="宋体" w:eastAsia="宋体" w:cs="宋体"/>
          <w:color w:val="auto"/>
          <w:kern w:val="0"/>
          <w:sz w:val="18"/>
          <w:szCs w:val="18"/>
        </w:rPr>
      </w:pPr>
    </w:p>
    <w:p>
      <w:pPr>
        <w:pStyle w:val="2"/>
        <w:rPr>
          <w:rFonts w:hint="eastAsia"/>
        </w:rPr>
      </w:pPr>
    </w:p>
    <w:p>
      <w:pPr>
        <w:outlineLvl w:val="9"/>
      </w:pPr>
    </w:p>
    <w:p>
      <w:pPr>
        <w:pStyle w:val="2"/>
      </w:pPr>
    </w:p>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48" w:name="_Toc1837454270"/>
      <w:bookmarkStart w:id="49" w:name="_Toc797193337"/>
      <w:bookmarkStart w:id="50" w:name="_Toc1783070807"/>
      <w:bookmarkStart w:id="51" w:name="_Toc254617231"/>
      <w:r>
        <w:rPr>
          <w:rFonts w:hint="eastAsia" w:ascii="宋体" w:hAnsi="宋体" w:eastAsia="宋体" w:cs="宋体"/>
          <w:b/>
          <w:bCs/>
          <w:sz w:val="32"/>
          <w:szCs w:val="32"/>
        </w:rPr>
        <w:t>企业研究开发活动及相关情况</w:t>
      </w:r>
      <w:bookmarkEnd w:id="48"/>
      <w:bookmarkEnd w:id="49"/>
      <w:bookmarkEnd w:id="50"/>
      <w:bookmarkEnd w:id="51"/>
    </w:p>
    <w:tbl>
      <w:tblPr>
        <w:tblStyle w:val="17"/>
        <w:tblW w:w="9771" w:type="dxa"/>
        <w:jc w:val="center"/>
        <w:tblLayout w:type="fixed"/>
        <w:tblCellMar>
          <w:top w:w="0" w:type="dxa"/>
          <w:left w:w="108" w:type="dxa"/>
          <w:bottom w:w="0" w:type="dxa"/>
          <w:right w:w="108" w:type="dxa"/>
        </w:tblCellMar>
      </w:tblPr>
      <w:tblGrid>
        <w:gridCol w:w="3118"/>
        <w:gridCol w:w="510"/>
        <w:gridCol w:w="199"/>
        <w:gridCol w:w="422"/>
        <w:gridCol w:w="566"/>
        <w:gridCol w:w="400"/>
        <w:gridCol w:w="850"/>
        <w:gridCol w:w="1"/>
        <w:gridCol w:w="1"/>
        <w:gridCol w:w="1557"/>
        <w:gridCol w:w="9"/>
        <w:gridCol w:w="1"/>
        <w:gridCol w:w="444"/>
        <w:gridCol w:w="707"/>
        <w:gridCol w:w="422"/>
        <w:gridCol w:w="420"/>
        <w:gridCol w:w="5"/>
        <w:gridCol w:w="2"/>
        <w:gridCol w:w="1"/>
        <w:gridCol w:w="136"/>
      </w:tblGrid>
      <w:tr>
        <w:tblPrEx>
          <w:tblCellMar>
            <w:top w:w="0" w:type="dxa"/>
            <w:left w:w="108" w:type="dxa"/>
            <w:bottom w:w="0" w:type="dxa"/>
            <w:right w:w="108" w:type="dxa"/>
          </w:tblCellMar>
        </w:tblPrEx>
        <w:trPr>
          <w:gridAfter w:val="1"/>
          <w:wAfter w:w="67" w:type="pct"/>
          <w:trHeight w:val="227" w:hRule="atLeast"/>
          <w:jc w:val="center"/>
        </w:trPr>
        <w:tc>
          <w:tcPr>
            <w:tcW w:w="3105" w:type="pct"/>
            <w:gridSpan w:val="9"/>
            <w:noWrap w:val="0"/>
            <w:vAlign w:val="center"/>
          </w:tcPr>
          <w:p>
            <w:pPr>
              <w:widowControl/>
              <w:spacing w:line="200" w:lineRule="exact"/>
              <w:jc w:val="center"/>
              <w:rPr>
                <w:rFonts w:eastAsia="Times New Roman"/>
                <w:kern w:val="0"/>
                <w:sz w:val="20"/>
                <w:szCs w:val="20"/>
                <w:highlight w:val="none"/>
              </w:rPr>
            </w:pPr>
          </w:p>
        </w:tc>
        <w:tc>
          <w:tcPr>
            <w:tcW w:w="802" w:type="pct"/>
            <w:gridSpan w:val="3"/>
            <w:noWrap w:val="0"/>
            <w:vAlign w:val="center"/>
          </w:tcPr>
          <w:p>
            <w:pPr>
              <w:widowControl/>
              <w:spacing w:line="200" w:lineRule="exact"/>
              <w:ind w:right="-210" w:rightChars="-100"/>
              <w:jc w:val="right"/>
              <w:rPr>
                <w:rFonts w:ascii="宋体" w:hAnsi="宋体" w:cs="宋体"/>
                <w:kern w:val="0"/>
                <w:sz w:val="18"/>
                <w:szCs w:val="18"/>
                <w:highlight w:val="none"/>
              </w:rPr>
            </w:pPr>
            <w:r>
              <w:rPr>
                <w:rFonts w:hint="eastAsia" w:ascii="宋体" w:hAnsi="宋体" w:cs="宋体"/>
                <w:kern w:val="0"/>
                <w:sz w:val="18"/>
                <w:szCs w:val="18"/>
                <w:highlight w:val="none"/>
              </w:rPr>
              <w:t>表    号：</w:t>
            </w:r>
          </w:p>
        </w:tc>
        <w:tc>
          <w:tcPr>
            <w:tcW w:w="1024" w:type="pct"/>
            <w:gridSpan w:val="7"/>
            <w:noWrap w:val="0"/>
            <w:vAlign w:val="center"/>
          </w:tcPr>
          <w:p>
            <w:pPr>
              <w:spacing w:line="200" w:lineRule="exact"/>
              <w:jc w:val="distribute"/>
              <w:rPr>
                <w:rFonts w:ascii="宋体" w:hAnsi="宋体"/>
                <w:sz w:val="18"/>
                <w:szCs w:val="18"/>
                <w:highlight w:val="none"/>
              </w:rPr>
            </w:pPr>
            <w:r>
              <w:rPr>
                <w:rFonts w:hint="eastAsia" w:ascii="宋体" w:hAnsi="宋体"/>
                <w:sz w:val="18"/>
                <w:szCs w:val="18"/>
                <w:highlight w:val="none"/>
              </w:rPr>
              <w:t>１</w:t>
            </w:r>
            <w:r>
              <w:rPr>
                <w:rFonts w:ascii="宋体" w:hAnsi="宋体"/>
                <w:sz w:val="18"/>
                <w:szCs w:val="18"/>
                <w:highlight w:val="none"/>
              </w:rPr>
              <w:t>０７</w:t>
            </w:r>
            <w:r>
              <w:rPr>
                <w:rFonts w:hint="eastAsia" w:ascii="宋体" w:hAnsi="宋体"/>
                <w:sz w:val="18"/>
                <w:szCs w:val="18"/>
                <w:highlight w:val="none"/>
              </w:rPr>
              <w:t>-</w:t>
            </w:r>
            <w:r>
              <w:rPr>
                <w:rFonts w:hint="eastAsia" w:ascii="宋体" w:hAnsi="宋体" w:cs="宋体"/>
                <w:kern w:val="0"/>
                <w:sz w:val="18"/>
                <w:szCs w:val="18"/>
                <w:highlight w:val="none"/>
              </w:rPr>
              <w:t>２</w:t>
            </w:r>
            <w:r>
              <w:rPr>
                <w:rFonts w:hint="eastAsia" w:ascii="宋体" w:hAnsi="宋体"/>
                <w:sz w:val="18"/>
                <w:szCs w:val="18"/>
                <w:highlight w:val="none"/>
              </w:rPr>
              <w:t>表</w:t>
            </w:r>
          </w:p>
        </w:tc>
      </w:tr>
      <w:tr>
        <w:tblPrEx>
          <w:tblCellMar>
            <w:top w:w="0" w:type="dxa"/>
            <w:left w:w="108" w:type="dxa"/>
            <w:bottom w:w="0" w:type="dxa"/>
            <w:right w:w="108" w:type="dxa"/>
          </w:tblCellMar>
        </w:tblPrEx>
        <w:trPr>
          <w:gridAfter w:val="3"/>
          <w:wAfter w:w="67" w:type="pct"/>
          <w:trHeight w:val="227" w:hRule="atLeast"/>
          <w:jc w:val="center"/>
        </w:trPr>
        <w:tc>
          <w:tcPr>
            <w:tcW w:w="2669" w:type="pct"/>
            <w:gridSpan w:val="6"/>
            <w:noWrap w:val="0"/>
            <w:vAlign w:val="bottom"/>
          </w:tcPr>
          <w:p>
            <w:pPr>
              <w:widowControl/>
              <w:spacing w:line="200" w:lineRule="exact"/>
              <w:rPr>
                <w:rFonts w:eastAsia="Times New Roman"/>
                <w:kern w:val="0"/>
                <w:sz w:val="20"/>
                <w:szCs w:val="20"/>
                <w:highlight w:val="none"/>
              </w:rPr>
            </w:pPr>
          </w:p>
        </w:tc>
        <w:tc>
          <w:tcPr>
            <w:tcW w:w="435" w:type="pct"/>
            <w:noWrap/>
            <w:vAlign w:val="center"/>
          </w:tcPr>
          <w:p>
            <w:pPr>
              <w:widowControl/>
              <w:spacing w:line="200" w:lineRule="exact"/>
              <w:jc w:val="center"/>
              <w:rPr>
                <w:rFonts w:eastAsia="Times New Roman"/>
                <w:kern w:val="0"/>
                <w:sz w:val="20"/>
                <w:szCs w:val="20"/>
                <w:highlight w:val="none"/>
              </w:rPr>
            </w:pPr>
          </w:p>
        </w:tc>
        <w:tc>
          <w:tcPr>
            <w:tcW w:w="798" w:type="pct"/>
            <w:gridSpan w:val="3"/>
            <w:noWrap w:val="0"/>
            <w:vAlign w:val="top"/>
          </w:tcPr>
          <w:p>
            <w:pPr>
              <w:widowControl/>
              <w:spacing w:line="200" w:lineRule="exact"/>
              <w:ind w:right="-210" w:rightChars="-100"/>
              <w:jc w:val="right"/>
              <w:rPr>
                <w:rFonts w:ascii="宋体" w:hAnsi="宋体" w:cs="宋体"/>
                <w:kern w:val="0"/>
                <w:sz w:val="18"/>
                <w:szCs w:val="18"/>
                <w:highlight w:val="none"/>
              </w:rPr>
            </w:pPr>
            <w:r>
              <w:rPr>
                <w:rFonts w:hint="eastAsia" w:ascii="宋体" w:hAnsi="宋体" w:cs="宋体"/>
                <w:kern w:val="0"/>
                <w:sz w:val="18"/>
                <w:szCs w:val="18"/>
                <w:highlight w:val="none"/>
              </w:rPr>
              <w:t xml:space="preserve">  制定机关：</w:t>
            </w:r>
          </w:p>
        </w:tc>
        <w:tc>
          <w:tcPr>
            <w:tcW w:w="1028" w:type="pct"/>
            <w:gridSpan w:val="7"/>
            <w:noWrap w:val="0"/>
            <w:vAlign w:val="center"/>
          </w:tcPr>
          <w:p>
            <w:pPr>
              <w:widowControl/>
              <w:spacing w:line="200" w:lineRule="exact"/>
              <w:jc w:val="distribute"/>
              <w:rPr>
                <w:rFonts w:ascii="宋体" w:hAnsi="宋体" w:cs="宋体"/>
                <w:kern w:val="0"/>
                <w:sz w:val="18"/>
                <w:szCs w:val="18"/>
                <w:highlight w:val="none"/>
              </w:rPr>
            </w:pPr>
            <w:r>
              <w:rPr>
                <w:rFonts w:hint="eastAsia"/>
                <w:sz w:val="18"/>
                <w:szCs w:val="18"/>
                <w:highlight w:val="none"/>
              </w:rPr>
              <w:t>国家统计局</w:t>
            </w:r>
          </w:p>
        </w:tc>
      </w:tr>
      <w:tr>
        <w:tblPrEx>
          <w:tblCellMar>
            <w:top w:w="0" w:type="dxa"/>
            <w:left w:w="108" w:type="dxa"/>
            <w:bottom w:w="0" w:type="dxa"/>
            <w:right w:w="108" w:type="dxa"/>
          </w:tblCellMar>
        </w:tblPrEx>
        <w:trPr>
          <w:gridAfter w:val="1"/>
          <w:wAfter w:w="67" w:type="pct"/>
          <w:trHeight w:val="227" w:hRule="atLeast"/>
          <w:jc w:val="center"/>
        </w:trPr>
        <w:tc>
          <w:tcPr>
            <w:tcW w:w="3105" w:type="pct"/>
            <w:gridSpan w:val="9"/>
            <w:noWrap w:val="0"/>
            <w:vAlign w:val="center"/>
          </w:tcPr>
          <w:p>
            <w:pPr>
              <w:widowControl/>
              <w:spacing w:line="200" w:lineRule="exact"/>
              <w:jc w:val="left"/>
              <w:rPr>
                <w:rFonts w:ascii="宋体" w:hAnsi="宋体" w:cs="宋体"/>
                <w:kern w:val="0"/>
                <w:sz w:val="18"/>
                <w:szCs w:val="18"/>
                <w:highlight w:val="none"/>
              </w:rPr>
            </w:pPr>
            <w:r>
              <w:rPr>
                <w:rFonts w:hint="eastAsia" w:ascii="宋体" w:hAnsi="宋体" w:cs="宋体"/>
                <w:kern w:val="0"/>
                <w:sz w:val="18"/>
                <w:szCs w:val="18"/>
                <w:highlight w:val="none"/>
              </w:rPr>
              <w:t>统一社会信用代码□□□□□□□□□□□□□□□□□□</w:t>
            </w:r>
          </w:p>
        </w:tc>
        <w:tc>
          <w:tcPr>
            <w:tcW w:w="802" w:type="pct"/>
            <w:gridSpan w:val="3"/>
            <w:noWrap w:val="0"/>
            <w:vAlign w:val="center"/>
          </w:tcPr>
          <w:p>
            <w:pPr>
              <w:widowControl/>
              <w:spacing w:line="200" w:lineRule="exact"/>
              <w:ind w:right="-210" w:rightChars="-100"/>
              <w:jc w:val="right"/>
              <w:rPr>
                <w:rFonts w:ascii="宋体" w:hAnsi="宋体" w:cs="宋体"/>
                <w:kern w:val="0"/>
                <w:sz w:val="18"/>
                <w:szCs w:val="18"/>
                <w:highlight w:val="none"/>
              </w:rPr>
            </w:pPr>
            <w:r>
              <w:rPr>
                <w:rFonts w:hint="eastAsia" w:ascii="宋体" w:hAnsi="宋体" w:cs="宋体"/>
                <w:kern w:val="0"/>
                <w:sz w:val="18"/>
                <w:szCs w:val="18"/>
                <w:highlight w:val="none"/>
              </w:rPr>
              <w:t>文    号：</w:t>
            </w:r>
          </w:p>
        </w:tc>
        <w:tc>
          <w:tcPr>
            <w:tcW w:w="1024" w:type="pct"/>
            <w:gridSpan w:val="7"/>
            <w:noWrap w:val="0"/>
            <w:vAlign w:val="center"/>
          </w:tcPr>
          <w:p>
            <w:pPr>
              <w:spacing w:line="200" w:lineRule="exact"/>
              <w:jc w:val="distribute"/>
              <w:rPr>
                <w:rFonts w:ascii="宋体" w:hAnsi="宋体"/>
                <w:sz w:val="18"/>
                <w:szCs w:val="18"/>
                <w:highlight w:val="none"/>
              </w:rPr>
            </w:pPr>
            <w:r>
              <w:rPr>
                <w:rFonts w:hint="eastAsia" w:ascii="宋体" w:hAnsi="宋体"/>
                <w:sz w:val="18"/>
                <w:szCs w:val="18"/>
                <w:highlight w:val="none"/>
              </w:rPr>
              <w:t>国统字〔202</w:t>
            </w:r>
            <w:r>
              <w:rPr>
                <w:rFonts w:ascii="宋体" w:hAnsi="宋体"/>
                <w:sz w:val="18"/>
                <w:szCs w:val="18"/>
                <w:highlight w:val="none"/>
              </w:rPr>
              <w:t>5</w:t>
            </w:r>
            <w:r>
              <w:rPr>
                <w:rFonts w:hint="eastAsia" w:ascii="宋体" w:hAnsi="宋体"/>
                <w:sz w:val="18"/>
                <w:szCs w:val="18"/>
                <w:highlight w:val="none"/>
              </w:rPr>
              <w:t>〕</w:t>
            </w:r>
            <w:r>
              <w:rPr>
                <w:rFonts w:hint="default" w:ascii="宋体" w:hAnsi="宋体"/>
                <w:sz w:val="18"/>
                <w:szCs w:val="18"/>
                <w:highlight w:val="none"/>
                <w:lang w:val="en-US"/>
              </w:rPr>
              <w:t>88</w:t>
            </w:r>
            <w:r>
              <w:rPr>
                <w:rFonts w:hint="eastAsia" w:ascii="宋体" w:hAnsi="宋体"/>
                <w:sz w:val="18"/>
                <w:szCs w:val="18"/>
                <w:highlight w:val="none"/>
              </w:rPr>
              <w:t>号</w:t>
            </w:r>
          </w:p>
        </w:tc>
      </w:tr>
      <w:tr>
        <w:tblPrEx>
          <w:tblCellMar>
            <w:top w:w="0" w:type="dxa"/>
            <w:left w:w="108" w:type="dxa"/>
            <w:bottom w:w="0" w:type="dxa"/>
            <w:right w:w="108" w:type="dxa"/>
          </w:tblCellMar>
        </w:tblPrEx>
        <w:trPr>
          <w:gridAfter w:val="2"/>
          <w:wAfter w:w="67" w:type="pct"/>
          <w:trHeight w:val="227" w:hRule="atLeast"/>
          <w:jc w:val="center"/>
        </w:trPr>
        <w:tc>
          <w:tcPr>
            <w:tcW w:w="1857" w:type="pct"/>
            <w:gridSpan w:val="2"/>
            <w:noWrap w:val="0"/>
            <w:vAlign w:val="center"/>
          </w:tcPr>
          <w:p>
            <w:pPr>
              <w:widowControl/>
              <w:spacing w:line="200" w:lineRule="exact"/>
              <w:rPr>
                <w:rFonts w:ascii="宋体" w:hAnsi="宋体" w:cs="宋体"/>
                <w:kern w:val="0"/>
                <w:sz w:val="18"/>
                <w:szCs w:val="18"/>
                <w:highlight w:val="none"/>
              </w:rPr>
            </w:pPr>
            <w:r>
              <w:rPr>
                <w:rFonts w:hint="eastAsia" w:ascii="宋体" w:hAnsi="宋体" w:cs="宋体"/>
                <w:kern w:val="0"/>
                <w:sz w:val="18"/>
                <w:szCs w:val="18"/>
                <w:highlight w:val="none"/>
              </w:rPr>
              <w:t>单位详细名称：</w:t>
            </w:r>
          </w:p>
        </w:tc>
        <w:tc>
          <w:tcPr>
            <w:tcW w:w="1248" w:type="pct"/>
            <w:gridSpan w:val="6"/>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 xml:space="preserve">    </w:t>
            </w:r>
            <w:r>
              <w:rPr>
                <w:rFonts w:hint="eastAsia" w:ascii="宋体" w:hAnsi="宋体" w:cs="宋体"/>
                <w:sz w:val="18"/>
                <w:szCs w:val="18"/>
                <w:highlight w:val="none"/>
              </w:rPr>
              <w:t xml:space="preserve">２０ </w:t>
            </w:r>
            <w:r>
              <w:rPr>
                <w:rFonts w:ascii="宋体" w:hAnsi="宋体" w:cs="宋体"/>
                <w:sz w:val="18"/>
                <w:szCs w:val="18"/>
                <w:highlight w:val="none"/>
              </w:rPr>
              <w:t xml:space="preserve"> </w:t>
            </w:r>
            <w:r>
              <w:rPr>
                <w:rFonts w:hint="eastAsia" w:ascii="宋体" w:hAnsi="宋体" w:cs="宋体"/>
                <w:sz w:val="18"/>
                <w:szCs w:val="18"/>
                <w:highlight w:val="none"/>
              </w:rPr>
              <w:t>年</w:t>
            </w:r>
          </w:p>
        </w:tc>
        <w:tc>
          <w:tcPr>
            <w:tcW w:w="802" w:type="pct"/>
            <w:gridSpan w:val="3"/>
            <w:noWrap w:val="0"/>
            <w:vAlign w:val="center"/>
          </w:tcPr>
          <w:p>
            <w:pPr>
              <w:widowControl/>
              <w:spacing w:line="200" w:lineRule="exact"/>
              <w:ind w:right="-210" w:rightChars="-100"/>
              <w:jc w:val="right"/>
              <w:rPr>
                <w:rFonts w:ascii="宋体" w:hAnsi="宋体" w:cs="宋体"/>
                <w:kern w:val="0"/>
                <w:sz w:val="18"/>
                <w:szCs w:val="18"/>
                <w:highlight w:val="none"/>
              </w:rPr>
            </w:pPr>
            <w:r>
              <w:rPr>
                <w:rFonts w:hint="eastAsia" w:ascii="宋体" w:hAnsi="宋体" w:cs="宋体"/>
                <w:kern w:val="0"/>
                <w:sz w:val="18"/>
                <w:szCs w:val="18"/>
                <w:highlight w:val="none"/>
              </w:rPr>
              <w:t>有效期至：</w:t>
            </w:r>
          </w:p>
        </w:tc>
        <w:tc>
          <w:tcPr>
            <w:tcW w:w="1024" w:type="pct"/>
            <w:gridSpan w:val="7"/>
            <w:noWrap w:val="0"/>
            <w:vAlign w:val="center"/>
          </w:tcPr>
          <w:p>
            <w:pPr>
              <w:widowControl/>
              <w:spacing w:line="200" w:lineRule="exact"/>
              <w:jc w:val="distribute"/>
              <w:rPr>
                <w:rFonts w:ascii="宋体" w:hAnsi="宋体" w:cs="宋体"/>
                <w:kern w:val="0"/>
                <w:sz w:val="18"/>
                <w:szCs w:val="18"/>
                <w:highlight w:val="none"/>
              </w:rPr>
            </w:pPr>
            <w:r>
              <w:rPr>
                <w:rFonts w:hint="eastAsia" w:ascii="宋体" w:hAnsi="宋体"/>
                <w:sz w:val="18"/>
                <w:szCs w:val="18"/>
                <w:highlight w:val="none"/>
              </w:rPr>
              <w:t>２０２６年６月</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4"/>
          <w:wAfter w:w="67" w:type="pct"/>
          <w:trHeight w:val="629" w:hRule="atLeast"/>
          <w:jc w:val="center"/>
        </w:trPr>
        <w:tc>
          <w:tcPr>
            <w:tcW w:w="1596" w:type="pct"/>
            <w:tcBorders>
              <w:top w:val="single" w:color="auto" w:sz="8" w:space="0"/>
            </w:tcBorders>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指标名称</w:t>
            </w:r>
          </w:p>
        </w:tc>
        <w:tc>
          <w:tcPr>
            <w:tcW w:w="363" w:type="pct"/>
            <w:gridSpan w:val="2"/>
            <w:tcBorders>
              <w:top w:val="single" w:color="auto" w:sz="8" w:space="0"/>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计量</w:t>
            </w:r>
          </w:p>
          <w:p>
            <w:pPr>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单位</w:t>
            </w:r>
          </w:p>
        </w:tc>
        <w:tc>
          <w:tcPr>
            <w:tcW w:w="216" w:type="pct"/>
            <w:tcBorders>
              <w:top w:val="single" w:color="auto" w:sz="8" w:space="0"/>
            </w:tcBorders>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代码</w:t>
            </w:r>
          </w:p>
        </w:tc>
        <w:tc>
          <w:tcPr>
            <w:tcW w:w="290" w:type="pct"/>
            <w:tcBorders>
              <w:top w:val="single" w:color="auto" w:sz="8" w:space="0"/>
              <w:right w:val="double" w:color="auto" w:sz="4" w:space="0"/>
            </w:tcBorders>
            <w:noWrap w:val="0"/>
            <w:vAlign w:val="center"/>
          </w:tcPr>
          <w:p>
            <w:pPr>
              <w:widowControl/>
              <w:spacing w:line="200" w:lineRule="exact"/>
              <w:ind w:left="-105" w:leftChars="-50" w:right="-105" w:rightChars="-50"/>
              <w:jc w:val="center"/>
              <w:rPr>
                <w:rFonts w:ascii="宋体" w:hAnsi="宋体" w:cs="宋体"/>
                <w:kern w:val="0"/>
                <w:sz w:val="18"/>
                <w:szCs w:val="18"/>
                <w:highlight w:val="none"/>
              </w:rPr>
            </w:pPr>
            <w:r>
              <w:rPr>
                <w:rFonts w:hint="eastAsia" w:ascii="宋体" w:hAnsi="宋体" w:cs="宋体"/>
                <w:kern w:val="0"/>
                <w:sz w:val="18"/>
                <w:szCs w:val="18"/>
                <w:highlight w:val="none"/>
              </w:rPr>
              <w:t>数量</w:t>
            </w:r>
          </w:p>
        </w:tc>
        <w:tc>
          <w:tcPr>
            <w:tcW w:w="1670" w:type="pct"/>
            <w:gridSpan w:val="8"/>
            <w:tcBorders>
              <w:top w:val="single" w:color="auto" w:sz="8" w:space="0"/>
              <w:left w:val="double" w:color="auto" w:sz="4" w:space="0"/>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指标名称</w:t>
            </w:r>
          </w:p>
        </w:tc>
        <w:tc>
          <w:tcPr>
            <w:tcW w:w="362" w:type="pct"/>
            <w:tcBorders>
              <w:top w:val="single" w:color="auto" w:sz="8" w:space="0"/>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计量</w:t>
            </w:r>
          </w:p>
          <w:p>
            <w:pPr>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单位</w:t>
            </w:r>
          </w:p>
        </w:tc>
        <w:tc>
          <w:tcPr>
            <w:tcW w:w="216" w:type="pct"/>
            <w:tcBorders>
              <w:top w:val="single" w:color="auto" w:sz="8" w:space="0"/>
              <w:right w:val="single" w:color="auto" w:sz="2" w:space="0"/>
            </w:tcBorders>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代码</w:t>
            </w:r>
          </w:p>
        </w:tc>
        <w:tc>
          <w:tcPr>
            <w:tcW w:w="215" w:type="pct"/>
            <w:tcBorders>
              <w:top w:val="single" w:color="auto" w:sz="8" w:space="0"/>
              <w:left w:val="single" w:color="auto" w:sz="2" w:space="0"/>
              <w:bottom w:val="single" w:color="auto" w:sz="2" w:space="0"/>
              <w:right w:val="nil"/>
            </w:tcBorders>
            <w:noWrap w:val="0"/>
            <w:vAlign w:val="center"/>
          </w:tcPr>
          <w:p>
            <w:pPr>
              <w:widowControl/>
              <w:spacing w:line="200" w:lineRule="exact"/>
              <w:ind w:left="-105" w:leftChars="-50" w:right="-105" w:rightChars="-50"/>
              <w:jc w:val="center"/>
              <w:rPr>
                <w:rFonts w:ascii="宋体" w:hAnsi="宋体" w:cs="宋体"/>
                <w:kern w:val="0"/>
                <w:sz w:val="18"/>
                <w:szCs w:val="18"/>
                <w:highlight w:val="none"/>
              </w:rPr>
            </w:pPr>
            <w:r>
              <w:rPr>
                <w:rFonts w:hint="eastAsia" w:ascii="宋体" w:hAnsi="宋体" w:cs="宋体"/>
                <w:kern w:val="0"/>
                <w:sz w:val="18"/>
                <w:szCs w:val="18"/>
                <w:highlight w:val="none"/>
              </w:rPr>
              <w:t>数量</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4"/>
          <w:wAfter w:w="67" w:type="pct"/>
          <w:trHeight w:val="424" w:hRule="atLeast"/>
          <w:jc w:val="center"/>
        </w:trPr>
        <w:tc>
          <w:tcPr>
            <w:tcW w:w="1596" w:type="pct"/>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甲</w:t>
            </w:r>
          </w:p>
        </w:tc>
        <w:tc>
          <w:tcPr>
            <w:tcW w:w="363" w:type="pct"/>
            <w:gridSpan w:val="2"/>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乙</w:t>
            </w:r>
          </w:p>
        </w:tc>
        <w:tc>
          <w:tcPr>
            <w:tcW w:w="216" w:type="pct"/>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丙</w:t>
            </w:r>
          </w:p>
        </w:tc>
        <w:tc>
          <w:tcPr>
            <w:tcW w:w="290" w:type="pct"/>
            <w:tcBorders>
              <w:right w:val="double" w:color="auto" w:sz="4" w:space="0"/>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1</w:t>
            </w:r>
          </w:p>
        </w:tc>
        <w:tc>
          <w:tcPr>
            <w:tcW w:w="1670" w:type="pct"/>
            <w:gridSpan w:val="8"/>
            <w:tcBorders>
              <w:left w:val="double" w:color="auto" w:sz="4" w:space="0"/>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甲</w:t>
            </w:r>
          </w:p>
        </w:tc>
        <w:tc>
          <w:tcPr>
            <w:tcW w:w="362" w:type="pct"/>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乙</w:t>
            </w:r>
          </w:p>
        </w:tc>
        <w:tc>
          <w:tcPr>
            <w:tcW w:w="216" w:type="pct"/>
            <w:tcBorders>
              <w:right w:val="single" w:color="auto" w:sz="2" w:space="0"/>
            </w:tcBorders>
            <w:noWrap/>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丙</w:t>
            </w:r>
          </w:p>
        </w:tc>
        <w:tc>
          <w:tcPr>
            <w:tcW w:w="215" w:type="pct"/>
            <w:tcBorders>
              <w:top w:val="single" w:color="auto" w:sz="2" w:space="0"/>
              <w:left w:val="single" w:color="auto" w:sz="2" w:space="0"/>
              <w:bottom w:val="single" w:color="auto" w:sz="2" w:space="0"/>
              <w:right w:val="nil"/>
            </w:tcBorders>
            <w:noWrap w:val="0"/>
            <w:vAlign w:val="center"/>
          </w:tcPr>
          <w:p>
            <w:pPr>
              <w:widowControl/>
              <w:spacing w:line="200" w:lineRule="exact"/>
              <w:jc w:val="center"/>
              <w:rPr>
                <w:rFonts w:ascii="宋体" w:hAnsi="宋体" w:cs="宋体"/>
                <w:kern w:val="0"/>
                <w:sz w:val="18"/>
                <w:szCs w:val="18"/>
                <w:highlight w:val="none"/>
              </w:rPr>
            </w:pPr>
            <w:r>
              <w:rPr>
                <w:rFonts w:hint="eastAsia" w:ascii="宋体" w:hAnsi="宋体" w:cs="宋体"/>
                <w:kern w:val="0"/>
                <w:sz w:val="18"/>
                <w:szCs w:val="18"/>
                <w:highlight w:val="none"/>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4"/>
          <w:wAfter w:w="67" w:type="pct"/>
          <w:trHeight w:val="90" w:hRule="atLeast"/>
          <w:jc w:val="center"/>
        </w:trPr>
        <w:tc>
          <w:tcPr>
            <w:tcW w:w="1596" w:type="pct"/>
            <w:tcBorders>
              <w:bottom w:val="single" w:color="auto" w:sz="4" w:space="0"/>
            </w:tcBorders>
            <w:noWrap/>
            <w:vAlign w:val="top"/>
          </w:tcPr>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一、研究开发人员情况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研究开发人员合计</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其中：管理和服务人员</w:t>
            </w:r>
          </w:p>
          <w:p>
            <w:pPr>
              <w:widowControl/>
              <w:spacing w:line="280" w:lineRule="exact"/>
              <w:ind w:firstLine="270" w:firstLineChars="150"/>
              <w:rPr>
                <w:rFonts w:ascii="宋体" w:hAnsi="宋体" w:cs="宋体"/>
                <w:kern w:val="0"/>
                <w:sz w:val="18"/>
                <w:szCs w:val="18"/>
                <w:highlight w:val="none"/>
              </w:rPr>
            </w:pPr>
            <w:r>
              <w:rPr>
                <w:rFonts w:hint="eastAsia" w:ascii="宋体" w:hAnsi="宋体" w:cs="宋体"/>
                <w:kern w:val="0"/>
                <w:sz w:val="18"/>
                <w:szCs w:val="18"/>
                <w:highlight w:val="none"/>
              </w:rPr>
              <w:t>其中：女性</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其中：全职人员</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其中：本科毕业及以上人员</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二、研究开发费用情况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研究开发费用合计</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1.人员人工费用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2.直接投入费用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3.折旧费用与长期待摊费用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4.无形资产摊销费用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5.设计费用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6.装备调试费用与试验费用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7.委托外部研究开发费用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w:t>
            </w:r>
            <w:r>
              <w:rPr>
                <w:rFonts w:ascii="宋体" w:hAnsi="宋体" w:cs="宋体"/>
                <w:kern w:val="0"/>
                <w:sz w:val="18"/>
                <w:szCs w:val="18"/>
                <w:highlight w:val="none"/>
              </w:rPr>
              <w:t xml:space="preserve">  </w:t>
            </w:r>
            <w:r>
              <w:rPr>
                <w:rFonts w:hint="eastAsia" w:ascii="宋体" w:hAnsi="宋体" w:cs="宋体"/>
                <w:kern w:val="0"/>
                <w:sz w:val="18"/>
                <w:szCs w:val="18"/>
                <w:highlight w:val="none"/>
              </w:rPr>
              <w:t xml:space="preserve">  ①委托境内研究机构</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②委托境内高等学校</w:t>
            </w:r>
          </w:p>
          <w:p>
            <w:pPr>
              <w:widowControl/>
              <w:spacing w:line="280" w:lineRule="exact"/>
              <w:ind w:firstLine="180" w:firstLineChars="100"/>
              <w:rPr>
                <w:rFonts w:ascii="宋体" w:hAnsi="宋体" w:cs="宋体"/>
                <w:kern w:val="0"/>
                <w:sz w:val="18"/>
                <w:szCs w:val="18"/>
                <w:highlight w:val="none"/>
              </w:rPr>
            </w:pPr>
            <w:r>
              <w:rPr>
                <w:rFonts w:hint="eastAsia" w:ascii="宋体" w:hAnsi="宋体" w:cs="宋体"/>
                <w:kern w:val="0"/>
                <w:sz w:val="18"/>
                <w:szCs w:val="18"/>
                <w:highlight w:val="none"/>
              </w:rPr>
              <w:t xml:space="preserve">     ③委托境内企业</w:t>
            </w:r>
          </w:p>
          <w:p>
            <w:pPr>
              <w:widowControl/>
              <w:spacing w:line="280" w:lineRule="exact"/>
              <w:ind w:firstLine="630" w:firstLineChars="350"/>
              <w:rPr>
                <w:rFonts w:ascii="宋体" w:hAnsi="宋体" w:cs="宋体"/>
                <w:kern w:val="0"/>
                <w:sz w:val="18"/>
                <w:szCs w:val="18"/>
                <w:highlight w:val="none"/>
              </w:rPr>
            </w:pPr>
            <w:r>
              <w:rPr>
                <w:rFonts w:hint="eastAsia" w:ascii="宋体" w:hAnsi="宋体" w:cs="宋体"/>
                <w:kern w:val="0"/>
                <w:sz w:val="18"/>
                <w:szCs w:val="18"/>
                <w:highlight w:val="none"/>
              </w:rPr>
              <w:t xml:space="preserve">④委托境外机构            </w:t>
            </w:r>
            <w:r>
              <w:rPr>
                <w:rFonts w:ascii="宋体" w:hAnsi="宋体" w:cs="宋体"/>
                <w:kern w:val="0"/>
                <w:sz w:val="18"/>
                <w:szCs w:val="18"/>
                <w:highlight w:val="none"/>
              </w:rPr>
              <w:t xml:space="preserve">      </w:t>
            </w:r>
            <w:r>
              <w:rPr>
                <w:rFonts w:hint="eastAsia" w:ascii="宋体" w:hAnsi="宋体" w:cs="宋体"/>
                <w:kern w:val="0"/>
                <w:sz w:val="18"/>
                <w:szCs w:val="18"/>
                <w:highlight w:val="none"/>
              </w:rPr>
              <w:t xml:space="preserve"> </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8.其他费用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三、研究开发资产情况</w:t>
            </w:r>
          </w:p>
          <w:p>
            <w:pPr>
              <w:widowControl/>
              <w:spacing w:line="280" w:lineRule="exact"/>
              <w:ind w:firstLine="180" w:firstLineChars="100"/>
              <w:rPr>
                <w:rFonts w:ascii="宋体" w:hAnsi="宋体" w:cs="宋体"/>
                <w:kern w:val="0"/>
                <w:sz w:val="18"/>
                <w:szCs w:val="18"/>
                <w:highlight w:val="none"/>
              </w:rPr>
            </w:pPr>
            <w:r>
              <w:rPr>
                <w:rFonts w:hint="eastAsia" w:ascii="宋体" w:hAnsi="宋体" w:cs="宋体"/>
                <w:kern w:val="0"/>
                <w:sz w:val="18"/>
                <w:szCs w:val="18"/>
                <w:highlight w:val="none"/>
              </w:rPr>
              <w:t>当年形成用于研究开发的固定资产</w:t>
            </w:r>
          </w:p>
          <w:p>
            <w:pPr>
              <w:widowControl/>
              <w:spacing w:line="280" w:lineRule="exact"/>
              <w:ind w:firstLine="360"/>
              <w:rPr>
                <w:rFonts w:ascii="宋体" w:hAnsi="宋体" w:cs="宋体"/>
                <w:kern w:val="0"/>
                <w:sz w:val="18"/>
                <w:szCs w:val="18"/>
                <w:highlight w:val="none"/>
              </w:rPr>
            </w:pPr>
            <w:r>
              <w:rPr>
                <w:rFonts w:hint="eastAsia" w:ascii="宋体" w:hAnsi="宋体" w:cs="宋体"/>
                <w:kern w:val="0"/>
                <w:sz w:val="18"/>
                <w:szCs w:val="18"/>
                <w:highlight w:val="none"/>
              </w:rPr>
              <w:t>其中：仪器和设备</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四、研究</w:t>
            </w:r>
            <w:r>
              <w:rPr>
                <w:rFonts w:ascii="宋体" w:hAnsi="宋体" w:cs="宋体"/>
                <w:kern w:val="0"/>
                <w:sz w:val="18"/>
                <w:szCs w:val="18"/>
                <w:highlight w:val="none"/>
              </w:rPr>
              <w:t>开发支出</w:t>
            </w:r>
            <w:r>
              <w:rPr>
                <w:rFonts w:hint="eastAsia" w:ascii="宋体" w:hAnsi="宋体" w:cs="宋体"/>
                <w:kern w:val="0"/>
                <w:sz w:val="18"/>
                <w:szCs w:val="18"/>
                <w:highlight w:val="none"/>
              </w:rPr>
              <w:t>资金</w:t>
            </w:r>
            <w:r>
              <w:rPr>
                <w:rFonts w:ascii="宋体" w:hAnsi="宋体" w:cs="宋体"/>
                <w:kern w:val="0"/>
                <w:sz w:val="18"/>
                <w:szCs w:val="18"/>
                <w:highlight w:val="none"/>
              </w:rPr>
              <w:t>来源</w:t>
            </w:r>
          </w:p>
          <w:p>
            <w:pPr>
              <w:widowControl/>
              <w:spacing w:line="280" w:lineRule="exact"/>
              <w:ind w:firstLine="270" w:firstLineChars="150"/>
              <w:rPr>
                <w:rFonts w:hint="eastAsia" w:ascii="宋体" w:hAnsi="宋体" w:cs="宋体"/>
                <w:kern w:val="0"/>
                <w:sz w:val="18"/>
                <w:szCs w:val="18"/>
                <w:highlight w:val="none"/>
              </w:rPr>
            </w:pPr>
            <w:r>
              <w:rPr>
                <w:rFonts w:hint="eastAsia" w:ascii="宋体" w:hAnsi="宋体" w:cs="宋体"/>
                <w:kern w:val="0"/>
                <w:sz w:val="18"/>
                <w:szCs w:val="18"/>
                <w:highlight w:val="none"/>
              </w:rPr>
              <w:t>其中：来自</w:t>
            </w:r>
            <w:r>
              <w:rPr>
                <w:rFonts w:ascii="宋体" w:hAnsi="宋体" w:cs="宋体"/>
                <w:kern w:val="0"/>
                <w:sz w:val="18"/>
                <w:szCs w:val="18"/>
                <w:highlight w:val="none"/>
              </w:rPr>
              <w:t>企业自筹</w:t>
            </w:r>
          </w:p>
          <w:p>
            <w:pPr>
              <w:widowControl/>
              <w:spacing w:line="280" w:lineRule="exact"/>
              <w:ind w:firstLine="270" w:firstLineChars="150"/>
              <w:rPr>
                <w:rFonts w:ascii="宋体" w:hAnsi="宋体" w:cs="宋体"/>
                <w:kern w:val="0"/>
                <w:sz w:val="18"/>
                <w:szCs w:val="18"/>
                <w:highlight w:val="none"/>
              </w:rPr>
            </w:pPr>
            <w:r>
              <w:rPr>
                <w:rFonts w:hint="eastAsia" w:ascii="宋体" w:hAnsi="宋体" w:cs="宋体"/>
                <w:kern w:val="0"/>
                <w:sz w:val="18"/>
                <w:szCs w:val="18"/>
                <w:highlight w:val="none"/>
              </w:rPr>
              <w:t xml:space="preserve">      来自政府部门</w:t>
            </w:r>
          </w:p>
          <w:p>
            <w:pPr>
              <w:widowControl/>
              <w:spacing w:line="280" w:lineRule="exact"/>
              <w:rPr>
                <w:rFonts w:hint="eastAsia" w:ascii="宋体" w:hAnsi="宋体" w:cs="宋体"/>
                <w:kern w:val="0"/>
                <w:sz w:val="18"/>
                <w:szCs w:val="18"/>
                <w:highlight w:val="none"/>
              </w:rPr>
            </w:pPr>
            <w:r>
              <w:rPr>
                <w:rFonts w:hint="eastAsia" w:ascii="宋体" w:hAnsi="宋体" w:cs="宋体"/>
                <w:kern w:val="0"/>
                <w:sz w:val="18"/>
                <w:szCs w:val="18"/>
                <w:highlight w:val="none"/>
              </w:rPr>
              <w:t>五</w:t>
            </w:r>
            <w:r>
              <w:rPr>
                <w:rFonts w:ascii="宋体" w:hAnsi="宋体" w:cs="宋体"/>
                <w:kern w:val="0"/>
                <w:sz w:val="18"/>
                <w:szCs w:val="18"/>
                <w:highlight w:val="none"/>
              </w:rPr>
              <w:t>、</w:t>
            </w:r>
            <w:r>
              <w:rPr>
                <w:rFonts w:hint="eastAsia" w:ascii="宋体" w:hAnsi="宋体" w:cs="宋体"/>
                <w:kern w:val="0"/>
                <w:sz w:val="18"/>
                <w:szCs w:val="18"/>
                <w:highlight w:val="none"/>
              </w:rPr>
              <w:t>相关</w:t>
            </w:r>
            <w:r>
              <w:rPr>
                <w:rFonts w:ascii="宋体" w:hAnsi="宋体" w:cs="宋体"/>
                <w:kern w:val="0"/>
                <w:sz w:val="18"/>
                <w:szCs w:val="18"/>
                <w:highlight w:val="none"/>
              </w:rPr>
              <w:t>政策落实情况</w:t>
            </w:r>
          </w:p>
          <w:p>
            <w:pPr>
              <w:widowControl/>
              <w:spacing w:line="280" w:lineRule="exact"/>
              <w:ind w:firstLine="180" w:firstLineChars="100"/>
              <w:rPr>
                <w:rFonts w:ascii="宋体" w:hAnsi="宋体" w:cs="宋体"/>
                <w:kern w:val="0"/>
                <w:sz w:val="18"/>
                <w:szCs w:val="18"/>
                <w:highlight w:val="none"/>
              </w:rPr>
            </w:pPr>
            <w:r>
              <w:rPr>
                <w:rFonts w:hint="eastAsia" w:ascii="宋体" w:hAnsi="宋体" w:cs="宋体"/>
                <w:kern w:val="0"/>
                <w:sz w:val="18"/>
                <w:szCs w:val="18"/>
                <w:highlight w:val="none"/>
              </w:rPr>
              <w:t>加计扣除减免税金额</w:t>
            </w:r>
          </w:p>
          <w:p>
            <w:pPr>
              <w:widowControl/>
              <w:spacing w:line="280" w:lineRule="exact"/>
              <w:ind w:firstLine="180" w:firstLineChars="100"/>
              <w:rPr>
                <w:rFonts w:hint="eastAsia" w:ascii="宋体" w:hAnsi="宋体" w:cs="宋体"/>
                <w:kern w:val="0"/>
                <w:sz w:val="18"/>
                <w:szCs w:val="18"/>
                <w:highlight w:val="none"/>
              </w:rPr>
            </w:pPr>
            <w:r>
              <w:rPr>
                <w:rFonts w:hint="eastAsia" w:ascii="宋体" w:hAnsi="宋体" w:cs="宋体"/>
                <w:kern w:val="0"/>
                <w:sz w:val="18"/>
                <w:szCs w:val="18"/>
                <w:highlight w:val="none"/>
              </w:rPr>
              <w:t>高新技术企业减免税金额</w:t>
            </w:r>
          </w:p>
        </w:tc>
        <w:tc>
          <w:tcPr>
            <w:tcW w:w="363" w:type="pct"/>
            <w:gridSpan w:val="2"/>
            <w:tcBorders>
              <w:bottom w:val="single" w:color="auto" w:sz="4" w:space="0"/>
            </w:tcBorders>
            <w:noWrap/>
            <w:vAlign w:val="top"/>
          </w:tcPr>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hint="eastAsia"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tabs>
                <w:tab w:val="center" w:pos="227"/>
              </w:tabs>
              <w:spacing w:line="280" w:lineRule="exact"/>
              <w:rPr>
                <w:rFonts w:ascii="宋体" w:hAnsi="宋体" w:cs="宋体"/>
                <w:kern w:val="0"/>
                <w:sz w:val="18"/>
                <w:szCs w:val="18"/>
                <w:highlight w:val="none"/>
              </w:rPr>
            </w:pPr>
            <w:r>
              <w:rPr>
                <w:rFonts w:ascii="宋体" w:hAnsi="宋体" w:cs="宋体"/>
                <w:kern w:val="0"/>
                <w:sz w:val="18"/>
                <w:szCs w:val="18"/>
                <w:highlight w:val="none"/>
              </w:rPr>
              <w:tab/>
            </w:r>
            <w:r>
              <w:rPr>
                <w:rFonts w:hint="eastAsia" w:ascii="宋体" w:hAnsi="宋体" w:cs="宋体"/>
                <w:kern w:val="0"/>
                <w:sz w:val="18"/>
                <w:szCs w:val="18"/>
                <w:highlight w:val="none"/>
              </w:rPr>
              <w:t>—</w:t>
            </w:r>
          </w:p>
          <w:p>
            <w:pPr>
              <w:widowControl/>
              <w:spacing w:line="280" w:lineRule="exact"/>
              <w:jc w:val="center"/>
              <w:rPr>
                <w:rFonts w:hint="eastAsia"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ind w:firstLine="90" w:firstLineChars="50"/>
              <w:rPr>
                <w:rFonts w:ascii="宋体" w:hAnsi="宋体" w:cs="宋体"/>
                <w:kern w:val="0"/>
                <w:sz w:val="18"/>
                <w:szCs w:val="18"/>
                <w:highlight w:val="none"/>
              </w:rPr>
            </w:pPr>
            <w:r>
              <w:rPr>
                <w:rFonts w:hint="eastAsia" w:ascii="宋体" w:hAnsi="宋体" w:cs="宋体"/>
                <w:kern w:val="0"/>
                <w:sz w:val="18"/>
                <w:szCs w:val="18"/>
                <w:highlight w:val="none"/>
              </w:rPr>
              <w:t>千元</w:t>
            </w:r>
          </w:p>
        </w:tc>
        <w:tc>
          <w:tcPr>
            <w:tcW w:w="216" w:type="pct"/>
            <w:tcBorders>
              <w:bottom w:val="single" w:color="auto" w:sz="4" w:space="0"/>
            </w:tcBorders>
            <w:noWrap/>
            <w:vAlign w:val="top"/>
          </w:tcPr>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3</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4</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5</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7</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8</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9</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10</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11</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12</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13</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14</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15</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16</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17</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18</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19</w:t>
            </w:r>
          </w:p>
          <w:p>
            <w:pPr>
              <w:widowControl/>
              <w:spacing w:line="280" w:lineRule="exact"/>
              <w:jc w:val="center"/>
              <w:rPr>
                <w:rFonts w:hint="eastAsia"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20</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w:t>
            </w:r>
            <w:r>
              <w:rPr>
                <w:rFonts w:ascii="宋体" w:hAnsi="宋体" w:cs="宋体"/>
                <w:kern w:val="0"/>
                <w:sz w:val="18"/>
                <w:szCs w:val="18"/>
                <w:highlight w:val="none"/>
              </w:rPr>
              <w:t>1</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rPr>
                <w:rFonts w:hint="eastAsia" w:ascii="宋体" w:hAnsi="宋体" w:cs="宋体"/>
                <w:kern w:val="0"/>
                <w:sz w:val="18"/>
                <w:szCs w:val="18"/>
                <w:highlight w:val="none"/>
              </w:rPr>
            </w:pPr>
            <w:r>
              <w:rPr>
                <w:rFonts w:ascii="宋体" w:hAnsi="宋体" w:cs="宋体"/>
                <w:kern w:val="0"/>
                <w:sz w:val="18"/>
                <w:szCs w:val="18"/>
                <w:highlight w:val="none"/>
              </w:rPr>
              <w:t>5</w:t>
            </w:r>
            <w:r>
              <w:rPr>
                <w:rFonts w:hint="eastAsia" w:ascii="宋体" w:hAnsi="宋体" w:cs="宋体"/>
                <w:kern w:val="0"/>
                <w:sz w:val="18"/>
                <w:szCs w:val="18"/>
                <w:highlight w:val="none"/>
              </w:rPr>
              <w:t>7</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43</w:t>
            </w:r>
          </w:p>
          <w:p>
            <w:pPr>
              <w:widowControl/>
              <w:spacing w:line="280" w:lineRule="exact"/>
              <w:jc w:val="center"/>
              <w:rPr>
                <w:rFonts w:hint="eastAsia"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rPr>
                <w:rFonts w:hint="eastAsia" w:ascii="宋体" w:hAnsi="宋体" w:cs="宋体"/>
                <w:kern w:val="0"/>
                <w:sz w:val="18"/>
                <w:szCs w:val="18"/>
                <w:highlight w:val="none"/>
              </w:rPr>
            </w:pPr>
            <w:r>
              <w:rPr>
                <w:rFonts w:ascii="宋体" w:hAnsi="宋体" w:cs="宋体"/>
                <w:kern w:val="0"/>
                <w:sz w:val="18"/>
                <w:szCs w:val="18"/>
                <w:highlight w:val="none"/>
              </w:rPr>
              <w:t>44</w:t>
            </w:r>
          </w:p>
          <w:p>
            <w:pPr>
              <w:widowControl/>
              <w:spacing w:line="280" w:lineRule="exact"/>
              <w:rPr>
                <w:rFonts w:hint="eastAsia" w:ascii="宋体" w:hAnsi="宋体" w:cs="宋体"/>
                <w:kern w:val="0"/>
                <w:sz w:val="18"/>
                <w:szCs w:val="18"/>
                <w:highlight w:val="none"/>
              </w:rPr>
            </w:pPr>
            <w:r>
              <w:rPr>
                <w:rFonts w:ascii="宋体" w:hAnsi="宋体" w:cs="宋体"/>
                <w:kern w:val="0"/>
                <w:sz w:val="18"/>
                <w:szCs w:val="18"/>
                <w:highlight w:val="none"/>
              </w:rPr>
              <w:t>45</w:t>
            </w:r>
          </w:p>
        </w:tc>
        <w:tc>
          <w:tcPr>
            <w:tcW w:w="290" w:type="pct"/>
            <w:tcBorders>
              <w:bottom w:val="single" w:color="auto" w:sz="4" w:space="0"/>
              <w:right w:val="double" w:color="auto" w:sz="4" w:space="0"/>
            </w:tcBorders>
            <w:noWrap w:val="0"/>
            <w:vAlign w:val="center"/>
          </w:tcPr>
          <w:p>
            <w:pPr>
              <w:widowControl/>
              <w:spacing w:line="280" w:lineRule="exact"/>
              <w:jc w:val="center"/>
              <w:rPr>
                <w:rFonts w:ascii="宋体" w:hAnsi="宋体" w:cs="宋体"/>
                <w:kern w:val="0"/>
                <w:sz w:val="18"/>
                <w:szCs w:val="18"/>
                <w:highlight w:val="none"/>
              </w:rPr>
            </w:pPr>
          </w:p>
        </w:tc>
        <w:tc>
          <w:tcPr>
            <w:tcW w:w="1670" w:type="pct"/>
            <w:gridSpan w:val="8"/>
            <w:tcBorders>
              <w:left w:val="double" w:color="auto" w:sz="4" w:space="0"/>
              <w:bottom w:val="single" w:color="auto" w:sz="4" w:space="0"/>
            </w:tcBorders>
            <w:noWrap w:val="0"/>
            <w:vAlign w:val="top"/>
          </w:tcPr>
          <w:p>
            <w:pPr>
              <w:widowControl/>
              <w:spacing w:line="280" w:lineRule="exact"/>
              <w:rPr>
                <w:rFonts w:ascii="宋体" w:hAnsi="宋体" w:cs="宋体"/>
                <w:kern w:val="0"/>
                <w:sz w:val="18"/>
                <w:szCs w:val="18"/>
                <w:highlight w:val="none"/>
              </w:rPr>
            </w:pPr>
            <w:r>
              <w:rPr>
                <w:rFonts w:hint="eastAsia" w:ascii="宋体" w:hAnsi="宋体" w:cs="宋体"/>
                <w:kern w:val="0"/>
                <w:sz w:val="20"/>
                <w:szCs w:val="18"/>
                <w:highlight w:val="none"/>
              </w:rPr>
              <w:t>六、</w:t>
            </w:r>
            <w:r>
              <w:rPr>
                <w:rFonts w:hint="eastAsia" w:ascii="宋体" w:hAnsi="宋体" w:cs="宋体"/>
                <w:kern w:val="0"/>
                <w:sz w:val="18"/>
                <w:szCs w:val="18"/>
                <w:highlight w:val="none"/>
              </w:rPr>
              <w:t>企业办研究开发机构（境内）情况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期末机构数</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机构研究开发人员</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其中：博士毕业</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硕士毕业</w:t>
            </w:r>
          </w:p>
          <w:p>
            <w:pPr>
              <w:widowControl/>
              <w:spacing w:line="280" w:lineRule="exact"/>
              <w:ind w:firstLine="180" w:firstLineChars="100"/>
              <w:rPr>
                <w:rFonts w:ascii="宋体" w:hAnsi="宋体" w:cs="宋体"/>
                <w:kern w:val="0"/>
                <w:sz w:val="18"/>
                <w:szCs w:val="18"/>
                <w:highlight w:val="none"/>
              </w:rPr>
            </w:pPr>
            <w:r>
              <w:rPr>
                <w:rFonts w:hint="eastAsia" w:ascii="宋体" w:hAnsi="宋体" w:cs="宋体"/>
                <w:kern w:val="0"/>
                <w:sz w:val="18"/>
                <w:szCs w:val="18"/>
                <w:highlight w:val="none"/>
              </w:rPr>
              <w:t>机构研究开发费用</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期末仪器和设备原价</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七、研究开发产出及相关情况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(一)专利情况</w:t>
            </w:r>
          </w:p>
          <w:p>
            <w:pPr>
              <w:widowControl/>
              <w:spacing w:line="280" w:lineRule="exact"/>
              <w:rPr>
                <w:rFonts w:ascii="宋体" w:hAnsi="宋体" w:cs="宋体"/>
                <w:kern w:val="0"/>
                <w:sz w:val="18"/>
                <w:szCs w:val="18"/>
                <w:highlight w:val="none"/>
                <w:u w:val="single"/>
              </w:rPr>
            </w:pPr>
            <w:r>
              <w:rPr>
                <w:rFonts w:hint="eastAsia" w:ascii="宋体" w:hAnsi="宋体" w:cs="宋体"/>
                <w:kern w:val="0"/>
                <w:sz w:val="18"/>
                <w:szCs w:val="18"/>
                <w:highlight w:val="none"/>
              </w:rPr>
              <w:t xml:space="preserve">    当年专利申请数</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其中：发明专利</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期末有效发明专利数</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其中：已被实施</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(二)新产品情况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w:t>
            </w:r>
            <w:r>
              <w:rPr>
                <w:rFonts w:ascii="宋体" w:hAnsi="宋体" w:cs="宋体"/>
                <w:kern w:val="0"/>
                <w:sz w:val="18"/>
                <w:szCs w:val="18"/>
                <w:highlight w:val="none"/>
              </w:rPr>
              <w:t>*</w:t>
            </w:r>
            <w:r>
              <w:rPr>
                <w:rFonts w:hint="eastAsia" w:ascii="宋体" w:hAnsi="宋体" w:cs="宋体"/>
                <w:kern w:val="0"/>
                <w:sz w:val="18"/>
                <w:szCs w:val="18"/>
                <w:highlight w:val="none"/>
              </w:rPr>
              <w:t>新产品销售收入</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w:t>
            </w:r>
            <w:r>
              <w:rPr>
                <w:rFonts w:ascii="宋体" w:hAnsi="宋体" w:cs="宋体"/>
                <w:kern w:val="0"/>
                <w:sz w:val="18"/>
                <w:szCs w:val="18"/>
                <w:highlight w:val="none"/>
              </w:rPr>
              <w:t xml:space="preserve">  </w:t>
            </w:r>
            <w:r>
              <w:rPr>
                <w:rFonts w:hint="eastAsia" w:ascii="宋体" w:hAnsi="宋体" w:cs="宋体"/>
                <w:kern w:val="0"/>
                <w:sz w:val="18"/>
                <w:szCs w:val="18"/>
                <w:highlight w:val="none"/>
              </w:rPr>
              <w:t xml:space="preserve"> </w:t>
            </w:r>
            <w:r>
              <w:rPr>
                <w:rFonts w:ascii="宋体" w:hAnsi="宋体" w:cs="宋体"/>
                <w:kern w:val="0"/>
                <w:sz w:val="18"/>
                <w:szCs w:val="18"/>
                <w:highlight w:val="none"/>
              </w:rPr>
              <w:t>*</w:t>
            </w:r>
            <w:r>
              <w:rPr>
                <w:rFonts w:hint="eastAsia" w:ascii="宋体" w:hAnsi="宋体" w:cs="宋体"/>
                <w:kern w:val="0"/>
                <w:sz w:val="18"/>
                <w:szCs w:val="18"/>
                <w:highlight w:val="none"/>
              </w:rPr>
              <w:t>其中：出口</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(三)其他情况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w:t>
            </w:r>
            <w:r>
              <w:rPr>
                <w:rFonts w:ascii="宋体" w:hAnsi="宋体" w:cs="宋体"/>
                <w:kern w:val="0"/>
                <w:sz w:val="18"/>
                <w:szCs w:val="18"/>
                <w:highlight w:val="none"/>
              </w:rPr>
              <w:t>*</w:t>
            </w:r>
            <w:r>
              <w:rPr>
                <w:rFonts w:hint="eastAsia" w:ascii="宋体" w:hAnsi="宋体" w:cs="宋体"/>
                <w:kern w:val="0"/>
                <w:sz w:val="18"/>
                <w:szCs w:val="18"/>
                <w:highlight w:val="none"/>
              </w:rPr>
              <w:t>期末拥有注册商标</w:t>
            </w:r>
          </w:p>
          <w:p>
            <w:pPr>
              <w:widowControl/>
              <w:spacing w:line="280" w:lineRule="exact"/>
              <w:ind w:firstLine="360" w:firstLineChars="200"/>
              <w:rPr>
                <w:rFonts w:ascii="宋体" w:hAnsi="宋体" w:cs="宋体"/>
                <w:kern w:val="0"/>
                <w:sz w:val="18"/>
                <w:szCs w:val="18"/>
                <w:highlight w:val="none"/>
              </w:rPr>
            </w:pPr>
            <w:r>
              <w:rPr>
                <w:rFonts w:hint="eastAsia" w:ascii="宋体" w:hAnsi="宋体" w:cs="宋体"/>
                <w:kern w:val="0"/>
                <w:sz w:val="18"/>
                <w:szCs w:val="18"/>
                <w:highlight w:val="none"/>
              </w:rPr>
              <w:t>发表科技论文</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形成国家或行业标准</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八、其他相关情况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(一)技术改造和</w:t>
            </w:r>
            <w:r>
              <w:rPr>
                <w:rFonts w:ascii="宋体" w:hAnsi="宋体" w:cs="宋体"/>
                <w:kern w:val="0"/>
                <w:sz w:val="18"/>
                <w:szCs w:val="18"/>
                <w:highlight w:val="none"/>
              </w:rPr>
              <w:t>技术获取</w:t>
            </w:r>
            <w:r>
              <w:rPr>
                <w:rFonts w:hint="eastAsia" w:ascii="宋体" w:hAnsi="宋体" w:cs="宋体"/>
                <w:kern w:val="0"/>
                <w:sz w:val="18"/>
                <w:szCs w:val="18"/>
                <w:highlight w:val="none"/>
              </w:rPr>
              <w:t>情况</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技术改造经费支出</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购买境内技术经费支出</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 xml:space="preserve">   引进境外技术经费支出</w:t>
            </w:r>
          </w:p>
          <w:p>
            <w:pPr>
              <w:widowControl/>
              <w:spacing w:line="280" w:lineRule="exact"/>
              <w:ind w:firstLine="240" w:firstLineChars="150"/>
              <w:rPr>
                <w:rFonts w:ascii="宋体" w:hAnsi="宋体" w:cs="宋体"/>
                <w:kern w:val="0"/>
                <w:sz w:val="16"/>
                <w:szCs w:val="16"/>
                <w:highlight w:val="none"/>
              </w:rPr>
            </w:pPr>
            <w:r>
              <w:rPr>
                <w:rFonts w:hint="eastAsia" w:ascii="宋体" w:hAnsi="宋体" w:cs="宋体"/>
                <w:kern w:val="0"/>
                <w:sz w:val="16"/>
                <w:szCs w:val="16"/>
                <w:highlight w:val="none"/>
              </w:rPr>
              <w:t>引进境外技术的消化吸收经费支出</w:t>
            </w:r>
          </w:p>
          <w:p>
            <w:pPr>
              <w:widowControl/>
              <w:spacing w:line="280" w:lineRule="exact"/>
              <w:rPr>
                <w:rFonts w:ascii="宋体" w:hAnsi="宋体" w:cs="宋体"/>
                <w:w w:val="90"/>
                <w:kern w:val="0"/>
                <w:sz w:val="18"/>
                <w:szCs w:val="18"/>
                <w:highlight w:val="none"/>
              </w:rPr>
            </w:pPr>
            <w:r>
              <w:rPr>
                <w:rFonts w:ascii="宋体" w:hAnsi="宋体" w:cs="宋体"/>
                <w:kern w:val="0"/>
                <w:sz w:val="15"/>
                <w:szCs w:val="18"/>
                <w:highlight w:val="none"/>
              </w:rPr>
              <w:t xml:space="preserve"> </w:t>
            </w:r>
            <w:r>
              <w:rPr>
                <w:rFonts w:ascii="宋体" w:hAnsi="宋体" w:cs="宋体"/>
                <w:kern w:val="0"/>
                <w:sz w:val="18"/>
                <w:szCs w:val="18"/>
                <w:highlight w:val="none"/>
              </w:rPr>
              <w:t>(</w:t>
            </w:r>
            <w:r>
              <w:rPr>
                <w:rFonts w:hint="eastAsia" w:ascii="宋体" w:hAnsi="宋体" w:cs="宋体"/>
                <w:kern w:val="0"/>
                <w:sz w:val="18"/>
                <w:szCs w:val="18"/>
                <w:highlight w:val="none"/>
              </w:rPr>
              <w:t>二</w:t>
            </w:r>
            <w:r>
              <w:rPr>
                <w:rFonts w:ascii="宋体" w:hAnsi="宋体" w:cs="宋体"/>
                <w:kern w:val="0"/>
                <w:sz w:val="18"/>
                <w:szCs w:val="18"/>
                <w:highlight w:val="none"/>
              </w:rPr>
              <w:t>)</w:t>
            </w:r>
            <w:r>
              <w:rPr>
                <w:rFonts w:hint="eastAsia" w:ascii="宋体" w:hAnsi="宋体" w:cs="宋体"/>
                <w:kern w:val="0"/>
                <w:sz w:val="18"/>
                <w:szCs w:val="18"/>
                <w:highlight w:val="none"/>
              </w:rPr>
              <w:t>企业</w:t>
            </w:r>
            <w:r>
              <w:rPr>
                <w:rFonts w:ascii="宋体" w:hAnsi="宋体" w:cs="宋体"/>
                <w:kern w:val="0"/>
                <w:sz w:val="18"/>
                <w:szCs w:val="18"/>
                <w:highlight w:val="none"/>
              </w:rPr>
              <w:t>办</w:t>
            </w:r>
            <w:r>
              <w:rPr>
                <w:rFonts w:hint="eastAsia" w:ascii="宋体" w:hAnsi="宋体" w:cs="宋体"/>
                <w:kern w:val="0"/>
                <w:sz w:val="18"/>
                <w:szCs w:val="18"/>
                <w:highlight w:val="none"/>
              </w:rPr>
              <w:t>研究开发机构</w:t>
            </w:r>
            <w:r>
              <w:rPr>
                <w:rFonts w:ascii="宋体" w:hAnsi="宋体" w:cs="宋体"/>
                <w:kern w:val="0"/>
                <w:sz w:val="18"/>
                <w:szCs w:val="18"/>
                <w:highlight w:val="none"/>
              </w:rPr>
              <w:t>（</w:t>
            </w:r>
            <w:r>
              <w:rPr>
                <w:rFonts w:hint="eastAsia" w:ascii="宋体" w:hAnsi="宋体" w:cs="宋体"/>
                <w:kern w:val="0"/>
                <w:sz w:val="18"/>
                <w:szCs w:val="18"/>
                <w:highlight w:val="none"/>
              </w:rPr>
              <w:t>境外</w:t>
            </w:r>
            <w:r>
              <w:rPr>
                <w:rFonts w:ascii="宋体" w:hAnsi="宋体" w:cs="宋体"/>
                <w:kern w:val="0"/>
                <w:sz w:val="18"/>
                <w:szCs w:val="18"/>
                <w:highlight w:val="none"/>
              </w:rPr>
              <w:t>）</w:t>
            </w:r>
            <w:r>
              <w:rPr>
                <w:rFonts w:hint="eastAsia" w:ascii="宋体" w:hAnsi="宋体" w:cs="宋体"/>
                <w:kern w:val="0"/>
                <w:sz w:val="18"/>
                <w:szCs w:val="18"/>
                <w:highlight w:val="none"/>
              </w:rPr>
              <w:t>情</w:t>
            </w:r>
            <w:r>
              <w:rPr>
                <w:rFonts w:hint="eastAsia" w:ascii="宋体" w:hAnsi="宋体" w:cs="宋体"/>
                <w:w w:val="90"/>
                <w:kern w:val="0"/>
                <w:sz w:val="18"/>
                <w:szCs w:val="18"/>
                <w:highlight w:val="none"/>
              </w:rPr>
              <w:t>况</w:t>
            </w:r>
          </w:p>
          <w:p>
            <w:pPr>
              <w:widowControl/>
              <w:spacing w:line="280" w:lineRule="exact"/>
              <w:ind w:firstLine="240" w:firstLineChars="150"/>
              <w:jc w:val="left"/>
              <w:rPr>
                <w:rFonts w:ascii="宋体" w:hAnsi="宋体" w:cs="宋体"/>
                <w:kern w:val="0"/>
                <w:sz w:val="16"/>
                <w:szCs w:val="16"/>
                <w:highlight w:val="none"/>
              </w:rPr>
            </w:pPr>
            <w:r>
              <w:rPr>
                <w:rFonts w:hint="eastAsia" w:ascii="宋体" w:hAnsi="宋体" w:cs="宋体"/>
                <w:kern w:val="0"/>
                <w:sz w:val="16"/>
                <w:szCs w:val="16"/>
                <w:highlight w:val="none"/>
              </w:rPr>
              <w:t>期末</w:t>
            </w:r>
            <w:r>
              <w:rPr>
                <w:rFonts w:ascii="宋体" w:hAnsi="宋体" w:cs="宋体"/>
                <w:kern w:val="0"/>
                <w:sz w:val="16"/>
                <w:szCs w:val="16"/>
                <w:highlight w:val="none"/>
              </w:rPr>
              <w:t>企业在境外设立的研究开发机构数</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（三）资金保障情况</w:t>
            </w:r>
          </w:p>
          <w:p>
            <w:pPr>
              <w:widowControl/>
              <w:spacing w:line="280" w:lineRule="exact"/>
              <w:jc w:val="left"/>
              <w:rPr>
                <w:rFonts w:ascii="宋体" w:hAnsi="宋体" w:cs="宋体"/>
                <w:kern w:val="0"/>
                <w:sz w:val="16"/>
                <w:szCs w:val="16"/>
                <w:highlight w:val="none"/>
              </w:rPr>
            </w:pPr>
            <w:r>
              <w:rPr>
                <w:rFonts w:hint="eastAsia" w:ascii="宋体" w:hAnsi="宋体" w:cs="宋体"/>
                <w:kern w:val="0"/>
                <w:sz w:val="18"/>
                <w:szCs w:val="18"/>
                <w:highlight w:val="none"/>
              </w:rPr>
              <w:t xml:space="preserve">   当年企业研发准备金合计</w:t>
            </w:r>
          </w:p>
        </w:tc>
        <w:tc>
          <w:tcPr>
            <w:tcW w:w="362" w:type="pct"/>
            <w:tcBorders>
              <w:bottom w:val="single" w:color="auto" w:sz="4" w:space="0"/>
            </w:tcBorders>
            <w:noWrap w:val="0"/>
            <w:vAlign w:val="top"/>
          </w:tcPr>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个</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人</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件</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件</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件</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件</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件</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篇</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项</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tabs>
                <w:tab w:val="center" w:pos="227"/>
              </w:tabs>
              <w:spacing w:line="280" w:lineRule="exact"/>
              <w:rPr>
                <w:rFonts w:ascii="宋体" w:hAnsi="宋体" w:cs="宋体"/>
                <w:kern w:val="0"/>
                <w:sz w:val="18"/>
                <w:szCs w:val="18"/>
                <w:highlight w:val="none"/>
              </w:rPr>
            </w:pPr>
            <w:r>
              <w:rPr>
                <w:rFonts w:ascii="宋体" w:hAnsi="宋体" w:cs="宋体"/>
                <w:kern w:val="0"/>
                <w:sz w:val="18"/>
                <w:szCs w:val="18"/>
                <w:highlight w:val="none"/>
              </w:rPr>
              <w:tab/>
            </w: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千元</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ind w:firstLine="180" w:firstLineChars="100"/>
              <w:rPr>
                <w:rFonts w:hint="eastAsia" w:ascii="宋体" w:hAnsi="宋体" w:cs="宋体"/>
                <w:kern w:val="0"/>
                <w:sz w:val="18"/>
                <w:szCs w:val="18"/>
                <w:highlight w:val="none"/>
              </w:rPr>
            </w:pPr>
            <w:r>
              <w:rPr>
                <w:rFonts w:hint="eastAsia" w:ascii="宋体" w:hAnsi="宋体" w:cs="宋体"/>
                <w:kern w:val="0"/>
                <w:sz w:val="18"/>
                <w:szCs w:val="18"/>
                <w:highlight w:val="none"/>
              </w:rPr>
              <w:t>个</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hint="eastAsia" w:ascii="宋体" w:hAnsi="宋体" w:cs="宋体"/>
                <w:kern w:val="0"/>
                <w:sz w:val="18"/>
                <w:szCs w:val="18"/>
                <w:highlight w:val="none"/>
              </w:rPr>
            </w:pPr>
            <w:r>
              <w:rPr>
                <w:rFonts w:hint="eastAsia" w:ascii="宋体" w:hAnsi="宋体" w:cs="宋体"/>
                <w:kern w:val="0"/>
                <w:sz w:val="18"/>
                <w:szCs w:val="18"/>
                <w:highlight w:val="none"/>
              </w:rPr>
              <w:t>千元</w:t>
            </w:r>
          </w:p>
        </w:tc>
        <w:tc>
          <w:tcPr>
            <w:tcW w:w="216" w:type="pct"/>
            <w:tcBorders>
              <w:bottom w:val="single" w:color="auto" w:sz="4" w:space="0"/>
              <w:right w:val="single" w:color="auto" w:sz="2" w:space="0"/>
            </w:tcBorders>
            <w:noWrap/>
            <w:vAlign w:val="top"/>
          </w:tcPr>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22</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23</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24</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25</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26</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27</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29</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3</w:t>
            </w:r>
            <w:r>
              <w:rPr>
                <w:rFonts w:ascii="宋体" w:hAnsi="宋体" w:cs="宋体"/>
                <w:kern w:val="0"/>
                <w:sz w:val="18"/>
                <w:szCs w:val="18"/>
                <w:highlight w:val="none"/>
              </w:rPr>
              <w:t>0</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3</w:t>
            </w:r>
            <w:r>
              <w:rPr>
                <w:rFonts w:ascii="宋体" w:hAnsi="宋体" w:cs="宋体"/>
                <w:kern w:val="0"/>
                <w:sz w:val="18"/>
                <w:szCs w:val="18"/>
                <w:highlight w:val="none"/>
              </w:rPr>
              <w:t>2</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3</w:t>
            </w:r>
            <w:r>
              <w:rPr>
                <w:rFonts w:ascii="宋体" w:hAnsi="宋体" w:cs="宋体"/>
                <w:kern w:val="0"/>
                <w:sz w:val="18"/>
                <w:szCs w:val="18"/>
                <w:highlight w:val="none"/>
              </w:rPr>
              <w:t>3</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36</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37</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38</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40</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41</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tabs>
                <w:tab w:val="center" w:pos="227"/>
              </w:tabs>
              <w:spacing w:line="280" w:lineRule="exact"/>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4</w:t>
            </w:r>
            <w:r>
              <w:rPr>
                <w:rFonts w:hint="eastAsia" w:ascii="宋体" w:hAnsi="宋体" w:cs="宋体"/>
                <w:kern w:val="0"/>
                <w:sz w:val="18"/>
                <w:szCs w:val="18"/>
                <w:highlight w:val="none"/>
              </w:rPr>
              <w:t>6</w:t>
            </w:r>
          </w:p>
          <w:p>
            <w:pPr>
              <w:widowControl/>
              <w:spacing w:line="280" w:lineRule="exact"/>
              <w:jc w:val="center"/>
              <w:rPr>
                <w:rFonts w:ascii="宋体" w:hAnsi="宋体" w:cs="宋体"/>
                <w:kern w:val="0"/>
                <w:sz w:val="18"/>
                <w:szCs w:val="18"/>
                <w:highlight w:val="none"/>
              </w:rPr>
            </w:pPr>
            <w:r>
              <w:rPr>
                <w:rFonts w:ascii="宋体" w:hAnsi="宋体" w:cs="宋体"/>
                <w:kern w:val="0"/>
                <w:sz w:val="18"/>
                <w:szCs w:val="18"/>
                <w:highlight w:val="none"/>
              </w:rPr>
              <w:t>4</w:t>
            </w:r>
            <w:r>
              <w:rPr>
                <w:rFonts w:hint="eastAsia" w:ascii="宋体" w:hAnsi="宋体" w:cs="宋体"/>
                <w:kern w:val="0"/>
                <w:sz w:val="18"/>
                <w:szCs w:val="18"/>
                <w:highlight w:val="none"/>
              </w:rPr>
              <w:t>7</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48</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49</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rPr>
                <w:rFonts w:hint="eastAsia" w:ascii="宋体" w:hAnsi="宋体" w:cs="宋体"/>
                <w:kern w:val="0"/>
                <w:sz w:val="18"/>
                <w:szCs w:val="18"/>
                <w:highlight w:val="none"/>
              </w:rPr>
            </w:pPr>
            <w:r>
              <w:rPr>
                <w:rFonts w:hint="eastAsia" w:ascii="宋体" w:hAnsi="宋体" w:cs="宋体"/>
                <w:kern w:val="0"/>
                <w:sz w:val="18"/>
                <w:szCs w:val="18"/>
                <w:highlight w:val="none"/>
              </w:rPr>
              <w:t>50</w:t>
            </w:r>
          </w:p>
          <w:p>
            <w:pPr>
              <w:widowControl/>
              <w:spacing w:line="280" w:lineRule="exact"/>
              <w:jc w:val="center"/>
              <w:rPr>
                <w:rFonts w:ascii="宋体" w:hAnsi="宋体" w:cs="宋体"/>
                <w:kern w:val="0"/>
                <w:sz w:val="18"/>
                <w:szCs w:val="18"/>
                <w:highlight w:val="none"/>
              </w:rPr>
            </w:pPr>
            <w:r>
              <w:rPr>
                <w:rFonts w:hint="eastAsia" w:ascii="宋体" w:hAnsi="宋体" w:cs="宋体"/>
                <w:kern w:val="0"/>
                <w:sz w:val="18"/>
                <w:szCs w:val="18"/>
                <w:highlight w:val="none"/>
              </w:rPr>
              <w:t>—</w:t>
            </w:r>
          </w:p>
          <w:p>
            <w:pPr>
              <w:widowControl/>
              <w:spacing w:line="280" w:lineRule="exact"/>
              <w:rPr>
                <w:rFonts w:ascii="宋体" w:hAnsi="宋体" w:cs="宋体"/>
                <w:kern w:val="0"/>
                <w:sz w:val="18"/>
                <w:szCs w:val="18"/>
                <w:highlight w:val="none"/>
              </w:rPr>
            </w:pPr>
            <w:r>
              <w:rPr>
                <w:rFonts w:hint="eastAsia" w:ascii="宋体" w:hAnsi="宋体" w:cs="宋体"/>
                <w:kern w:val="0"/>
                <w:sz w:val="18"/>
                <w:szCs w:val="18"/>
                <w:highlight w:val="none"/>
              </w:rPr>
              <w:t>59</w:t>
            </w:r>
          </w:p>
        </w:tc>
        <w:tc>
          <w:tcPr>
            <w:tcW w:w="215" w:type="pct"/>
            <w:tcBorders>
              <w:top w:val="single" w:color="auto" w:sz="2" w:space="0"/>
              <w:left w:val="single" w:color="auto" w:sz="2" w:space="0"/>
              <w:bottom w:val="single" w:color="auto" w:sz="4" w:space="0"/>
            </w:tcBorders>
            <w:noWrap w:val="0"/>
            <w:vAlign w:val="top"/>
          </w:tcPr>
          <w:p>
            <w:pPr>
              <w:widowControl/>
              <w:spacing w:line="280" w:lineRule="exact"/>
              <w:jc w:val="center"/>
              <w:rPr>
                <w:rFonts w:ascii="宋体" w:hAnsi="宋体" w:cs="宋体"/>
                <w:kern w:val="0"/>
                <w:sz w:val="18"/>
                <w:szCs w:val="18"/>
                <w:highlight w:val="none"/>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553" w:hRule="atLeast"/>
          <w:jc w:val="center"/>
        </w:trPr>
        <w:tc>
          <w:tcPr>
            <w:tcW w:w="5000" w:type="pct"/>
            <w:gridSpan w:val="20"/>
            <w:tcBorders>
              <w:top w:val="single" w:color="auto" w:sz="2" w:space="0"/>
              <w:bottom w:val="single" w:color="auto" w:sz="8" w:space="0"/>
            </w:tcBorders>
            <w:noWrap/>
            <w:vAlign w:val="top"/>
          </w:tcPr>
          <w:p>
            <w:pPr>
              <w:widowControl/>
              <w:spacing w:line="280" w:lineRule="exact"/>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△补充资料：2024年申报研发加计扣除申报政策情况（年度汇缴优惠明细表）</w:t>
            </w:r>
          </w:p>
          <w:p>
            <w:pPr>
              <w:widowControl/>
              <w:spacing w:line="280" w:lineRule="exact"/>
              <w:jc w:val="left"/>
              <w:rPr>
                <w:rFonts w:ascii="宋体" w:hAnsi="宋体" w:cs="宋体"/>
                <w:kern w:val="0"/>
                <w:sz w:val="18"/>
                <w:szCs w:val="18"/>
                <w:highlight w:val="none"/>
                <w:u w:val="single"/>
              </w:rPr>
            </w:pPr>
            <w:r>
              <w:rPr>
                <w:rFonts w:hint="eastAsia" w:ascii="宋体" w:hAnsi="宋体" w:cs="宋体"/>
                <w:kern w:val="0"/>
                <w:sz w:val="18"/>
                <w:szCs w:val="18"/>
                <w:highlight w:val="none"/>
              </w:rPr>
              <w:t xml:space="preserve">    1.自主研发、合作研发、集中研发费用（60）</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  </w:t>
            </w:r>
            <w:r>
              <w:rPr>
                <w:rFonts w:hint="eastAsia" w:ascii="宋体" w:hAnsi="宋体" w:cs="宋体"/>
                <w:kern w:val="0"/>
                <w:sz w:val="18"/>
                <w:szCs w:val="18"/>
                <w:highlight w:val="none"/>
                <w:u w:val="single"/>
              </w:rPr>
              <w:t xml:space="preserve">              </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其中：人员人工费用（61）</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 </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直接投入费用（62）</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 </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2.委托研发费用（63）</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 </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3.允许扣除的研发费用合计（64）</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 </w:t>
            </w:r>
          </w:p>
          <w:p>
            <w:pPr>
              <w:widowControl/>
              <w:spacing w:line="28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其中：</w:t>
            </w:r>
            <w:r>
              <w:rPr>
                <w:rFonts w:hint="eastAsia" w:ascii="汉仪书宋二S" w:hAnsi="汉仪书宋二S" w:eastAsia="汉仪书宋二S" w:cs="汉仪书宋二S"/>
                <w:kern w:val="0"/>
                <w:sz w:val="18"/>
                <w:szCs w:val="18"/>
                <w:highlight w:val="none"/>
              </w:rPr>
              <w:t>①</w:t>
            </w:r>
            <w:r>
              <w:rPr>
                <w:rFonts w:hint="eastAsia" w:ascii="宋体" w:hAnsi="宋体" w:cs="宋体"/>
                <w:kern w:val="0"/>
                <w:sz w:val="18"/>
                <w:szCs w:val="18"/>
                <w:highlight w:val="none"/>
              </w:rPr>
              <w:t>特殊收入部分（65）</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w:t>
            </w:r>
          </w:p>
          <w:p>
            <w:pPr>
              <w:widowControl/>
              <w:spacing w:line="24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w:t>
            </w:r>
            <w:r>
              <w:rPr>
                <w:rFonts w:hint="eastAsia" w:ascii="汉仪书宋二S" w:hAnsi="汉仪书宋二S" w:eastAsia="汉仪书宋二S" w:cs="汉仪书宋二S"/>
                <w:kern w:val="0"/>
                <w:sz w:val="18"/>
                <w:szCs w:val="18"/>
                <w:highlight w:val="none"/>
              </w:rPr>
              <w:t>②</w:t>
            </w:r>
            <w:r>
              <w:rPr>
                <w:rFonts w:hint="eastAsia" w:ascii="宋体" w:hAnsi="宋体" w:cs="宋体"/>
                <w:kern w:val="0"/>
                <w:sz w:val="18"/>
                <w:szCs w:val="18"/>
                <w:highlight w:val="none"/>
              </w:rPr>
              <w:t>当年销售研发活动直接形成产品（包括组成部分）对应的材料部分（66）</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w:t>
            </w:r>
          </w:p>
          <w:p>
            <w:pPr>
              <w:widowControl/>
              <w:spacing w:line="240" w:lineRule="exact"/>
              <w:jc w:val="left"/>
              <w:rPr>
                <w:rFonts w:hint="eastAsia" w:ascii="宋体" w:hAnsi="宋体" w:cs="宋体"/>
                <w:kern w:val="0"/>
                <w:sz w:val="18"/>
                <w:szCs w:val="18"/>
                <w:highlight w:val="none"/>
              </w:rPr>
            </w:pPr>
            <w:r>
              <w:rPr>
                <w:rFonts w:hint="eastAsia" w:ascii="宋体" w:hAnsi="宋体" w:cs="宋体"/>
                <w:kern w:val="0"/>
                <w:sz w:val="18"/>
                <w:szCs w:val="18"/>
                <w:highlight w:val="none"/>
              </w:rPr>
              <w:t xml:space="preserve">            </w:t>
            </w:r>
            <w:r>
              <w:rPr>
                <w:rFonts w:hint="eastAsia" w:ascii="汉仪书宋二S" w:hAnsi="汉仪书宋二S" w:eastAsia="汉仪书宋二S" w:cs="汉仪书宋二S"/>
                <w:kern w:val="0"/>
                <w:sz w:val="18"/>
                <w:szCs w:val="18"/>
                <w:highlight w:val="none"/>
              </w:rPr>
              <w:t>③</w:t>
            </w:r>
            <w:r>
              <w:rPr>
                <w:rFonts w:hint="eastAsia" w:ascii="宋体" w:hAnsi="宋体" w:cs="宋体"/>
                <w:kern w:val="0"/>
                <w:sz w:val="18"/>
                <w:szCs w:val="18"/>
                <w:highlight w:val="none"/>
              </w:rPr>
              <w:t>以前年度销售研发活动直接形成产品（包括组成部分）对应的材料部分结转金额（67）</w:t>
            </w:r>
            <w:r>
              <w:rPr>
                <w:rFonts w:hint="eastAsia" w:ascii="宋体" w:hAnsi="宋体" w:cs="宋体"/>
                <w:kern w:val="0"/>
                <w:sz w:val="18"/>
                <w:szCs w:val="18"/>
                <w:highlight w:val="none"/>
                <w:u w:val="single"/>
              </w:rPr>
              <w:t xml:space="preserve">      </w:t>
            </w:r>
            <w:r>
              <w:rPr>
                <w:rFonts w:hint="eastAsia" w:ascii="宋体" w:hAnsi="宋体" w:cs="宋体"/>
                <w:kern w:val="0"/>
                <w:sz w:val="18"/>
                <w:szCs w:val="18"/>
                <w:highlight w:val="none"/>
              </w:rPr>
              <w:t xml:space="preserve"> 千元</w:t>
            </w:r>
          </w:p>
        </w:tc>
      </w:tr>
    </w:tbl>
    <w:p>
      <w:pPr>
        <w:keepNext w:val="0"/>
        <w:keepLines w:val="0"/>
        <w:pageBreakBefore w:val="0"/>
        <w:widowControl w:val="0"/>
        <w:kinsoku/>
        <w:wordWrap/>
        <w:overflowPunct/>
        <w:topLinePunct w:val="0"/>
        <w:autoSpaceDE/>
        <w:autoSpaceDN/>
        <w:bidi w:val="0"/>
        <w:adjustRightInd/>
        <w:snapToGrid/>
        <w:spacing w:line="240" w:lineRule="exact"/>
        <w:ind w:left="105" w:leftChars="50" w:right="84" w:rightChars="4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单位负责人：      　统计负责人：      　填表人：    　　  联系电话：        报出日期：</w:t>
      </w:r>
      <w:r>
        <w:rPr>
          <w:rFonts w:hint="eastAsia" w:asciiTheme="minorEastAsia" w:hAnsiTheme="minorEastAsia" w:eastAsiaTheme="minorEastAsia" w:cstheme="minorEastAsia"/>
          <w:kern w:val="0"/>
          <w:sz w:val="18"/>
          <w:szCs w:val="18"/>
          <w:lang w:val="en-US" w:eastAsia="zh-CN"/>
        </w:rPr>
        <w:t>2 0</w:t>
      </w:r>
      <w:r>
        <w:rPr>
          <w:rFonts w:hint="eastAsia" w:asciiTheme="minorEastAsia" w:hAnsiTheme="minorEastAsia" w:eastAsiaTheme="minorEastAsia" w:cstheme="minorEastAsia"/>
          <w:kern w:val="0"/>
          <w:sz w:val="18"/>
          <w:szCs w:val="18"/>
        </w:rPr>
        <w:t xml:space="preserve">    年   月   日</w:t>
      </w:r>
    </w:p>
    <w:p>
      <w:pPr>
        <w:spacing w:line="240" w:lineRule="exact"/>
        <w:rPr>
          <w:rFonts w:hint="eastAsia" w:asciiTheme="minorEastAsia" w:hAnsiTheme="minorEastAsia" w:eastAsiaTheme="minorEastAsia" w:cstheme="minorEastAsia"/>
          <w:kern w:val="0"/>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1653" w:leftChars="50" w:right="84" w:rightChars="40" w:hanging="1548" w:hangingChars="86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说明：1.统计范围：</w:t>
      </w:r>
      <w:r>
        <w:rPr>
          <w:rFonts w:hint="eastAsia" w:asciiTheme="minorEastAsia" w:hAnsiTheme="minorEastAsia" w:eastAsiaTheme="minorEastAsia" w:cstheme="minorEastAsia"/>
          <w:sz w:val="18"/>
          <w:szCs w:val="18"/>
        </w:rPr>
        <w:t>辖区内规模以上工业企业法人单位</w:t>
      </w:r>
      <w:r>
        <w:rPr>
          <w:rFonts w:hint="eastAsia" w:asciiTheme="minorEastAsia" w:hAnsiTheme="minorEastAsia" w:eastAsiaTheme="minorEastAsia" w:cstheme="minorEastAsia"/>
          <w:kern w:val="0"/>
          <w:sz w:val="18"/>
          <w:szCs w:val="18"/>
        </w:rPr>
        <w:t>。</w:t>
      </w:r>
    </w:p>
    <w:p>
      <w:pPr>
        <w:keepNext w:val="0"/>
        <w:keepLines w:val="0"/>
        <w:pageBreakBefore w:val="0"/>
        <w:widowControl w:val="0"/>
        <w:kinsoku/>
        <w:wordWrap/>
        <w:overflowPunct/>
        <w:topLinePunct w:val="0"/>
        <w:autoSpaceDE/>
        <w:autoSpaceDN/>
        <w:bidi w:val="0"/>
        <w:adjustRightInd/>
        <w:snapToGrid/>
        <w:spacing w:line="240" w:lineRule="exact"/>
        <w:ind w:left="2160" w:leftChars="300" w:right="105" w:rightChars="50" w:hanging="1530" w:hangingChars="85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2.报送日期及方式：调查单位202</w:t>
      </w:r>
      <w:r>
        <w:rPr>
          <w:rFonts w:hint="eastAsia" w:asciiTheme="minorEastAsia" w:hAnsiTheme="minorEastAsia" w:eastAsiaTheme="minorEastAsia" w:cstheme="minorEastAsia"/>
          <w:kern w:val="0"/>
          <w:sz w:val="18"/>
          <w:szCs w:val="18"/>
          <w:lang w:val="en-US" w:eastAsia="zh-CN"/>
        </w:rPr>
        <w:t>6</w:t>
      </w:r>
      <w:r>
        <w:rPr>
          <w:rFonts w:hint="eastAsia" w:asciiTheme="minorEastAsia" w:hAnsiTheme="minorEastAsia" w:eastAsiaTheme="minorEastAsia" w:cstheme="minorEastAsia"/>
          <w:kern w:val="0"/>
          <w:sz w:val="18"/>
          <w:szCs w:val="18"/>
        </w:rPr>
        <w:t>年3月1</w:t>
      </w:r>
      <w:r>
        <w:rPr>
          <w:rFonts w:hint="eastAsia" w:asciiTheme="minorEastAsia" w:hAnsiTheme="minorEastAsia" w:eastAsiaTheme="minorEastAsia" w:cstheme="minorEastAsia"/>
          <w:kern w:val="0"/>
          <w:sz w:val="18"/>
          <w:szCs w:val="18"/>
          <w:lang w:val="en-US" w:eastAsia="zh-CN"/>
        </w:rPr>
        <w:t>6</w:t>
      </w:r>
      <w:r>
        <w:rPr>
          <w:rFonts w:hint="eastAsia" w:asciiTheme="minorEastAsia" w:hAnsiTheme="minorEastAsia" w:eastAsiaTheme="minorEastAsia" w:cstheme="minorEastAsia"/>
          <w:kern w:val="0"/>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kern w:val="0"/>
          <w:sz w:val="18"/>
          <w:szCs w:val="18"/>
        </w:rPr>
        <w:t>。</w:t>
      </w:r>
    </w:p>
    <w:p>
      <w:pPr>
        <w:keepNext w:val="0"/>
        <w:keepLines w:val="0"/>
        <w:pageBreakBefore w:val="0"/>
        <w:widowControl w:val="0"/>
        <w:kinsoku/>
        <w:wordWrap/>
        <w:overflowPunct/>
        <w:topLinePunct w:val="0"/>
        <w:autoSpaceDE/>
        <w:autoSpaceDN/>
        <w:bidi w:val="0"/>
        <w:adjustRightInd/>
        <w:snapToGrid/>
        <w:spacing w:line="240" w:lineRule="exact"/>
        <w:ind w:left="1710" w:leftChars="300" w:hanging="1080" w:hangingChars="60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3.</w:t>
      </w:r>
      <w:r>
        <w:rPr>
          <w:rFonts w:hint="default" w:asciiTheme="minorEastAsia" w:hAnsiTheme="minorEastAsia" w:eastAsiaTheme="minorEastAsia" w:cstheme="minorEastAsia"/>
          <w:kern w:val="0"/>
          <w:sz w:val="18"/>
          <w:szCs w:val="18"/>
          <w:lang w:val="en"/>
        </w:rPr>
        <w:t>数据填报要求：</w:t>
      </w:r>
      <w:r>
        <w:rPr>
          <w:rFonts w:hint="eastAsia" w:asciiTheme="minorEastAsia" w:hAnsiTheme="minorEastAsia" w:eastAsiaTheme="minorEastAsia" w:cstheme="minorEastAsia"/>
          <w:kern w:val="0"/>
          <w:sz w:val="18"/>
          <w:szCs w:val="18"/>
        </w:rPr>
        <w:t>标注“*”的指标限规模以上工业企业法人单位填报。</w:t>
      </w:r>
    </w:p>
    <w:p>
      <w:pPr>
        <w:keepNext w:val="0"/>
        <w:keepLines w:val="0"/>
        <w:pageBreakBefore w:val="0"/>
        <w:widowControl w:val="0"/>
        <w:kinsoku/>
        <w:wordWrap/>
        <w:overflowPunct/>
        <w:topLinePunct w:val="0"/>
        <w:autoSpaceDE/>
        <w:autoSpaceDN/>
        <w:bidi w:val="0"/>
        <w:adjustRightInd/>
        <w:snapToGrid/>
        <w:spacing w:line="240" w:lineRule="exact"/>
        <w:ind w:left="1710" w:leftChars="300" w:hanging="1080" w:hangingChars="600"/>
        <w:textAlignment w:val="auto"/>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4.审核关系：</w:t>
      </w:r>
    </w:p>
    <w:p>
      <w:pPr>
        <w:spacing w:line="300" w:lineRule="exact"/>
        <w:ind w:left="1622" w:leftChars="344" w:hanging="900" w:hangingChars="500"/>
        <w:rPr>
          <w:rFonts w:ascii="宋体" w:hAnsi="宋体" w:cs="宋体"/>
          <w:color w:val="auto"/>
          <w:kern w:val="0"/>
          <w:sz w:val="18"/>
          <w:szCs w:val="18"/>
        </w:rPr>
      </w:pPr>
      <w:r>
        <w:rPr>
          <w:rFonts w:hint="eastAsia" w:ascii="宋体" w:hAnsi="宋体" w:cs="宋体"/>
          <w:color w:val="auto"/>
          <w:kern w:val="0"/>
          <w:sz w:val="18"/>
          <w:szCs w:val="18"/>
        </w:rPr>
        <w:t>表内审核：</w:t>
      </w:r>
      <w:r>
        <w:rPr>
          <w:rFonts w:ascii="宋体" w:hAnsi="宋体" w:cs="宋体"/>
          <w:color w:val="auto"/>
          <w:kern w:val="0"/>
          <w:sz w:val="18"/>
          <w:szCs w:val="18"/>
        </w:rPr>
        <w:t xml:space="preserve">  </w:t>
      </w:r>
    </w:p>
    <w:p>
      <w:pPr>
        <w:spacing w:line="300" w:lineRule="exact"/>
        <w:ind w:left="1622" w:leftChars="387" w:hanging="810" w:hangingChars="450"/>
        <w:rPr>
          <w:rFonts w:ascii="宋体" w:hAnsi="宋体" w:cs="宋体"/>
          <w:color w:val="auto"/>
          <w:kern w:val="0"/>
          <w:sz w:val="18"/>
          <w:szCs w:val="18"/>
        </w:rPr>
      </w:pPr>
      <w:r>
        <w:rPr>
          <w:rFonts w:ascii="宋体" w:hAnsi="宋体" w:cs="宋体"/>
          <w:color w:val="auto"/>
          <w:kern w:val="0"/>
          <w:sz w:val="18"/>
          <w:szCs w:val="18"/>
        </w:rPr>
        <w:t>(1)1</w:t>
      </w:r>
      <w:r>
        <w:rPr>
          <w:rFonts w:hint="eastAsia" w:ascii="宋体" w:hAnsi="宋体" w:cs="宋体"/>
          <w:color w:val="auto"/>
          <w:kern w:val="0"/>
          <w:sz w:val="18"/>
          <w:szCs w:val="18"/>
        </w:rPr>
        <w:t>≥</w:t>
      </w:r>
      <w:r>
        <w:rPr>
          <w:rFonts w:ascii="宋体" w:hAnsi="宋体" w:cs="宋体"/>
          <w:color w:val="auto"/>
          <w:kern w:val="0"/>
          <w:sz w:val="18"/>
          <w:szCs w:val="18"/>
        </w:rPr>
        <w:t>2</w:t>
      </w:r>
      <w:r>
        <w:rPr>
          <w:rFonts w:hint="eastAsia" w:ascii="宋体" w:hAnsi="宋体" w:cs="宋体"/>
          <w:color w:val="auto"/>
          <w:kern w:val="0"/>
          <w:sz w:val="18"/>
          <w:szCs w:val="18"/>
        </w:rPr>
        <w:t xml:space="preserve">    </w:t>
      </w:r>
      <w:r>
        <w:rPr>
          <w:rFonts w:ascii="宋体" w:hAnsi="宋体" w:cs="宋体"/>
          <w:color w:val="auto"/>
          <w:kern w:val="0"/>
          <w:sz w:val="18"/>
          <w:szCs w:val="18"/>
        </w:rPr>
        <w:t>(2)1</w:t>
      </w:r>
      <w:r>
        <w:rPr>
          <w:rFonts w:hint="eastAsia" w:ascii="宋体" w:hAnsi="宋体" w:cs="宋体"/>
          <w:color w:val="auto"/>
          <w:kern w:val="0"/>
          <w:sz w:val="18"/>
          <w:szCs w:val="18"/>
        </w:rPr>
        <w:t>≥</w:t>
      </w:r>
      <w:r>
        <w:rPr>
          <w:rFonts w:ascii="宋体" w:hAnsi="宋体" w:cs="宋体"/>
          <w:color w:val="auto"/>
          <w:kern w:val="0"/>
          <w:sz w:val="18"/>
          <w:szCs w:val="18"/>
        </w:rPr>
        <w:t>3</w:t>
      </w:r>
      <w:r>
        <w:rPr>
          <w:rFonts w:hint="eastAsia" w:ascii="宋体" w:hAnsi="宋体" w:cs="宋体"/>
          <w:color w:val="auto"/>
          <w:kern w:val="0"/>
          <w:sz w:val="18"/>
          <w:szCs w:val="18"/>
        </w:rPr>
        <w:t xml:space="preserve">    </w:t>
      </w:r>
      <w:r>
        <w:rPr>
          <w:rFonts w:ascii="宋体" w:hAnsi="宋体" w:cs="宋体"/>
          <w:color w:val="auto"/>
          <w:kern w:val="0"/>
          <w:sz w:val="18"/>
          <w:szCs w:val="18"/>
        </w:rPr>
        <w:t>(3)1</w:t>
      </w:r>
      <w:r>
        <w:rPr>
          <w:rFonts w:hint="eastAsia" w:ascii="宋体" w:hAnsi="宋体" w:cs="宋体"/>
          <w:color w:val="auto"/>
          <w:kern w:val="0"/>
          <w:sz w:val="18"/>
          <w:szCs w:val="18"/>
        </w:rPr>
        <w:t>≥</w:t>
      </w:r>
      <w:r>
        <w:rPr>
          <w:rFonts w:ascii="宋体" w:hAnsi="宋体" w:cs="宋体"/>
          <w:color w:val="auto"/>
          <w:kern w:val="0"/>
          <w:sz w:val="18"/>
          <w:szCs w:val="18"/>
        </w:rPr>
        <w:t>4</w:t>
      </w:r>
      <w:r>
        <w:rPr>
          <w:rFonts w:hint="eastAsia" w:ascii="宋体" w:hAnsi="宋体" w:cs="宋体"/>
          <w:color w:val="auto"/>
          <w:kern w:val="0"/>
          <w:sz w:val="18"/>
          <w:szCs w:val="18"/>
        </w:rPr>
        <w:t xml:space="preserve">  </w:t>
      </w:r>
      <w:r>
        <w:rPr>
          <w:rFonts w:ascii="宋体" w:hAnsi="宋体" w:cs="宋体"/>
          <w:color w:val="auto"/>
          <w:kern w:val="0"/>
          <w:sz w:val="18"/>
          <w:szCs w:val="18"/>
        </w:rPr>
        <w:t xml:space="preserve"> (4)1</w:t>
      </w:r>
      <w:r>
        <w:rPr>
          <w:rFonts w:hint="eastAsia" w:ascii="宋体" w:hAnsi="宋体" w:cs="宋体"/>
          <w:color w:val="auto"/>
          <w:kern w:val="0"/>
          <w:sz w:val="18"/>
          <w:szCs w:val="18"/>
        </w:rPr>
        <w:t>≥</w:t>
      </w:r>
      <w:r>
        <w:rPr>
          <w:rFonts w:ascii="宋体" w:hAnsi="宋体" w:cs="宋体"/>
          <w:color w:val="auto"/>
          <w:kern w:val="0"/>
          <w:sz w:val="18"/>
          <w:szCs w:val="18"/>
        </w:rPr>
        <w:t>5</w:t>
      </w:r>
      <w:r>
        <w:rPr>
          <w:rFonts w:hint="eastAsia" w:ascii="宋体" w:hAnsi="宋体" w:cs="宋体"/>
          <w:color w:val="auto"/>
          <w:kern w:val="0"/>
          <w:sz w:val="18"/>
          <w:szCs w:val="18"/>
        </w:rPr>
        <w:t>≥</w:t>
      </w:r>
      <w:r>
        <w:rPr>
          <w:rFonts w:ascii="宋体" w:hAnsi="宋体" w:cs="宋体"/>
          <w:color w:val="auto"/>
          <w:kern w:val="0"/>
          <w:sz w:val="18"/>
          <w:szCs w:val="18"/>
        </w:rPr>
        <w:t>24+25</w:t>
      </w:r>
      <w:r>
        <w:rPr>
          <w:rFonts w:hint="eastAsia" w:ascii="宋体" w:hAnsi="宋体" w:cs="宋体"/>
          <w:color w:val="auto"/>
          <w:kern w:val="0"/>
          <w:sz w:val="18"/>
          <w:szCs w:val="18"/>
        </w:rPr>
        <w:t xml:space="preserve">   </w:t>
      </w:r>
      <w:r>
        <w:rPr>
          <w:rFonts w:ascii="宋体" w:hAnsi="宋体" w:cs="宋体"/>
          <w:color w:val="auto"/>
          <w:kern w:val="0"/>
          <w:sz w:val="18"/>
          <w:szCs w:val="18"/>
        </w:rPr>
        <w:t xml:space="preserve"> (</w:t>
      </w:r>
      <w:r>
        <w:rPr>
          <w:rFonts w:hint="eastAsia" w:ascii="宋体" w:hAnsi="宋体" w:cs="宋体"/>
          <w:color w:val="auto"/>
          <w:kern w:val="0"/>
          <w:sz w:val="18"/>
          <w:szCs w:val="18"/>
        </w:rPr>
        <w:t>5</w:t>
      </w:r>
      <w:r>
        <w:rPr>
          <w:rFonts w:ascii="宋体" w:hAnsi="宋体" w:cs="宋体"/>
          <w:color w:val="auto"/>
          <w:kern w:val="0"/>
          <w:sz w:val="18"/>
          <w:szCs w:val="18"/>
        </w:rPr>
        <w:t>)1</w:t>
      </w:r>
      <w:r>
        <w:rPr>
          <w:rFonts w:hint="eastAsia" w:ascii="宋体" w:hAnsi="宋体" w:cs="宋体"/>
          <w:color w:val="auto"/>
          <w:kern w:val="0"/>
          <w:sz w:val="18"/>
          <w:szCs w:val="18"/>
        </w:rPr>
        <w:t>≥6</w:t>
      </w:r>
      <w:r>
        <w:rPr>
          <w:rFonts w:ascii="宋体" w:hAnsi="宋体" w:cs="宋体"/>
          <w:color w:val="auto"/>
          <w:kern w:val="0"/>
          <w:sz w:val="18"/>
          <w:szCs w:val="18"/>
        </w:rPr>
        <w:t xml:space="preserve"> </w:t>
      </w:r>
      <w:r>
        <w:rPr>
          <w:rFonts w:hint="eastAsia" w:ascii="宋体" w:hAnsi="宋体" w:cs="宋体"/>
          <w:color w:val="auto"/>
          <w:kern w:val="0"/>
          <w:sz w:val="18"/>
          <w:szCs w:val="18"/>
        </w:rPr>
        <w:t xml:space="preserve">    </w:t>
      </w:r>
      <w:r>
        <w:rPr>
          <w:rFonts w:ascii="宋体" w:hAnsi="宋体" w:cs="宋体"/>
          <w:color w:val="auto"/>
          <w:kern w:val="0"/>
          <w:sz w:val="18"/>
          <w:szCs w:val="18"/>
        </w:rPr>
        <w:t>(</w:t>
      </w:r>
      <w:r>
        <w:rPr>
          <w:rFonts w:hint="eastAsia" w:ascii="宋体" w:hAnsi="宋体" w:cs="宋体"/>
          <w:color w:val="auto"/>
          <w:kern w:val="0"/>
          <w:sz w:val="18"/>
          <w:szCs w:val="18"/>
        </w:rPr>
        <w:t>6</w:t>
      </w:r>
      <w:r>
        <w:rPr>
          <w:rFonts w:ascii="宋体" w:hAnsi="宋体" w:cs="宋体"/>
          <w:color w:val="auto"/>
          <w:kern w:val="0"/>
          <w:sz w:val="18"/>
          <w:szCs w:val="18"/>
        </w:rPr>
        <w:t>)1</w:t>
      </w:r>
      <w:r>
        <w:rPr>
          <w:rFonts w:hint="eastAsia" w:ascii="宋体" w:hAnsi="宋体" w:cs="宋体"/>
          <w:color w:val="auto"/>
          <w:kern w:val="0"/>
          <w:sz w:val="18"/>
          <w:szCs w:val="18"/>
        </w:rPr>
        <w:t>≥</w:t>
      </w:r>
      <w:r>
        <w:rPr>
          <w:rFonts w:ascii="宋体" w:hAnsi="宋体" w:cs="宋体"/>
          <w:color w:val="auto"/>
          <w:kern w:val="0"/>
          <w:sz w:val="18"/>
          <w:szCs w:val="18"/>
        </w:rPr>
        <w:t>23</w:t>
      </w:r>
      <w:r>
        <w:rPr>
          <w:rFonts w:hint="eastAsia" w:ascii="宋体" w:hAnsi="宋体" w:cs="宋体"/>
          <w:color w:val="auto"/>
          <w:kern w:val="0"/>
          <w:sz w:val="18"/>
          <w:szCs w:val="18"/>
        </w:rPr>
        <w:t>≥</w:t>
      </w:r>
      <w:r>
        <w:rPr>
          <w:rFonts w:ascii="宋体" w:hAnsi="宋体" w:cs="宋体"/>
          <w:color w:val="auto"/>
          <w:kern w:val="0"/>
          <w:sz w:val="18"/>
          <w:szCs w:val="18"/>
        </w:rPr>
        <w:t>24+25</w:t>
      </w:r>
      <w:r>
        <w:rPr>
          <w:rFonts w:hint="eastAsia" w:ascii="宋体" w:hAnsi="宋体" w:cs="宋体"/>
          <w:color w:val="auto"/>
          <w:kern w:val="0"/>
          <w:sz w:val="18"/>
          <w:szCs w:val="18"/>
        </w:rPr>
        <w:t xml:space="preserve">      </w:t>
      </w:r>
    </w:p>
    <w:p>
      <w:pPr>
        <w:spacing w:line="300" w:lineRule="exact"/>
        <w:ind w:left="1622" w:leftChars="387" w:hanging="810" w:hangingChars="450"/>
        <w:rPr>
          <w:rFonts w:ascii="宋体" w:hAnsi="宋体" w:cs="宋体"/>
          <w:color w:val="auto"/>
          <w:kern w:val="0"/>
          <w:sz w:val="18"/>
          <w:szCs w:val="18"/>
        </w:rPr>
      </w:pPr>
      <w:r>
        <w:rPr>
          <w:rFonts w:ascii="宋体" w:hAnsi="宋体" w:cs="宋体"/>
          <w:color w:val="auto"/>
          <w:kern w:val="0"/>
          <w:sz w:val="18"/>
          <w:szCs w:val="18"/>
        </w:rPr>
        <w:t>(</w:t>
      </w:r>
      <w:r>
        <w:rPr>
          <w:rFonts w:hint="eastAsia" w:ascii="宋体" w:hAnsi="宋体" w:cs="宋体"/>
          <w:color w:val="auto"/>
          <w:kern w:val="0"/>
          <w:sz w:val="18"/>
          <w:szCs w:val="18"/>
        </w:rPr>
        <w:t>7</w:t>
      </w:r>
      <w:r>
        <w:rPr>
          <w:rFonts w:ascii="宋体" w:hAnsi="宋体" w:cs="宋体"/>
          <w:color w:val="auto"/>
          <w:kern w:val="0"/>
          <w:sz w:val="18"/>
          <w:szCs w:val="18"/>
        </w:rPr>
        <w:t>)</w:t>
      </w:r>
      <w:r>
        <w:rPr>
          <w:rFonts w:hint="eastAsia" w:ascii="宋体" w:hAnsi="宋体" w:cs="宋体"/>
          <w:color w:val="auto"/>
          <w:kern w:val="0"/>
          <w:sz w:val="18"/>
          <w:szCs w:val="18"/>
        </w:rPr>
        <w:t>7</w:t>
      </w:r>
      <w:r>
        <w:rPr>
          <w:rFonts w:ascii="宋体" w:hAnsi="宋体" w:cs="宋体"/>
          <w:color w:val="auto"/>
          <w:kern w:val="0"/>
          <w:sz w:val="18"/>
          <w:szCs w:val="18"/>
        </w:rPr>
        <w:t>=8+9+10+11+12+13+</w:t>
      </w:r>
      <w:r>
        <w:rPr>
          <w:rFonts w:hint="eastAsia" w:ascii="宋体" w:hAnsi="宋体" w:cs="宋体"/>
          <w:color w:val="auto"/>
          <w:kern w:val="0"/>
          <w:sz w:val="18"/>
          <w:szCs w:val="18"/>
        </w:rPr>
        <w:t>14+</w:t>
      </w:r>
      <w:r>
        <w:rPr>
          <w:rFonts w:ascii="宋体" w:hAnsi="宋体" w:cs="宋体"/>
          <w:color w:val="auto"/>
          <w:kern w:val="0"/>
          <w:sz w:val="18"/>
          <w:szCs w:val="18"/>
        </w:rPr>
        <w:t>19</w:t>
      </w:r>
      <w:r>
        <w:rPr>
          <w:rFonts w:hint="eastAsia" w:ascii="宋体" w:hAnsi="宋体" w:cs="宋体"/>
          <w:color w:val="auto"/>
          <w:kern w:val="0"/>
          <w:sz w:val="18"/>
          <w:szCs w:val="18"/>
        </w:rPr>
        <w:t>≥</w:t>
      </w:r>
      <w:r>
        <w:rPr>
          <w:rFonts w:ascii="宋体" w:hAnsi="宋体" w:cs="宋体"/>
          <w:color w:val="auto"/>
          <w:kern w:val="0"/>
          <w:sz w:val="18"/>
          <w:szCs w:val="18"/>
        </w:rPr>
        <w:t>26</w:t>
      </w:r>
      <w:r>
        <w:rPr>
          <w:rFonts w:hint="eastAsia" w:ascii="宋体" w:hAnsi="宋体" w:cs="宋体"/>
          <w:color w:val="auto"/>
          <w:kern w:val="0"/>
          <w:sz w:val="18"/>
          <w:szCs w:val="18"/>
        </w:rPr>
        <w:t xml:space="preserve"> </w:t>
      </w:r>
      <w:r>
        <w:rPr>
          <w:rFonts w:ascii="宋体" w:hAnsi="宋体" w:cs="宋体"/>
          <w:color w:val="auto"/>
          <w:kern w:val="0"/>
          <w:sz w:val="18"/>
          <w:szCs w:val="18"/>
        </w:rPr>
        <w:t xml:space="preserve"> (</w:t>
      </w:r>
      <w:r>
        <w:rPr>
          <w:rFonts w:hint="eastAsia" w:ascii="宋体" w:hAnsi="宋体" w:cs="宋体"/>
          <w:color w:val="auto"/>
          <w:kern w:val="0"/>
          <w:sz w:val="18"/>
          <w:szCs w:val="18"/>
        </w:rPr>
        <w:t>8</w:t>
      </w:r>
      <w:r>
        <w:rPr>
          <w:rFonts w:ascii="宋体" w:hAnsi="宋体" w:cs="宋体"/>
          <w:color w:val="auto"/>
          <w:kern w:val="0"/>
          <w:sz w:val="18"/>
          <w:szCs w:val="18"/>
        </w:rPr>
        <w:t>)</w:t>
      </w:r>
      <w:r>
        <w:rPr>
          <w:rFonts w:hint="eastAsia" w:ascii="宋体" w:hAnsi="宋体" w:cs="宋体"/>
          <w:color w:val="auto"/>
          <w:kern w:val="0"/>
          <w:sz w:val="18"/>
          <w:szCs w:val="18"/>
        </w:rPr>
        <w:t>若</w:t>
      </w:r>
      <w:r>
        <w:rPr>
          <w:rFonts w:ascii="宋体" w:hAnsi="宋体" w:cs="宋体"/>
          <w:color w:val="auto"/>
          <w:kern w:val="0"/>
          <w:sz w:val="18"/>
          <w:szCs w:val="18"/>
        </w:rPr>
        <w:t>1&gt;0</w:t>
      </w:r>
      <w:r>
        <w:rPr>
          <w:rFonts w:hint="eastAsia" w:ascii="宋体" w:hAnsi="宋体" w:cs="宋体"/>
          <w:color w:val="auto"/>
          <w:kern w:val="0"/>
          <w:sz w:val="18"/>
          <w:szCs w:val="18"/>
        </w:rPr>
        <w:t>，则8</w:t>
      </w:r>
      <w:r>
        <w:rPr>
          <w:rFonts w:ascii="宋体" w:hAnsi="宋体" w:cs="宋体"/>
          <w:color w:val="auto"/>
          <w:kern w:val="0"/>
          <w:sz w:val="18"/>
          <w:szCs w:val="18"/>
        </w:rPr>
        <w:t xml:space="preserve">&gt;0  </w:t>
      </w:r>
      <w:r>
        <w:rPr>
          <w:rFonts w:hint="eastAsia" w:ascii="宋体" w:hAnsi="宋体" w:cs="宋体"/>
          <w:color w:val="auto"/>
          <w:kern w:val="0"/>
          <w:sz w:val="18"/>
          <w:szCs w:val="18"/>
        </w:rPr>
        <w:t xml:space="preserve">          </w:t>
      </w:r>
      <w:r>
        <w:rPr>
          <w:rFonts w:ascii="宋体" w:hAnsi="宋体" w:cs="宋体"/>
          <w:color w:val="auto"/>
          <w:kern w:val="0"/>
          <w:sz w:val="18"/>
          <w:szCs w:val="18"/>
        </w:rPr>
        <w:t xml:space="preserve"> </w:t>
      </w:r>
      <w:r>
        <w:rPr>
          <w:rFonts w:hint="eastAsia" w:ascii="宋体" w:hAnsi="宋体" w:cs="宋体"/>
          <w:color w:val="auto"/>
          <w:kern w:val="0"/>
          <w:sz w:val="18"/>
          <w:szCs w:val="18"/>
        </w:rPr>
        <w:t xml:space="preserve"> </w:t>
      </w:r>
      <w:r>
        <w:rPr>
          <w:rFonts w:ascii="宋体" w:hAnsi="宋体" w:cs="宋体"/>
          <w:color w:val="auto"/>
          <w:kern w:val="0"/>
          <w:sz w:val="18"/>
          <w:szCs w:val="18"/>
        </w:rPr>
        <w:t>(</w:t>
      </w:r>
      <w:r>
        <w:rPr>
          <w:rFonts w:hint="eastAsia" w:ascii="宋体" w:hAnsi="宋体" w:cs="宋体"/>
          <w:color w:val="auto"/>
          <w:kern w:val="0"/>
          <w:sz w:val="18"/>
          <w:szCs w:val="18"/>
        </w:rPr>
        <w:t>9</w:t>
      </w:r>
      <w:r>
        <w:rPr>
          <w:rFonts w:ascii="宋体" w:hAnsi="宋体" w:cs="宋体"/>
          <w:color w:val="auto"/>
          <w:kern w:val="0"/>
          <w:sz w:val="18"/>
          <w:szCs w:val="18"/>
        </w:rPr>
        <w:t>)</w:t>
      </w:r>
      <w:r>
        <w:rPr>
          <w:rFonts w:hint="eastAsia" w:ascii="宋体" w:hAnsi="宋体" w:cs="宋体"/>
          <w:color w:val="auto"/>
          <w:kern w:val="0"/>
          <w:sz w:val="18"/>
          <w:szCs w:val="18"/>
        </w:rPr>
        <w:t>若8</w:t>
      </w:r>
      <w:r>
        <w:rPr>
          <w:rFonts w:ascii="宋体" w:hAnsi="宋体" w:cs="宋体"/>
          <w:color w:val="auto"/>
          <w:kern w:val="0"/>
          <w:sz w:val="18"/>
          <w:szCs w:val="18"/>
        </w:rPr>
        <w:t>&gt;0</w:t>
      </w:r>
      <w:r>
        <w:rPr>
          <w:rFonts w:hint="eastAsia" w:ascii="宋体" w:hAnsi="宋体" w:cs="宋体"/>
          <w:color w:val="auto"/>
          <w:kern w:val="0"/>
          <w:sz w:val="18"/>
          <w:szCs w:val="18"/>
        </w:rPr>
        <w:t>，则</w:t>
      </w:r>
      <w:r>
        <w:rPr>
          <w:rFonts w:ascii="宋体" w:hAnsi="宋体" w:cs="宋体"/>
          <w:color w:val="auto"/>
          <w:kern w:val="0"/>
          <w:sz w:val="18"/>
          <w:szCs w:val="18"/>
        </w:rPr>
        <w:t xml:space="preserve">1&gt;0    </w:t>
      </w:r>
    </w:p>
    <w:p>
      <w:pPr>
        <w:spacing w:line="300" w:lineRule="exact"/>
        <w:ind w:firstLine="810" w:firstLineChars="450"/>
        <w:rPr>
          <w:rFonts w:ascii="宋体" w:hAnsi="宋体" w:cs="宋体"/>
          <w:color w:val="auto"/>
          <w:kern w:val="0"/>
          <w:sz w:val="18"/>
          <w:szCs w:val="18"/>
        </w:rPr>
      </w:pPr>
      <w:r>
        <w:rPr>
          <w:rFonts w:ascii="宋体" w:hAnsi="宋体" w:cs="宋体"/>
          <w:color w:val="auto"/>
          <w:kern w:val="0"/>
          <w:sz w:val="18"/>
          <w:szCs w:val="18"/>
        </w:rPr>
        <w:t>(</w:t>
      </w:r>
      <w:r>
        <w:rPr>
          <w:rFonts w:hint="eastAsia" w:ascii="宋体" w:hAnsi="宋体" w:cs="宋体"/>
          <w:color w:val="auto"/>
          <w:kern w:val="0"/>
          <w:sz w:val="18"/>
          <w:szCs w:val="18"/>
        </w:rPr>
        <w:t>10</w:t>
      </w:r>
      <w:r>
        <w:rPr>
          <w:rFonts w:ascii="宋体" w:hAnsi="宋体" w:cs="宋体"/>
          <w:color w:val="auto"/>
          <w:kern w:val="0"/>
          <w:sz w:val="18"/>
          <w:szCs w:val="18"/>
        </w:rPr>
        <w:t>)1</w:t>
      </w:r>
      <w:r>
        <w:rPr>
          <w:rFonts w:hint="eastAsia" w:ascii="宋体" w:hAnsi="宋体" w:cs="宋体"/>
          <w:color w:val="auto"/>
          <w:kern w:val="0"/>
          <w:sz w:val="18"/>
          <w:szCs w:val="18"/>
        </w:rPr>
        <w:t>4</w:t>
      </w:r>
      <w:r>
        <w:rPr>
          <w:rFonts w:ascii="宋体" w:hAnsi="宋体" w:cs="宋体"/>
          <w:color w:val="auto"/>
          <w:kern w:val="0"/>
          <w:sz w:val="18"/>
          <w:szCs w:val="18"/>
        </w:rPr>
        <w:t>=15+16+17+18</w:t>
      </w:r>
      <w:r>
        <w:rPr>
          <w:rFonts w:hint="eastAsia" w:ascii="宋体" w:hAnsi="宋体" w:cs="宋体"/>
          <w:color w:val="auto"/>
          <w:kern w:val="0"/>
          <w:sz w:val="18"/>
          <w:szCs w:val="18"/>
        </w:rPr>
        <w:t xml:space="preserve">              </w:t>
      </w:r>
      <w:r>
        <w:rPr>
          <w:rFonts w:ascii="宋体" w:hAnsi="宋体" w:cs="宋体"/>
          <w:color w:val="auto"/>
          <w:kern w:val="0"/>
          <w:sz w:val="18"/>
          <w:szCs w:val="18"/>
        </w:rPr>
        <w:t>(1</w:t>
      </w:r>
      <w:r>
        <w:rPr>
          <w:rFonts w:hint="eastAsia" w:ascii="宋体" w:hAnsi="宋体" w:cs="宋体"/>
          <w:color w:val="auto"/>
          <w:kern w:val="0"/>
          <w:sz w:val="18"/>
          <w:szCs w:val="18"/>
        </w:rPr>
        <w:t>1</w:t>
      </w:r>
      <w:r>
        <w:rPr>
          <w:rFonts w:ascii="宋体" w:hAnsi="宋体" w:cs="宋体"/>
          <w:color w:val="auto"/>
          <w:kern w:val="0"/>
          <w:sz w:val="18"/>
          <w:szCs w:val="18"/>
        </w:rPr>
        <w:t>)20</w:t>
      </w:r>
      <w:r>
        <w:rPr>
          <w:rFonts w:hint="eastAsia" w:ascii="宋体" w:hAnsi="宋体" w:cs="宋体"/>
          <w:color w:val="auto"/>
          <w:kern w:val="0"/>
          <w:sz w:val="18"/>
          <w:szCs w:val="18"/>
        </w:rPr>
        <w:t>≥</w:t>
      </w:r>
      <w:r>
        <w:rPr>
          <w:rFonts w:ascii="宋体" w:hAnsi="宋体" w:cs="宋体"/>
          <w:color w:val="auto"/>
          <w:kern w:val="0"/>
          <w:sz w:val="18"/>
          <w:szCs w:val="18"/>
        </w:rPr>
        <w:t>21</w:t>
      </w:r>
      <w:r>
        <w:rPr>
          <w:rFonts w:hint="eastAsia" w:ascii="宋体" w:hAnsi="宋体" w:cs="宋体"/>
          <w:color w:val="auto"/>
          <w:kern w:val="0"/>
          <w:sz w:val="18"/>
          <w:szCs w:val="18"/>
        </w:rPr>
        <w:t xml:space="preserve">                    </w:t>
      </w:r>
    </w:p>
    <w:p>
      <w:pPr>
        <w:spacing w:line="300" w:lineRule="exact"/>
        <w:ind w:left="1622" w:leftChars="387" w:hanging="810" w:hangingChars="450"/>
        <w:rPr>
          <w:rFonts w:ascii="宋体" w:hAnsi="宋体" w:cs="宋体"/>
          <w:color w:val="auto"/>
          <w:kern w:val="0"/>
          <w:sz w:val="18"/>
          <w:szCs w:val="18"/>
        </w:rPr>
      </w:pPr>
      <w:r>
        <w:rPr>
          <w:rFonts w:ascii="宋体" w:hAnsi="宋体" w:cs="宋体"/>
          <w:color w:val="auto"/>
          <w:kern w:val="0"/>
          <w:sz w:val="18"/>
          <w:szCs w:val="18"/>
        </w:rPr>
        <w:t>(</w:t>
      </w:r>
      <w:r>
        <w:rPr>
          <w:rFonts w:hint="eastAsia" w:ascii="宋体" w:hAnsi="宋体" w:cs="宋体"/>
          <w:color w:val="auto"/>
          <w:kern w:val="0"/>
          <w:sz w:val="18"/>
          <w:szCs w:val="18"/>
          <w:lang w:val="en-US" w:eastAsia="zh-CN"/>
        </w:rPr>
        <w:t>12</w:t>
      </w:r>
      <w:r>
        <w:rPr>
          <w:rFonts w:ascii="宋体" w:hAnsi="宋体" w:cs="宋体"/>
          <w:color w:val="auto"/>
          <w:kern w:val="0"/>
          <w:sz w:val="18"/>
          <w:szCs w:val="18"/>
        </w:rPr>
        <w:t>)</w:t>
      </w:r>
      <w:r>
        <w:rPr>
          <w:rFonts w:hint="eastAsia" w:ascii="宋体" w:hAnsi="宋体" w:cs="宋体"/>
          <w:color w:val="auto"/>
          <w:kern w:val="0"/>
          <w:sz w:val="18"/>
          <w:szCs w:val="18"/>
        </w:rPr>
        <w:t>若</w:t>
      </w:r>
      <w:r>
        <w:rPr>
          <w:rFonts w:ascii="宋体" w:hAnsi="宋体" w:cs="宋体"/>
          <w:color w:val="auto"/>
          <w:kern w:val="0"/>
          <w:sz w:val="18"/>
          <w:szCs w:val="18"/>
        </w:rPr>
        <w:t>27&gt;0</w:t>
      </w:r>
      <w:r>
        <w:rPr>
          <w:rFonts w:hint="eastAsia" w:ascii="宋体" w:hAnsi="宋体" w:cs="宋体"/>
          <w:color w:val="auto"/>
          <w:kern w:val="0"/>
          <w:sz w:val="18"/>
          <w:szCs w:val="18"/>
        </w:rPr>
        <w:t>，则</w:t>
      </w:r>
      <w:r>
        <w:rPr>
          <w:rFonts w:ascii="宋体" w:hAnsi="宋体" w:cs="宋体"/>
          <w:color w:val="auto"/>
          <w:kern w:val="0"/>
          <w:sz w:val="18"/>
          <w:szCs w:val="18"/>
        </w:rPr>
        <w:t>22&gt;0           (</w:t>
      </w:r>
      <w:r>
        <w:rPr>
          <w:rFonts w:hint="eastAsia" w:ascii="宋体" w:hAnsi="宋体" w:cs="宋体"/>
          <w:color w:val="auto"/>
          <w:kern w:val="0"/>
          <w:sz w:val="18"/>
          <w:szCs w:val="18"/>
          <w:lang w:val="en-US" w:eastAsia="zh-CN"/>
        </w:rPr>
        <w:t>13</w:t>
      </w:r>
      <w:r>
        <w:rPr>
          <w:rFonts w:ascii="宋体" w:hAnsi="宋体" w:cs="宋体"/>
          <w:color w:val="auto"/>
          <w:kern w:val="0"/>
          <w:sz w:val="18"/>
          <w:szCs w:val="18"/>
        </w:rPr>
        <w:t>)29</w:t>
      </w:r>
      <w:r>
        <w:rPr>
          <w:rFonts w:hint="eastAsia" w:ascii="宋体" w:hAnsi="宋体" w:cs="宋体"/>
          <w:color w:val="auto"/>
          <w:kern w:val="0"/>
          <w:sz w:val="18"/>
          <w:szCs w:val="18"/>
        </w:rPr>
        <w:t>≥</w:t>
      </w:r>
      <w:r>
        <w:rPr>
          <w:rFonts w:ascii="宋体" w:hAnsi="宋体" w:cs="宋体"/>
          <w:color w:val="auto"/>
          <w:kern w:val="0"/>
          <w:sz w:val="18"/>
          <w:szCs w:val="18"/>
        </w:rPr>
        <w:t>30       (</w:t>
      </w:r>
      <w:r>
        <w:rPr>
          <w:rFonts w:hint="eastAsia" w:ascii="宋体" w:hAnsi="宋体" w:cs="宋体"/>
          <w:color w:val="auto"/>
          <w:kern w:val="0"/>
          <w:sz w:val="18"/>
          <w:szCs w:val="18"/>
          <w:lang w:val="en-US" w:eastAsia="zh-CN"/>
        </w:rPr>
        <w:t>14</w:t>
      </w:r>
      <w:r>
        <w:rPr>
          <w:rFonts w:ascii="宋体" w:hAnsi="宋体" w:cs="宋体"/>
          <w:color w:val="auto"/>
          <w:kern w:val="0"/>
          <w:sz w:val="18"/>
          <w:szCs w:val="18"/>
        </w:rPr>
        <w:t>)32</w:t>
      </w:r>
      <w:r>
        <w:rPr>
          <w:rFonts w:hint="eastAsia" w:ascii="宋体" w:hAnsi="宋体" w:cs="宋体"/>
          <w:color w:val="auto"/>
          <w:kern w:val="0"/>
          <w:sz w:val="18"/>
          <w:szCs w:val="18"/>
        </w:rPr>
        <w:t>≥</w:t>
      </w:r>
      <w:r>
        <w:rPr>
          <w:rFonts w:ascii="宋体" w:hAnsi="宋体" w:cs="宋体"/>
          <w:color w:val="auto"/>
          <w:kern w:val="0"/>
          <w:sz w:val="18"/>
          <w:szCs w:val="18"/>
        </w:rPr>
        <w:t>33   (</w:t>
      </w:r>
      <w:r>
        <w:rPr>
          <w:rFonts w:hint="eastAsia" w:ascii="宋体" w:hAnsi="宋体" w:cs="宋体"/>
          <w:color w:val="auto"/>
          <w:kern w:val="0"/>
          <w:sz w:val="18"/>
          <w:szCs w:val="18"/>
          <w:lang w:val="en-US" w:eastAsia="zh-CN"/>
        </w:rPr>
        <w:t>15</w:t>
      </w:r>
      <w:r>
        <w:rPr>
          <w:rFonts w:ascii="宋体" w:hAnsi="宋体" w:cs="宋体"/>
          <w:color w:val="auto"/>
          <w:kern w:val="0"/>
          <w:sz w:val="18"/>
          <w:szCs w:val="18"/>
        </w:rPr>
        <w:t>)36</w:t>
      </w:r>
      <w:r>
        <w:rPr>
          <w:rFonts w:hint="eastAsia" w:ascii="宋体" w:hAnsi="宋体" w:cs="宋体"/>
          <w:color w:val="auto"/>
          <w:kern w:val="0"/>
          <w:sz w:val="18"/>
          <w:szCs w:val="18"/>
        </w:rPr>
        <w:t>≥</w:t>
      </w:r>
      <w:r>
        <w:rPr>
          <w:rFonts w:ascii="宋体" w:hAnsi="宋体" w:cs="宋体"/>
          <w:color w:val="auto"/>
          <w:kern w:val="0"/>
          <w:sz w:val="18"/>
          <w:szCs w:val="18"/>
        </w:rPr>
        <w:t>37</w:t>
      </w:r>
      <w:r>
        <w:rPr>
          <w:rFonts w:hint="eastAsia" w:ascii="宋体" w:hAnsi="宋体" w:cs="宋体"/>
          <w:color w:val="auto"/>
          <w:kern w:val="0"/>
          <w:sz w:val="18"/>
          <w:szCs w:val="18"/>
        </w:rPr>
        <w:t xml:space="preserve">  </w:t>
      </w:r>
    </w:p>
    <w:p>
      <w:pPr>
        <w:spacing w:line="300" w:lineRule="exact"/>
        <w:ind w:left="1622" w:leftChars="344" w:hanging="900" w:hangingChars="500"/>
        <w:rPr>
          <w:rFonts w:ascii="宋体" w:hAnsi="宋体" w:cs="宋体"/>
          <w:color w:val="auto"/>
          <w:kern w:val="0"/>
          <w:sz w:val="18"/>
          <w:szCs w:val="18"/>
        </w:rPr>
      </w:pPr>
      <w:r>
        <w:rPr>
          <w:rFonts w:hint="eastAsia" w:ascii="宋体" w:hAnsi="宋体" w:cs="宋体"/>
          <w:color w:val="auto"/>
          <w:kern w:val="0"/>
          <w:sz w:val="18"/>
          <w:szCs w:val="18"/>
        </w:rPr>
        <w:t>表间审核：</w:t>
      </w:r>
    </w:p>
    <w:p>
      <w:pPr>
        <w:spacing w:line="300" w:lineRule="exact"/>
        <w:ind w:left="2" w:leftChars="1" w:firstLine="810" w:firstLineChars="450"/>
        <w:jc w:val="left"/>
        <w:rPr>
          <w:rFonts w:ascii="宋体" w:cs="宋体"/>
          <w:color w:val="auto"/>
          <w:sz w:val="18"/>
          <w:szCs w:val="18"/>
        </w:rPr>
      </w:pPr>
      <w:r>
        <w:rPr>
          <w:rFonts w:hint="eastAsia" w:ascii="宋体" w:cs="宋体"/>
          <w:color w:val="auto"/>
          <w:kern w:val="0"/>
          <w:sz w:val="18"/>
          <w:szCs w:val="18"/>
        </w:rPr>
        <w:t>(</w:t>
      </w:r>
      <w:r>
        <w:rPr>
          <w:rFonts w:ascii="宋体" w:cs="宋体"/>
          <w:color w:val="auto"/>
          <w:kern w:val="0"/>
          <w:sz w:val="18"/>
          <w:szCs w:val="18"/>
        </w:rPr>
        <w:t>1</w:t>
      </w:r>
      <w:r>
        <w:rPr>
          <w:rFonts w:hint="eastAsia" w:ascii="宋体" w:cs="宋体"/>
          <w:color w:val="auto"/>
          <w:kern w:val="0"/>
          <w:sz w:val="18"/>
          <w:szCs w:val="18"/>
        </w:rPr>
        <w:t>)</w:t>
      </w:r>
      <w:r>
        <w:rPr>
          <w:rFonts w:ascii="宋体" w:cs="宋体"/>
          <w:color w:val="auto"/>
          <w:kern w:val="0"/>
          <w:sz w:val="18"/>
          <w:szCs w:val="18"/>
        </w:rPr>
        <w:t>1</w:t>
      </w:r>
      <w:r>
        <w:rPr>
          <w:rFonts w:hint="eastAsia" w:ascii="宋体" w:cs="宋体"/>
          <w:color w:val="auto"/>
          <w:kern w:val="0"/>
          <w:sz w:val="18"/>
          <w:szCs w:val="18"/>
        </w:rPr>
        <w:t>07-2表(1)*12≥</w:t>
      </w:r>
      <w:r>
        <w:rPr>
          <w:rFonts w:ascii="宋体" w:cs="宋体"/>
          <w:color w:val="auto"/>
          <w:kern w:val="0"/>
          <w:sz w:val="18"/>
          <w:szCs w:val="18"/>
        </w:rPr>
        <w:t>1</w:t>
      </w:r>
      <w:r>
        <w:rPr>
          <w:rFonts w:hint="eastAsia" w:ascii="宋体" w:cs="宋体"/>
          <w:color w:val="auto"/>
          <w:kern w:val="0"/>
          <w:sz w:val="18"/>
          <w:szCs w:val="18"/>
        </w:rPr>
        <w:t>07-1表∑(9)</w:t>
      </w:r>
    </w:p>
    <w:p>
      <w:pPr>
        <w:spacing w:line="300" w:lineRule="exact"/>
        <w:ind w:firstLine="810" w:firstLineChars="450"/>
        <w:rPr>
          <w:rFonts w:ascii="宋体" w:hAnsi="宋体" w:cs="宋体"/>
          <w:color w:val="auto"/>
          <w:kern w:val="0"/>
          <w:sz w:val="18"/>
          <w:szCs w:val="18"/>
        </w:rPr>
      </w:pPr>
      <w:r>
        <w:rPr>
          <w:rFonts w:hint="eastAsia" w:ascii="宋体" w:cs="宋体"/>
          <w:color w:val="auto"/>
          <w:kern w:val="0"/>
          <w:sz w:val="18"/>
          <w:szCs w:val="18"/>
        </w:rPr>
        <w:t>(2)</w:t>
      </w:r>
      <w:r>
        <w:rPr>
          <w:rFonts w:ascii="宋体" w:hAnsi="宋体" w:cs="宋体"/>
          <w:color w:val="auto"/>
          <w:kern w:val="0"/>
          <w:sz w:val="18"/>
          <w:szCs w:val="18"/>
        </w:rPr>
        <w:t>1</w:t>
      </w:r>
      <w:r>
        <w:rPr>
          <w:rFonts w:hint="eastAsia" w:ascii="宋体" w:hAnsi="宋体" w:cs="宋体"/>
          <w:color w:val="auto"/>
          <w:kern w:val="0"/>
          <w:sz w:val="18"/>
          <w:szCs w:val="18"/>
        </w:rPr>
        <w:t>07-2表(7)</w:t>
      </w:r>
      <w:r>
        <w:rPr>
          <w:rFonts w:hint="eastAsia" w:ascii="宋体" w:cs="宋体"/>
          <w:color w:val="auto"/>
          <w:kern w:val="0"/>
          <w:sz w:val="18"/>
          <w:szCs w:val="18"/>
        </w:rPr>
        <w:t>≥</w:t>
      </w:r>
      <w:r>
        <w:rPr>
          <w:rFonts w:ascii="宋体" w:hAnsi="宋体" w:cs="宋体"/>
          <w:color w:val="auto"/>
          <w:kern w:val="0"/>
          <w:sz w:val="18"/>
          <w:szCs w:val="18"/>
        </w:rPr>
        <w:t>1</w:t>
      </w:r>
      <w:r>
        <w:rPr>
          <w:rFonts w:hint="eastAsia" w:ascii="宋体" w:hAnsi="宋体" w:cs="宋体"/>
          <w:color w:val="auto"/>
          <w:kern w:val="0"/>
          <w:sz w:val="18"/>
          <w:szCs w:val="18"/>
        </w:rPr>
        <w:t>07-1表∑(</w:t>
      </w:r>
      <w:r>
        <w:rPr>
          <w:rFonts w:ascii="宋体" w:hAnsi="宋体" w:cs="宋体"/>
          <w:color w:val="auto"/>
          <w:kern w:val="0"/>
          <w:sz w:val="18"/>
          <w:szCs w:val="18"/>
        </w:rPr>
        <w:t>10</w:t>
      </w:r>
      <w:r>
        <w:rPr>
          <w:rFonts w:hint="eastAsia" w:ascii="宋体" w:hAnsi="宋体" w:cs="宋体"/>
          <w:color w:val="auto"/>
          <w:kern w:val="0"/>
          <w:sz w:val="18"/>
          <w:szCs w:val="18"/>
        </w:rPr>
        <w:t>)</w:t>
      </w:r>
    </w:p>
    <w:p>
      <w:pPr>
        <w:pStyle w:val="2"/>
        <w:adjustRightInd/>
        <w:spacing w:line="240" w:lineRule="exact"/>
        <w:ind w:left="420" w:firstLine="420"/>
        <w:textAlignment w:val="auto"/>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pStyle w:val="2"/>
        <w:rPr>
          <w:rFonts w:ascii="Nimbus Roman No9 L" w:hAnsi="Nimbus Roman No9 L" w:cs="Nimbus Roman No9 L"/>
        </w:rPr>
      </w:pPr>
    </w:p>
    <w:p>
      <w:pPr>
        <w:rPr>
          <w:rFonts w:ascii="Nimbus Roman No9 L" w:hAnsi="Nimbus Roman No9 L" w:cs="Nimbus Roman No9 L"/>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52" w:name="_Toc141786806"/>
      <w:bookmarkStart w:id="53" w:name="_Toc1243499444"/>
      <w:bookmarkStart w:id="54" w:name="_Toc1580919697"/>
      <w:bookmarkStart w:id="55" w:name="_Toc1130770842"/>
      <w:r>
        <w:rPr>
          <w:rFonts w:hint="eastAsia" w:ascii="宋体" w:hAnsi="宋体" w:eastAsia="宋体" w:cs="宋体"/>
          <w:b/>
          <w:bCs/>
          <w:sz w:val="32"/>
          <w:szCs w:val="32"/>
        </w:rPr>
        <w:t>信息通信技术应用和数字化转型情况</w:t>
      </w:r>
      <w:bookmarkEnd w:id="52"/>
      <w:bookmarkEnd w:id="53"/>
      <w:bookmarkEnd w:id="54"/>
      <w:bookmarkEnd w:id="55"/>
    </w:p>
    <w:p>
      <w:pPr>
        <w:tabs>
          <w:tab w:val="left" w:pos="264"/>
        </w:tabs>
        <w:snapToGrid w:val="0"/>
        <w:spacing w:line="2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30"/>
          <w:szCs w:val="30"/>
        </w:rPr>
        <w:tab/>
      </w:r>
      <w:r>
        <w:rPr>
          <w:rFonts w:hint="eastAsia" w:asciiTheme="minorEastAsia" w:hAnsiTheme="minorEastAsia" w:eastAsiaTheme="minorEastAsia" w:cstheme="minorEastAsia"/>
          <w:b/>
          <w:bCs/>
          <w:sz w:val="30"/>
          <w:szCs w:val="30"/>
        </w:rPr>
        <w:t>　</w:t>
      </w:r>
    </w:p>
    <w:tbl>
      <w:tblPr>
        <w:tblStyle w:val="17"/>
        <w:tblW w:w="9614" w:type="dxa"/>
        <w:jc w:val="center"/>
        <w:tblBorders>
          <w:top w:val="single" w:color="auto" w:sz="8" w:space="0"/>
          <w:left w:val="none" w:color="auto" w:sz="0" w:space="0"/>
          <w:bottom w:val="single" w:color="auto" w:sz="2" w:space="0"/>
          <w:right w:val="none" w:color="auto" w:sz="0" w:space="0"/>
          <w:insideH w:val="single" w:color="auto" w:sz="2" w:space="0"/>
          <w:insideV w:val="single" w:color="auto" w:sz="2" w:space="0"/>
        </w:tblBorders>
        <w:tblLayout w:type="fixed"/>
        <w:tblCellMar>
          <w:top w:w="0" w:type="dxa"/>
          <w:left w:w="0" w:type="dxa"/>
          <w:bottom w:w="0" w:type="dxa"/>
          <w:right w:w="0" w:type="dxa"/>
        </w:tblCellMar>
      </w:tblPr>
      <w:tblGrid>
        <w:gridCol w:w="402"/>
        <w:gridCol w:w="3150"/>
        <w:gridCol w:w="2223"/>
        <w:gridCol w:w="1935"/>
        <w:gridCol w:w="1904"/>
      </w:tblGrid>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3552" w:type="dxa"/>
            <w:gridSpan w:val="2"/>
            <w:tcBorders>
              <w:top w:val="nil"/>
              <w:bottom w:val="nil"/>
              <w:right w:val="nil"/>
            </w:tcBorders>
            <w:noWrap w:val="0"/>
            <w:vAlign w:val="top"/>
          </w:tcPr>
          <w:p>
            <w:pPr>
              <w:snapToGrid w:val="0"/>
              <w:spacing w:line="240" w:lineRule="exact"/>
              <w:jc w:val="center"/>
              <w:rPr>
                <w:rFonts w:hint="eastAsia" w:ascii="宋体" w:hAnsi="宋体" w:eastAsia="宋体" w:cs="宋体"/>
                <w:sz w:val="18"/>
                <w:szCs w:val="18"/>
              </w:rPr>
            </w:pPr>
          </w:p>
        </w:tc>
        <w:tc>
          <w:tcPr>
            <w:tcW w:w="2223" w:type="dxa"/>
            <w:tcBorders>
              <w:top w:val="nil"/>
              <w:left w:val="nil"/>
              <w:bottom w:val="nil"/>
              <w:right w:val="nil"/>
            </w:tcBorders>
            <w:noWrap w:val="0"/>
            <w:vAlign w:val="top"/>
          </w:tcPr>
          <w:p>
            <w:pPr>
              <w:snapToGrid w:val="0"/>
              <w:spacing w:line="240" w:lineRule="exact"/>
              <w:jc w:val="center"/>
              <w:rPr>
                <w:rFonts w:hint="eastAsia" w:ascii="宋体" w:hAnsi="宋体" w:eastAsia="宋体" w:cs="宋体"/>
                <w:sz w:val="18"/>
                <w:szCs w:val="18"/>
              </w:rPr>
            </w:pPr>
          </w:p>
        </w:tc>
        <w:tc>
          <w:tcPr>
            <w:tcW w:w="1935"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exact"/>
              <w:ind w:right="-63" w:rightChars="-30"/>
              <w:jc w:val="right"/>
              <w:textAlignment w:val="auto"/>
              <w:rPr>
                <w:rFonts w:hint="eastAsia" w:ascii="宋体" w:hAnsi="宋体" w:eastAsia="宋体" w:cs="宋体"/>
                <w:sz w:val="18"/>
                <w:szCs w:val="18"/>
              </w:rPr>
            </w:pPr>
            <w:r>
              <w:rPr>
                <w:rFonts w:hint="eastAsia" w:ascii="宋体" w:hAnsi="宋体" w:eastAsia="宋体" w:cs="宋体"/>
                <w:sz w:val="18"/>
                <w:szCs w:val="18"/>
              </w:rPr>
              <w:t>表    号：</w:t>
            </w:r>
          </w:p>
        </w:tc>
        <w:tc>
          <w:tcPr>
            <w:tcW w:w="1904" w:type="dxa"/>
            <w:tcBorders>
              <w:top w:val="nil"/>
              <w:left w:val="nil"/>
              <w:bottom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exact"/>
              <w:ind w:left="21" w:leftChars="10" w:right="21" w:rightChars="10"/>
              <w:jc w:val="distribute"/>
              <w:textAlignment w:val="auto"/>
              <w:rPr>
                <w:rFonts w:hint="eastAsia" w:ascii="宋体" w:hAnsi="宋体" w:eastAsia="宋体" w:cs="宋体"/>
                <w:sz w:val="18"/>
                <w:szCs w:val="18"/>
              </w:rPr>
            </w:pPr>
            <w:r>
              <w:rPr>
                <w:rFonts w:hint="eastAsia" w:ascii="宋体" w:hAnsi="宋体" w:cs="宋体"/>
                <w:sz w:val="18"/>
                <w:szCs w:val="18"/>
                <w:lang w:val="en-US" w:eastAsia="zh-CN"/>
              </w:rPr>
              <w:t>1</w:t>
            </w:r>
            <w:r>
              <w:rPr>
                <w:rFonts w:hint="eastAsia" w:ascii="宋体" w:hAnsi="宋体" w:eastAsia="宋体" w:cs="宋体"/>
                <w:sz w:val="18"/>
                <w:szCs w:val="18"/>
                <w:lang w:val="en-US" w:eastAsia="zh-CN"/>
              </w:rPr>
              <w:t>09</w:t>
            </w:r>
            <w:r>
              <w:rPr>
                <w:rFonts w:hint="eastAsia" w:ascii="宋体" w:hAnsi="宋体" w:eastAsia="宋体" w:cs="宋体"/>
                <w:sz w:val="18"/>
                <w:szCs w:val="18"/>
              </w:rPr>
              <w:t>表</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92" w:hRule="atLeast"/>
          <w:jc w:val="center"/>
        </w:trPr>
        <w:tc>
          <w:tcPr>
            <w:tcW w:w="5775" w:type="dxa"/>
            <w:gridSpan w:val="3"/>
            <w:tcBorders>
              <w:top w:val="nil"/>
              <w:bottom w:val="nil"/>
              <w:right w:val="nil"/>
            </w:tcBorders>
            <w:noWrap w:val="0"/>
            <w:vAlign w:val="bottom"/>
          </w:tcPr>
          <w:p>
            <w:pPr>
              <w:snapToGrid w:val="0"/>
              <w:spacing w:line="240" w:lineRule="exact"/>
              <w:rPr>
                <w:rFonts w:hint="eastAsia" w:ascii="宋体" w:hAnsi="宋体" w:eastAsia="宋体" w:cs="宋体"/>
                <w:sz w:val="18"/>
                <w:szCs w:val="18"/>
              </w:rPr>
            </w:pPr>
          </w:p>
        </w:tc>
        <w:tc>
          <w:tcPr>
            <w:tcW w:w="1935"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40" w:lineRule="exact"/>
              <w:ind w:right="-63" w:rightChars="-30"/>
              <w:jc w:val="right"/>
              <w:textAlignment w:val="auto"/>
              <w:rPr>
                <w:rFonts w:hint="eastAsia" w:ascii="宋体" w:hAnsi="宋体" w:eastAsia="宋体" w:cs="宋体"/>
                <w:sz w:val="18"/>
                <w:szCs w:val="18"/>
              </w:rPr>
            </w:pPr>
            <w:r>
              <w:rPr>
                <w:rFonts w:hint="eastAsia" w:ascii="宋体" w:hAnsi="宋体" w:eastAsia="宋体" w:cs="宋体"/>
                <w:sz w:val="18"/>
                <w:szCs w:val="18"/>
              </w:rPr>
              <w:t>制定机关：</w:t>
            </w:r>
          </w:p>
        </w:tc>
        <w:tc>
          <w:tcPr>
            <w:tcW w:w="1904" w:type="dxa"/>
            <w:tcBorders>
              <w:top w:val="nil"/>
              <w:left w:val="nil"/>
              <w:bottom w:val="nil"/>
            </w:tcBorders>
            <w:noWrap w:val="0"/>
            <w:vAlign w:val="center"/>
          </w:tcPr>
          <w:p>
            <w:pPr>
              <w:keepNext w:val="0"/>
              <w:keepLines w:val="0"/>
              <w:pageBreakBefore w:val="0"/>
              <w:widowControl w:val="0"/>
              <w:kinsoku/>
              <w:wordWrap/>
              <w:overflowPunct/>
              <w:topLinePunct w:val="0"/>
              <w:autoSpaceDE/>
              <w:autoSpaceDN/>
              <w:bidi w:val="0"/>
              <w:adjustRightInd/>
              <w:spacing w:line="200" w:lineRule="exact"/>
              <w:ind w:left="21" w:leftChars="10" w:right="21" w:rightChars="10"/>
              <w:jc w:val="distribute"/>
              <w:textAlignment w:val="auto"/>
              <w:rPr>
                <w:rFonts w:hint="eastAsia" w:ascii="宋体" w:hAnsi="宋体" w:eastAsia="宋体" w:cs="宋体"/>
                <w:sz w:val="18"/>
                <w:szCs w:val="18"/>
              </w:rPr>
            </w:pPr>
            <w:r>
              <w:rPr>
                <w:rFonts w:hint="eastAsia" w:ascii="宋体" w:hAnsi="宋体" w:eastAsia="宋体" w:cs="宋体"/>
                <w:sz w:val="18"/>
                <w:szCs w:val="18"/>
              </w:rPr>
              <w:t>国家统计局</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227" w:hRule="atLeast"/>
          <w:jc w:val="center"/>
        </w:trPr>
        <w:tc>
          <w:tcPr>
            <w:tcW w:w="5775" w:type="dxa"/>
            <w:gridSpan w:val="3"/>
            <w:tcBorders>
              <w:top w:val="nil"/>
              <w:bottom w:val="nil"/>
              <w:right w:val="nil"/>
            </w:tcBorders>
            <w:noWrap w:val="0"/>
            <w:vAlign w:val="top"/>
          </w:tcPr>
          <w:p>
            <w:pPr>
              <w:snapToGrid w:val="0"/>
              <w:spacing w:line="240" w:lineRule="exact"/>
              <w:rPr>
                <w:rFonts w:hint="eastAsia" w:ascii="宋体" w:hAnsi="宋体" w:eastAsia="宋体" w:cs="宋体"/>
                <w:sz w:val="18"/>
                <w:szCs w:val="18"/>
              </w:rPr>
            </w:pPr>
            <w:r>
              <w:rPr>
                <w:rFonts w:hint="eastAsia" w:ascii="宋体" w:hAnsi="宋体" w:eastAsia="宋体" w:cs="宋体"/>
                <w:kern w:val="0"/>
                <w:sz w:val="18"/>
                <w:szCs w:val="18"/>
              </w:rPr>
              <w:t>统一社会信用代码□□□□□□□□□□□□□□□□□□</w:t>
            </w:r>
          </w:p>
        </w:tc>
        <w:tc>
          <w:tcPr>
            <w:tcW w:w="1935"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exact"/>
              <w:ind w:right="-63" w:rightChars="-30"/>
              <w:jc w:val="right"/>
              <w:textAlignment w:val="auto"/>
              <w:rPr>
                <w:rFonts w:hint="eastAsia" w:ascii="宋体" w:hAnsi="宋体" w:eastAsia="宋体" w:cs="宋体"/>
                <w:sz w:val="18"/>
                <w:szCs w:val="18"/>
              </w:rPr>
            </w:pPr>
            <w:r>
              <w:rPr>
                <w:rFonts w:hint="eastAsia" w:ascii="宋体" w:hAnsi="宋体" w:eastAsia="宋体" w:cs="宋体"/>
                <w:sz w:val="18"/>
                <w:szCs w:val="18"/>
              </w:rPr>
              <w:t>文    号：</w:t>
            </w:r>
          </w:p>
        </w:tc>
        <w:tc>
          <w:tcPr>
            <w:tcW w:w="1904" w:type="dxa"/>
            <w:tcBorders>
              <w:top w:val="nil"/>
              <w:left w:val="nil"/>
              <w:bottom w:val="nil"/>
            </w:tcBorders>
            <w:noWrap w:val="0"/>
            <w:vAlign w:val="center"/>
          </w:tcPr>
          <w:p>
            <w:pPr>
              <w:spacing w:line="240" w:lineRule="exact"/>
              <w:jc w:val="distribute"/>
              <w:rPr>
                <w:rFonts w:hint="eastAsia" w:ascii="宋体" w:hAnsi="宋体" w:eastAsia="宋体" w:cs="宋体"/>
                <w:sz w:val="18"/>
                <w:szCs w:val="18"/>
              </w:rPr>
            </w:pPr>
            <w:r>
              <w:rPr>
                <w:rFonts w:hint="eastAsia" w:ascii="宋体" w:hAnsi="宋体"/>
                <w:color w:val="000000"/>
                <w:sz w:val="18"/>
                <w:szCs w:val="18"/>
              </w:rPr>
              <w:t>国统字〔202</w:t>
            </w:r>
            <w:r>
              <w:rPr>
                <w:rFonts w:hint="eastAsia" w:ascii="宋体" w:hAnsi="宋体"/>
                <w:color w:val="000000"/>
                <w:sz w:val="18"/>
                <w:szCs w:val="18"/>
                <w:lang w:val="en-US" w:eastAsia="zh-CN"/>
              </w:rPr>
              <w:t>5</w:t>
            </w:r>
            <w:r>
              <w:rPr>
                <w:rFonts w:hint="eastAsia" w:ascii="宋体" w:hAnsi="宋体"/>
                <w:color w:val="000000"/>
                <w:sz w:val="18"/>
                <w:szCs w:val="18"/>
              </w:rPr>
              <w:t>〕</w:t>
            </w:r>
            <w:r>
              <w:rPr>
                <w:rFonts w:hint="eastAsia" w:ascii="宋体" w:hAnsi="宋体"/>
                <w:color w:val="000000"/>
                <w:sz w:val="18"/>
                <w:szCs w:val="18"/>
                <w:lang w:val="en-US" w:eastAsia="zh-CN"/>
              </w:rPr>
              <w:t>88</w:t>
            </w:r>
            <w:r>
              <w:rPr>
                <w:rFonts w:hint="eastAsia" w:ascii="宋体" w:hAnsi="宋体"/>
                <w:color w:val="000000"/>
                <w:sz w:val="18"/>
                <w:szCs w:val="18"/>
              </w:rPr>
              <w:t>号</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227" w:hRule="atLeast"/>
          <w:jc w:val="center"/>
        </w:trPr>
        <w:tc>
          <w:tcPr>
            <w:tcW w:w="5775" w:type="dxa"/>
            <w:gridSpan w:val="3"/>
            <w:tcBorders>
              <w:top w:val="nil"/>
              <w:bottom w:val="single" w:color="auto" w:sz="8" w:space="0"/>
              <w:right w:val="nil"/>
            </w:tcBorders>
            <w:noWrap w:val="0"/>
            <w:vAlign w:val="top"/>
          </w:tcPr>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rPr>
              <w:t xml:space="preserve">单位详细名称：                                </w:t>
            </w:r>
            <w:r>
              <w:rPr>
                <w:rFonts w:hint="eastAsia" w:ascii="宋体" w:hAnsi="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Calibri Light" w:hAnsi="Calibri Light" w:cs="Calibri Light"/>
                <w:color w:val="auto"/>
                <w:sz w:val="18"/>
                <w:szCs w:val="18"/>
              </w:rPr>
              <w:t>２</w:t>
            </w:r>
            <w:r>
              <w:rPr>
                <w:rFonts w:ascii="Calibri Light" w:hAnsi="Calibri Light" w:cs="Calibri Light"/>
                <w:color w:val="auto"/>
                <w:sz w:val="18"/>
                <w:szCs w:val="18"/>
              </w:rPr>
              <w:t>０</w:t>
            </w:r>
            <w:r>
              <w:rPr>
                <w:rFonts w:hint="eastAsia" w:ascii="Calibri Light" w:hAnsi="Calibri Light" w:cs="Calibri Light"/>
                <w:color w:val="auto"/>
                <w:sz w:val="18"/>
                <w:szCs w:val="18"/>
              </w:rPr>
              <w:t xml:space="preserve"> </w:t>
            </w:r>
            <w:r>
              <w:rPr>
                <w:rFonts w:ascii="Calibri Light" w:hAnsi="Calibri Light" w:cs="Calibri Light"/>
                <w:color w:val="auto"/>
                <w:sz w:val="18"/>
                <w:szCs w:val="18"/>
              </w:rPr>
              <w:t xml:space="preserve">  </w:t>
            </w:r>
            <w:r>
              <w:rPr>
                <w:rFonts w:hint="eastAsia" w:ascii="Calibri Light" w:hAnsi="Calibri Light" w:cs="Calibri Light"/>
                <w:color w:val="auto"/>
                <w:sz w:val="18"/>
                <w:szCs w:val="18"/>
              </w:rPr>
              <w:t xml:space="preserve"> 年</w:t>
            </w:r>
          </w:p>
        </w:tc>
        <w:tc>
          <w:tcPr>
            <w:tcW w:w="1935" w:type="dxa"/>
            <w:tcBorders>
              <w:top w:val="nil"/>
              <w:left w:val="nil"/>
              <w:bottom w:val="single" w:color="auto" w:sz="8" w:space="0"/>
              <w:right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exact"/>
              <w:ind w:right="-63" w:rightChars="-30"/>
              <w:jc w:val="right"/>
              <w:textAlignment w:val="auto"/>
              <w:rPr>
                <w:rFonts w:hint="eastAsia" w:ascii="宋体" w:hAnsi="宋体" w:eastAsia="宋体" w:cs="宋体"/>
                <w:sz w:val="18"/>
                <w:szCs w:val="18"/>
              </w:rPr>
            </w:pPr>
            <w:r>
              <w:rPr>
                <w:rFonts w:hint="eastAsia" w:ascii="宋体" w:hAnsi="宋体" w:eastAsia="宋体" w:cs="宋体"/>
                <w:sz w:val="18"/>
                <w:szCs w:val="18"/>
              </w:rPr>
              <w:t>有效期至：</w:t>
            </w:r>
          </w:p>
        </w:tc>
        <w:tc>
          <w:tcPr>
            <w:tcW w:w="1904" w:type="dxa"/>
            <w:tcBorders>
              <w:top w:val="nil"/>
              <w:left w:val="nil"/>
              <w:bottom w:val="single" w:color="auto" w:sz="8" w:space="0"/>
            </w:tcBorders>
            <w:noWrap w:val="0"/>
            <w:vAlign w:val="center"/>
          </w:tcPr>
          <w:p>
            <w:pPr>
              <w:spacing w:line="240" w:lineRule="exact"/>
              <w:jc w:val="distribute"/>
              <w:rPr>
                <w:rFonts w:hint="eastAsia" w:ascii="宋体" w:hAnsi="宋体" w:eastAsia="宋体" w:cs="宋体"/>
                <w:sz w:val="18"/>
                <w:szCs w:val="18"/>
              </w:rPr>
            </w:pPr>
            <w:r>
              <w:rPr>
                <w:color w:val="000000"/>
                <w:kern w:val="0"/>
                <w:sz w:val="18"/>
                <w:szCs w:val="18"/>
              </w:rPr>
              <w:t>２０</w:t>
            </w:r>
            <w:r>
              <w:rPr>
                <w:rFonts w:hint="eastAsia"/>
                <w:color w:val="000000"/>
                <w:kern w:val="0"/>
                <w:sz w:val="18"/>
                <w:szCs w:val="18"/>
              </w:rPr>
              <w:t>２</w:t>
            </w:r>
            <w:r>
              <w:rPr>
                <w:rFonts w:hint="eastAsia" w:ascii="宋体" w:hAnsi="宋体" w:cs="宋体"/>
                <w:color w:val="000000"/>
                <w:kern w:val="0"/>
                <w:sz w:val="18"/>
                <w:szCs w:val="18"/>
                <w:lang w:val="en-US" w:eastAsia="zh-CN"/>
              </w:rPr>
              <w:t>6</w:t>
            </w:r>
            <w:r>
              <w:rPr>
                <w:color w:val="000000"/>
                <w:kern w:val="0"/>
                <w:sz w:val="18"/>
                <w:szCs w:val="18"/>
              </w:rPr>
              <w:t>年６月</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48" w:hRule="atLeast"/>
          <w:jc w:val="center"/>
        </w:trPr>
        <w:tc>
          <w:tcPr>
            <w:tcW w:w="402" w:type="dxa"/>
            <w:tcBorders>
              <w:top w:val="single" w:color="auto" w:sz="8"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01</w:t>
            </w:r>
          </w:p>
        </w:tc>
        <w:tc>
          <w:tcPr>
            <w:tcW w:w="9212" w:type="dxa"/>
            <w:gridSpan w:val="4"/>
            <w:tcBorders>
              <w:top w:val="single" w:color="auto" w:sz="8" w:space="0"/>
            </w:tcBorders>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lang w:eastAsia="zh-CN"/>
              </w:rPr>
              <w:t>年末</w:t>
            </w:r>
            <w:r>
              <w:rPr>
                <w:rFonts w:hint="eastAsia" w:ascii="宋体" w:hAnsi="宋体" w:eastAsia="宋体" w:cs="宋体"/>
                <w:sz w:val="18"/>
                <w:szCs w:val="18"/>
              </w:rPr>
              <w:t>贵企业使用的计算机</w:t>
            </w:r>
            <w:r>
              <w:rPr>
                <w:rFonts w:hint="default" w:ascii="宋体" w:hAnsi="宋体" w:eastAsia="宋体" w:cs="宋体"/>
                <w:sz w:val="18"/>
                <w:szCs w:val="18"/>
                <w:u w:val="single"/>
                <w:lang w:val="en"/>
              </w:rPr>
              <w:t xml:space="preserve">            </w:t>
            </w:r>
            <w:r>
              <w:rPr>
                <w:rFonts w:hint="eastAsia" w:ascii="宋体" w:hAnsi="宋体" w:eastAsia="宋体" w:cs="宋体"/>
                <w:sz w:val="18"/>
                <w:szCs w:val="18"/>
              </w:rPr>
              <w:t>台。</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19"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02</w:t>
            </w:r>
          </w:p>
        </w:tc>
        <w:tc>
          <w:tcPr>
            <w:tcW w:w="9212" w:type="dxa"/>
            <w:gridSpan w:val="4"/>
            <w:noWrap w:val="0"/>
            <w:vAlign w:val="center"/>
          </w:tcPr>
          <w:p>
            <w:pPr>
              <w:snapToGrid w:val="0"/>
              <w:spacing w:line="240" w:lineRule="exact"/>
              <w:ind w:firstLine="90" w:firstLineChars="50"/>
              <w:rPr>
                <w:rFonts w:hint="eastAsia" w:ascii="宋体" w:hAnsi="宋体" w:eastAsia="宋体" w:cs="宋体"/>
                <w:color w:val="000000"/>
                <w:sz w:val="18"/>
                <w:szCs w:val="18"/>
                <w:highlight w:val="none"/>
                <w:lang w:val="en-US" w:eastAsia="zh-CN"/>
              </w:rPr>
            </w:pPr>
            <w:r>
              <w:rPr>
                <w:rFonts w:hint="eastAsia" w:ascii="宋体" w:hAnsi="宋体" w:eastAsia="宋体" w:cs="宋体"/>
                <w:sz w:val="18"/>
                <w:szCs w:val="18"/>
                <w:highlight w:val="none"/>
              </w:rPr>
              <w:t>贵企业信息技术</w:t>
            </w:r>
            <w:r>
              <w:rPr>
                <w:rFonts w:hint="eastAsia" w:ascii="宋体" w:hAnsi="宋体" w:eastAsia="宋体" w:cs="宋体"/>
                <w:sz w:val="18"/>
                <w:szCs w:val="18"/>
                <w:highlight w:val="none"/>
                <w:lang w:eastAsia="zh-CN"/>
              </w:rPr>
              <w:t>人员平均人数</w:t>
            </w:r>
            <w:r>
              <w:rPr>
                <w:rFonts w:hint="default" w:ascii="宋体" w:hAnsi="宋体" w:eastAsia="宋体" w:cs="宋体"/>
                <w:sz w:val="18"/>
                <w:szCs w:val="18"/>
                <w:highlight w:val="none"/>
                <w:u w:val="single"/>
                <w:lang w:val="en"/>
              </w:rPr>
              <w:t xml:space="preserve">            </w:t>
            </w:r>
            <w:r>
              <w:rPr>
                <w:rFonts w:hint="eastAsia" w:ascii="宋体" w:hAnsi="宋体" w:eastAsia="宋体" w:cs="宋体"/>
                <w:sz w:val="18"/>
                <w:szCs w:val="18"/>
                <w:highlight w:val="none"/>
              </w:rPr>
              <w:t>人，上年</w:t>
            </w:r>
            <w:r>
              <w:rPr>
                <w:rFonts w:hint="default" w:ascii="宋体" w:hAnsi="宋体" w:eastAsia="宋体" w:cs="宋体"/>
                <w:sz w:val="18"/>
                <w:szCs w:val="18"/>
                <w:highlight w:val="none"/>
                <w:u w:val="single"/>
                <w:lang w:val="en"/>
              </w:rPr>
              <w:t xml:space="preserve">            </w:t>
            </w:r>
            <w:r>
              <w:rPr>
                <w:rFonts w:hint="eastAsia" w:ascii="宋体" w:hAnsi="宋体" w:eastAsia="宋体" w:cs="宋体"/>
                <w:sz w:val="18"/>
                <w:szCs w:val="18"/>
                <w:highlight w:val="none"/>
              </w:rPr>
              <w:t>人</w:t>
            </w:r>
            <w:r>
              <w:rPr>
                <w:rFonts w:hint="eastAsia" w:ascii="宋体" w:hAnsi="宋体" w:cs="宋体"/>
                <w:sz w:val="18"/>
                <w:szCs w:val="18"/>
                <w:highlight w:val="none"/>
                <w:lang w:eastAsia="zh-CN"/>
              </w:rPr>
              <w:t>。</w:t>
            </w:r>
            <w:r>
              <w:rPr>
                <w:rFonts w:hint="eastAsia" w:ascii="宋体" w:hAnsi="宋体" w:eastAsia="宋体" w:cs="宋体"/>
                <w:sz w:val="18"/>
                <w:szCs w:val="18"/>
                <w:highlight w:val="none"/>
                <w:lang w:eastAsia="zh-CN"/>
              </w:rPr>
              <w:t>其中，</w:t>
            </w:r>
            <w:r>
              <w:rPr>
                <w:rFonts w:hint="eastAsia" w:ascii="宋体" w:hAnsi="宋体" w:cs="宋体"/>
                <w:color w:val="000000"/>
                <w:sz w:val="18"/>
                <w:szCs w:val="18"/>
                <w:highlight w:val="none"/>
                <w:lang w:val="en-US" w:eastAsia="zh-CN"/>
              </w:rPr>
              <w:t>从事</w:t>
            </w:r>
            <w:r>
              <w:rPr>
                <w:rFonts w:hint="eastAsia" w:ascii="宋体" w:hAnsi="宋体" w:eastAsia="宋体" w:cs="宋体"/>
                <w:color w:val="000000"/>
                <w:sz w:val="18"/>
                <w:szCs w:val="18"/>
                <w:highlight w:val="none"/>
                <w:lang w:val="en-US" w:eastAsia="zh-CN"/>
              </w:rPr>
              <w:t>数据</w:t>
            </w:r>
            <w:r>
              <w:rPr>
                <w:rFonts w:hint="eastAsia" w:ascii="宋体" w:hAnsi="宋体" w:cs="宋体"/>
                <w:color w:val="000000"/>
                <w:sz w:val="18"/>
                <w:szCs w:val="18"/>
                <w:highlight w:val="none"/>
                <w:lang w:val="en-US" w:eastAsia="zh-CN"/>
              </w:rPr>
              <w:t>相关业务</w:t>
            </w:r>
            <w:r>
              <w:rPr>
                <w:rFonts w:hint="eastAsia" w:ascii="宋体" w:hAnsi="宋体" w:eastAsia="宋体" w:cs="宋体"/>
                <w:color w:val="000000"/>
                <w:sz w:val="18"/>
                <w:szCs w:val="18"/>
                <w:highlight w:val="none"/>
                <w:lang w:val="en-US" w:eastAsia="zh-CN"/>
              </w:rPr>
              <w:t>的人员</w:t>
            </w:r>
            <w:r>
              <w:rPr>
                <w:rFonts w:hint="eastAsia" w:ascii="宋体" w:hAnsi="宋体" w:eastAsia="宋体" w:cs="宋体"/>
                <w:color w:val="000000"/>
                <w:sz w:val="18"/>
                <w:szCs w:val="18"/>
                <w:highlight w:val="none"/>
                <w:u w:val="single"/>
              </w:rPr>
              <w:t xml:space="preserve">     </w:t>
            </w:r>
            <w:r>
              <w:rPr>
                <w:rFonts w:hint="eastAsia" w:ascii="宋体" w:hAnsi="宋体" w:eastAsia="宋体" w:cs="宋体"/>
                <w:color w:val="000000"/>
                <w:sz w:val="18"/>
                <w:szCs w:val="18"/>
                <w:highlight w:val="none"/>
                <w:lang w:val="en-US" w:eastAsia="zh-CN"/>
              </w:rPr>
              <w:t>人，</w:t>
            </w:r>
          </w:p>
          <w:p>
            <w:pPr>
              <w:snapToGrid w:val="0"/>
              <w:spacing w:line="240" w:lineRule="exact"/>
              <w:ind w:firstLine="90" w:firstLineChars="50"/>
              <w:rPr>
                <w:rFonts w:hint="eastAsia" w:ascii="宋体" w:hAnsi="宋体" w:eastAsia="宋体" w:cs="宋体"/>
                <w:sz w:val="18"/>
                <w:szCs w:val="18"/>
                <w:highlight w:val="none"/>
              </w:rPr>
            </w:pPr>
            <w:r>
              <w:rPr>
                <w:rFonts w:hint="eastAsia" w:ascii="宋体" w:hAnsi="宋体" w:eastAsia="宋体" w:cs="宋体"/>
                <w:color w:val="000000"/>
                <w:sz w:val="18"/>
                <w:szCs w:val="18"/>
                <w:highlight w:val="none"/>
                <w:lang w:val="en-US" w:eastAsia="zh-CN"/>
              </w:rPr>
              <w:t>上年同期</w:t>
            </w:r>
            <w:r>
              <w:rPr>
                <w:rFonts w:hint="eastAsia" w:ascii="宋体" w:hAnsi="宋体" w:eastAsia="宋体" w:cs="宋体"/>
                <w:color w:val="000000"/>
                <w:sz w:val="18"/>
                <w:szCs w:val="18"/>
                <w:highlight w:val="none"/>
                <w:u w:val="single"/>
              </w:rPr>
              <w:t xml:space="preserve">     </w:t>
            </w:r>
            <w:r>
              <w:rPr>
                <w:rFonts w:hint="eastAsia" w:ascii="宋体" w:hAnsi="宋体" w:eastAsia="宋体" w:cs="宋体"/>
                <w:color w:val="000000"/>
                <w:sz w:val="18"/>
                <w:szCs w:val="18"/>
                <w:highlight w:val="none"/>
                <w:lang w:val="en-US" w:eastAsia="zh-CN"/>
              </w:rPr>
              <w:t>人</w:t>
            </w:r>
            <w:r>
              <w:rPr>
                <w:rFonts w:hint="eastAsia" w:ascii="宋体" w:hAnsi="宋体" w:eastAsia="宋体" w:cs="宋体"/>
                <w:sz w:val="18"/>
                <w:szCs w:val="18"/>
                <w:highlight w:val="none"/>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157"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lang w:val="en"/>
              </w:rPr>
            </w:pPr>
            <w:r>
              <w:rPr>
                <w:rFonts w:hint="eastAsia" w:ascii="宋体" w:hAnsi="宋体" w:eastAsia="宋体" w:cs="宋体"/>
                <w:b/>
                <w:bCs/>
                <w:sz w:val="18"/>
                <w:szCs w:val="18"/>
              </w:rPr>
              <w:t>03</w:t>
            </w:r>
          </w:p>
        </w:tc>
        <w:tc>
          <w:tcPr>
            <w:tcW w:w="9212" w:type="dxa"/>
            <w:gridSpan w:val="4"/>
            <w:noWrap w:val="0"/>
            <w:vAlign w:val="center"/>
          </w:tcPr>
          <w:p>
            <w:pPr>
              <w:tabs>
                <w:tab w:val="left" w:pos="720"/>
              </w:tabs>
              <w:autoSpaceDE w:val="0"/>
              <w:autoSpaceDN w:val="0"/>
              <w:adjustRightInd w:val="0"/>
              <w:snapToGrid w:val="0"/>
              <w:spacing w:line="240" w:lineRule="exact"/>
              <w:ind w:firstLine="90" w:firstLineChars="50"/>
              <w:rPr>
                <w:rFonts w:hint="eastAsia" w:ascii="宋体" w:hAnsi="宋体" w:eastAsia="宋体" w:cs="宋体"/>
                <w:color w:val="000000"/>
                <w:sz w:val="18"/>
                <w:szCs w:val="18"/>
                <w:highlight w:val="none"/>
                <w:lang w:val="en-US" w:eastAsia="zh-CN"/>
              </w:rPr>
            </w:pPr>
            <w:r>
              <w:rPr>
                <w:rFonts w:hint="eastAsia" w:ascii="宋体" w:hAnsi="宋体" w:eastAsia="宋体" w:cs="宋体"/>
                <w:sz w:val="18"/>
                <w:szCs w:val="18"/>
                <w:highlight w:val="none"/>
              </w:rPr>
              <w:t>贵企业全年信息化投入</w:t>
            </w:r>
            <w:r>
              <w:rPr>
                <w:rFonts w:hint="default" w:ascii="宋体" w:hAnsi="宋体" w:eastAsia="宋体" w:cs="宋体"/>
                <w:sz w:val="18"/>
                <w:szCs w:val="18"/>
                <w:highlight w:val="none"/>
                <w:u w:val="single"/>
                <w:lang w:val="en"/>
              </w:rPr>
              <w:t xml:space="preserve">            </w:t>
            </w:r>
            <w:r>
              <w:rPr>
                <w:rFonts w:hint="eastAsia" w:ascii="宋体" w:hAnsi="宋体" w:eastAsia="宋体" w:cs="宋体"/>
                <w:sz w:val="18"/>
                <w:szCs w:val="18"/>
                <w:highlight w:val="none"/>
              </w:rPr>
              <w:t>千元，上年</w:t>
            </w:r>
            <w:r>
              <w:rPr>
                <w:rFonts w:hint="default" w:ascii="宋体" w:hAnsi="宋体" w:eastAsia="宋体" w:cs="宋体"/>
                <w:sz w:val="18"/>
                <w:szCs w:val="18"/>
                <w:highlight w:val="none"/>
                <w:u w:val="single"/>
                <w:lang w:val="en"/>
              </w:rPr>
              <w:t xml:space="preserve">            </w:t>
            </w:r>
            <w:r>
              <w:rPr>
                <w:rFonts w:hint="eastAsia" w:ascii="宋体" w:hAnsi="宋体" w:eastAsia="宋体" w:cs="宋体"/>
                <w:sz w:val="18"/>
                <w:szCs w:val="18"/>
                <w:highlight w:val="none"/>
              </w:rPr>
              <w:t>千元。</w:t>
            </w:r>
            <w:r>
              <w:rPr>
                <w:rFonts w:hint="eastAsia" w:ascii="宋体" w:hAnsi="宋体" w:eastAsia="宋体" w:cs="宋体"/>
                <w:sz w:val="18"/>
                <w:szCs w:val="18"/>
                <w:highlight w:val="none"/>
                <w:lang w:eastAsia="zh-CN"/>
              </w:rPr>
              <w:t>其中，</w:t>
            </w:r>
            <w:r>
              <w:rPr>
                <w:rFonts w:hint="eastAsia" w:ascii="宋体" w:hAnsi="宋体" w:eastAsia="宋体" w:cs="宋体"/>
                <w:color w:val="000000"/>
                <w:sz w:val="18"/>
                <w:szCs w:val="18"/>
                <w:highlight w:val="none"/>
                <w:lang w:val="en-US" w:eastAsia="zh-CN"/>
              </w:rPr>
              <w:t>用于数据库运营和维护的</w:t>
            </w:r>
            <w:r>
              <w:rPr>
                <w:rFonts w:hint="eastAsia" w:ascii="宋体" w:hAnsi="宋体" w:cs="宋体"/>
                <w:color w:val="000000"/>
                <w:sz w:val="18"/>
                <w:szCs w:val="18"/>
                <w:highlight w:val="none"/>
                <w:lang w:val="en-US" w:eastAsia="zh-CN"/>
              </w:rPr>
              <w:t>费用</w:t>
            </w:r>
            <w:r>
              <w:rPr>
                <w:rFonts w:hint="eastAsia" w:ascii="宋体" w:hAnsi="宋体" w:eastAsia="宋体" w:cs="宋体"/>
                <w:color w:val="000000"/>
                <w:sz w:val="18"/>
                <w:szCs w:val="18"/>
                <w:highlight w:val="none"/>
                <w:u w:val="single"/>
              </w:rPr>
              <w:t xml:space="preserve">     </w:t>
            </w:r>
            <w:r>
              <w:rPr>
                <w:rFonts w:hint="eastAsia" w:ascii="宋体" w:hAnsi="宋体" w:eastAsia="宋体" w:cs="宋体"/>
                <w:color w:val="000000"/>
                <w:sz w:val="18"/>
                <w:szCs w:val="18"/>
                <w:highlight w:val="none"/>
                <w:u w:val="none"/>
                <w:lang w:eastAsia="zh-CN"/>
              </w:rPr>
              <w:t>千</w:t>
            </w:r>
            <w:r>
              <w:rPr>
                <w:rFonts w:hint="eastAsia" w:ascii="宋体" w:hAnsi="宋体" w:cs="宋体"/>
                <w:color w:val="000000"/>
                <w:sz w:val="18"/>
                <w:szCs w:val="18"/>
                <w:highlight w:val="none"/>
                <w:u w:val="none"/>
                <w:lang w:eastAsia="zh-CN"/>
              </w:rPr>
              <w:t>元</w:t>
            </w:r>
            <w:r>
              <w:rPr>
                <w:rFonts w:hint="eastAsia" w:ascii="宋体" w:hAnsi="宋体" w:eastAsia="宋体" w:cs="宋体"/>
                <w:color w:val="000000"/>
                <w:sz w:val="18"/>
                <w:szCs w:val="18"/>
                <w:highlight w:val="none"/>
                <w:lang w:val="en-US" w:eastAsia="zh-CN"/>
              </w:rPr>
              <w:t xml:space="preserve">， </w:t>
            </w:r>
          </w:p>
          <w:p>
            <w:pPr>
              <w:tabs>
                <w:tab w:val="left" w:pos="720"/>
              </w:tabs>
              <w:autoSpaceDE w:val="0"/>
              <w:autoSpaceDN w:val="0"/>
              <w:adjustRightInd w:val="0"/>
              <w:snapToGrid w:val="0"/>
              <w:spacing w:line="240" w:lineRule="exact"/>
              <w:ind w:firstLine="90" w:firstLineChars="50"/>
              <w:rPr>
                <w:rFonts w:hint="eastAsia" w:ascii="宋体" w:hAnsi="宋体" w:eastAsia="宋体" w:cs="宋体"/>
                <w:sz w:val="18"/>
                <w:szCs w:val="18"/>
                <w:highlight w:val="none"/>
              </w:rPr>
            </w:pPr>
            <w:r>
              <w:rPr>
                <w:rFonts w:hint="eastAsia" w:ascii="宋体" w:hAnsi="宋体" w:eastAsia="宋体" w:cs="宋体"/>
                <w:color w:val="000000"/>
                <w:sz w:val="18"/>
                <w:szCs w:val="18"/>
                <w:highlight w:val="none"/>
                <w:lang w:val="en-US" w:eastAsia="zh-CN"/>
              </w:rPr>
              <w:t>上年同期</w:t>
            </w:r>
            <w:r>
              <w:rPr>
                <w:rFonts w:hint="eastAsia" w:ascii="宋体" w:hAnsi="宋体" w:eastAsia="宋体" w:cs="宋体"/>
                <w:color w:val="000000"/>
                <w:sz w:val="18"/>
                <w:szCs w:val="18"/>
                <w:highlight w:val="none"/>
                <w:u w:val="single"/>
              </w:rPr>
              <w:t xml:space="preserve">     </w:t>
            </w:r>
            <w:r>
              <w:rPr>
                <w:rFonts w:hint="eastAsia" w:ascii="宋体" w:hAnsi="宋体" w:eastAsia="宋体" w:cs="宋体"/>
                <w:color w:val="000000"/>
                <w:sz w:val="18"/>
                <w:szCs w:val="18"/>
                <w:highlight w:val="none"/>
                <w:u w:val="none"/>
              </w:rPr>
              <w:t>千</w:t>
            </w:r>
            <w:r>
              <w:rPr>
                <w:rFonts w:hint="eastAsia" w:ascii="宋体" w:hAnsi="宋体" w:eastAsia="宋体" w:cs="宋体"/>
                <w:color w:val="000000"/>
                <w:sz w:val="18"/>
                <w:szCs w:val="18"/>
                <w:highlight w:val="none"/>
                <w:lang w:val="en-US" w:eastAsia="zh-CN"/>
              </w:rPr>
              <w:t>元</w:t>
            </w:r>
            <w:r>
              <w:rPr>
                <w:rFonts w:hint="eastAsia" w:ascii="宋体" w:hAnsi="宋体" w:cs="宋体"/>
                <w:color w:val="000000"/>
                <w:sz w:val="18"/>
                <w:szCs w:val="18"/>
                <w:highlight w:val="none"/>
                <w:lang w:val="en-US" w:eastAsia="zh-CN"/>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749"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lang w:val="en"/>
              </w:rPr>
            </w:pPr>
            <w:r>
              <w:rPr>
                <w:rFonts w:hint="eastAsia" w:ascii="宋体" w:hAnsi="宋体" w:eastAsia="宋体" w:cs="宋体"/>
                <w:b/>
                <w:bCs/>
                <w:sz w:val="18"/>
                <w:szCs w:val="18"/>
              </w:rPr>
              <w:t>04</w:t>
            </w:r>
          </w:p>
        </w:tc>
        <w:tc>
          <w:tcPr>
            <w:tcW w:w="9212" w:type="dxa"/>
            <w:gridSpan w:val="4"/>
            <w:noWrap w:val="0"/>
            <w:vAlign w:val="center"/>
          </w:tcPr>
          <w:p>
            <w:pPr>
              <w:tabs>
                <w:tab w:val="left" w:pos="720"/>
              </w:tabs>
              <w:autoSpaceDE w:val="0"/>
              <w:autoSpaceDN w:val="0"/>
              <w:adjustRightInd w:val="0"/>
              <w:snapToGrid w:val="0"/>
              <w:spacing w:line="240" w:lineRule="exact"/>
              <w:ind w:right="18" w:firstLine="90" w:firstLineChars="50"/>
              <w:jc w:val="left"/>
              <w:rPr>
                <w:rFonts w:hint="eastAsia" w:ascii="宋体" w:hAnsi="宋体" w:eastAsia="宋体" w:cs="宋体"/>
                <w:sz w:val="18"/>
                <w:szCs w:val="18"/>
                <w:lang w:eastAsia="zh-CN"/>
              </w:rPr>
            </w:pPr>
            <w:r>
              <w:rPr>
                <w:rFonts w:hint="eastAsia" w:ascii="宋体" w:hAnsi="宋体" w:eastAsia="宋体" w:cs="宋体"/>
                <w:sz w:val="18"/>
                <w:szCs w:val="18"/>
              </w:rPr>
              <w:t>贵企业在以下哪些方面采用了信息化管理</w:t>
            </w:r>
            <w:r>
              <w:rPr>
                <w:rFonts w:hint="eastAsia" w:ascii="宋体" w:hAnsi="宋体" w:eastAsia="宋体" w:cs="宋体"/>
                <w:sz w:val="18"/>
                <w:szCs w:val="18"/>
                <w:lang w:eastAsia="zh-CN"/>
              </w:rPr>
              <w:t>（可多选）？</w:t>
            </w:r>
          </w:p>
          <w:p>
            <w:pPr>
              <w:snapToGrid w:val="0"/>
              <w:spacing w:line="240" w:lineRule="exact"/>
              <w:ind w:firstLine="180" w:firstLineChars="100"/>
              <w:rPr>
                <w:rFonts w:hint="eastAsia" w:ascii="宋体" w:hAnsi="宋体" w:eastAsia="宋体" w:cs="宋体"/>
                <w:sz w:val="18"/>
                <w:szCs w:val="18"/>
              </w:rPr>
            </w:pPr>
            <w:r>
              <w:rPr>
                <w:rFonts w:hint="eastAsia" w:ascii="宋体" w:hAnsi="宋体" w:eastAsia="宋体" w:cs="宋体"/>
                <w:sz w:val="18"/>
                <w:szCs w:val="18"/>
              </w:rPr>
              <w:t xml:space="preserve">1 财务管理      □   2 购销存管理    □   3 生产制造管理 □      4 物流配送管理     </w:t>
            </w:r>
            <w:r>
              <w:rPr>
                <w:rFonts w:hint="eastAsia" w:ascii="宋体" w:hAnsi="宋体" w:eastAsia="宋体" w:cs="宋体"/>
                <w:w w:val="80"/>
                <w:sz w:val="18"/>
                <w:szCs w:val="18"/>
              </w:rPr>
              <w:t xml:space="preserve">  </w:t>
            </w:r>
            <w:r>
              <w:rPr>
                <w:rFonts w:hint="eastAsia" w:ascii="宋体" w:hAnsi="宋体" w:eastAsia="宋体" w:cs="宋体"/>
                <w:sz w:val="18"/>
                <w:szCs w:val="18"/>
              </w:rPr>
              <w:t xml:space="preserve"> □ </w:t>
            </w:r>
          </w:p>
          <w:p>
            <w:pPr>
              <w:snapToGrid w:val="0"/>
              <w:spacing w:line="240" w:lineRule="exact"/>
              <w:rPr>
                <w:rFonts w:hint="eastAsia" w:ascii="宋体" w:hAnsi="宋体" w:eastAsia="宋体" w:cs="宋体"/>
                <w:sz w:val="18"/>
                <w:szCs w:val="18"/>
                <w:lang w:val="en"/>
              </w:rPr>
            </w:pPr>
            <w:r>
              <w:rPr>
                <w:rFonts w:hint="eastAsia" w:ascii="宋体" w:hAnsi="宋体" w:eastAsia="宋体" w:cs="宋体"/>
                <w:sz w:val="18"/>
                <w:szCs w:val="18"/>
              </w:rPr>
              <w:t xml:space="preserve">  5 客户关系管理  □   6 人力资源管理  □   7 产品研发管理 □      8 </w:t>
            </w:r>
            <w:r>
              <w:rPr>
                <w:rFonts w:hint="eastAsia" w:ascii="宋体" w:hAnsi="宋体" w:eastAsia="宋体" w:cs="宋体"/>
                <w:sz w:val="18"/>
                <w:szCs w:val="18"/>
                <w:lang w:val="en"/>
              </w:rPr>
              <w:t>企业资源规划（ERP）</w:t>
            </w:r>
            <w:r>
              <w:rPr>
                <w:rFonts w:hint="eastAsia" w:ascii="宋体" w:hAnsi="宋体" w:eastAsia="宋体" w:cs="宋体"/>
                <w:sz w:val="18"/>
                <w:szCs w:val="18"/>
              </w:rPr>
              <w:t>□</w:t>
            </w:r>
          </w:p>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lang w:val="en"/>
              </w:rPr>
              <w:t xml:space="preserve">  9 </w:t>
            </w:r>
            <w:r>
              <w:rPr>
                <w:rFonts w:hint="eastAsia" w:ascii="宋体" w:hAnsi="宋体" w:eastAsia="宋体" w:cs="宋体"/>
                <w:sz w:val="18"/>
                <w:szCs w:val="18"/>
              </w:rPr>
              <w:t>其他</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rPr>
              <w:t>□</w:t>
            </w:r>
            <w:r>
              <w:rPr>
                <w:rFonts w:hint="eastAsia" w:ascii="宋体" w:hAnsi="宋体" w:eastAsia="宋体" w:cs="宋体"/>
                <w:sz w:val="18"/>
                <w:szCs w:val="18"/>
                <w:lang w:val="en"/>
              </w:rPr>
              <w:t xml:space="preserve">   10</w:t>
            </w:r>
            <w:r>
              <w:rPr>
                <w:rFonts w:hint="eastAsia" w:ascii="宋体" w:hAnsi="宋体" w:eastAsia="宋体" w:cs="宋体"/>
                <w:sz w:val="18"/>
                <w:szCs w:val="18"/>
              </w:rPr>
              <w:t xml:space="preserve"> 无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85"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05</w:t>
            </w:r>
          </w:p>
        </w:tc>
        <w:tc>
          <w:tcPr>
            <w:tcW w:w="9212" w:type="dxa"/>
            <w:gridSpan w:val="4"/>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w:t>
            </w:r>
            <w:r>
              <w:rPr>
                <w:rFonts w:hint="eastAsia" w:ascii="宋体" w:hAnsi="宋体" w:eastAsia="宋体" w:cs="宋体"/>
                <w:sz w:val="18"/>
                <w:szCs w:val="18"/>
                <w:lang w:eastAsia="zh-CN"/>
              </w:rPr>
              <w:t>年末</w:t>
            </w:r>
            <w:r>
              <w:rPr>
                <w:rFonts w:hint="eastAsia" w:ascii="宋体" w:hAnsi="宋体" w:eastAsia="宋体" w:cs="宋体"/>
                <w:sz w:val="18"/>
                <w:szCs w:val="18"/>
              </w:rPr>
              <w:t>拥有的网站数量</w:t>
            </w:r>
            <w:r>
              <w:rPr>
                <w:rFonts w:hint="default" w:ascii="宋体" w:hAnsi="宋体" w:eastAsia="宋体" w:cs="宋体"/>
                <w:sz w:val="18"/>
                <w:szCs w:val="18"/>
                <w:u w:val="single"/>
                <w:lang w:val="en"/>
              </w:rPr>
              <w:t xml:space="preserve">            </w:t>
            </w:r>
            <w:r>
              <w:rPr>
                <w:rFonts w:hint="eastAsia" w:ascii="宋体" w:hAnsi="宋体" w:eastAsia="宋体" w:cs="宋体"/>
                <w:sz w:val="18"/>
                <w:szCs w:val="18"/>
              </w:rPr>
              <w:t>个。</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044"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06</w:t>
            </w:r>
          </w:p>
        </w:tc>
        <w:tc>
          <w:tcPr>
            <w:tcW w:w="9212" w:type="dxa"/>
            <w:gridSpan w:val="4"/>
            <w:noWrap w:val="0"/>
            <w:vAlign w:val="center"/>
          </w:tcPr>
          <w:p>
            <w:pPr>
              <w:snapToGrid w:val="0"/>
              <w:spacing w:line="240" w:lineRule="exact"/>
              <w:ind w:firstLine="90" w:firstLineChars="50"/>
              <w:rPr>
                <w:rFonts w:hint="eastAsia" w:ascii="宋体" w:hAnsi="宋体" w:eastAsia="宋体" w:cs="宋体"/>
                <w:snapToGrid w:val="0"/>
                <w:kern w:val="0"/>
                <w:sz w:val="18"/>
                <w:szCs w:val="18"/>
                <w:lang w:val="en"/>
              </w:rPr>
            </w:pPr>
            <w:r>
              <w:rPr>
                <w:rFonts w:hint="eastAsia" w:ascii="宋体" w:hAnsi="宋体" w:eastAsia="宋体" w:cs="宋体"/>
                <w:snapToGrid w:val="0"/>
                <w:kern w:val="0"/>
                <w:sz w:val="18"/>
                <w:szCs w:val="18"/>
                <w:lang w:val="en"/>
              </w:rPr>
              <w:t>贵企业网站的用途（可多选）？</w:t>
            </w:r>
          </w:p>
          <w:p>
            <w:pPr>
              <w:snapToGrid w:val="0"/>
              <w:spacing w:line="240" w:lineRule="exact"/>
              <w:ind w:firstLine="180" w:firstLineChars="100"/>
              <w:rPr>
                <w:rFonts w:hint="eastAsia" w:ascii="宋体" w:hAnsi="宋体" w:eastAsia="宋体" w:cs="宋体"/>
                <w:snapToGrid w:val="0"/>
                <w:kern w:val="0"/>
                <w:sz w:val="18"/>
                <w:szCs w:val="18"/>
              </w:rPr>
            </w:pPr>
            <w:r>
              <w:rPr>
                <w:rFonts w:hint="eastAsia" w:ascii="宋体" w:hAnsi="宋体" w:eastAsia="宋体" w:cs="宋体"/>
                <w:snapToGrid w:val="0"/>
                <w:kern w:val="0"/>
                <w:sz w:val="18"/>
                <w:szCs w:val="18"/>
              </w:rPr>
              <w:t>1对公司产品和服务进行描述，展示价格信息            □   2</w:t>
            </w:r>
            <w:r>
              <w:rPr>
                <w:rFonts w:hint="eastAsia" w:ascii="宋体" w:hAnsi="宋体" w:eastAsia="宋体" w:cs="宋体"/>
                <w:snapToGrid w:val="0"/>
                <w:kern w:val="0"/>
                <w:sz w:val="18"/>
                <w:szCs w:val="18"/>
                <w:lang w:val="en"/>
              </w:rPr>
              <w:t>在线下单、预</w:t>
            </w:r>
            <w:r>
              <w:rPr>
                <w:rFonts w:hint="eastAsia" w:ascii="宋体" w:hAnsi="宋体" w:eastAsia="宋体" w:cs="宋体"/>
                <w:snapToGrid w:val="0"/>
                <w:kern w:val="0"/>
                <w:sz w:val="18"/>
                <w:szCs w:val="18"/>
                <w:lang w:val="en" w:eastAsia="zh-CN"/>
              </w:rPr>
              <w:t>订</w:t>
            </w:r>
            <w:r>
              <w:rPr>
                <w:rFonts w:hint="eastAsia" w:ascii="宋体" w:hAnsi="宋体" w:eastAsia="宋体" w:cs="宋体"/>
                <w:snapToGrid w:val="0"/>
                <w:kern w:val="0"/>
                <w:sz w:val="18"/>
                <w:szCs w:val="18"/>
                <w:lang w:val="en"/>
              </w:rPr>
              <w:t>、预约，如购物车</w:t>
            </w:r>
            <w:r>
              <w:rPr>
                <w:rFonts w:hint="eastAsia" w:ascii="宋体" w:hAnsi="宋体" w:eastAsia="宋体" w:cs="宋体"/>
                <w:snapToGrid w:val="0"/>
                <w:kern w:val="0"/>
                <w:sz w:val="18"/>
                <w:szCs w:val="18"/>
              </w:rPr>
              <w:t xml:space="preserve">     □</w:t>
            </w:r>
          </w:p>
          <w:p>
            <w:pPr>
              <w:snapToGrid w:val="0"/>
              <w:spacing w:line="240" w:lineRule="exact"/>
              <w:ind w:firstLine="180" w:firstLineChars="100"/>
              <w:rPr>
                <w:rFonts w:hint="eastAsia" w:ascii="宋体" w:hAnsi="宋体" w:eastAsia="宋体" w:cs="宋体"/>
                <w:snapToGrid w:val="0"/>
                <w:kern w:val="0"/>
                <w:sz w:val="18"/>
                <w:szCs w:val="18"/>
                <w:lang w:val="en"/>
              </w:rPr>
            </w:pPr>
            <w:r>
              <w:rPr>
                <w:rFonts w:hint="eastAsia" w:ascii="宋体" w:hAnsi="宋体" w:eastAsia="宋体" w:cs="宋体"/>
                <w:snapToGrid w:val="0"/>
                <w:kern w:val="0"/>
                <w:sz w:val="18"/>
                <w:szCs w:val="18"/>
              </w:rPr>
              <w:t>3</w:t>
            </w:r>
            <w:r>
              <w:rPr>
                <w:rFonts w:hint="eastAsia" w:ascii="宋体" w:hAnsi="宋体" w:eastAsia="宋体" w:cs="宋体"/>
                <w:snapToGrid w:val="0"/>
                <w:kern w:val="0"/>
                <w:sz w:val="18"/>
                <w:szCs w:val="18"/>
                <w:lang w:val="en"/>
              </w:rPr>
              <w:t>网站访问者可以在线进行个性化定制、产品设计等服务</w:t>
            </w:r>
            <w:r>
              <w:rPr>
                <w:rFonts w:hint="eastAsia" w:ascii="宋体" w:hAnsi="宋体" w:eastAsia="宋体" w:cs="宋体"/>
                <w:snapToGrid w:val="0"/>
                <w:kern w:val="0"/>
                <w:sz w:val="18"/>
                <w:szCs w:val="18"/>
              </w:rPr>
              <w:t xml:space="preserve">  □   4</w:t>
            </w:r>
            <w:r>
              <w:rPr>
                <w:rFonts w:hint="eastAsia" w:ascii="宋体" w:hAnsi="宋体" w:eastAsia="宋体" w:cs="宋体"/>
                <w:snapToGrid w:val="0"/>
                <w:kern w:val="0"/>
                <w:sz w:val="18"/>
                <w:szCs w:val="18"/>
                <w:lang w:val="en"/>
              </w:rPr>
              <w:t>查询或显示订单情况</w:t>
            </w:r>
            <w:r>
              <w:rPr>
                <w:rFonts w:hint="eastAsia" w:ascii="宋体" w:hAnsi="宋体" w:eastAsia="宋体" w:cs="宋体"/>
                <w:snapToGrid w:val="0"/>
                <w:kern w:val="0"/>
                <w:sz w:val="18"/>
                <w:szCs w:val="18"/>
              </w:rPr>
              <w:t xml:space="preserve">                 □</w:t>
            </w:r>
          </w:p>
          <w:p>
            <w:pPr>
              <w:snapToGrid w:val="0"/>
              <w:spacing w:line="240" w:lineRule="exact"/>
              <w:ind w:firstLine="180" w:firstLineChars="100"/>
              <w:rPr>
                <w:rFonts w:hint="eastAsia" w:ascii="宋体" w:hAnsi="宋体" w:eastAsia="宋体" w:cs="宋体"/>
                <w:snapToGrid w:val="0"/>
                <w:kern w:val="0"/>
                <w:sz w:val="18"/>
                <w:szCs w:val="18"/>
                <w:lang w:val="en"/>
              </w:rPr>
            </w:pPr>
            <w:r>
              <w:rPr>
                <w:rFonts w:hint="eastAsia" w:ascii="宋体" w:hAnsi="宋体" w:eastAsia="宋体" w:cs="宋体"/>
                <w:snapToGrid w:val="0"/>
                <w:kern w:val="0"/>
                <w:sz w:val="18"/>
                <w:szCs w:val="18"/>
              </w:rPr>
              <w:t>5通过算法对</w:t>
            </w:r>
            <w:r>
              <w:rPr>
                <w:rFonts w:hint="eastAsia" w:ascii="宋体" w:hAnsi="宋体" w:eastAsia="宋体" w:cs="宋体"/>
                <w:snapToGrid w:val="0"/>
                <w:kern w:val="0"/>
                <w:sz w:val="18"/>
                <w:szCs w:val="18"/>
                <w:lang w:val="en"/>
              </w:rPr>
              <w:t>用户</w:t>
            </w:r>
            <w:r>
              <w:rPr>
                <w:rFonts w:hint="eastAsia" w:ascii="宋体" w:hAnsi="宋体" w:eastAsia="宋体" w:cs="宋体"/>
                <w:snapToGrid w:val="0"/>
                <w:kern w:val="0"/>
                <w:sz w:val="18"/>
                <w:szCs w:val="18"/>
              </w:rPr>
              <w:t>精准定位</w:t>
            </w:r>
            <w:r>
              <w:rPr>
                <w:rFonts w:hint="eastAsia" w:ascii="宋体" w:hAnsi="宋体" w:eastAsia="宋体" w:cs="宋体"/>
                <w:snapToGrid w:val="0"/>
                <w:kern w:val="0"/>
                <w:sz w:val="18"/>
                <w:szCs w:val="18"/>
                <w:lang w:val="en"/>
              </w:rPr>
              <w:t>，为其提供特色内容</w:t>
            </w:r>
            <w:r>
              <w:rPr>
                <w:rFonts w:hint="eastAsia" w:ascii="宋体" w:hAnsi="宋体" w:eastAsia="宋体" w:cs="宋体"/>
                <w:snapToGrid w:val="0"/>
                <w:kern w:val="0"/>
                <w:sz w:val="18"/>
                <w:szCs w:val="18"/>
              </w:rPr>
              <w:t xml:space="preserve">          □   6</w:t>
            </w:r>
            <w:r>
              <w:rPr>
                <w:rFonts w:hint="eastAsia" w:ascii="宋体" w:hAnsi="宋体" w:eastAsia="宋体" w:cs="宋体"/>
                <w:snapToGrid w:val="0"/>
                <w:kern w:val="0"/>
                <w:sz w:val="18"/>
                <w:szCs w:val="18"/>
                <w:lang w:val="en"/>
              </w:rPr>
              <w:t>提供企业APP、社交媒体等链接信息</w:t>
            </w:r>
            <w:r>
              <w:rPr>
                <w:rFonts w:hint="eastAsia" w:ascii="宋体" w:hAnsi="宋体" w:eastAsia="宋体" w:cs="宋体"/>
                <w:snapToGrid w:val="0"/>
                <w:w w:val="100"/>
                <w:kern w:val="0"/>
                <w:sz w:val="18"/>
                <w:szCs w:val="18"/>
              </w:rPr>
              <w:t xml:space="preserve">  </w:t>
            </w:r>
            <w:r>
              <w:rPr>
                <w:rFonts w:hint="eastAsia" w:ascii="宋体" w:hAnsi="宋体" w:eastAsia="宋体" w:cs="宋体"/>
                <w:snapToGrid w:val="0"/>
                <w:w w:val="90"/>
                <w:kern w:val="0"/>
                <w:sz w:val="18"/>
                <w:szCs w:val="18"/>
              </w:rPr>
              <w:t xml:space="preserve"> </w:t>
            </w:r>
            <w:r>
              <w:rPr>
                <w:rFonts w:hint="eastAsia" w:ascii="宋体" w:hAnsi="宋体" w:eastAsia="宋体" w:cs="宋体"/>
                <w:snapToGrid w:val="0"/>
                <w:kern w:val="0"/>
                <w:sz w:val="18"/>
                <w:szCs w:val="18"/>
              </w:rPr>
              <w:t>□</w:t>
            </w:r>
            <w:r>
              <w:rPr>
                <w:rFonts w:hint="eastAsia" w:ascii="宋体" w:hAnsi="宋体" w:eastAsia="宋体" w:cs="宋体"/>
                <w:snapToGrid w:val="0"/>
                <w:kern w:val="0"/>
                <w:sz w:val="18"/>
                <w:szCs w:val="18"/>
                <w:lang w:val="en"/>
              </w:rPr>
              <w:t xml:space="preserve">   </w:t>
            </w:r>
          </w:p>
          <w:p>
            <w:pPr>
              <w:snapToGrid w:val="0"/>
              <w:spacing w:line="240" w:lineRule="exact"/>
              <w:ind w:firstLine="180" w:firstLineChars="100"/>
              <w:rPr>
                <w:rFonts w:hint="eastAsia" w:ascii="宋体" w:hAnsi="宋体" w:eastAsia="宋体" w:cs="宋体"/>
                <w:snapToGrid w:val="0"/>
                <w:kern w:val="0"/>
                <w:sz w:val="18"/>
                <w:szCs w:val="18"/>
                <w:lang w:val="en"/>
              </w:rPr>
            </w:pPr>
            <w:r>
              <w:rPr>
                <w:rFonts w:hint="eastAsia" w:ascii="宋体" w:hAnsi="宋体" w:eastAsia="宋体" w:cs="宋体"/>
                <w:snapToGrid w:val="0"/>
                <w:kern w:val="0"/>
                <w:sz w:val="18"/>
                <w:szCs w:val="18"/>
                <w:lang w:val="en"/>
              </w:rPr>
              <w:t xml:space="preserve">7其他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w:t>
            </w:r>
            <w:r>
              <w:rPr>
                <w:rFonts w:hint="eastAsia" w:ascii="宋体" w:hAnsi="宋体" w:eastAsia="宋体" w:cs="宋体"/>
                <w:sz w:val="18"/>
                <w:szCs w:val="18"/>
                <w:lang w:val="en"/>
              </w:rPr>
              <w:t xml:space="preserve">   8</w:t>
            </w:r>
            <w:r>
              <w:rPr>
                <w:rFonts w:hint="eastAsia" w:ascii="宋体" w:hAnsi="宋体" w:eastAsia="宋体" w:cs="宋体"/>
                <w:sz w:val="18"/>
                <w:szCs w:val="18"/>
              </w:rPr>
              <w:t xml:space="preserve">无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1044"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07</w:t>
            </w:r>
          </w:p>
        </w:tc>
        <w:tc>
          <w:tcPr>
            <w:tcW w:w="9212" w:type="dxa"/>
            <w:gridSpan w:val="4"/>
            <w:noWrap w:val="0"/>
            <w:vAlign w:val="center"/>
          </w:tcPr>
          <w:p>
            <w:pPr>
              <w:pStyle w:val="5"/>
              <w:snapToGrid/>
              <w:spacing w:line="240" w:lineRule="exact"/>
              <w:ind w:firstLine="180" w:firstLineChars="100"/>
              <w:rPr>
                <w:rFonts w:hint="eastAsia" w:ascii="宋体" w:hAnsi="宋体" w:eastAsia="宋体" w:cs="宋体"/>
                <w:snapToGrid w:val="0"/>
                <w:kern w:val="0"/>
                <w:sz w:val="18"/>
                <w:szCs w:val="18"/>
                <w:highlight w:val="none"/>
                <w:lang w:val="en"/>
              </w:rPr>
            </w:pPr>
            <w:r>
              <w:rPr>
                <w:rFonts w:hint="eastAsia" w:ascii="宋体" w:hAnsi="宋体" w:eastAsia="宋体" w:cs="宋体"/>
                <w:snapToGrid w:val="0"/>
                <w:kern w:val="0"/>
                <w:sz w:val="18"/>
                <w:szCs w:val="18"/>
                <w:highlight w:val="none"/>
                <w:lang w:val="en"/>
              </w:rPr>
              <w:t>贵企业</w:t>
            </w:r>
            <w:r>
              <w:rPr>
                <w:rFonts w:hint="eastAsia" w:ascii="宋体" w:hAnsi="宋体" w:eastAsia="宋体" w:cs="宋体"/>
                <w:snapToGrid w:val="0"/>
                <w:color w:val="000000"/>
                <w:kern w:val="0"/>
                <w:sz w:val="18"/>
                <w:szCs w:val="18"/>
                <w:highlight w:val="none"/>
                <w:lang w:val="en"/>
              </w:rPr>
              <w:t>在生产经营中</w:t>
            </w:r>
            <w:r>
              <w:rPr>
                <w:rFonts w:hint="eastAsia" w:ascii="宋体" w:hAnsi="宋体" w:eastAsia="宋体" w:cs="宋体"/>
                <w:snapToGrid w:val="0"/>
                <w:color w:val="000000"/>
                <w:kern w:val="0"/>
                <w:sz w:val="18"/>
                <w:szCs w:val="18"/>
                <w:highlight w:val="none"/>
                <w:lang w:val="en" w:eastAsia="zh-CN"/>
              </w:rPr>
              <w:t>与数据要素有关的情况：</w:t>
            </w:r>
          </w:p>
          <w:p>
            <w:pPr>
              <w:pStyle w:val="5"/>
              <w:snapToGrid/>
              <w:spacing w:line="240" w:lineRule="exact"/>
              <w:ind w:firstLine="180" w:firstLineChars="100"/>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（1）贵企业</w:t>
            </w:r>
            <w:r>
              <w:rPr>
                <w:rFonts w:hint="eastAsia" w:ascii="宋体" w:hAnsi="宋体" w:eastAsia="宋体" w:cs="宋体"/>
                <w:color w:val="000000"/>
                <w:sz w:val="18"/>
                <w:szCs w:val="18"/>
                <w:highlight w:val="none"/>
              </w:rPr>
              <w:t xml:space="preserve">是否设有专职的数据业务或数字化部门 </w:t>
            </w:r>
            <w:r>
              <w:rPr>
                <w:rFonts w:hint="eastAsia" w:ascii="宋体" w:hAnsi="宋体" w:eastAsia="宋体" w:cs="宋体"/>
                <w:color w:val="000000"/>
                <w:sz w:val="18"/>
                <w:szCs w:val="18"/>
                <w:highlight w:val="none"/>
                <w:lang w:val="en-US" w:eastAsia="zh-CN"/>
              </w:rPr>
              <w:t>A</w:t>
            </w:r>
            <w:r>
              <w:rPr>
                <w:rFonts w:hint="eastAsia" w:ascii="宋体" w:hAnsi="宋体" w:eastAsia="宋体" w:cs="宋体"/>
                <w:color w:val="000000"/>
                <w:sz w:val="18"/>
                <w:szCs w:val="18"/>
                <w:highlight w:val="none"/>
              </w:rPr>
              <w:t xml:space="preserve">是□ </w:t>
            </w:r>
            <w:r>
              <w:rPr>
                <w:rFonts w:hint="eastAsia" w:ascii="宋体" w:hAnsi="宋体" w:eastAsia="宋体" w:cs="宋体"/>
                <w:color w:val="000000"/>
                <w:sz w:val="18"/>
                <w:szCs w:val="18"/>
                <w:highlight w:val="none"/>
                <w:lang w:val="en-US" w:eastAsia="zh-CN"/>
              </w:rPr>
              <w:t xml:space="preserve"> B</w:t>
            </w:r>
            <w:r>
              <w:rPr>
                <w:rFonts w:hint="eastAsia" w:ascii="宋体" w:hAnsi="宋体" w:eastAsia="宋体" w:cs="宋体"/>
                <w:color w:val="000000"/>
                <w:sz w:val="18"/>
                <w:szCs w:val="18"/>
                <w:highlight w:val="none"/>
              </w:rPr>
              <w:t>否□</w:t>
            </w:r>
            <w:r>
              <w:rPr>
                <w:rFonts w:hint="eastAsia" w:ascii="宋体" w:hAnsi="宋体" w:eastAsia="宋体" w:cs="宋体"/>
                <w:color w:val="000000"/>
                <w:sz w:val="18"/>
                <w:szCs w:val="18"/>
                <w:highlight w:val="none"/>
                <w:lang w:eastAsia="zh-CN"/>
              </w:rPr>
              <w:t>，</w:t>
            </w:r>
          </w:p>
          <w:p>
            <w:pPr>
              <w:pStyle w:val="5"/>
              <w:snapToGrid/>
              <w:spacing w:line="240" w:lineRule="exact"/>
              <w:ind w:firstLine="180" w:firstLineChars="10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（2）贵企业</w:t>
            </w:r>
            <w:r>
              <w:rPr>
                <w:rFonts w:hint="eastAsia" w:ascii="宋体" w:hAnsi="宋体" w:eastAsia="宋体" w:cs="宋体"/>
                <w:color w:val="000000"/>
                <w:sz w:val="18"/>
                <w:szCs w:val="18"/>
                <w:highlight w:val="none"/>
              </w:rPr>
              <w:t>是否有数据研发系统</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软件</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或数据管理系统</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平台</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lang w:val="en-US" w:eastAsia="zh-CN"/>
              </w:rPr>
              <w:t>A</w:t>
            </w:r>
            <w:r>
              <w:rPr>
                <w:rFonts w:hint="eastAsia" w:ascii="宋体" w:hAnsi="宋体" w:eastAsia="宋体" w:cs="宋体"/>
                <w:color w:val="000000"/>
                <w:sz w:val="18"/>
                <w:szCs w:val="18"/>
                <w:highlight w:val="none"/>
              </w:rPr>
              <w:t>是 □</w:t>
            </w:r>
            <w:r>
              <w:rPr>
                <w:rFonts w:hint="eastAsia" w:ascii="宋体" w:hAnsi="宋体" w:eastAsia="宋体" w:cs="宋体"/>
                <w:color w:val="000000"/>
                <w:sz w:val="18"/>
                <w:szCs w:val="18"/>
                <w:highlight w:val="none"/>
                <w:lang w:val="en-US" w:eastAsia="zh-CN"/>
              </w:rPr>
              <w:t xml:space="preserve">  B</w:t>
            </w:r>
            <w:r>
              <w:rPr>
                <w:rFonts w:hint="eastAsia" w:ascii="宋体" w:hAnsi="宋体" w:eastAsia="宋体" w:cs="宋体"/>
                <w:color w:val="000000"/>
                <w:sz w:val="18"/>
                <w:szCs w:val="18"/>
                <w:highlight w:val="none"/>
              </w:rPr>
              <w:t>否□</w:t>
            </w:r>
          </w:p>
          <w:p>
            <w:pPr>
              <w:pStyle w:val="5"/>
              <w:snapToGrid/>
              <w:spacing w:line="240" w:lineRule="exact"/>
              <w:ind w:firstLine="180" w:firstLineChars="10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（3）贵企业</w:t>
            </w:r>
            <w:r>
              <w:rPr>
                <w:rFonts w:hint="eastAsia" w:ascii="宋体" w:hAnsi="宋体" w:eastAsia="宋体" w:cs="宋体"/>
                <w:color w:val="000000"/>
                <w:sz w:val="18"/>
                <w:szCs w:val="18"/>
                <w:highlight w:val="none"/>
              </w:rPr>
              <w:t>数据来源（</w:t>
            </w:r>
            <w:r>
              <w:rPr>
                <w:rFonts w:hint="eastAsia" w:ascii="宋体" w:hAnsi="宋体" w:eastAsia="宋体" w:cs="宋体"/>
                <w:color w:val="000000"/>
                <w:sz w:val="18"/>
                <w:szCs w:val="18"/>
                <w:highlight w:val="none"/>
                <w:lang w:eastAsia="zh-CN"/>
              </w:rPr>
              <w:t>可</w:t>
            </w:r>
            <w:r>
              <w:rPr>
                <w:rFonts w:hint="eastAsia" w:ascii="宋体" w:hAnsi="宋体" w:eastAsia="宋体" w:cs="宋体"/>
                <w:color w:val="000000"/>
                <w:sz w:val="18"/>
                <w:szCs w:val="18"/>
                <w:highlight w:val="none"/>
              </w:rPr>
              <w:t>多选)：</w:t>
            </w:r>
          </w:p>
          <w:p>
            <w:pPr>
              <w:pStyle w:val="5"/>
              <w:snapToGrid/>
              <w:spacing w:line="240" w:lineRule="exact"/>
              <w:ind w:firstLine="180" w:firstLineChars="10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 1  </w:t>
            </w:r>
            <w:r>
              <w:rPr>
                <w:rFonts w:hint="eastAsia" w:ascii="宋体" w:hAnsi="宋体" w:eastAsia="宋体" w:cs="宋体"/>
                <w:color w:val="000000"/>
                <w:sz w:val="18"/>
                <w:szCs w:val="18"/>
                <w:highlight w:val="none"/>
              </w:rPr>
              <w:t>用户 □</w:t>
            </w:r>
            <w:r>
              <w:rPr>
                <w:rFonts w:hint="eastAsia" w:ascii="宋体" w:hAnsi="宋体" w:eastAsia="宋体" w:cs="宋体"/>
                <w:color w:val="000000"/>
                <w:sz w:val="18"/>
                <w:szCs w:val="18"/>
                <w:highlight w:val="none"/>
                <w:lang w:val="en-US" w:eastAsia="zh-CN"/>
              </w:rPr>
              <w:t xml:space="preserve">   </w:t>
            </w:r>
            <w:r>
              <w:rPr>
                <w:rFonts w:hint="default"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lang w:val="en-US" w:eastAsia="zh-CN"/>
              </w:rPr>
              <w:t xml:space="preserve">  2 </w:t>
            </w:r>
            <w:r>
              <w:rPr>
                <w:rFonts w:hint="eastAsia" w:ascii="宋体" w:hAnsi="宋体" w:eastAsia="宋体" w:cs="宋体"/>
                <w:color w:val="000000"/>
                <w:sz w:val="18"/>
                <w:szCs w:val="18"/>
                <w:highlight w:val="none"/>
              </w:rPr>
              <w:t>开发者 □</w:t>
            </w:r>
            <w:r>
              <w:rPr>
                <w:rFonts w:hint="eastAsia" w:ascii="宋体" w:hAnsi="宋体" w:eastAsia="宋体" w:cs="宋体"/>
                <w:color w:val="000000"/>
                <w:sz w:val="18"/>
                <w:szCs w:val="18"/>
                <w:highlight w:val="none"/>
                <w:lang w:val="en-US" w:eastAsia="zh-CN"/>
              </w:rPr>
              <w:t xml:space="preserve"> </w:t>
            </w:r>
            <w:r>
              <w:rPr>
                <w:rFonts w:hint="eastAsia" w:ascii="宋体" w:hAnsi="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lang w:val="en-US" w:eastAsia="zh-CN"/>
              </w:rPr>
              <w:t xml:space="preserve">  </w:t>
            </w:r>
            <w:r>
              <w:rPr>
                <w:rFonts w:hint="default" w:ascii="宋体" w:hAnsi="宋体" w:eastAsia="宋体" w:cs="宋体"/>
                <w:color w:val="000000"/>
                <w:sz w:val="18"/>
                <w:szCs w:val="18"/>
                <w:highlight w:val="none"/>
                <w:lang w:val="en-US" w:eastAsia="zh-CN"/>
              </w:rPr>
              <w:t xml:space="preserve">    </w:t>
            </w:r>
            <w:r>
              <w:rPr>
                <w:rFonts w:hint="eastAsia" w:ascii="宋体" w:hAnsi="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lang w:val="en-US" w:eastAsia="zh-CN"/>
              </w:rPr>
              <w:t xml:space="preserve">  3 </w:t>
            </w:r>
            <w:r>
              <w:rPr>
                <w:rFonts w:hint="eastAsia" w:ascii="宋体" w:hAnsi="宋体" w:cs="宋体"/>
                <w:color w:val="000000"/>
                <w:sz w:val="18"/>
                <w:szCs w:val="18"/>
                <w:highlight w:val="none"/>
                <w:lang w:val="en-US" w:eastAsia="zh-CN"/>
              </w:rPr>
              <w:t xml:space="preserve"> </w:t>
            </w:r>
            <w:r>
              <w:rPr>
                <w:rFonts w:hint="eastAsia" w:ascii="宋体" w:hAnsi="宋体" w:cs="宋体"/>
                <w:color w:val="000000"/>
                <w:sz w:val="18"/>
                <w:szCs w:val="18"/>
                <w:highlight w:val="none"/>
                <w:lang w:eastAsia="zh-CN"/>
              </w:rPr>
              <w:t>物联网</w:t>
            </w: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lang w:val="en-US" w:eastAsia="zh-CN"/>
              </w:rPr>
              <w:t xml:space="preserve">     4 </w:t>
            </w:r>
            <w:r>
              <w:rPr>
                <w:rFonts w:hint="eastAsia" w:ascii="宋体" w:hAnsi="宋体" w:eastAsia="宋体" w:cs="宋体"/>
                <w:color w:val="000000"/>
                <w:sz w:val="18"/>
                <w:szCs w:val="18"/>
                <w:highlight w:val="none"/>
              </w:rPr>
              <w:t>产品智能化模块  □</w:t>
            </w:r>
          </w:p>
          <w:p>
            <w:pPr>
              <w:pStyle w:val="5"/>
              <w:snapToGrid/>
              <w:spacing w:line="240" w:lineRule="exact"/>
              <w:ind w:firstLine="180" w:firstLineChars="100"/>
              <w:rPr>
                <w:rFonts w:hint="eastAsia" w:ascii="宋体" w:hAnsi="宋体" w:eastAsia="宋体" w:cs="宋体"/>
                <w:snapToGrid w:val="0"/>
                <w:kern w:val="0"/>
                <w:sz w:val="18"/>
                <w:szCs w:val="18"/>
                <w:highlight w:val="none"/>
                <w:lang w:val="en"/>
              </w:rPr>
            </w:pPr>
            <w:r>
              <w:rPr>
                <w:rFonts w:hint="eastAsia" w:ascii="宋体" w:hAnsi="宋体" w:eastAsia="宋体" w:cs="宋体"/>
                <w:color w:val="000000"/>
                <w:sz w:val="18"/>
                <w:szCs w:val="18"/>
                <w:highlight w:val="none"/>
                <w:lang w:val="en-US" w:eastAsia="zh-CN"/>
              </w:rPr>
              <w:t xml:space="preserve"> 5  </w:t>
            </w:r>
            <w:r>
              <w:rPr>
                <w:rFonts w:hint="eastAsia" w:ascii="宋体" w:hAnsi="宋体" w:eastAsia="宋体" w:cs="宋体"/>
                <w:color w:val="000000"/>
                <w:sz w:val="18"/>
                <w:szCs w:val="18"/>
                <w:highlight w:val="none"/>
              </w:rPr>
              <w:t>外部购买 □</w:t>
            </w:r>
            <w:r>
              <w:rPr>
                <w:rFonts w:hint="eastAsia" w:ascii="宋体" w:hAnsi="宋体" w:eastAsia="宋体" w:cs="宋体"/>
                <w:color w:val="000000"/>
                <w:sz w:val="18"/>
                <w:szCs w:val="18"/>
                <w:highlight w:val="none"/>
                <w:lang w:val="en-US" w:eastAsia="zh-CN"/>
              </w:rPr>
              <w:t xml:space="preserve">    6  </w:t>
            </w:r>
            <w:r>
              <w:rPr>
                <w:rFonts w:hint="eastAsia" w:ascii="宋体" w:hAnsi="宋体" w:eastAsia="宋体" w:cs="宋体"/>
                <w:color w:val="000000"/>
                <w:sz w:val="18"/>
                <w:szCs w:val="18"/>
                <w:highlight w:val="none"/>
              </w:rPr>
              <w:t>其他</w:t>
            </w:r>
            <w:r>
              <w:rPr>
                <w:rFonts w:hint="eastAsia" w:ascii="宋体" w:hAnsi="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w:t>
            </w:r>
            <w:r>
              <w:rPr>
                <w:rFonts w:hint="eastAsia" w:ascii="宋体" w:hAnsi="宋体" w:eastAsia="宋体" w:cs="宋体"/>
                <w:sz w:val="18"/>
                <w:szCs w:val="18"/>
                <w:highlight w:val="none"/>
                <w:u w:val="single"/>
              </w:rPr>
              <w:t xml:space="preserve">         </w:t>
            </w:r>
            <w:r>
              <w:rPr>
                <w:rFonts w:hint="eastAsia" w:ascii="宋体" w:hAnsi="宋体" w:eastAsia="宋体" w:cs="宋体"/>
                <w:sz w:val="18"/>
                <w:szCs w:val="18"/>
                <w:highlight w:val="none"/>
                <w:u w:val="single"/>
                <w:lang w:val="en"/>
              </w:rPr>
              <w:t xml:space="preserve"> </w:t>
            </w:r>
            <w:r>
              <w:rPr>
                <w:rFonts w:hint="eastAsia" w:ascii="宋体" w:hAnsi="宋体" w:eastAsia="宋体" w:cs="宋体"/>
                <w:sz w:val="18"/>
                <w:szCs w:val="18"/>
                <w:highlight w:val="none"/>
                <w:u w:val="single"/>
                <w:lang w:val="en-US" w:eastAsia="zh-CN"/>
              </w:rPr>
              <w:t xml:space="preserve"> </w:t>
            </w:r>
            <w:r>
              <w:rPr>
                <w:rFonts w:hint="eastAsia" w:ascii="宋体" w:hAnsi="宋体" w:eastAsia="宋体" w:cs="宋体"/>
                <w:sz w:val="18"/>
                <w:szCs w:val="18"/>
                <w:highlight w:val="none"/>
                <w:u w:val="none"/>
                <w:lang w:val="en-US" w:eastAsia="zh-CN"/>
              </w:rPr>
              <w:t xml:space="preserve">  </w:t>
            </w:r>
            <w:r>
              <w:rPr>
                <w:rFonts w:hint="eastAsia" w:ascii="宋体" w:hAnsi="宋体" w:eastAsia="宋体" w:cs="宋体"/>
                <w:color w:val="000000"/>
                <w:sz w:val="18"/>
                <w:szCs w:val="18"/>
                <w:highlight w:val="none"/>
                <w:lang w:val="en-US" w:eastAsia="zh-CN"/>
              </w:rPr>
              <w:t xml:space="preserve">7 </w:t>
            </w:r>
            <w:r>
              <w:rPr>
                <w:rFonts w:hint="eastAsia" w:ascii="宋体" w:hAnsi="宋体" w:eastAsia="宋体" w:cs="宋体"/>
                <w:color w:val="000000"/>
                <w:sz w:val="18"/>
                <w:szCs w:val="18"/>
                <w:highlight w:val="none"/>
                <w:lang w:eastAsia="zh-CN"/>
              </w:rPr>
              <w:t>无</w:t>
            </w:r>
            <w:r>
              <w:rPr>
                <w:rFonts w:hint="eastAsia" w:ascii="宋体" w:hAnsi="宋体" w:eastAsia="宋体" w:cs="宋体"/>
                <w:color w:val="000000"/>
                <w:sz w:val="18"/>
                <w:szCs w:val="18"/>
                <w:highlight w:val="none"/>
              </w:rPr>
              <w:t xml:space="preserve"> </w:t>
            </w:r>
            <w:r>
              <w:rPr>
                <w:rFonts w:hint="eastAsia" w:ascii="宋体" w:hAnsi="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rPr>
              <w:t xml:space="preserve">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157" w:hRule="atLeast"/>
          <w:jc w:val="center"/>
        </w:trPr>
        <w:tc>
          <w:tcPr>
            <w:tcW w:w="402" w:type="dxa"/>
            <w:tcBorders>
              <w:bottom w:val="single" w:color="auto" w:sz="2" w:space="0"/>
            </w:tcBorders>
            <w:noWrap w:val="0"/>
            <w:vAlign w:val="center"/>
          </w:tcPr>
          <w:p>
            <w:pPr>
              <w:snapToGrid w:val="0"/>
              <w:spacing w:line="240" w:lineRule="exact"/>
              <w:jc w:val="center"/>
              <w:rPr>
                <w:rFonts w:hint="eastAsia" w:ascii="宋体" w:hAnsi="宋体" w:eastAsia="宋体" w:cs="宋体"/>
                <w:b/>
                <w:bCs/>
                <w:sz w:val="18"/>
                <w:szCs w:val="18"/>
                <w:lang w:val="en"/>
              </w:rPr>
            </w:pPr>
            <w:r>
              <w:rPr>
                <w:rFonts w:hint="eastAsia" w:ascii="宋体" w:hAnsi="宋体" w:eastAsia="宋体" w:cs="宋体"/>
                <w:b/>
                <w:bCs/>
                <w:sz w:val="18"/>
                <w:szCs w:val="18"/>
              </w:rPr>
              <w:t>08</w:t>
            </w:r>
          </w:p>
        </w:tc>
        <w:tc>
          <w:tcPr>
            <w:tcW w:w="9212" w:type="dxa"/>
            <w:gridSpan w:val="4"/>
            <w:tcBorders>
              <w:bottom w:val="single" w:color="auto" w:sz="2" w:space="0"/>
            </w:tcBorders>
            <w:noWrap w:val="0"/>
            <w:vAlign w:val="center"/>
          </w:tcPr>
          <w:p>
            <w:pPr>
              <w:snapToGrid w:val="0"/>
              <w:spacing w:line="240" w:lineRule="exact"/>
              <w:ind w:firstLine="90" w:firstLineChars="50"/>
              <w:rPr>
                <w:rFonts w:hint="eastAsia" w:ascii="宋体" w:hAnsi="宋体" w:eastAsia="宋体" w:cs="宋体"/>
                <w:sz w:val="18"/>
                <w:szCs w:val="18"/>
                <w:lang w:val="en"/>
              </w:rPr>
            </w:pPr>
            <w:r>
              <w:rPr>
                <w:rFonts w:hint="eastAsia" w:ascii="宋体" w:hAnsi="宋体" w:eastAsia="宋体" w:cs="宋体"/>
                <w:sz w:val="18"/>
                <w:szCs w:val="18"/>
              </w:rPr>
              <w:t>贵企业是否通过网站或应用程序（APP）实现商品或服务交易？ A 是   □             B 否   □（跳至10题）</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553" w:hRule="atLeast"/>
          <w:jc w:val="center"/>
        </w:trPr>
        <w:tc>
          <w:tcPr>
            <w:tcW w:w="402" w:type="dxa"/>
            <w:tcBorders>
              <w:top w:val="single" w:color="auto" w:sz="2" w:space="0"/>
              <w:left w:val="nil"/>
              <w:bottom w:val="single" w:color="auto" w:sz="2" w:space="0"/>
              <w:right w:val="single" w:color="auto" w:sz="2"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09</w:t>
            </w:r>
          </w:p>
        </w:tc>
        <w:tc>
          <w:tcPr>
            <w:tcW w:w="9212" w:type="dxa"/>
            <w:gridSpan w:val="4"/>
            <w:tcBorders>
              <w:top w:val="single" w:color="auto" w:sz="2" w:space="0"/>
              <w:left w:val="single" w:color="auto" w:sz="2" w:space="0"/>
              <w:bottom w:val="single" w:color="auto" w:sz="2" w:space="0"/>
              <w:right w:val="nil"/>
            </w:tcBorders>
            <w:noWrap w:val="0"/>
            <w:vAlign w:val="center"/>
          </w:tcPr>
          <w:tbl>
            <w:tblPr>
              <w:tblStyle w:val="17"/>
              <w:tblW w:w="9241" w:type="dxa"/>
              <w:tblInd w:w="5" w:type="dxa"/>
              <w:tblBorders>
                <w:top w:val="none" w:color="auto" w:sz="0" w:space="0"/>
                <w:left w:val="none" w:color="auto" w:sz="0" w:space="0"/>
                <w:bottom w:val="none" w:color="auto" w:sz="0"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541"/>
              <w:gridCol w:w="634"/>
              <w:gridCol w:w="530"/>
              <w:gridCol w:w="884"/>
              <w:gridCol w:w="884"/>
              <w:gridCol w:w="884"/>
              <w:gridCol w:w="884"/>
            </w:tblGrid>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4541" w:type="dxa"/>
                  <w:vMerge w:val="restart"/>
                  <w:noWrap w:val="0"/>
                  <w:vAlign w:val="center"/>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指标名称</w:t>
                  </w:r>
                </w:p>
              </w:tc>
              <w:tc>
                <w:tcPr>
                  <w:tcW w:w="634"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0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计量单位</w:t>
                  </w:r>
                </w:p>
              </w:tc>
              <w:tc>
                <w:tcPr>
                  <w:tcW w:w="53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0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代码</w:t>
                  </w:r>
                </w:p>
              </w:tc>
              <w:tc>
                <w:tcPr>
                  <w:tcW w:w="1768" w:type="dxa"/>
                  <w:gridSpan w:val="2"/>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商品</w:t>
                  </w:r>
                </w:p>
              </w:tc>
              <w:tc>
                <w:tcPr>
                  <w:tcW w:w="1768" w:type="dxa"/>
                  <w:gridSpan w:val="2"/>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服务</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4541" w:type="dxa"/>
                  <w:vMerge w:val="continue"/>
                  <w:noWrap w:val="0"/>
                  <w:vAlign w:val="top"/>
                </w:tcPr>
                <w:p>
                  <w:pPr>
                    <w:snapToGrid w:val="0"/>
                    <w:spacing w:line="240" w:lineRule="exact"/>
                    <w:jc w:val="center"/>
                    <w:rPr>
                      <w:rFonts w:hint="eastAsia" w:ascii="宋体" w:hAnsi="宋体" w:eastAsia="宋体" w:cs="宋体"/>
                      <w:sz w:val="18"/>
                      <w:szCs w:val="18"/>
                    </w:rPr>
                  </w:pPr>
                </w:p>
              </w:tc>
              <w:tc>
                <w:tcPr>
                  <w:tcW w:w="634" w:type="dxa"/>
                  <w:vMerge w:val="continue"/>
                  <w:noWrap w:val="0"/>
                  <w:vAlign w:val="top"/>
                </w:tcPr>
                <w:p>
                  <w:pPr>
                    <w:snapToGrid w:val="0"/>
                    <w:spacing w:line="240" w:lineRule="exact"/>
                    <w:jc w:val="center"/>
                    <w:rPr>
                      <w:rFonts w:hint="eastAsia" w:ascii="宋体" w:hAnsi="宋体" w:eastAsia="宋体" w:cs="宋体"/>
                      <w:sz w:val="18"/>
                      <w:szCs w:val="18"/>
                    </w:rPr>
                  </w:pPr>
                </w:p>
              </w:tc>
              <w:tc>
                <w:tcPr>
                  <w:tcW w:w="530" w:type="dxa"/>
                  <w:vMerge w:val="continue"/>
                  <w:noWrap w:val="0"/>
                  <w:vAlign w:val="top"/>
                </w:tcPr>
                <w:p>
                  <w:pPr>
                    <w:snapToGrid w:val="0"/>
                    <w:spacing w:line="240" w:lineRule="exact"/>
                    <w:jc w:val="center"/>
                    <w:rPr>
                      <w:rFonts w:hint="eastAsia" w:ascii="宋体" w:hAnsi="宋体" w:eastAsia="宋体" w:cs="宋体"/>
                      <w:sz w:val="18"/>
                      <w:szCs w:val="18"/>
                    </w:rPr>
                  </w:pP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本年</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上年</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本年</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上年</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4541"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甲</w:t>
                  </w:r>
                </w:p>
              </w:tc>
              <w:tc>
                <w:tcPr>
                  <w:tcW w:w="634" w:type="dxa"/>
                  <w:noWrap w:val="0"/>
                  <w:vAlign w:val="top"/>
                </w:tcPr>
                <w:p>
                  <w:pPr>
                    <w:snapToGrid w:val="0"/>
                    <w:spacing w:line="24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乙</w:t>
                  </w:r>
                </w:p>
              </w:tc>
              <w:tc>
                <w:tcPr>
                  <w:tcW w:w="530" w:type="dxa"/>
                  <w:noWrap w:val="0"/>
                  <w:vAlign w:val="top"/>
                </w:tcPr>
                <w:p>
                  <w:pPr>
                    <w:snapToGrid w:val="0"/>
                    <w:spacing w:line="240" w:lineRule="exact"/>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丙</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88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4</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通过网站或APP实现的</w:t>
                  </w:r>
                  <w:r>
                    <w:rPr>
                      <w:rFonts w:hint="eastAsia" w:ascii="宋体" w:hAnsi="宋体" w:eastAsia="宋体" w:cs="宋体"/>
                      <w:sz w:val="18"/>
                      <w:szCs w:val="18"/>
                      <w:lang w:val="en"/>
                    </w:rPr>
                    <w:t>销售</w:t>
                  </w:r>
                  <w:r>
                    <w:rPr>
                      <w:rFonts w:hint="eastAsia" w:ascii="宋体" w:hAnsi="宋体" w:eastAsia="宋体" w:cs="宋体"/>
                      <w:sz w:val="18"/>
                      <w:szCs w:val="18"/>
                    </w:rPr>
                    <w:t>额（包含增值税）</w:t>
                  </w:r>
                </w:p>
              </w:tc>
              <w:tc>
                <w:tcPr>
                  <w:tcW w:w="634"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千元</w:t>
                  </w:r>
                </w:p>
              </w:tc>
              <w:tc>
                <w:tcPr>
                  <w:tcW w:w="53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a</w:t>
                  </w:r>
                </w:p>
              </w:tc>
              <w:tc>
                <w:tcPr>
                  <w:tcW w:w="884" w:type="dxa"/>
                  <w:tcBorders>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其中：B2B</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b</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B2C</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c</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其中：通过企业自建网站或APP实现的</w:t>
                  </w:r>
                  <w:r>
                    <w:rPr>
                      <w:rFonts w:hint="eastAsia" w:ascii="宋体" w:hAnsi="宋体" w:eastAsia="宋体" w:cs="宋体"/>
                      <w:sz w:val="18"/>
                      <w:szCs w:val="18"/>
                      <w:lang w:val="en"/>
                    </w:rPr>
                    <w:t>销售</w:t>
                  </w:r>
                  <w:r>
                    <w:rPr>
                      <w:rFonts w:hint="eastAsia" w:ascii="宋体" w:hAnsi="宋体" w:eastAsia="宋体" w:cs="宋体"/>
                      <w:sz w:val="18"/>
                      <w:szCs w:val="18"/>
                    </w:rPr>
                    <w:t>额</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d</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通过第三方网站或APP实现的</w:t>
                  </w:r>
                  <w:r>
                    <w:rPr>
                      <w:rFonts w:hint="eastAsia" w:ascii="宋体" w:hAnsi="宋体" w:eastAsia="宋体" w:cs="宋体"/>
                      <w:sz w:val="18"/>
                      <w:szCs w:val="18"/>
                      <w:lang w:val="en"/>
                    </w:rPr>
                    <w:t>销售</w:t>
                  </w:r>
                  <w:r>
                    <w:rPr>
                      <w:rFonts w:hint="eastAsia" w:ascii="宋体" w:hAnsi="宋体" w:eastAsia="宋体" w:cs="宋体"/>
                      <w:sz w:val="18"/>
                      <w:szCs w:val="18"/>
                    </w:rPr>
                    <w:t>额</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e</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其中：面向境外的电子商务销售额</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f</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通过网站或APP实现的采购额（包含增值税）</w:t>
                  </w:r>
                </w:p>
              </w:tc>
              <w:tc>
                <w:tcPr>
                  <w:tcW w:w="634"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千元</w:t>
                  </w:r>
                </w:p>
              </w:tc>
              <w:tc>
                <w:tcPr>
                  <w:tcW w:w="5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g</w:t>
                  </w:r>
                </w:p>
              </w:tc>
              <w:tc>
                <w:tcPr>
                  <w:tcW w:w="884"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1"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其中：面向境外的电子商务采购额</w:t>
                  </w:r>
                </w:p>
              </w:tc>
              <w:tc>
                <w:tcPr>
                  <w:tcW w:w="634"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千元</w:t>
                  </w:r>
                </w:p>
              </w:tc>
              <w:tc>
                <w:tcPr>
                  <w:tcW w:w="53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h</w:t>
                  </w:r>
                </w:p>
              </w:tc>
              <w:tc>
                <w:tcPr>
                  <w:tcW w:w="884" w:type="dxa"/>
                  <w:tcBorders>
                    <w:top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84" w:type="dxa"/>
                  <w:tcBorders>
                    <w:top w:val="nil"/>
                    <w:lef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bl>
          <w:p>
            <w:pPr>
              <w:snapToGrid w:val="0"/>
              <w:spacing w:line="240" w:lineRule="exact"/>
              <w:ind w:firstLine="90" w:firstLineChars="50"/>
              <w:rPr>
                <w:rFonts w:hint="eastAsia" w:ascii="宋体" w:hAnsi="宋体" w:eastAsia="宋体" w:cs="宋体"/>
                <w:sz w:val="18"/>
                <w:szCs w:val="18"/>
              </w:rPr>
            </w:pP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90" w:hRule="atLeast"/>
          <w:jc w:val="center"/>
        </w:trPr>
        <w:tc>
          <w:tcPr>
            <w:tcW w:w="402" w:type="dxa"/>
            <w:tcBorders>
              <w:top w:val="single" w:color="auto" w:sz="2" w:space="0"/>
              <w:left w:val="nil"/>
              <w:bottom w:val="single" w:color="auto" w:sz="2" w:space="0"/>
              <w:right w:val="single" w:color="auto" w:sz="2"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10</w:t>
            </w:r>
          </w:p>
        </w:tc>
        <w:tc>
          <w:tcPr>
            <w:tcW w:w="9212" w:type="dxa"/>
            <w:gridSpan w:val="4"/>
            <w:tcBorders>
              <w:top w:val="single" w:color="auto" w:sz="2" w:space="0"/>
              <w:left w:val="single" w:color="auto" w:sz="2" w:space="0"/>
              <w:bottom w:val="single" w:color="auto" w:sz="2" w:space="0"/>
              <w:right w:val="nil"/>
            </w:tcBorders>
            <w:noWrap w:val="0"/>
            <w:vAlign w:val="center"/>
          </w:tcPr>
          <w:p>
            <w:pPr>
              <w:snapToGrid w:val="0"/>
              <w:spacing w:line="240" w:lineRule="exact"/>
              <w:ind w:firstLine="90" w:firstLineChars="50"/>
              <w:rPr>
                <w:rFonts w:hint="eastAsia" w:ascii="宋体" w:hAnsi="宋体" w:eastAsia="宋体" w:cs="宋体"/>
                <w:sz w:val="16"/>
                <w:szCs w:val="16"/>
              </w:rPr>
            </w:pPr>
            <w:r>
              <w:rPr>
                <w:rFonts w:hint="eastAsia" w:ascii="宋体" w:hAnsi="宋体" w:eastAsia="宋体" w:cs="宋体"/>
                <w:sz w:val="18"/>
                <w:szCs w:val="18"/>
              </w:rPr>
              <w:t>贵企业是否有电子数据交换（EDI）类型的商品或服务交易？ A 是   □               B 否</w:t>
            </w:r>
            <w:r>
              <w:rPr>
                <w:rFonts w:hint="eastAsia" w:ascii="宋体" w:hAnsi="宋体" w:eastAsia="宋体" w:cs="宋体"/>
                <w:sz w:val="18"/>
                <w:szCs w:val="18"/>
                <w:lang w:val="en"/>
              </w:rPr>
              <w:t xml:space="preserve">   </w:t>
            </w:r>
            <w:r>
              <w:rPr>
                <w:rFonts w:hint="eastAsia" w:ascii="宋体" w:hAnsi="宋体" w:eastAsia="宋体" w:cs="宋体"/>
                <w:sz w:val="18"/>
                <w:szCs w:val="18"/>
              </w:rPr>
              <w:t>□（跳至12题）</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340" w:hRule="atLeast"/>
          <w:jc w:val="center"/>
        </w:trPr>
        <w:tc>
          <w:tcPr>
            <w:tcW w:w="402" w:type="dxa"/>
            <w:tcBorders>
              <w:top w:val="single" w:color="auto" w:sz="2" w:space="0"/>
              <w:left w:val="nil"/>
              <w:bottom w:val="single" w:color="auto" w:sz="8" w:space="0"/>
              <w:right w:val="single" w:color="auto" w:sz="2"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11</w:t>
            </w:r>
          </w:p>
        </w:tc>
        <w:tc>
          <w:tcPr>
            <w:tcW w:w="9212" w:type="dxa"/>
            <w:gridSpan w:val="4"/>
            <w:tcBorders>
              <w:top w:val="single" w:color="auto" w:sz="2" w:space="0"/>
              <w:left w:val="single" w:color="auto" w:sz="2" w:space="0"/>
              <w:bottom w:val="single" w:color="auto" w:sz="8" w:space="0"/>
              <w:right w:val="nil"/>
            </w:tcBorders>
            <w:noWrap w:val="0"/>
            <w:vAlign w:val="center"/>
          </w:tcPr>
          <w:tbl>
            <w:tblPr>
              <w:tblStyle w:val="17"/>
              <w:tblW w:w="9241" w:type="dxa"/>
              <w:tblInd w:w="5" w:type="dxa"/>
              <w:tblBorders>
                <w:top w:val="none" w:color="auto" w:sz="0" w:space="0"/>
                <w:left w:val="none" w:color="auto" w:sz="0" w:space="0"/>
                <w:bottom w:val="none" w:color="auto" w:sz="0"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542"/>
              <w:gridCol w:w="630"/>
              <w:gridCol w:w="540"/>
              <w:gridCol w:w="870"/>
              <w:gridCol w:w="870"/>
              <w:gridCol w:w="915"/>
              <w:gridCol w:w="874"/>
            </w:tblGrid>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4542" w:type="dxa"/>
                  <w:vMerge w:val="restart"/>
                  <w:noWrap w:val="0"/>
                  <w:vAlign w:val="center"/>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指标名称</w:t>
                  </w:r>
                </w:p>
              </w:tc>
              <w:tc>
                <w:tcPr>
                  <w:tcW w:w="63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0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eastAsia="zh-CN"/>
                    </w:rPr>
                    <w:t>计量单位</w:t>
                  </w:r>
                </w:p>
              </w:tc>
              <w:tc>
                <w:tcPr>
                  <w:tcW w:w="54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0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代码</w:t>
                  </w:r>
                </w:p>
              </w:tc>
              <w:tc>
                <w:tcPr>
                  <w:tcW w:w="1740" w:type="dxa"/>
                  <w:gridSpan w:val="2"/>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商品</w:t>
                  </w:r>
                </w:p>
              </w:tc>
              <w:tc>
                <w:tcPr>
                  <w:tcW w:w="1789" w:type="dxa"/>
                  <w:gridSpan w:val="2"/>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服务</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4542" w:type="dxa"/>
                  <w:vMerge w:val="continue"/>
                  <w:noWrap w:val="0"/>
                  <w:vAlign w:val="top"/>
                </w:tcPr>
                <w:p>
                  <w:pPr>
                    <w:snapToGrid w:val="0"/>
                    <w:spacing w:line="240" w:lineRule="exact"/>
                    <w:jc w:val="center"/>
                    <w:rPr>
                      <w:rFonts w:hint="eastAsia" w:ascii="宋体" w:hAnsi="宋体" w:eastAsia="宋体" w:cs="宋体"/>
                      <w:sz w:val="18"/>
                      <w:szCs w:val="18"/>
                    </w:rPr>
                  </w:pPr>
                </w:p>
              </w:tc>
              <w:tc>
                <w:tcPr>
                  <w:tcW w:w="630" w:type="dxa"/>
                  <w:vMerge w:val="continue"/>
                  <w:noWrap w:val="0"/>
                  <w:vAlign w:val="top"/>
                </w:tcPr>
                <w:p>
                  <w:pPr>
                    <w:snapToGrid w:val="0"/>
                    <w:spacing w:line="240" w:lineRule="exact"/>
                    <w:jc w:val="center"/>
                    <w:rPr>
                      <w:rFonts w:hint="eastAsia" w:ascii="宋体" w:hAnsi="宋体" w:eastAsia="宋体" w:cs="宋体"/>
                      <w:sz w:val="18"/>
                      <w:szCs w:val="18"/>
                    </w:rPr>
                  </w:pPr>
                </w:p>
              </w:tc>
              <w:tc>
                <w:tcPr>
                  <w:tcW w:w="540" w:type="dxa"/>
                  <w:vMerge w:val="continue"/>
                  <w:noWrap w:val="0"/>
                  <w:vAlign w:val="top"/>
                </w:tcPr>
                <w:p>
                  <w:pPr>
                    <w:snapToGrid w:val="0"/>
                    <w:spacing w:line="240" w:lineRule="exact"/>
                    <w:jc w:val="center"/>
                    <w:rPr>
                      <w:rFonts w:hint="eastAsia" w:ascii="宋体" w:hAnsi="宋体" w:eastAsia="宋体" w:cs="宋体"/>
                      <w:sz w:val="18"/>
                      <w:szCs w:val="18"/>
                    </w:rPr>
                  </w:pPr>
                </w:p>
              </w:tc>
              <w:tc>
                <w:tcPr>
                  <w:tcW w:w="870"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本年</w:t>
                  </w:r>
                </w:p>
              </w:tc>
              <w:tc>
                <w:tcPr>
                  <w:tcW w:w="870"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上年</w:t>
                  </w:r>
                </w:p>
              </w:tc>
              <w:tc>
                <w:tcPr>
                  <w:tcW w:w="915"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本年</w:t>
                  </w:r>
                </w:p>
              </w:tc>
              <w:tc>
                <w:tcPr>
                  <w:tcW w:w="87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上年</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4542"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甲</w:t>
                  </w:r>
                </w:p>
              </w:tc>
              <w:tc>
                <w:tcPr>
                  <w:tcW w:w="630" w:type="dxa"/>
                  <w:noWrap w:val="0"/>
                  <w:vAlign w:val="top"/>
                </w:tcPr>
                <w:p>
                  <w:pPr>
                    <w:snapToGrid w:val="0"/>
                    <w:spacing w:line="24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rPr>
                    <w:t>乙</w:t>
                  </w:r>
                </w:p>
              </w:tc>
              <w:tc>
                <w:tcPr>
                  <w:tcW w:w="540"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lang w:eastAsia="zh-CN"/>
                    </w:rPr>
                    <w:t>丙</w:t>
                  </w:r>
                </w:p>
              </w:tc>
              <w:tc>
                <w:tcPr>
                  <w:tcW w:w="870"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870"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915"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874" w:type="dxa"/>
                  <w:noWrap w:val="0"/>
                  <w:vAlign w:val="top"/>
                </w:tcPr>
                <w:p>
                  <w:pPr>
                    <w:snapToGrid w:val="0"/>
                    <w:spacing w:line="240" w:lineRule="exact"/>
                    <w:jc w:val="center"/>
                    <w:rPr>
                      <w:rFonts w:hint="eastAsia" w:ascii="宋体" w:hAnsi="宋体" w:eastAsia="宋体" w:cs="宋体"/>
                      <w:sz w:val="18"/>
                      <w:szCs w:val="18"/>
                    </w:rPr>
                  </w:pPr>
                  <w:r>
                    <w:rPr>
                      <w:rFonts w:hint="eastAsia" w:ascii="宋体" w:hAnsi="宋体" w:eastAsia="宋体" w:cs="宋体"/>
                      <w:sz w:val="18"/>
                      <w:szCs w:val="18"/>
                    </w:rPr>
                    <w:t>4</w:t>
                  </w: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2"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EDI类型的商品或服务销售额（包含增值税）</w:t>
                  </w:r>
                </w:p>
              </w:tc>
              <w:tc>
                <w:tcPr>
                  <w:tcW w:w="63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千元</w:t>
                  </w:r>
                </w:p>
              </w:tc>
              <w:tc>
                <w:tcPr>
                  <w:tcW w:w="5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a</w:t>
                  </w:r>
                </w:p>
              </w:tc>
              <w:tc>
                <w:tcPr>
                  <w:tcW w:w="870" w:type="dxa"/>
                  <w:tcBorders>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0" w:type="dxa"/>
                  <w:tcBorders>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915" w:type="dxa"/>
                  <w:tcBorders>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4" w:type="dxa"/>
                  <w:tcBorders>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2"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其中：EDI类型的面向境外商品或服务销售额</w:t>
                  </w:r>
                </w:p>
              </w:tc>
              <w:tc>
                <w:tcPr>
                  <w:tcW w:w="6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eastAsia="zh-CN"/>
                    </w:rPr>
                    <w:t>千元</w:t>
                  </w:r>
                </w:p>
              </w:tc>
              <w:tc>
                <w:tcPr>
                  <w:tcW w:w="54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b</w:t>
                  </w:r>
                </w:p>
              </w:tc>
              <w:tc>
                <w:tcPr>
                  <w:tcW w:w="870"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0"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915"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2"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EDI类型的商品或服务采购额（包含增值税）</w:t>
                  </w:r>
                </w:p>
              </w:tc>
              <w:tc>
                <w:tcPr>
                  <w:tcW w:w="63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eastAsia="zh-CN"/>
                    </w:rPr>
                    <w:t>千元</w:t>
                  </w:r>
                </w:p>
              </w:tc>
              <w:tc>
                <w:tcPr>
                  <w:tcW w:w="540" w:type="dxa"/>
                  <w:tcBorders>
                    <w:top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c</w:t>
                  </w:r>
                </w:p>
              </w:tc>
              <w:tc>
                <w:tcPr>
                  <w:tcW w:w="870" w:type="dxa"/>
                  <w:tcBorders>
                    <w:top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0"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915" w:type="dxa"/>
                  <w:tcBorders>
                    <w:top w:val="nil"/>
                    <w:left w:val="nil"/>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4" w:type="dxa"/>
                  <w:tcBorders>
                    <w:top w:val="nil"/>
                    <w:left w:val="nil"/>
                    <w:bottom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r>
              <w:tblPrEx>
                <w:tblBorders>
                  <w:top w:val="none" w:color="auto" w:sz="0"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4542"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r>
                    <w:rPr>
                      <w:rFonts w:hint="eastAsia" w:ascii="宋体" w:hAnsi="宋体" w:eastAsia="宋体" w:cs="宋体"/>
                      <w:sz w:val="18"/>
                      <w:szCs w:val="18"/>
                    </w:rPr>
                    <w:t xml:space="preserve">  其中：EDI类型的面向境外商品或服务采购额</w:t>
                  </w:r>
                </w:p>
              </w:tc>
              <w:tc>
                <w:tcPr>
                  <w:tcW w:w="63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t>千元</w:t>
                  </w:r>
                </w:p>
              </w:tc>
              <w:tc>
                <w:tcPr>
                  <w:tcW w:w="5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d</w:t>
                  </w:r>
                </w:p>
              </w:tc>
              <w:tc>
                <w:tcPr>
                  <w:tcW w:w="870" w:type="dxa"/>
                  <w:tcBorders>
                    <w:top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0" w:type="dxa"/>
                  <w:tcBorders>
                    <w:top w:val="nil"/>
                    <w:left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915" w:type="dxa"/>
                  <w:tcBorders>
                    <w:top w:val="nil"/>
                    <w:left w:val="nil"/>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c>
                <w:tcPr>
                  <w:tcW w:w="874" w:type="dxa"/>
                  <w:tcBorders>
                    <w:top w:val="nil"/>
                    <w:lef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260" w:lineRule="exact"/>
                    <w:textAlignment w:val="auto"/>
                    <w:rPr>
                      <w:rFonts w:hint="eastAsia" w:ascii="宋体" w:hAnsi="宋体" w:eastAsia="宋体" w:cs="宋体"/>
                      <w:sz w:val="18"/>
                      <w:szCs w:val="18"/>
                    </w:rPr>
                  </w:pPr>
                </w:p>
              </w:tc>
            </w:tr>
          </w:tbl>
          <w:p>
            <w:pPr>
              <w:snapToGrid w:val="0"/>
              <w:spacing w:line="240" w:lineRule="exact"/>
              <w:ind w:firstLine="90" w:firstLineChars="50"/>
              <w:rPr>
                <w:rFonts w:hint="eastAsia" w:ascii="宋体" w:hAnsi="宋体" w:eastAsia="宋体" w:cs="宋体"/>
                <w:sz w:val="18"/>
                <w:szCs w:val="18"/>
              </w:rPr>
            </w:pPr>
          </w:p>
        </w:tc>
      </w:tr>
    </w:tbl>
    <w:p>
      <w:pPr>
        <w:keepNext w:val="0"/>
        <w:keepLines w:val="0"/>
        <w:pageBreakBefore w:val="0"/>
        <w:widowControl w:val="0"/>
        <w:kinsoku/>
        <w:wordWrap/>
        <w:overflowPunct/>
        <w:topLinePunct w:val="0"/>
        <w:autoSpaceDE/>
        <w:autoSpaceDN/>
        <w:bidi w:val="0"/>
        <w:adjustRightInd/>
        <w:snapToGrid/>
        <w:spacing w:line="240" w:lineRule="exact"/>
        <w:ind w:left="63" w:leftChars="3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18"/>
          <w:szCs w:val="21"/>
          <w:lang w:eastAsia="zh-CN"/>
        </w:rPr>
        <w:br w:type="page"/>
      </w:r>
    </w:p>
    <w:p>
      <w:pPr>
        <w:keepNext w:val="0"/>
        <w:keepLines w:val="0"/>
        <w:pageBreakBefore w:val="0"/>
        <w:widowControl w:val="0"/>
        <w:kinsoku/>
        <w:wordWrap/>
        <w:overflowPunct/>
        <w:topLinePunct w:val="0"/>
        <w:autoSpaceDE/>
        <w:autoSpaceDN/>
        <w:bidi w:val="0"/>
        <w:adjustRightInd/>
        <w:snapToGrid/>
        <w:spacing w:line="240" w:lineRule="exact"/>
        <w:ind w:left="63" w:leftChars="30"/>
        <w:textAlignment w:val="auto"/>
        <w:rPr>
          <w:rFonts w:hint="eastAsia" w:ascii="宋体" w:hAnsi="宋体" w:eastAsia="宋体" w:cs="宋体"/>
        </w:rPr>
      </w:pPr>
      <w:r>
        <w:rPr>
          <w:rFonts w:hint="eastAsia" w:ascii="宋体" w:hAnsi="宋体" w:eastAsia="宋体" w:cs="宋体"/>
          <w:sz w:val="18"/>
          <w:szCs w:val="21"/>
          <w:lang w:eastAsia="zh-CN"/>
        </w:rPr>
        <w:t>续表</w:t>
      </w:r>
    </w:p>
    <w:tbl>
      <w:tblPr>
        <w:tblStyle w:val="17"/>
        <w:tblW w:w="9614" w:type="dxa"/>
        <w:jc w:val="center"/>
        <w:tblBorders>
          <w:top w:val="single" w:color="auto" w:sz="8" w:space="0"/>
          <w:left w:val="none" w:color="auto" w:sz="0" w:space="0"/>
          <w:bottom w:val="single" w:color="auto" w:sz="2" w:space="0"/>
          <w:right w:val="none" w:color="auto" w:sz="0" w:space="0"/>
          <w:insideH w:val="single" w:color="auto" w:sz="2" w:space="0"/>
          <w:insideV w:val="single" w:color="auto" w:sz="2" w:space="0"/>
        </w:tblBorders>
        <w:tblLayout w:type="fixed"/>
        <w:tblCellMar>
          <w:top w:w="0" w:type="dxa"/>
          <w:left w:w="0" w:type="dxa"/>
          <w:bottom w:w="0" w:type="dxa"/>
          <w:right w:w="0" w:type="dxa"/>
        </w:tblCellMar>
      </w:tblPr>
      <w:tblGrid>
        <w:gridCol w:w="402"/>
        <w:gridCol w:w="9212"/>
      </w:tblGrid>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775" w:hRule="atLeast"/>
          <w:jc w:val="center"/>
        </w:trPr>
        <w:tc>
          <w:tcPr>
            <w:tcW w:w="402" w:type="dxa"/>
            <w:tcBorders>
              <w:top w:val="single" w:color="auto" w:sz="8"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12</w:t>
            </w:r>
          </w:p>
        </w:tc>
        <w:tc>
          <w:tcPr>
            <w:tcW w:w="9212" w:type="dxa"/>
            <w:tcBorders>
              <w:top w:val="single" w:color="auto" w:sz="8" w:space="0"/>
            </w:tcBorders>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贵企业使用以下哪些云计算服务（不包括免费服务）（可多选）？</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1 电子邮件   □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2 办公软件   □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3</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金融或财务软件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4</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企业资源规划（ERP）软件 </w:t>
            </w:r>
            <w:r>
              <w:rPr>
                <w:rFonts w:hint="eastAsia" w:ascii="宋体" w:hAnsi="宋体" w:eastAsia="宋体" w:cs="宋体"/>
                <w:sz w:val="18"/>
                <w:szCs w:val="18"/>
                <w:lang w:val="en"/>
              </w:rPr>
              <w:t xml:space="preserve">      </w:t>
            </w:r>
            <w:r>
              <w:rPr>
                <w:rFonts w:hint="eastAsia" w:ascii="宋体" w:hAnsi="宋体" w:eastAsia="宋体" w:cs="宋体"/>
                <w:w w:val="105"/>
                <w:sz w:val="18"/>
                <w:szCs w:val="18"/>
                <w:lang w:val="en"/>
              </w:rPr>
              <w:t xml:space="preserve">    </w:t>
            </w:r>
            <w:r>
              <w:rPr>
                <w:rFonts w:hint="eastAsia" w:ascii="宋体" w:hAnsi="宋体" w:eastAsia="宋体" w:cs="宋体"/>
                <w:sz w:val="18"/>
                <w:szCs w:val="18"/>
                <w:lang w:val="en"/>
              </w:rPr>
              <w:t xml:space="preserve">       </w:t>
            </w:r>
            <w:r>
              <w:rPr>
                <w:rFonts w:hint="eastAsia" w:ascii="宋体" w:hAnsi="宋体" w:eastAsia="宋体" w:cs="宋体"/>
                <w:w w:val="110"/>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5 客户关系管理软件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6 安全软件，如：防病毒软件、网络访问控制软件   □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7 数据库服务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8 文件云存储服务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9 借助网络算力运行公司自有软件</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p>
          <w:p>
            <w:pPr>
              <w:snapToGrid w:val="0"/>
              <w:spacing w:line="240" w:lineRule="exact"/>
              <w:ind w:firstLine="90" w:firstLineChars="50"/>
              <w:jc w:val="distribute"/>
              <w:rPr>
                <w:rFonts w:hint="eastAsia" w:ascii="宋体" w:hAnsi="宋体" w:eastAsia="宋体" w:cs="宋体"/>
                <w:sz w:val="18"/>
                <w:szCs w:val="18"/>
              </w:rPr>
            </w:pPr>
            <w:r>
              <w:rPr>
                <w:rFonts w:hint="eastAsia" w:ascii="宋体" w:hAnsi="宋体" w:eastAsia="宋体" w:cs="宋体"/>
                <w:sz w:val="18"/>
                <w:szCs w:val="18"/>
              </w:rPr>
              <w:t xml:space="preserve"> 10 为应用程序开发、测试和部署提供托管环境，如：可复用软件模块、应用程序编程接口                □ </w:t>
            </w:r>
          </w:p>
          <w:p>
            <w:pPr>
              <w:snapToGrid w:val="0"/>
              <w:spacing w:line="240" w:lineRule="exact"/>
              <w:ind w:firstLine="90" w:firstLineChars="50"/>
              <w:jc w:val="distribute"/>
              <w:rPr>
                <w:rFonts w:hint="eastAsia" w:ascii="宋体" w:hAnsi="宋体" w:eastAsia="宋体" w:cs="宋体"/>
                <w:sz w:val="16"/>
                <w:szCs w:val="16"/>
              </w:rPr>
            </w:pPr>
            <w:r>
              <w:rPr>
                <w:rFonts w:hint="eastAsia" w:ascii="宋体" w:hAnsi="宋体" w:eastAsia="宋体" w:cs="宋体"/>
                <w:sz w:val="18"/>
                <w:szCs w:val="18"/>
              </w:rPr>
              <w:t xml:space="preserve"> 11 其他</w:t>
            </w:r>
            <w:r>
              <w:rPr>
                <w:rFonts w:hint="eastAsia" w:ascii="宋体" w:hAnsi="宋体" w:eastAsia="宋体" w:cs="宋体"/>
                <w:sz w:val="18"/>
                <w:szCs w:val="18"/>
                <w:u w:val="single"/>
              </w:rPr>
              <w:t xml:space="preserve"> </w:t>
            </w:r>
            <w:r>
              <w:rPr>
                <w:rFonts w:hint="eastAsia" w:ascii="宋体" w:hAnsi="宋体" w:eastAsia="宋体" w:cs="宋体"/>
                <w:b/>
                <w:bCs/>
                <w:sz w:val="18"/>
                <w:szCs w:val="18"/>
                <w:u w:val="single"/>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rPr>
              <w:t xml:space="preserve">     □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12 无        </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
              </w:rPr>
              <w:t xml:space="preserve">     </w:t>
            </w:r>
            <w:r>
              <w:rPr>
                <w:rFonts w:hint="eastAsia" w:ascii="宋体" w:hAnsi="宋体" w:eastAsia="宋体" w:cs="宋体"/>
                <w:sz w:val="18"/>
                <w:szCs w:val="18"/>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2005" w:hRule="atLeast"/>
          <w:jc w:val="center"/>
        </w:trPr>
        <w:tc>
          <w:tcPr>
            <w:tcW w:w="402" w:type="dxa"/>
            <w:noWrap w:val="0"/>
            <w:vAlign w:val="center"/>
          </w:tcPr>
          <w:p>
            <w:pPr>
              <w:snapToGrid w:val="0"/>
              <w:jc w:val="center"/>
              <w:rPr>
                <w:rFonts w:hint="eastAsia" w:ascii="宋体" w:hAnsi="宋体" w:eastAsia="宋体" w:cs="宋体"/>
                <w:b/>
                <w:bCs/>
              </w:rPr>
            </w:pPr>
            <w:r>
              <w:rPr>
                <w:rFonts w:hint="eastAsia" w:ascii="宋体" w:hAnsi="宋体" w:eastAsia="宋体" w:cs="宋体"/>
                <w:b/>
                <w:bCs/>
                <w:sz w:val="18"/>
                <w:szCs w:val="18"/>
              </w:rPr>
              <w:t>13</w:t>
            </w:r>
          </w:p>
        </w:tc>
        <w:tc>
          <w:tcPr>
            <w:tcW w:w="9212" w:type="dxa"/>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贵企业在以下哪些方面使用物联网（通过互联网进行监控或者遥控的互联设备或者系统）（可多选）？</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1 能源消耗管理，如：使用智能计量器、智能温度计、智能路灯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2 营业场所的安全监控，如：使用智能报警系统、智能烟雾探测器、智能门锁、智能摄像头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3 生产管理，如：通过互联网传递信息的各类传感器、</w:t>
            </w:r>
            <w:r>
              <w:rPr>
                <w:rFonts w:hint="eastAsia" w:ascii="宋体" w:hAnsi="宋体" w:eastAsia="宋体" w:cs="宋体"/>
                <w:sz w:val="18"/>
                <w:szCs w:val="18"/>
                <w:lang w:val="en"/>
              </w:rPr>
              <w:t>RFID</w:t>
            </w:r>
            <w:r>
              <w:rPr>
                <w:rFonts w:hint="eastAsia" w:ascii="宋体" w:hAnsi="宋体" w:eastAsia="宋体" w:cs="宋体"/>
                <w:sz w:val="18"/>
                <w:szCs w:val="18"/>
              </w:rPr>
              <w:t>标签，用于监测生产流程或者促进生产自动化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4 物流管理，如：库房管理中使用的各类传感器、</w:t>
            </w:r>
            <w:r>
              <w:rPr>
                <w:rFonts w:hint="eastAsia" w:ascii="宋体" w:hAnsi="宋体" w:eastAsia="宋体" w:cs="宋体"/>
                <w:sz w:val="18"/>
                <w:szCs w:val="18"/>
                <w:lang w:val="en"/>
              </w:rPr>
              <w:t>RFID</w:t>
            </w:r>
            <w:r>
              <w:rPr>
                <w:rFonts w:hint="eastAsia" w:ascii="宋体" w:hAnsi="宋体" w:eastAsia="宋体" w:cs="宋体"/>
                <w:sz w:val="18"/>
                <w:szCs w:val="18"/>
              </w:rPr>
              <w:t xml:space="preserve">标签，用以跟踪产品以及运输车辆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5 设备运转维护，如：通过互联网传递信息的各类传感器，用以监测机器或者车辆的运转情况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6 客户服务，如：使用智慧摄像头或者传感器，用以记录消费者行为以及提供个性化购物体验             □</w:t>
            </w:r>
          </w:p>
          <w:p>
            <w:pPr>
              <w:widowControl/>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7</w:t>
            </w:r>
            <w:r>
              <w:rPr>
                <w:rFonts w:hint="eastAsia" w:ascii="宋体" w:hAnsi="宋体" w:eastAsia="宋体" w:cs="宋体"/>
                <w:w w:val="80"/>
                <w:sz w:val="18"/>
                <w:szCs w:val="18"/>
              </w:rPr>
              <w:t xml:space="preserve"> </w:t>
            </w:r>
            <w:r>
              <w:rPr>
                <w:rFonts w:hint="eastAsia" w:ascii="宋体" w:hAnsi="宋体" w:eastAsia="宋体" w:cs="宋体"/>
                <w:sz w:val="18"/>
                <w:szCs w:val="18"/>
              </w:rPr>
              <w:t>其他</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w:t>
            </w:r>
            <w:r>
              <w:rPr>
                <w:rFonts w:hint="eastAsia" w:ascii="宋体" w:hAnsi="宋体" w:eastAsia="宋体" w:cs="宋体"/>
                <w:sz w:val="18"/>
                <w:szCs w:val="18"/>
                <w:lang w:val="en"/>
              </w:rPr>
              <w:t xml:space="preserve">  </w:t>
            </w:r>
            <w:r>
              <w:rPr>
                <w:rFonts w:hint="eastAsia" w:ascii="宋体" w:hAnsi="宋体" w:eastAsia="宋体" w:cs="宋体"/>
                <w:sz w:val="18"/>
                <w:szCs w:val="18"/>
              </w:rPr>
              <w:t xml:space="preserve">                        8 无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282"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14</w:t>
            </w:r>
          </w:p>
        </w:tc>
        <w:tc>
          <w:tcPr>
            <w:tcW w:w="9212" w:type="dxa"/>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贵企业使用以下哪些人工智能技术（可多选）？</w:t>
            </w:r>
          </w:p>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rPr>
              <w:t xml:space="preserve">  1文本分析和挖掘         □    2 语音识别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             3 文字或者语音生成                  □</w:t>
            </w:r>
          </w:p>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rPr>
              <w:t xml:space="preserve">  4图像识别               □    5 利用人工智能机器人开展的业务流程优化或者决策辅助技术              □</w:t>
            </w:r>
          </w:p>
          <w:p>
            <w:pPr>
              <w:snapToGrid w:val="0"/>
              <w:spacing w:line="240" w:lineRule="exact"/>
              <w:rPr>
                <w:rFonts w:hint="eastAsia" w:ascii="宋体" w:hAnsi="宋体" w:eastAsia="宋体" w:cs="宋体"/>
                <w:sz w:val="16"/>
                <w:szCs w:val="16"/>
              </w:rPr>
            </w:pPr>
            <w:r>
              <w:rPr>
                <w:rFonts w:hint="eastAsia" w:ascii="宋体" w:hAnsi="宋体" w:eastAsia="宋体" w:cs="宋体"/>
                <w:sz w:val="18"/>
                <w:szCs w:val="18"/>
              </w:rPr>
              <w:t xml:space="preserve">  6机器学习与数据挖掘  </w:t>
            </w:r>
            <w:r>
              <w:rPr>
                <w:rFonts w:hint="eastAsia" w:ascii="宋体" w:hAnsi="宋体" w:eastAsia="宋体" w:cs="宋体"/>
                <w:w w:val="90"/>
                <w:sz w:val="18"/>
                <w:szCs w:val="18"/>
              </w:rPr>
              <w:t xml:space="preserve">  </w:t>
            </w:r>
            <w:r>
              <w:rPr>
                <w:rFonts w:hint="eastAsia" w:ascii="宋体" w:hAnsi="宋体" w:eastAsia="宋体" w:cs="宋体"/>
                <w:sz w:val="18"/>
                <w:szCs w:val="18"/>
              </w:rPr>
              <w:t xml:space="preserve"> □    7 无人驾驶技术，如智能机器人、自动驾驶、无人飞机                    □</w:t>
            </w:r>
            <w:r>
              <w:rPr>
                <w:rFonts w:hint="eastAsia" w:ascii="宋体" w:hAnsi="宋体" w:eastAsia="宋体" w:cs="宋体"/>
                <w:sz w:val="16"/>
                <w:szCs w:val="16"/>
              </w:rPr>
              <w:t xml:space="preserve"> </w:t>
            </w:r>
          </w:p>
          <w:p>
            <w:pPr>
              <w:widowControl/>
              <w:snapToGrid w:val="0"/>
              <w:spacing w:line="240" w:lineRule="exact"/>
              <w:jc w:val="left"/>
              <w:rPr>
                <w:rFonts w:hint="eastAsia" w:ascii="宋体" w:hAnsi="宋体" w:eastAsia="宋体" w:cs="宋体"/>
                <w:sz w:val="18"/>
                <w:szCs w:val="18"/>
              </w:rPr>
            </w:pPr>
            <w:r>
              <w:rPr>
                <w:rFonts w:hint="eastAsia" w:ascii="宋体" w:hAnsi="宋体" w:eastAsia="宋体" w:cs="宋体"/>
                <w:sz w:val="18"/>
                <w:szCs w:val="18"/>
              </w:rPr>
              <w:t xml:space="preserve">  8其他</w:t>
            </w:r>
            <w:r>
              <w:rPr>
                <w:rFonts w:hint="eastAsia" w:ascii="宋体" w:hAnsi="宋体" w:eastAsia="宋体" w:cs="宋体"/>
                <w:sz w:val="18"/>
                <w:szCs w:val="18"/>
                <w:u w:val="single"/>
              </w:rPr>
              <w:t xml:space="preserve">                 </w:t>
            </w:r>
            <w:r>
              <w:rPr>
                <w:rFonts w:hint="eastAsia" w:ascii="宋体" w:hAnsi="宋体" w:eastAsia="宋体" w:cs="宋体"/>
                <w:w w:val="90"/>
                <w:sz w:val="18"/>
                <w:szCs w:val="18"/>
              </w:rPr>
              <w:t xml:space="preserve"> </w:t>
            </w:r>
            <w:r>
              <w:rPr>
                <w:rFonts w:hint="eastAsia" w:ascii="宋体" w:hAnsi="宋体" w:eastAsia="宋体" w:cs="宋体"/>
                <w:w w:val="90"/>
                <w:sz w:val="18"/>
                <w:szCs w:val="18"/>
                <w:lang w:val="en-US" w:eastAsia="zh-CN"/>
              </w:rPr>
              <w:t xml:space="preserve"> </w:t>
            </w:r>
            <w:r>
              <w:rPr>
                <w:rFonts w:hint="eastAsia" w:ascii="宋体" w:hAnsi="宋体" w:eastAsia="宋体" w:cs="宋体"/>
                <w:sz w:val="18"/>
                <w:szCs w:val="18"/>
              </w:rPr>
              <w:t xml:space="preserve">□    9 无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2222"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15</w:t>
            </w:r>
          </w:p>
        </w:tc>
        <w:tc>
          <w:tcPr>
            <w:tcW w:w="9212" w:type="dxa"/>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贵企业使用人工智能软件或者系统开展了以下哪些业务（可多选）？</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1 市场营销或者产品销售，如：智能客服、客户画像、最优定价、个性化推广、市场分析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2 生产流程管理，如：残次品自动筛选、自动化生产线、使用智能无人机进行生产监管和安全监测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3 企业办公管理，如：商业虚拟助手、用语音文本转换起草文件、机器翻译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4 企业决策管理，如：数据分析以及投资决策辅助、销售或者商业预测、风险管理                       □</w:t>
            </w:r>
          </w:p>
          <w:p>
            <w:pPr>
              <w:snapToGrid w:val="0"/>
              <w:spacing w:line="240" w:lineRule="exact"/>
              <w:jc w:val="distribute"/>
              <w:rPr>
                <w:rFonts w:hint="eastAsia" w:ascii="宋体" w:hAnsi="宋体" w:eastAsia="宋体" w:cs="宋体"/>
                <w:sz w:val="18"/>
                <w:szCs w:val="18"/>
              </w:rPr>
            </w:pPr>
            <w:r>
              <w:rPr>
                <w:rFonts w:hint="eastAsia" w:ascii="宋体" w:hAnsi="宋体" w:eastAsia="宋体" w:cs="宋体"/>
                <w:sz w:val="18"/>
                <w:szCs w:val="18"/>
              </w:rPr>
              <w:t xml:space="preserve">  5 物流管理，如：最优路线规划，机器人挑选打包服务，对包裹进行跟踪、分类，智能无人机投递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6 信息网络安全防护，如：用户面部识别和授权、网络攻击识别和预防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 xml:space="preserve">7人力资源管理，如：应聘者识别挑选、自动化聘用、员工分类和表现分析、用于人员管理的聊天机器人   □ </w:t>
            </w:r>
          </w:p>
          <w:p>
            <w:pPr>
              <w:snapToGrid w:val="0"/>
              <w:spacing w:line="240" w:lineRule="exact"/>
              <w:ind w:firstLine="180" w:firstLineChars="100"/>
              <w:jc w:val="distribute"/>
              <w:rPr>
                <w:rFonts w:hint="eastAsia" w:ascii="宋体" w:hAnsi="宋体" w:eastAsia="宋体" w:cs="宋体"/>
                <w:sz w:val="18"/>
                <w:szCs w:val="18"/>
              </w:rPr>
            </w:pPr>
            <w:r>
              <w:rPr>
                <w:rFonts w:hint="eastAsia" w:ascii="宋体" w:hAnsi="宋体" w:eastAsia="宋体" w:cs="宋体"/>
                <w:sz w:val="18"/>
                <w:szCs w:val="18"/>
              </w:rPr>
              <w:t>8 其他</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
              </w:rPr>
              <w:t xml:space="preserve">        </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w w:val="90"/>
                <w:sz w:val="18"/>
                <w:szCs w:val="18"/>
                <w:lang w:val="en-US" w:eastAsia="zh-CN"/>
              </w:rPr>
              <w:t xml:space="preserve">  </w:t>
            </w:r>
            <w:r>
              <w:rPr>
                <w:rFonts w:hint="eastAsia" w:ascii="宋体" w:hAnsi="宋体" w:eastAsia="宋体" w:cs="宋体"/>
                <w:sz w:val="18"/>
                <w:szCs w:val="18"/>
              </w:rPr>
              <w:t xml:space="preserve">□             9 无                           □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242" w:hRule="atLeast"/>
          <w:jc w:val="center"/>
        </w:trPr>
        <w:tc>
          <w:tcPr>
            <w:tcW w:w="402" w:type="dxa"/>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16</w:t>
            </w:r>
          </w:p>
        </w:tc>
        <w:tc>
          <w:tcPr>
            <w:tcW w:w="9212" w:type="dxa"/>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贵企业使用的人工智能软件或者系统是如何获取的（可多选）？</w:t>
            </w:r>
          </w:p>
          <w:p>
            <w:pPr>
              <w:snapToGrid w:val="0"/>
              <w:spacing w:line="240" w:lineRule="exact"/>
              <w:jc w:val="distribute"/>
              <w:rPr>
                <w:rFonts w:hint="eastAsia" w:ascii="宋体" w:hAnsi="宋体" w:eastAsia="宋体" w:cs="宋体"/>
                <w:sz w:val="18"/>
                <w:szCs w:val="18"/>
              </w:rPr>
            </w:pPr>
            <w:r>
              <w:rPr>
                <w:rFonts w:hint="eastAsia" w:ascii="宋体" w:hAnsi="宋体" w:eastAsia="宋体" w:cs="宋体"/>
                <w:sz w:val="18"/>
                <w:szCs w:val="18"/>
              </w:rPr>
              <w:t xml:space="preserve">  1 员工开发，包括母公司或者产业活动单位的员工    □  2 经过员工修改过的商业软件或者系统          □</w:t>
            </w:r>
          </w:p>
          <w:p>
            <w:pPr>
              <w:snapToGrid w:val="0"/>
              <w:spacing w:line="240" w:lineRule="exact"/>
              <w:jc w:val="distribute"/>
              <w:rPr>
                <w:rFonts w:hint="eastAsia" w:ascii="宋体" w:hAnsi="宋体" w:eastAsia="宋体" w:cs="宋体"/>
                <w:sz w:val="18"/>
                <w:szCs w:val="18"/>
              </w:rPr>
            </w:pPr>
            <w:r>
              <w:rPr>
                <w:rFonts w:hint="eastAsia" w:ascii="宋体" w:hAnsi="宋体" w:eastAsia="宋体" w:cs="宋体"/>
                <w:sz w:val="18"/>
                <w:szCs w:val="18"/>
              </w:rPr>
              <w:t xml:space="preserve">  3 经过员工开发过的开源软件                   </w:t>
            </w:r>
            <w:r>
              <w:rPr>
                <w:rFonts w:hint="eastAsia" w:ascii="宋体" w:hAnsi="宋体" w:eastAsia="宋体" w:cs="宋体"/>
                <w:w w:val="66"/>
                <w:sz w:val="18"/>
                <w:szCs w:val="18"/>
              </w:rPr>
              <w:t xml:space="preserve">  </w:t>
            </w:r>
            <w:r>
              <w:rPr>
                <w:rFonts w:hint="eastAsia" w:ascii="宋体" w:hAnsi="宋体" w:eastAsia="宋体" w:cs="宋体"/>
                <w:sz w:val="18"/>
                <w:szCs w:val="18"/>
              </w:rPr>
              <w:t xml:space="preserve"> □  4 购买后直接使用的商业软件或者系统          □</w:t>
            </w:r>
          </w:p>
          <w:p>
            <w:pPr>
              <w:snapToGrid w:val="0"/>
              <w:spacing w:line="240" w:lineRule="exact"/>
              <w:jc w:val="distribute"/>
              <w:rPr>
                <w:rFonts w:hint="eastAsia" w:ascii="宋体" w:hAnsi="宋体" w:eastAsia="宋体" w:cs="宋体"/>
                <w:sz w:val="18"/>
                <w:szCs w:val="18"/>
              </w:rPr>
            </w:pPr>
            <w:r>
              <w:rPr>
                <w:rFonts w:hint="eastAsia" w:ascii="宋体" w:hAnsi="宋体" w:eastAsia="宋体" w:cs="宋体"/>
                <w:sz w:val="18"/>
                <w:szCs w:val="18"/>
              </w:rPr>
              <w:t xml:space="preserve">  5 从外部采购的相关服务                          □  6 其他</w:t>
            </w:r>
            <w:r>
              <w:rPr>
                <w:rFonts w:hint="eastAsia" w:ascii="宋体" w:hAnsi="宋体" w:eastAsia="宋体" w:cs="宋体"/>
                <w:sz w:val="18"/>
                <w:szCs w:val="18"/>
                <w:u w:val="single"/>
              </w:rPr>
              <w:t xml:space="preserve">                                </w:t>
            </w:r>
            <w:r>
              <w:rPr>
                <w:rFonts w:hint="eastAsia" w:ascii="宋体" w:hAnsi="宋体" w:eastAsia="宋体" w:cs="宋体"/>
                <w:sz w:val="18"/>
                <w:szCs w:val="18"/>
              </w:rPr>
              <w:t xml:space="preserve">      □</w:t>
            </w:r>
          </w:p>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rPr>
              <w:t xml:space="preserve">  7 无                                             □</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trHeight w:val="795" w:hRule="atLeast"/>
          <w:jc w:val="center"/>
        </w:trPr>
        <w:tc>
          <w:tcPr>
            <w:tcW w:w="402" w:type="dxa"/>
            <w:tcBorders>
              <w:bottom w:val="single" w:color="auto" w:sz="8" w:space="0"/>
            </w:tcBorders>
            <w:noWrap w:val="0"/>
            <w:vAlign w:val="center"/>
          </w:tcPr>
          <w:p>
            <w:pPr>
              <w:snapToGrid w:val="0"/>
              <w:spacing w:line="240" w:lineRule="exact"/>
              <w:jc w:val="center"/>
              <w:rPr>
                <w:rFonts w:hint="eastAsia" w:ascii="宋体" w:hAnsi="宋体" w:eastAsia="宋体" w:cs="宋体"/>
                <w:b/>
                <w:bCs/>
                <w:sz w:val="18"/>
                <w:szCs w:val="18"/>
              </w:rPr>
            </w:pPr>
            <w:r>
              <w:rPr>
                <w:rFonts w:hint="eastAsia" w:ascii="宋体" w:hAnsi="宋体" w:eastAsia="宋体" w:cs="宋体"/>
                <w:b/>
                <w:bCs/>
                <w:sz w:val="18"/>
                <w:szCs w:val="18"/>
              </w:rPr>
              <w:t>17</w:t>
            </w:r>
          </w:p>
        </w:tc>
        <w:tc>
          <w:tcPr>
            <w:tcW w:w="9212" w:type="dxa"/>
            <w:tcBorders>
              <w:bottom w:val="single" w:color="auto" w:sz="8" w:space="0"/>
            </w:tcBorders>
            <w:noWrap w:val="0"/>
            <w:vAlign w:val="center"/>
          </w:tcPr>
          <w:p>
            <w:pPr>
              <w:snapToGrid w:val="0"/>
              <w:spacing w:line="240" w:lineRule="exact"/>
              <w:ind w:firstLine="90" w:firstLineChars="50"/>
              <w:rPr>
                <w:rFonts w:hint="eastAsia" w:ascii="宋体" w:hAnsi="宋体" w:eastAsia="宋体" w:cs="宋体"/>
                <w:sz w:val="18"/>
                <w:szCs w:val="18"/>
              </w:rPr>
            </w:pPr>
            <w:r>
              <w:rPr>
                <w:rFonts w:hint="eastAsia" w:ascii="宋体" w:hAnsi="宋体" w:eastAsia="宋体" w:cs="宋体"/>
                <w:sz w:val="18"/>
                <w:szCs w:val="18"/>
              </w:rPr>
              <w:t>贵企业在生产经营中应用了哪些工业互联网模式（可多选）？</w:t>
            </w:r>
          </w:p>
          <w:p>
            <w:pPr>
              <w:snapToGrid w:val="0"/>
              <w:spacing w:line="240" w:lineRule="exact"/>
              <w:ind w:firstLine="180" w:firstLineChars="100"/>
              <w:rPr>
                <w:rFonts w:hint="eastAsia" w:ascii="宋体" w:hAnsi="宋体" w:eastAsia="宋体" w:cs="宋体"/>
                <w:sz w:val="18"/>
                <w:szCs w:val="18"/>
              </w:rPr>
            </w:pPr>
            <w:r>
              <w:rPr>
                <w:rFonts w:hint="eastAsia" w:ascii="宋体" w:hAnsi="宋体" w:eastAsia="宋体" w:cs="宋体"/>
                <w:sz w:val="18"/>
                <w:szCs w:val="18"/>
              </w:rPr>
              <w:t>1智能化制造  □        2网络化协同   □         3服务化延伸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4个性化定制  □</w:t>
            </w:r>
          </w:p>
          <w:p>
            <w:pPr>
              <w:snapToGrid w:val="0"/>
              <w:spacing w:line="240" w:lineRule="exact"/>
              <w:rPr>
                <w:rFonts w:hint="eastAsia" w:ascii="宋体" w:hAnsi="宋体" w:eastAsia="宋体" w:cs="宋体"/>
                <w:sz w:val="18"/>
                <w:szCs w:val="18"/>
              </w:rPr>
            </w:pPr>
            <w:r>
              <w:rPr>
                <w:rFonts w:hint="eastAsia" w:ascii="宋体" w:hAnsi="宋体" w:eastAsia="宋体" w:cs="宋体"/>
                <w:sz w:val="18"/>
                <w:szCs w:val="18"/>
              </w:rPr>
              <w:t xml:space="preserve">  5数字化管理  □        6平台化设计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         7无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w:t>
            </w:r>
          </w:p>
        </w:tc>
      </w:tr>
    </w:tbl>
    <w:p>
      <w:pPr>
        <w:keepNext w:val="0"/>
        <w:keepLines w:val="0"/>
        <w:pageBreakBefore w:val="0"/>
        <w:widowControl w:val="0"/>
        <w:kinsoku/>
        <w:wordWrap/>
        <w:overflowPunct/>
        <w:topLinePunct w:val="0"/>
        <w:autoSpaceDE/>
        <w:autoSpaceDN/>
        <w:bidi w:val="0"/>
        <w:adjustRightInd/>
        <w:snapToGrid/>
        <w:spacing w:before="32" w:beforeLines="10" w:line="240" w:lineRule="exact"/>
        <w:ind w:left="21" w:leftChars="10"/>
        <w:textAlignment w:val="auto"/>
        <w:rPr>
          <w:rFonts w:hint="eastAsia" w:asciiTheme="minorEastAsia" w:hAnsiTheme="minorEastAsia" w:eastAsiaTheme="minorEastAsia" w:cstheme="minorEastAsia"/>
          <w:spacing w:val="-2"/>
          <w:sz w:val="18"/>
          <w:szCs w:val="18"/>
        </w:rPr>
      </w:pPr>
      <w:r>
        <w:rPr>
          <w:rFonts w:hint="eastAsia" w:asciiTheme="minorEastAsia" w:hAnsiTheme="minorEastAsia" w:eastAsiaTheme="minorEastAsia" w:cstheme="minorEastAsia"/>
          <w:sz w:val="18"/>
          <w:szCs w:val="18"/>
        </w:rPr>
        <w:t xml:space="preserve">单位负责人：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统计负责人：</w:t>
      </w:r>
      <w:r>
        <w:rPr>
          <w:rFonts w:hint="eastAsia" w:asciiTheme="minorEastAsia" w:hAnsiTheme="minorEastAsia" w:eastAsiaTheme="minorEastAsia" w:cstheme="minorEastAsia"/>
          <w:spacing w:val="-2"/>
          <w:sz w:val="18"/>
          <w:szCs w:val="18"/>
        </w:rPr>
        <w:t xml:space="preserve"> 　 </w:t>
      </w:r>
      <w:r>
        <w:rPr>
          <w:rFonts w:hint="eastAsia" w:asciiTheme="minorEastAsia" w:hAnsiTheme="minorEastAsia" w:eastAsiaTheme="minorEastAsia" w:cstheme="minorEastAsia"/>
          <w:spacing w:val="-2"/>
          <w:sz w:val="18"/>
          <w:szCs w:val="18"/>
          <w:lang w:val="en-US" w:eastAsia="zh-CN"/>
        </w:rPr>
        <w:t xml:space="preserve">  </w:t>
      </w:r>
      <w:r>
        <w:rPr>
          <w:rFonts w:hint="eastAsia" w:asciiTheme="minorEastAsia" w:hAnsiTheme="minorEastAsia" w:eastAsiaTheme="minorEastAsia" w:cstheme="minorEastAsia"/>
          <w:spacing w:val="-2"/>
          <w:sz w:val="18"/>
          <w:szCs w:val="18"/>
        </w:rPr>
        <w:t xml:space="preserve"> 　填表人：</w:t>
      </w:r>
      <w:r>
        <w:rPr>
          <w:rFonts w:hint="eastAsia" w:asciiTheme="minorEastAsia" w:hAnsiTheme="minorEastAsia" w:eastAsiaTheme="minorEastAsia" w:cstheme="minorEastAsia"/>
          <w:spacing w:val="-2"/>
          <w:sz w:val="18"/>
          <w:szCs w:val="18"/>
          <w:lang w:val="en-US" w:eastAsia="zh-CN"/>
        </w:rPr>
        <w:t xml:space="preserve">   </w:t>
      </w:r>
      <w:r>
        <w:rPr>
          <w:rFonts w:hint="eastAsia" w:asciiTheme="minorEastAsia" w:hAnsiTheme="minorEastAsia" w:eastAsiaTheme="minorEastAsia" w:cstheme="minorEastAsia"/>
          <w:spacing w:val="-2"/>
          <w:sz w:val="18"/>
          <w:szCs w:val="18"/>
        </w:rPr>
        <w:t>　    　联系电话：　    　</w:t>
      </w:r>
      <w:r>
        <w:rPr>
          <w:rFonts w:hint="eastAsia" w:asciiTheme="minorEastAsia" w:hAnsiTheme="minorEastAsia" w:eastAsiaTheme="minorEastAsia" w:cstheme="minorEastAsia"/>
          <w:spacing w:val="-2"/>
          <w:sz w:val="18"/>
          <w:szCs w:val="18"/>
          <w:lang w:val="en-US" w:eastAsia="zh-CN"/>
        </w:rPr>
        <w:t xml:space="preserve">   </w:t>
      </w:r>
      <w:r>
        <w:rPr>
          <w:rFonts w:hint="eastAsia" w:asciiTheme="minorEastAsia" w:hAnsiTheme="minorEastAsia" w:eastAsiaTheme="minorEastAsia" w:cstheme="minorEastAsia"/>
          <w:spacing w:val="-2"/>
          <w:sz w:val="18"/>
          <w:szCs w:val="18"/>
        </w:rPr>
        <w:t>报出日期：</w:t>
      </w:r>
      <w:r>
        <w:rPr>
          <w:rFonts w:hint="eastAsia" w:asciiTheme="minorEastAsia" w:hAnsiTheme="minorEastAsia" w:eastAsiaTheme="minorEastAsia" w:cstheme="minorEastAsia"/>
          <w:spacing w:val="-2"/>
          <w:sz w:val="18"/>
          <w:szCs w:val="18"/>
          <w:lang w:val="en-US" w:eastAsia="zh-CN"/>
        </w:rPr>
        <w:t>2 0</w:t>
      </w:r>
      <w:r>
        <w:rPr>
          <w:rFonts w:hint="eastAsia" w:asciiTheme="minorEastAsia" w:hAnsiTheme="minorEastAsia" w:eastAsiaTheme="minorEastAsia" w:cstheme="minorEastAsia"/>
          <w:spacing w:val="-2"/>
          <w:sz w:val="18"/>
          <w:szCs w:val="18"/>
        </w:rPr>
        <w:t>　　年　月　日</w:t>
      </w:r>
    </w:p>
    <w:p>
      <w:pPr>
        <w:keepNext w:val="0"/>
        <w:keepLines w:val="0"/>
        <w:pageBreakBefore w:val="0"/>
        <w:widowControl w:val="0"/>
        <w:kinsoku/>
        <w:wordWrap/>
        <w:overflowPunct/>
        <w:topLinePunct w:val="0"/>
        <w:autoSpaceDE/>
        <w:autoSpaceDN/>
        <w:bidi w:val="0"/>
        <w:adjustRightInd/>
        <w:snapToGrid/>
        <w:spacing w:line="240" w:lineRule="exact"/>
        <w:ind w:left="1559" w:hanging="1559" w:hangingChars="886"/>
        <w:textAlignment w:val="auto"/>
        <w:rPr>
          <w:rFonts w:hint="eastAsia" w:asciiTheme="minorEastAsia" w:hAnsiTheme="minorEastAsia" w:eastAsiaTheme="minorEastAsia" w:cstheme="minorEastAsia"/>
          <w:spacing w:val="-2"/>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1561" w:leftChars="10" w:hanging="1540" w:hangingChars="875"/>
        <w:textAlignment w:val="auto"/>
        <w:rPr>
          <w:rFonts w:hint="eastAsia" w:asciiTheme="minorEastAsia" w:hAnsiTheme="minorEastAsia" w:eastAsiaTheme="minorEastAsia" w:cstheme="minorEastAsia"/>
          <w:spacing w:val="0"/>
          <w:sz w:val="18"/>
          <w:szCs w:val="18"/>
        </w:rPr>
      </w:pPr>
      <w:r>
        <w:rPr>
          <w:rFonts w:hint="eastAsia" w:asciiTheme="minorEastAsia" w:hAnsiTheme="minorEastAsia" w:eastAsiaTheme="minorEastAsia" w:cstheme="minorEastAsia"/>
          <w:spacing w:val="-2"/>
          <w:sz w:val="18"/>
          <w:szCs w:val="18"/>
        </w:rPr>
        <w:t>说</w:t>
      </w:r>
      <w:r>
        <w:rPr>
          <w:rFonts w:hint="eastAsia" w:asciiTheme="minorEastAsia" w:hAnsiTheme="minorEastAsia" w:eastAsiaTheme="minorEastAsia" w:cstheme="minorEastAsia"/>
          <w:spacing w:val="0"/>
          <w:sz w:val="18"/>
          <w:szCs w:val="18"/>
        </w:rPr>
        <w:t>明：1.统计范围：辖区内规模以上工业法人单位。</w:t>
      </w:r>
    </w:p>
    <w:p>
      <w:pPr>
        <w:keepNext w:val="0"/>
        <w:keepLines w:val="0"/>
        <w:pageBreakBefore w:val="0"/>
        <w:widowControl w:val="0"/>
        <w:kinsoku/>
        <w:wordWrap/>
        <w:overflowPunct/>
        <w:topLinePunct w:val="0"/>
        <w:autoSpaceDE/>
        <w:autoSpaceDN/>
        <w:bidi w:val="0"/>
        <w:adjustRightInd/>
        <w:snapToGrid/>
        <w:spacing w:line="240" w:lineRule="exact"/>
        <w:ind w:left="2098" w:leftChars="5" w:hanging="2088" w:hangingChars="1160"/>
        <w:textAlignment w:val="auto"/>
        <w:rPr>
          <w:rFonts w:hint="eastAsia" w:asciiTheme="minorEastAsia" w:hAnsiTheme="minorEastAsia" w:eastAsiaTheme="minorEastAsia" w:cstheme="minorEastAsia"/>
          <w:spacing w:val="0"/>
          <w:sz w:val="18"/>
          <w:szCs w:val="18"/>
        </w:rPr>
      </w:pPr>
      <w:r>
        <w:rPr>
          <w:rFonts w:hint="eastAsia" w:asciiTheme="minorEastAsia" w:hAnsiTheme="minorEastAsia" w:eastAsiaTheme="minorEastAsia" w:cstheme="minorEastAsia"/>
          <w:spacing w:val="0"/>
          <w:sz w:val="18"/>
          <w:szCs w:val="18"/>
        </w:rPr>
        <w:t xml:space="preserve">      2.报送日期及方式：调查单位202</w:t>
      </w:r>
      <w:r>
        <w:rPr>
          <w:rFonts w:hint="eastAsia" w:asciiTheme="minorEastAsia" w:hAnsiTheme="minorEastAsia" w:eastAsiaTheme="minorEastAsia" w:cstheme="minorEastAsia"/>
          <w:spacing w:val="0"/>
          <w:sz w:val="18"/>
          <w:szCs w:val="18"/>
          <w:lang w:val="en-US" w:eastAsia="zh-CN"/>
        </w:rPr>
        <w:t>6</w:t>
      </w:r>
      <w:r>
        <w:rPr>
          <w:rFonts w:hint="eastAsia" w:asciiTheme="minorEastAsia" w:hAnsiTheme="minorEastAsia" w:eastAsiaTheme="minorEastAsia" w:cstheme="minorEastAsia"/>
          <w:spacing w:val="0"/>
          <w:sz w:val="18"/>
          <w:szCs w:val="18"/>
        </w:rPr>
        <w:t>年3月1</w:t>
      </w:r>
      <w:r>
        <w:rPr>
          <w:rFonts w:hint="eastAsia" w:asciiTheme="minorEastAsia" w:hAnsiTheme="minorEastAsia" w:eastAsiaTheme="minorEastAsia" w:cstheme="minorEastAsia"/>
          <w:spacing w:val="0"/>
          <w:sz w:val="18"/>
          <w:szCs w:val="18"/>
          <w:lang w:val="en-US" w:eastAsia="zh-CN"/>
        </w:rPr>
        <w:t>6</w:t>
      </w:r>
      <w:r>
        <w:rPr>
          <w:rFonts w:hint="eastAsia" w:asciiTheme="minorEastAsia" w:hAnsiTheme="minorEastAsia" w:eastAsiaTheme="minorEastAsia" w:cstheme="minorEastAsia"/>
          <w:spacing w:val="0"/>
          <w:sz w:val="18"/>
          <w:szCs w:val="18"/>
        </w:rPr>
        <w:t>日24时前网上填报，</w:t>
      </w:r>
      <w:r>
        <w:rPr>
          <w:rFonts w:hint="eastAsia" w:asciiTheme="minorEastAsia" w:hAnsiTheme="minorEastAsia" w:eastAsiaTheme="minorEastAsia" w:cstheme="minorEastAsia"/>
          <w:color w:val="auto"/>
          <w:sz w:val="18"/>
          <w:szCs w:val="18"/>
        </w:rPr>
        <w:t>各级统计机构在规定时间内完成数据审核、验收、上报</w:t>
      </w:r>
      <w:r>
        <w:rPr>
          <w:rFonts w:hint="eastAsia" w:asciiTheme="minorEastAsia" w:hAnsiTheme="minorEastAsia" w:eastAsiaTheme="minorEastAsia" w:cstheme="minorEastAsia"/>
          <w:spacing w:val="0"/>
          <w:sz w:val="18"/>
          <w:szCs w:val="18"/>
        </w:rPr>
        <w:t>。</w:t>
      </w:r>
    </w:p>
    <w:p>
      <w:pPr>
        <w:pStyle w:val="2"/>
      </w:pPr>
    </w:p>
    <w:p/>
    <w:p>
      <w:pPr>
        <w:pStyle w:val="2"/>
      </w:pPr>
    </w:p>
    <w:p/>
    <w:p>
      <w:pPr>
        <w:pStyle w:val="2"/>
      </w:pPr>
    </w:p>
    <w:p/>
    <w:p>
      <w:pPr>
        <w:pStyle w:val="2"/>
      </w:pPr>
    </w:p>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56" w:name="_Toc1828088024"/>
      <w:r>
        <w:rPr>
          <w:rFonts w:hint="eastAsia" w:ascii="宋体" w:hAnsi="宋体" w:eastAsia="宋体" w:cs="宋体"/>
          <w:b/>
          <w:bCs/>
          <w:sz w:val="32"/>
          <w:szCs w:val="32"/>
        </w:rPr>
        <w:t>“</w:t>
      </w:r>
      <w:r>
        <w:rPr>
          <w:rFonts w:hint="eastAsia" w:ascii="宋体" w:hAnsi="宋体" w:eastAsia="宋体" w:cs="宋体"/>
          <w:b/>
          <w:bCs/>
          <w:sz w:val="32"/>
          <w:szCs w:val="32"/>
          <w:lang w:eastAsia="zh-CN"/>
        </w:rPr>
        <w:t>一套表</w:t>
      </w:r>
      <w:r>
        <w:rPr>
          <w:rFonts w:hint="eastAsia" w:ascii="宋体" w:hAnsi="宋体" w:eastAsia="宋体" w:cs="宋体"/>
          <w:b/>
          <w:bCs/>
          <w:sz w:val="32"/>
          <w:szCs w:val="32"/>
        </w:rPr>
        <w:t>”单位数字经济活动情况</w:t>
      </w:r>
      <w:bookmarkEnd w:id="56"/>
    </w:p>
    <w:tbl>
      <w:tblPr>
        <w:tblStyle w:val="17"/>
        <w:tblW w:w="9522" w:type="dxa"/>
        <w:jc w:val="center"/>
        <w:tblBorders>
          <w:top w:val="single" w:color="auto" w:sz="8" w:space="0"/>
          <w:left w:val="none" w:color="auto" w:sz="0" w:space="0"/>
          <w:bottom w:val="single" w:color="auto" w:sz="2" w:space="0"/>
          <w:right w:val="none" w:color="auto" w:sz="0" w:space="0"/>
          <w:insideH w:val="single" w:color="auto" w:sz="2" w:space="0"/>
          <w:insideV w:val="single" w:color="auto" w:sz="2" w:space="0"/>
        </w:tblBorders>
        <w:tblLayout w:type="fixed"/>
        <w:tblCellMar>
          <w:top w:w="0" w:type="dxa"/>
          <w:left w:w="0" w:type="dxa"/>
          <w:bottom w:w="0" w:type="dxa"/>
          <w:right w:w="0" w:type="dxa"/>
        </w:tblCellMar>
      </w:tblPr>
      <w:tblGrid>
        <w:gridCol w:w="338"/>
        <w:gridCol w:w="3214"/>
        <w:gridCol w:w="2223"/>
        <w:gridCol w:w="1786"/>
        <w:gridCol w:w="1961"/>
      </w:tblGrid>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3552" w:type="dxa"/>
            <w:gridSpan w:val="2"/>
            <w:tcBorders>
              <w:top w:val="nil"/>
              <w:bottom w:val="nil"/>
              <w:right w:val="nil"/>
            </w:tcBorders>
            <w:noWrap w:val="0"/>
            <w:vAlign w:val="top"/>
          </w:tcPr>
          <w:p>
            <w:pPr>
              <w:adjustRightInd w:val="0"/>
              <w:snapToGrid w:val="0"/>
              <w:spacing w:line="240" w:lineRule="exact"/>
              <w:jc w:val="center"/>
              <w:rPr>
                <w:rFonts w:ascii="宋体" w:hAnsi="宋体" w:cs="宋体"/>
                <w:color w:val="auto"/>
                <w:sz w:val="18"/>
                <w:szCs w:val="18"/>
              </w:rPr>
            </w:pPr>
          </w:p>
        </w:tc>
        <w:tc>
          <w:tcPr>
            <w:tcW w:w="2223" w:type="dxa"/>
            <w:tcBorders>
              <w:top w:val="nil"/>
              <w:left w:val="nil"/>
              <w:bottom w:val="nil"/>
              <w:right w:val="nil"/>
            </w:tcBorders>
            <w:noWrap w:val="0"/>
            <w:vAlign w:val="top"/>
          </w:tcPr>
          <w:p>
            <w:pPr>
              <w:adjustRightInd w:val="0"/>
              <w:snapToGrid w:val="0"/>
              <w:spacing w:line="240" w:lineRule="exact"/>
              <w:jc w:val="center"/>
              <w:rPr>
                <w:rFonts w:ascii="宋体" w:hAnsi="宋体" w:cs="宋体"/>
                <w:color w:val="auto"/>
                <w:sz w:val="18"/>
                <w:szCs w:val="18"/>
              </w:rPr>
            </w:pPr>
          </w:p>
        </w:tc>
        <w:tc>
          <w:tcPr>
            <w:tcW w:w="1786" w:type="dxa"/>
            <w:tcBorders>
              <w:top w:val="nil"/>
              <w:left w:val="nil"/>
              <w:bottom w:val="nil"/>
              <w:right w:val="nil"/>
            </w:tcBorders>
            <w:noWrap w:val="0"/>
            <w:vAlign w:val="center"/>
          </w:tcPr>
          <w:p>
            <w:pPr>
              <w:adjustRightInd w:val="0"/>
              <w:snapToGrid w:val="0"/>
              <w:spacing w:line="240" w:lineRule="exact"/>
              <w:jc w:val="right"/>
              <w:rPr>
                <w:rFonts w:ascii="宋体" w:hAnsi="宋体" w:cs="宋体"/>
                <w:color w:val="auto"/>
                <w:sz w:val="18"/>
                <w:szCs w:val="18"/>
              </w:rPr>
            </w:pPr>
            <w:r>
              <w:rPr>
                <w:rFonts w:hint="eastAsia" w:ascii="Calibri Light" w:hAnsi="Calibri Light" w:cs="Calibri Light"/>
                <w:color w:val="auto"/>
                <w:sz w:val="18"/>
                <w:szCs w:val="18"/>
              </w:rPr>
              <w:t>表    号：</w:t>
            </w:r>
          </w:p>
        </w:tc>
        <w:tc>
          <w:tcPr>
            <w:tcW w:w="1961" w:type="dxa"/>
            <w:tcBorders>
              <w:top w:val="nil"/>
              <w:left w:val="nil"/>
              <w:bottom w:val="nil"/>
            </w:tcBorders>
            <w:noWrap w:val="0"/>
            <w:vAlign w:val="center"/>
          </w:tcPr>
          <w:p>
            <w:pPr>
              <w:adjustRightInd w:val="0"/>
              <w:spacing w:line="240" w:lineRule="exact"/>
              <w:jc w:val="distribute"/>
              <w:rPr>
                <w:rFonts w:ascii="宋体" w:hAnsi="宋体" w:cs="宋体"/>
                <w:color w:val="auto"/>
                <w:sz w:val="18"/>
                <w:szCs w:val="18"/>
                <w:lang w:val="en"/>
              </w:rPr>
            </w:pPr>
            <w:r>
              <w:rPr>
                <w:rFonts w:hint="eastAsia" w:ascii="宋体" w:hAnsi="宋体" w:cs="宋体"/>
                <w:color w:val="auto"/>
                <w:sz w:val="18"/>
                <w:szCs w:val="18"/>
                <w:lang w:val="en-US" w:eastAsia="zh-CN"/>
              </w:rPr>
              <w:t>110</w:t>
            </w:r>
            <w:r>
              <w:rPr>
                <w:rFonts w:hint="eastAsia" w:ascii="宋体" w:hAnsi="宋体" w:cs="宋体"/>
                <w:color w:val="auto"/>
                <w:sz w:val="18"/>
                <w:szCs w:val="18"/>
                <w:lang w:val="en"/>
              </w:rPr>
              <w:t>表</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775" w:type="dxa"/>
            <w:gridSpan w:val="3"/>
            <w:tcBorders>
              <w:top w:val="nil"/>
              <w:bottom w:val="nil"/>
              <w:right w:val="nil"/>
            </w:tcBorders>
            <w:noWrap w:val="0"/>
            <w:vAlign w:val="bottom"/>
          </w:tcPr>
          <w:p>
            <w:pPr>
              <w:adjustRightInd w:val="0"/>
              <w:snapToGrid w:val="0"/>
              <w:spacing w:line="240" w:lineRule="exact"/>
              <w:rPr>
                <w:rFonts w:ascii="宋体" w:hAnsi="宋体" w:cs="宋体"/>
                <w:color w:val="auto"/>
                <w:sz w:val="18"/>
                <w:szCs w:val="18"/>
              </w:rPr>
            </w:pPr>
          </w:p>
        </w:tc>
        <w:tc>
          <w:tcPr>
            <w:tcW w:w="1786" w:type="dxa"/>
            <w:tcBorders>
              <w:top w:val="nil"/>
              <w:left w:val="nil"/>
              <w:bottom w:val="nil"/>
              <w:right w:val="nil"/>
            </w:tcBorders>
            <w:noWrap w:val="0"/>
            <w:vAlign w:val="top"/>
          </w:tcPr>
          <w:p>
            <w:pPr>
              <w:adjustRightInd w:val="0"/>
              <w:snapToGrid w:val="0"/>
              <w:spacing w:line="240" w:lineRule="exact"/>
              <w:jc w:val="right"/>
              <w:rPr>
                <w:rFonts w:ascii="宋体" w:hAnsi="宋体" w:cs="宋体"/>
                <w:color w:val="auto"/>
                <w:sz w:val="18"/>
                <w:szCs w:val="18"/>
              </w:rPr>
            </w:pPr>
            <w:r>
              <w:rPr>
                <w:rFonts w:hint="eastAsia" w:ascii="Calibri Light" w:hAnsi="Calibri Light" w:cs="Calibri Light"/>
                <w:color w:val="auto"/>
                <w:sz w:val="18"/>
                <w:szCs w:val="18"/>
              </w:rPr>
              <w:t>制定机关：</w:t>
            </w:r>
          </w:p>
        </w:tc>
        <w:tc>
          <w:tcPr>
            <w:tcW w:w="1961" w:type="dxa"/>
            <w:tcBorders>
              <w:top w:val="nil"/>
              <w:left w:val="nil"/>
              <w:bottom w:val="nil"/>
            </w:tcBorders>
            <w:noWrap w:val="0"/>
            <w:vAlign w:val="center"/>
          </w:tcPr>
          <w:p>
            <w:pPr>
              <w:adjustRightInd w:val="0"/>
              <w:snapToGrid w:val="0"/>
              <w:spacing w:line="240" w:lineRule="exact"/>
              <w:jc w:val="distribute"/>
              <w:rPr>
                <w:rFonts w:ascii="宋体" w:hAnsi="宋体" w:cs="宋体"/>
                <w:color w:val="auto"/>
                <w:sz w:val="18"/>
                <w:szCs w:val="18"/>
              </w:rPr>
            </w:pPr>
            <w:r>
              <w:rPr>
                <w:rFonts w:hint="eastAsia" w:ascii="Calibri Light" w:hAnsi="Calibri Light" w:cs="Calibri Light"/>
                <w:color w:val="auto"/>
                <w:sz w:val="18"/>
                <w:szCs w:val="18"/>
              </w:rPr>
              <w:t>国家统计局</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775" w:type="dxa"/>
            <w:gridSpan w:val="3"/>
            <w:tcBorders>
              <w:top w:val="nil"/>
              <w:bottom w:val="nil"/>
              <w:right w:val="nil"/>
            </w:tcBorders>
            <w:noWrap w:val="0"/>
            <w:vAlign w:val="top"/>
          </w:tcPr>
          <w:p>
            <w:pPr>
              <w:adjustRightInd w:val="0"/>
              <w:snapToGrid w:val="0"/>
              <w:spacing w:line="240" w:lineRule="exact"/>
              <w:rPr>
                <w:rFonts w:ascii="宋体" w:hAnsi="宋体" w:cs="宋体"/>
                <w:color w:val="auto"/>
                <w:sz w:val="18"/>
                <w:szCs w:val="18"/>
              </w:rPr>
            </w:pPr>
            <w:r>
              <w:rPr>
                <w:rFonts w:hint="eastAsia" w:ascii="宋体" w:hAnsi="宋体" w:cs="宋体"/>
                <w:color w:val="auto"/>
                <w:kern w:val="0"/>
                <w:sz w:val="18"/>
                <w:szCs w:val="18"/>
              </w:rPr>
              <w:t>统一社会信用代码□□□□□□□□□□□□□□□□□□</w:t>
            </w:r>
          </w:p>
        </w:tc>
        <w:tc>
          <w:tcPr>
            <w:tcW w:w="1786" w:type="dxa"/>
            <w:tcBorders>
              <w:top w:val="nil"/>
              <w:left w:val="nil"/>
              <w:bottom w:val="nil"/>
              <w:right w:val="nil"/>
            </w:tcBorders>
            <w:noWrap w:val="0"/>
            <w:vAlign w:val="center"/>
          </w:tcPr>
          <w:p>
            <w:pPr>
              <w:adjustRightInd w:val="0"/>
              <w:snapToGrid w:val="0"/>
              <w:spacing w:line="240" w:lineRule="exact"/>
              <w:jc w:val="right"/>
              <w:rPr>
                <w:rFonts w:ascii="宋体" w:hAnsi="宋体" w:cs="宋体"/>
                <w:color w:val="auto"/>
                <w:sz w:val="18"/>
                <w:szCs w:val="18"/>
              </w:rPr>
            </w:pPr>
            <w:r>
              <w:rPr>
                <w:rFonts w:hint="eastAsia" w:ascii="Calibri Light" w:hAnsi="Calibri Light" w:cs="Calibri Light"/>
                <w:color w:val="auto"/>
                <w:sz w:val="18"/>
                <w:szCs w:val="18"/>
              </w:rPr>
              <w:t>文    号：</w:t>
            </w:r>
          </w:p>
        </w:tc>
        <w:tc>
          <w:tcPr>
            <w:tcW w:w="1961" w:type="dxa"/>
            <w:tcBorders>
              <w:top w:val="nil"/>
              <w:left w:val="nil"/>
              <w:bottom w:val="nil"/>
            </w:tcBorders>
            <w:noWrap w:val="0"/>
            <w:vAlign w:val="center"/>
          </w:tcPr>
          <w:p>
            <w:pPr>
              <w:adjustRightInd w:val="0"/>
              <w:snapToGrid w:val="0"/>
              <w:spacing w:line="240" w:lineRule="exact"/>
              <w:jc w:val="distribute"/>
              <w:rPr>
                <w:rFonts w:ascii="宋体" w:hAnsi="宋体" w:cs="宋体"/>
                <w:color w:val="auto"/>
                <w:sz w:val="18"/>
                <w:szCs w:val="18"/>
              </w:rPr>
            </w:pPr>
            <w:r>
              <w:rPr>
                <w:rFonts w:ascii="宋体" w:hAnsi="宋体"/>
                <w:color w:val="auto"/>
                <w:spacing w:val="-8"/>
                <w:sz w:val="18"/>
                <w:szCs w:val="18"/>
                <w:lang w:val="en"/>
              </w:rPr>
              <w:t>国统字〔202</w:t>
            </w:r>
            <w:r>
              <w:rPr>
                <w:rFonts w:hint="eastAsia" w:ascii="宋体" w:hAnsi="宋体"/>
                <w:color w:val="auto"/>
                <w:spacing w:val="-8"/>
                <w:sz w:val="18"/>
                <w:szCs w:val="18"/>
                <w:lang w:val="en-US" w:eastAsia="zh-CN"/>
              </w:rPr>
              <w:t>5</w:t>
            </w:r>
            <w:r>
              <w:rPr>
                <w:rFonts w:ascii="宋体" w:hAnsi="宋体"/>
                <w:color w:val="auto"/>
                <w:spacing w:val="-8"/>
                <w:sz w:val="18"/>
                <w:szCs w:val="18"/>
                <w:lang w:val="en"/>
              </w:rPr>
              <w:t>〕</w:t>
            </w:r>
            <w:r>
              <w:rPr>
                <w:rFonts w:hint="eastAsia" w:ascii="宋体" w:hAnsi="宋体"/>
                <w:color w:val="auto"/>
                <w:spacing w:val="-8"/>
                <w:sz w:val="18"/>
                <w:szCs w:val="18"/>
                <w:lang w:val="en-US" w:eastAsia="zh-CN"/>
              </w:rPr>
              <w:t>88</w:t>
            </w:r>
            <w:r>
              <w:rPr>
                <w:rFonts w:hint="eastAsia" w:ascii="宋体" w:hAnsi="宋体"/>
                <w:color w:val="auto"/>
                <w:spacing w:val="-8"/>
                <w:sz w:val="18"/>
                <w:szCs w:val="18"/>
              </w:rPr>
              <w:t>号</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775" w:type="dxa"/>
            <w:gridSpan w:val="3"/>
            <w:tcBorders>
              <w:top w:val="nil"/>
              <w:bottom w:val="single" w:color="auto" w:sz="8" w:space="0"/>
              <w:right w:val="nil"/>
            </w:tcBorders>
            <w:noWrap w:val="0"/>
            <w:vAlign w:val="top"/>
          </w:tcPr>
          <w:p>
            <w:pPr>
              <w:adjustRightInd w:val="0"/>
              <w:snapToGrid w:val="0"/>
              <w:spacing w:line="240" w:lineRule="exact"/>
              <w:rPr>
                <w:rFonts w:ascii="宋体" w:hAnsi="宋体" w:cs="宋体"/>
                <w:color w:val="auto"/>
                <w:sz w:val="18"/>
                <w:szCs w:val="18"/>
              </w:rPr>
            </w:pPr>
            <w:r>
              <w:rPr>
                <w:rFonts w:hint="eastAsia" w:ascii="Calibri Light" w:hAnsi="Calibri Light" w:cs="Calibri Light"/>
                <w:color w:val="auto"/>
                <w:sz w:val="18"/>
                <w:szCs w:val="18"/>
              </w:rPr>
              <w:t>单位详细名称：                                   ２</w:t>
            </w:r>
            <w:r>
              <w:rPr>
                <w:rFonts w:ascii="Calibri Light" w:hAnsi="Calibri Light" w:cs="Calibri Light"/>
                <w:color w:val="auto"/>
                <w:sz w:val="18"/>
                <w:szCs w:val="18"/>
              </w:rPr>
              <w:t>０</w:t>
            </w:r>
            <w:r>
              <w:rPr>
                <w:rFonts w:hint="eastAsia" w:ascii="Calibri Light" w:hAnsi="Calibri Light" w:cs="Calibri Light"/>
                <w:color w:val="auto"/>
                <w:sz w:val="18"/>
                <w:szCs w:val="18"/>
              </w:rPr>
              <w:t xml:space="preserve"> </w:t>
            </w:r>
            <w:r>
              <w:rPr>
                <w:rFonts w:ascii="Calibri Light" w:hAnsi="Calibri Light" w:cs="Calibri Light"/>
                <w:color w:val="auto"/>
                <w:sz w:val="18"/>
                <w:szCs w:val="18"/>
              </w:rPr>
              <w:t xml:space="preserve">  </w:t>
            </w:r>
            <w:r>
              <w:rPr>
                <w:rFonts w:hint="eastAsia" w:ascii="Calibri Light" w:hAnsi="Calibri Light" w:cs="Calibri Light"/>
                <w:color w:val="auto"/>
                <w:sz w:val="18"/>
                <w:szCs w:val="18"/>
              </w:rPr>
              <w:t xml:space="preserve"> 年</w:t>
            </w:r>
          </w:p>
        </w:tc>
        <w:tc>
          <w:tcPr>
            <w:tcW w:w="1786" w:type="dxa"/>
            <w:tcBorders>
              <w:top w:val="nil"/>
              <w:left w:val="nil"/>
              <w:bottom w:val="single" w:color="auto" w:sz="8" w:space="0"/>
              <w:right w:val="nil"/>
            </w:tcBorders>
            <w:noWrap w:val="0"/>
            <w:vAlign w:val="center"/>
          </w:tcPr>
          <w:p>
            <w:pPr>
              <w:adjustRightInd w:val="0"/>
              <w:snapToGrid w:val="0"/>
              <w:spacing w:line="240" w:lineRule="exact"/>
              <w:jc w:val="right"/>
              <w:rPr>
                <w:rFonts w:ascii="宋体" w:hAnsi="宋体" w:cs="宋体"/>
                <w:color w:val="auto"/>
                <w:sz w:val="18"/>
                <w:szCs w:val="18"/>
              </w:rPr>
            </w:pPr>
            <w:r>
              <w:rPr>
                <w:rFonts w:hint="eastAsia" w:ascii="Calibri Light" w:hAnsi="Calibri Light" w:cs="Calibri Light"/>
                <w:color w:val="auto"/>
                <w:sz w:val="18"/>
                <w:szCs w:val="18"/>
              </w:rPr>
              <w:t>有效期至：</w:t>
            </w:r>
          </w:p>
        </w:tc>
        <w:tc>
          <w:tcPr>
            <w:tcW w:w="1961" w:type="dxa"/>
            <w:tcBorders>
              <w:top w:val="nil"/>
              <w:left w:val="nil"/>
              <w:bottom w:val="single" w:color="auto" w:sz="8" w:space="0"/>
            </w:tcBorders>
            <w:noWrap w:val="0"/>
            <w:vAlign w:val="center"/>
          </w:tcPr>
          <w:p>
            <w:pPr>
              <w:adjustRightInd w:val="0"/>
              <w:snapToGrid w:val="0"/>
              <w:spacing w:line="240" w:lineRule="exact"/>
              <w:jc w:val="distribute"/>
              <w:rPr>
                <w:rFonts w:ascii="宋体" w:hAnsi="宋体" w:cs="宋体"/>
                <w:color w:val="auto"/>
                <w:sz w:val="18"/>
                <w:szCs w:val="18"/>
              </w:rPr>
            </w:pPr>
            <w:r>
              <w:rPr>
                <w:rFonts w:hint="eastAsia" w:ascii="宋体" w:hAnsi="宋体"/>
                <w:color w:val="auto"/>
                <w:sz w:val="18"/>
                <w:szCs w:val="18"/>
                <w:lang w:val="en-US" w:eastAsia="zh-CN"/>
              </w:rPr>
              <w:t>202</w:t>
            </w:r>
            <w:r>
              <w:rPr>
                <w:rFonts w:hint="default" w:ascii="宋体" w:hAnsi="宋体"/>
                <w:color w:val="auto"/>
                <w:sz w:val="18"/>
                <w:szCs w:val="18"/>
                <w:lang w:val="en-US" w:eastAsia="zh-CN"/>
              </w:rPr>
              <w:t>6</w:t>
            </w:r>
            <w:r>
              <w:rPr>
                <w:rFonts w:hint="eastAsia" w:ascii="宋体" w:hAnsi="宋体"/>
                <w:color w:val="auto"/>
                <w:sz w:val="18"/>
                <w:szCs w:val="18"/>
              </w:rPr>
              <w:t>年</w:t>
            </w:r>
            <w:r>
              <w:rPr>
                <w:rFonts w:hint="default" w:ascii="宋体" w:hAnsi="宋体"/>
                <w:color w:val="auto"/>
                <w:sz w:val="18"/>
                <w:szCs w:val="18"/>
                <w:lang w:val="en-US"/>
              </w:rPr>
              <w:t>6</w:t>
            </w:r>
            <w:r>
              <w:rPr>
                <w:rFonts w:hint="eastAsia" w:ascii="宋体" w:hAnsi="宋体"/>
                <w:color w:val="auto"/>
                <w:sz w:val="18"/>
                <w:szCs w:val="18"/>
              </w:rPr>
              <w:t>月</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90" w:hRule="atLeast"/>
          <w:jc w:val="center"/>
        </w:trPr>
        <w:tc>
          <w:tcPr>
            <w:tcW w:w="9522"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一、工业数字经济情况（工业</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01</w:t>
            </w:r>
          </w:p>
        </w:tc>
        <w:tc>
          <w:tcPr>
            <w:tcW w:w="9184" w:type="dxa"/>
            <w:gridSpan w:val="4"/>
            <w:noWrap w:val="0"/>
            <w:vAlign w:val="top"/>
          </w:tcPr>
          <w:p>
            <w:pPr>
              <w:keepNext w:val="0"/>
              <w:keepLines w:val="0"/>
              <w:pageBreakBefore w:val="0"/>
              <w:widowControl w:val="0"/>
              <w:kinsoku/>
              <w:wordWrap/>
              <w:overflowPunct/>
              <w:topLinePunct w:val="0"/>
              <w:autoSpaceDE/>
              <w:autoSpaceDN/>
              <w:bidi w:val="0"/>
              <w:snapToGrid w:val="0"/>
              <w:spacing w:line="260" w:lineRule="exact"/>
              <w:textAlignment w:val="auto"/>
              <w:rPr>
                <w:rFonts w:hint="default" w:ascii="宋体" w:hAnsi="宋体" w:eastAsia="宋体" w:cs="宋体"/>
                <w:color w:val="auto"/>
                <w:sz w:val="18"/>
                <w:szCs w:val="18"/>
                <w:highlight w:val="none"/>
                <w:lang w:val="en"/>
              </w:rPr>
            </w:pPr>
            <w:r>
              <w:rPr>
                <w:rFonts w:hint="eastAsia" w:ascii="宋体" w:hAnsi="宋体" w:eastAsia="宋体" w:cs="宋体"/>
                <w:color w:val="auto"/>
                <w:sz w:val="18"/>
                <w:szCs w:val="18"/>
              </w:rPr>
              <w:t>本年工业</w:t>
            </w:r>
            <w:r>
              <w:rPr>
                <w:rFonts w:hint="eastAsia" w:ascii="宋体" w:hAnsi="宋体" w:eastAsia="宋体" w:cs="宋体"/>
                <w:color w:val="auto"/>
                <w:sz w:val="18"/>
                <w:szCs w:val="18"/>
                <w:lang w:eastAsia="zh-CN"/>
              </w:rPr>
              <w:t>总产值</w:t>
            </w:r>
            <w:r>
              <w:rPr>
                <w:rFonts w:hint="eastAsia" w:ascii="宋体" w:hAnsi="宋体" w:eastAsia="宋体" w:cs="宋体"/>
                <w:color w:val="auto"/>
                <w:sz w:val="18"/>
                <w:szCs w:val="18"/>
              </w:rPr>
              <w:t>（当年价格）（01）</w:t>
            </w:r>
            <w:r>
              <w:rPr>
                <w:rFonts w:hint="eastAsia" w:ascii="宋体" w:hAnsi="宋体" w:eastAsia="宋体" w:cs="宋体"/>
                <w:color w:val="auto"/>
                <w:sz w:val="18"/>
                <w:szCs w:val="18"/>
                <w:highlight w:val="lightGray"/>
              </w:rPr>
              <w:t>______千元</w:t>
            </w:r>
            <w:r>
              <w:rPr>
                <w:rFonts w:hint="eastAsia" w:ascii="宋体" w:hAnsi="宋体" w:cs="宋体"/>
                <w:color w:val="auto"/>
                <w:sz w:val="18"/>
                <w:szCs w:val="18"/>
                <w:highlight w:val="none"/>
                <w:lang w:eastAsia="zh-CN"/>
              </w:rPr>
              <w:t>，</w:t>
            </w:r>
          </w:p>
          <w:p>
            <w:pPr>
              <w:keepNext w:val="0"/>
              <w:keepLines w:val="0"/>
              <w:pageBreakBefore w:val="0"/>
              <w:widowControl w:val="0"/>
              <w:kinsoku/>
              <w:wordWrap/>
              <w:overflowPunct/>
              <w:topLinePunct w:val="0"/>
              <w:autoSpaceDE/>
              <w:autoSpaceDN/>
              <w:bidi w:val="0"/>
              <w:snapToGrid w:val="0"/>
              <w:spacing w:line="260" w:lineRule="exact"/>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lang w:val="en-US" w:eastAsia="zh-CN"/>
              </w:rPr>
              <w:t xml:space="preserve">  其中：</w:t>
            </w:r>
            <w:r>
              <w:rPr>
                <w:rFonts w:hint="eastAsia" w:ascii="宋体" w:hAnsi="宋体" w:eastAsia="宋体" w:cs="宋体"/>
                <w:color w:val="auto"/>
                <w:kern w:val="0"/>
                <w:sz w:val="18"/>
                <w:szCs w:val="18"/>
              </w:rPr>
              <w:t>电子游戏游艺设备制造</w:t>
            </w:r>
            <w:r>
              <w:rPr>
                <w:rFonts w:hint="eastAsia" w:ascii="宋体" w:hAnsi="宋体" w:eastAsia="宋体" w:cs="宋体"/>
                <w:color w:val="auto"/>
                <w:kern w:val="0"/>
                <w:sz w:val="18"/>
                <w:szCs w:val="18"/>
                <w:lang w:eastAsia="zh-CN"/>
              </w:rPr>
              <w:t>总</w:t>
            </w:r>
            <w:r>
              <w:rPr>
                <w:rFonts w:hint="eastAsia" w:ascii="宋体" w:hAnsi="宋体" w:eastAsia="宋体" w:cs="宋体"/>
                <w:color w:val="auto"/>
                <w:kern w:val="0"/>
                <w:sz w:val="18"/>
                <w:szCs w:val="18"/>
              </w:rPr>
              <w:t>产值（0</w:t>
            </w:r>
            <w:r>
              <w:rPr>
                <w:rFonts w:hint="eastAsia" w:ascii="宋体" w:hAnsi="宋体" w:cs="宋体"/>
                <w:color w:val="auto"/>
                <w:kern w:val="0"/>
                <w:sz w:val="18"/>
                <w:szCs w:val="18"/>
                <w:lang w:val="en-US" w:eastAsia="zh-CN"/>
              </w:rPr>
              <w:t>2</w:t>
            </w:r>
            <w:r>
              <w:rPr>
                <w:rFonts w:hint="eastAsia" w:ascii="宋体" w:hAnsi="宋体" w:eastAsia="宋体" w:cs="宋体"/>
                <w:color w:val="auto"/>
                <w:kern w:val="0"/>
                <w:sz w:val="18"/>
                <w:szCs w:val="18"/>
              </w:rPr>
              <w:t>）</w:t>
            </w:r>
            <w:r>
              <w:rPr>
                <w:rFonts w:hint="eastAsia" w:ascii="宋体" w:hAnsi="宋体" w:eastAsia="宋体" w:cs="宋体"/>
                <w:color w:val="auto"/>
                <w:sz w:val="18"/>
                <w:szCs w:val="18"/>
              </w:rPr>
              <w:t>______千元</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03</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行业代码为2462的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p>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kern w:val="0"/>
                <w:sz w:val="18"/>
                <w:szCs w:val="18"/>
              </w:rPr>
              <w:t>可用于声音、文字、图像传播的电线电缆</w:t>
            </w:r>
            <w:r>
              <w:rPr>
                <w:rFonts w:hint="eastAsia" w:ascii="宋体" w:hAnsi="宋体" w:eastAsia="宋体" w:cs="宋体"/>
                <w:color w:val="auto"/>
                <w:kern w:val="0"/>
                <w:sz w:val="18"/>
                <w:szCs w:val="18"/>
                <w:lang w:eastAsia="zh-CN"/>
              </w:rPr>
              <w:t>制造总</w:t>
            </w:r>
            <w:r>
              <w:rPr>
                <w:rFonts w:hint="eastAsia" w:ascii="宋体" w:hAnsi="宋体" w:eastAsia="宋体" w:cs="宋体"/>
                <w:color w:val="auto"/>
                <w:kern w:val="0"/>
                <w:sz w:val="18"/>
                <w:szCs w:val="18"/>
              </w:rPr>
              <w:t>产值（0</w:t>
            </w:r>
            <w:r>
              <w:rPr>
                <w:rFonts w:hint="eastAsia" w:ascii="宋体" w:hAnsi="宋体" w:cs="宋体"/>
                <w:color w:val="auto"/>
                <w:kern w:val="0"/>
                <w:sz w:val="18"/>
                <w:szCs w:val="18"/>
                <w:lang w:val="en-US" w:eastAsia="zh-CN"/>
              </w:rPr>
              <w:t>4</w:t>
            </w:r>
            <w:r>
              <w:rPr>
                <w:rFonts w:hint="eastAsia" w:ascii="宋体" w:hAnsi="宋体" w:eastAsia="宋体" w:cs="宋体"/>
                <w:color w:val="auto"/>
                <w:kern w:val="0"/>
                <w:sz w:val="18"/>
                <w:szCs w:val="18"/>
              </w:rPr>
              <w:t>）</w:t>
            </w:r>
            <w:r>
              <w:rPr>
                <w:rFonts w:hint="eastAsia" w:ascii="宋体" w:hAnsi="宋体" w:eastAsia="宋体" w:cs="宋体"/>
                <w:color w:val="auto"/>
                <w:sz w:val="18"/>
                <w:szCs w:val="18"/>
              </w:rPr>
              <w:t>______千元</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05</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w:t>
            </w:r>
            <w:r>
              <w:rPr>
                <w:rFonts w:hint="eastAsia" w:ascii="宋体" w:hAnsi="宋体" w:eastAsia="宋体" w:cs="宋体"/>
                <w:color w:val="auto"/>
                <w:sz w:val="18"/>
                <w:szCs w:val="18"/>
                <w:lang w:val="en-US" w:eastAsia="zh-CN"/>
              </w:rPr>
              <w:t>3831</w:t>
            </w:r>
            <w:r>
              <w:rPr>
                <w:rFonts w:hint="eastAsia" w:ascii="宋体" w:hAnsi="宋体" w:eastAsia="宋体" w:cs="宋体"/>
                <w:color w:val="auto"/>
                <w:sz w:val="18"/>
                <w:szCs w:val="18"/>
              </w:rPr>
              <w:t>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338" w:type="dxa"/>
            <w:tcBorders>
              <w:bottom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0</w:t>
            </w:r>
            <w:r>
              <w:rPr>
                <w:rFonts w:hint="eastAsia" w:ascii="宋体" w:hAnsi="宋体" w:cs="宋体"/>
                <w:color w:val="auto"/>
                <w:sz w:val="18"/>
                <w:szCs w:val="18"/>
                <w:lang w:val="en-US" w:eastAsia="zh-CN"/>
              </w:rPr>
              <w:t>2</w:t>
            </w:r>
          </w:p>
        </w:tc>
        <w:tc>
          <w:tcPr>
            <w:tcW w:w="9184" w:type="dxa"/>
            <w:gridSpan w:val="4"/>
            <w:tcBorders>
              <w:bottom w:val="single" w:color="auto" w:sz="2" w:space="0"/>
            </w:tcBorders>
            <w:noWrap w:val="0"/>
            <w:vAlign w:val="top"/>
          </w:tcPr>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共有生产车间（或流水线）（0</w:t>
            </w:r>
            <w:r>
              <w:rPr>
                <w:rFonts w:hint="eastAsia" w:ascii="宋体" w:hAnsi="宋体" w:cs="宋体"/>
                <w:color w:val="auto"/>
                <w:sz w:val="18"/>
                <w:szCs w:val="18"/>
                <w:lang w:val="en-US" w:eastAsia="zh-CN"/>
              </w:rPr>
              <w:t>6</w:t>
            </w:r>
            <w:r>
              <w:rPr>
                <w:rFonts w:hint="eastAsia" w:ascii="宋体" w:hAnsi="宋体" w:eastAsia="宋体" w:cs="宋体"/>
                <w:color w:val="auto"/>
                <w:sz w:val="18"/>
                <w:szCs w:val="18"/>
              </w:rPr>
              <w:t>）______个（条）</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07</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______个（条）</w:t>
            </w:r>
            <w:r>
              <w:rPr>
                <w:rFonts w:hint="eastAsia" w:ascii="宋体" w:hAnsi="宋体" w:cs="宋体"/>
                <w:color w:val="auto"/>
                <w:sz w:val="18"/>
                <w:szCs w:val="18"/>
                <w:lang w:eastAsia="zh-CN"/>
              </w:rPr>
              <w:t>，</w:t>
            </w:r>
          </w:p>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 xml:space="preserve">  其中：智能（数字化）车间（或流水线）（</w:t>
            </w:r>
            <w:r>
              <w:rPr>
                <w:rFonts w:hint="eastAsia" w:ascii="宋体" w:hAnsi="宋体" w:cs="宋体"/>
                <w:color w:val="auto"/>
                <w:sz w:val="18"/>
                <w:szCs w:val="18"/>
                <w:lang w:val="en-US" w:eastAsia="zh-CN"/>
              </w:rPr>
              <w:t>08</w:t>
            </w:r>
            <w:r>
              <w:rPr>
                <w:rFonts w:hint="eastAsia" w:ascii="宋体" w:hAnsi="宋体" w:eastAsia="宋体" w:cs="宋体"/>
                <w:color w:val="auto"/>
                <w:sz w:val="18"/>
                <w:szCs w:val="18"/>
              </w:rPr>
              <w:t>）______个（条）</w:t>
            </w:r>
            <w:r>
              <w:rPr>
                <w:rFonts w:hint="eastAsia" w:ascii="宋体" w:hAnsi="宋体" w:eastAsia="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09</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______个（条）</w:t>
            </w:r>
            <w:r>
              <w:rPr>
                <w:rFonts w:hint="eastAsia" w:ascii="宋体" w:hAnsi="宋体" w:cs="宋体"/>
                <w:color w:val="auto"/>
                <w:sz w:val="18"/>
                <w:szCs w:val="18"/>
                <w:lang w:eastAsia="zh-CN"/>
              </w:rPr>
              <w:t>，</w:t>
            </w:r>
          </w:p>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kern w:val="0"/>
                <w:sz w:val="18"/>
                <w:szCs w:val="18"/>
                <w:lang w:val="en-US" w:eastAsia="zh-CN"/>
              </w:rPr>
            </w:pPr>
            <w:r>
              <w:rPr>
                <w:rFonts w:hint="eastAsia" w:ascii="宋体" w:hAnsi="宋体" w:eastAsia="宋体" w:cs="宋体"/>
                <w:color w:val="auto"/>
                <w:sz w:val="18"/>
                <w:szCs w:val="18"/>
              </w:rPr>
              <w:t>智能（数字化）车间（或流水线）生产的</w:t>
            </w:r>
            <w:r>
              <w:rPr>
                <w:rFonts w:hint="eastAsia" w:ascii="宋体" w:hAnsi="宋体" w:eastAsia="宋体" w:cs="宋体"/>
                <w:color w:val="auto"/>
                <w:sz w:val="18"/>
                <w:szCs w:val="18"/>
                <w:lang w:eastAsia="zh-CN"/>
              </w:rPr>
              <w:t>工业总</w:t>
            </w:r>
            <w:r>
              <w:rPr>
                <w:rFonts w:hint="eastAsia" w:ascii="宋体" w:hAnsi="宋体" w:eastAsia="宋体" w:cs="宋体"/>
                <w:color w:val="auto"/>
                <w:sz w:val="18"/>
                <w:szCs w:val="18"/>
              </w:rPr>
              <w:t>产值（</w:t>
            </w:r>
            <w:r>
              <w:rPr>
                <w:rFonts w:hint="eastAsia" w:ascii="宋体" w:hAnsi="宋体" w:cs="宋体"/>
                <w:color w:val="auto"/>
                <w:sz w:val="18"/>
                <w:szCs w:val="18"/>
                <w:lang w:val="en-US" w:eastAsia="zh-CN"/>
              </w:rPr>
              <w:t>10</w:t>
            </w:r>
            <w:r>
              <w:rPr>
                <w:rFonts w:hint="eastAsia" w:ascii="宋体" w:hAnsi="宋体" w:eastAsia="宋体" w:cs="宋体"/>
                <w:color w:val="auto"/>
                <w:sz w:val="18"/>
                <w:szCs w:val="18"/>
              </w:rPr>
              <w:t>）______千元</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11</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______千元</w:t>
            </w:r>
            <w:r>
              <w:rPr>
                <w:rFonts w:hint="eastAsia" w:ascii="宋体" w:hAnsi="宋体" w:eastAsia="宋体" w:cs="宋体"/>
                <w:color w:val="auto"/>
                <w:sz w:val="18"/>
                <w:szCs w:val="18"/>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9522" w:type="dxa"/>
            <w:gridSpan w:val="5"/>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二、建筑业数字</w:t>
            </w:r>
            <w:r>
              <w:rPr>
                <w:rFonts w:hint="eastAsia" w:ascii="宋体" w:hAnsi="宋体" w:eastAsia="宋体" w:cs="宋体"/>
                <w:color w:val="auto"/>
                <w:sz w:val="18"/>
                <w:szCs w:val="18"/>
                <w:lang w:eastAsia="zh-CN"/>
              </w:rPr>
              <w:t>经济</w:t>
            </w:r>
            <w:r>
              <w:rPr>
                <w:rFonts w:hint="eastAsia" w:ascii="宋体" w:hAnsi="宋体" w:eastAsia="宋体" w:cs="宋体"/>
                <w:color w:val="auto"/>
                <w:sz w:val="18"/>
                <w:szCs w:val="18"/>
              </w:rPr>
              <w:t>情况（建筑业</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338"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0</w:t>
            </w:r>
            <w:r>
              <w:rPr>
                <w:rFonts w:hint="eastAsia" w:ascii="宋体" w:hAnsi="宋体" w:cs="宋体"/>
                <w:color w:val="auto"/>
                <w:sz w:val="18"/>
                <w:szCs w:val="18"/>
                <w:lang w:val="en-US" w:eastAsia="zh-CN"/>
              </w:rPr>
              <w:t>3</w:t>
            </w:r>
          </w:p>
        </w:tc>
        <w:tc>
          <w:tcPr>
            <w:tcW w:w="9184" w:type="dxa"/>
            <w:gridSpan w:val="4"/>
            <w:tcBorders>
              <w:top w:val="single" w:color="auto" w:sz="4" w:space="0"/>
            </w:tcBorders>
            <w:noWrap w:val="0"/>
            <w:vAlign w:val="top"/>
          </w:tcPr>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highlight w:val="lightGray"/>
              </w:rPr>
            </w:pPr>
            <w:r>
              <w:rPr>
                <w:rFonts w:hint="eastAsia" w:ascii="宋体" w:hAnsi="宋体" w:eastAsia="宋体" w:cs="宋体"/>
                <w:color w:val="auto"/>
                <w:sz w:val="18"/>
                <w:szCs w:val="18"/>
              </w:rPr>
              <w:t>本年新签合同金额（</w:t>
            </w:r>
            <w:r>
              <w:rPr>
                <w:rFonts w:hint="eastAsia" w:ascii="宋体" w:hAnsi="宋体" w:cs="宋体"/>
                <w:color w:val="auto"/>
                <w:sz w:val="18"/>
                <w:szCs w:val="18"/>
                <w:lang w:val="en-US" w:eastAsia="zh-CN"/>
              </w:rPr>
              <w:t>12</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______千元</w:t>
            </w:r>
            <w:r>
              <w:rPr>
                <w:rFonts w:hint="eastAsia" w:ascii="宋体" w:hAnsi="宋体" w:eastAsia="宋体" w:cs="宋体"/>
                <w:color w:val="auto"/>
                <w:sz w:val="18"/>
                <w:szCs w:val="18"/>
                <w:highlight w:val="none"/>
              </w:rPr>
              <w:t>。</w:t>
            </w:r>
          </w:p>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 xml:space="preserve">  其中：新签智能建造工程项目合同额（</w:t>
            </w:r>
            <w:r>
              <w:rPr>
                <w:rFonts w:hint="eastAsia" w:ascii="宋体" w:hAnsi="宋体" w:cs="宋体"/>
                <w:color w:val="auto"/>
                <w:sz w:val="18"/>
                <w:szCs w:val="18"/>
                <w:lang w:val="en-US" w:eastAsia="zh-CN"/>
              </w:rPr>
              <w:t>13</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______千元</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14</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highlight w:val="none"/>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jc w:val="center"/>
        </w:trPr>
        <w:tc>
          <w:tcPr>
            <w:tcW w:w="33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0</w:t>
            </w:r>
            <w:r>
              <w:rPr>
                <w:rFonts w:hint="eastAsia" w:ascii="宋体" w:hAnsi="宋体" w:cs="宋体"/>
                <w:color w:val="auto"/>
                <w:sz w:val="18"/>
                <w:szCs w:val="18"/>
                <w:lang w:val="en-US" w:eastAsia="zh-CN"/>
              </w:rPr>
              <w:t>4</w:t>
            </w:r>
          </w:p>
        </w:tc>
        <w:tc>
          <w:tcPr>
            <w:tcW w:w="9184" w:type="dxa"/>
            <w:gridSpan w:val="4"/>
            <w:noWrap w:val="0"/>
            <w:vAlign w:val="top"/>
          </w:tcPr>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rPr>
              <w:t>本年建筑业</w:t>
            </w:r>
            <w:r>
              <w:rPr>
                <w:rFonts w:hint="eastAsia" w:ascii="宋体" w:hAnsi="宋体" w:eastAsia="宋体" w:cs="宋体"/>
                <w:color w:val="auto"/>
                <w:sz w:val="18"/>
                <w:szCs w:val="18"/>
                <w:lang w:eastAsia="zh-CN"/>
              </w:rPr>
              <w:t>总</w:t>
            </w:r>
            <w:r>
              <w:rPr>
                <w:rFonts w:hint="eastAsia" w:ascii="宋体" w:hAnsi="宋体" w:eastAsia="宋体" w:cs="宋体"/>
                <w:color w:val="auto"/>
                <w:sz w:val="18"/>
                <w:szCs w:val="18"/>
              </w:rPr>
              <w:t>产值（</w:t>
            </w:r>
            <w:r>
              <w:rPr>
                <w:rFonts w:hint="eastAsia" w:ascii="宋体" w:hAnsi="宋体" w:cs="宋体"/>
                <w:color w:val="auto"/>
                <w:sz w:val="18"/>
                <w:szCs w:val="18"/>
                <w:lang w:val="en-US" w:eastAsia="zh-CN"/>
              </w:rPr>
              <w:t>15</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______千元</w:t>
            </w:r>
            <w:r>
              <w:rPr>
                <w:rFonts w:hint="eastAsia" w:ascii="宋体" w:hAnsi="宋体" w:eastAsia="宋体" w:cs="宋体"/>
                <w:color w:val="auto"/>
                <w:sz w:val="18"/>
                <w:szCs w:val="18"/>
                <w:highlight w:val="none"/>
              </w:rPr>
              <w:t>。</w:t>
            </w:r>
          </w:p>
          <w:p>
            <w:pPr>
              <w:keepNext w:val="0"/>
              <w:keepLines w:val="0"/>
              <w:pageBreakBefore w:val="0"/>
              <w:widowControl w:val="0"/>
              <w:kinsoku/>
              <w:wordWrap/>
              <w:overflowPunct/>
              <w:topLinePunct w:val="0"/>
              <w:autoSpaceDE/>
              <w:autoSpaceDN/>
              <w:bidi w:val="0"/>
              <w:adjustRightInd w:val="0"/>
              <w:snapToGrid w:val="0"/>
              <w:spacing w:line="260" w:lineRule="exact"/>
              <w:ind w:firstLine="180" w:firstLineChars="10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其中</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用于网络基础设施、新技术基础设施、算力基础设施建设</w:t>
            </w:r>
            <w:r>
              <w:rPr>
                <w:rFonts w:hint="eastAsia" w:ascii="宋体" w:hAnsi="宋体" w:eastAsia="宋体" w:cs="宋体"/>
                <w:color w:val="auto"/>
                <w:sz w:val="18"/>
                <w:szCs w:val="18"/>
                <w:lang w:eastAsia="zh-CN"/>
              </w:rPr>
              <w:t>总</w:t>
            </w:r>
            <w:r>
              <w:rPr>
                <w:rFonts w:hint="eastAsia" w:ascii="宋体" w:hAnsi="宋体" w:eastAsia="宋体" w:cs="宋体"/>
                <w:color w:val="auto"/>
                <w:sz w:val="18"/>
                <w:szCs w:val="18"/>
              </w:rPr>
              <w:t>产值（</w:t>
            </w:r>
            <w:r>
              <w:rPr>
                <w:rFonts w:hint="eastAsia" w:ascii="宋体" w:hAnsi="宋体" w:cs="宋体"/>
                <w:color w:val="auto"/>
                <w:sz w:val="18"/>
                <w:szCs w:val="18"/>
                <w:lang w:val="en-US" w:eastAsia="zh-CN"/>
              </w:rPr>
              <w:t>16</w:t>
            </w:r>
            <w:r>
              <w:rPr>
                <w:rFonts w:hint="eastAsia" w:ascii="宋体" w:hAnsi="宋体" w:eastAsia="宋体" w:cs="宋体"/>
                <w:color w:val="auto"/>
                <w:sz w:val="18"/>
                <w:szCs w:val="18"/>
              </w:rPr>
              <w:t>）______千元</w:t>
            </w:r>
            <w:r>
              <w:rPr>
                <w:rFonts w:hint="eastAsia" w:ascii="宋体" w:hAnsi="宋体" w:eastAsia="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17</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行业代码为4851、4910的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r>
              <w:rPr>
                <w:rFonts w:hint="eastAsia" w:ascii="宋体" w:hAnsi="宋体" w:cs="宋体"/>
                <w:color w:val="auto"/>
                <w:sz w:val="18"/>
                <w:szCs w:val="18"/>
                <w:lang w:eastAsia="zh-CN"/>
              </w:rPr>
              <w:t>，</w:t>
            </w:r>
          </w:p>
          <w:p>
            <w:pPr>
              <w:keepNext w:val="0"/>
              <w:keepLines w:val="0"/>
              <w:pageBreakBefore w:val="0"/>
              <w:widowControl w:val="0"/>
              <w:kinsoku/>
              <w:wordWrap/>
              <w:overflowPunct/>
              <w:topLinePunct w:val="0"/>
              <w:autoSpaceDE/>
              <w:autoSpaceDN/>
              <w:bidi w:val="0"/>
              <w:adjustRightInd w:val="0"/>
              <w:snapToGrid w:val="0"/>
              <w:spacing w:line="260" w:lineRule="exact"/>
              <w:ind w:firstLine="180" w:firstLineChars="10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算力基础设施建设</w:t>
            </w:r>
            <w:r>
              <w:rPr>
                <w:rFonts w:hint="eastAsia" w:ascii="宋体" w:hAnsi="宋体" w:eastAsia="宋体" w:cs="宋体"/>
                <w:color w:val="auto"/>
                <w:sz w:val="18"/>
                <w:szCs w:val="18"/>
                <w:lang w:eastAsia="zh-CN"/>
              </w:rPr>
              <w:t>总</w:t>
            </w:r>
            <w:r>
              <w:rPr>
                <w:rFonts w:hint="eastAsia" w:ascii="宋体" w:hAnsi="宋体" w:eastAsia="宋体" w:cs="宋体"/>
                <w:color w:val="auto"/>
                <w:sz w:val="18"/>
                <w:szCs w:val="18"/>
              </w:rPr>
              <w:t>产值（</w:t>
            </w:r>
            <w:r>
              <w:rPr>
                <w:rFonts w:hint="eastAsia" w:ascii="宋体" w:hAnsi="宋体" w:cs="宋体"/>
                <w:color w:val="auto"/>
                <w:sz w:val="18"/>
                <w:szCs w:val="18"/>
                <w:lang w:val="en-US" w:eastAsia="zh-CN"/>
              </w:rPr>
              <w:t>18</w:t>
            </w:r>
            <w:r>
              <w:rPr>
                <w:rFonts w:hint="eastAsia" w:ascii="宋体" w:hAnsi="宋体" w:eastAsia="宋体" w:cs="宋体"/>
                <w:color w:val="auto"/>
                <w:sz w:val="18"/>
                <w:szCs w:val="18"/>
              </w:rPr>
              <w:t>）______千元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19</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行业代码为4790、4999的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9522" w:type="dxa"/>
            <w:gridSpan w:val="5"/>
            <w:tcBorders>
              <w:bottom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三、批发和零售业数字经济情况（批发和零售业</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338" w:type="dxa"/>
            <w:tcBorders>
              <w:top w:val="single" w:color="auto" w:sz="2" w:space="0"/>
              <w:bottom w:val="single" w:color="auto" w:sz="2" w:space="0"/>
              <w:right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0</w:t>
            </w:r>
            <w:r>
              <w:rPr>
                <w:rFonts w:hint="eastAsia" w:ascii="宋体" w:hAnsi="宋体" w:cs="宋体"/>
                <w:color w:val="auto"/>
                <w:sz w:val="18"/>
                <w:szCs w:val="18"/>
                <w:lang w:val="en-US" w:eastAsia="zh-CN"/>
              </w:rPr>
              <w:t>5</w:t>
            </w:r>
          </w:p>
        </w:tc>
        <w:tc>
          <w:tcPr>
            <w:tcW w:w="9184" w:type="dxa"/>
            <w:gridSpan w:val="4"/>
            <w:tcBorders>
              <w:top w:val="single" w:color="auto" w:sz="2" w:space="0"/>
              <w:left w:val="single" w:color="auto" w:sz="2" w:space="0"/>
              <w:bottom w:val="single" w:color="auto" w:sz="2" w:space="0"/>
            </w:tcBorders>
            <w:noWrap w:val="0"/>
            <w:vAlign w:val="top"/>
          </w:tcPr>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highlight w:val="lightGray"/>
              </w:rPr>
            </w:pPr>
            <w:r>
              <w:rPr>
                <w:rFonts w:hint="eastAsia" w:ascii="宋体" w:hAnsi="宋体" w:eastAsia="宋体" w:cs="宋体"/>
                <w:color w:val="auto"/>
                <w:sz w:val="18"/>
                <w:szCs w:val="18"/>
              </w:rPr>
              <w:t>本年商品销售额（</w:t>
            </w:r>
            <w:r>
              <w:rPr>
                <w:rFonts w:hint="eastAsia" w:ascii="宋体" w:hAnsi="宋体" w:cs="宋体"/>
                <w:color w:val="auto"/>
                <w:sz w:val="18"/>
                <w:szCs w:val="18"/>
                <w:lang w:val="en-US" w:eastAsia="zh-CN"/>
              </w:rPr>
              <w:t>20</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______千元</w:t>
            </w:r>
            <w:r>
              <w:rPr>
                <w:rFonts w:hint="eastAsia" w:ascii="宋体" w:hAnsi="宋体" w:eastAsia="宋体" w:cs="宋体"/>
                <w:color w:val="auto"/>
                <w:sz w:val="18"/>
                <w:szCs w:val="18"/>
                <w:highlight w:val="none"/>
              </w:rPr>
              <w:t>。</w:t>
            </w:r>
          </w:p>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 xml:space="preserve">  </w:t>
            </w:r>
            <w:r>
              <w:rPr>
                <w:rFonts w:hint="eastAsia" w:ascii="宋体" w:hAnsi="宋体" w:cs="宋体"/>
                <w:color w:val="auto"/>
                <w:sz w:val="18"/>
                <w:szCs w:val="18"/>
              </w:rPr>
              <w:t>其中：在商品流通环节中有</w:t>
            </w:r>
            <w:r>
              <w:rPr>
                <w:rFonts w:hint="eastAsia" w:ascii="宋体" w:hAnsi="宋体" w:cs="宋体"/>
                <w:color w:val="auto"/>
                <w:sz w:val="18"/>
                <w:szCs w:val="18"/>
                <w:lang w:eastAsia="zh-CN"/>
              </w:rPr>
              <w:t>云计算、物联网和人工智能等</w:t>
            </w:r>
            <w:r>
              <w:rPr>
                <w:rFonts w:hint="eastAsia" w:ascii="宋体" w:hAnsi="宋体" w:cs="宋体"/>
                <w:color w:val="auto"/>
                <w:sz w:val="18"/>
                <w:szCs w:val="18"/>
              </w:rPr>
              <w:t>数字化、信息化技术适度参与的批发零售活动（如</w:t>
            </w:r>
            <w:r>
              <w:rPr>
                <w:rFonts w:hint="eastAsia" w:ascii="宋体" w:hAnsi="宋体" w:cs="宋体"/>
                <w:color w:val="auto"/>
                <w:sz w:val="18"/>
                <w:szCs w:val="18"/>
                <w:lang w:eastAsia="zh-CN"/>
              </w:rPr>
              <w:t>通过互联网和</w:t>
            </w:r>
            <w:r>
              <w:rPr>
                <w:rFonts w:hint="eastAsia" w:ascii="宋体" w:hAnsi="宋体" w:cs="宋体"/>
                <w:color w:val="auto"/>
                <w:sz w:val="18"/>
                <w:szCs w:val="18"/>
                <w:lang w:val="en-US" w:eastAsia="zh-CN"/>
              </w:rPr>
              <w:t>APP实现的销售、</w:t>
            </w:r>
            <w:r>
              <w:rPr>
                <w:rFonts w:hint="eastAsia" w:ascii="宋体" w:hAnsi="宋体" w:cs="宋体"/>
                <w:color w:val="auto"/>
                <w:sz w:val="18"/>
                <w:szCs w:val="18"/>
              </w:rPr>
              <w:t>无人店铺零售等）实现的商品销售额（</w:t>
            </w:r>
            <w:r>
              <w:rPr>
                <w:rFonts w:hint="eastAsia" w:ascii="宋体" w:hAnsi="宋体" w:cs="宋体"/>
                <w:color w:val="auto"/>
                <w:sz w:val="18"/>
                <w:szCs w:val="18"/>
                <w:lang w:val="en-US" w:eastAsia="zh-CN"/>
              </w:rPr>
              <w:t>21</w:t>
            </w:r>
            <w:r>
              <w:rPr>
                <w:rFonts w:hint="eastAsia" w:ascii="宋体" w:hAnsi="宋体" w:cs="宋体"/>
                <w:color w:val="auto"/>
                <w:sz w:val="18"/>
                <w:szCs w:val="18"/>
              </w:rPr>
              <w:t>）______千元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22</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cs="宋体"/>
                <w:color w:val="auto"/>
                <w:sz w:val="18"/>
                <w:szCs w:val="18"/>
                <w:lang w:eastAsia="zh-CN"/>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jc w:val="center"/>
        </w:trPr>
        <w:tc>
          <w:tcPr>
            <w:tcW w:w="9522" w:type="dxa"/>
            <w:gridSpan w:val="5"/>
            <w:tcBorders>
              <w:top w:val="single" w:color="auto" w:sz="2" w:space="0"/>
              <w:bottom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四、住宿和餐饮业数字经济情况（住宿和餐饮业</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PrEx>
        <w:trPr>
          <w:jc w:val="center"/>
        </w:trPr>
        <w:tc>
          <w:tcPr>
            <w:tcW w:w="338" w:type="dxa"/>
            <w:tcBorders>
              <w:top w:val="single" w:color="auto" w:sz="2" w:space="0"/>
              <w:bottom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0</w:t>
            </w:r>
            <w:r>
              <w:rPr>
                <w:rFonts w:hint="eastAsia" w:ascii="宋体" w:hAnsi="宋体" w:cs="宋体"/>
                <w:color w:val="auto"/>
                <w:sz w:val="18"/>
                <w:szCs w:val="18"/>
                <w:lang w:val="en-US" w:eastAsia="zh-CN"/>
              </w:rPr>
              <w:t>6</w:t>
            </w:r>
          </w:p>
        </w:tc>
        <w:tc>
          <w:tcPr>
            <w:tcW w:w="9184" w:type="dxa"/>
            <w:gridSpan w:val="4"/>
            <w:tcBorders>
              <w:top w:val="single" w:color="auto" w:sz="2" w:space="0"/>
              <w:bottom w:val="single" w:color="auto" w:sz="2" w:space="0"/>
            </w:tcBorders>
            <w:noWrap w:val="0"/>
            <w:vAlign w:val="top"/>
          </w:tcPr>
          <w:p>
            <w:pPr>
              <w:keepNext w:val="0"/>
              <w:keepLines w:val="0"/>
              <w:pageBreakBefore w:val="0"/>
              <w:widowControl w:val="0"/>
              <w:kinsoku/>
              <w:wordWrap/>
              <w:overflowPunct/>
              <w:topLinePunct w:val="0"/>
              <w:autoSpaceDE/>
              <w:autoSpaceDN/>
              <w:bidi w:val="0"/>
              <w:adjustRightInd w:val="0"/>
              <w:snapToGrid w:val="0"/>
              <w:spacing w:line="26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本年营业额（</w:t>
            </w:r>
            <w:r>
              <w:rPr>
                <w:rFonts w:hint="eastAsia" w:ascii="宋体" w:hAnsi="宋体" w:cs="宋体"/>
                <w:color w:val="auto"/>
                <w:sz w:val="18"/>
                <w:szCs w:val="18"/>
                <w:lang w:val="en-US" w:eastAsia="zh-CN"/>
              </w:rPr>
              <w:t>23</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_______千元</w:t>
            </w:r>
            <w:r>
              <w:rPr>
                <w:rFonts w:hint="eastAsia" w:ascii="宋体" w:hAnsi="宋体" w:eastAsia="宋体" w:cs="宋体"/>
                <w:color w:val="auto"/>
                <w:sz w:val="18"/>
                <w:szCs w:val="18"/>
                <w:highlight w:val="none"/>
              </w:rPr>
              <w:t>。</w:t>
            </w:r>
          </w:p>
          <w:p>
            <w:pPr>
              <w:adjustRightInd w:val="0"/>
              <w:snapToGrid w:val="0"/>
              <w:spacing w:line="260" w:lineRule="exact"/>
              <w:rPr>
                <w:rFonts w:hint="eastAsia" w:ascii="宋体" w:hAnsi="宋体" w:eastAsia="宋体" w:cs="宋体"/>
                <w:color w:val="auto"/>
                <w:kern w:val="0"/>
                <w:sz w:val="18"/>
                <w:szCs w:val="18"/>
                <w:lang w:val="en" w:eastAsia="zh-CN"/>
              </w:rPr>
            </w:pPr>
            <w:r>
              <w:rPr>
                <w:rFonts w:hint="eastAsia" w:ascii="宋体" w:hAnsi="宋体" w:eastAsia="宋体" w:cs="宋体"/>
                <w:color w:val="auto"/>
                <w:kern w:val="0"/>
                <w:sz w:val="18"/>
                <w:szCs w:val="18"/>
              </w:rPr>
              <w:t xml:space="preserve">  </w:t>
            </w:r>
            <w:r>
              <w:rPr>
                <w:rFonts w:hint="eastAsia" w:ascii="宋体" w:hAnsi="宋体" w:cs="宋体"/>
                <w:color w:val="auto"/>
                <w:kern w:val="0"/>
                <w:sz w:val="18"/>
                <w:szCs w:val="18"/>
              </w:rPr>
              <w:t>其中：利用</w:t>
            </w:r>
            <w:r>
              <w:rPr>
                <w:rFonts w:hint="eastAsia" w:ascii="宋体" w:hAnsi="宋体" w:cs="宋体"/>
                <w:color w:val="auto"/>
                <w:sz w:val="18"/>
                <w:szCs w:val="18"/>
                <w:lang w:eastAsia="zh-CN"/>
              </w:rPr>
              <w:t>互联网、云计算、物联网、</w:t>
            </w:r>
            <w:r>
              <w:rPr>
                <w:rFonts w:hint="eastAsia" w:ascii="宋体" w:hAnsi="宋体" w:cs="宋体"/>
                <w:color w:val="auto"/>
                <w:kern w:val="0"/>
                <w:sz w:val="18"/>
                <w:szCs w:val="18"/>
              </w:rPr>
              <w:t>人工智能、VR/AR等</w:t>
            </w:r>
            <w:r>
              <w:rPr>
                <w:rFonts w:hint="eastAsia" w:ascii="宋体" w:hAnsi="宋体" w:cs="宋体"/>
                <w:color w:val="auto"/>
                <w:sz w:val="18"/>
                <w:szCs w:val="18"/>
              </w:rPr>
              <w:t>数字化、</w:t>
            </w:r>
            <w:r>
              <w:rPr>
                <w:rFonts w:hint="eastAsia" w:ascii="宋体" w:hAnsi="宋体" w:cs="宋体"/>
                <w:color w:val="auto"/>
                <w:kern w:val="0"/>
                <w:sz w:val="18"/>
                <w:szCs w:val="18"/>
              </w:rPr>
              <w:t>信息化技术开展的现代住宿活动</w:t>
            </w:r>
            <w:r>
              <w:rPr>
                <w:rFonts w:hint="eastAsia" w:ascii="宋体" w:hAnsi="宋体" w:cs="宋体"/>
                <w:color w:val="auto"/>
                <w:sz w:val="18"/>
                <w:szCs w:val="18"/>
              </w:rPr>
              <w:t>（如</w:t>
            </w:r>
            <w:r>
              <w:rPr>
                <w:rFonts w:hint="eastAsia" w:ascii="宋体" w:hAnsi="宋体" w:cs="宋体"/>
                <w:color w:val="auto"/>
                <w:sz w:val="18"/>
                <w:szCs w:val="18"/>
                <w:lang w:eastAsia="zh-CN"/>
              </w:rPr>
              <w:t>通过互联网和</w:t>
            </w:r>
            <w:r>
              <w:rPr>
                <w:rFonts w:hint="eastAsia" w:ascii="宋体" w:hAnsi="宋体" w:cs="宋体"/>
                <w:color w:val="auto"/>
                <w:sz w:val="18"/>
                <w:szCs w:val="18"/>
                <w:lang w:val="en-US" w:eastAsia="zh-CN"/>
              </w:rPr>
              <w:t>APP实现的住宿服务</w:t>
            </w:r>
            <w:r>
              <w:rPr>
                <w:rFonts w:hint="eastAsia" w:ascii="宋体" w:hAnsi="宋体" w:cs="宋体"/>
                <w:color w:val="auto"/>
                <w:sz w:val="18"/>
                <w:szCs w:val="18"/>
              </w:rPr>
              <w:t>等）</w:t>
            </w:r>
            <w:r>
              <w:rPr>
                <w:rFonts w:hint="eastAsia" w:ascii="宋体" w:hAnsi="宋体" w:cs="宋体"/>
                <w:color w:val="auto"/>
                <w:kern w:val="0"/>
                <w:sz w:val="18"/>
                <w:szCs w:val="18"/>
              </w:rPr>
              <w:t>实现的营业额（</w:t>
            </w:r>
            <w:r>
              <w:rPr>
                <w:rFonts w:hint="eastAsia" w:ascii="宋体" w:hAnsi="宋体" w:cs="宋体"/>
                <w:color w:val="auto"/>
                <w:kern w:val="0"/>
                <w:sz w:val="18"/>
                <w:szCs w:val="18"/>
                <w:lang w:val="en-US" w:eastAsia="zh-CN"/>
              </w:rPr>
              <w:t>24</w:t>
            </w:r>
            <w:r>
              <w:rPr>
                <w:rFonts w:hint="eastAsia" w:ascii="宋体" w:hAnsi="宋体" w:cs="宋体"/>
                <w:color w:val="auto"/>
                <w:kern w:val="0"/>
                <w:sz w:val="18"/>
                <w:szCs w:val="18"/>
              </w:rPr>
              <w:t>）</w:t>
            </w:r>
            <w:r>
              <w:rPr>
                <w:rFonts w:hint="eastAsia" w:ascii="宋体" w:hAnsi="宋体" w:cs="宋体"/>
                <w:color w:val="auto"/>
                <w:sz w:val="18"/>
                <w:szCs w:val="18"/>
              </w:rPr>
              <w:t>______</w:t>
            </w:r>
            <w:r>
              <w:rPr>
                <w:rFonts w:hint="eastAsia" w:ascii="宋体" w:hAnsi="宋体" w:cs="宋体"/>
                <w:color w:val="auto"/>
                <w:kern w:val="0"/>
                <w:sz w:val="18"/>
                <w:szCs w:val="18"/>
              </w:rPr>
              <w:t>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25</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cs="宋体"/>
                <w:color w:val="auto"/>
                <w:kern w:val="0"/>
                <w:sz w:val="18"/>
                <w:szCs w:val="18"/>
                <w:lang w:eastAsia="zh-CN"/>
              </w:rPr>
              <w:t>，</w:t>
            </w:r>
          </w:p>
          <w:p>
            <w:pPr>
              <w:pStyle w:val="2"/>
              <w:keepNext w:val="0"/>
              <w:keepLines w:val="0"/>
              <w:pageBreakBefore w:val="0"/>
              <w:widowControl w:val="0"/>
              <w:kinsoku/>
              <w:wordWrap/>
              <w:overflowPunct/>
              <w:topLinePunct w:val="0"/>
              <w:autoSpaceDE/>
              <w:autoSpaceDN/>
              <w:bidi w:val="0"/>
              <w:snapToGrid w:val="0"/>
              <w:spacing w:after="0" w:line="260" w:lineRule="exact"/>
              <w:ind w:left="0" w:leftChars="0" w:firstLine="0" w:firstLineChars="0"/>
              <w:textAlignment w:val="auto"/>
              <w:rPr>
                <w:rFonts w:hint="eastAsia" w:ascii="宋体" w:hAnsi="宋体" w:eastAsia="宋体" w:cs="宋体"/>
                <w:color w:val="auto"/>
                <w:sz w:val="18"/>
                <w:szCs w:val="18"/>
                <w:lang w:eastAsia="zh-CN"/>
              </w:rPr>
            </w:pPr>
            <w:r>
              <w:rPr>
                <w:rFonts w:hint="eastAsia" w:ascii="宋体" w:hAnsi="宋体" w:cs="宋体"/>
                <w:color w:val="auto"/>
                <w:kern w:val="0"/>
                <w:sz w:val="18"/>
                <w:szCs w:val="18"/>
              </w:rPr>
              <w:t xml:space="preserve">        利用</w:t>
            </w:r>
            <w:r>
              <w:rPr>
                <w:rFonts w:hint="eastAsia" w:ascii="宋体" w:hAnsi="宋体" w:cs="宋体"/>
                <w:color w:val="auto"/>
                <w:sz w:val="18"/>
                <w:szCs w:val="18"/>
                <w:lang w:eastAsia="zh-CN"/>
              </w:rPr>
              <w:t>互联网、云计算、物联网、</w:t>
            </w:r>
            <w:r>
              <w:rPr>
                <w:rFonts w:hint="eastAsia" w:ascii="宋体" w:hAnsi="宋体" w:cs="宋体"/>
                <w:color w:val="auto"/>
                <w:kern w:val="0"/>
                <w:sz w:val="18"/>
                <w:szCs w:val="18"/>
              </w:rPr>
              <w:t>人工智能、VR/AR等</w:t>
            </w:r>
            <w:r>
              <w:rPr>
                <w:rFonts w:hint="eastAsia" w:ascii="宋体" w:hAnsi="宋体" w:cs="宋体"/>
                <w:color w:val="auto"/>
                <w:sz w:val="18"/>
                <w:szCs w:val="18"/>
              </w:rPr>
              <w:t>数字化、</w:t>
            </w:r>
            <w:r>
              <w:rPr>
                <w:rFonts w:hint="eastAsia" w:ascii="宋体" w:hAnsi="宋体" w:cs="宋体"/>
                <w:color w:val="auto"/>
                <w:kern w:val="0"/>
                <w:sz w:val="18"/>
                <w:szCs w:val="18"/>
              </w:rPr>
              <w:t>信息化技术开展的现代</w:t>
            </w:r>
            <w:r>
              <w:rPr>
                <w:rFonts w:hint="eastAsia" w:ascii="宋体" w:hAnsi="宋体" w:cs="宋体"/>
                <w:color w:val="auto"/>
                <w:kern w:val="0"/>
                <w:sz w:val="18"/>
                <w:szCs w:val="18"/>
                <w:lang w:eastAsia="zh-CN"/>
              </w:rPr>
              <w:t>餐饮</w:t>
            </w:r>
            <w:r>
              <w:rPr>
                <w:rFonts w:hint="eastAsia" w:ascii="宋体" w:hAnsi="宋体" w:cs="宋体"/>
                <w:color w:val="auto"/>
                <w:kern w:val="0"/>
                <w:sz w:val="18"/>
                <w:szCs w:val="18"/>
              </w:rPr>
              <w:t>活动</w:t>
            </w:r>
            <w:r>
              <w:rPr>
                <w:rFonts w:hint="eastAsia" w:ascii="宋体" w:hAnsi="宋体" w:cs="宋体"/>
                <w:color w:val="auto"/>
                <w:sz w:val="18"/>
                <w:szCs w:val="18"/>
              </w:rPr>
              <w:t>（如</w:t>
            </w:r>
            <w:r>
              <w:rPr>
                <w:rFonts w:hint="eastAsia" w:ascii="宋体" w:hAnsi="宋体" w:cs="宋体"/>
                <w:color w:val="auto"/>
                <w:sz w:val="18"/>
                <w:szCs w:val="18"/>
                <w:lang w:eastAsia="zh-CN"/>
              </w:rPr>
              <w:t>通过互联网和</w:t>
            </w:r>
            <w:r>
              <w:rPr>
                <w:rFonts w:hint="eastAsia" w:ascii="宋体" w:hAnsi="宋体" w:cs="宋体"/>
                <w:color w:val="auto"/>
                <w:sz w:val="18"/>
                <w:szCs w:val="18"/>
                <w:lang w:val="en-US" w:eastAsia="zh-CN"/>
              </w:rPr>
              <w:t>APP实现的餐饮服务</w:t>
            </w:r>
            <w:r>
              <w:rPr>
                <w:rFonts w:hint="eastAsia" w:ascii="宋体" w:hAnsi="宋体" w:cs="宋体"/>
                <w:color w:val="auto"/>
                <w:sz w:val="18"/>
                <w:szCs w:val="18"/>
              </w:rPr>
              <w:t>等）</w:t>
            </w:r>
            <w:r>
              <w:rPr>
                <w:rFonts w:hint="eastAsia" w:ascii="宋体" w:hAnsi="宋体" w:cs="宋体"/>
                <w:color w:val="auto"/>
                <w:kern w:val="0"/>
                <w:sz w:val="18"/>
                <w:szCs w:val="18"/>
              </w:rPr>
              <w:t>实现的营业额（</w:t>
            </w:r>
            <w:r>
              <w:rPr>
                <w:rFonts w:hint="eastAsia" w:ascii="宋体" w:hAnsi="宋体" w:cs="宋体"/>
                <w:color w:val="auto"/>
                <w:kern w:val="0"/>
                <w:sz w:val="18"/>
                <w:szCs w:val="18"/>
                <w:lang w:val="en-US" w:eastAsia="zh-CN"/>
              </w:rPr>
              <w:t>26</w:t>
            </w:r>
            <w:r>
              <w:rPr>
                <w:rFonts w:hint="eastAsia" w:ascii="宋体" w:hAnsi="宋体" w:cs="宋体"/>
                <w:color w:val="auto"/>
                <w:kern w:val="0"/>
                <w:sz w:val="18"/>
                <w:szCs w:val="18"/>
              </w:rPr>
              <w:t>）</w:t>
            </w:r>
            <w:r>
              <w:rPr>
                <w:rFonts w:hint="eastAsia" w:ascii="宋体" w:hAnsi="宋体" w:cs="宋体"/>
                <w:color w:val="auto"/>
                <w:sz w:val="18"/>
                <w:szCs w:val="18"/>
              </w:rPr>
              <w:t>______</w:t>
            </w:r>
            <w:r>
              <w:rPr>
                <w:rFonts w:hint="eastAsia" w:ascii="宋体" w:hAnsi="宋体" w:cs="宋体"/>
                <w:color w:val="auto"/>
                <w:kern w:val="0"/>
                <w:sz w:val="18"/>
                <w:szCs w:val="18"/>
              </w:rPr>
              <w:t>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27</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cs="宋体"/>
                <w:color w:val="auto"/>
                <w:kern w:val="0"/>
                <w:sz w:val="18"/>
                <w:szCs w:val="18"/>
                <w:lang w:eastAsia="zh-CN"/>
              </w:rPr>
              <w:t>。</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50" w:hRule="atLeast"/>
          <w:jc w:val="center"/>
        </w:trPr>
        <w:tc>
          <w:tcPr>
            <w:tcW w:w="9522" w:type="dxa"/>
            <w:gridSpan w:val="5"/>
            <w:tcBorders>
              <w:top w:val="single" w:color="auto" w:sz="2" w:space="0"/>
              <w:bottom w:val="single" w:color="auto" w:sz="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五、服务业数字经济情况（服务业</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p>
        </w:tc>
      </w:tr>
      <w:tr>
        <w:tblPrEx>
          <w:tblBorders>
            <w:top w:val="single" w:color="auto" w:sz="8" w:space="0"/>
            <w:left w:val="none" w:color="auto" w:sz="0" w:space="0"/>
            <w:bottom w:val="single" w:color="auto" w:sz="2"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206" w:hRule="atLeast"/>
          <w:jc w:val="center"/>
        </w:trPr>
        <w:tc>
          <w:tcPr>
            <w:tcW w:w="338" w:type="dxa"/>
            <w:tcBorders>
              <w:top w:val="single" w:color="auto" w:sz="2" w:space="0"/>
              <w:bottom w:val="single" w:color="auto"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0</w:t>
            </w:r>
            <w:r>
              <w:rPr>
                <w:rFonts w:hint="eastAsia" w:ascii="宋体" w:hAnsi="宋体" w:cs="宋体"/>
                <w:color w:val="auto"/>
                <w:sz w:val="18"/>
                <w:szCs w:val="18"/>
                <w:lang w:val="en-US" w:eastAsia="zh-CN"/>
              </w:rPr>
              <w:t>7</w:t>
            </w:r>
          </w:p>
        </w:tc>
        <w:tc>
          <w:tcPr>
            <w:tcW w:w="9184" w:type="dxa"/>
            <w:gridSpan w:val="4"/>
            <w:tcBorders>
              <w:top w:val="single" w:color="auto" w:sz="2" w:space="0"/>
              <w:bottom w:val="single" w:color="auto" w:sz="8" w:space="0"/>
            </w:tcBorders>
            <w:noWrap w:val="0"/>
            <w:vAlign w:val="top"/>
          </w:tcPr>
          <w:p>
            <w:pPr>
              <w:pStyle w:val="2"/>
              <w:keepNext w:val="0"/>
              <w:keepLines w:val="0"/>
              <w:pageBreakBefore w:val="0"/>
              <w:widowControl w:val="0"/>
              <w:kinsoku/>
              <w:wordWrap/>
              <w:overflowPunct/>
              <w:topLinePunct w:val="0"/>
              <w:autoSpaceDE/>
              <w:autoSpaceDN/>
              <w:bidi w:val="0"/>
              <w:snapToGrid w:val="0"/>
              <w:spacing w:after="0" w:line="260" w:lineRule="exact"/>
              <w:ind w:left="0" w:leftChars="0" w:firstLine="0" w:firstLineChars="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本</w:t>
            </w:r>
            <w:r>
              <w:rPr>
                <w:rFonts w:hint="eastAsia" w:ascii="宋体" w:hAnsi="宋体" w:eastAsia="宋体" w:cs="宋体"/>
                <w:color w:val="auto"/>
                <w:sz w:val="18"/>
                <w:szCs w:val="18"/>
              </w:rPr>
              <w:t>年营业收入（</w:t>
            </w:r>
            <w:r>
              <w:rPr>
                <w:rFonts w:hint="eastAsia" w:ascii="宋体" w:hAnsi="宋体" w:cs="宋体"/>
                <w:color w:val="auto"/>
                <w:sz w:val="18"/>
                <w:szCs w:val="18"/>
                <w:lang w:val="en-US" w:eastAsia="zh-CN"/>
              </w:rPr>
              <w:t>28</w:t>
            </w:r>
            <w:r>
              <w:rPr>
                <w:rFonts w:hint="eastAsia" w:ascii="宋体" w:hAnsi="宋体" w:eastAsia="宋体" w:cs="宋体"/>
                <w:color w:val="auto"/>
                <w:sz w:val="18"/>
                <w:szCs w:val="18"/>
              </w:rPr>
              <w:t>）</w:t>
            </w:r>
            <w:r>
              <w:rPr>
                <w:rFonts w:hint="eastAsia" w:ascii="宋体" w:hAnsi="宋体" w:eastAsia="宋体" w:cs="宋体"/>
                <w:color w:val="auto"/>
                <w:sz w:val="18"/>
                <w:szCs w:val="18"/>
                <w:highlight w:val="lightGray"/>
              </w:rPr>
              <w:t>______千元</w:t>
            </w:r>
            <w:r>
              <w:rPr>
                <w:rFonts w:hint="eastAsia" w:ascii="宋体" w:hAnsi="宋体" w:eastAsia="宋体" w:cs="宋体"/>
                <w:color w:val="auto"/>
                <w:sz w:val="18"/>
                <w:szCs w:val="18"/>
                <w:highlight w:val="none"/>
              </w:rPr>
              <w:t>。</w:t>
            </w:r>
          </w:p>
          <w:p>
            <w:pPr>
              <w:pStyle w:val="2"/>
              <w:keepNext w:val="0"/>
              <w:keepLines w:val="0"/>
              <w:pageBreakBefore w:val="0"/>
              <w:widowControl w:val="0"/>
              <w:kinsoku/>
              <w:wordWrap/>
              <w:overflowPunct/>
              <w:topLinePunct w:val="0"/>
              <w:autoSpaceDE/>
              <w:autoSpaceDN/>
              <w:bidi w:val="0"/>
              <w:snapToGrid w:val="0"/>
              <w:spacing w:after="0" w:line="260" w:lineRule="exact"/>
              <w:ind w:left="0" w:leftChars="0" w:firstLine="0" w:firstLineChars="0"/>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rPr>
              <w:t xml:space="preserve">  </w:t>
            </w:r>
            <w:r>
              <w:rPr>
                <w:rFonts w:hint="eastAsia" w:ascii="宋体" w:hAnsi="宋体" w:cs="宋体"/>
                <w:color w:val="auto"/>
                <w:sz w:val="18"/>
                <w:szCs w:val="18"/>
              </w:rPr>
              <w:t>其中：</w:t>
            </w:r>
            <w:r>
              <w:rPr>
                <w:rFonts w:hint="eastAsia" w:ascii="宋体" w:hAnsi="宋体" w:cs="宋体"/>
                <w:color w:val="auto"/>
                <w:kern w:val="0"/>
                <w:sz w:val="18"/>
                <w:szCs w:val="18"/>
              </w:rPr>
              <w:t>利用</w:t>
            </w:r>
            <w:r>
              <w:rPr>
                <w:rFonts w:hint="eastAsia" w:ascii="宋体" w:hAnsi="宋体" w:cs="宋体"/>
                <w:color w:val="auto"/>
                <w:sz w:val="18"/>
                <w:szCs w:val="18"/>
                <w:lang w:eastAsia="zh-CN"/>
              </w:rPr>
              <w:t>互联网、云计算、物联网、</w:t>
            </w:r>
            <w:r>
              <w:rPr>
                <w:rFonts w:hint="eastAsia" w:ascii="宋体" w:hAnsi="宋体" w:cs="宋体"/>
                <w:color w:val="auto"/>
                <w:kern w:val="0"/>
                <w:sz w:val="18"/>
                <w:szCs w:val="18"/>
              </w:rPr>
              <w:t>人工智能、VR/AR、RFID射频识别技术等</w:t>
            </w:r>
            <w:r>
              <w:rPr>
                <w:rFonts w:hint="eastAsia" w:ascii="宋体" w:hAnsi="宋体" w:cs="宋体"/>
                <w:color w:val="auto"/>
                <w:sz w:val="18"/>
                <w:szCs w:val="18"/>
              </w:rPr>
              <w:t>数字化、</w:t>
            </w:r>
            <w:r>
              <w:rPr>
                <w:rFonts w:hint="eastAsia" w:ascii="宋体" w:hAnsi="宋体" w:cs="宋体"/>
                <w:color w:val="auto"/>
                <w:kern w:val="0"/>
                <w:sz w:val="18"/>
                <w:szCs w:val="18"/>
              </w:rPr>
              <w:t>信息化技术</w:t>
            </w:r>
            <w:r>
              <w:rPr>
                <w:rFonts w:hint="eastAsia" w:ascii="宋体" w:hAnsi="宋体" w:cs="宋体"/>
                <w:color w:val="auto"/>
                <w:sz w:val="18"/>
                <w:szCs w:val="18"/>
              </w:rPr>
              <w:t>取得的营业收入（</w:t>
            </w:r>
            <w:r>
              <w:rPr>
                <w:rFonts w:hint="eastAsia" w:ascii="宋体" w:hAnsi="宋体" w:cs="宋体"/>
                <w:color w:val="auto"/>
                <w:sz w:val="18"/>
                <w:szCs w:val="18"/>
                <w:lang w:val="en-US" w:eastAsia="zh-CN"/>
              </w:rPr>
              <w:t>29</w:t>
            </w:r>
            <w:r>
              <w:rPr>
                <w:rFonts w:hint="eastAsia" w:ascii="宋体" w:hAnsi="宋体" w:cs="宋体"/>
                <w:color w:val="auto"/>
                <w:sz w:val="18"/>
                <w:szCs w:val="18"/>
              </w:rPr>
              <w:t>）______千元</w:t>
            </w:r>
            <w:r>
              <w:rPr>
                <w:rFonts w:hint="eastAsia" w:ascii="宋体" w:hAnsi="宋体" w:eastAsia="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30</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lightGray"/>
                <w:u w:val="none"/>
                <w:lang w:val="en-US" w:eastAsia="zh-CN"/>
              </w:rPr>
              <w:t>______</w:t>
            </w:r>
            <w:r>
              <w:rPr>
                <w:rFonts w:hint="eastAsia" w:ascii="宋体" w:hAnsi="宋体" w:cs="宋体"/>
                <w:color w:val="auto"/>
                <w:sz w:val="18"/>
                <w:szCs w:val="18"/>
                <w:highlight w:val="lightGray"/>
                <w:lang w:val="en-US" w:eastAsia="zh-CN"/>
              </w:rPr>
              <w:t>千元</w:t>
            </w:r>
            <w:r>
              <w:rPr>
                <w:rFonts w:hint="eastAsia" w:ascii="宋体" w:hAnsi="宋体" w:cs="宋体"/>
                <w:color w:val="auto"/>
                <w:sz w:val="18"/>
                <w:szCs w:val="18"/>
                <w:highlight w:val="none"/>
                <w:lang w:val="en-US" w:eastAsia="zh-CN"/>
              </w:rPr>
              <w:t>；提供数据服务取得的营业收入</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lang w:val="en-US" w:eastAsia="zh-CN"/>
              </w:rPr>
              <w:t>31</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none"/>
                <w:lang w:val="en-US" w:eastAsia="zh-CN"/>
              </w:rPr>
              <w:t>______</w:t>
            </w:r>
            <w:r>
              <w:rPr>
                <w:rFonts w:hint="eastAsia" w:ascii="宋体" w:hAnsi="宋体" w:cs="宋体"/>
                <w:color w:val="auto"/>
                <w:sz w:val="18"/>
                <w:szCs w:val="18"/>
                <w:highlight w:val="none"/>
                <w:lang w:val="en-US" w:eastAsia="zh-CN"/>
              </w:rPr>
              <w:t>千元，上年</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lang w:val="en-US" w:eastAsia="zh-CN"/>
              </w:rPr>
              <w:t>32</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u w:val="none"/>
                <w:lang w:val="en-US" w:eastAsia="zh-CN"/>
              </w:rPr>
              <w:t>______</w:t>
            </w:r>
            <w:r>
              <w:rPr>
                <w:rFonts w:hint="eastAsia" w:ascii="宋体" w:hAnsi="宋体" w:cs="宋体"/>
                <w:color w:val="auto"/>
                <w:sz w:val="18"/>
                <w:szCs w:val="18"/>
                <w:highlight w:val="none"/>
                <w:lang w:val="en-US" w:eastAsia="zh-CN"/>
              </w:rPr>
              <w:t>千元。</w:t>
            </w:r>
          </w:p>
          <w:p>
            <w:pPr>
              <w:keepNext w:val="0"/>
              <w:keepLines w:val="0"/>
              <w:pageBreakBefore w:val="0"/>
              <w:widowControl w:val="0"/>
              <w:kinsoku/>
              <w:wordWrap/>
              <w:overflowPunct/>
              <w:topLinePunct w:val="0"/>
              <w:autoSpaceDE/>
              <w:autoSpaceDN/>
              <w:bidi w:val="0"/>
              <w:snapToGrid w:val="0"/>
              <w:spacing w:line="260" w:lineRule="exact"/>
              <w:ind w:firstLine="180" w:firstLineChars="10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数据资源与数字产权的交易活动营业收入（</w:t>
            </w:r>
            <w:r>
              <w:rPr>
                <w:rFonts w:hint="eastAsia" w:ascii="宋体" w:hAnsi="宋体" w:cs="宋体"/>
                <w:color w:val="auto"/>
                <w:sz w:val="18"/>
                <w:szCs w:val="18"/>
                <w:lang w:val="en-US" w:eastAsia="zh-CN"/>
              </w:rPr>
              <w:t>33</w:t>
            </w:r>
            <w:r>
              <w:rPr>
                <w:rFonts w:hint="eastAsia" w:ascii="宋体" w:hAnsi="宋体" w:eastAsia="宋体" w:cs="宋体"/>
                <w:color w:val="auto"/>
                <w:sz w:val="18"/>
                <w:szCs w:val="18"/>
              </w:rPr>
              <w:t>）_____千元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34</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行业代码为7213的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p>
          <w:p>
            <w:pPr>
              <w:keepNext w:val="0"/>
              <w:keepLines w:val="0"/>
              <w:pageBreakBefore w:val="0"/>
              <w:widowControl w:val="0"/>
              <w:kinsoku/>
              <w:wordWrap/>
              <w:overflowPunct/>
              <w:topLinePunct w:val="0"/>
              <w:autoSpaceDE/>
              <w:autoSpaceDN/>
              <w:bidi w:val="0"/>
              <w:snapToGrid w:val="0"/>
              <w:spacing w:line="260" w:lineRule="exact"/>
              <w:ind w:firstLine="180" w:firstLineChars="100"/>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 xml:space="preserve">    </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数字技术研究和试验发展营业收入（</w:t>
            </w:r>
            <w:r>
              <w:rPr>
                <w:rFonts w:hint="eastAsia" w:ascii="宋体" w:hAnsi="宋体" w:cs="宋体"/>
                <w:color w:val="auto"/>
                <w:sz w:val="18"/>
                <w:szCs w:val="18"/>
                <w:lang w:val="en-US" w:eastAsia="zh-CN"/>
              </w:rPr>
              <w:t>35</w:t>
            </w:r>
            <w:r>
              <w:rPr>
                <w:rFonts w:hint="eastAsia" w:ascii="宋体" w:hAnsi="宋体" w:eastAsia="宋体" w:cs="宋体"/>
                <w:color w:val="auto"/>
                <w:sz w:val="18"/>
                <w:szCs w:val="18"/>
              </w:rPr>
              <w:t>）_____千元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36</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行业代码为7320的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p>
          <w:p>
            <w:pPr>
              <w:keepNext w:val="0"/>
              <w:keepLines w:val="0"/>
              <w:pageBreakBefore w:val="0"/>
              <w:widowControl w:val="0"/>
              <w:kinsoku/>
              <w:wordWrap/>
              <w:overflowPunct/>
              <w:topLinePunct w:val="0"/>
              <w:autoSpaceDE/>
              <w:autoSpaceDN/>
              <w:bidi w:val="0"/>
              <w:snapToGrid w:val="0"/>
              <w:spacing w:line="260" w:lineRule="exact"/>
              <w:ind w:firstLine="180" w:firstLineChars="100"/>
              <w:textAlignment w:val="auto"/>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互联网新闻资讯服务营业收入（</w:t>
            </w:r>
            <w:r>
              <w:rPr>
                <w:rFonts w:hint="eastAsia" w:ascii="宋体" w:hAnsi="宋体" w:cs="宋体"/>
                <w:color w:val="auto"/>
                <w:sz w:val="18"/>
                <w:szCs w:val="18"/>
                <w:lang w:val="en-US" w:eastAsia="zh-CN"/>
              </w:rPr>
              <w:t>37</w:t>
            </w:r>
            <w:r>
              <w:rPr>
                <w:rFonts w:hint="eastAsia" w:ascii="宋体" w:hAnsi="宋体" w:eastAsia="宋体" w:cs="宋体"/>
                <w:color w:val="auto"/>
                <w:sz w:val="18"/>
                <w:szCs w:val="18"/>
              </w:rPr>
              <w:t>）_____千元</w:t>
            </w:r>
            <w:r>
              <w:rPr>
                <w:rFonts w:hint="eastAsia" w:ascii="宋体" w:hAnsi="宋体" w:cs="宋体"/>
                <w:color w:val="auto"/>
                <w:sz w:val="18"/>
                <w:szCs w:val="18"/>
                <w:lang w:eastAsia="zh-CN"/>
              </w:rPr>
              <w:t>，</w:t>
            </w:r>
            <w:r>
              <w:rPr>
                <w:rFonts w:hint="eastAsia" w:ascii="宋体" w:hAnsi="宋体" w:cs="宋体"/>
                <w:color w:val="auto"/>
                <w:sz w:val="18"/>
                <w:szCs w:val="18"/>
                <w:highlight w:val="none"/>
                <w:lang w:eastAsia="zh-CN"/>
              </w:rPr>
              <w:t>上年（</w:t>
            </w:r>
            <w:r>
              <w:rPr>
                <w:rFonts w:hint="eastAsia" w:ascii="宋体" w:hAnsi="宋体" w:cs="宋体"/>
                <w:color w:val="auto"/>
                <w:sz w:val="18"/>
                <w:szCs w:val="18"/>
                <w:highlight w:val="none"/>
                <w:lang w:val="en-US" w:eastAsia="zh-CN"/>
              </w:rPr>
              <w:t>38</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lightGray"/>
              </w:rPr>
              <w:t>______</w:t>
            </w:r>
            <w:r>
              <w:rPr>
                <w:rFonts w:hint="eastAsia" w:ascii="宋体" w:hAnsi="宋体" w:cs="宋体"/>
                <w:color w:val="auto"/>
                <w:sz w:val="18"/>
                <w:szCs w:val="18"/>
                <w:highlight w:val="lightGray"/>
                <w:lang w:eastAsia="zh-CN"/>
              </w:rPr>
              <w:t>千元</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行业代码为</w:t>
            </w:r>
            <w:r>
              <w:rPr>
                <w:rFonts w:hint="eastAsia" w:ascii="宋体" w:hAnsi="宋体" w:eastAsia="宋体" w:cs="宋体"/>
                <w:color w:val="auto"/>
                <w:sz w:val="18"/>
                <w:szCs w:val="18"/>
                <w:lang w:val="en-US" w:eastAsia="zh-CN"/>
              </w:rPr>
              <w:t>861</w:t>
            </w:r>
            <w:r>
              <w:rPr>
                <w:rFonts w:hint="eastAsia" w:ascii="宋体" w:hAnsi="宋体" w:eastAsia="宋体" w:cs="宋体"/>
                <w:color w:val="auto"/>
                <w:sz w:val="18"/>
                <w:szCs w:val="18"/>
              </w:rPr>
              <w:t>0的</w:t>
            </w:r>
            <w:r>
              <w:rPr>
                <w:rFonts w:hint="eastAsia" w:ascii="宋体" w:hAnsi="宋体" w:eastAsia="宋体" w:cs="宋体"/>
                <w:color w:val="auto"/>
                <w:sz w:val="18"/>
                <w:szCs w:val="18"/>
                <w:lang w:eastAsia="zh-CN"/>
              </w:rPr>
              <w:t>法人单位</w:t>
            </w:r>
            <w:r>
              <w:rPr>
                <w:rFonts w:hint="eastAsia" w:ascii="宋体" w:hAnsi="宋体" w:eastAsia="宋体" w:cs="宋体"/>
                <w:color w:val="auto"/>
                <w:sz w:val="18"/>
                <w:szCs w:val="18"/>
              </w:rPr>
              <w:t>填报</w:t>
            </w:r>
            <w:r>
              <w:rPr>
                <w:rFonts w:hint="eastAsia" w:ascii="宋体" w:hAnsi="宋体" w:eastAsia="宋体" w:cs="宋体"/>
                <w:color w:val="auto"/>
                <w:sz w:val="18"/>
                <w:szCs w:val="18"/>
                <w:lang w:eastAsia="zh-CN"/>
              </w:rPr>
              <w:t>）。</w:t>
            </w:r>
          </w:p>
        </w:tc>
      </w:tr>
    </w:tbl>
    <w:p>
      <w:pPr>
        <w:keepNext w:val="0"/>
        <w:keepLines w:val="0"/>
        <w:pageBreakBefore w:val="0"/>
        <w:widowControl w:val="0"/>
        <w:kinsoku/>
        <w:wordWrap/>
        <w:overflowPunct/>
        <w:topLinePunct w:val="0"/>
        <w:autoSpaceDE/>
        <w:autoSpaceDN/>
        <w:bidi w:val="0"/>
        <w:adjustRightInd w:val="0"/>
        <w:snapToGrid w:val="0"/>
        <w:spacing w:line="260" w:lineRule="exact"/>
        <w:ind w:right="-732" w:rightChars="-349"/>
        <w:textAlignment w:val="auto"/>
        <w:rPr>
          <w:rFonts w:ascii="宋体" w:hAnsi="宋体"/>
          <w:color w:val="auto"/>
          <w:sz w:val="32"/>
          <w:szCs w:val="32"/>
        </w:rPr>
      </w:pPr>
      <w:r>
        <w:rPr>
          <w:rFonts w:hint="eastAsia" w:ascii="宋体" w:hAnsi="宋体" w:eastAsia="宋体" w:cs="宋体"/>
          <w:color w:val="auto"/>
          <w:sz w:val="18"/>
          <w:szCs w:val="18"/>
        </w:rPr>
        <w:t>单位负责人：　    统计负责人：</w:t>
      </w:r>
      <w:r>
        <w:rPr>
          <w:rFonts w:hint="eastAsia" w:ascii="宋体" w:hAnsi="宋体" w:eastAsia="宋体" w:cs="宋体"/>
          <w:color w:val="auto"/>
          <w:spacing w:val="-2"/>
          <w:sz w:val="18"/>
          <w:szCs w:val="18"/>
        </w:rPr>
        <w:t xml:space="preserve"> 　   填表人：　    　联系电话：　　  　报出日期：２０　 年　 月 　日</w:t>
      </w:r>
    </w:p>
    <w:p>
      <w:pPr>
        <w:pStyle w:val="2"/>
      </w:pPr>
    </w:p>
    <w:p>
      <w:pPr>
        <w:keepNext w:val="0"/>
        <w:keepLines w:val="0"/>
        <w:pageBreakBefore w:val="0"/>
        <w:widowControl w:val="0"/>
        <w:kinsoku/>
        <w:wordWrap/>
        <w:overflowPunct/>
        <w:topLinePunct w:val="0"/>
        <w:autoSpaceDE/>
        <w:autoSpaceDN/>
        <w:bidi w:val="0"/>
        <w:adjustRightInd/>
        <w:snapToGrid w:val="0"/>
        <w:spacing w:line="240" w:lineRule="exact"/>
        <w:ind w:left="0" w:firstLine="0" w:firstLineChars="0"/>
        <w:jc w:val="left"/>
        <w:textAlignment w:val="auto"/>
        <w:rPr>
          <w:rFonts w:hint="eastAsia" w:ascii="宋体" w:hAnsi="宋体" w:cs="宋体"/>
          <w:color w:val="auto"/>
          <w:sz w:val="18"/>
          <w:szCs w:val="21"/>
          <w:lang w:eastAsia="zh-CN"/>
        </w:rPr>
      </w:pPr>
      <w:r>
        <w:rPr>
          <w:rFonts w:hint="eastAsia"/>
          <w:color w:val="auto"/>
          <w:sz w:val="18"/>
          <w:szCs w:val="21"/>
        </w:rPr>
        <w:t>说明：</w:t>
      </w:r>
      <w:r>
        <w:rPr>
          <w:rFonts w:ascii="宋体" w:hAnsi="宋体" w:cs="宋体"/>
          <w:color w:val="auto"/>
          <w:sz w:val="18"/>
          <w:szCs w:val="21"/>
        </w:rPr>
        <w:t>1.</w:t>
      </w:r>
      <w:r>
        <w:rPr>
          <w:rFonts w:hint="eastAsia" w:ascii="宋体" w:hAnsi="宋体" w:cs="宋体"/>
          <w:color w:val="auto"/>
          <w:sz w:val="18"/>
          <w:szCs w:val="21"/>
        </w:rPr>
        <w:t>统计范围：</w:t>
      </w:r>
      <w:r>
        <w:rPr>
          <w:rFonts w:hint="eastAsia" w:ascii="宋体" w:hAnsi="宋体" w:cs="宋体"/>
          <w:color w:val="auto"/>
          <w:sz w:val="18"/>
          <w:szCs w:val="21"/>
          <w:lang w:eastAsia="zh-CN"/>
        </w:rPr>
        <w:t>辖区内规模以上工业法人单位。</w:t>
      </w:r>
    </w:p>
    <w:p>
      <w:pPr>
        <w:keepNext w:val="0"/>
        <w:keepLines w:val="0"/>
        <w:pageBreakBefore w:val="0"/>
        <w:widowControl w:val="0"/>
        <w:kinsoku/>
        <w:wordWrap/>
        <w:overflowPunct/>
        <w:topLinePunct w:val="0"/>
        <w:autoSpaceDE/>
        <w:autoSpaceDN/>
        <w:bidi w:val="0"/>
        <w:adjustRightInd/>
        <w:snapToGrid/>
        <w:spacing w:line="240" w:lineRule="exact"/>
        <w:ind w:left="2098" w:leftChars="5" w:hanging="2088" w:hangingChars="1160"/>
        <w:textAlignment w:val="auto"/>
        <w:rPr>
          <w:rFonts w:hint="default" w:ascii="宋体" w:hAnsi="宋体" w:cs="宋体"/>
          <w:color w:val="auto"/>
          <w:sz w:val="18"/>
          <w:szCs w:val="21"/>
          <w:lang w:val="en-US" w:eastAsia="zh-CN"/>
        </w:rPr>
      </w:pPr>
      <w:r>
        <w:rPr>
          <w:rFonts w:hint="eastAsia" w:ascii="宋体" w:hAnsi="宋体" w:cs="宋体"/>
          <w:color w:val="auto"/>
          <w:sz w:val="18"/>
          <w:szCs w:val="21"/>
          <w:lang w:val="en-US" w:eastAsia="zh-CN"/>
        </w:rPr>
        <w:t xml:space="preserve">      </w:t>
      </w:r>
      <w:r>
        <w:rPr>
          <w:rFonts w:hint="eastAsia" w:ascii="宋体" w:hAnsi="宋体" w:cs="宋体"/>
          <w:color w:val="auto"/>
          <w:sz w:val="18"/>
          <w:szCs w:val="21"/>
        </w:rPr>
        <w:t>2.报送日期及方式：</w:t>
      </w:r>
      <w:r>
        <w:rPr>
          <w:rFonts w:hint="eastAsia" w:asciiTheme="minorEastAsia" w:hAnsiTheme="minorEastAsia" w:eastAsiaTheme="minorEastAsia" w:cstheme="minorEastAsia"/>
          <w:spacing w:val="0"/>
          <w:sz w:val="18"/>
          <w:szCs w:val="18"/>
        </w:rPr>
        <w:t>调查单位202</w:t>
      </w:r>
      <w:r>
        <w:rPr>
          <w:rFonts w:hint="eastAsia" w:asciiTheme="minorEastAsia" w:hAnsiTheme="minorEastAsia" w:eastAsiaTheme="minorEastAsia" w:cstheme="minorEastAsia"/>
          <w:spacing w:val="0"/>
          <w:sz w:val="18"/>
          <w:szCs w:val="18"/>
          <w:lang w:val="en-US" w:eastAsia="zh-CN"/>
        </w:rPr>
        <w:t>6</w:t>
      </w:r>
      <w:r>
        <w:rPr>
          <w:rFonts w:hint="eastAsia" w:asciiTheme="minorEastAsia" w:hAnsiTheme="minorEastAsia" w:eastAsiaTheme="minorEastAsia" w:cstheme="minorEastAsia"/>
          <w:spacing w:val="0"/>
          <w:sz w:val="18"/>
          <w:szCs w:val="18"/>
        </w:rPr>
        <w:t>年3月1</w:t>
      </w:r>
      <w:r>
        <w:rPr>
          <w:rFonts w:hint="eastAsia" w:asciiTheme="minorEastAsia" w:hAnsiTheme="minorEastAsia" w:eastAsiaTheme="minorEastAsia" w:cstheme="minorEastAsia"/>
          <w:spacing w:val="0"/>
          <w:sz w:val="18"/>
          <w:szCs w:val="18"/>
          <w:lang w:val="en-US" w:eastAsia="zh-CN"/>
        </w:rPr>
        <w:t>6</w:t>
      </w:r>
      <w:r>
        <w:rPr>
          <w:rFonts w:hint="eastAsia" w:asciiTheme="minorEastAsia" w:hAnsiTheme="minorEastAsia" w:eastAsiaTheme="minorEastAsia" w:cstheme="minorEastAsia"/>
          <w:spacing w:val="0"/>
          <w:sz w:val="18"/>
          <w:szCs w:val="18"/>
        </w:rPr>
        <w:t>日24时前网上填报</w:t>
      </w:r>
      <w:r>
        <w:rPr>
          <w:rFonts w:hint="eastAsia" w:ascii="宋体" w:hAnsi="宋体" w:cs="宋体"/>
          <w:color w:val="auto"/>
          <w:sz w:val="18"/>
          <w:szCs w:val="21"/>
          <w:lang w:eastAsia="zh-CN"/>
        </w:rPr>
        <w:t>，</w:t>
      </w:r>
      <w:r>
        <w:rPr>
          <w:rFonts w:hint="eastAsia" w:asciiTheme="minorEastAsia" w:hAnsiTheme="minorEastAsia" w:eastAsiaTheme="minorEastAsia" w:cstheme="minorEastAsia"/>
          <w:color w:val="auto"/>
          <w:sz w:val="18"/>
          <w:szCs w:val="18"/>
        </w:rPr>
        <w:t>各级统计机构在规定时间内完成数据审核、验收</w:t>
      </w:r>
      <w:r>
        <w:rPr>
          <w:rFonts w:hint="eastAsia" w:asciiTheme="minorEastAsia" w:hAnsiTheme="minorEastAsia" w:eastAsiaTheme="minorEastAsia" w:cstheme="minorEastAsia"/>
          <w:color w:val="auto"/>
          <w:sz w:val="18"/>
          <w:szCs w:val="18"/>
          <w:lang w:eastAsia="zh-CN"/>
        </w:rPr>
        <w:t>、</w:t>
      </w:r>
      <w:r>
        <w:rPr>
          <w:rFonts w:hint="eastAsia" w:asciiTheme="minorEastAsia" w:hAnsiTheme="minorEastAsia" w:eastAsiaTheme="minorEastAsia" w:cstheme="minorEastAsia"/>
          <w:color w:val="auto"/>
          <w:sz w:val="18"/>
          <w:szCs w:val="18"/>
        </w:rPr>
        <w:t>上报</w:t>
      </w:r>
      <w:r>
        <w:rPr>
          <w:rFonts w:hint="eastAsia" w:asciiTheme="minorEastAsia" w:hAnsiTheme="minorEastAsia" w:eastAsiaTheme="minorEastAsia" w:cstheme="minorEastAsia"/>
          <w:spacing w:val="0"/>
          <w:sz w:val="18"/>
          <w:szCs w:val="18"/>
        </w:rPr>
        <w:t>。</w:t>
      </w:r>
    </w:p>
    <w:p>
      <w:pPr>
        <w:keepNext w:val="0"/>
        <w:keepLines w:val="0"/>
        <w:pageBreakBefore w:val="0"/>
        <w:widowControl w:val="0"/>
        <w:kinsoku/>
        <w:wordWrap/>
        <w:overflowPunct/>
        <w:topLinePunct w:val="0"/>
        <w:autoSpaceDE/>
        <w:autoSpaceDN/>
        <w:bidi w:val="0"/>
        <w:snapToGrid w:val="0"/>
        <w:spacing w:line="240" w:lineRule="exact"/>
        <w:ind w:firstLine="360" w:firstLineChars="200"/>
        <w:rPr>
          <w:rFonts w:ascii="宋体" w:hAnsi="宋体" w:cs="宋体"/>
          <w:color w:val="auto"/>
          <w:sz w:val="18"/>
          <w:szCs w:val="21"/>
        </w:rPr>
      </w:pPr>
      <w:r>
        <w:rPr>
          <w:rFonts w:hint="eastAsia" w:ascii="宋体" w:hAnsi="宋体" w:cs="宋体"/>
          <w:color w:val="auto"/>
          <w:sz w:val="18"/>
          <w:szCs w:val="21"/>
          <w:lang w:val="en-US" w:eastAsia="zh-CN"/>
        </w:rPr>
        <w:t xml:space="preserve">  </w:t>
      </w:r>
      <w:r>
        <w:rPr>
          <w:rFonts w:ascii="宋体" w:hAnsi="宋体" w:cs="宋体"/>
          <w:color w:val="auto"/>
          <w:sz w:val="18"/>
          <w:szCs w:val="21"/>
        </w:rPr>
        <w:t>3.</w:t>
      </w:r>
      <w:r>
        <w:rPr>
          <w:rFonts w:hint="eastAsia" w:ascii="宋体" w:hAnsi="宋体" w:cs="宋体"/>
          <w:color w:val="auto"/>
          <w:sz w:val="18"/>
          <w:szCs w:val="21"/>
        </w:rPr>
        <w:t>填报</w:t>
      </w:r>
      <w:r>
        <w:rPr>
          <w:rFonts w:hint="eastAsia" w:ascii="宋体" w:hAnsi="宋体" w:cs="宋体"/>
          <w:color w:val="auto"/>
          <w:sz w:val="18"/>
          <w:szCs w:val="21"/>
          <w:lang w:eastAsia="zh-CN"/>
        </w:rPr>
        <w:t>说明</w:t>
      </w:r>
      <w:r>
        <w:rPr>
          <w:rFonts w:hint="eastAsia" w:ascii="宋体" w:hAnsi="宋体" w:cs="宋体"/>
          <w:color w:val="auto"/>
          <w:sz w:val="18"/>
          <w:szCs w:val="21"/>
        </w:rPr>
        <w:t>：</w:t>
      </w:r>
      <w:r>
        <w:rPr>
          <w:rFonts w:ascii="宋体" w:hAnsi="宋体" w:cs="宋体"/>
          <w:color w:val="auto"/>
          <w:sz w:val="18"/>
          <w:szCs w:val="21"/>
        </w:rPr>
        <w:t xml:space="preserve">   </w:t>
      </w:r>
    </w:p>
    <w:p>
      <w:pPr>
        <w:keepNext w:val="0"/>
        <w:keepLines w:val="0"/>
        <w:pageBreakBefore w:val="0"/>
        <w:widowControl w:val="0"/>
        <w:kinsoku/>
        <w:wordWrap/>
        <w:overflowPunct/>
        <w:topLinePunct w:val="0"/>
        <w:autoSpaceDE/>
        <w:autoSpaceDN/>
        <w:bidi w:val="0"/>
        <w:snapToGrid w:val="0"/>
        <w:spacing w:line="240" w:lineRule="exact"/>
        <w:rPr>
          <w:rFonts w:hint="eastAsia" w:ascii="宋体" w:hAnsi="宋体"/>
          <w:color w:val="auto"/>
          <w:sz w:val="18"/>
          <w:lang w:val="en-US" w:eastAsia="zh-CN"/>
        </w:rPr>
      </w:pPr>
      <w:r>
        <w:rPr>
          <w:rFonts w:hint="eastAsia" w:ascii="宋体" w:hAnsi="宋体"/>
          <w:color w:val="auto"/>
          <w:sz w:val="18"/>
        </w:rPr>
        <w:t xml:space="preserve">    </w:t>
      </w:r>
      <w:r>
        <w:rPr>
          <w:rFonts w:hint="eastAsia" w:ascii="宋体" w:hAnsi="宋体"/>
          <w:color w:val="auto"/>
          <w:sz w:val="18"/>
          <w:lang w:val="en-US" w:eastAsia="zh-CN"/>
        </w:rPr>
        <w:t xml:space="preserve">  工业：02、04指标可依据相关产品对应工业总产值填报；10指标可依据智能（数字化）车间（或流水线）生产的相关产品对应工业总产值测算。</w:t>
      </w:r>
    </w:p>
    <w:p>
      <w:pPr>
        <w:keepNext w:val="0"/>
        <w:keepLines w:val="0"/>
        <w:pageBreakBefore w:val="0"/>
        <w:widowControl w:val="0"/>
        <w:kinsoku/>
        <w:wordWrap/>
        <w:overflowPunct/>
        <w:topLinePunct w:val="0"/>
        <w:autoSpaceDE/>
        <w:autoSpaceDN/>
        <w:bidi w:val="0"/>
        <w:snapToGrid w:val="0"/>
        <w:spacing w:line="240" w:lineRule="exact"/>
        <w:rPr>
          <w:rFonts w:hint="eastAsia" w:ascii="宋体" w:hAnsi="宋体"/>
          <w:color w:val="auto"/>
          <w:sz w:val="18"/>
          <w:lang w:val="en-US" w:eastAsia="zh-CN"/>
        </w:rPr>
      </w:pPr>
      <w:r>
        <w:rPr>
          <w:rFonts w:hint="eastAsia" w:ascii="宋体" w:hAnsi="宋体"/>
          <w:color w:val="auto"/>
          <w:sz w:val="18"/>
          <w:lang w:val="en-US" w:eastAsia="zh-CN"/>
        </w:rPr>
        <w:t xml:space="preserve">      建筑业：13指标可依据报告期内新签的采用智能建造方式的项目合同金额填报；16、18指标可依据算力基础设施、网络基础设施、新技术基础设施的造价占建设项目合同总额的比例，以及当年完成情况测算。</w:t>
      </w:r>
    </w:p>
    <w:p>
      <w:pPr>
        <w:keepNext w:val="0"/>
        <w:keepLines w:val="0"/>
        <w:pageBreakBefore w:val="0"/>
        <w:widowControl w:val="0"/>
        <w:kinsoku/>
        <w:wordWrap/>
        <w:overflowPunct/>
        <w:topLinePunct w:val="0"/>
        <w:autoSpaceDE/>
        <w:autoSpaceDN/>
        <w:bidi w:val="0"/>
        <w:snapToGrid w:val="0"/>
        <w:spacing w:line="240" w:lineRule="exact"/>
        <w:rPr>
          <w:rFonts w:hint="eastAsia" w:ascii="宋体" w:hAnsi="宋体"/>
          <w:color w:val="auto"/>
          <w:sz w:val="18"/>
          <w:lang w:val="en-US" w:eastAsia="zh-CN"/>
        </w:rPr>
      </w:pPr>
      <w:r>
        <w:rPr>
          <w:rFonts w:hint="eastAsia" w:ascii="宋体" w:hAnsi="宋体"/>
          <w:color w:val="auto"/>
          <w:sz w:val="18"/>
          <w:lang w:val="en-US" w:eastAsia="zh-CN"/>
        </w:rPr>
        <w:t xml:space="preserve">      批发和零售业、住宿和餐饮业：指标21、24、26可依据“信息通信技术应用和数字化转型情况”（109表）中“从事信息技术工作的人员”数或工资数占全部人员的比重测算。指标21测算结果如小于本单位在“限额以上批发和零售业经营情况”（E104-1表）中填报的“通过公共网络实现的商品销售额”，指标24测算结果如小于本单位在“限额以上住宿和餐饮业经营情况”（S104-1表）中填报的“通过公共网络实现的客房收入”，指标26测算结果如小于“通过公共网络实现的餐费收入”，则以其中较大者填报。销售额、营业额均含增值税。</w:t>
      </w:r>
    </w:p>
    <w:p>
      <w:pPr>
        <w:keepNext w:val="0"/>
        <w:keepLines w:val="0"/>
        <w:pageBreakBefore w:val="0"/>
        <w:widowControl w:val="0"/>
        <w:kinsoku/>
        <w:wordWrap/>
        <w:overflowPunct/>
        <w:topLinePunct w:val="0"/>
        <w:autoSpaceDE/>
        <w:autoSpaceDN/>
        <w:bidi w:val="0"/>
        <w:snapToGrid w:val="0"/>
        <w:spacing w:line="240" w:lineRule="exact"/>
        <w:rPr>
          <w:rFonts w:hint="eastAsia" w:ascii="宋体" w:hAnsi="宋体"/>
          <w:color w:val="auto"/>
          <w:sz w:val="18"/>
          <w:lang w:val="en-US" w:eastAsia="zh-CN"/>
        </w:rPr>
      </w:pPr>
      <w:r>
        <w:rPr>
          <w:rFonts w:hint="eastAsia" w:ascii="宋体" w:hAnsi="宋体"/>
          <w:color w:val="auto"/>
          <w:sz w:val="18"/>
          <w:lang w:val="en-US" w:eastAsia="zh-CN"/>
        </w:rPr>
        <w:t xml:space="preserve">      服务业：指标29可依据“信息通信技术应用和数字化转型情况”（109表）中“通过网站或APP实现的销售额（包含增值税）”占营业收入的比重，或从事数字经济活动的人员数或工资数占全部人员的比重，或数字化信息化投入占成本费用的比重进行测算；指标33、35、37分别依据从事数据资源与数字产权交易活动、数字技术研究和试验发展活动、互联网新闻资讯服务活动收入占全部收入的比重测算。</w:t>
      </w: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ascii="宋体" w:hAnsi="宋体"/>
          <w:color w:val="auto"/>
          <w:sz w:val="18"/>
          <w:lang w:val="en-US" w:eastAsia="zh-CN"/>
        </w:rPr>
      </w:pPr>
    </w:p>
    <w:p>
      <w:pPr>
        <w:rPr>
          <w:rFonts w:hint="eastAsia" w:ascii="宋体" w:hAnsi="宋体"/>
          <w:color w:val="auto"/>
          <w:sz w:val="18"/>
          <w:lang w:val="en-US" w:eastAsia="zh-CN"/>
        </w:rPr>
      </w:pPr>
    </w:p>
    <w:p>
      <w:pPr>
        <w:pStyle w:val="2"/>
        <w:rPr>
          <w:rFonts w:hint="eastAsia"/>
          <w:lang w:eastAsia="zh-CN"/>
        </w:rPr>
      </w:pPr>
    </w:p>
    <w:p/>
    <w:p/>
    <w:p>
      <w:pPr>
        <w:pStyle w:val="2"/>
      </w:pPr>
    </w:p>
    <w:p/>
    <w:p>
      <w:pPr>
        <w:pStyle w:val="2"/>
      </w:pPr>
    </w:p>
    <w:p/>
    <w:p>
      <w:pPr>
        <w:pStyle w:val="2"/>
      </w:pPr>
    </w:p>
    <w:p/>
    <w:p>
      <w:pPr>
        <w:numPr>
          <w:ilvl w:val="0"/>
          <w:numId w:val="4"/>
        </w:numPr>
        <w:jc w:val="center"/>
        <w:outlineLvl w:val="1"/>
        <w:rPr>
          <w:rFonts w:eastAsia="黑体"/>
          <w:bCs/>
          <w:sz w:val="28"/>
          <w:szCs w:val="28"/>
        </w:rPr>
      </w:pPr>
      <w:bookmarkStart w:id="57" w:name="_Toc1620600947"/>
      <w:bookmarkStart w:id="58" w:name="_Toc1285188330"/>
      <w:bookmarkStart w:id="59" w:name="_Toc1588072635"/>
      <w:r>
        <w:rPr>
          <w:rFonts w:eastAsia="黑体"/>
          <w:bCs/>
          <w:sz w:val="28"/>
          <w:szCs w:val="28"/>
        </w:rPr>
        <w:t>基层定报表式</w:t>
      </w:r>
      <w:bookmarkEnd w:id="57"/>
      <w:bookmarkEnd w:id="58"/>
      <w:bookmarkEnd w:id="59"/>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lang w:val="en-GB"/>
        </w:rPr>
      </w:pPr>
      <w:bookmarkStart w:id="60" w:name="_Toc723897286"/>
      <w:bookmarkStart w:id="61" w:name="_Toc1511990570"/>
      <w:bookmarkStart w:id="62" w:name="_Toc584097187"/>
      <w:bookmarkStart w:id="63" w:name="_Toc1103758537"/>
      <w:r>
        <w:rPr>
          <w:rFonts w:hint="eastAsia" w:ascii="宋体" w:hAnsi="宋体" w:cs="宋体"/>
          <w:b/>
          <w:bCs/>
          <w:sz w:val="32"/>
          <w:szCs w:val="32"/>
          <w:lang w:eastAsia="zh-CN"/>
        </w:rPr>
        <w:t>一套表</w:t>
      </w:r>
      <w:r>
        <w:rPr>
          <w:rFonts w:hint="eastAsia" w:ascii="宋体" w:hAnsi="宋体" w:eastAsia="宋体" w:cs="宋体"/>
          <w:b/>
          <w:bCs/>
          <w:sz w:val="32"/>
          <w:szCs w:val="32"/>
        </w:rPr>
        <w:t>调查单位基本情况</w:t>
      </w:r>
      <w:bookmarkEnd w:id="60"/>
      <w:bookmarkEnd w:id="61"/>
      <w:bookmarkEnd w:id="62"/>
      <w:bookmarkEnd w:id="63"/>
    </w:p>
    <w:p>
      <w:pPr>
        <w:keepNext w:val="0"/>
        <w:keepLines w:val="0"/>
        <w:pageBreakBefore w:val="0"/>
        <w:widowControl w:val="0"/>
        <w:kinsoku/>
        <w:wordWrap/>
        <w:overflowPunct/>
        <w:topLinePunct w:val="0"/>
        <w:autoSpaceDE/>
        <w:autoSpaceDN/>
        <w:bidi w:val="0"/>
        <w:adjustRightInd/>
        <w:snapToGrid/>
        <w:spacing w:line="240" w:lineRule="exact"/>
        <w:ind w:left="-202" w:leftChars="-390" w:right="-732" w:rightChars="-349" w:hanging="617" w:hangingChars="343"/>
        <w:textAlignment w:val="auto"/>
        <w:rPr>
          <w:rFonts w:ascii="Nimbus Roman No9 L" w:hAnsi="Nimbus Roman No9 L" w:cs="Nimbus Roman No9 L"/>
          <w:sz w:val="18"/>
          <w:szCs w:val="18"/>
        </w:rPr>
      </w:pPr>
      <w:r>
        <w:rPr>
          <w:rFonts w:hint="eastAsia" w:ascii="Nimbus Roman No9 L" w:hAnsi="Nimbus Roman No9 L" w:cs="Nimbus Roman No9 L"/>
          <w:sz w:val="18"/>
          <w:szCs w:val="18"/>
          <w:lang w:val="en-US" w:eastAsia="zh-CN"/>
        </w:rPr>
        <w:t xml:space="preserve">         </w:t>
      </w:r>
    </w:p>
    <w:tbl>
      <w:tblPr>
        <w:tblStyle w:val="17"/>
        <w:tblW w:w="9583" w:type="dxa"/>
        <w:jc w:val="center"/>
        <w:tblLayout w:type="fixed"/>
        <w:tblCellMar>
          <w:top w:w="0" w:type="dxa"/>
          <w:left w:w="108" w:type="dxa"/>
          <w:bottom w:w="0" w:type="dxa"/>
          <w:right w:w="108" w:type="dxa"/>
        </w:tblCellMar>
      </w:tblPr>
      <w:tblGrid>
        <w:gridCol w:w="57"/>
        <w:gridCol w:w="563"/>
        <w:gridCol w:w="57"/>
        <w:gridCol w:w="2630"/>
        <w:gridCol w:w="1627"/>
        <w:gridCol w:w="132"/>
        <w:gridCol w:w="1116"/>
        <w:gridCol w:w="1303"/>
        <w:gridCol w:w="2028"/>
        <w:gridCol w:w="57"/>
        <w:gridCol w:w="13"/>
      </w:tblGrid>
      <w:tr>
        <w:tblPrEx>
          <w:tblCellMar>
            <w:top w:w="0" w:type="dxa"/>
            <w:left w:w="108" w:type="dxa"/>
            <w:bottom w:w="0" w:type="dxa"/>
            <w:right w:w="108" w:type="dxa"/>
          </w:tblCellMar>
        </w:tblPrEx>
        <w:trPr>
          <w:gridBefore w:val="1"/>
          <w:wBefore w:w="57" w:type="dxa"/>
          <w:trHeight w:val="255" w:hRule="exact"/>
          <w:jc w:val="center"/>
        </w:trPr>
        <w:tc>
          <w:tcPr>
            <w:tcW w:w="3250" w:type="dxa"/>
            <w:gridSpan w:val="3"/>
            <w:vMerge w:val="restart"/>
            <w:noWrap w:val="0"/>
            <w:tcMar>
              <w:left w:w="0" w:type="dxa"/>
              <w:right w:w="0" w:type="dxa"/>
            </w:tcMar>
            <w:vAlign w:val="top"/>
          </w:tcPr>
          <w:p>
            <w:pPr>
              <w:spacing w:line="240" w:lineRule="exact"/>
              <w:jc w:val="left"/>
              <w:rPr>
                <w:rFonts w:ascii="Nimbus Roman No9 L" w:hAnsi="Nimbus Roman No9 L" w:cs="Nimbus Roman No9 L"/>
                <w:sz w:val="32"/>
                <w:szCs w:val="32"/>
              </w:rPr>
            </w:pPr>
          </w:p>
        </w:tc>
        <w:tc>
          <w:tcPr>
            <w:tcW w:w="1627" w:type="dxa"/>
            <w:noWrap w:val="0"/>
            <w:vAlign w:val="top"/>
          </w:tcPr>
          <w:p>
            <w:pPr>
              <w:spacing w:line="240" w:lineRule="exact"/>
              <w:jc w:val="center"/>
              <w:rPr>
                <w:rFonts w:ascii="Nimbus Roman No9 L" w:hAnsi="Nimbus Roman No9 L" w:cs="Nimbus Roman No9 L"/>
                <w:sz w:val="32"/>
                <w:szCs w:val="32"/>
              </w:rPr>
            </w:pPr>
          </w:p>
        </w:tc>
        <w:tc>
          <w:tcPr>
            <w:tcW w:w="1248" w:type="dxa"/>
            <w:gridSpan w:val="2"/>
            <w:noWrap w:val="0"/>
            <w:vAlign w:val="top"/>
          </w:tcPr>
          <w:p>
            <w:pPr>
              <w:spacing w:line="240" w:lineRule="exact"/>
              <w:jc w:val="center"/>
              <w:rPr>
                <w:rFonts w:ascii="Nimbus Roman No9 L" w:hAnsi="Nimbus Roman No9 L" w:cs="Nimbus Roman No9 L"/>
                <w:sz w:val="32"/>
                <w:szCs w:val="32"/>
              </w:rPr>
            </w:pPr>
          </w:p>
        </w:tc>
        <w:tc>
          <w:tcPr>
            <w:tcW w:w="1303" w:type="dxa"/>
            <w:noWrap w:val="0"/>
            <w:vAlign w:val="center"/>
          </w:tcPr>
          <w:p>
            <w:pPr>
              <w:spacing w:line="240" w:lineRule="exact"/>
              <w:ind w:right="-147" w:rightChars="-70"/>
              <w:jc w:val="right"/>
              <w:rPr>
                <w:rFonts w:ascii="Nimbus Roman No9 L" w:hAnsi="Nimbus Roman No9 L" w:cs="Nimbus Roman No9 L"/>
                <w:sz w:val="32"/>
                <w:szCs w:val="32"/>
              </w:rPr>
            </w:pPr>
            <w:r>
              <w:rPr>
                <w:rFonts w:ascii="Nimbus Roman No9 L" w:hAnsi="Nimbus Roman No9 L" w:cs="Nimbus Roman No9 L"/>
                <w:sz w:val="18"/>
                <w:szCs w:val="18"/>
              </w:rPr>
              <w:t>表    号：</w:t>
            </w:r>
          </w:p>
        </w:tc>
        <w:tc>
          <w:tcPr>
            <w:tcW w:w="2098" w:type="dxa"/>
            <w:gridSpan w:val="3"/>
            <w:noWrap w:val="0"/>
            <w:vAlign w:val="center"/>
          </w:tcPr>
          <w:p>
            <w:pPr>
              <w:spacing w:line="240" w:lineRule="exact"/>
              <w:ind w:left="-84" w:leftChars="-40" w:right="-84" w:rightChars="-40"/>
              <w:jc w:val="distribute"/>
              <w:rPr>
                <w:rFonts w:hint="eastAsia" w:ascii="宋体" w:hAnsi="宋体" w:cs="宋体"/>
                <w:sz w:val="18"/>
                <w:szCs w:val="18"/>
              </w:rPr>
            </w:pPr>
            <w:r>
              <w:rPr>
                <w:rFonts w:hint="eastAsia" w:ascii="宋体" w:hAnsi="宋体"/>
                <w:sz w:val="18"/>
                <w:szCs w:val="18"/>
              </w:rPr>
              <w:t>２０</w:t>
            </w:r>
            <w:r>
              <w:rPr>
                <w:rFonts w:ascii="宋体" w:hAnsi="宋体"/>
                <w:sz w:val="18"/>
                <w:szCs w:val="18"/>
              </w:rPr>
              <w:t>１－１</w:t>
            </w:r>
            <w:r>
              <w:rPr>
                <w:rFonts w:hint="eastAsia" w:ascii="宋体" w:hAnsi="宋体" w:cs="宋体"/>
                <w:sz w:val="18"/>
                <w:szCs w:val="18"/>
              </w:rPr>
              <w:t>表</w:t>
            </w:r>
          </w:p>
        </w:tc>
      </w:tr>
      <w:tr>
        <w:trPr>
          <w:gridBefore w:val="1"/>
          <w:wBefore w:w="57" w:type="dxa"/>
          <w:trHeight w:val="244" w:hRule="exact"/>
          <w:jc w:val="center"/>
        </w:trPr>
        <w:tc>
          <w:tcPr>
            <w:tcW w:w="3250" w:type="dxa"/>
            <w:gridSpan w:val="3"/>
            <w:vMerge w:val="continue"/>
            <w:noWrap w:val="0"/>
            <w:tcMar>
              <w:left w:w="0" w:type="dxa"/>
              <w:right w:w="0" w:type="dxa"/>
            </w:tcMar>
            <w:vAlign w:val="top"/>
          </w:tcPr>
          <w:p>
            <w:pPr>
              <w:spacing w:line="240" w:lineRule="exact"/>
              <w:jc w:val="center"/>
              <w:rPr>
                <w:rFonts w:ascii="Nimbus Roman No9 L" w:hAnsi="Nimbus Roman No9 L" w:cs="Nimbus Roman No9 L"/>
                <w:sz w:val="32"/>
                <w:szCs w:val="32"/>
              </w:rPr>
            </w:pPr>
          </w:p>
        </w:tc>
        <w:tc>
          <w:tcPr>
            <w:tcW w:w="1627" w:type="dxa"/>
            <w:noWrap w:val="0"/>
            <w:vAlign w:val="top"/>
          </w:tcPr>
          <w:p>
            <w:pPr>
              <w:spacing w:line="240" w:lineRule="exact"/>
              <w:jc w:val="center"/>
              <w:rPr>
                <w:rFonts w:ascii="Nimbus Roman No9 L" w:hAnsi="Nimbus Roman No9 L" w:cs="Nimbus Roman No9 L"/>
                <w:sz w:val="32"/>
                <w:szCs w:val="32"/>
              </w:rPr>
            </w:pPr>
          </w:p>
        </w:tc>
        <w:tc>
          <w:tcPr>
            <w:tcW w:w="1248" w:type="dxa"/>
            <w:gridSpan w:val="2"/>
            <w:noWrap w:val="0"/>
            <w:vAlign w:val="top"/>
          </w:tcPr>
          <w:p>
            <w:pPr>
              <w:spacing w:line="240" w:lineRule="exact"/>
              <w:jc w:val="center"/>
              <w:rPr>
                <w:rFonts w:ascii="Nimbus Roman No9 L" w:hAnsi="Nimbus Roman No9 L" w:cs="Nimbus Roman No9 L"/>
                <w:sz w:val="32"/>
                <w:szCs w:val="32"/>
              </w:rPr>
            </w:pPr>
          </w:p>
        </w:tc>
        <w:tc>
          <w:tcPr>
            <w:tcW w:w="1303" w:type="dxa"/>
            <w:noWrap w:val="0"/>
            <w:vAlign w:val="top"/>
          </w:tcPr>
          <w:p>
            <w:pPr>
              <w:spacing w:line="240" w:lineRule="exact"/>
              <w:ind w:right="-147" w:rightChars="-70"/>
              <w:jc w:val="right"/>
              <w:rPr>
                <w:rFonts w:ascii="Nimbus Roman No9 L" w:hAnsi="Nimbus Roman No9 L" w:cs="Nimbus Roman No9 L"/>
                <w:sz w:val="32"/>
                <w:szCs w:val="32"/>
              </w:rPr>
            </w:pPr>
            <w:r>
              <w:rPr>
                <w:rFonts w:ascii="Nimbus Roman No9 L" w:hAnsi="Nimbus Roman No9 L" w:cs="Nimbus Roman No9 L"/>
                <w:sz w:val="18"/>
                <w:szCs w:val="18"/>
              </w:rPr>
              <w:t>制定机关：</w:t>
            </w:r>
          </w:p>
        </w:tc>
        <w:tc>
          <w:tcPr>
            <w:tcW w:w="2098" w:type="dxa"/>
            <w:gridSpan w:val="3"/>
            <w:noWrap w:val="0"/>
            <w:vAlign w:val="center"/>
          </w:tcPr>
          <w:p>
            <w:pPr>
              <w:spacing w:line="200" w:lineRule="exact"/>
              <w:ind w:left="-84" w:leftChars="-40" w:right="-84" w:rightChars="-40"/>
              <w:jc w:val="distribute"/>
              <w:rPr>
                <w:rFonts w:hint="eastAsia" w:ascii="宋体" w:hAnsi="宋体" w:cs="宋体"/>
                <w:sz w:val="18"/>
                <w:szCs w:val="18"/>
              </w:rPr>
            </w:pPr>
            <w:r>
              <w:rPr>
                <w:rFonts w:hint="eastAsia" w:ascii="宋体" w:hAnsi="宋体" w:cs="宋体"/>
                <w:sz w:val="18"/>
                <w:szCs w:val="18"/>
              </w:rPr>
              <w:t>国家统计局</w:t>
            </w:r>
          </w:p>
        </w:tc>
      </w:tr>
      <w:tr>
        <w:trPr>
          <w:gridBefore w:val="1"/>
          <w:wBefore w:w="57" w:type="dxa"/>
          <w:trHeight w:val="255" w:hRule="exact"/>
          <w:jc w:val="center"/>
        </w:trPr>
        <w:tc>
          <w:tcPr>
            <w:tcW w:w="3250" w:type="dxa"/>
            <w:gridSpan w:val="3"/>
            <w:vMerge w:val="continue"/>
            <w:noWrap w:val="0"/>
            <w:tcMar>
              <w:left w:w="0" w:type="dxa"/>
              <w:right w:w="0" w:type="dxa"/>
            </w:tcMar>
            <w:vAlign w:val="top"/>
          </w:tcPr>
          <w:p>
            <w:pPr>
              <w:spacing w:line="240" w:lineRule="exact"/>
              <w:rPr>
                <w:rFonts w:ascii="Nimbus Roman No9 L" w:hAnsi="Nimbus Roman No9 L" w:cs="Nimbus Roman No9 L"/>
                <w:sz w:val="32"/>
                <w:szCs w:val="32"/>
              </w:rPr>
            </w:pPr>
          </w:p>
        </w:tc>
        <w:tc>
          <w:tcPr>
            <w:tcW w:w="1627" w:type="dxa"/>
            <w:noWrap w:val="0"/>
            <w:vAlign w:val="top"/>
          </w:tcPr>
          <w:p>
            <w:pPr>
              <w:spacing w:line="240" w:lineRule="exact"/>
              <w:jc w:val="center"/>
              <w:rPr>
                <w:rFonts w:ascii="Nimbus Roman No9 L" w:hAnsi="Nimbus Roman No9 L" w:cs="Nimbus Roman No9 L"/>
                <w:sz w:val="32"/>
                <w:szCs w:val="32"/>
              </w:rPr>
            </w:pPr>
          </w:p>
        </w:tc>
        <w:tc>
          <w:tcPr>
            <w:tcW w:w="1248" w:type="dxa"/>
            <w:gridSpan w:val="2"/>
            <w:noWrap w:val="0"/>
            <w:vAlign w:val="top"/>
          </w:tcPr>
          <w:p>
            <w:pPr>
              <w:spacing w:line="240" w:lineRule="exact"/>
              <w:jc w:val="center"/>
              <w:rPr>
                <w:rFonts w:ascii="Nimbus Roman No9 L" w:hAnsi="Nimbus Roman No9 L" w:cs="Nimbus Roman No9 L"/>
                <w:sz w:val="32"/>
                <w:szCs w:val="32"/>
              </w:rPr>
            </w:pPr>
          </w:p>
        </w:tc>
        <w:tc>
          <w:tcPr>
            <w:tcW w:w="1303" w:type="dxa"/>
            <w:noWrap w:val="0"/>
            <w:vAlign w:val="center"/>
          </w:tcPr>
          <w:p>
            <w:pPr>
              <w:spacing w:line="240" w:lineRule="exact"/>
              <w:ind w:right="-147" w:rightChars="-70"/>
              <w:jc w:val="right"/>
              <w:rPr>
                <w:rFonts w:ascii="Nimbus Roman No9 L" w:hAnsi="Nimbus Roman No9 L" w:cs="Nimbus Roman No9 L"/>
                <w:sz w:val="32"/>
                <w:szCs w:val="32"/>
              </w:rPr>
            </w:pPr>
            <w:r>
              <w:rPr>
                <w:rFonts w:ascii="Nimbus Roman No9 L" w:hAnsi="Nimbus Roman No9 L" w:cs="Nimbus Roman No9 L"/>
                <w:sz w:val="18"/>
                <w:szCs w:val="18"/>
              </w:rPr>
              <w:t>文    号：</w:t>
            </w:r>
          </w:p>
        </w:tc>
        <w:tc>
          <w:tcPr>
            <w:tcW w:w="2098" w:type="dxa"/>
            <w:gridSpan w:val="3"/>
            <w:noWrap w:val="0"/>
            <w:vAlign w:val="center"/>
          </w:tcPr>
          <w:p>
            <w:pPr>
              <w:spacing w:line="240" w:lineRule="exact"/>
              <w:ind w:left="-84" w:leftChars="-40" w:right="-84" w:rightChars="-40"/>
              <w:jc w:val="distribute"/>
              <w:rPr>
                <w:rFonts w:hint="eastAsia" w:ascii="宋体" w:hAnsi="宋体" w:cs="宋体"/>
                <w:sz w:val="18"/>
                <w:szCs w:val="18"/>
              </w:rPr>
            </w:pPr>
            <w:r>
              <w:rPr>
                <w:rFonts w:hint="eastAsia" w:ascii="宋体" w:hAnsi="宋体" w:cs="宋体"/>
                <w:sz w:val="18"/>
                <w:szCs w:val="18"/>
              </w:rPr>
              <w:t>国统字〔２０２5〕88号</w:t>
            </w:r>
          </w:p>
        </w:tc>
      </w:tr>
      <w:tr>
        <w:tblPrEx>
          <w:tblCellMar>
            <w:top w:w="0" w:type="dxa"/>
            <w:left w:w="108" w:type="dxa"/>
            <w:bottom w:w="0" w:type="dxa"/>
            <w:right w:w="108" w:type="dxa"/>
          </w:tblCellMar>
        </w:tblPrEx>
        <w:trPr>
          <w:gridBefore w:val="1"/>
          <w:wBefore w:w="57" w:type="dxa"/>
          <w:trHeight w:val="255" w:hRule="exact"/>
          <w:jc w:val="center"/>
        </w:trPr>
        <w:tc>
          <w:tcPr>
            <w:tcW w:w="3250" w:type="dxa"/>
            <w:gridSpan w:val="3"/>
            <w:vMerge w:val="continue"/>
            <w:tcBorders>
              <w:bottom w:val="single" w:color="auto" w:sz="8" w:space="0"/>
            </w:tcBorders>
            <w:noWrap w:val="0"/>
            <w:tcMar>
              <w:left w:w="0" w:type="dxa"/>
              <w:right w:w="0" w:type="dxa"/>
            </w:tcMar>
            <w:vAlign w:val="top"/>
          </w:tcPr>
          <w:p>
            <w:pPr>
              <w:spacing w:line="240" w:lineRule="exact"/>
              <w:rPr>
                <w:rFonts w:ascii="Nimbus Roman No9 L" w:hAnsi="Nimbus Roman No9 L" w:cs="Nimbus Roman No9 L"/>
                <w:sz w:val="32"/>
                <w:szCs w:val="32"/>
              </w:rPr>
            </w:pPr>
          </w:p>
        </w:tc>
        <w:tc>
          <w:tcPr>
            <w:tcW w:w="2875" w:type="dxa"/>
            <w:gridSpan w:val="3"/>
            <w:tcBorders>
              <w:bottom w:val="single" w:color="auto" w:sz="8" w:space="0"/>
            </w:tcBorders>
            <w:noWrap w:val="0"/>
            <w:vAlign w:val="top"/>
          </w:tcPr>
          <w:p>
            <w:pPr>
              <w:spacing w:line="240" w:lineRule="exact"/>
              <w:ind w:firstLine="333" w:firstLineChars="185"/>
              <w:jc w:val="center"/>
              <w:rPr>
                <w:rFonts w:ascii="Nimbus Roman No9 L" w:hAnsi="Nimbus Roman No9 L" w:cs="Nimbus Roman No9 L"/>
                <w:sz w:val="32"/>
                <w:szCs w:val="32"/>
              </w:rPr>
            </w:pPr>
            <w:r>
              <w:rPr>
                <w:rFonts w:ascii="Nimbus Roman No9 L" w:hAnsi="Nimbus Roman No9 L" w:cs="Nimbus Roman No9 L"/>
                <w:kern w:val="0"/>
                <w:sz w:val="18"/>
                <w:szCs w:val="18"/>
              </w:rPr>
              <w:t>２０</w:t>
            </w:r>
            <w:r>
              <w:rPr>
                <w:rFonts w:hint="eastAsia" w:ascii="Nimbus Roman No9 L" w:hAnsi="Nimbus Roman No9 L" w:cs="Nimbus Roman No9 L"/>
                <w:kern w:val="0"/>
                <w:sz w:val="18"/>
                <w:szCs w:val="18"/>
              </w:rPr>
              <w:t xml:space="preserve">  </w:t>
            </w:r>
            <w:r>
              <w:rPr>
                <w:rFonts w:ascii="Nimbus Roman No9 L" w:hAnsi="Nimbus Roman No9 L" w:cs="Nimbus Roman No9 L"/>
                <w:sz w:val="18"/>
                <w:szCs w:val="18"/>
              </w:rPr>
              <w:t>年</w:t>
            </w:r>
            <w:r>
              <w:rPr>
                <w:rFonts w:hint="eastAsia" w:ascii="Nimbus Roman No9 L" w:hAnsi="Nimbus Roman No9 L" w:cs="Nimbus Roman No9 L"/>
                <w:sz w:val="18"/>
                <w:szCs w:val="18"/>
              </w:rPr>
              <w:t xml:space="preserve">  月</w:t>
            </w:r>
          </w:p>
        </w:tc>
        <w:tc>
          <w:tcPr>
            <w:tcW w:w="1303" w:type="dxa"/>
            <w:tcBorders>
              <w:bottom w:val="single" w:color="auto" w:sz="8" w:space="0"/>
            </w:tcBorders>
            <w:noWrap w:val="0"/>
            <w:vAlign w:val="center"/>
          </w:tcPr>
          <w:p>
            <w:pPr>
              <w:spacing w:line="240" w:lineRule="exact"/>
              <w:ind w:right="-147" w:rightChars="-70"/>
              <w:jc w:val="right"/>
              <w:rPr>
                <w:rFonts w:ascii="Nimbus Roman No9 L" w:hAnsi="Nimbus Roman No9 L" w:cs="Nimbus Roman No9 L"/>
                <w:sz w:val="32"/>
                <w:szCs w:val="32"/>
              </w:rPr>
            </w:pPr>
            <w:r>
              <w:rPr>
                <w:rFonts w:ascii="Nimbus Roman No9 L" w:hAnsi="Nimbus Roman No9 L" w:cs="Nimbus Roman No9 L"/>
                <w:sz w:val="18"/>
                <w:szCs w:val="18"/>
              </w:rPr>
              <w:t>有效期至：</w:t>
            </w:r>
          </w:p>
        </w:tc>
        <w:tc>
          <w:tcPr>
            <w:tcW w:w="2098" w:type="dxa"/>
            <w:gridSpan w:val="3"/>
            <w:tcBorders>
              <w:bottom w:val="single" w:color="auto" w:sz="8" w:space="0"/>
            </w:tcBorders>
            <w:noWrap w:val="0"/>
            <w:vAlign w:val="center"/>
          </w:tcPr>
          <w:p>
            <w:pPr>
              <w:spacing w:line="240" w:lineRule="exact"/>
              <w:ind w:left="-84" w:leftChars="-40" w:right="-84" w:rightChars="-40"/>
              <w:jc w:val="distribute"/>
              <w:rPr>
                <w:rFonts w:hint="eastAsia" w:ascii="宋体" w:hAnsi="宋体" w:cs="宋体"/>
                <w:sz w:val="18"/>
                <w:szCs w:val="18"/>
              </w:rPr>
            </w:pPr>
            <w:r>
              <w:rPr>
                <w:rFonts w:hint="eastAsia" w:ascii="宋体" w:hAnsi="宋体" w:cs="宋体"/>
                <w:sz w:val="18"/>
                <w:szCs w:val="18"/>
              </w:rPr>
              <w:t>2027年1月</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400" w:hRule="atLeast"/>
          <w:jc w:val="center"/>
        </w:trPr>
        <w:tc>
          <w:tcPr>
            <w:tcW w:w="620" w:type="dxa"/>
            <w:gridSpan w:val="2"/>
            <w:tcBorders>
              <w:top w:val="single" w:color="auto" w:sz="8"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sz w:val="18"/>
                <w:shd w:val="clear" w:color="auto" w:fill="D7D7D7"/>
              </w:rPr>
            </w:pPr>
            <w:r>
              <w:rPr>
                <w:rFonts w:hint="eastAsia" w:ascii="Nimbus Roman No9 L" w:hAnsi="Nimbus Roman No9 L" w:cs="Nimbus Roman No9 L"/>
                <w:b/>
                <w:sz w:val="18"/>
                <w:shd w:val="clear" w:color="auto" w:fill="D7D7D7"/>
              </w:rPr>
              <w:t>110</w:t>
            </w:r>
          </w:p>
        </w:tc>
        <w:tc>
          <w:tcPr>
            <w:tcW w:w="8906" w:type="dxa"/>
            <w:gridSpan w:val="8"/>
            <w:tcBorders>
              <w:top w:val="single" w:color="auto" w:sz="8" w:space="0"/>
              <w:left w:val="single" w:color="auto" w:sz="4" w:space="0"/>
              <w:bottom w:val="single" w:color="auto" w:sz="4" w:space="0"/>
              <w:right w:val="nil"/>
            </w:tcBorders>
            <w:shd w:val="clear" w:color="auto" w:fill="D7D7D7"/>
            <w:noWrap w:val="0"/>
            <w:vAlign w:val="center"/>
          </w:tcPr>
          <w:p>
            <w:pPr>
              <w:snapToGrid w:val="0"/>
              <w:rPr>
                <w:rFonts w:hint="eastAsia" w:ascii="宋体" w:hAnsi="宋体" w:cs="宋体"/>
                <w:sz w:val="18"/>
                <w:szCs w:val="18"/>
              </w:rPr>
            </w:pPr>
            <w:r>
              <w:rPr>
                <w:rFonts w:hint="eastAsia" w:ascii="宋体" w:hAnsi="宋体" w:cs="宋体"/>
                <w:sz w:val="18"/>
                <w:szCs w:val="18"/>
              </w:rPr>
              <w:t>单位类型  □ （已视同法人单位的分支机构，请填写“1”）</w:t>
            </w:r>
          </w:p>
          <w:p>
            <w:pPr>
              <w:snapToGrid w:val="0"/>
              <w:ind w:firstLine="180" w:firstLineChars="100"/>
              <w:rPr>
                <w:rFonts w:ascii="宋体" w:hAnsi="宋体" w:cs="Nimbus Roman No9 L"/>
                <w:sz w:val="18"/>
                <w:szCs w:val="18"/>
                <w:shd w:val="clear" w:color="auto" w:fill="D7D7D7"/>
              </w:rPr>
            </w:pPr>
            <w:r>
              <w:rPr>
                <w:rFonts w:hint="eastAsia" w:ascii="宋体" w:hAnsi="宋体" w:cs="宋体"/>
                <w:sz w:val="18"/>
                <w:szCs w:val="18"/>
              </w:rPr>
              <w:t>1法人单位    3个体经营户</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gridAfter w:val="1"/>
          <w:wBefore w:w="57" w:type="dxa"/>
          <w:wAfter w:w="13" w:type="dxa"/>
          <w:trHeight w:val="283"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sz w:val="18"/>
                <w:szCs w:val="18"/>
              </w:rPr>
            </w:pPr>
            <w:r>
              <w:rPr>
                <w:rFonts w:ascii="Nimbus Roman No9 L" w:hAnsi="Nimbus Roman No9 L" w:cs="Nimbus Roman No9 L"/>
                <w:b/>
                <w:bCs/>
                <w:sz w:val="16"/>
                <w:szCs w:val="18"/>
              </w:rPr>
              <w:t>100</w:t>
            </w:r>
          </w:p>
        </w:tc>
        <w:tc>
          <w:tcPr>
            <w:tcW w:w="8893" w:type="dxa"/>
            <w:gridSpan w:val="7"/>
            <w:tcBorders>
              <w:top w:val="single" w:color="auto" w:sz="4" w:space="0"/>
              <w:left w:val="single" w:color="auto" w:sz="4" w:space="0"/>
              <w:bottom w:val="single" w:color="auto" w:sz="4" w:space="0"/>
              <w:right w:val="nil"/>
            </w:tcBorders>
            <w:shd w:val="clear" w:color="auto" w:fill="D7D7D7"/>
            <w:noWrap w:val="0"/>
            <w:vAlign w:val="center"/>
          </w:tcPr>
          <w:p>
            <w:pPr>
              <w:spacing w:line="240" w:lineRule="exact"/>
              <w:rPr>
                <w:rFonts w:ascii="宋体" w:hAnsi="宋体" w:cs="Nimbus Roman No9 L"/>
                <w:sz w:val="18"/>
                <w:szCs w:val="18"/>
              </w:rPr>
            </w:pPr>
            <w:r>
              <w:rPr>
                <w:rFonts w:ascii="宋体" w:hAnsi="宋体" w:cs="Nimbus Roman No9 L"/>
                <w:sz w:val="18"/>
                <w:szCs w:val="18"/>
              </w:rPr>
              <w:t xml:space="preserve">是否为“视同法人单位”？如是，请勾选  □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283"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shd w:val="clear" w:color="auto" w:fill="D7D7D7"/>
              </w:rPr>
            </w:pPr>
            <w:r>
              <w:rPr>
                <w:rFonts w:ascii="Nimbus Roman No9 L" w:hAnsi="Nimbus Roman No9 L" w:cs="Nimbus Roman No9 L"/>
                <w:b/>
                <w:sz w:val="18"/>
                <w:shd w:val="clear" w:color="auto" w:fill="D7D7D7"/>
              </w:rPr>
              <w:t>109</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hd w:val="clear" w:color="auto" w:fill="D0CECE"/>
              <w:spacing w:line="240" w:lineRule="exact"/>
              <w:rPr>
                <w:rFonts w:ascii="宋体" w:hAnsi="宋体" w:cs="Nimbus Roman No9 L"/>
                <w:sz w:val="18"/>
                <w:szCs w:val="18"/>
                <w:shd w:val="clear" w:color="auto" w:fill="D7D7D7"/>
              </w:rPr>
            </w:pPr>
            <w:r>
              <w:rPr>
                <w:rFonts w:ascii="宋体" w:hAnsi="宋体" w:cs="Nimbus Roman No9 L"/>
                <w:sz w:val="18"/>
                <w:szCs w:val="18"/>
                <w:shd w:val="clear" w:color="auto" w:fill="D7D7D7"/>
              </w:rPr>
              <w:t xml:space="preserve">统一社会信用代码□□□□□□□□□□□□□□□□□□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283"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shd w:val="clear" w:color="auto" w:fill="D7D7D7"/>
              </w:rPr>
            </w:pPr>
            <w:r>
              <w:rPr>
                <w:rFonts w:ascii="Nimbus Roman No9 L" w:hAnsi="Nimbus Roman No9 L" w:cs="Nimbus Roman No9 L"/>
                <w:b/>
                <w:bCs/>
                <w:sz w:val="18"/>
                <w:szCs w:val="18"/>
                <w:shd w:val="clear" w:color="auto" w:fill="D7D7D7"/>
              </w:rPr>
              <w:t>102</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00" w:lineRule="exact"/>
              <w:rPr>
                <w:rFonts w:ascii="宋体" w:hAnsi="宋体" w:cs="Nimbus Roman No9 L"/>
                <w:sz w:val="18"/>
                <w:szCs w:val="18"/>
                <w:shd w:val="clear" w:color="auto" w:fill="D7D7D7"/>
              </w:rPr>
            </w:pPr>
            <w:r>
              <w:rPr>
                <w:rFonts w:ascii="宋体" w:hAnsi="宋体" w:cs="Nimbus Roman No9 L"/>
                <w:sz w:val="18"/>
                <w:szCs w:val="18"/>
                <w:shd w:val="clear" w:color="auto" w:fill="D7D7D7"/>
              </w:rPr>
              <w:t xml:space="preserve">单位详细名称  </w:t>
            </w:r>
            <w:r>
              <w:rPr>
                <w:rFonts w:ascii="宋体" w:hAnsi="宋体" w:cs="Nimbus Roman No9 L"/>
                <w:sz w:val="18"/>
                <w:szCs w:val="18"/>
                <w:u w:val="single"/>
                <w:shd w:val="clear" w:color="auto" w:fill="D7D7D7"/>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283"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201</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rPr>
                <w:rFonts w:ascii="宋体" w:hAnsi="宋体" w:cs="Nimbus Roman No9 L"/>
                <w:sz w:val="18"/>
                <w:szCs w:val="18"/>
              </w:rPr>
            </w:pPr>
            <w:r>
              <w:rPr>
                <w:rFonts w:ascii="宋体" w:hAnsi="宋体" w:cs="Nimbus Roman No9 L"/>
                <w:sz w:val="18"/>
                <w:szCs w:val="18"/>
              </w:rPr>
              <w:t>法定代表人(单位负责人)</w:t>
            </w:r>
            <w:r>
              <w:rPr>
                <w:rFonts w:ascii="宋体" w:hAnsi="宋体" w:cs="Nimbus Roman No9 L"/>
                <w:sz w:val="18"/>
                <w:szCs w:val="18"/>
                <w:u w:val="single"/>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333"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202</w:t>
            </w:r>
          </w:p>
        </w:tc>
        <w:tc>
          <w:tcPr>
            <w:tcW w:w="4389" w:type="dxa"/>
            <w:gridSpan w:val="3"/>
            <w:tcBorders>
              <w:top w:val="single" w:color="auto" w:sz="4" w:space="0"/>
              <w:left w:val="single" w:color="auto" w:sz="4" w:space="0"/>
              <w:bottom w:val="single" w:color="auto" w:sz="4" w:space="0"/>
              <w:right w:val="single" w:color="auto" w:sz="4" w:space="0"/>
            </w:tcBorders>
            <w:shd w:val="clear" w:color="auto" w:fill="D7D7D7"/>
            <w:noWrap w:val="0"/>
            <w:vAlign w:val="center"/>
          </w:tcPr>
          <w:p>
            <w:pPr>
              <w:spacing w:line="240" w:lineRule="exact"/>
              <w:rPr>
                <w:rFonts w:ascii="宋体" w:hAnsi="宋体" w:cs="Nimbus Roman No9 L"/>
                <w:sz w:val="18"/>
                <w:szCs w:val="18"/>
              </w:rPr>
            </w:pPr>
            <w:r>
              <w:rPr>
                <w:rFonts w:ascii="宋体" w:hAnsi="宋体" w:cs="Nimbus Roman No9 L"/>
                <w:sz w:val="18"/>
                <w:szCs w:val="18"/>
              </w:rPr>
              <w:t>1成立时间（所有单位填报）</w:t>
            </w:r>
            <w:r>
              <w:rPr>
                <w:rFonts w:ascii="宋体" w:hAnsi="宋体" w:cs="Nimbus Roman No9 L"/>
                <w:sz w:val="18"/>
                <w:szCs w:val="18"/>
                <w:u w:val="single"/>
              </w:rPr>
              <w:t xml:space="preserve">        </w:t>
            </w:r>
            <w:r>
              <w:rPr>
                <w:rFonts w:ascii="宋体" w:hAnsi="宋体" w:cs="Nimbus Roman No9 L"/>
                <w:sz w:val="18"/>
                <w:szCs w:val="18"/>
              </w:rPr>
              <w:t>年</w:t>
            </w:r>
            <w:r>
              <w:rPr>
                <w:rFonts w:ascii="宋体" w:hAnsi="宋体" w:cs="Nimbus Roman No9 L"/>
                <w:sz w:val="18"/>
                <w:szCs w:val="18"/>
                <w:u w:val="single"/>
              </w:rPr>
              <w:t xml:space="preserve">         </w:t>
            </w:r>
            <w:r>
              <w:rPr>
                <w:rFonts w:ascii="宋体" w:hAnsi="宋体" w:cs="Nimbus Roman No9 L"/>
                <w:sz w:val="18"/>
                <w:szCs w:val="18"/>
              </w:rPr>
              <w:t>月</w:t>
            </w:r>
          </w:p>
        </w:tc>
        <w:tc>
          <w:tcPr>
            <w:tcW w:w="4517" w:type="dxa"/>
            <w:gridSpan w:val="5"/>
            <w:tcBorders>
              <w:top w:val="single" w:color="auto" w:sz="4" w:space="0"/>
              <w:left w:val="single" w:color="auto" w:sz="4" w:space="0"/>
              <w:bottom w:val="single" w:color="auto" w:sz="4" w:space="0"/>
              <w:right w:val="nil"/>
            </w:tcBorders>
            <w:shd w:val="clear" w:color="auto" w:fill="D7D7D7"/>
            <w:noWrap w:val="0"/>
            <w:vAlign w:val="center"/>
          </w:tcPr>
          <w:p>
            <w:pPr>
              <w:spacing w:line="240" w:lineRule="exact"/>
              <w:rPr>
                <w:rFonts w:ascii="宋体" w:hAnsi="宋体" w:cs="Nimbus Roman No9 L"/>
                <w:sz w:val="18"/>
                <w:szCs w:val="18"/>
              </w:rPr>
            </w:pPr>
            <w:r>
              <w:rPr>
                <w:rFonts w:ascii="宋体" w:hAnsi="宋体" w:cs="Nimbus Roman No9 L"/>
                <w:sz w:val="18"/>
                <w:szCs w:val="18"/>
              </w:rPr>
              <w:t>2开业时间（仅限企业填报）</w:t>
            </w:r>
            <w:r>
              <w:rPr>
                <w:rFonts w:ascii="宋体" w:hAnsi="宋体" w:cs="Nimbus Roman No9 L"/>
                <w:sz w:val="18"/>
                <w:szCs w:val="18"/>
                <w:u w:val="single"/>
              </w:rPr>
              <w:t xml:space="preserve">        </w:t>
            </w:r>
            <w:r>
              <w:rPr>
                <w:rFonts w:ascii="宋体" w:hAnsi="宋体" w:cs="Nimbus Roman No9 L"/>
                <w:sz w:val="18"/>
                <w:szCs w:val="18"/>
              </w:rPr>
              <w:t>年</w:t>
            </w:r>
            <w:r>
              <w:rPr>
                <w:rFonts w:ascii="宋体" w:hAnsi="宋体" w:cs="Nimbus Roman No9 L"/>
                <w:sz w:val="18"/>
                <w:szCs w:val="18"/>
                <w:u w:val="single"/>
              </w:rPr>
              <w:t xml:space="preserve">         </w:t>
            </w:r>
            <w:r>
              <w:rPr>
                <w:rFonts w:ascii="宋体" w:hAnsi="宋体" w:cs="Nimbus Roman No9 L"/>
                <w:sz w:val="18"/>
                <w:szCs w:val="18"/>
              </w:rPr>
              <w:t>月</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892"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203</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00" w:lineRule="exact"/>
              <w:rPr>
                <w:rFonts w:ascii="宋体" w:hAnsi="宋体" w:cs="Nimbus Roman No9 L"/>
                <w:sz w:val="18"/>
                <w:szCs w:val="18"/>
              </w:rPr>
            </w:pPr>
            <w:r>
              <w:rPr>
                <w:rFonts w:ascii="宋体" w:hAnsi="宋体" w:cs="Nimbus Roman No9 L"/>
                <w:sz w:val="18"/>
                <w:szCs w:val="18"/>
              </w:rPr>
              <w:t>联系方式</w:t>
            </w:r>
          </w:p>
          <w:p>
            <w:pPr>
              <w:spacing w:line="200" w:lineRule="exact"/>
              <w:ind w:firstLine="180" w:firstLineChars="100"/>
              <w:rPr>
                <w:rFonts w:ascii="宋体" w:hAnsi="宋体" w:cs="Nimbus Roman No9 L"/>
                <w:sz w:val="18"/>
                <w:szCs w:val="18"/>
              </w:rPr>
            </w:pPr>
            <w:r>
              <w:rPr>
                <w:rFonts w:ascii="宋体" w:hAnsi="宋体" w:cs="Nimbus Roman No9 L"/>
                <w:sz w:val="18"/>
                <w:szCs w:val="18"/>
              </w:rPr>
              <w:t>长途区号    □□□□□</w:t>
            </w:r>
          </w:p>
          <w:p>
            <w:pPr>
              <w:spacing w:line="200" w:lineRule="exact"/>
              <w:ind w:firstLine="180" w:firstLineChars="100"/>
              <w:rPr>
                <w:rFonts w:ascii="宋体" w:hAnsi="宋体" w:cs="Nimbus Roman No9 L"/>
                <w:sz w:val="18"/>
                <w:szCs w:val="18"/>
              </w:rPr>
            </w:pPr>
            <w:r>
              <w:rPr>
                <w:rFonts w:ascii="宋体" w:hAnsi="宋体" w:cs="Nimbus Roman No9 L"/>
                <w:sz w:val="18"/>
                <w:szCs w:val="18"/>
              </w:rPr>
              <w:t>固定电话    □□□□□□□□-□□□□□□</w:t>
            </w:r>
          </w:p>
          <w:p>
            <w:pPr>
              <w:spacing w:line="200" w:lineRule="exact"/>
              <w:ind w:firstLine="180" w:firstLineChars="100"/>
              <w:rPr>
                <w:rFonts w:ascii="宋体" w:hAnsi="宋体" w:cs="Nimbus Roman No9 L"/>
                <w:sz w:val="18"/>
                <w:szCs w:val="18"/>
              </w:rPr>
            </w:pPr>
            <w:r>
              <w:rPr>
                <w:rFonts w:ascii="宋体" w:hAnsi="宋体" w:cs="Nimbus Roman No9 L"/>
                <w:sz w:val="18"/>
                <w:szCs w:val="18"/>
              </w:rPr>
              <w:t>移动电话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786" w:hRule="atLeast"/>
          <w:jc w:val="center"/>
        </w:trPr>
        <w:tc>
          <w:tcPr>
            <w:tcW w:w="620" w:type="dxa"/>
            <w:gridSpan w:val="2"/>
            <w:vMerge w:val="restart"/>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105</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00" w:lineRule="exact"/>
              <w:rPr>
                <w:rFonts w:ascii="宋体" w:hAnsi="宋体" w:cs="Nimbus Roman No9 L"/>
                <w:sz w:val="18"/>
                <w:szCs w:val="18"/>
              </w:rPr>
            </w:pPr>
            <w:r>
              <w:rPr>
                <w:rFonts w:ascii="宋体" w:hAnsi="宋体" w:cs="Nimbus Roman No9 L"/>
                <w:sz w:val="18"/>
                <w:szCs w:val="18"/>
              </w:rPr>
              <w:t xml:space="preserve">单位所在地区划及详细地址               </w:t>
            </w:r>
          </w:p>
          <w:p>
            <w:pPr>
              <w:snapToGrid w:val="0"/>
              <w:ind w:left="210" w:leftChars="100"/>
              <w:rPr>
                <w:rFonts w:ascii="宋体" w:hAnsi="宋体" w:cs="Nimbus Roman No9 L"/>
                <w:sz w:val="18"/>
                <w:szCs w:val="18"/>
              </w:rPr>
            </w:pPr>
            <w:r>
              <w:rPr>
                <w:rFonts w:ascii="宋体" w:hAnsi="宋体" w:cs="Nimbus Roman No9 L"/>
                <w:sz w:val="18"/>
                <w:szCs w:val="18"/>
                <w:u w:val="single"/>
              </w:rPr>
              <w:t xml:space="preserve">              </w:t>
            </w:r>
            <w:r>
              <w:rPr>
                <w:rFonts w:ascii="宋体" w:hAnsi="宋体" w:cs="Nimbus Roman No9 L"/>
                <w:sz w:val="18"/>
                <w:szCs w:val="18"/>
              </w:rPr>
              <w:t>省(自治区、直辖市)</w:t>
            </w:r>
            <w:r>
              <w:rPr>
                <w:rFonts w:ascii="宋体" w:hAnsi="宋体" w:cs="Nimbus Roman No9 L"/>
                <w:sz w:val="18"/>
                <w:szCs w:val="18"/>
                <w:u w:val="single"/>
              </w:rPr>
              <w:t xml:space="preserve">              </w:t>
            </w:r>
            <w:r>
              <w:rPr>
                <w:rFonts w:hint="eastAsia" w:ascii="宋体" w:hAnsi="宋体" w:cs="Nimbus Roman No9 L"/>
                <w:sz w:val="18"/>
                <w:szCs w:val="18"/>
              </w:rPr>
              <w:t>地</w:t>
            </w:r>
            <w:r>
              <w:rPr>
                <w:rFonts w:ascii="宋体" w:hAnsi="宋体" w:cs="Nimbus Roman No9 L"/>
                <w:sz w:val="18"/>
                <w:szCs w:val="18"/>
              </w:rPr>
              <w:t>(</w:t>
            </w:r>
            <w:r>
              <w:rPr>
                <w:rFonts w:hint="eastAsia" w:ascii="宋体" w:hAnsi="宋体" w:cs="Nimbus Roman No9 L"/>
                <w:sz w:val="18"/>
                <w:szCs w:val="18"/>
              </w:rPr>
              <w:t>市</w:t>
            </w:r>
            <w:r>
              <w:rPr>
                <w:rFonts w:ascii="宋体" w:hAnsi="宋体" w:cs="Nimbus Roman No9 L"/>
                <w:sz w:val="18"/>
                <w:szCs w:val="18"/>
              </w:rPr>
              <w:t>、州、盟)</w:t>
            </w:r>
            <w:r>
              <w:rPr>
                <w:rFonts w:ascii="宋体" w:hAnsi="宋体" w:cs="Nimbus Roman No9 L"/>
                <w:sz w:val="18"/>
                <w:szCs w:val="18"/>
                <w:u w:val="single"/>
              </w:rPr>
              <w:t xml:space="preserve">                  </w:t>
            </w:r>
            <w:r>
              <w:rPr>
                <w:rFonts w:ascii="宋体" w:hAnsi="宋体" w:cs="Nimbus Roman No9 L"/>
                <w:sz w:val="18"/>
                <w:szCs w:val="18"/>
              </w:rPr>
              <w:t>县(市、区、旗)</w:t>
            </w:r>
          </w:p>
          <w:p>
            <w:pPr>
              <w:snapToGrid w:val="0"/>
              <w:ind w:left="210" w:leftChars="100"/>
              <w:rPr>
                <w:rFonts w:ascii="宋体" w:hAnsi="宋体" w:cs="Nimbus Roman No9 L"/>
                <w:sz w:val="18"/>
                <w:szCs w:val="18"/>
              </w:rPr>
            </w:pPr>
            <w:r>
              <w:rPr>
                <w:rFonts w:ascii="宋体" w:hAnsi="宋体" w:cs="Nimbus Roman No9 L"/>
                <w:sz w:val="18"/>
                <w:szCs w:val="18"/>
                <w:u w:val="single"/>
              </w:rPr>
              <w:t xml:space="preserve">   　　　　   </w:t>
            </w:r>
            <w:r>
              <w:rPr>
                <w:rFonts w:ascii="宋体" w:hAnsi="宋体" w:cs="Nimbus Roman No9 L"/>
                <w:sz w:val="18"/>
                <w:szCs w:val="18"/>
              </w:rPr>
              <w:t>乡(镇、街道)</w:t>
            </w:r>
            <w:r>
              <w:rPr>
                <w:rFonts w:ascii="宋体" w:hAnsi="宋体" w:cs="Nimbus Roman No9 L"/>
                <w:sz w:val="18"/>
                <w:szCs w:val="18"/>
                <w:u w:val="single"/>
              </w:rPr>
              <w:t xml:space="preserve">              </w:t>
            </w:r>
            <w:r>
              <w:rPr>
                <w:rFonts w:ascii="宋体" w:hAnsi="宋体" w:cs="Nimbus Roman No9 L"/>
                <w:sz w:val="18"/>
                <w:szCs w:val="18"/>
              </w:rPr>
              <w:t xml:space="preserve">村（居）委会 </w:t>
            </w:r>
            <w:r>
              <w:rPr>
                <w:rFonts w:ascii="宋体" w:hAnsi="宋体" w:cs="Nimbus Roman No9 L"/>
                <w:sz w:val="18"/>
                <w:szCs w:val="18"/>
                <w:u w:val="single"/>
              </w:rPr>
              <w:t xml:space="preserve">      　    　　　</w:t>
            </w:r>
            <w:r>
              <w:rPr>
                <w:rFonts w:ascii="宋体" w:hAnsi="宋体" w:cs="Nimbus Roman No9 L"/>
                <w:sz w:val="18"/>
                <w:szCs w:val="18"/>
              </w:rPr>
              <w:t>街（路）、门牌号</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333" w:hRule="atLeast"/>
          <w:jc w:val="center"/>
        </w:trPr>
        <w:tc>
          <w:tcPr>
            <w:tcW w:w="620" w:type="dxa"/>
            <w:gridSpan w:val="2"/>
            <w:vMerge w:val="continue"/>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ind w:firstLine="180" w:firstLineChars="100"/>
              <w:rPr>
                <w:rFonts w:ascii="宋体" w:hAnsi="宋体" w:cs="Nimbus Roman No9 L"/>
                <w:sz w:val="18"/>
                <w:szCs w:val="18"/>
              </w:rPr>
            </w:pPr>
            <w:r>
              <w:rPr>
                <w:rFonts w:ascii="宋体" w:hAnsi="宋体" w:cs="Nimbus Roman No9 L"/>
                <w:sz w:val="18"/>
                <w:szCs w:val="18"/>
              </w:rPr>
              <w:t xml:space="preserve">区划代码    □□□□□□□□□□□□       </w:t>
            </w:r>
            <w:r>
              <w:rPr>
                <w:rFonts w:ascii="宋体" w:hAnsi="宋体" w:cs="Nimbus Roman No9 L"/>
                <w:w w:val="110"/>
                <w:sz w:val="18"/>
                <w:szCs w:val="18"/>
              </w:rPr>
              <w:t xml:space="preserve">  </w:t>
            </w:r>
            <w:r>
              <w:rPr>
                <w:rFonts w:ascii="宋体" w:hAnsi="宋体" w:cs="Nimbus Roman No9 L"/>
                <w:sz w:val="18"/>
                <w:szCs w:val="18"/>
              </w:rPr>
              <w:t>城乡代码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1021" w:hRule="atLeast"/>
          <w:jc w:val="center"/>
        </w:trPr>
        <w:tc>
          <w:tcPr>
            <w:tcW w:w="620" w:type="dxa"/>
            <w:gridSpan w:val="2"/>
            <w:vMerge w:val="restart"/>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106</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rPr>
                <w:rFonts w:ascii="宋体" w:hAnsi="宋体" w:cs="Nimbus Roman No9 L"/>
                <w:sz w:val="18"/>
                <w:szCs w:val="18"/>
              </w:rPr>
            </w:pPr>
            <w:r>
              <w:rPr>
                <w:rFonts w:ascii="宋体" w:hAnsi="宋体" w:cs="Nimbus Roman No9 L"/>
                <w:sz w:val="18"/>
                <w:szCs w:val="18"/>
              </w:rPr>
              <w:t xml:space="preserve">单位注册地区划及详细地址             </w:t>
            </w:r>
          </w:p>
          <w:p>
            <w:pPr>
              <w:spacing w:line="220" w:lineRule="exact"/>
              <w:ind w:firstLine="180" w:firstLineChars="100"/>
              <w:rPr>
                <w:rFonts w:ascii="宋体" w:hAnsi="宋体" w:cs="Nimbus Roman No9 L"/>
                <w:sz w:val="18"/>
                <w:szCs w:val="18"/>
              </w:rPr>
            </w:pPr>
            <w:r>
              <w:rPr>
                <w:rFonts w:ascii="宋体" w:hAnsi="宋体" w:cs="Nimbus Roman No9 L"/>
                <w:sz w:val="18"/>
                <w:szCs w:val="18"/>
              </w:rPr>
              <w:t>是否与单位所在地详细地址一致：   □ 1是，2否</w:t>
            </w:r>
          </w:p>
          <w:p>
            <w:pPr>
              <w:snapToGrid w:val="0"/>
              <w:ind w:left="210" w:leftChars="100"/>
              <w:rPr>
                <w:rFonts w:ascii="宋体" w:hAnsi="宋体" w:cs="Nimbus Roman No9 L"/>
                <w:sz w:val="18"/>
                <w:szCs w:val="18"/>
              </w:rPr>
            </w:pPr>
            <w:r>
              <w:rPr>
                <w:rFonts w:ascii="宋体" w:hAnsi="宋体" w:cs="Nimbus Roman No9 L"/>
                <w:sz w:val="18"/>
                <w:szCs w:val="18"/>
                <w:u w:val="single"/>
              </w:rPr>
              <w:t xml:space="preserve">              </w:t>
            </w:r>
            <w:r>
              <w:rPr>
                <w:rFonts w:ascii="宋体" w:hAnsi="宋体" w:cs="Nimbus Roman No9 L"/>
                <w:sz w:val="18"/>
                <w:szCs w:val="18"/>
              </w:rPr>
              <w:t>省(自治区、直辖市)</w:t>
            </w:r>
            <w:r>
              <w:rPr>
                <w:rFonts w:ascii="宋体" w:hAnsi="宋体" w:cs="Nimbus Roman No9 L"/>
                <w:sz w:val="18"/>
                <w:szCs w:val="18"/>
                <w:u w:val="single"/>
              </w:rPr>
              <w:t xml:space="preserve">              </w:t>
            </w:r>
            <w:r>
              <w:rPr>
                <w:rFonts w:ascii="宋体" w:hAnsi="宋体" w:cs="Nimbus Roman No9 L"/>
                <w:sz w:val="18"/>
                <w:szCs w:val="18"/>
              </w:rPr>
              <w:t>地(市、州、盟)</w:t>
            </w:r>
            <w:r>
              <w:rPr>
                <w:rFonts w:ascii="宋体" w:hAnsi="宋体" w:cs="Nimbus Roman No9 L"/>
                <w:sz w:val="18"/>
                <w:szCs w:val="18"/>
                <w:u w:val="single"/>
              </w:rPr>
              <w:t xml:space="preserve">                  </w:t>
            </w:r>
            <w:r>
              <w:rPr>
                <w:rFonts w:ascii="宋体" w:hAnsi="宋体" w:cs="Nimbus Roman No9 L"/>
                <w:sz w:val="18"/>
                <w:szCs w:val="18"/>
              </w:rPr>
              <w:t>县(市、区、旗)</w:t>
            </w:r>
          </w:p>
          <w:p>
            <w:pPr>
              <w:snapToGrid w:val="0"/>
              <w:ind w:left="210" w:leftChars="100"/>
              <w:rPr>
                <w:rFonts w:ascii="宋体" w:hAnsi="宋体" w:cs="Nimbus Roman No9 L"/>
                <w:sz w:val="18"/>
                <w:szCs w:val="18"/>
              </w:rPr>
            </w:pPr>
            <w:r>
              <w:rPr>
                <w:rFonts w:ascii="宋体" w:hAnsi="宋体" w:cs="Nimbus Roman No9 L"/>
                <w:sz w:val="18"/>
                <w:szCs w:val="18"/>
                <w:u w:val="single"/>
              </w:rPr>
              <w:t xml:space="preserve">   　　　　   </w:t>
            </w:r>
            <w:r>
              <w:rPr>
                <w:rFonts w:ascii="宋体" w:hAnsi="宋体" w:cs="Nimbus Roman No9 L"/>
                <w:sz w:val="18"/>
                <w:szCs w:val="18"/>
              </w:rPr>
              <w:t>乡(镇、街道)</w:t>
            </w:r>
            <w:r>
              <w:rPr>
                <w:rFonts w:ascii="宋体" w:hAnsi="宋体" w:cs="Nimbus Roman No9 L"/>
                <w:sz w:val="18"/>
                <w:szCs w:val="18"/>
                <w:u w:val="single"/>
              </w:rPr>
              <w:t xml:space="preserve">              </w:t>
            </w:r>
            <w:r>
              <w:rPr>
                <w:rFonts w:ascii="宋体" w:hAnsi="宋体" w:cs="Nimbus Roman No9 L"/>
                <w:sz w:val="18"/>
                <w:szCs w:val="18"/>
              </w:rPr>
              <w:t xml:space="preserve">村（居）委会 </w:t>
            </w:r>
            <w:r>
              <w:rPr>
                <w:rFonts w:ascii="宋体" w:hAnsi="宋体" w:cs="Nimbus Roman No9 L"/>
                <w:sz w:val="18"/>
                <w:szCs w:val="18"/>
                <w:u w:val="single"/>
              </w:rPr>
              <w:t xml:space="preserve">      　    　　　</w:t>
            </w:r>
            <w:r>
              <w:rPr>
                <w:rFonts w:ascii="宋体" w:hAnsi="宋体" w:cs="Nimbus Roman No9 L"/>
                <w:sz w:val="18"/>
                <w:szCs w:val="18"/>
              </w:rPr>
              <w:t>街（路）、门牌号</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319" w:hRule="atLeast"/>
          <w:jc w:val="center"/>
        </w:trPr>
        <w:tc>
          <w:tcPr>
            <w:tcW w:w="620" w:type="dxa"/>
            <w:gridSpan w:val="2"/>
            <w:vMerge w:val="continue"/>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ind w:firstLine="180" w:firstLineChars="100"/>
              <w:rPr>
                <w:rFonts w:ascii="宋体" w:hAnsi="宋体" w:cs="Nimbus Roman No9 L"/>
                <w:sz w:val="18"/>
                <w:szCs w:val="18"/>
              </w:rPr>
            </w:pPr>
            <w:r>
              <w:rPr>
                <w:rFonts w:ascii="宋体" w:hAnsi="宋体" w:cs="Nimbus Roman No9 L"/>
                <w:sz w:val="18"/>
                <w:szCs w:val="18"/>
              </w:rPr>
              <w:t xml:space="preserve">区划代码    □□□□□□□□□□□□       </w:t>
            </w:r>
            <w:r>
              <w:rPr>
                <w:rFonts w:ascii="宋体" w:hAnsi="宋体" w:cs="Nimbus Roman No9 L"/>
                <w:w w:val="110"/>
                <w:sz w:val="18"/>
                <w:szCs w:val="18"/>
              </w:rPr>
              <w:t xml:space="preserve">  </w:t>
            </w:r>
            <w:r>
              <w:rPr>
                <w:rFonts w:ascii="宋体" w:hAnsi="宋体" w:cs="Nimbus Roman No9 L"/>
                <w:sz w:val="18"/>
                <w:szCs w:val="18"/>
              </w:rPr>
              <w:t xml:space="preserve">城乡代码    □□□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369" w:hRule="exac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208</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napToGrid w:val="0"/>
              <w:rPr>
                <w:rFonts w:ascii="宋体" w:hAnsi="宋体" w:cs="Nimbus Roman No9 L"/>
                <w:sz w:val="18"/>
                <w:szCs w:val="18"/>
              </w:rPr>
            </w:pPr>
            <w:r>
              <w:rPr>
                <w:rFonts w:ascii="宋体" w:hAnsi="宋体" w:cs="Nimbus Roman No9 L"/>
                <w:sz w:val="18"/>
                <w:szCs w:val="18"/>
              </w:rPr>
              <w:t>运营状态□  1正常运营 2停业(歇业) 3筹建 4当年关闭  5当年破产 6当年注销 7当年撤（吊）销 9其他</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747" w:hRule="atLeast"/>
          <w:jc w:val="center"/>
        </w:trPr>
        <w:tc>
          <w:tcPr>
            <w:tcW w:w="620" w:type="dxa"/>
            <w:gridSpan w:val="2"/>
            <w:vMerge w:val="restart"/>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103</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rPr>
                <w:rFonts w:ascii="宋体" w:hAnsi="宋体" w:cs="Nimbus Roman No9 L"/>
                <w:sz w:val="18"/>
                <w:szCs w:val="18"/>
              </w:rPr>
            </w:pPr>
            <w:r>
              <w:rPr>
                <w:rFonts w:ascii="宋体" w:hAnsi="宋体" w:cs="Nimbus Roman No9 L"/>
                <w:sz w:val="18"/>
                <w:szCs w:val="18"/>
              </w:rPr>
              <w:t xml:space="preserve">行业类别                                                    </w:t>
            </w:r>
          </w:p>
          <w:p>
            <w:pPr>
              <w:spacing w:line="220" w:lineRule="exact"/>
              <w:ind w:firstLine="180" w:firstLineChars="100"/>
              <w:rPr>
                <w:rFonts w:ascii="宋体" w:hAnsi="宋体" w:cs="Nimbus Roman No9 L"/>
                <w:sz w:val="18"/>
                <w:szCs w:val="18"/>
              </w:rPr>
            </w:pPr>
            <w:r>
              <w:rPr>
                <w:rFonts w:ascii="宋体" w:hAnsi="宋体" w:cs="Nimbus Roman No9 L"/>
                <w:sz w:val="18"/>
                <w:szCs w:val="18"/>
              </w:rPr>
              <w:t>主要业务活动</w:t>
            </w:r>
          </w:p>
          <w:p>
            <w:pPr>
              <w:spacing w:line="220" w:lineRule="exact"/>
              <w:ind w:firstLine="180" w:firstLineChars="100"/>
              <w:rPr>
                <w:rFonts w:ascii="宋体" w:hAnsi="宋体" w:cs="Nimbus Roman No9 L"/>
                <w:sz w:val="18"/>
                <w:szCs w:val="18"/>
              </w:rPr>
            </w:pPr>
            <w:r>
              <w:rPr>
                <w:rFonts w:ascii="宋体" w:hAnsi="宋体" w:cs="Nimbus Roman No9 L"/>
                <w:sz w:val="18"/>
                <w:szCs w:val="18"/>
              </w:rPr>
              <w:t>1</w:t>
            </w:r>
            <w:r>
              <w:rPr>
                <w:rFonts w:ascii="宋体" w:hAnsi="宋体" w:cs="Nimbus Roman No9 L"/>
                <w:sz w:val="18"/>
                <w:szCs w:val="18"/>
                <w:u w:val="single"/>
              </w:rPr>
              <w:t xml:space="preserve">                              </w:t>
            </w:r>
            <w:r>
              <w:rPr>
                <w:rFonts w:ascii="宋体" w:hAnsi="宋体" w:cs="Nimbus Roman No9 L"/>
                <w:sz w:val="18"/>
                <w:szCs w:val="18"/>
              </w:rPr>
              <w:t xml:space="preserve">    2</w:t>
            </w:r>
            <w:r>
              <w:rPr>
                <w:rFonts w:ascii="宋体" w:hAnsi="宋体" w:cs="Nimbus Roman No9 L"/>
                <w:sz w:val="18"/>
                <w:szCs w:val="18"/>
                <w:u w:val="single"/>
              </w:rPr>
              <w:t xml:space="preserve">                              </w:t>
            </w:r>
            <w:r>
              <w:rPr>
                <w:rFonts w:ascii="宋体" w:hAnsi="宋体" w:cs="Nimbus Roman No9 L"/>
                <w:sz w:val="18"/>
                <w:szCs w:val="18"/>
              </w:rPr>
              <w:t xml:space="preserve">    3</w:t>
            </w:r>
            <w:r>
              <w:rPr>
                <w:rFonts w:ascii="宋体" w:hAnsi="宋体" w:cs="Nimbus Roman No9 L"/>
                <w:sz w:val="18"/>
                <w:szCs w:val="18"/>
                <w:u w:val="single"/>
              </w:rPr>
              <w:t xml:space="preserve">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309" w:hRule="atLeast"/>
          <w:jc w:val="center"/>
        </w:trPr>
        <w:tc>
          <w:tcPr>
            <w:tcW w:w="620" w:type="dxa"/>
            <w:gridSpan w:val="2"/>
            <w:vMerge w:val="continue"/>
            <w:tcBorders>
              <w:top w:val="single" w:color="auto" w:sz="4" w:space="0"/>
              <w:left w:val="nil"/>
              <w:bottom w:val="single" w:color="auto" w:sz="4" w:space="0"/>
              <w:right w:val="single" w:color="auto" w:sz="4" w:space="0"/>
            </w:tcBorders>
            <w:shd w:val="clear" w:color="auto" w:fill="auto"/>
            <w:noWrap w:val="0"/>
            <w:vAlign w:val="center"/>
          </w:tcPr>
          <w:p>
            <w:pPr>
              <w:spacing w:line="220" w:lineRule="exact"/>
              <w:jc w:val="center"/>
              <w:rPr>
                <w:rFonts w:ascii="Nimbus Roman No9 L" w:hAnsi="Nimbus Roman No9 L" w:cs="Nimbus Roman No9 L"/>
                <w:b/>
                <w:bCs/>
                <w:sz w:val="18"/>
                <w:szCs w:val="18"/>
              </w:rPr>
            </w:pP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00" w:lineRule="exact"/>
              <w:ind w:firstLine="180" w:firstLineChars="100"/>
              <w:rPr>
                <w:rFonts w:ascii="宋体" w:hAnsi="宋体" w:cs="Nimbus Roman No9 L"/>
                <w:sz w:val="18"/>
                <w:szCs w:val="18"/>
              </w:rPr>
            </w:pPr>
            <w:r>
              <w:rPr>
                <w:rFonts w:ascii="宋体" w:hAnsi="宋体" w:cs="Nimbus Roman No9 L"/>
                <w:sz w:val="18"/>
                <w:szCs w:val="18"/>
              </w:rPr>
              <w:t>行业代码(GB/T 4754-2017)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780"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104</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rPr>
                <w:rFonts w:ascii="宋体" w:hAnsi="宋体" w:cs="Nimbus Roman No9 L"/>
                <w:sz w:val="18"/>
                <w:szCs w:val="18"/>
              </w:rPr>
            </w:pPr>
            <w:r>
              <w:rPr>
                <w:rFonts w:ascii="宋体" w:hAnsi="宋体" w:cs="Nimbus Roman No9 L"/>
                <w:sz w:val="18"/>
                <w:szCs w:val="18"/>
              </w:rPr>
              <w:t>报表类别    □</w:t>
            </w:r>
          </w:p>
          <w:p>
            <w:pPr>
              <w:snapToGrid w:val="0"/>
              <w:spacing w:line="220" w:lineRule="exact"/>
              <w:ind w:firstLine="180" w:firstLineChars="100"/>
              <w:rPr>
                <w:rFonts w:ascii="宋体" w:hAnsi="宋体" w:cs="Nimbus Roman No9 L"/>
                <w:sz w:val="18"/>
                <w:szCs w:val="18"/>
              </w:rPr>
            </w:pPr>
            <w:r>
              <w:rPr>
                <w:rFonts w:ascii="宋体" w:hAnsi="宋体" w:cs="Nimbus Roman No9 L"/>
                <w:sz w:val="18"/>
                <w:szCs w:val="18"/>
              </w:rPr>
              <w:t xml:space="preserve">A 农业     　　　B 规模以上工业       B1规模以下工业         C 建筑业          E 批发和零售业 </w:t>
            </w:r>
          </w:p>
          <w:p>
            <w:pPr>
              <w:tabs>
                <w:tab w:val="left" w:pos="5237"/>
              </w:tabs>
              <w:spacing w:line="220" w:lineRule="exact"/>
              <w:ind w:firstLine="180" w:firstLineChars="100"/>
              <w:rPr>
                <w:rFonts w:ascii="宋体" w:hAnsi="宋体" w:cs="Nimbus Roman No9 L"/>
                <w:sz w:val="18"/>
                <w:szCs w:val="18"/>
              </w:rPr>
            </w:pPr>
            <w:r>
              <w:rPr>
                <w:rFonts w:ascii="宋体" w:hAnsi="宋体" w:cs="Nimbus Roman No9 L"/>
                <w:sz w:val="18"/>
                <w:szCs w:val="18"/>
              </w:rPr>
              <w:t xml:space="preserve">S 住宿和餐饮业 </w:t>
            </w:r>
            <w:r>
              <w:rPr>
                <w:rFonts w:ascii="宋体" w:hAnsi="宋体" w:cs="Nimbus Roman No9 L"/>
                <w:w w:val="110"/>
                <w:sz w:val="18"/>
                <w:szCs w:val="18"/>
              </w:rPr>
              <w:t xml:space="preserve">  </w:t>
            </w:r>
            <w:r>
              <w:rPr>
                <w:rFonts w:ascii="宋体" w:hAnsi="宋体" w:cs="Nimbus Roman No9 L"/>
                <w:sz w:val="18"/>
                <w:szCs w:val="18"/>
              </w:rPr>
              <w:t>X 房地产开发经营业   F 规模以上服务业　　</w:t>
            </w:r>
            <w:r>
              <w:rPr>
                <w:rFonts w:ascii="宋体" w:hAnsi="宋体" w:cs="Nimbus Roman No9 L"/>
                <w:w w:val="80"/>
                <w:sz w:val="18"/>
                <w:szCs w:val="18"/>
              </w:rPr>
              <w:t>　</w:t>
            </w:r>
            <w:r>
              <w:rPr>
                <w:rFonts w:ascii="宋体" w:hAnsi="宋体" w:cs="Nimbus Roman No9 L"/>
                <w:sz w:val="18"/>
                <w:szCs w:val="18"/>
              </w:rPr>
              <w:t>　H 投资    　　</w:t>
            </w:r>
            <w:r>
              <w:rPr>
                <w:rFonts w:ascii="宋体" w:hAnsi="宋体" w:cs="Nimbus Roman No9 L"/>
                <w:w w:val="80"/>
                <w:sz w:val="18"/>
                <w:szCs w:val="18"/>
              </w:rPr>
              <w:t>　</w:t>
            </w:r>
            <w:r>
              <w:rPr>
                <w:rFonts w:ascii="宋体" w:hAnsi="宋体" w:cs="Nimbus Roman No9 L"/>
                <w:sz w:val="18"/>
                <w:szCs w:val="18"/>
              </w:rPr>
              <w:t xml:space="preserve">　U 其他           </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369" w:hRule="exac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0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191</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00" w:lineRule="exact"/>
              <w:ind w:right="56" w:rightChars="27"/>
              <w:rPr>
                <w:rFonts w:ascii="宋体" w:hAnsi="宋体" w:cs="Nimbus Roman No9 L"/>
                <w:sz w:val="18"/>
                <w:szCs w:val="18"/>
              </w:rPr>
            </w:pPr>
            <w:r>
              <w:rPr>
                <w:rFonts w:ascii="宋体" w:hAnsi="宋体" w:cs="Nimbus Roman No9 L"/>
                <w:sz w:val="18"/>
                <w:szCs w:val="18"/>
              </w:rPr>
              <w:t>单位规模    □        1 大型          2 中型          3 小型           4 微型</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369" w:hRule="exac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0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192</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20" w:lineRule="exact"/>
              <w:rPr>
                <w:rFonts w:ascii="宋体" w:hAnsi="宋体" w:cs="Nimbus Roman No9 L"/>
                <w:sz w:val="18"/>
                <w:szCs w:val="18"/>
              </w:rPr>
            </w:pPr>
            <w:r>
              <w:rPr>
                <w:rFonts w:ascii="宋体" w:hAnsi="宋体" w:cs="Nimbus Roman No9 L"/>
                <w:sz w:val="18"/>
                <w:szCs w:val="18"/>
              </w:rPr>
              <w:t>从业人员    从业人员期末人数</w:t>
            </w:r>
            <w:r>
              <w:rPr>
                <w:rFonts w:ascii="宋体" w:hAnsi="宋体" w:cs="Nimbus Roman No9 L"/>
                <w:sz w:val="18"/>
                <w:szCs w:val="18"/>
                <w:u w:val="single"/>
              </w:rPr>
              <w:t xml:space="preserve">               </w:t>
            </w:r>
            <w:r>
              <w:rPr>
                <w:rFonts w:ascii="宋体" w:hAnsi="宋体" w:cs="Nimbus Roman No9 L"/>
                <w:sz w:val="18"/>
                <w:szCs w:val="18"/>
              </w:rPr>
              <w:t>人         其中：女性</w:t>
            </w:r>
            <w:r>
              <w:rPr>
                <w:rFonts w:ascii="宋体" w:hAnsi="宋体" w:cs="Nimbus Roman No9 L"/>
                <w:sz w:val="18"/>
                <w:szCs w:val="18"/>
                <w:u w:val="single"/>
              </w:rPr>
              <w:t xml:space="preserve">              </w:t>
            </w:r>
            <w:r>
              <w:rPr>
                <w:rFonts w:ascii="宋体" w:hAnsi="宋体" w:cs="Nimbus Roman No9 L"/>
                <w:sz w:val="18"/>
                <w:szCs w:val="18"/>
              </w:rPr>
              <w:t>人</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gridBefore w:val="1"/>
          <w:wBefore w:w="57" w:type="dxa"/>
          <w:trHeight w:val="878" w:hRule="atLeast"/>
          <w:jc w:val="center"/>
        </w:trPr>
        <w:tc>
          <w:tcPr>
            <w:tcW w:w="620" w:type="dxa"/>
            <w:gridSpan w:val="2"/>
            <w:tcBorders>
              <w:top w:val="single" w:color="auto" w:sz="4" w:space="0"/>
              <w:left w:val="nil"/>
              <w:bottom w:val="single" w:color="auto" w:sz="4"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193</w:t>
            </w:r>
          </w:p>
        </w:tc>
        <w:tc>
          <w:tcPr>
            <w:tcW w:w="8906" w:type="dxa"/>
            <w:gridSpan w:val="8"/>
            <w:tcBorders>
              <w:top w:val="single" w:color="auto" w:sz="4" w:space="0"/>
              <w:left w:val="single" w:color="auto" w:sz="4" w:space="0"/>
              <w:bottom w:val="single" w:color="auto" w:sz="4" w:space="0"/>
              <w:right w:val="nil"/>
            </w:tcBorders>
            <w:shd w:val="clear" w:color="auto" w:fill="D7D7D7"/>
            <w:noWrap w:val="0"/>
            <w:vAlign w:val="center"/>
          </w:tcPr>
          <w:p>
            <w:pPr>
              <w:spacing w:line="240" w:lineRule="exact"/>
              <w:rPr>
                <w:rFonts w:ascii="宋体" w:hAnsi="宋体" w:cs="Nimbus Roman No9 L"/>
                <w:sz w:val="18"/>
                <w:szCs w:val="18"/>
              </w:rPr>
            </w:pPr>
            <w:r>
              <w:rPr>
                <w:rFonts w:ascii="宋体" w:hAnsi="宋体" w:cs="Nimbus Roman No9 L"/>
                <w:sz w:val="18"/>
                <w:szCs w:val="18"/>
              </w:rPr>
              <w:t>企业主要经济指标</w:t>
            </w:r>
          </w:p>
          <w:p>
            <w:pPr>
              <w:spacing w:line="240" w:lineRule="exact"/>
              <w:ind w:firstLine="180" w:firstLineChars="100"/>
              <w:rPr>
                <w:rFonts w:ascii="宋体" w:hAnsi="宋体" w:cs="Nimbus Roman No9 L"/>
                <w:sz w:val="18"/>
                <w:szCs w:val="18"/>
              </w:rPr>
            </w:pPr>
            <w:r>
              <w:rPr>
                <w:rFonts w:ascii="宋体" w:hAnsi="宋体" w:cs="Nimbus Roman No9 L"/>
                <w:sz w:val="18"/>
                <w:szCs w:val="18"/>
              </w:rPr>
              <w:t>营业收入</w:t>
            </w:r>
            <w:r>
              <w:rPr>
                <w:rFonts w:ascii="宋体" w:hAnsi="宋体" w:cs="Nimbus Roman No9 L"/>
                <w:sz w:val="18"/>
                <w:szCs w:val="18"/>
                <w:u w:val="single"/>
              </w:rPr>
              <w:t xml:space="preserve">             </w:t>
            </w:r>
            <w:r>
              <w:rPr>
                <w:rFonts w:ascii="宋体" w:hAnsi="宋体" w:cs="Nimbus Roman No9 L"/>
                <w:sz w:val="18"/>
                <w:szCs w:val="18"/>
              </w:rPr>
              <w:t>千元     其中：主营业务收入</w:t>
            </w:r>
            <w:r>
              <w:rPr>
                <w:rFonts w:ascii="宋体" w:hAnsi="宋体" w:cs="Nimbus Roman No9 L"/>
                <w:sz w:val="18"/>
                <w:szCs w:val="18"/>
                <w:u w:val="single"/>
              </w:rPr>
              <w:t xml:space="preserve">            </w:t>
            </w:r>
            <w:r>
              <w:rPr>
                <w:rFonts w:ascii="宋体" w:hAnsi="宋体" w:cs="Nimbus Roman No9 L"/>
                <w:sz w:val="18"/>
                <w:szCs w:val="18"/>
              </w:rPr>
              <w:t>千元    资产总计</w:t>
            </w:r>
            <w:r>
              <w:rPr>
                <w:rFonts w:ascii="宋体" w:hAnsi="宋体" w:cs="Nimbus Roman No9 L"/>
                <w:sz w:val="18"/>
                <w:szCs w:val="18"/>
                <w:u w:val="single"/>
              </w:rPr>
              <w:t xml:space="preserve">            </w:t>
            </w:r>
            <w:r>
              <w:rPr>
                <w:rFonts w:ascii="宋体" w:hAnsi="宋体" w:cs="Nimbus Roman No9 L"/>
                <w:sz w:val="18"/>
                <w:szCs w:val="18"/>
              </w:rPr>
              <w:t xml:space="preserve">千元       </w:t>
            </w:r>
            <w:r>
              <w:rPr>
                <w:rFonts w:hint="eastAsia" w:ascii="宋体" w:hAnsi="宋体" w:cs="Nimbus Roman No9 L"/>
                <w:sz w:val="18"/>
                <w:szCs w:val="18"/>
              </w:rPr>
              <w:t xml:space="preserve">                         </w:t>
            </w:r>
            <w:r>
              <w:rPr>
                <w:rFonts w:hint="eastAsia" w:ascii="宋体" w:hAnsi="宋体" w:cs="宋体"/>
                <w:sz w:val="18"/>
                <w:szCs w:val="18"/>
              </w:rPr>
              <w:t>利润总额</w:t>
            </w:r>
            <w:r>
              <w:rPr>
                <w:rFonts w:ascii="宋体" w:hAnsi="宋体" w:cs="Nimbus Roman No9 L"/>
                <w:sz w:val="18"/>
                <w:szCs w:val="18"/>
                <w:u w:val="single"/>
              </w:rPr>
              <w:t xml:space="preserve">                </w:t>
            </w:r>
            <w:r>
              <w:rPr>
                <w:rFonts w:ascii="宋体" w:hAnsi="宋体" w:cs="Nimbus Roman No9 L"/>
                <w:sz w:val="18"/>
                <w:szCs w:val="18"/>
              </w:rPr>
              <w:t>千元</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gridBefore w:val="1"/>
          <w:wBefore w:w="57" w:type="dxa"/>
          <w:trHeight w:val="1129" w:hRule="atLeast"/>
          <w:jc w:val="center"/>
        </w:trPr>
        <w:tc>
          <w:tcPr>
            <w:tcW w:w="620" w:type="dxa"/>
            <w:gridSpan w:val="2"/>
            <w:tcBorders>
              <w:top w:val="single" w:color="auto" w:sz="4" w:space="0"/>
              <w:left w:val="nil"/>
              <w:bottom w:val="single" w:color="auto" w:sz="8" w:space="0"/>
              <w:right w:val="single" w:color="auto" w:sz="4" w:space="0"/>
            </w:tcBorders>
            <w:shd w:val="clear" w:color="auto" w:fill="D7D7D7"/>
            <w:noWrap w:val="0"/>
            <w:vAlign w:val="center"/>
          </w:tcPr>
          <w:p>
            <w:pPr>
              <w:spacing w:line="220" w:lineRule="exact"/>
              <w:jc w:val="center"/>
              <w:rPr>
                <w:rFonts w:ascii="Nimbus Roman No9 L" w:hAnsi="Nimbus Roman No9 L" w:cs="Nimbus Roman No9 L"/>
                <w:b/>
                <w:bCs/>
                <w:sz w:val="18"/>
                <w:szCs w:val="18"/>
              </w:rPr>
            </w:pPr>
            <w:r>
              <w:rPr>
                <w:rFonts w:ascii="Nimbus Roman No9 L" w:hAnsi="Nimbus Roman No9 L" w:cs="Nimbus Roman No9 L"/>
                <w:b/>
                <w:bCs/>
                <w:sz w:val="18"/>
                <w:szCs w:val="18"/>
              </w:rPr>
              <w:t>211</w:t>
            </w:r>
          </w:p>
        </w:tc>
        <w:tc>
          <w:tcPr>
            <w:tcW w:w="8906" w:type="dxa"/>
            <w:gridSpan w:val="8"/>
            <w:tcBorders>
              <w:top w:val="single" w:color="auto" w:sz="4" w:space="0"/>
              <w:left w:val="single" w:color="auto" w:sz="4" w:space="0"/>
              <w:bottom w:val="single" w:color="auto" w:sz="8" w:space="0"/>
              <w:right w:val="nil"/>
            </w:tcBorders>
            <w:shd w:val="clear" w:color="auto" w:fill="D7D7D7"/>
            <w:noWrap w:val="0"/>
            <w:vAlign w:val="center"/>
          </w:tcPr>
          <w:p>
            <w:pPr>
              <w:spacing w:line="240" w:lineRule="exact"/>
              <w:rPr>
                <w:rFonts w:ascii="宋体" w:hAnsi="宋体" w:cs="Nimbus Roman No9 L"/>
                <w:sz w:val="18"/>
                <w:szCs w:val="18"/>
              </w:rPr>
            </w:pPr>
            <w:r>
              <w:rPr>
                <w:rFonts w:ascii="宋体" w:hAnsi="宋体" w:cs="Nimbus Roman No9 L"/>
                <w:sz w:val="18"/>
                <w:szCs w:val="18"/>
              </w:rPr>
              <w:t>机构类型    □□</w:t>
            </w:r>
          </w:p>
          <w:p>
            <w:pPr>
              <w:spacing w:line="240" w:lineRule="exact"/>
              <w:ind w:firstLine="180" w:firstLineChars="100"/>
              <w:rPr>
                <w:rFonts w:ascii="宋体" w:hAnsi="宋体" w:cs="Nimbus Roman No9 L"/>
                <w:sz w:val="18"/>
                <w:szCs w:val="18"/>
              </w:rPr>
            </w:pPr>
            <w:r>
              <w:rPr>
                <w:rFonts w:ascii="宋体" w:hAnsi="宋体" w:cs="Nimbus Roman No9 L"/>
                <w:sz w:val="18"/>
                <w:szCs w:val="18"/>
              </w:rPr>
              <w:t>10 企业          20 事业单位        30 机关          40 社会团体          51 民办非企业单位</w:t>
            </w:r>
          </w:p>
          <w:p>
            <w:pPr>
              <w:spacing w:line="240" w:lineRule="exact"/>
              <w:ind w:firstLine="180" w:firstLineChars="100"/>
              <w:rPr>
                <w:rFonts w:ascii="宋体" w:hAnsi="宋体" w:cs="Nimbus Roman No9 L"/>
                <w:sz w:val="18"/>
                <w:szCs w:val="18"/>
              </w:rPr>
            </w:pPr>
            <w:r>
              <w:rPr>
                <w:rFonts w:ascii="宋体" w:hAnsi="宋体" w:cs="Nimbus Roman No9 L"/>
                <w:sz w:val="18"/>
                <w:szCs w:val="18"/>
              </w:rPr>
              <w:t>52 基金会        53 居委会          54 村委会        55 农民专业合作社    56 农村集体经济组织</w:t>
            </w:r>
          </w:p>
          <w:p>
            <w:pPr>
              <w:widowControl/>
              <w:spacing w:line="240" w:lineRule="exact"/>
              <w:ind w:firstLine="180" w:firstLineChars="100"/>
              <w:rPr>
                <w:rFonts w:ascii="宋体" w:hAnsi="宋体" w:cs="Nimbus Roman No9 L"/>
                <w:sz w:val="18"/>
                <w:szCs w:val="18"/>
              </w:rPr>
            </w:pPr>
            <w:r>
              <w:rPr>
                <w:rFonts w:ascii="宋体" w:hAnsi="宋体" w:cs="Nimbus Roman No9 L"/>
                <w:sz w:val="18"/>
                <w:szCs w:val="18"/>
              </w:rPr>
              <w:t>90 其他组织机构</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2110" w:hRule="atLeast"/>
          <w:jc w:val="center"/>
        </w:trPr>
        <w:tc>
          <w:tcPr>
            <w:tcW w:w="620" w:type="dxa"/>
            <w:gridSpan w:val="2"/>
            <w:tcBorders>
              <w:top w:val="single" w:color="auto" w:sz="2" w:space="0"/>
              <w:left w:val="nil"/>
            </w:tcBorders>
            <w:shd w:val="clear" w:color="auto" w:fill="D7D7D7"/>
            <w:noWrap w:val="0"/>
            <w:tcMar>
              <w:top w:w="0" w:type="dxa"/>
              <w:left w:w="57" w:type="dxa"/>
              <w:bottom w:w="0" w:type="dxa"/>
              <w:right w:w="57" w:type="dxa"/>
            </w:tcMar>
            <w:vAlign w:val="center"/>
          </w:tcPr>
          <w:p>
            <w:pPr>
              <w:jc w:val="center"/>
              <w:rPr>
                <w:rFonts w:ascii="Nimbus Roman No9 L" w:hAnsi="Nimbus Roman No9 L" w:cs="Nimbus Roman No9 L"/>
                <w:b/>
                <w:bCs/>
                <w:sz w:val="18"/>
                <w:szCs w:val="18"/>
              </w:rPr>
            </w:pPr>
            <w:r>
              <w:rPr>
                <w:rFonts w:ascii="Nimbus Roman No9 L" w:hAnsi="Nimbus Roman No9 L" w:cs="Nimbus Roman No9 L"/>
                <w:b/>
                <w:bCs/>
                <w:sz w:val="18"/>
                <w:szCs w:val="18"/>
              </w:rPr>
              <w:t>205</w:t>
            </w:r>
          </w:p>
        </w:tc>
        <w:tc>
          <w:tcPr>
            <w:tcW w:w="8893" w:type="dxa"/>
            <w:gridSpan w:val="7"/>
            <w:tcBorders>
              <w:top w:val="single" w:color="auto" w:sz="2" w:space="0"/>
              <w:right w:val="nil"/>
            </w:tcBorders>
            <w:shd w:val="clear" w:color="auto" w:fill="D7D7D7"/>
            <w:noWrap w:val="0"/>
            <w:vAlign w:val="center"/>
          </w:tcPr>
          <w:p>
            <w:pPr>
              <w:rPr>
                <w:rFonts w:ascii="宋体" w:hAnsi="宋体"/>
              </w:rPr>
            </w:pPr>
            <w:r>
              <w:rPr>
                <w:rFonts w:hint="eastAsia" w:ascii="宋体" w:hAnsi="宋体" w:cs="Nimbus Roman No9 L"/>
                <w:sz w:val="18"/>
                <w:szCs w:val="18"/>
              </w:rPr>
              <w:t>登记注册统计类别</w:t>
            </w:r>
            <w:r>
              <w:rPr>
                <w:rFonts w:ascii="宋体" w:hAnsi="宋体" w:cs="Nimbus Roman No9 L"/>
                <w:sz w:val="18"/>
                <w:szCs w:val="18"/>
              </w:rPr>
              <w:t xml:space="preserve">  □□□  </w:t>
            </w:r>
          </w:p>
          <w:p>
            <w:pPr>
              <w:tabs>
                <w:tab w:val="left" w:pos="630"/>
              </w:tabs>
              <w:rPr>
                <w:rFonts w:ascii="宋体" w:hAnsi="宋体" w:cs="Nimbus Roman No9 L"/>
                <w:sz w:val="18"/>
                <w:szCs w:val="18"/>
              </w:rPr>
            </w:pPr>
            <w:r>
              <w:rPr>
                <w:rFonts w:ascii="宋体" w:hAnsi="宋体" w:cs="Nimbus Roman No9 L"/>
                <w:b/>
                <w:bCs/>
                <w:sz w:val="18"/>
                <w:szCs w:val="18"/>
              </w:rPr>
              <w:t>内资企业</w:t>
            </w:r>
          </w:p>
          <w:p>
            <w:pPr>
              <w:tabs>
                <w:tab w:val="left" w:pos="630"/>
              </w:tabs>
              <w:rPr>
                <w:rFonts w:ascii="宋体" w:hAnsi="宋体" w:cs="Nimbus Roman No9 L"/>
                <w:sz w:val="18"/>
                <w:szCs w:val="18"/>
                <w:lang w:val="en"/>
              </w:rPr>
            </w:pPr>
            <w:r>
              <w:rPr>
                <w:rFonts w:ascii="宋体" w:hAnsi="宋体" w:cs="Nimbus Roman No9 L"/>
                <w:sz w:val="18"/>
                <w:szCs w:val="18"/>
                <w:lang w:val="en"/>
              </w:rPr>
              <w:t xml:space="preserve">111 国有独资公司 </w:t>
            </w:r>
            <w:r>
              <w:rPr>
                <w:rFonts w:hint="eastAsia" w:ascii="宋体" w:hAnsi="宋体" w:cs="Nimbus Roman No9 L"/>
                <w:sz w:val="18"/>
                <w:szCs w:val="18"/>
              </w:rPr>
              <w:t xml:space="preserve">    </w:t>
            </w:r>
            <w:r>
              <w:rPr>
                <w:rFonts w:ascii="宋体" w:hAnsi="宋体" w:cs="Nimbus Roman No9 L"/>
                <w:sz w:val="18"/>
                <w:szCs w:val="18"/>
                <w:lang w:val="en"/>
              </w:rPr>
              <w:t xml:space="preserve">112 私营有限责任公司 </w:t>
            </w:r>
            <w:r>
              <w:rPr>
                <w:rFonts w:hint="eastAsia" w:ascii="宋体" w:hAnsi="宋体" w:cs="Nimbus Roman No9 L"/>
                <w:sz w:val="18"/>
                <w:szCs w:val="18"/>
              </w:rPr>
              <w:t xml:space="preserve">    </w:t>
            </w:r>
            <w:r>
              <w:rPr>
                <w:rFonts w:ascii="宋体" w:hAnsi="宋体" w:cs="Nimbus Roman No9 L"/>
                <w:sz w:val="18"/>
                <w:szCs w:val="18"/>
                <w:lang w:val="en"/>
              </w:rPr>
              <w:t>119 其他有限责任公司</w:t>
            </w:r>
          </w:p>
          <w:p>
            <w:pPr>
              <w:tabs>
                <w:tab w:val="left" w:pos="630"/>
              </w:tabs>
              <w:rPr>
                <w:rFonts w:ascii="宋体" w:hAnsi="宋体" w:cs="Nimbus Roman No9 L"/>
                <w:sz w:val="18"/>
                <w:szCs w:val="18"/>
              </w:rPr>
            </w:pPr>
            <w:r>
              <w:rPr>
                <w:rFonts w:ascii="宋体" w:hAnsi="宋体" w:cs="Nimbus Roman No9 L"/>
                <w:sz w:val="18"/>
                <w:szCs w:val="18"/>
              </w:rPr>
              <w:t>121 私营股份有限公司 129 其他股份有限公司</w:t>
            </w:r>
          </w:p>
          <w:p>
            <w:pPr>
              <w:tabs>
                <w:tab w:val="left" w:pos="630"/>
              </w:tabs>
              <w:rPr>
                <w:rFonts w:hint="eastAsia" w:ascii="宋体" w:hAnsi="宋体" w:cs="Nimbus Roman No9 L"/>
                <w:sz w:val="18"/>
                <w:szCs w:val="18"/>
              </w:rPr>
            </w:pPr>
            <w:r>
              <w:rPr>
                <w:rFonts w:ascii="宋体" w:hAnsi="宋体" w:cs="Nimbus Roman No9 L"/>
                <w:sz w:val="18"/>
                <w:szCs w:val="18"/>
              </w:rPr>
              <w:t>131 全民所有制企业（国有企业）</w:t>
            </w:r>
            <w:r>
              <w:rPr>
                <w:rFonts w:hint="eastAsia" w:ascii="宋体" w:hAnsi="宋体" w:cs="Nimbus Roman No9 L"/>
                <w:sz w:val="18"/>
                <w:szCs w:val="18"/>
              </w:rPr>
              <w:t xml:space="preserve">     132 集体所有制企业（集体企业） 133 股份合作企业 134 联营企业</w:t>
            </w:r>
          </w:p>
          <w:p>
            <w:pPr>
              <w:tabs>
                <w:tab w:val="left" w:pos="630"/>
              </w:tabs>
              <w:rPr>
                <w:rFonts w:ascii="宋体" w:hAnsi="宋体" w:cs="Nimbus Roman No9 L"/>
                <w:sz w:val="18"/>
                <w:szCs w:val="18"/>
                <w:lang w:val="en"/>
              </w:rPr>
            </w:pPr>
            <w:r>
              <w:rPr>
                <w:rFonts w:ascii="宋体" w:hAnsi="宋体" w:cs="Nimbus Roman No9 L"/>
                <w:sz w:val="18"/>
                <w:szCs w:val="18"/>
              </w:rPr>
              <w:t>140</w:t>
            </w:r>
            <w:r>
              <w:rPr>
                <w:rFonts w:ascii="宋体" w:hAnsi="宋体" w:cs="Nimbus Roman No9 L"/>
                <w:sz w:val="18"/>
                <w:szCs w:val="18"/>
                <w:lang w:val="en"/>
              </w:rPr>
              <w:t xml:space="preserve"> </w:t>
            </w:r>
            <w:r>
              <w:rPr>
                <w:rFonts w:ascii="宋体" w:hAnsi="宋体" w:cs="Nimbus Roman No9 L"/>
                <w:sz w:val="18"/>
                <w:szCs w:val="18"/>
              </w:rPr>
              <w:t>个人独资企业</w:t>
            </w:r>
            <w:r>
              <w:rPr>
                <w:rFonts w:hint="eastAsia" w:ascii="宋体" w:hAnsi="宋体" w:cs="Nimbus Roman No9 L"/>
                <w:sz w:val="18"/>
                <w:szCs w:val="18"/>
              </w:rPr>
              <w:t xml:space="preserve">    </w:t>
            </w:r>
            <w:r>
              <w:rPr>
                <w:rFonts w:ascii="宋体" w:hAnsi="宋体" w:cs="Nimbus Roman No9 L"/>
                <w:sz w:val="18"/>
                <w:szCs w:val="18"/>
                <w:lang w:val="en"/>
              </w:rPr>
              <w:t xml:space="preserve"> </w:t>
            </w:r>
            <w:r>
              <w:rPr>
                <w:rFonts w:ascii="宋体" w:hAnsi="宋体" w:cs="Nimbus Roman No9 L"/>
                <w:sz w:val="18"/>
                <w:szCs w:val="18"/>
              </w:rPr>
              <w:t>150</w:t>
            </w:r>
            <w:r>
              <w:rPr>
                <w:rFonts w:ascii="宋体" w:hAnsi="宋体" w:cs="Nimbus Roman No9 L"/>
                <w:sz w:val="18"/>
                <w:szCs w:val="18"/>
                <w:lang w:val="en"/>
              </w:rPr>
              <w:t xml:space="preserve"> </w:t>
            </w:r>
            <w:r>
              <w:rPr>
                <w:rFonts w:ascii="宋体" w:hAnsi="宋体" w:cs="Nimbus Roman No9 L"/>
                <w:sz w:val="18"/>
                <w:szCs w:val="18"/>
              </w:rPr>
              <w:t>合伙企业</w:t>
            </w:r>
            <w:r>
              <w:rPr>
                <w:rFonts w:ascii="宋体" w:hAnsi="宋体" w:cs="Nimbus Roman No9 L"/>
                <w:sz w:val="18"/>
                <w:szCs w:val="18"/>
                <w:lang w:val="en"/>
              </w:rPr>
              <w:t xml:space="preserve"> </w:t>
            </w:r>
            <w:r>
              <w:rPr>
                <w:rFonts w:hint="eastAsia" w:ascii="宋体" w:hAnsi="宋体" w:cs="Nimbus Roman No9 L"/>
                <w:sz w:val="18"/>
                <w:szCs w:val="18"/>
              </w:rPr>
              <w:t xml:space="preserve"> </w:t>
            </w:r>
            <w:r>
              <w:rPr>
                <w:rFonts w:ascii="宋体" w:hAnsi="宋体" w:cs="Nimbus Roman No9 L"/>
                <w:sz w:val="18"/>
                <w:szCs w:val="18"/>
              </w:rPr>
              <w:t>190</w:t>
            </w:r>
            <w:r>
              <w:rPr>
                <w:rFonts w:ascii="宋体" w:hAnsi="宋体" w:cs="Nimbus Roman No9 L"/>
                <w:sz w:val="18"/>
                <w:szCs w:val="18"/>
                <w:lang w:val="en"/>
              </w:rPr>
              <w:t xml:space="preserve"> </w:t>
            </w:r>
            <w:r>
              <w:rPr>
                <w:rFonts w:ascii="宋体" w:hAnsi="宋体" w:cs="Nimbus Roman No9 L"/>
                <w:sz w:val="18"/>
                <w:szCs w:val="18"/>
              </w:rPr>
              <w:t>其他内资企业</w:t>
            </w:r>
          </w:p>
          <w:p>
            <w:pPr>
              <w:tabs>
                <w:tab w:val="left" w:pos="630"/>
              </w:tabs>
              <w:rPr>
                <w:rFonts w:ascii="宋体" w:hAnsi="宋体" w:cs="Nimbus Roman No9 L"/>
                <w:sz w:val="18"/>
                <w:szCs w:val="18"/>
                <w:lang w:val="en"/>
              </w:rPr>
            </w:pPr>
            <w:r>
              <w:rPr>
                <w:rFonts w:ascii="宋体" w:hAnsi="宋体" w:cs="Nimbus Roman No9 L"/>
                <w:b/>
                <w:bCs/>
                <w:sz w:val="18"/>
                <w:szCs w:val="18"/>
              </w:rPr>
              <w:t>港澳台投资企业</w:t>
            </w:r>
          </w:p>
          <w:p>
            <w:pPr>
              <w:tabs>
                <w:tab w:val="left" w:pos="630"/>
              </w:tabs>
              <w:rPr>
                <w:rFonts w:ascii="宋体" w:hAnsi="宋体" w:cs="Nimbus Roman No9 L"/>
                <w:sz w:val="18"/>
                <w:szCs w:val="18"/>
              </w:rPr>
            </w:pPr>
            <w:r>
              <w:rPr>
                <w:rFonts w:ascii="宋体" w:hAnsi="宋体" w:cs="Nimbus Roman No9 L"/>
                <w:sz w:val="18"/>
                <w:szCs w:val="18"/>
              </w:rPr>
              <w:t>210</w:t>
            </w:r>
            <w:r>
              <w:rPr>
                <w:rFonts w:ascii="宋体" w:hAnsi="宋体" w:cs="Nimbus Roman No9 L"/>
                <w:sz w:val="18"/>
                <w:szCs w:val="18"/>
                <w:lang w:val="en"/>
              </w:rPr>
              <w:t xml:space="preserve"> </w:t>
            </w:r>
            <w:r>
              <w:rPr>
                <w:rFonts w:ascii="宋体" w:hAnsi="宋体" w:cs="Nimbus Roman No9 L"/>
                <w:spacing w:val="-4"/>
                <w:sz w:val="18"/>
                <w:szCs w:val="18"/>
              </w:rPr>
              <w:t>港澳台投资有限责任公司</w:t>
            </w:r>
            <w:r>
              <w:rPr>
                <w:rFonts w:hint="eastAsia" w:ascii="宋体" w:hAnsi="宋体" w:cs="Nimbus Roman No9 L"/>
                <w:spacing w:val="-4"/>
                <w:sz w:val="18"/>
                <w:szCs w:val="18"/>
              </w:rPr>
              <w:t xml:space="preserve"> </w:t>
            </w:r>
            <w:r>
              <w:rPr>
                <w:rFonts w:ascii="宋体" w:hAnsi="宋体" w:cs="Nimbus Roman No9 L"/>
                <w:spacing w:val="-4"/>
                <w:sz w:val="18"/>
                <w:szCs w:val="18"/>
              </w:rPr>
              <w:t>220</w:t>
            </w:r>
            <w:r>
              <w:rPr>
                <w:rFonts w:ascii="宋体" w:hAnsi="宋体" w:cs="Nimbus Roman No9 L"/>
                <w:spacing w:val="-4"/>
                <w:sz w:val="18"/>
                <w:szCs w:val="18"/>
                <w:lang w:val="en"/>
              </w:rPr>
              <w:t xml:space="preserve"> </w:t>
            </w:r>
            <w:r>
              <w:rPr>
                <w:rFonts w:ascii="宋体" w:hAnsi="宋体" w:cs="Nimbus Roman No9 L"/>
                <w:spacing w:val="-4"/>
                <w:sz w:val="18"/>
                <w:szCs w:val="18"/>
              </w:rPr>
              <w:t>港澳台投资股份有限公司</w:t>
            </w:r>
            <w:r>
              <w:rPr>
                <w:rFonts w:hint="eastAsia" w:ascii="宋体" w:hAnsi="宋体" w:cs="Nimbus Roman No9 L"/>
                <w:spacing w:val="-4"/>
                <w:sz w:val="18"/>
                <w:szCs w:val="18"/>
              </w:rPr>
              <w:t xml:space="preserve"> </w:t>
            </w:r>
            <w:r>
              <w:rPr>
                <w:rFonts w:ascii="宋体" w:hAnsi="宋体" w:cs="Nimbus Roman No9 L"/>
                <w:spacing w:val="-4"/>
                <w:sz w:val="18"/>
                <w:szCs w:val="18"/>
              </w:rPr>
              <w:t>230</w:t>
            </w:r>
            <w:r>
              <w:rPr>
                <w:rFonts w:ascii="宋体" w:hAnsi="宋体" w:cs="Nimbus Roman No9 L"/>
                <w:spacing w:val="-4"/>
                <w:sz w:val="18"/>
                <w:szCs w:val="18"/>
                <w:lang w:val="en"/>
              </w:rPr>
              <w:t xml:space="preserve"> </w:t>
            </w:r>
            <w:r>
              <w:rPr>
                <w:rFonts w:ascii="宋体" w:hAnsi="宋体" w:cs="Nimbus Roman No9 L"/>
                <w:spacing w:val="-4"/>
                <w:sz w:val="18"/>
                <w:szCs w:val="18"/>
              </w:rPr>
              <w:t>港澳台投资合伙企业</w:t>
            </w:r>
            <w:r>
              <w:rPr>
                <w:rFonts w:hint="eastAsia" w:ascii="宋体" w:hAnsi="宋体" w:cs="Nimbus Roman No9 L"/>
                <w:spacing w:val="-4"/>
                <w:sz w:val="18"/>
                <w:szCs w:val="18"/>
              </w:rPr>
              <w:t xml:space="preserve"> </w:t>
            </w:r>
            <w:r>
              <w:rPr>
                <w:rFonts w:ascii="宋体" w:hAnsi="宋体" w:cs="Nimbus Roman No9 L"/>
                <w:spacing w:val="-4"/>
                <w:sz w:val="18"/>
                <w:szCs w:val="18"/>
              </w:rPr>
              <w:t>290</w:t>
            </w:r>
            <w:r>
              <w:rPr>
                <w:rFonts w:ascii="宋体" w:hAnsi="宋体" w:cs="Nimbus Roman No9 L"/>
                <w:spacing w:val="-4"/>
                <w:sz w:val="18"/>
                <w:szCs w:val="18"/>
                <w:lang w:val="en"/>
              </w:rPr>
              <w:t xml:space="preserve"> </w:t>
            </w:r>
            <w:r>
              <w:rPr>
                <w:rFonts w:ascii="宋体" w:hAnsi="宋体" w:cs="Nimbus Roman No9 L"/>
                <w:spacing w:val="-4"/>
                <w:sz w:val="18"/>
                <w:szCs w:val="18"/>
              </w:rPr>
              <w:t>其他港澳台投资企业</w:t>
            </w:r>
          </w:p>
          <w:p>
            <w:pPr>
              <w:tabs>
                <w:tab w:val="left" w:pos="630"/>
              </w:tabs>
              <w:rPr>
                <w:rFonts w:ascii="宋体" w:hAnsi="宋体" w:cs="Nimbus Roman No9 L"/>
                <w:sz w:val="18"/>
                <w:szCs w:val="18"/>
              </w:rPr>
            </w:pPr>
            <w:r>
              <w:rPr>
                <w:rFonts w:ascii="宋体" w:hAnsi="宋体" w:cs="Nimbus Roman No9 L"/>
                <w:b/>
                <w:bCs/>
                <w:sz w:val="18"/>
                <w:szCs w:val="18"/>
              </w:rPr>
              <w:t>外商投资企业</w:t>
            </w:r>
          </w:p>
          <w:p>
            <w:pPr>
              <w:tabs>
                <w:tab w:val="left" w:pos="630"/>
              </w:tabs>
              <w:rPr>
                <w:rFonts w:ascii="宋体" w:hAnsi="宋体" w:cs="Nimbus Roman No9 L"/>
                <w:sz w:val="18"/>
                <w:szCs w:val="18"/>
              </w:rPr>
            </w:pPr>
            <w:r>
              <w:rPr>
                <w:rFonts w:ascii="宋体" w:hAnsi="宋体" w:cs="Nimbus Roman No9 L"/>
                <w:sz w:val="18"/>
                <w:szCs w:val="18"/>
              </w:rPr>
              <w:t>310</w:t>
            </w:r>
            <w:r>
              <w:rPr>
                <w:rFonts w:ascii="宋体" w:hAnsi="宋体" w:cs="Nimbus Roman No9 L"/>
                <w:sz w:val="18"/>
                <w:szCs w:val="18"/>
                <w:lang w:val="en"/>
              </w:rPr>
              <w:t xml:space="preserve"> </w:t>
            </w:r>
            <w:r>
              <w:rPr>
                <w:rFonts w:ascii="宋体" w:hAnsi="宋体" w:cs="Nimbus Roman No9 L"/>
                <w:sz w:val="18"/>
                <w:szCs w:val="18"/>
              </w:rPr>
              <w:t>外商投资有限责任公司</w:t>
            </w:r>
            <w:r>
              <w:rPr>
                <w:rFonts w:hint="eastAsia" w:ascii="宋体" w:hAnsi="宋体" w:cs="Nimbus Roman No9 L"/>
                <w:sz w:val="18"/>
                <w:szCs w:val="18"/>
              </w:rPr>
              <w:t xml:space="preserve">  </w:t>
            </w:r>
            <w:r>
              <w:rPr>
                <w:rFonts w:ascii="宋体" w:hAnsi="宋体" w:cs="Nimbus Roman No9 L"/>
                <w:sz w:val="18"/>
                <w:szCs w:val="18"/>
              </w:rPr>
              <w:t>320</w:t>
            </w:r>
            <w:r>
              <w:rPr>
                <w:rFonts w:ascii="宋体" w:hAnsi="宋体" w:cs="Nimbus Roman No9 L"/>
                <w:sz w:val="18"/>
                <w:szCs w:val="18"/>
                <w:lang w:val="en"/>
              </w:rPr>
              <w:t xml:space="preserve"> </w:t>
            </w:r>
            <w:r>
              <w:rPr>
                <w:rFonts w:ascii="宋体" w:hAnsi="宋体" w:cs="Nimbus Roman No9 L"/>
                <w:sz w:val="18"/>
                <w:szCs w:val="18"/>
              </w:rPr>
              <w:t>外商投资股份有限公司</w:t>
            </w:r>
            <w:r>
              <w:rPr>
                <w:rFonts w:hint="eastAsia" w:ascii="宋体" w:hAnsi="宋体" w:cs="Nimbus Roman No9 L"/>
                <w:sz w:val="13"/>
                <w:szCs w:val="18"/>
              </w:rPr>
              <w:t xml:space="preserve">  </w:t>
            </w:r>
            <w:r>
              <w:rPr>
                <w:rFonts w:ascii="宋体" w:hAnsi="宋体" w:cs="Nimbus Roman No9 L"/>
                <w:sz w:val="18"/>
                <w:szCs w:val="18"/>
              </w:rPr>
              <w:t>330</w:t>
            </w:r>
            <w:r>
              <w:rPr>
                <w:rFonts w:ascii="宋体" w:hAnsi="宋体" w:cs="Nimbus Roman No9 L"/>
                <w:sz w:val="18"/>
                <w:szCs w:val="18"/>
                <w:lang w:val="en"/>
              </w:rPr>
              <w:t xml:space="preserve"> </w:t>
            </w:r>
            <w:r>
              <w:rPr>
                <w:rFonts w:ascii="宋体" w:hAnsi="宋体" w:cs="Nimbus Roman No9 L"/>
                <w:sz w:val="18"/>
                <w:szCs w:val="18"/>
              </w:rPr>
              <w:t>外商投资合伙企业</w:t>
            </w:r>
            <w:r>
              <w:rPr>
                <w:rFonts w:ascii="宋体" w:hAnsi="宋体" w:cs="Nimbus Roman No9 L"/>
                <w:sz w:val="18"/>
                <w:szCs w:val="18"/>
                <w:lang w:val="en"/>
              </w:rPr>
              <w:t xml:space="preserve"> </w:t>
            </w:r>
            <w:r>
              <w:rPr>
                <w:rFonts w:hint="eastAsia" w:ascii="宋体" w:hAnsi="宋体" w:cs="Nimbus Roman No9 L"/>
                <w:sz w:val="18"/>
                <w:szCs w:val="18"/>
              </w:rPr>
              <w:t xml:space="preserve"> </w:t>
            </w:r>
            <w:r>
              <w:rPr>
                <w:rFonts w:ascii="宋体" w:hAnsi="宋体" w:cs="Nimbus Roman No9 L"/>
                <w:sz w:val="18"/>
                <w:szCs w:val="18"/>
              </w:rPr>
              <w:t>390</w:t>
            </w:r>
            <w:r>
              <w:rPr>
                <w:rFonts w:ascii="宋体" w:hAnsi="宋体" w:cs="Nimbus Roman No9 L"/>
                <w:sz w:val="18"/>
                <w:szCs w:val="18"/>
                <w:lang w:val="en"/>
              </w:rPr>
              <w:t xml:space="preserve"> </w:t>
            </w:r>
            <w:r>
              <w:rPr>
                <w:rFonts w:ascii="宋体" w:hAnsi="宋体" w:cs="Nimbus Roman No9 L"/>
                <w:sz w:val="18"/>
                <w:szCs w:val="18"/>
              </w:rPr>
              <w:t>其他外商投资企业</w:t>
            </w:r>
          </w:p>
          <w:p>
            <w:pPr>
              <w:rPr>
                <w:rFonts w:ascii="宋体" w:hAnsi="宋体" w:cs="Nimbus Roman No9 L"/>
                <w:sz w:val="18"/>
                <w:szCs w:val="18"/>
              </w:rPr>
            </w:pPr>
            <w:r>
              <w:rPr>
                <w:rFonts w:ascii="宋体" w:hAnsi="宋体" w:cs="Nimbus Roman No9 L"/>
                <w:sz w:val="18"/>
                <w:szCs w:val="18"/>
              </w:rPr>
              <w:t>400</w:t>
            </w:r>
            <w:r>
              <w:rPr>
                <w:rFonts w:ascii="宋体" w:hAnsi="宋体" w:cs="Nimbus Roman No9 L"/>
                <w:sz w:val="18"/>
                <w:szCs w:val="18"/>
                <w:lang w:val="en"/>
              </w:rPr>
              <w:t xml:space="preserve"> </w:t>
            </w:r>
            <w:r>
              <w:rPr>
                <w:rFonts w:ascii="宋体" w:hAnsi="宋体" w:cs="Nimbus Roman No9 L"/>
                <w:b/>
                <w:bCs/>
                <w:sz w:val="18"/>
                <w:szCs w:val="18"/>
              </w:rPr>
              <w:t>农民专业合作社（联合社）</w:t>
            </w:r>
            <w:r>
              <w:rPr>
                <w:rFonts w:hint="eastAsia" w:ascii="宋体" w:hAnsi="宋体" w:cs="Nimbus Roman No9 L"/>
                <w:sz w:val="18"/>
                <w:szCs w:val="18"/>
              </w:rPr>
              <w:t xml:space="preserve"> </w:t>
            </w:r>
            <w:r>
              <w:rPr>
                <w:rFonts w:ascii="宋体" w:hAnsi="宋体" w:cs="Nimbus Roman No9 L"/>
                <w:sz w:val="18"/>
                <w:szCs w:val="18"/>
              </w:rPr>
              <w:t>500</w:t>
            </w:r>
            <w:r>
              <w:rPr>
                <w:rFonts w:ascii="宋体" w:hAnsi="宋体" w:cs="Nimbus Roman No9 L"/>
                <w:sz w:val="18"/>
                <w:szCs w:val="18"/>
                <w:lang w:val="en"/>
              </w:rPr>
              <w:t xml:space="preserve"> </w:t>
            </w:r>
            <w:r>
              <w:rPr>
                <w:rFonts w:ascii="宋体" w:hAnsi="宋体" w:cs="Nimbus Roman No9 L"/>
                <w:b/>
                <w:bCs/>
                <w:sz w:val="18"/>
                <w:szCs w:val="18"/>
              </w:rPr>
              <w:t>个体工商户</w:t>
            </w:r>
            <w:r>
              <w:rPr>
                <w:rFonts w:hint="eastAsia" w:ascii="宋体" w:hAnsi="宋体" w:cs="Nimbus Roman No9 L"/>
                <w:b/>
                <w:bCs/>
                <w:sz w:val="18"/>
                <w:szCs w:val="18"/>
              </w:rPr>
              <w:t xml:space="preserve">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510" w:hRule="exac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216</w:t>
            </w:r>
          </w:p>
        </w:tc>
        <w:tc>
          <w:tcPr>
            <w:tcW w:w="8893" w:type="dxa"/>
            <w:gridSpan w:val="7"/>
            <w:tcBorders>
              <w:right w:val="nil"/>
            </w:tcBorders>
            <w:shd w:val="clear" w:color="auto" w:fill="D7D7D7"/>
            <w:noWrap w:val="0"/>
            <w:vAlign w:val="center"/>
          </w:tcPr>
          <w:p>
            <w:pPr>
              <w:snapToGrid w:val="0"/>
              <w:spacing w:line="240" w:lineRule="exact"/>
              <w:ind w:firstLine="12" w:firstLineChars="7"/>
              <w:rPr>
                <w:rFonts w:ascii="宋体" w:hAnsi="宋体" w:cs="Nimbus Roman No9 L"/>
                <w:sz w:val="18"/>
                <w:szCs w:val="18"/>
              </w:rPr>
            </w:pPr>
            <w:r>
              <w:rPr>
                <w:rFonts w:ascii="宋体" w:hAnsi="宋体" w:cs="Nimbus Roman No9 L"/>
                <w:sz w:val="18"/>
                <w:szCs w:val="18"/>
              </w:rPr>
              <w:t>港澳台商投资情况（限港澳台商投资企业填报）（可多选）</w:t>
            </w:r>
          </w:p>
          <w:p>
            <w:pPr>
              <w:snapToGrid w:val="0"/>
              <w:spacing w:line="240" w:lineRule="exact"/>
              <w:ind w:firstLine="12" w:firstLineChars="7"/>
              <w:rPr>
                <w:rFonts w:ascii="宋体" w:hAnsi="宋体" w:cs="Nimbus Roman No9 L"/>
                <w:sz w:val="18"/>
                <w:szCs w:val="18"/>
              </w:rPr>
            </w:pPr>
            <w:r>
              <w:rPr>
                <w:rFonts w:ascii="宋体" w:hAnsi="宋体" w:cs="Nimbus Roman No9 L"/>
                <w:sz w:val="18"/>
                <w:szCs w:val="18"/>
              </w:rPr>
              <w:t xml:space="preserve"> 1 港商投资□   2澳商投资□   3台商投资□   </w:t>
            </w:r>
            <w:r>
              <w:rPr>
                <w:rFonts w:ascii="宋体" w:hAnsi="宋体" w:cs="Nimbus Roman No9 L"/>
                <w:sz w:val="18"/>
                <w:szCs w:val="18"/>
                <w:lang w:val="en"/>
              </w:rPr>
              <w:t>4暂未</w:t>
            </w:r>
            <w:r>
              <w:rPr>
                <w:rFonts w:ascii="宋体" w:hAnsi="宋体" w:cs="Nimbus Roman No9 L"/>
                <w:sz w:val="18"/>
                <w:szCs w:val="18"/>
              </w:rPr>
              <w:t>投资□</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40"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206</w:t>
            </w:r>
          </w:p>
        </w:tc>
        <w:tc>
          <w:tcPr>
            <w:tcW w:w="8893" w:type="dxa"/>
            <w:gridSpan w:val="7"/>
            <w:tcBorders>
              <w:right w:val="nil"/>
            </w:tcBorders>
            <w:shd w:val="clear" w:color="auto" w:fill="D7D7D7"/>
            <w:noWrap w:val="0"/>
            <w:vAlign w:val="center"/>
          </w:tcPr>
          <w:p>
            <w:pPr>
              <w:snapToGrid w:val="0"/>
              <w:spacing w:line="240" w:lineRule="exact"/>
              <w:ind w:firstLine="12" w:firstLineChars="7"/>
              <w:rPr>
                <w:rFonts w:ascii="宋体" w:hAnsi="宋体" w:cs="Nimbus Roman No9 L"/>
                <w:sz w:val="18"/>
                <w:szCs w:val="18"/>
              </w:rPr>
            </w:pPr>
            <w:r>
              <w:rPr>
                <w:rFonts w:ascii="宋体" w:hAnsi="宋体" w:cs="Nimbus Roman No9 L"/>
                <w:sz w:val="18"/>
                <w:szCs w:val="18"/>
              </w:rPr>
              <w:t>企业控股情况  □  1 国有控股    2 集体控股    3 私人控股    4 港澳台商控股   5 外商控股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40" w:hRule="exac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207</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隶属关系（限国有控股企业填报）  □□   10 中央    11 地方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575"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209</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执行会计标准类别    □</w:t>
            </w:r>
          </w:p>
          <w:p>
            <w:pPr>
              <w:snapToGrid w:val="0"/>
              <w:spacing w:line="240" w:lineRule="exact"/>
              <w:ind w:firstLine="180" w:firstLineChars="100"/>
              <w:rPr>
                <w:rFonts w:ascii="宋体" w:hAnsi="宋体" w:cs="Nimbus Roman No9 L"/>
                <w:sz w:val="18"/>
                <w:szCs w:val="18"/>
              </w:rPr>
            </w:pPr>
            <w:r>
              <w:rPr>
                <w:rFonts w:ascii="宋体" w:hAnsi="宋体" w:cs="Nimbus Roman No9 L"/>
                <w:sz w:val="18"/>
                <w:szCs w:val="18"/>
              </w:rPr>
              <w:t>1 企业会计准则制度          2 政府会计准则制度        4 民间非营利组织会计制度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575"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210</w:t>
            </w:r>
          </w:p>
        </w:tc>
        <w:tc>
          <w:tcPr>
            <w:tcW w:w="8893" w:type="dxa"/>
            <w:gridSpan w:val="7"/>
            <w:tcBorders>
              <w:right w:val="nil"/>
            </w:tcBorders>
            <w:shd w:val="clear" w:color="auto" w:fill="D7D7D7"/>
            <w:noWrap w:val="0"/>
            <w:vAlign w:val="center"/>
          </w:tcPr>
          <w:p>
            <w:pPr>
              <w:snapToGrid w:val="0"/>
              <w:spacing w:line="240" w:lineRule="exact"/>
              <w:ind w:left="2700" w:hanging="2700" w:hangingChars="1500"/>
              <w:jc w:val="left"/>
              <w:rPr>
                <w:rFonts w:ascii="宋体" w:hAnsi="宋体" w:cs="Nimbus Roman No9 L"/>
                <w:sz w:val="18"/>
                <w:szCs w:val="18"/>
              </w:rPr>
            </w:pPr>
            <w:r>
              <w:rPr>
                <w:rFonts w:ascii="宋体" w:hAnsi="宋体" w:cs="Nimbus Roman No9 L"/>
                <w:sz w:val="18"/>
                <w:szCs w:val="18"/>
              </w:rPr>
              <w:t>执行企业会计准则</w:t>
            </w:r>
            <w:r>
              <w:rPr>
                <w:rFonts w:hint="eastAsia" w:ascii="宋体" w:hAnsi="宋体" w:cs="Nimbus Roman No9 L"/>
                <w:sz w:val="18"/>
                <w:szCs w:val="18"/>
              </w:rPr>
              <w:t>制度</w:t>
            </w:r>
            <w:r>
              <w:rPr>
                <w:rFonts w:ascii="宋体" w:hAnsi="宋体" w:cs="Nimbus Roman No9 L"/>
                <w:sz w:val="18"/>
                <w:szCs w:val="18"/>
              </w:rPr>
              <w:t xml:space="preserve">情况   □                                                 </w:t>
            </w:r>
          </w:p>
          <w:p>
            <w:pPr>
              <w:snapToGrid w:val="0"/>
              <w:spacing w:line="240" w:lineRule="exact"/>
              <w:ind w:left="2698" w:leftChars="85" w:hanging="2520" w:hangingChars="1400"/>
              <w:jc w:val="left"/>
              <w:rPr>
                <w:rFonts w:hint="eastAsia" w:ascii="宋体" w:hAnsi="宋体" w:cs="Nimbus Roman No9 L"/>
                <w:sz w:val="18"/>
                <w:szCs w:val="18"/>
              </w:rPr>
            </w:pPr>
            <w:r>
              <w:rPr>
                <w:rFonts w:ascii="宋体" w:hAnsi="宋体" w:cs="Nimbus Roman No9 L"/>
                <w:sz w:val="18"/>
                <w:szCs w:val="18"/>
              </w:rPr>
              <w:t xml:space="preserve">1 执行《企业会计准则》      2 执行《小企业会计准则》       </w:t>
            </w:r>
            <w:r>
              <w:rPr>
                <w:rFonts w:hint="eastAsia" w:ascii="宋体" w:hAnsi="宋体" w:cs="Nimbus Roman No9 L"/>
                <w:sz w:val="18"/>
                <w:szCs w:val="18"/>
              </w:rPr>
              <w:t>3</w:t>
            </w:r>
            <w:r>
              <w:rPr>
                <w:rFonts w:ascii="宋体" w:hAnsi="宋体" w:cs="Nimbus Roman No9 L"/>
                <w:sz w:val="18"/>
                <w:szCs w:val="18"/>
              </w:rPr>
              <w:t xml:space="preserve"> </w:t>
            </w:r>
            <w:r>
              <w:rPr>
                <w:rFonts w:hint="eastAsia" w:ascii="宋体" w:hAnsi="宋体" w:cs="Nimbus Roman No9 L"/>
                <w:sz w:val="18"/>
                <w:szCs w:val="18"/>
              </w:rPr>
              <w:t>执行《企业会计制度》</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402" w:hRule="exac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hint="eastAsia" w:ascii="Nimbus Roman No9 L" w:hAnsi="Nimbus Roman No9 L" w:cs="Nimbus Roman No9 L"/>
                <w:b/>
                <w:bCs/>
                <w:sz w:val="18"/>
                <w:szCs w:val="18"/>
              </w:rPr>
              <w:t>212</w:t>
            </w:r>
          </w:p>
        </w:tc>
        <w:tc>
          <w:tcPr>
            <w:tcW w:w="8893" w:type="dxa"/>
            <w:gridSpan w:val="7"/>
            <w:tcBorders>
              <w:right w:val="nil"/>
            </w:tcBorders>
            <w:shd w:val="clear" w:color="auto" w:fill="D7D7D7"/>
            <w:noWrap w:val="0"/>
            <w:vAlign w:val="center"/>
          </w:tcPr>
          <w:p>
            <w:pPr>
              <w:snapToGrid w:val="0"/>
              <w:spacing w:line="240" w:lineRule="exact"/>
              <w:jc w:val="left"/>
              <w:rPr>
                <w:rFonts w:hint="eastAsia" w:ascii="宋体" w:hAnsi="宋体" w:cs="Nimbus Roman No9 L"/>
                <w:sz w:val="18"/>
                <w:szCs w:val="18"/>
              </w:rPr>
            </w:pPr>
            <w:r>
              <w:rPr>
                <w:rFonts w:hint="eastAsia" w:ascii="宋体" w:hAnsi="宋体"/>
                <w:sz w:val="18"/>
                <w:szCs w:val="18"/>
              </w:rPr>
              <w:t>产业活动单位数</w:t>
            </w:r>
            <w:r>
              <w:rPr>
                <w:rFonts w:hint="eastAsia" w:ascii="宋体" w:hAnsi="宋体"/>
                <w:sz w:val="18"/>
                <w:szCs w:val="18"/>
                <w:u w:val="single"/>
              </w:rPr>
              <w:t xml:space="preserve">         </w:t>
            </w:r>
            <w:r>
              <w:rPr>
                <w:rFonts w:hint="eastAsia" w:ascii="宋体" w:hAnsi="宋体"/>
                <w:sz w:val="18"/>
                <w:szCs w:val="18"/>
              </w:rPr>
              <w:t xml:space="preserve">个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869"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213</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 xml:space="preserve">企业集团情况(限企业集团母公司及成员企业填写)  本企业是 </w:t>
            </w:r>
            <w:r>
              <w:rPr>
                <w:rFonts w:ascii="宋体" w:hAnsi="宋体" w:cs="Nimbus Roman No9 L"/>
                <w:kern w:val="0"/>
                <w:sz w:val="18"/>
                <w:szCs w:val="18"/>
              </w:rPr>
              <w:t xml:space="preserve">□ </w:t>
            </w:r>
          </w:p>
          <w:p>
            <w:pPr>
              <w:snapToGrid w:val="0"/>
              <w:spacing w:line="240" w:lineRule="exact"/>
              <w:rPr>
                <w:rFonts w:ascii="宋体" w:hAnsi="宋体" w:cs="Nimbus Roman No9 L"/>
                <w:sz w:val="18"/>
                <w:szCs w:val="18"/>
              </w:rPr>
            </w:pPr>
            <w:r>
              <w:rPr>
                <w:rFonts w:ascii="宋体" w:hAnsi="宋体" w:cs="Nimbus Roman No9 L"/>
                <w:sz w:val="18"/>
                <w:szCs w:val="18"/>
              </w:rPr>
              <w:t xml:space="preserve"> </w:t>
            </w:r>
            <w:r>
              <w:rPr>
                <w:rFonts w:ascii="宋体" w:hAnsi="宋体" w:cs="Nimbus Roman No9 L"/>
                <w:kern w:val="0"/>
                <w:sz w:val="18"/>
                <w:szCs w:val="18"/>
              </w:rPr>
              <w:t xml:space="preserve"> 1 集团母公司</w:t>
            </w:r>
            <w:r>
              <w:rPr>
                <w:rFonts w:ascii="宋体" w:hAnsi="宋体" w:cs="Nimbus Roman No9 L"/>
                <w:sz w:val="18"/>
                <w:szCs w:val="18"/>
              </w:rPr>
              <w:t xml:space="preserve">(核心企业或集团总部) </w:t>
            </w:r>
          </w:p>
          <w:p>
            <w:pPr>
              <w:snapToGrid w:val="0"/>
              <w:spacing w:line="240" w:lineRule="exact"/>
              <w:rPr>
                <w:rFonts w:ascii="宋体" w:hAnsi="宋体" w:cs="Nimbus Roman No9 L"/>
                <w:sz w:val="18"/>
                <w:szCs w:val="18"/>
              </w:rPr>
            </w:pPr>
            <w:r>
              <w:rPr>
                <w:rFonts w:ascii="宋体" w:hAnsi="宋体" w:cs="Nimbus Roman No9 L"/>
                <w:sz w:val="18"/>
                <w:szCs w:val="18"/>
              </w:rPr>
              <w:t xml:space="preserve">  2 成员企业</w:t>
            </w:r>
            <w:r>
              <w:rPr>
                <w:rFonts w:ascii="宋体" w:hAnsi="宋体" w:cs="Nimbus Roman No9 L"/>
                <w:spacing w:val="-6"/>
                <w:sz w:val="18"/>
                <w:szCs w:val="18"/>
              </w:rPr>
              <w:t>——</w:t>
            </w:r>
            <w:r>
              <w:rPr>
                <w:rFonts w:ascii="宋体" w:hAnsi="宋体" w:cs="Nimbus Roman No9 L"/>
                <w:sz w:val="18"/>
                <w:szCs w:val="18"/>
              </w:rPr>
              <w:t>请填直接上级法人统一社会信用代码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97"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C01</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 xml:space="preserve">建筑业企业资质等级编码    □□□□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97"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hint="eastAsia" w:ascii="Nimbus Roman No9 L" w:hAnsi="Nimbus Roman No9 L" w:cs="Nimbus Roman No9 L"/>
                <w:b/>
                <w:bCs/>
                <w:sz w:val="18"/>
                <w:szCs w:val="18"/>
              </w:rPr>
            </w:pPr>
            <w:r>
              <w:rPr>
                <w:rFonts w:ascii="Nimbus Roman No9 L" w:hAnsi="Nimbus Roman No9 L" w:cs="Nimbus Roman No9 L"/>
                <w:b/>
                <w:bCs/>
                <w:sz w:val="18"/>
                <w:szCs w:val="18"/>
              </w:rPr>
              <w:t>C0</w:t>
            </w:r>
            <w:r>
              <w:rPr>
                <w:rFonts w:hint="eastAsia" w:ascii="Nimbus Roman No9 L" w:hAnsi="Nimbus Roman No9 L" w:cs="Nimbus Roman No9 L"/>
                <w:b/>
                <w:bCs/>
                <w:sz w:val="18"/>
                <w:szCs w:val="18"/>
              </w:rPr>
              <w:t>2</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hint="eastAsia" w:ascii="宋体" w:hAnsi="宋体" w:cs="Nimbus Roman No9 L"/>
                <w:sz w:val="18"/>
                <w:szCs w:val="18"/>
              </w:rPr>
              <w:t>建筑业资质有效期至□□□□年□□月</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97"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X01</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房地产开发经营业企业资质等级  □    1 一级     2 二级     3 三级     4 四级     5 暂定    9 其他</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827"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ES1</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 xml:space="preserve">批发和零售业、住宿和餐饮业单位经营形式□  </w:t>
            </w:r>
          </w:p>
          <w:p>
            <w:pPr>
              <w:snapToGrid w:val="0"/>
              <w:spacing w:line="240" w:lineRule="exact"/>
              <w:ind w:firstLine="180" w:firstLineChars="100"/>
              <w:rPr>
                <w:rFonts w:ascii="宋体" w:hAnsi="宋体" w:cs="Nimbus Roman No9 L"/>
                <w:sz w:val="18"/>
                <w:szCs w:val="18"/>
              </w:rPr>
            </w:pPr>
            <w:r>
              <w:rPr>
                <w:rFonts w:ascii="宋体" w:hAnsi="宋体" w:cs="Nimbus Roman No9 L"/>
                <w:sz w:val="18"/>
                <w:szCs w:val="18"/>
              </w:rPr>
              <w:t xml:space="preserve">1 独立门店      2 连锁总店（总部）     3 连锁直营店     4 连锁加盟店     9 其他  </w:t>
            </w:r>
          </w:p>
          <w:p>
            <w:pPr>
              <w:snapToGrid w:val="0"/>
              <w:spacing w:line="240" w:lineRule="exact"/>
              <w:ind w:firstLine="180" w:firstLineChars="100"/>
              <w:rPr>
                <w:rFonts w:ascii="宋体" w:hAnsi="宋体" w:cs="Nimbus Roman No9 L"/>
                <w:sz w:val="18"/>
                <w:szCs w:val="18"/>
              </w:rPr>
            </w:pPr>
            <w:r>
              <w:rPr>
                <w:rFonts w:ascii="宋体" w:hAnsi="宋体" w:cs="Nimbus Roman No9 L"/>
                <w:sz w:val="18"/>
                <w:szCs w:val="18"/>
              </w:rPr>
              <w:t>连锁品牌（商标或商号名称）：</w:t>
            </w:r>
            <w:r>
              <w:rPr>
                <w:rFonts w:ascii="宋体" w:hAnsi="宋体" w:cs="Nimbus Roman No9 L"/>
                <w:sz w:val="18"/>
                <w:szCs w:val="18"/>
                <w:u w:val="single"/>
              </w:rPr>
              <w:t xml:space="preserve">                  </w:t>
            </w:r>
            <w:r>
              <w:rPr>
                <w:rFonts w:ascii="宋体" w:hAnsi="宋体" w:cs="Nimbus Roman No9 L"/>
                <w:sz w:val="18"/>
                <w:szCs w:val="18"/>
              </w:rPr>
              <w:t xml:space="preserve"> （经营形式选2、3、4的单位填报）</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1705" w:hRule="atLeas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E02</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零售业态（可多选，不超过3个）    □□□□    □□□□     □□□□</w:t>
            </w:r>
          </w:p>
          <w:p>
            <w:pPr>
              <w:snapToGrid w:val="0"/>
              <w:spacing w:line="240" w:lineRule="exact"/>
              <w:rPr>
                <w:rFonts w:ascii="宋体" w:hAnsi="宋体" w:cs="Nimbus Roman No9 L"/>
                <w:b/>
                <w:bCs/>
                <w:sz w:val="18"/>
                <w:szCs w:val="18"/>
              </w:rPr>
            </w:pPr>
            <w:r>
              <w:rPr>
                <w:rFonts w:ascii="宋体" w:hAnsi="宋体" w:cs="Nimbus Roman No9 L"/>
                <w:b/>
                <w:bCs/>
                <w:sz w:val="18"/>
                <w:szCs w:val="18"/>
              </w:rPr>
              <w:t>有店铺零售</w:t>
            </w:r>
          </w:p>
          <w:p>
            <w:pPr>
              <w:snapToGrid w:val="0"/>
              <w:spacing w:line="240" w:lineRule="exact"/>
              <w:ind w:left="180" w:leftChars="86"/>
              <w:rPr>
                <w:rFonts w:ascii="宋体" w:hAnsi="宋体" w:cs="Nimbus Roman No9 L"/>
                <w:sz w:val="18"/>
                <w:szCs w:val="18"/>
              </w:rPr>
            </w:pPr>
            <w:r>
              <w:rPr>
                <w:rFonts w:ascii="宋体" w:hAnsi="宋体" w:cs="Nimbus Roman No9 L"/>
                <w:sz w:val="18"/>
                <w:szCs w:val="18"/>
              </w:rPr>
              <w:t>1010</w:t>
            </w:r>
            <w:r>
              <w:rPr>
                <w:rFonts w:ascii="宋体" w:hAnsi="宋体" w:cs="Nimbus Roman No9 L"/>
                <w:sz w:val="18"/>
                <w:szCs w:val="18"/>
                <w:lang w:val="en"/>
              </w:rPr>
              <w:t xml:space="preserve">  </w:t>
            </w:r>
            <w:r>
              <w:rPr>
                <w:rFonts w:ascii="宋体" w:hAnsi="宋体" w:cs="Nimbus Roman No9 L"/>
                <w:sz w:val="18"/>
                <w:szCs w:val="18"/>
              </w:rPr>
              <w:t>便利店    1020</w:t>
            </w:r>
            <w:r>
              <w:rPr>
                <w:rFonts w:ascii="宋体" w:hAnsi="宋体" w:cs="Nimbus Roman No9 L"/>
                <w:sz w:val="18"/>
                <w:szCs w:val="18"/>
                <w:lang w:val="en"/>
              </w:rPr>
              <w:t xml:space="preserve">  </w:t>
            </w:r>
            <w:r>
              <w:rPr>
                <w:rFonts w:ascii="宋体" w:hAnsi="宋体" w:cs="Nimbus Roman No9 L"/>
                <w:sz w:val="18"/>
                <w:szCs w:val="18"/>
              </w:rPr>
              <w:t>超市    1030</w:t>
            </w:r>
            <w:r>
              <w:rPr>
                <w:rFonts w:ascii="宋体" w:hAnsi="宋体" w:cs="Nimbus Roman No9 L"/>
                <w:sz w:val="18"/>
                <w:szCs w:val="18"/>
                <w:lang w:val="en"/>
              </w:rPr>
              <w:t xml:space="preserve">  </w:t>
            </w:r>
            <w:r>
              <w:rPr>
                <w:rFonts w:ascii="宋体" w:hAnsi="宋体" w:cs="Nimbus Roman No9 L"/>
                <w:sz w:val="18"/>
                <w:szCs w:val="18"/>
              </w:rPr>
              <w:t>折扣店    1040</w:t>
            </w:r>
            <w:r>
              <w:rPr>
                <w:rFonts w:ascii="宋体" w:hAnsi="宋体" w:cs="Nimbus Roman No9 L"/>
                <w:sz w:val="18"/>
                <w:szCs w:val="18"/>
                <w:lang w:val="en"/>
              </w:rPr>
              <w:t xml:space="preserve">  </w:t>
            </w:r>
            <w:r>
              <w:rPr>
                <w:rFonts w:ascii="宋体" w:hAnsi="宋体" w:cs="Nimbus Roman No9 L"/>
                <w:sz w:val="18"/>
                <w:szCs w:val="18"/>
              </w:rPr>
              <w:t>仓储会员店    1050</w:t>
            </w:r>
            <w:r>
              <w:rPr>
                <w:rFonts w:ascii="宋体" w:hAnsi="宋体" w:cs="Nimbus Roman No9 L"/>
                <w:sz w:val="18"/>
                <w:szCs w:val="18"/>
                <w:lang w:val="en"/>
              </w:rPr>
              <w:t xml:space="preserve">  </w:t>
            </w:r>
            <w:r>
              <w:rPr>
                <w:rFonts w:ascii="宋体" w:hAnsi="宋体" w:cs="Nimbus Roman No9 L"/>
                <w:sz w:val="18"/>
                <w:szCs w:val="18"/>
              </w:rPr>
              <w:t>百货店</w:t>
            </w:r>
          </w:p>
          <w:p>
            <w:pPr>
              <w:snapToGrid w:val="0"/>
              <w:spacing w:line="240" w:lineRule="exact"/>
              <w:ind w:left="180" w:leftChars="86"/>
              <w:rPr>
                <w:rFonts w:ascii="宋体" w:hAnsi="宋体" w:cs="Nimbus Roman No9 L"/>
                <w:sz w:val="18"/>
                <w:szCs w:val="18"/>
              </w:rPr>
            </w:pPr>
            <w:r>
              <w:rPr>
                <w:rFonts w:ascii="宋体" w:hAnsi="宋体" w:cs="Nimbus Roman No9 L"/>
                <w:sz w:val="18"/>
                <w:szCs w:val="18"/>
              </w:rPr>
              <w:t>1060</w:t>
            </w:r>
            <w:r>
              <w:rPr>
                <w:rFonts w:ascii="宋体" w:hAnsi="宋体" w:cs="Nimbus Roman No9 L"/>
                <w:sz w:val="18"/>
                <w:szCs w:val="18"/>
                <w:lang w:val="en"/>
              </w:rPr>
              <w:t xml:space="preserve">  </w:t>
            </w:r>
            <w:r>
              <w:rPr>
                <w:rFonts w:ascii="宋体" w:hAnsi="宋体" w:cs="Nimbus Roman No9 L"/>
                <w:sz w:val="18"/>
                <w:szCs w:val="18"/>
              </w:rPr>
              <w:t>购物中心  1070</w:t>
            </w:r>
            <w:r>
              <w:rPr>
                <w:rFonts w:ascii="宋体" w:hAnsi="宋体" w:cs="Nimbus Roman No9 L"/>
                <w:sz w:val="18"/>
                <w:szCs w:val="18"/>
                <w:lang w:val="en"/>
              </w:rPr>
              <w:t xml:space="preserve">  </w:t>
            </w:r>
            <w:r>
              <w:rPr>
                <w:rFonts w:ascii="宋体" w:hAnsi="宋体" w:cs="Nimbus Roman No9 L"/>
                <w:sz w:val="18"/>
                <w:szCs w:val="18"/>
              </w:rPr>
              <w:t>专业店  1080</w:t>
            </w:r>
            <w:r>
              <w:rPr>
                <w:rFonts w:ascii="宋体" w:hAnsi="宋体" w:cs="Nimbus Roman No9 L"/>
                <w:sz w:val="18"/>
                <w:szCs w:val="18"/>
                <w:lang w:val="en"/>
              </w:rPr>
              <w:t xml:space="preserve">  </w:t>
            </w:r>
            <w:r>
              <w:rPr>
                <w:rFonts w:ascii="宋体" w:hAnsi="宋体" w:cs="Nimbus Roman No9 L"/>
                <w:sz w:val="18"/>
                <w:szCs w:val="18"/>
              </w:rPr>
              <w:t>品牌专卖店    1090</w:t>
            </w:r>
            <w:r>
              <w:rPr>
                <w:rFonts w:ascii="宋体" w:hAnsi="宋体" w:cs="Nimbus Roman No9 L"/>
                <w:sz w:val="18"/>
                <w:szCs w:val="18"/>
                <w:lang w:val="en"/>
              </w:rPr>
              <w:t xml:space="preserve">  </w:t>
            </w:r>
            <w:r>
              <w:rPr>
                <w:rFonts w:ascii="宋体" w:hAnsi="宋体" w:cs="Nimbus Roman No9 L"/>
                <w:sz w:val="18"/>
                <w:szCs w:val="18"/>
              </w:rPr>
              <w:t>集合店    1100</w:t>
            </w:r>
            <w:r>
              <w:rPr>
                <w:rFonts w:ascii="宋体" w:hAnsi="宋体" w:cs="Nimbus Roman No9 L"/>
                <w:sz w:val="18"/>
                <w:szCs w:val="18"/>
                <w:lang w:val="en"/>
              </w:rPr>
              <w:t xml:space="preserve">  </w:t>
            </w:r>
            <w:r>
              <w:rPr>
                <w:rFonts w:ascii="宋体" w:hAnsi="宋体" w:cs="Nimbus Roman No9 L"/>
                <w:sz w:val="18"/>
                <w:szCs w:val="18"/>
              </w:rPr>
              <w:t>无人值守商店</w:t>
            </w:r>
          </w:p>
          <w:p>
            <w:pPr>
              <w:snapToGrid w:val="0"/>
              <w:spacing w:line="240" w:lineRule="exact"/>
              <w:rPr>
                <w:rFonts w:ascii="宋体" w:hAnsi="宋体" w:cs="Nimbus Roman No9 L"/>
                <w:b/>
                <w:bCs/>
                <w:sz w:val="18"/>
                <w:szCs w:val="18"/>
              </w:rPr>
            </w:pPr>
            <w:r>
              <w:rPr>
                <w:rFonts w:ascii="宋体" w:hAnsi="宋体" w:cs="Nimbus Roman No9 L"/>
                <w:b/>
                <w:bCs/>
                <w:sz w:val="18"/>
                <w:szCs w:val="18"/>
              </w:rPr>
              <w:t>无店铺零售</w:t>
            </w:r>
          </w:p>
          <w:p>
            <w:pPr>
              <w:snapToGrid w:val="0"/>
              <w:spacing w:line="240" w:lineRule="exact"/>
              <w:ind w:firstLine="180" w:firstLineChars="100"/>
              <w:rPr>
                <w:rFonts w:ascii="宋体" w:hAnsi="宋体" w:cs="Nimbus Roman No9 L"/>
                <w:sz w:val="18"/>
                <w:szCs w:val="18"/>
              </w:rPr>
            </w:pPr>
            <w:r>
              <w:rPr>
                <w:rFonts w:ascii="宋体" w:hAnsi="宋体" w:cs="Nimbus Roman No9 L"/>
                <w:sz w:val="18"/>
                <w:szCs w:val="18"/>
              </w:rPr>
              <w:t>2010</w:t>
            </w:r>
            <w:r>
              <w:rPr>
                <w:rFonts w:ascii="宋体" w:hAnsi="宋体" w:cs="Nimbus Roman No9 L"/>
                <w:sz w:val="18"/>
                <w:szCs w:val="18"/>
                <w:lang w:val="en"/>
              </w:rPr>
              <w:t xml:space="preserve">  </w:t>
            </w:r>
            <w:r>
              <w:rPr>
                <w:rFonts w:ascii="宋体" w:hAnsi="宋体" w:cs="Nimbus Roman No9 L"/>
                <w:sz w:val="18"/>
                <w:szCs w:val="18"/>
              </w:rPr>
              <w:t>网络零售    2020</w:t>
            </w:r>
            <w:r>
              <w:rPr>
                <w:rFonts w:ascii="宋体" w:hAnsi="宋体" w:cs="Nimbus Roman No9 L"/>
                <w:sz w:val="18"/>
                <w:szCs w:val="18"/>
                <w:lang w:val="en"/>
              </w:rPr>
              <w:t xml:space="preserve">  </w:t>
            </w:r>
            <w:r>
              <w:rPr>
                <w:rFonts w:ascii="宋体" w:hAnsi="宋体" w:cs="Nimbus Roman No9 L"/>
                <w:sz w:val="18"/>
                <w:szCs w:val="18"/>
              </w:rPr>
              <w:t>电视/广播零售    2030</w:t>
            </w:r>
            <w:r>
              <w:rPr>
                <w:rFonts w:ascii="宋体" w:hAnsi="宋体" w:cs="Nimbus Roman No9 L"/>
                <w:sz w:val="18"/>
                <w:szCs w:val="18"/>
                <w:lang w:val="en"/>
              </w:rPr>
              <w:t xml:space="preserve">  </w:t>
            </w:r>
            <w:r>
              <w:rPr>
                <w:rFonts w:ascii="宋体" w:hAnsi="宋体" w:cs="Nimbus Roman No9 L"/>
                <w:sz w:val="18"/>
                <w:szCs w:val="18"/>
              </w:rPr>
              <w:t xml:space="preserve">邮寄零售  </w:t>
            </w:r>
            <w:r>
              <w:rPr>
                <w:rFonts w:ascii="宋体" w:hAnsi="宋体" w:cs="Nimbus Roman No9 L"/>
                <w:w w:val="135"/>
                <w:sz w:val="18"/>
                <w:szCs w:val="18"/>
              </w:rPr>
              <w:t xml:space="preserve">   </w:t>
            </w:r>
            <w:r>
              <w:rPr>
                <w:rFonts w:ascii="宋体" w:hAnsi="宋体" w:cs="Nimbus Roman No9 L"/>
                <w:sz w:val="18"/>
                <w:szCs w:val="18"/>
              </w:rPr>
              <w:t xml:space="preserve"> 2040</w:t>
            </w:r>
            <w:r>
              <w:rPr>
                <w:rFonts w:ascii="宋体" w:hAnsi="宋体" w:cs="Nimbus Roman No9 L"/>
                <w:sz w:val="18"/>
                <w:szCs w:val="18"/>
                <w:lang w:val="en"/>
              </w:rPr>
              <w:t xml:space="preserve">  </w:t>
            </w:r>
            <w:r>
              <w:rPr>
                <w:rFonts w:ascii="宋体" w:hAnsi="宋体" w:cs="Nimbus Roman No9 L"/>
                <w:sz w:val="18"/>
                <w:szCs w:val="18"/>
              </w:rPr>
              <w:t>无人售货设备零售</w:t>
            </w:r>
          </w:p>
          <w:p>
            <w:pPr>
              <w:snapToGrid w:val="0"/>
              <w:spacing w:line="240" w:lineRule="exact"/>
              <w:ind w:firstLine="180" w:firstLineChars="100"/>
              <w:rPr>
                <w:rFonts w:ascii="宋体" w:hAnsi="宋体" w:cs="Nimbus Roman No9 L"/>
                <w:sz w:val="18"/>
                <w:szCs w:val="18"/>
              </w:rPr>
            </w:pPr>
            <w:r>
              <w:rPr>
                <w:rFonts w:ascii="宋体" w:hAnsi="宋体" w:cs="Nimbus Roman No9 L"/>
                <w:sz w:val="18"/>
                <w:szCs w:val="18"/>
              </w:rPr>
              <w:t>2050</w:t>
            </w:r>
            <w:r>
              <w:rPr>
                <w:rFonts w:ascii="宋体" w:hAnsi="宋体" w:cs="Nimbus Roman No9 L"/>
                <w:sz w:val="18"/>
                <w:szCs w:val="18"/>
                <w:lang w:val="en"/>
              </w:rPr>
              <w:t xml:space="preserve">  </w:t>
            </w:r>
            <w:r>
              <w:rPr>
                <w:rFonts w:ascii="宋体" w:hAnsi="宋体" w:cs="Nimbus Roman No9 L"/>
                <w:sz w:val="18"/>
                <w:szCs w:val="18"/>
              </w:rPr>
              <w:t>电话零售    2060</w:t>
            </w:r>
            <w:r>
              <w:rPr>
                <w:rFonts w:ascii="宋体" w:hAnsi="宋体" w:cs="Nimbus Roman No9 L"/>
                <w:sz w:val="18"/>
                <w:szCs w:val="18"/>
                <w:lang w:val="en"/>
              </w:rPr>
              <w:t xml:space="preserve">  </w:t>
            </w:r>
            <w:r>
              <w:rPr>
                <w:rFonts w:ascii="宋体" w:hAnsi="宋体" w:cs="Nimbus Roman No9 L"/>
                <w:sz w:val="18"/>
                <w:szCs w:val="18"/>
              </w:rPr>
              <w:t xml:space="preserve">直销       </w:t>
            </w:r>
            <w:r>
              <w:rPr>
                <w:rFonts w:ascii="宋体" w:hAnsi="宋体" w:cs="Nimbus Roman No9 L"/>
                <w:w w:val="120"/>
                <w:sz w:val="18"/>
                <w:szCs w:val="18"/>
              </w:rPr>
              <w:t xml:space="preserve">   </w:t>
            </w:r>
            <w:r>
              <w:rPr>
                <w:rFonts w:ascii="宋体" w:hAnsi="宋体" w:cs="Nimbus Roman No9 L"/>
                <w:sz w:val="18"/>
                <w:szCs w:val="18"/>
              </w:rPr>
              <w:t xml:space="preserve">  2070</w:t>
            </w:r>
            <w:r>
              <w:rPr>
                <w:rFonts w:ascii="宋体" w:hAnsi="宋体" w:cs="Nimbus Roman No9 L"/>
                <w:sz w:val="18"/>
                <w:szCs w:val="18"/>
                <w:lang w:val="en"/>
              </w:rPr>
              <w:t xml:space="preserve">  </w:t>
            </w:r>
            <w:r>
              <w:rPr>
                <w:rFonts w:ascii="宋体" w:hAnsi="宋体" w:cs="Nimbus Roman No9 L"/>
                <w:sz w:val="18"/>
                <w:szCs w:val="18"/>
              </w:rPr>
              <w:t>流动货摊零售   2090</w:t>
            </w:r>
            <w:r>
              <w:rPr>
                <w:rFonts w:ascii="宋体" w:hAnsi="宋体" w:cs="Nimbus Roman No9 L"/>
                <w:sz w:val="18"/>
                <w:szCs w:val="18"/>
                <w:lang w:val="en"/>
              </w:rPr>
              <w:t xml:space="preserve">  </w:t>
            </w:r>
            <w:r>
              <w:rPr>
                <w:rFonts w:ascii="宋体" w:hAnsi="宋体" w:cs="Nimbus Roman No9 L"/>
                <w:sz w:val="18"/>
                <w:szCs w:val="18"/>
              </w:rPr>
              <w:t xml:space="preserve">其他  </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gridAfter w:val="2"/>
          <w:wAfter w:w="70" w:type="dxa"/>
          <w:trHeight w:val="340" w:hRule="exact"/>
          <w:jc w:val="center"/>
        </w:trPr>
        <w:tc>
          <w:tcPr>
            <w:tcW w:w="620" w:type="dxa"/>
            <w:gridSpan w:val="2"/>
            <w:tcBorders>
              <w:left w:val="nil"/>
            </w:tcBorders>
            <w:shd w:val="clear" w:color="auto" w:fill="D7D7D7"/>
            <w:noWrap w:val="0"/>
            <w:tcMar>
              <w:top w:w="0" w:type="dxa"/>
              <w:left w:w="57" w:type="dxa"/>
              <w:bottom w:w="0" w:type="dxa"/>
              <w:right w:w="57" w:type="dxa"/>
            </w:tcMar>
            <w:vAlign w:val="center"/>
          </w:tcPr>
          <w:p>
            <w:pPr>
              <w:snapToGrid w:val="0"/>
              <w:jc w:val="center"/>
              <w:rPr>
                <w:rFonts w:ascii="Nimbus Roman No9 L" w:hAnsi="Nimbus Roman No9 L" w:cs="Nimbus Roman No9 L"/>
                <w:b/>
                <w:bCs/>
                <w:sz w:val="18"/>
                <w:szCs w:val="18"/>
              </w:rPr>
            </w:pPr>
            <w:r>
              <w:rPr>
                <w:rFonts w:ascii="Nimbus Roman No9 L" w:hAnsi="Nimbus Roman No9 L" w:cs="Nimbus Roman No9 L"/>
                <w:b/>
                <w:bCs/>
                <w:sz w:val="18"/>
                <w:szCs w:val="18"/>
              </w:rPr>
              <w:t>S02</w:t>
            </w:r>
          </w:p>
        </w:tc>
        <w:tc>
          <w:tcPr>
            <w:tcW w:w="8893" w:type="dxa"/>
            <w:gridSpan w:val="7"/>
            <w:tcBorders>
              <w:right w:val="nil"/>
            </w:tcBorders>
            <w:shd w:val="clear" w:color="auto" w:fill="D7D7D7"/>
            <w:noWrap w:val="0"/>
            <w:vAlign w:val="center"/>
          </w:tcPr>
          <w:p>
            <w:pPr>
              <w:snapToGrid w:val="0"/>
              <w:spacing w:line="240" w:lineRule="exact"/>
              <w:rPr>
                <w:rFonts w:ascii="宋体" w:hAnsi="宋体" w:cs="Nimbus Roman No9 L"/>
                <w:sz w:val="18"/>
                <w:szCs w:val="18"/>
              </w:rPr>
            </w:pPr>
            <w:r>
              <w:rPr>
                <w:rFonts w:ascii="宋体" w:hAnsi="宋体" w:cs="Nimbus Roman No9 L"/>
                <w:sz w:val="18"/>
                <w:szCs w:val="18"/>
              </w:rPr>
              <w:t>住宿业单位星级评定情况      □      1 一星     2 二星    3 三星    4 四星    5 五星    9 其他</w:t>
            </w:r>
          </w:p>
        </w:tc>
      </w:tr>
    </w:tbl>
    <w:p>
      <w:pPr>
        <w:keepNext w:val="0"/>
        <w:keepLines w:val="0"/>
        <w:pageBreakBefore w:val="0"/>
        <w:widowControl w:val="0"/>
        <w:kinsoku/>
        <w:wordWrap/>
        <w:overflowPunct/>
        <w:topLinePunct w:val="0"/>
        <w:autoSpaceDE/>
        <w:autoSpaceDN/>
        <w:bidi w:val="0"/>
        <w:adjustRightInd/>
        <w:snapToGrid/>
        <w:spacing w:line="240" w:lineRule="exact"/>
        <w:ind w:left="-96" w:leftChars="-46" w:right="-732" w:rightChars="-349" w:firstLine="104" w:firstLineChars="58"/>
        <w:textAlignment w:val="auto"/>
        <w:rPr>
          <w:rFonts w:ascii="Nimbus Roman No9 L" w:hAnsi="Nimbus Roman No9 L" w:cs="Nimbus Roman No9 L"/>
          <w:sz w:val="18"/>
          <w:szCs w:val="18"/>
        </w:rPr>
      </w:pPr>
      <w:r>
        <w:rPr>
          <w:rFonts w:ascii="Nimbus Roman No9 L" w:hAnsi="Nimbus Roman No9 L" w:cs="Nimbus Roman No9 L"/>
          <w:sz w:val="18"/>
          <w:szCs w:val="18"/>
        </w:rPr>
        <w:t xml:space="preserve">单位负责人：        统计负责人：         填表人：      </w:t>
      </w:r>
      <w:r>
        <w:rPr>
          <w:rFonts w:hint="eastAsia" w:ascii="Nimbus Roman No9 L" w:hAnsi="Nimbus Roman No9 L" w:cs="Nimbus Roman No9 L"/>
          <w:sz w:val="18"/>
          <w:szCs w:val="18"/>
          <w:lang w:eastAsia="zh-CN"/>
        </w:rPr>
        <w:t>填表人</w:t>
      </w:r>
      <w:r>
        <w:rPr>
          <w:rFonts w:ascii="Nimbus Roman No9 L" w:hAnsi="Nimbus Roman No9 L" w:cs="Nimbus Roman No9 L"/>
          <w:sz w:val="18"/>
          <w:szCs w:val="18"/>
        </w:rPr>
        <w:t>联系电话：       报出日期：２０  年   月  日</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textAlignment w:val="auto"/>
        <w:rPr>
          <w:rFonts w:hint="eastAsia" w:ascii="宋体" w:hAnsi="宋体"/>
          <w:sz w:val="18"/>
          <w:szCs w:val="18"/>
        </w:rPr>
      </w:pP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textAlignment w:val="auto"/>
        <w:rPr>
          <w:rFonts w:hint="eastAsia" w:ascii="宋体"/>
          <w:sz w:val="18"/>
          <w:szCs w:val="18"/>
        </w:rPr>
      </w:pPr>
      <w:r>
        <w:rPr>
          <w:rFonts w:hint="eastAsia" w:ascii="宋体" w:hAnsi="宋体"/>
          <w:sz w:val="18"/>
          <w:szCs w:val="18"/>
        </w:rPr>
        <w:t>说明：1.统计范围：</w:t>
      </w:r>
      <w:r>
        <w:rPr>
          <w:rFonts w:hint="eastAsia" w:ascii="宋体"/>
          <w:sz w:val="18"/>
          <w:szCs w:val="18"/>
        </w:rPr>
        <w:t>辖区内规模以上工业法人单位</w:t>
      </w:r>
      <w:r>
        <w:rPr>
          <w:rFonts w:hint="eastAsia" w:ascii="宋体" w:hAnsi="宋体"/>
          <w:sz w:val="18"/>
          <w:szCs w:val="18"/>
          <w:lang w:eastAsia="zh-CN"/>
        </w:rPr>
        <w:t>和</w:t>
      </w:r>
      <w:r>
        <w:rPr>
          <w:rFonts w:hint="eastAsia" w:ascii="宋体" w:hAnsi="宋体"/>
          <w:sz w:val="18"/>
          <w:szCs w:val="18"/>
        </w:rPr>
        <w:t>规模以上工业</w:t>
      </w:r>
      <w:r>
        <w:rPr>
          <w:rFonts w:hint="eastAsia" w:ascii="宋体" w:hAnsi="宋体"/>
          <w:sz w:val="18"/>
          <w:szCs w:val="18"/>
          <w:lang w:eastAsia="zh-CN"/>
        </w:rPr>
        <w:t>个体经营户</w:t>
      </w:r>
      <w:r>
        <w:rPr>
          <w:rFonts w:hint="eastAsia" w:ascii="宋体"/>
          <w:sz w:val="18"/>
          <w:szCs w:val="18"/>
        </w:rPr>
        <w:t>。</w:t>
      </w:r>
    </w:p>
    <w:p>
      <w:pPr>
        <w:pStyle w:val="2"/>
        <w:spacing w:after="0" w:line="240" w:lineRule="exact"/>
        <w:ind w:left="720" w:leftChars="0" w:hanging="720" w:hangingChars="400"/>
      </w:pPr>
      <w:r>
        <w:rPr>
          <w:rFonts w:hint="eastAsia" w:ascii="宋体"/>
          <w:sz w:val="18"/>
          <w:szCs w:val="18"/>
          <w:lang w:val="en-US" w:eastAsia="zh-CN"/>
        </w:rPr>
        <w:t xml:space="preserve">      </w:t>
      </w:r>
      <w:r>
        <w:rPr>
          <w:rFonts w:ascii="宋体"/>
          <w:sz w:val="18"/>
        </w:rPr>
        <w:t>2.</w:t>
      </w:r>
      <w:r>
        <w:rPr>
          <w:rFonts w:hint="eastAsia" w:ascii="宋体" w:hAnsi="宋体"/>
          <w:sz w:val="18"/>
          <w:szCs w:val="18"/>
        </w:rPr>
        <w:t>各指标月度如需变更，各级名录库管理部门和相关专业对表中变更内容在名录库系统中进行申报并审核确认，国家统计局普查中心负责整理后推送联网直报平台；待国家完成年报审核验收后，国家统计局普查中心利用101-1表和108表以及本年月度申报且通过审核确认的已变更信息对该表进行年度更新，并推送至联网直报平台；调查单位免报</w:t>
      </w:r>
      <w:r>
        <w:rPr>
          <w:rFonts w:hint="eastAsia" w:ascii="宋体" w:hAnsi="宋体"/>
          <w:sz w:val="18"/>
          <w:szCs w:val="18"/>
          <w:lang w:eastAsia="zh-CN"/>
        </w:rPr>
        <w:t>。</w:t>
      </w:r>
    </w:p>
    <w:p>
      <w:pPr>
        <w:pStyle w:val="2"/>
        <w:rPr>
          <w:lang w:val="en-GB"/>
        </w:rPr>
      </w:pPr>
    </w:p>
    <w:p>
      <w:pPr>
        <w:rPr>
          <w:lang w:val="en-GB"/>
        </w:rPr>
      </w:pPr>
    </w:p>
    <w:p>
      <w:pPr>
        <w:pStyle w:val="2"/>
        <w:ind w:left="0" w:leftChars="0" w:firstLine="0" w:firstLineChars="0"/>
        <w:rPr>
          <w:lang w:val="en-GB"/>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64" w:name="_Toc841594254"/>
      <w:bookmarkStart w:id="65" w:name="_Toc192558874"/>
      <w:bookmarkStart w:id="66" w:name="_Toc1670248426"/>
      <w:bookmarkStart w:id="67" w:name="_Toc485251663"/>
      <w:r>
        <w:rPr>
          <w:rFonts w:hint="eastAsia" w:ascii="宋体" w:hAnsi="宋体" w:eastAsia="宋体" w:cs="宋体"/>
          <w:b/>
          <w:bCs/>
          <w:sz w:val="32"/>
          <w:szCs w:val="32"/>
        </w:rPr>
        <w:t>从业人员及工资总额</w:t>
      </w:r>
      <w:bookmarkEnd w:id="64"/>
      <w:bookmarkEnd w:id="65"/>
      <w:bookmarkEnd w:id="66"/>
      <w:bookmarkEnd w:id="67"/>
    </w:p>
    <w:p>
      <w:pPr>
        <w:spacing w:line="240" w:lineRule="exact"/>
        <w:rPr>
          <w:rFonts w:hint="eastAsia" w:ascii="宋体" w:hAnsi="宋体" w:cs="宋体"/>
          <w:bCs/>
          <w:color w:val="000000"/>
          <w:kern w:val="0"/>
          <w:sz w:val="18"/>
          <w:szCs w:val="18"/>
          <w:lang w:eastAsia="zh-CN"/>
        </w:rPr>
      </w:pPr>
      <w:r>
        <w:rPr>
          <w:rFonts w:hint="eastAsia" w:ascii="宋体" w:hAnsi="宋体" w:cs="宋体"/>
          <w:bCs/>
          <w:color w:val="000000"/>
          <w:kern w:val="0"/>
          <w:sz w:val="18"/>
          <w:szCs w:val="18"/>
          <w:lang w:val="en-US" w:eastAsia="zh-CN"/>
        </w:rPr>
        <w:t xml:space="preserve"> </w:t>
      </w:r>
    </w:p>
    <w:tbl>
      <w:tblPr>
        <w:tblStyle w:val="17"/>
        <w:tblW w:w="9526" w:type="dxa"/>
        <w:jc w:val="center"/>
        <w:tblLayout w:type="fixed"/>
        <w:tblCellMar>
          <w:top w:w="0" w:type="dxa"/>
          <w:left w:w="108" w:type="dxa"/>
          <w:bottom w:w="0" w:type="dxa"/>
          <w:right w:w="108" w:type="dxa"/>
        </w:tblCellMar>
      </w:tblPr>
      <w:tblGrid>
        <w:gridCol w:w="813"/>
        <w:gridCol w:w="958"/>
        <w:gridCol w:w="968"/>
        <w:gridCol w:w="968"/>
        <w:gridCol w:w="968"/>
        <w:gridCol w:w="968"/>
        <w:gridCol w:w="978"/>
        <w:gridCol w:w="962"/>
        <w:gridCol w:w="968"/>
        <w:gridCol w:w="975"/>
      </w:tblGrid>
      <w:tr>
        <w:tblPrEx>
          <w:tblCellMar>
            <w:top w:w="0" w:type="dxa"/>
            <w:left w:w="108" w:type="dxa"/>
            <w:bottom w:w="0" w:type="dxa"/>
            <w:right w:w="108" w:type="dxa"/>
          </w:tblCellMar>
        </w:tblPrEx>
        <w:trPr>
          <w:trHeight w:val="153" w:hRule="atLeast"/>
          <w:jc w:val="center"/>
        </w:trPr>
        <w:tc>
          <w:tcPr>
            <w:tcW w:w="5643" w:type="dxa"/>
            <w:gridSpan w:val="6"/>
            <w:tcBorders>
              <w:top w:val="nil"/>
              <w:left w:val="nil"/>
              <w:bottom w:val="nil"/>
              <w:right w:val="nil"/>
            </w:tcBorders>
            <w:noWrap/>
            <w:vAlign w:val="center"/>
          </w:tcPr>
          <w:p>
            <w:pPr>
              <w:spacing w:line="220" w:lineRule="exact"/>
              <w:rPr>
                <w:rFonts w:hint="eastAsia" w:ascii="宋体"/>
                <w:color w:val="000000"/>
                <w:sz w:val="18"/>
                <w:szCs w:val="20"/>
              </w:rPr>
            </w:pPr>
          </w:p>
        </w:tc>
        <w:tc>
          <w:tcPr>
            <w:tcW w:w="1940" w:type="dxa"/>
            <w:gridSpan w:val="2"/>
            <w:tcBorders>
              <w:top w:val="nil"/>
              <w:left w:val="nil"/>
              <w:bottom w:val="nil"/>
              <w:right w:val="nil"/>
            </w:tcBorders>
            <w:noWrap/>
            <w:vAlign w:val="bottom"/>
          </w:tcPr>
          <w:p>
            <w:pPr>
              <w:spacing w:line="240" w:lineRule="exact"/>
              <w:ind w:right="-210" w:rightChars="-100"/>
              <w:rPr>
                <w:rFonts w:hint="eastAsia" w:ascii="宋体" w:hAnsi="宋体" w:cs="宋体"/>
                <w:sz w:val="18"/>
                <w:szCs w:val="18"/>
              </w:rPr>
            </w:pPr>
            <w:r>
              <w:rPr>
                <w:rFonts w:hint="eastAsia" w:ascii="宋体" w:hAnsi="宋体" w:cs="宋体"/>
                <w:sz w:val="18"/>
                <w:szCs w:val="18"/>
              </w:rPr>
              <w:t xml:space="preserve">            </w:t>
            </w:r>
            <w:r>
              <w:rPr>
                <w:rFonts w:hint="eastAsia" w:ascii="宋体" w:hAnsi="宋体" w:cs="宋体"/>
                <w:color w:val="000000"/>
                <w:sz w:val="18"/>
                <w:szCs w:val="18"/>
              </w:rPr>
              <w:t xml:space="preserve">表    号： </w:t>
            </w:r>
          </w:p>
        </w:tc>
        <w:tc>
          <w:tcPr>
            <w:tcW w:w="1943" w:type="dxa"/>
            <w:gridSpan w:val="2"/>
            <w:tcBorders>
              <w:top w:val="nil"/>
              <w:left w:val="nil"/>
              <w:bottom w:val="nil"/>
              <w:right w:val="nil"/>
            </w:tcBorders>
            <w:noWrap/>
            <w:vAlign w:val="center"/>
          </w:tcPr>
          <w:p>
            <w:pPr>
              <w:spacing w:line="220" w:lineRule="exact"/>
              <w:jc w:val="distribute"/>
              <w:rPr>
                <w:rFonts w:hint="eastAsia" w:ascii="宋体" w:hAnsi="宋体" w:cs="宋体"/>
                <w:sz w:val="18"/>
                <w:szCs w:val="18"/>
              </w:rPr>
            </w:pPr>
            <w:r>
              <w:rPr>
                <w:rFonts w:hint="eastAsia" w:ascii="宋体" w:hAnsi="宋体" w:cs="宋体"/>
                <w:color w:val="000000"/>
                <w:sz w:val="18"/>
                <w:szCs w:val="18"/>
              </w:rPr>
              <w:t xml:space="preserve"> 202－1表</w:t>
            </w:r>
          </w:p>
        </w:tc>
      </w:tr>
      <w:tr>
        <w:tblPrEx>
          <w:tblCellMar>
            <w:top w:w="0" w:type="dxa"/>
            <w:left w:w="108" w:type="dxa"/>
            <w:bottom w:w="0" w:type="dxa"/>
            <w:right w:w="108" w:type="dxa"/>
          </w:tblCellMar>
        </w:tblPrEx>
        <w:trPr>
          <w:trHeight w:val="153" w:hRule="atLeast"/>
          <w:jc w:val="center"/>
        </w:trPr>
        <w:tc>
          <w:tcPr>
            <w:tcW w:w="5643" w:type="dxa"/>
            <w:gridSpan w:val="6"/>
            <w:tcBorders>
              <w:top w:val="nil"/>
              <w:left w:val="nil"/>
              <w:bottom w:val="nil"/>
              <w:right w:val="nil"/>
            </w:tcBorders>
            <w:noWrap/>
            <w:vAlign w:val="center"/>
          </w:tcPr>
          <w:p>
            <w:pPr>
              <w:spacing w:line="220" w:lineRule="exact"/>
              <w:rPr>
                <w:rFonts w:hint="eastAsia" w:ascii="宋体"/>
                <w:color w:val="000000"/>
                <w:sz w:val="18"/>
                <w:szCs w:val="20"/>
              </w:rPr>
            </w:pPr>
          </w:p>
        </w:tc>
        <w:tc>
          <w:tcPr>
            <w:tcW w:w="1940" w:type="dxa"/>
            <w:gridSpan w:val="2"/>
            <w:tcBorders>
              <w:top w:val="nil"/>
              <w:left w:val="nil"/>
              <w:bottom w:val="nil"/>
              <w:right w:val="nil"/>
            </w:tcBorders>
            <w:noWrap/>
            <w:vAlign w:val="bottom"/>
          </w:tcPr>
          <w:p>
            <w:pPr>
              <w:spacing w:line="240" w:lineRule="exact"/>
              <w:ind w:right="-210" w:rightChars="-100"/>
              <w:rPr>
                <w:rFonts w:hint="eastAsia" w:ascii="宋体" w:hAnsi="宋体" w:cs="宋体"/>
                <w:sz w:val="18"/>
                <w:szCs w:val="18"/>
              </w:rPr>
            </w:pPr>
            <w:r>
              <w:rPr>
                <w:rFonts w:hint="eastAsia" w:ascii="宋体" w:hAnsi="宋体" w:cs="宋体"/>
                <w:sz w:val="18"/>
                <w:szCs w:val="18"/>
              </w:rPr>
              <w:t xml:space="preserve">            制定机关： </w:t>
            </w:r>
          </w:p>
        </w:tc>
        <w:tc>
          <w:tcPr>
            <w:tcW w:w="1943" w:type="dxa"/>
            <w:gridSpan w:val="2"/>
            <w:tcBorders>
              <w:top w:val="nil"/>
              <w:left w:val="nil"/>
              <w:bottom w:val="nil"/>
              <w:right w:val="nil"/>
            </w:tcBorders>
            <w:noWrap/>
            <w:vAlign w:val="center"/>
          </w:tcPr>
          <w:p>
            <w:pPr>
              <w:spacing w:line="220" w:lineRule="exact"/>
              <w:jc w:val="distribute"/>
              <w:rPr>
                <w:rFonts w:hint="eastAsia" w:ascii="宋体" w:hAnsi="宋体" w:cs="宋体"/>
                <w:sz w:val="18"/>
                <w:szCs w:val="18"/>
              </w:rPr>
            </w:pPr>
            <w:r>
              <w:rPr>
                <w:rFonts w:hint="eastAsia" w:ascii="宋体" w:hAnsi="宋体"/>
                <w:color w:val="000000"/>
                <w:sz w:val="18"/>
                <w:szCs w:val="18"/>
              </w:rPr>
              <w:t>国家统计局</w:t>
            </w:r>
          </w:p>
        </w:tc>
      </w:tr>
      <w:tr>
        <w:tblPrEx>
          <w:tblCellMar>
            <w:top w:w="0" w:type="dxa"/>
            <w:left w:w="108" w:type="dxa"/>
            <w:bottom w:w="0" w:type="dxa"/>
            <w:right w:w="108" w:type="dxa"/>
          </w:tblCellMar>
        </w:tblPrEx>
        <w:trPr>
          <w:trHeight w:val="153" w:hRule="atLeast"/>
          <w:jc w:val="center"/>
        </w:trPr>
        <w:tc>
          <w:tcPr>
            <w:tcW w:w="5643" w:type="dxa"/>
            <w:gridSpan w:val="6"/>
            <w:tcBorders>
              <w:top w:val="nil"/>
              <w:left w:val="nil"/>
              <w:bottom w:val="nil"/>
              <w:right w:val="nil"/>
            </w:tcBorders>
            <w:noWrap/>
            <w:vAlign w:val="center"/>
          </w:tcPr>
          <w:p>
            <w:pPr>
              <w:spacing w:line="220" w:lineRule="exact"/>
              <w:rPr>
                <w:rFonts w:hint="eastAsia" w:ascii="宋体"/>
                <w:color w:val="000000"/>
                <w:sz w:val="18"/>
                <w:szCs w:val="20"/>
              </w:rPr>
            </w:pPr>
            <w:r>
              <w:rPr>
                <w:rFonts w:hint="eastAsia" w:ascii="宋体"/>
                <w:color w:val="000000"/>
                <w:sz w:val="18"/>
                <w:szCs w:val="20"/>
              </w:rPr>
              <w:t>统一社会信用代码□□□□□□□□□□□□□□□□□□</w:t>
            </w:r>
          </w:p>
        </w:tc>
        <w:tc>
          <w:tcPr>
            <w:tcW w:w="1940" w:type="dxa"/>
            <w:gridSpan w:val="2"/>
            <w:tcBorders>
              <w:top w:val="nil"/>
              <w:left w:val="nil"/>
              <w:bottom w:val="nil"/>
              <w:right w:val="nil"/>
            </w:tcBorders>
            <w:noWrap/>
            <w:vAlign w:val="bottom"/>
          </w:tcPr>
          <w:p>
            <w:pPr>
              <w:spacing w:line="240" w:lineRule="exact"/>
              <w:ind w:right="-210" w:rightChars="-100"/>
              <w:rPr>
                <w:rFonts w:hint="eastAsia" w:ascii="宋体" w:hAnsi="宋体" w:cs="宋体"/>
                <w:sz w:val="18"/>
                <w:szCs w:val="18"/>
              </w:rPr>
            </w:pPr>
            <w:r>
              <w:rPr>
                <w:rFonts w:hint="eastAsia" w:ascii="宋体" w:hAnsi="宋体" w:cs="宋体"/>
                <w:sz w:val="18"/>
                <w:szCs w:val="18"/>
              </w:rPr>
              <w:t xml:space="preserve">            文    号： </w:t>
            </w:r>
          </w:p>
        </w:tc>
        <w:tc>
          <w:tcPr>
            <w:tcW w:w="1943" w:type="dxa"/>
            <w:gridSpan w:val="2"/>
            <w:tcBorders>
              <w:top w:val="nil"/>
              <w:left w:val="nil"/>
              <w:bottom w:val="nil"/>
              <w:right w:val="nil"/>
            </w:tcBorders>
            <w:noWrap/>
            <w:vAlign w:val="center"/>
          </w:tcPr>
          <w:p>
            <w:pPr>
              <w:spacing w:line="220" w:lineRule="exact"/>
              <w:jc w:val="distribute"/>
              <w:rPr>
                <w:rFonts w:hint="eastAsia" w:ascii="宋体" w:hAnsi="宋体" w:cs="宋体"/>
                <w:sz w:val="18"/>
                <w:szCs w:val="18"/>
              </w:rPr>
            </w:pPr>
            <w:r>
              <w:rPr>
                <w:rFonts w:hint="eastAsia" w:ascii="宋体" w:hAnsi="宋体" w:cs="宋体"/>
                <w:sz w:val="18"/>
                <w:szCs w:val="18"/>
              </w:rPr>
              <w:t>国统字〔2025〕88号</w:t>
            </w:r>
          </w:p>
        </w:tc>
      </w:tr>
      <w:tr>
        <w:tblPrEx>
          <w:tblCellMar>
            <w:top w:w="0" w:type="dxa"/>
            <w:left w:w="108" w:type="dxa"/>
            <w:bottom w:w="0" w:type="dxa"/>
            <w:right w:w="108" w:type="dxa"/>
          </w:tblCellMar>
        </w:tblPrEx>
        <w:trPr>
          <w:trHeight w:val="153" w:hRule="atLeast"/>
          <w:jc w:val="center"/>
        </w:trPr>
        <w:tc>
          <w:tcPr>
            <w:tcW w:w="5643" w:type="dxa"/>
            <w:gridSpan w:val="6"/>
            <w:tcBorders>
              <w:top w:val="nil"/>
              <w:left w:val="nil"/>
              <w:bottom w:val="single" w:color="000000" w:sz="8" w:space="0"/>
              <w:right w:val="nil"/>
            </w:tcBorders>
            <w:noWrap/>
            <w:vAlign w:val="center"/>
          </w:tcPr>
          <w:p>
            <w:pPr>
              <w:spacing w:line="220" w:lineRule="exact"/>
              <w:rPr>
                <w:rFonts w:hint="eastAsia" w:ascii="宋体"/>
                <w:color w:val="000000"/>
                <w:sz w:val="18"/>
                <w:szCs w:val="20"/>
              </w:rPr>
            </w:pPr>
            <w:r>
              <w:rPr>
                <w:rFonts w:hint="eastAsia" w:ascii="宋体"/>
                <w:color w:val="000000"/>
                <w:sz w:val="18"/>
                <w:szCs w:val="20"/>
              </w:rPr>
              <w:t>单位详细名称：                             ２０  年　  季</w:t>
            </w:r>
          </w:p>
        </w:tc>
        <w:tc>
          <w:tcPr>
            <w:tcW w:w="1940" w:type="dxa"/>
            <w:gridSpan w:val="2"/>
            <w:tcBorders>
              <w:top w:val="nil"/>
              <w:left w:val="nil"/>
              <w:bottom w:val="single" w:color="000000" w:sz="8" w:space="0"/>
              <w:right w:val="nil"/>
            </w:tcBorders>
            <w:noWrap/>
            <w:vAlign w:val="bottom"/>
          </w:tcPr>
          <w:p>
            <w:pPr>
              <w:spacing w:line="240" w:lineRule="exact"/>
              <w:ind w:right="-210" w:rightChars="-100"/>
              <w:rPr>
                <w:rFonts w:hint="eastAsia" w:ascii="宋体" w:hAnsi="宋体" w:cs="宋体"/>
                <w:sz w:val="18"/>
                <w:szCs w:val="18"/>
              </w:rPr>
            </w:pPr>
            <w:r>
              <w:rPr>
                <w:rFonts w:hint="eastAsia" w:ascii="宋体" w:hAnsi="宋体" w:cs="宋体"/>
                <w:sz w:val="18"/>
                <w:szCs w:val="18"/>
              </w:rPr>
              <w:t xml:space="preserve">            有效期至： </w:t>
            </w:r>
          </w:p>
        </w:tc>
        <w:tc>
          <w:tcPr>
            <w:tcW w:w="1943" w:type="dxa"/>
            <w:gridSpan w:val="2"/>
            <w:tcBorders>
              <w:top w:val="nil"/>
              <w:left w:val="nil"/>
              <w:bottom w:val="single" w:color="000000" w:sz="8" w:space="0"/>
              <w:right w:val="nil"/>
            </w:tcBorders>
            <w:noWrap/>
            <w:vAlign w:val="center"/>
          </w:tcPr>
          <w:p>
            <w:pPr>
              <w:spacing w:line="220" w:lineRule="exact"/>
              <w:jc w:val="distribute"/>
              <w:rPr>
                <w:rFonts w:hint="eastAsia" w:ascii="宋体" w:hAnsi="宋体" w:cs="宋体"/>
                <w:sz w:val="18"/>
                <w:szCs w:val="18"/>
              </w:rPr>
            </w:pPr>
            <w:r>
              <w:rPr>
                <w:rFonts w:hint="eastAsia" w:ascii="宋体" w:hAnsi="宋体" w:cs="宋体"/>
                <w:color w:val="000000"/>
                <w:sz w:val="18"/>
                <w:szCs w:val="18"/>
              </w:rPr>
              <w:t>2027年</w:t>
            </w:r>
            <w:r>
              <w:rPr>
                <w:rFonts w:hint="eastAsia" w:ascii="宋体" w:hAnsi="宋体"/>
                <w:color w:val="000000"/>
                <w:sz w:val="18"/>
                <w:szCs w:val="18"/>
              </w:rPr>
              <w:t>1月</w:t>
            </w:r>
          </w:p>
        </w:tc>
      </w:tr>
      <w:tr>
        <w:tblPrEx>
          <w:tblCellMar>
            <w:top w:w="0" w:type="dxa"/>
            <w:left w:w="108" w:type="dxa"/>
            <w:bottom w:w="0" w:type="dxa"/>
            <w:right w:w="108" w:type="dxa"/>
          </w:tblCellMar>
        </w:tblPrEx>
        <w:trPr>
          <w:trHeight w:val="340" w:hRule="atLeast"/>
          <w:jc w:val="center"/>
        </w:trPr>
        <w:tc>
          <w:tcPr>
            <w:tcW w:w="813" w:type="dxa"/>
            <w:tcBorders>
              <w:top w:val="single" w:color="000000" w:sz="8" w:space="0"/>
              <w:left w:val="nil"/>
              <w:bottom w:val="single" w:color="000000" w:sz="2" w:space="0"/>
              <w:right w:val="single" w:color="000000" w:sz="2" w:space="0"/>
            </w:tcBorders>
            <w:noWrap/>
            <w:vAlign w:val="center"/>
          </w:tcPr>
          <w:p>
            <w:pPr>
              <w:jc w:val="center"/>
              <w:rPr>
                <w:rFonts w:hint="eastAsia" w:ascii="宋体" w:hAnsi="宋体" w:cs="宋体"/>
                <w:sz w:val="18"/>
                <w:szCs w:val="18"/>
              </w:rPr>
            </w:pPr>
          </w:p>
        </w:tc>
        <w:tc>
          <w:tcPr>
            <w:tcW w:w="8713" w:type="dxa"/>
            <w:gridSpan w:val="9"/>
            <w:tcBorders>
              <w:top w:val="single" w:color="000000" w:sz="8" w:space="0"/>
              <w:left w:val="single" w:color="000000" w:sz="2" w:space="0"/>
              <w:bottom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人员情况</w:t>
            </w:r>
          </w:p>
        </w:tc>
      </w:tr>
      <w:tr>
        <w:tblPrEx>
          <w:tblCellMar>
            <w:top w:w="0" w:type="dxa"/>
            <w:left w:w="108" w:type="dxa"/>
            <w:bottom w:w="0" w:type="dxa"/>
            <w:right w:w="108" w:type="dxa"/>
          </w:tblCellMar>
        </w:tblPrEx>
        <w:trPr>
          <w:trHeight w:val="340" w:hRule="atLeast"/>
          <w:jc w:val="center"/>
        </w:trPr>
        <w:tc>
          <w:tcPr>
            <w:tcW w:w="813" w:type="dxa"/>
            <w:vMerge w:val="restart"/>
            <w:tcBorders>
              <w:top w:val="single" w:color="000000" w:sz="2" w:space="0"/>
              <w:left w:val="nil"/>
              <w:bottom w:val="single" w:color="000000" w:sz="2" w:space="0"/>
              <w:right w:val="single" w:color="000000" w:sz="2" w:space="0"/>
            </w:tcBorders>
            <w:noWrap w:val="0"/>
            <w:vAlign w:val="center"/>
          </w:tcPr>
          <w:p>
            <w:pPr>
              <w:jc w:val="center"/>
              <w:rPr>
                <w:rFonts w:ascii="宋体" w:hAnsi="宋体" w:cs="宋体"/>
                <w:sz w:val="18"/>
                <w:szCs w:val="18"/>
              </w:rPr>
            </w:pPr>
            <w:r>
              <w:rPr>
                <w:rFonts w:hint="eastAsia" w:ascii="宋体" w:hAnsi="宋体" w:cs="宋体"/>
                <w:sz w:val="18"/>
                <w:szCs w:val="18"/>
              </w:rPr>
              <w:t>工资</w:t>
            </w:r>
          </w:p>
          <w:p>
            <w:pPr>
              <w:jc w:val="center"/>
              <w:rPr>
                <w:rFonts w:hint="eastAsia" w:ascii="宋体" w:hAnsi="宋体" w:cs="宋体"/>
                <w:sz w:val="18"/>
                <w:szCs w:val="18"/>
              </w:rPr>
            </w:pPr>
            <w:r>
              <w:rPr>
                <w:rFonts w:hint="eastAsia" w:ascii="宋体" w:hAnsi="宋体" w:cs="宋体"/>
                <w:sz w:val="18"/>
                <w:szCs w:val="18"/>
              </w:rPr>
              <w:t>情况</w:t>
            </w:r>
          </w:p>
        </w:tc>
        <w:tc>
          <w:tcPr>
            <w:tcW w:w="958" w:type="dxa"/>
            <w:vMerge w:val="restart"/>
            <w:tcBorders>
              <w:top w:val="single" w:color="000000" w:sz="2" w:space="0"/>
              <w:left w:val="single" w:color="000000" w:sz="2" w:space="0"/>
              <w:bottom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从业人员</w:t>
            </w:r>
          </w:p>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期末人数</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(人)</w:t>
            </w:r>
          </w:p>
        </w:tc>
        <w:tc>
          <w:tcPr>
            <w:tcW w:w="3872" w:type="dxa"/>
            <w:gridSpan w:val="4"/>
            <w:tcBorders>
              <w:top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978" w:type="dxa"/>
            <w:vMerge w:val="restart"/>
            <w:tcBorders>
              <w:top w:val="single" w:color="000000" w:sz="2" w:space="0"/>
              <w:left w:val="single" w:color="000000" w:sz="2" w:space="0"/>
              <w:bottom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从业人员平均人数(人)</w:t>
            </w:r>
          </w:p>
        </w:tc>
        <w:tc>
          <w:tcPr>
            <w:tcW w:w="2905" w:type="dxa"/>
            <w:gridSpan w:val="3"/>
            <w:tcBorders>
              <w:top w:val="single" w:color="000000" w:sz="2" w:space="0"/>
              <w:bottom w:val="single" w:color="000000" w:sz="2" w:space="0"/>
            </w:tcBorders>
            <w:noWrap w:val="0"/>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340" w:hRule="atLeast"/>
          <w:jc w:val="center"/>
        </w:trPr>
        <w:tc>
          <w:tcPr>
            <w:tcW w:w="813" w:type="dxa"/>
            <w:vMerge w:val="continue"/>
            <w:tcBorders>
              <w:top w:val="single" w:color="000000" w:sz="2" w:space="0"/>
              <w:left w:val="nil"/>
              <w:bottom w:val="single" w:color="000000" w:sz="2" w:space="0"/>
              <w:right w:val="single" w:color="000000" w:sz="2" w:space="0"/>
            </w:tcBorders>
            <w:noWrap w:val="0"/>
            <w:vAlign w:val="center"/>
          </w:tcPr>
          <w:p>
            <w:pPr>
              <w:jc w:val="center"/>
              <w:rPr>
                <w:rFonts w:hint="eastAsia" w:ascii="宋体" w:hAnsi="宋体" w:cs="宋体"/>
                <w:sz w:val="18"/>
                <w:szCs w:val="18"/>
              </w:rPr>
            </w:pPr>
          </w:p>
        </w:tc>
        <w:tc>
          <w:tcPr>
            <w:tcW w:w="958"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968" w:type="dxa"/>
            <w:vMerge w:val="restart"/>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其中，</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女性</w:t>
            </w:r>
          </w:p>
        </w:tc>
        <w:tc>
          <w:tcPr>
            <w:tcW w:w="2904" w:type="dxa"/>
            <w:gridSpan w:val="3"/>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按人员类型分组</w:t>
            </w:r>
          </w:p>
        </w:tc>
        <w:tc>
          <w:tcPr>
            <w:tcW w:w="978"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2905" w:type="dxa"/>
            <w:gridSpan w:val="3"/>
            <w:tcBorders>
              <w:top w:val="single" w:color="000000" w:sz="2" w:space="0"/>
              <w:left w:val="single" w:color="000000" w:sz="2" w:space="0"/>
              <w:bottom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按人员类型分组</w:t>
            </w:r>
          </w:p>
        </w:tc>
      </w:tr>
      <w:tr>
        <w:tblPrEx>
          <w:tblCellMar>
            <w:top w:w="0" w:type="dxa"/>
            <w:left w:w="108" w:type="dxa"/>
            <w:bottom w:w="0" w:type="dxa"/>
            <w:right w:w="108" w:type="dxa"/>
          </w:tblCellMar>
        </w:tblPrEx>
        <w:trPr>
          <w:trHeight w:val="504" w:hRule="atLeast"/>
          <w:jc w:val="center"/>
        </w:trPr>
        <w:tc>
          <w:tcPr>
            <w:tcW w:w="813" w:type="dxa"/>
            <w:vMerge w:val="continue"/>
            <w:tcBorders>
              <w:top w:val="single" w:color="000000" w:sz="2" w:space="0"/>
              <w:left w:val="nil"/>
              <w:bottom w:val="single" w:color="000000" w:sz="2" w:space="0"/>
              <w:right w:val="single" w:color="000000" w:sz="2" w:space="0"/>
            </w:tcBorders>
            <w:noWrap w:val="0"/>
            <w:vAlign w:val="center"/>
          </w:tcPr>
          <w:p>
            <w:pPr>
              <w:jc w:val="center"/>
              <w:rPr>
                <w:rFonts w:hint="eastAsia" w:ascii="宋体" w:hAnsi="宋体" w:cs="宋体"/>
                <w:sz w:val="18"/>
                <w:szCs w:val="18"/>
              </w:rPr>
            </w:pPr>
          </w:p>
        </w:tc>
        <w:tc>
          <w:tcPr>
            <w:tcW w:w="958"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968"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在岗职工</w:t>
            </w:r>
          </w:p>
        </w:tc>
        <w:tc>
          <w:tcPr>
            <w:tcW w:w="968"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劳务派遣</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人员</w:t>
            </w:r>
          </w:p>
        </w:tc>
        <w:tc>
          <w:tcPr>
            <w:tcW w:w="968"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其他从业</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人员</w:t>
            </w:r>
          </w:p>
        </w:tc>
        <w:tc>
          <w:tcPr>
            <w:tcW w:w="978"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962"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在岗职工</w:t>
            </w:r>
          </w:p>
        </w:tc>
        <w:tc>
          <w:tcPr>
            <w:tcW w:w="968"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劳务派</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遣人员</w:t>
            </w:r>
          </w:p>
        </w:tc>
        <w:tc>
          <w:tcPr>
            <w:tcW w:w="975" w:type="dxa"/>
            <w:tcBorders>
              <w:top w:val="single" w:color="000000" w:sz="2" w:space="0"/>
              <w:left w:val="single" w:color="000000" w:sz="2" w:space="0"/>
              <w:bottom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其他从业</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人员</w:t>
            </w:r>
          </w:p>
        </w:tc>
      </w:tr>
      <w:tr>
        <w:tblPrEx>
          <w:tblCellMar>
            <w:top w:w="0" w:type="dxa"/>
            <w:left w:w="108" w:type="dxa"/>
            <w:bottom w:w="0" w:type="dxa"/>
            <w:right w:w="108" w:type="dxa"/>
          </w:tblCellMar>
        </w:tblPrEx>
        <w:trPr>
          <w:trHeight w:val="267" w:hRule="exact"/>
          <w:jc w:val="center"/>
        </w:trPr>
        <w:tc>
          <w:tcPr>
            <w:tcW w:w="813" w:type="dxa"/>
            <w:tcBorders>
              <w:top w:val="single" w:color="000000" w:sz="2" w:space="0"/>
              <w:left w:val="nil"/>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5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01</w:t>
            </w:r>
          </w:p>
        </w:tc>
        <w:tc>
          <w:tcPr>
            <w:tcW w:w="96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02</w:t>
            </w:r>
          </w:p>
        </w:tc>
        <w:tc>
          <w:tcPr>
            <w:tcW w:w="96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04</w:t>
            </w:r>
          </w:p>
        </w:tc>
        <w:tc>
          <w:tcPr>
            <w:tcW w:w="96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05</w:t>
            </w:r>
          </w:p>
        </w:tc>
        <w:tc>
          <w:tcPr>
            <w:tcW w:w="96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06</w:t>
            </w:r>
          </w:p>
        </w:tc>
        <w:tc>
          <w:tcPr>
            <w:tcW w:w="97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08</w:t>
            </w:r>
          </w:p>
        </w:tc>
        <w:tc>
          <w:tcPr>
            <w:tcW w:w="962"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09</w:t>
            </w:r>
          </w:p>
        </w:tc>
        <w:tc>
          <w:tcPr>
            <w:tcW w:w="968" w:type="dxa"/>
            <w:tcBorders>
              <w:top w:val="single" w:color="000000" w:sz="2" w:space="0"/>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10</w:t>
            </w:r>
          </w:p>
        </w:tc>
        <w:tc>
          <w:tcPr>
            <w:tcW w:w="975" w:type="dxa"/>
            <w:tcBorders>
              <w:top w:val="single" w:color="000000" w:sz="2" w:space="0"/>
              <w:left w:val="single" w:color="000000" w:sz="2" w:space="0"/>
              <w:bottom w:val="single" w:color="000000" w:sz="2" w:space="0"/>
            </w:tcBorders>
            <w:noWrap/>
            <w:vAlign w:val="center"/>
          </w:tcPr>
          <w:p>
            <w:pPr>
              <w:jc w:val="center"/>
              <w:rPr>
                <w:rFonts w:hint="eastAsia" w:ascii="宋体" w:hAnsi="宋体" w:cs="宋体"/>
                <w:color w:val="000000"/>
                <w:sz w:val="18"/>
                <w:szCs w:val="18"/>
              </w:rPr>
            </w:pPr>
            <w:r>
              <w:rPr>
                <w:rFonts w:hint="eastAsia" w:ascii="宋体" w:hAnsi="宋体" w:cs="宋体"/>
                <w:color w:val="000000"/>
                <w:sz w:val="18"/>
                <w:szCs w:val="18"/>
              </w:rPr>
              <w:t>11</w:t>
            </w:r>
          </w:p>
        </w:tc>
      </w:tr>
      <w:tr>
        <w:tblPrEx>
          <w:tblCellMar>
            <w:top w:w="0" w:type="dxa"/>
            <w:left w:w="108" w:type="dxa"/>
            <w:bottom w:w="0" w:type="dxa"/>
            <w:right w:w="108" w:type="dxa"/>
          </w:tblCellMar>
        </w:tblPrEx>
        <w:trPr>
          <w:trHeight w:val="227" w:hRule="exact"/>
          <w:jc w:val="center"/>
        </w:trPr>
        <w:tc>
          <w:tcPr>
            <w:tcW w:w="813" w:type="dxa"/>
            <w:tcBorders>
              <w:top w:val="single" w:color="000000" w:sz="2" w:space="0"/>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1月</w:t>
            </w:r>
          </w:p>
        </w:tc>
        <w:tc>
          <w:tcPr>
            <w:tcW w:w="95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top w:val="single" w:color="000000" w:sz="2" w:space="0"/>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2月</w:t>
            </w:r>
          </w:p>
        </w:tc>
        <w:tc>
          <w:tcPr>
            <w:tcW w:w="95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bottom w:val="single" w:color="000000" w:sz="2" w:space="0"/>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3月</w:t>
            </w:r>
          </w:p>
        </w:tc>
        <w:tc>
          <w:tcPr>
            <w:tcW w:w="95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bottom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top w:val="single" w:color="000000" w:sz="2" w:space="0"/>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4月</w:t>
            </w:r>
          </w:p>
        </w:tc>
        <w:tc>
          <w:tcPr>
            <w:tcW w:w="95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top w:val="single" w:color="000000" w:sz="2" w:space="0"/>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5月</w:t>
            </w:r>
          </w:p>
        </w:tc>
        <w:tc>
          <w:tcPr>
            <w:tcW w:w="95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bottom w:val="single" w:color="000000" w:sz="2" w:space="0"/>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6月</w:t>
            </w:r>
          </w:p>
        </w:tc>
        <w:tc>
          <w:tcPr>
            <w:tcW w:w="95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bottom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top w:val="single" w:color="000000" w:sz="2" w:space="0"/>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7月</w:t>
            </w:r>
          </w:p>
        </w:tc>
        <w:tc>
          <w:tcPr>
            <w:tcW w:w="95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top w:val="single" w:color="000000" w:sz="2" w:space="0"/>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top w:val="single" w:color="000000" w:sz="2" w:space="0"/>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8月</w:t>
            </w:r>
          </w:p>
        </w:tc>
        <w:tc>
          <w:tcPr>
            <w:tcW w:w="95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right w:val="single" w:color="000000" w:sz="2" w:space="0"/>
            </w:tcBorders>
            <w:noWrap/>
            <w:vAlign w:val="center"/>
          </w:tcPr>
          <w:p>
            <w:pPr>
              <w:jc w:val="center"/>
              <w:rPr>
                <w:rFonts w:hint="eastAsia" w:ascii="宋体" w:hAnsi="宋体" w:cs="宋体"/>
                <w:sz w:val="18"/>
                <w:szCs w:val="18"/>
              </w:rPr>
            </w:pPr>
            <w:r>
              <w:rPr>
                <w:rFonts w:hint="eastAsia" w:ascii="宋体" w:hAnsi="宋体" w:cs="宋体"/>
                <w:sz w:val="18"/>
                <w:szCs w:val="18"/>
              </w:rPr>
              <w:t>9月</w:t>
            </w:r>
          </w:p>
        </w:tc>
        <w:tc>
          <w:tcPr>
            <w:tcW w:w="95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2"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noWrap/>
            <w:vAlign w:val="center"/>
          </w:tcPr>
          <w:p>
            <w:pPr>
              <w:jc w:val="center"/>
              <w:rPr>
                <w:rFonts w:hint="eastAsia" w:ascii="宋体" w:hAnsi="宋体" w:cs="宋体"/>
                <w:color w:val="000000"/>
                <w:sz w:val="18"/>
                <w:szCs w:val="18"/>
              </w:rPr>
            </w:pPr>
          </w:p>
        </w:tc>
        <w:tc>
          <w:tcPr>
            <w:tcW w:w="975" w:type="dxa"/>
            <w:tcBorders>
              <w:left w:val="single" w:color="000000" w:sz="2" w:space="0"/>
            </w:tcBorders>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right w:val="single" w:color="000000" w:sz="2" w:space="0"/>
            </w:tcBorders>
            <w:shd w:val="clear" w:color="auto" w:fill="BEBEBE"/>
            <w:noWrap/>
            <w:vAlign w:val="center"/>
          </w:tcPr>
          <w:p>
            <w:pPr>
              <w:jc w:val="center"/>
              <w:rPr>
                <w:rFonts w:hint="eastAsia" w:ascii="宋体" w:hAnsi="宋体" w:cs="宋体"/>
                <w:sz w:val="18"/>
                <w:szCs w:val="18"/>
              </w:rPr>
            </w:pPr>
            <w:r>
              <w:rPr>
                <w:rFonts w:hint="eastAsia" w:ascii="宋体" w:hAnsi="宋体" w:cs="宋体"/>
                <w:sz w:val="18"/>
                <w:szCs w:val="18"/>
              </w:rPr>
              <w:t>本季</w:t>
            </w:r>
          </w:p>
        </w:tc>
        <w:tc>
          <w:tcPr>
            <w:tcW w:w="95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7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2"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75" w:type="dxa"/>
            <w:tcBorders>
              <w:left w:val="single" w:color="000000" w:sz="2" w:space="0"/>
            </w:tcBorders>
            <w:shd w:val="clear" w:color="auto" w:fill="BEBEBE"/>
            <w:noWrap/>
            <w:vAlign w:val="center"/>
          </w:tcPr>
          <w:p>
            <w:pPr>
              <w:jc w:val="center"/>
              <w:rPr>
                <w:rFonts w:hint="eastAsia" w:ascii="宋体" w:hAnsi="宋体" w:cs="宋体"/>
                <w:color w:val="000000"/>
                <w:sz w:val="18"/>
                <w:szCs w:val="18"/>
              </w:rPr>
            </w:pPr>
          </w:p>
        </w:tc>
      </w:tr>
      <w:tr>
        <w:tblPrEx>
          <w:tblCellMar>
            <w:top w:w="0" w:type="dxa"/>
            <w:left w:w="108" w:type="dxa"/>
            <w:bottom w:w="0" w:type="dxa"/>
            <w:right w:w="108" w:type="dxa"/>
          </w:tblCellMar>
        </w:tblPrEx>
        <w:trPr>
          <w:trHeight w:val="227" w:hRule="exact"/>
          <w:jc w:val="center"/>
        </w:trPr>
        <w:tc>
          <w:tcPr>
            <w:tcW w:w="813" w:type="dxa"/>
            <w:tcBorders>
              <w:left w:val="nil"/>
              <w:bottom w:val="single" w:color="000000" w:sz="8" w:space="0"/>
              <w:right w:val="single" w:color="000000" w:sz="2" w:space="0"/>
            </w:tcBorders>
            <w:shd w:val="clear" w:color="auto" w:fill="BEBEBE"/>
            <w:noWrap/>
            <w:vAlign w:val="center"/>
          </w:tcPr>
          <w:p>
            <w:pPr>
              <w:jc w:val="center"/>
              <w:rPr>
                <w:rFonts w:hint="eastAsia" w:ascii="宋体" w:hAnsi="宋体" w:cs="宋体"/>
                <w:sz w:val="18"/>
                <w:szCs w:val="18"/>
              </w:rPr>
            </w:pPr>
            <w:r>
              <w:rPr>
                <w:rFonts w:hint="eastAsia" w:ascii="宋体" w:hAnsi="宋体" w:cs="宋体"/>
                <w:sz w:val="18"/>
                <w:szCs w:val="18"/>
              </w:rPr>
              <w:t>1-本季</w:t>
            </w:r>
          </w:p>
        </w:tc>
        <w:tc>
          <w:tcPr>
            <w:tcW w:w="95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7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2"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68"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975" w:type="dxa"/>
            <w:tcBorders>
              <w:left w:val="single" w:color="000000" w:sz="2" w:space="0"/>
              <w:bottom w:val="single" w:color="000000" w:sz="8" w:space="0"/>
            </w:tcBorders>
            <w:shd w:val="clear" w:color="auto" w:fill="BEBEBE"/>
            <w:noWrap/>
            <w:vAlign w:val="center"/>
          </w:tcPr>
          <w:p>
            <w:pPr>
              <w:jc w:val="center"/>
              <w:rPr>
                <w:rFonts w:hint="eastAsia" w:ascii="宋体" w:hAnsi="宋体" w:cs="宋体"/>
                <w:color w:val="000000"/>
                <w:sz w:val="18"/>
                <w:szCs w:val="18"/>
              </w:rPr>
            </w:pPr>
          </w:p>
        </w:tc>
      </w:tr>
    </w:tbl>
    <w:p>
      <w:pPr>
        <w:spacing w:line="240" w:lineRule="exact"/>
        <w:rPr>
          <w:rFonts w:hint="eastAsia" w:ascii="宋体" w:hAnsi="宋体" w:cs="宋体"/>
          <w:bCs/>
          <w:color w:val="000000"/>
          <w:kern w:val="0"/>
          <w:sz w:val="18"/>
          <w:szCs w:val="18"/>
        </w:rPr>
      </w:pPr>
      <w:r>
        <w:rPr>
          <w:rFonts w:hint="eastAsia" w:ascii="宋体" w:hAnsi="宋体" w:cs="宋体"/>
          <w:bCs/>
          <w:color w:val="000000"/>
          <w:kern w:val="0"/>
          <w:sz w:val="18"/>
          <w:szCs w:val="18"/>
          <w:lang w:eastAsia="zh-CN"/>
        </w:rPr>
        <w:t>续表</w:t>
      </w:r>
    </w:p>
    <w:tbl>
      <w:tblPr>
        <w:tblStyle w:val="17"/>
        <w:tblW w:w="9526" w:type="dxa"/>
        <w:jc w:val="center"/>
        <w:tblLayout w:type="fixed"/>
        <w:tblCellMar>
          <w:top w:w="0" w:type="dxa"/>
          <w:left w:w="0" w:type="dxa"/>
          <w:bottom w:w="0" w:type="dxa"/>
          <w:right w:w="0" w:type="dxa"/>
        </w:tblCellMar>
      </w:tblPr>
      <w:tblGrid>
        <w:gridCol w:w="1189"/>
        <w:gridCol w:w="1190"/>
        <w:gridCol w:w="1190"/>
        <w:gridCol w:w="1190"/>
        <w:gridCol w:w="1191"/>
        <w:gridCol w:w="1191"/>
        <w:gridCol w:w="1191"/>
        <w:gridCol w:w="1194"/>
      </w:tblGrid>
      <w:tr>
        <w:tblPrEx>
          <w:tblCellMar>
            <w:top w:w="0" w:type="dxa"/>
            <w:left w:w="0" w:type="dxa"/>
            <w:bottom w:w="0" w:type="dxa"/>
            <w:right w:w="0" w:type="dxa"/>
          </w:tblCellMar>
        </w:tblPrEx>
        <w:trPr>
          <w:trHeight w:val="340" w:hRule="atLeast"/>
          <w:jc w:val="center"/>
        </w:trPr>
        <w:tc>
          <w:tcPr>
            <w:tcW w:w="9718" w:type="dxa"/>
            <w:gridSpan w:val="8"/>
            <w:tcBorders>
              <w:top w:val="single" w:color="000000" w:sz="8" w:space="0"/>
              <w:left w:val="nil"/>
              <w:bottom w:val="single" w:color="000000" w:sz="2" w:space="0"/>
              <w:right w:val="nil"/>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工资情况</w:t>
            </w:r>
          </w:p>
        </w:tc>
      </w:tr>
      <w:tr>
        <w:tblPrEx>
          <w:tblCellMar>
            <w:top w:w="0" w:type="dxa"/>
            <w:left w:w="0" w:type="dxa"/>
            <w:bottom w:w="0" w:type="dxa"/>
            <w:right w:w="0" w:type="dxa"/>
          </w:tblCellMar>
        </w:tblPrEx>
        <w:trPr>
          <w:trHeight w:val="340" w:hRule="atLeast"/>
          <w:jc w:val="center"/>
        </w:trPr>
        <w:tc>
          <w:tcPr>
            <w:tcW w:w="1214" w:type="dxa"/>
            <w:vMerge w:val="restart"/>
            <w:tcBorders>
              <w:top w:val="single" w:color="000000" w:sz="2" w:space="0"/>
              <w:left w:val="nil"/>
              <w:bottom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从业人员</w:t>
            </w:r>
          </w:p>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工资总额</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（千元）</w:t>
            </w:r>
          </w:p>
        </w:tc>
        <w:tc>
          <w:tcPr>
            <w:tcW w:w="3642" w:type="dxa"/>
            <w:gridSpan w:val="3"/>
            <w:tcBorders>
              <w:top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1215" w:type="dxa"/>
            <w:vMerge w:val="restart"/>
            <w:tcBorders>
              <w:top w:val="single" w:color="000000" w:sz="2" w:space="0"/>
              <w:left w:val="single" w:color="000000" w:sz="2" w:space="0"/>
              <w:bottom w:val="single" w:color="000000" w:sz="2" w:space="0"/>
            </w:tcBorders>
            <w:noWrap w:val="0"/>
            <w:vAlign w:val="center"/>
          </w:tcPr>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从业人员</w:t>
            </w:r>
          </w:p>
          <w:p>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平均工资</w:t>
            </w:r>
          </w:p>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（元）</w:t>
            </w:r>
          </w:p>
        </w:tc>
        <w:tc>
          <w:tcPr>
            <w:tcW w:w="3647" w:type="dxa"/>
            <w:gridSpan w:val="3"/>
            <w:tcBorders>
              <w:top w:val="single" w:color="000000" w:sz="2" w:space="0"/>
              <w:bottom w:val="single" w:color="000000" w:sz="2" w:space="0"/>
            </w:tcBorders>
            <w:noWrap w:val="0"/>
            <w:vAlign w:val="center"/>
          </w:tcPr>
          <w:p>
            <w:pPr>
              <w:jc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340" w:hRule="atLeast"/>
          <w:jc w:val="center"/>
        </w:trPr>
        <w:tc>
          <w:tcPr>
            <w:tcW w:w="1214" w:type="dxa"/>
            <w:vMerge w:val="continue"/>
            <w:tcBorders>
              <w:top w:val="single" w:color="000000" w:sz="2" w:space="0"/>
              <w:left w:val="nil"/>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3642" w:type="dxa"/>
            <w:gridSpan w:val="3"/>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按人员类型分组</w:t>
            </w:r>
          </w:p>
        </w:tc>
        <w:tc>
          <w:tcPr>
            <w:tcW w:w="1215"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3647" w:type="dxa"/>
            <w:gridSpan w:val="3"/>
            <w:tcBorders>
              <w:top w:val="single" w:color="000000" w:sz="2" w:space="0"/>
              <w:left w:val="single" w:color="000000" w:sz="2" w:space="0"/>
              <w:bottom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按人员类型分组</w:t>
            </w:r>
          </w:p>
        </w:tc>
      </w:tr>
      <w:tr>
        <w:tblPrEx>
          <w:tblCellMar>
            <w:top w:w="0" w:type="dxa"/>
            <w:left w:w="0" w:type="dxa"/>
            <w:bottom w:w="0" w:type="dxa"/>
            <w:right w:w="0" w:type="dxa"/>
          </w:tblCellMar>
        </w:tblPrEx>
        <w:trPr>
          <w:trHeight w:val="340" w:hRule="atLeast"/>
          <w:jc w:val="center"/>
        </w:trPr>
        <w:tc>
          <w:tcPr>
            <w:tcW w:w="1214" w:type="dxa"/>
            <w:vMerge w:val="continue"/>
            <w:tcBorders>
              <w:top w:val="single" w:color="000000" w:sz="2" w:space="0"/>
              <w:left w:val="nil"/>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在岗职工</w:t>
            </w:r>
          </w:p>
        </w:tc>
        <w:tc>
          <w:tcPr>
            <w:tcW w:w="1214"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劳务派遣人员</w:t>
            </w:r>
          </w:p>
        </w:tc>
        <w:tc>
          <w:tcPr>
            <w:tcW w:w="1214"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其他从业人员</w:t>
            </w:r>
          </w:p>
        </w:tc>
        <w:tc>
          <w:tcPr>
            <w:tcW w:w="1215" w:type="dxa"/>
            <w:vMerge w:val="continue"/>
            <w:tcBorders>
              <w:top w:val="single" w:color="000000" w:sz="2" w:space="0"/>
              <w:left w:val="single" w:color="000000" w:sz="2" w:space="0"/>
              <w:bottom w:val="single" w:color="000000" w:sz="2" w:space="0"/>
              <w:right w:val="single" w:color="000000" w:sz="2" w:space="0"/>
            </w:tcBorders>
            <w:noWrap w:val="0"/>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在岗职工</w:t>
            </w:r>
          </w:p>
        </w:tc>
        <w:tc>
          <w:tcPr>
            <w:tcW w:w="1215" w:type="dxa"/>
            <w:tcBorders>
              <w:top w:val="single" w:color="000000" w:sz="2" w:space="0"/>
              <w:left w:val="single" w:color="000000" w:sz="2" w:space="0"/>
              <w:bottom w:val="single" w:color="000000" w:sz="2" w:space="0"/>
              <w:right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劳务派遣人员</w:t>
            </w:r>
          </w:p>
        </w:tc>
        <w:tc>
          <w:tcPr>
            <w:tcW w:w="1217" w:type="dxa"/>
            <w:tcBorders>
              <w:top w:val="single" w:color="000000" w:sz="2" w:space="0"/>
              <w:left w:val="single" w:color="000000" w:sz="2" w:space="0"/>
              <w:bottom w:val="single" w:color="000000" w:sz="2" w:space="0"/>
            </w:tcBorders>
            <w:noWrap w:val="0"/>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其他从业人员</w:t>
            </w:r>
          </w:p>
        </w:tc>
      </w:tr>
      <w:tr>
        <w:tblPrEx>
          <w:tblCellMar>
            <w:top w:w="0" w:type="dxa"/>
            <w:left w:w="0" w:type="dxa"/>
            <w:bottom w:w="0" w:type="dxa"/>
            <w:right w:w="0" w:type="dxa"/>
          </w:tblCellMar>
        </w:tblPrEx>
        <w:trPr>
          <w:trHeight w:val="340" w:hRule="atLeast"/>
          <w:jc w:val="center"/>
        </w:trPr>
        <w:tc>
          <w:tcPr>
            <w:tcW w:w="1214" w:type="dxa"/>
            <w:tcBorders>
              <w:top w:val="single" w:color="000000" w:sz="2" w:space="0"/>
              <w:left w:val="nil"/>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12</w:t>
            </w:r>
          </w:p>
        </w:tc>
        <w:tc>
          <w:tcPr>
            <w:tcW w:w="1214"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13</w:t>
            </w:r>
          </w:p>
        </w:tc>
        <w:tc>
          <w:tcPr>
            <w:tcW w:w="1214"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18</w:t>
            </w:r>
          </w:p>
        </w:tc>
        <w:tc>
          <w:tcPr>
            <w:tcW w:w="1214"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19</w:t>
            </w:r>
          </w:p>
        </w:tc>
        <w:tc>
          <w:tcPr>
            <w:tcW w:w="1215"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20</w:t>
            </w:r>
          </w:p>
        </w:tc>
        <w:tc>
          <w:tcPr>
            <w:tcW w:w="1215"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21</w:t>
            </w:r>
          </w:p>
        </w:tc>
        <w:tc>
          <w:tcPr>
            <w:tcW w:w="1214" w:type="dxa"/>
            <w:tcBorders>
              <w:top w:val="single" w:color="000000" w:sz="2" w:space="0"/>
              <w:left w:val="single" w:color="000000" w:sz="2" w:space="0"/>
              <w:bottom w:val="single" w:color="000000" w:sz="2" w:space="0"/>
              <w:right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22</w:t>
            </w:r>
          </w:p>
        </w:tc>
        <w:tc>
          <w:tcPr>
            <w:tcW w:w="1218" w:type="dxa"/>
            <w:tcBorders>
              <w:top w:val="single" w:color="000000" w:sz="2" w:space="0"/>
              <w:left w:val="single" w:color="000000" w:sz="2" w:space="0"/>
              <w:bottom w:val="single" w:color="000000" w:sz="2" w:space="0"/>
            </w:tcBorders>
            <w:noWrap/>
            <w:vAlign w:val="center"/>
          </w:tcPr>
          <w:p>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23</w:t>
            </w:r>
          </w:p>
        </w:tc>
      </w:tr>
      <w:tr>
        <w:tblPrEx>
          <w:tblCellMar>
            <w:top w:w="0" w:type="dxa"/>
            <w:left w:w="0" w:type="dxa"/>
            <w:bottom w:w="0" w:type="dxa"/>
            <w:right w:w="0" w:type="dxa"/>
          </w:tblCellMar>
        </w:tblPrEx>
        <w:trPr>
          <w:trHeight w:val="170" w:hRule="exact"/>
          <w:jc w:val="center"/>
        </w:trPr>
        <w:tc>
          <w:tcPr>
            <w:tcW w:w="1214" w:type="dxa"/>
            <w:tcBorders>
              <w:top w:val="single" w:color="000000" w:sz="2" w:space="0"/>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color w:val="000000"/>
                <w:szCs w:val="21"/>
              </w:rPr>
            </w:pPr>
          </w:p>
        </w:tc>
        <w:tc>
          <w:tcPr>
            <w:tcW w:w="1217" w:type="dxa"/>
            <w:tcBorders>
              <w:top w:val="single" w:color="000000" w:sz="2" w:space="0"/>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bottom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top w:val="single" w:color="000000" w:sz="2" w:space="0"/>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color w:val="000000"/>
                <w:szCs w:val="21"/>
              </w:rPr>
            </w:pPr>
          </w:p>
        </w:tc>
        <w:tc>
          <w:tcPr>
            <w:tcW w:w="1217" w:type="dxa"/>
            <w:tcBorders>
              <w:top w:val="single" w:color="000000" w:sz="2" w:space="0"/>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bottom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bottom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top w:val="single" w:color="000000" w:sz="2" w:space="0"/>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top w:val="single" w:color="000000" w:sz="2" w:space="0"/>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top w:val="single" w:color="000000" w:sz="2" w:space="0"/>
              <w:left w:val="single" w:color="000000" w:sz="2" w:space="0"/>
              <w:right w:val="single" w:color="000000" w:sz="2" w:space="0"/>
            </w:tcBorders>
            <w:shd w:val="clear" w:color="auto" w:fill="BFBFBF"/>
            <w:noWrap/>
            <w:vAlign w:val="center"/>
          </w:tcPr>
          <w:p>
            <w:pPr>
              <w:rPr>
                <w:color w:val="000000"/>
                <w:szCs w:val="21"/>
              </w:rPr>
            </w:pPr>
          </w:p>
        </w:tc>
        <w:tc>
          <w:tcPr>
            <w:tcW w:w="1217" w:type="dxa"/>
            <w:tcBorders>
              <w:top w:val="single" w:color="000000" w:sz="2" w:space="0"/>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auto"/>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FFFFF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FBFBF"/>
            <w:noWrap/>
            <w:vAlign w:val="center"/>
          </w:tcPr>
          <w:p>
            <w:pPr>
              <w:rPr>
                <w:color w:val="000000"/>
                <w:szCs w:val="21"/>
              </w:rPr>
            </w:pPr>
          </w:p>
        </w:tc>
        <w:tc>
          <w:tcPr>
            <w:tcW w:w="1217" w:type="dxa"/>
            <w:tcBorders>
              <w:left w:val="single" w:color="000000" w:sz="2" w:space="0"/>
            </w:tcBorders>
            <w:shd w:val="clear" w:color="auto" w:fill="BFBFBF"/>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EBEBE"/>
            <w:noWrap/>
            <w:vAlign w:val="center"/>
          </w:tcPr>
          <w:p>
            <w:pPr>
              <w:rPr>
                <w:rFonts w:hint="eastAsia" w:ascii="宋体" w:hAnsi="宋体" w:cs="宋体"/>
                <w:color w:val="000000"/>
                <w:sz w:val="18"/>
                <w:szCs w:val="18"/>
              </w:rPr>
            </w:pPr>
          </w:p>
        </w:tc>
        <w:tc>
          <w:tcPr>
            <w:tcW w:w="1215" w:type="dxa"/>
            <w:tcBorders>
              <w:left w:val="single" w:color="000000" w:sz="2" w:space="0"/>
              <w:right w:val="single" w:color="000000" w:sz="2" w:space="0"/>
            </w:tcBorders>
            <w:shd w:val="clear" w:color="auto" w:fill="BEBEBE"/>
            <w:noWrap/>
            <w:vAlign w:val="center"/>
          </w:tcPr>
          <w:p>
            <w:pPr>
              <w:rPr>
                <w:color w:val="000000"/>
                <w:szCs w:val="21"/>
              </w:rPr>
            </w:pPr>
          </w:p>
        </w:tc>
        <w:tc>
          <w:tcPr>
            <w:tcW w:w="1217" w:type="dxa"/>
            <w:tcBorders>
              <w:left w:val="single" w:color="000000" w:sz="2" w:space="0"/>
            </w:tcBorders>
            <w:shd w:val="clear" w:color="auto" w:fill="BEBEBE"/>
            <w:noWrap/>
            <w:vAlign w:val="center"/>
          </w:tcPr>
          <w:p>
            <w:pPr>
              <w:rPr>
                <w:color w:val="000000"/>
                <w:szCs w:val="21"/>
              </w:rPr>
            </w:pPr>
          </w:p>
        </w:tc>
      </w:tr>
      <w:tr>
        <w:tblPrEx>
          <w:tblCellMar>
            <w:top w:w="0" w:type="dxa"/>
            <w:left w:w="0" w:type="dxa"/>
            <w:bottom w:w="0" w:type="dxa"/>
            <w:right w:w="0" w:type="dxa"/>
          </w:tblCellMar>
        </w:tblPrEx>
        <w:trPr>
          <w:trHeight w:val="170" w:hRule="exact"/>
          <w:jc w:val="center"/>
        </w:trPr>
        <w:tc>
          <w:tcPr>
            <w:tcW w:w="1214" w:type="dxa"/>
            <w:tcBorders>
              <w:left w:val="nil"/>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4"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5" w:type="dxa"/>
            <w:tcBorders>
              <w:left w:val="single" w:color="000000" w:sz="2" w:space="0"/>
              <w:bottom w:val="single" w:color="000000" w:sz="8" w:space="0"/>
              <w:right w:val="single" w:color="000000" w:sz="2" w:space="0"/>
            </w:tcBorders>
            <w:shd w:val="clear" w:color="auto" w:fill="BEBEBE"/>
            <w:noWrap/>
            <w:vAlign w:val="center"/>
          </w:tcPr>
          <w:p>
            <w:pPr>
              <w:jc w:val="center"/>
              <w:rPr>
                <w:rFonts w:hint="eastAsia" w:ascii="宋体" w:hAnsi="宋体" w:cs="宋体"/>
                <w:color w:val="000000"/>
                <w:sz w:val="18"/>
                <w:szCs w:val="18"/>
              </w:rPr>
            </w:pPr>
          </w:p>
        </w:tc>
        <w:tc>
          <w:tcPr>
            <w:tcW w:w="1217" w:type="dxa"/>
            <w:tcBorders>
              <w:left w:val="single" w:color="000000" w:sz="2" w:space="0"/>
              <w:bottom w:val="single" w:color="000000" w:sz="8" w:space="0"/>
            </w:tcBorders>
            <w:shd w:val="clear" w:color="auto" w:fill="BEBEBE"/>
            <w:noWrap/>
            <w:vAlign w:val="center"/>
          </w:tcPr>
          <w:p>
            <w:pPr>
              <w:jc w:val="center"/>
              <w:rPr>
                <w:rFonts w:hint="eastAsia" w:ascii="宋体" w:hAnsi="宋体" w:cs="宋体"/>
                <w:color w:val="000000"/>
                <w:sz w:val="18"/>
                <w:szCs w:val="18"/>
              </w:rPr>
            </w:pPr>
          </w:p>
        </w:tc>
      </w:tr>
    </w:tbl>
    <w:p>
      <w:pPr>
        <w:spacing w:line="240" w:lineRule="exact"/>
        <w:rPr>
          <w:rFonts w:hint="eastAsia" w:ascii="宋体" w:hAnsi="宋体" w:cs="宋体"/>
          <w:bCs/>
          <w:color w:val="000000"/>
          <w:kern w:val="0"/>
          <w:sz w:val="18"/>
          <w:szCs w:val="18"/>
        </w:rPr>
      </w:pPr>
      <w:r>
        <w:rPr>
          <w:rFonts w:hint="eastAsia" w:ascii="宋体" w:hAnsi="宋体" w:cs="宋体"/>
          <w:bCs/>
          <w:color w:val="000000"/>
          <w:kern w:val="0"/>
          <w:sz w:val="18"/>
          <w:szCs w:val="18"/>
        </w:rPr>
        <w:t xml:space="preserve">单位负责人： </w:t>
      </w:r>
      <w:r>
        <w:rPr>
          <w:rFonts w:hint="eastAsia" w:ascii="宋体" w:hAnsi="宋体" w:cs="宋体"/>
          <w:bCs/>
          <w:color w:val="000000"/>
          <w:kern w:val="0"/>
          <w:sz w:val="18"/>
          <w:szCs w:val="18"/>
          <w:lang w:val="en-US" w:eastAsia="zh-CN"/>
        </w:rPr>
        <w:t xml:space="preserve">   </w:t>
      </w:r>
      <w:r>
        <w:rPr>
          <w:rFonts w:hint="eastAsia" w:ascii="宋体" w:hAnsi="宋体" w:cs="宋体"/>
          <w:bCs/>
          <w:color w:val="000000"/>
          <w:kern w:val="0"/>
          <w:sz w:val="18"/>
          <w:szCs w:val="18"/>
        </w:rPr>
        <w:t xml:space="preserve">    统计负责人：  </w:t>
      </w:r>
      <w:r>
        <w:rPr>
          <w:rFonts w:hint="eastAsia" w:ascii="宋体" w:hAnsi="宋体" w:cs="宋体"/>
          <w:bCs/>
          <w:color w:val="000000"/>
          <w:kern w:val="0"/>
          <w:sz w:val="18"/>
          <w:szCs w:val="18"/>
          <w:lang w:val="en-US" w:eastAsia="zh-CN"/>
        </w:rPr>
        <w:t xml:space="preserve">  </w:t>
      </w:r>
      <w:r>
        <w:rPr>
          <w:rFonts w:hint="eastAsia" w:ascii="宋体" w:hAnsi="宋体" w:cs="宋体"/>
          <w:bCs/>
          <w:color w:val="000000"/>
          <w:kern w:val="0"/>
          <w:sz w:val="18"/>
          <w:szCs w:val="18"/>
        </w:rPr>
        <w:t xml:space="preserve">   填表人： </w:t>
      </w:r>
      <w:r>
        <w:rPr>
          <w:rFonts w:hint="eastAsia" w:ascii="宋体" w:hAnsi="宋体" w:cs="宋体"/>
          <w:bCs/>
          <w:color w:val="000000"/>
          <w:kern w:val="0"/>
          <w:sz w:val="18"/>
          <w:szCs w:val="18"/>
          <w:lang w:val="en-US" w:eastAsia="zh-CN"/>
        </w:rPr>
        <w:t xml:space="preserve">  </w:t>
      </w:r>
      <w:r>
        <w:rPr>
          <w:rFonts w:hint="eastAsia" w:ascii="宋体" w:hAnsi="宋体" w:cs="宋体"/>
          <w:bCs/>
          <w:color w:val="000000"/>
          <w:kern w:val="0"/>
          <w:sz w:val="18"/>
          <w:szCs w:val="18"/>
        </w:rPr>
        <w:t xml:space="preserve">     </w:t>
      </w:r>
      <w:r>
        <w:rPr>
          <w:rFonts w:ascii="宋体" w:hAnsi="宋体" w:cs="宋体"/>
          <w:bCs/>
          <w:color w:val="000000"/>
          <w:kern w:val="0"/>
          <w:sz w:val="18"/>
          <w:szCs w:val="18"/>
        </w:rPr>
        <w:t>联系电话</w:t>
      </w:r>
      <w:r>
        <w:rPr>
          <w:rFonts w:hint="eastAsia" w:ascii="宋体" w:hAnsi="宋体" w:cs="宋体"/>
          <w:bCs/>
          <w:color w:val="000000"/>
          <w:kern w:val="0"/>
          <w:sz w:val="18"/>
          <w:szCs w:val="18"/>
        </w:rPr>
        <w:t>：</w:t>
      </w:r>
      <w:r>
        <w:rPr>
          <w:rFonts w:ascii="宋体" w:hAnsi="宋体" w:cs="宋体"/>
          <w:bCs/>
          <w:color w:val="000000"/>
          <w:kern w:val="0"/>
          <w:sz w:val="18"/>
          <w:szCs w:val="18"/>
        </w:rPr>
        <w:t xml:space="preserve">   </w:t>
      </w:r>
      <w:r>
        <w:rPr>
          <w:rFonts w:hint="eastAsia" w:ascii="宋体" w:hAnsi="宋体" w:cs="宋体"/>
          <w:bCs/>
          <w:color w:val="000000"/>
          <w:kern w:val="0"/>
          <w:sz w:val="18"/>
          <w:szCs w:val="18"/>
          <w:lang w:val="en-US" w:eastAsia="zh-CN"/>
        </w:rPr>
        <w:t xml:space="preserve">  </w:t>
      </w:r>
      <w:r>
        <w:rPr>
          <w:rFonts w:hint="eastAsia" w:ascii="宋体" w:hAnsi="宋体" w:cs="宋体"/>
          <w:bCs/>
          <w:color w:val="000000"/>
          <w:kern w:val="0"/>
          <w:sz w:val="18"/>
          <w:szCs w:val="18"/>
        </w:rPr>
        <w:t xml:space="preserve">      报出日期：</w:t>
      </w:r>
      <w:r>
        <w:rPr>
          <w:rFonts w:hint="eastAsia" w:ascii="宋体" w:hAnsi="宋体" w:cs="宋体"/>
          <w:bCs/>
          <w:color w:val="000000"/>
          <w:kern w:val="0"/>
          <w:sz w:val="18"/>
          <w:szCs w:val="15"/>
        </w:rPr>
        <w:t>2 0</w:t>
      </w:r>
      <w:r>
        <w:rPr>
          <w:rFonts w:hint="eastAsia" w:ascii="宋体" w:hAnsi="宋体" w:cs="宋体"/>
          <w:bCs/>
          <w:color w:val="000000"/>
          <w:kern w:val="0"/>
          <w:szCs w:val="18"/>
        </w:rPr>
        <w:t xml:space="preserve">  </w:t>
      </w:r>
      <w:r>
        <w:rPr>
          <w:rFonts w:hint="eastAsia" w:ascii="宋体" w:hAnsi="宋体" w:cs="宋体"/>
          <w:bCs/>
          <w:color w:val="000000"/>
          <w:kern w:val="0"/>
          <w:sz w:val="18"/>
          <w:szCs w:val="18"/>
        </w:rPr>
        <w:t>年   月   日</w:t>
      </w:r>
    </w:p>
    <w:p>
      <w:pPr>
        <w:kinsoku w:val="0"/>
        <w:overflowPunct w:val="0"/>
        <w:adjustRightInd w:val="0"/>
        <w:snapToGrid w:val="0"/>
        <w:spacing w:line="240" w:lineRule="exact"/>
        <w:ind w:left="1524" w:leftChars="-1" w:hanging="1526" w:hangingChars="848"/>
        <w:rPr>
          <w:rFonts w:hint="eastAsia" w:ascii="宋体"/>
          <w:color w:val="000000"/>
          <w:sz w:val="18"/>
        </w:rPr>
      </w:pPr>
    </w:p>
    <w:p>
      <w:pPr>
        <w:keepNext w:val="0"/>
        <w:keepLines w:val="0"/>
        <w:pageBreakBefore w:val="0"/>
        <w:widowControl w:val="0"/>
        <w:kinsoku w:val="0"/>
        <w:wordWrap/>
        <w:overflowPunct w:val="0"/>
        <w:topLinePunct w:val="0"/>
        <w:autoSpaceDE/>
        <w:autoSpaceDN/>
        <w:bidi w:val="0"/>
        <w:adjustRightInd w:val="0"/>
        <w:snapToGrid w:val="0"/>
        <w:spacing w:line="220" w:lineRule="exact"/>
        <w:ind w:left="1619" w:leftChars="-1" w:hanging="1621" w:hangingChars="901"/>
        <w:textAlignment w:val="auto"/>
        <w:rPr>
          <w:rFonts w:hint="eastAsia" w:ascii="宋体"/>
          <w:color w:val="000000"/>
          <w:sz w:val="18"/>
        </w:rPr>
      </w:pPr>
      <w:r>
        <w:rPr>
          <w:rFonts w:hint="eastAsia" w:ascii="宋体" w:hAnsi="宋体" w:cs="宋体"/>
          <w:bCs/>
          <w:color w:val="000000"/>
          <w:kern w:val="0"/>
          <w:sz w:val="18"/>
          <w:szCs w:val="18"/>
        </w:rPr>
        <w:t>说明：1.统计范围：</w:t>
      </w:r>
      <w:r>
        <w:rPr>
          <w:rFonts w:hint="eastAsia" w:ascii="宋体" w:hAnsi="宋体"/>
          <w:color w:val="000000"/>
          <w:sz w:val="18"/>
          <w:szCs w:val="18"/>
        </w:rPr>
        <w:t>辖区内规模以上工业法人单位。</w:t>
      </w:r>
    </w:p>
    <w:p>
      <w:pPr>
        <w:keepNext w:val="0"/>
        <w:keepLines w:val="0"/>
        <w:pageBreakBefore w:val="0"/>
        <w:widowControl w:val="0"/>
        <w:wordWrap/>
        <w:topLinePunct w:val="0"/>
        <w:autoSpaceDE/>
        <w:autoSpaceDN/>
        <w:bidi w:val="0"/>
        <w:snapToGrid w:val="0"/>
        <w:spacing w:line="220" w:lineRule="exact"/>
        <w:ind w:left="2159" w:leftChars="257" w:hanging="1620" w:hangingChars="900"/>
        <w:textAlignment w:val="auto"/>
        <w:rPr>
          <w:rFonts w:hint="eastAsia" w:ascii="宋体" w:hAnsi="Times New Roman" w:eastAsia="宋体" w:cs="Times New Roman"/>
          <w:color w:val="000000"/>
          <w:sz w:val="18"/>
        </w:rPr>
      </w:pPr>
      <w:r>
        <w:rPr>
          <w:rFonts w:hint="eastAsia" w:ascii="宋体" w:hAnsi="宋体" w:cs="宋体"/>
          <w:bCs/>
          <w:color w:val="000000"/>
          <w:kern w:val="0"/>
          <w:sz w:val="18"/>
          <w:szCs w:val="18"/>
        </w:rPr>
        <w:t>2.报送日期及方式：</w:t>
      </w:r>
      <w:r>
        <w:rPr>
          <w:rFonts w:hint="eastAsia" w:ascii="宋体" w:hAnsi="宋体" w:cs="宋体"/>
          <w:bCs/>
          <w:color w:val="000000"/>
          <w:spacing w:val="-4"/>
          <w:kern w:val="0"/>
          <w:sz w:val="18"/>
          <w:szCs w:val="18"/>
        </w:rPr>
        <w:t>三季度9月30日，其他季季后1日0:00开网；</w:t>
      </w:r>
      <w:r>
        <w:rPr>
          <w:rFonts w:hint="eastAsia" w:ascii="宋体"/>
          <w:color w:val="000000"/>
          <w:spacing w:val="-4"/>
          <w:sz w:val="18"/>
        </w:rPr>
        <w:t>调查单位</w:t>
      </w:r>
      <w:r>
        <w:rPr>
          <w:rFonts w:hint="eastAsia" w:ascii="宋体" w:hAnsi="宋体" w:cs="宋体"/>
          <w:bCs/>
          <w:color w:val="000000"/>
          <w:spacing w:val="-4"/>
          <w:kern w:val="0"/>
          <w:sz w:val="18"/>
          <w:szCs w:val="18"/>
        </w:rPr>
        <w:t>季后18日</w:t>
      </w:r>
      <w:r>
        <w:rPr>
          <w:rFonts w:hint="eastAsia" w:ascii="宋体"/>
          <w:color w:val="000000"/>
          <w:spacing w:val="-4"/>
          <w:sz w:val="18"/>
        </w:rPr>
        <w:t>18:00前独立自行网上填报，四季度免报；省级统计机构季后22日24:00前</w:t>
      </w:r>
      <w:r>
        <w:rPr>
          <w:rFonts w:hint="eastAsia" w:ascii="宋体"/>
          <w:color w:val="000000"/>
          <w:spacing w:val="-4"/>
          <w:sz w:val="18"/>
          <w:szCs w:val="20"/>
        </w:rPr>
        <w:t>完成数据的审核、验收、上报</w:t>
      </w:r>
      <w:r>
        <w:rPr>
          <w:rFonts w:hint="eastAsia" w:ascii="宋体"/>
          <w:color w:val="000000"/>
          <w:spacing w:val="-4"/>
          <w:sz w:val="18"/>
        </w:rPr>
        <w:t>，四季度免报</w:t>
      </w:r>
      <w:r>
        <w:rPr>
          <w:rFonts w:hint="eastAsia" w:ascii="宋体" w:hAnsi="Times New Roman" w:eastAsia="宋体" w:cs="Times New Roman"/>
          <w:color w:val="000000"/>
          <w:sz w:val="18"/>
        </w:rPr>
        <w:t>。</w:t>
      </w:r>
    </w:p>
    <w:p>
      <w:pPr>
        <w:keepNext w:val="0"/>
        <w:keepLines w:val="0"/>
        <w:pageBreakBefore w:val="0"/>
        <w:widowControl w:val="0"/>
        <w:wordWrap/>
        <w:topLinePunct w:val="0"/>
        <w:autoSpaceDE/>
        <w:autoSpaceDN/>
        <w:bidi w:val="0"/>
        <w:snapToGrid w:val="0"/>
        <w:spacing w:line="220" w:lineRule="exact"/>
        <w:ind w:left="539" w:leftChars="257" w:firstLine="0" w:firstLineChars="0"/>
        <w:textAlignment w:val="auto"/>
        <w:rPr>
          <w:rFonts w:hint="eastAsia" w:ascii="宋体" w:hAnsi="Times New Roman" w:eastAsia="宋体" w:cs="Times New Roman"/>
          <w:color w:val="000000"/>
          <w:sz w:val="18"/>
          <w:lang w:eastAsia="zh-CN"/>
        </w:rPr>
      </w:pPr>
      <w:r>
        <w:rPr>
          <w:rFonts w:hint="eastAsia" w:ascii="宋体" w:hAnsi="Times New Roman" w:eastAsia="宋体" w:cs="Times New Roman"/>
          <w:color w:val="000000"/>
          <w:sz w:val="18"/>
        </w:rPr>
        <w:t>3.</w:t>
      </w:r>
      <w:r>
        <w:rPr>
          <w:rFonts w:hint="eastAsia" w:ascii="宋体" w:hAnsi="Times New Roman" w:eastAsia="宋体" w:cs="Times New Roman"/>
          <w:color w:val="000000"/>
          <w:sz w:val="18"/>
          <w:lang w:val="en-US" w:eastAsia="zh-CN"/>
        </w:rPr>
        <w:t>从业人员平均工资由联网直报平台根据调查单位填报数据计算生成，</w:t>
      </w:r>
      <w:r>
        <w:rPr>
          <w:rFonts w:hint="eastAsia" w:ascii="宋体" w:hAnsi="宋体" w:eastAsia="宋体" w:cs="宋体"/>
          <w:color w:val="000000"/>
          <w:sz w:val="18"/>
          <w:szCs w:val="18"/>
          <w:highlight w:val="none"/>
          <w:lang w:val="en-US" w:eastAsia="zh-CN"/>
        </w:rPr>
        <w:t>从业人员期末人数、从业人员平均人数、从业人员工资总额、从业人员平均工资及其分组</w:t>
      </w:r>
      <w:r>
        <w:rPr>
          <w:rFonts w:hint="eastAsia" w:ascii="宋体"/>
          <w:color w:val="000000"/>
          <w:sz w:val="18"/>
          <w:highlight w:val="none"/>
          <w:lang w:eastAsia="zh-CN"/>
        </w:rPr>
        <w:t>的“本季”和“</w:t>
      </w:r>
      <w:r>
        <w:rPr>
          <w:rFonts w:hint="eastAsia" w:ascii="宋体"/>
          <w:color w:val="000000"/>
          <w:sz w:val="18"/>
          <w:highlight w:val="none"/>
          <w:lang w:val="en-US" w:eastAsia="zh-CN"/>
        </w:rPr>
        <w:t>1-本季</w:t>
      </w:r>
      <w:r>
        <w:rPr>
          <w:rFonts w:hint="eastAsia" w:ascii="宋体"/>
          <w:color w:val="000000"/>
          <w:sz w:val="18"/>
          <w:highlight w:val="none"/>
          <w:lang w:eastAsia="zh-CN"/>
        </w:rPr>
        <w:t>”累计数由</w:t>
      </w:r>
      <w:r>
        <w:rPr>
          <w:rFonts w:hint="eastAsia" w:ascii="宋体" w:hAnsi="Times New Roman" w:eastAsia="宋体" w:cs="Times New Roman"/>
          <w:color w:val="000000"/>
          <w:sz w:val="18"/>
          <w:highlight w:val="none"/>
          <w:lang w:val="en-US" w:eastAsia="zh-CN"/>
        </w:rPr>
        <w:t>联网直报平台根据调查单位填报数据计算生成，调查单位无需填写</w:t>
      </w:r>
      <w:r>
        <w:rPr>
          <w:rFonts w:hint="eastAsia" w:ascii="宋体" w:hAnsi="Times New Roman" w:eastAsia="宋体" w:cs="Times New Roman"/>
          <w:color w:val="000000"/>
          <w:sz w:val="18"/>
        </w:rPr>
        <w:t>。</w:t>
      </w:r>
    </w:p>
    <w:p>
      <w:pPr>
        <w:keepNext w:val="0"/>
        <w:keepLines w:val="0"/>
        <w:pageBreakBefore w:val="0"/>
        <w:widowControl w:val="0"/>
        <w:wordWrap/>
        <w:topLinePunct w:val="0"/>
        <w:autoSpaceDE/>
        <w:autoSpaceDN/>
        <w:bidi w:val="0"/>
        <w:snapToGrid w:val="0"/>
        <w:spacing w:line="220" w:lineRule="exact"/>
        <w:ind w:left="2159" w:leftChars="257" w:hanging="1620" w:hangingChars="900"/>
        <w:textAlignment w:val="auto"/>
        <w:rPr>
          <w:rFonts w:hint="eastAsia" w:ascii="宋体" w:hAnsi="Times New Roman" w:eastAsia="宋体" w:cs="Times New Roman"/>
          <w:color w:val="000000"/>
          <w:sz w:val="18"/>
        </w:rPr>
      </w:pPr>
      <w:r>
        <w:rPr>
          <w:rFonts w:hint="eastAsia" w:ascii="宋体" w:hAnsi="Times New Roman" w:eastAsia="宋体" w:cs="Times New Roman"/>
          <w:color w:val="000000"/>
          <w:sz w:val="18"/>
          <w:lang w:val="en-US" w:eastAsia="zh-CN"/>
        </w:rPr>
        <w:t>4.工资总额按实际发放时间填报，但预发工资填报在应发月份。</w:t>
      </w:r>
    </w:p>
    <w:p>
      <w:pPr>
        <w:keepNext w:val="0"/>
        <w:keepLines w:val="0"/>
        <w:pageBreakBefore w:val="0"/>
        <w:widowControl w:val="0"/>
        <w:wordWrap/>
        <w:topLinePunct w:val="0"/>
        <w:autoSpaceDE/>
        <w:autoSpaceDN/>
        <w:bidi w:val="0"/>
        <w:snapToGrid w:val="0"/>
        <w:spacing w:line="220" w:lineRule="exact"/>
        <w:ind w:left="722" w:leftChars="257" w:hanging="183" w:hangingChars="102"/>
        <w:textAlignment w:val="auto"/>
        <w:rPr>
          <w:rFonts w:hint="eastAsia" w:ascii="宋体"/>
          <w:color w:val="000000"/>
          <w:sz w:val="18"/>
        </w:rPr>
      </w:pPr>
      <w:r>
        <w:rPr>
          <w:rFonts w:hint="eastAsia" w:ascii="宋体"/>
          <w:color w:val="000000"/>
          <w:sz w:val="18"/>
          <w:lang w:val="en-US" w:eastAsia="zh-CN"/>
        </w:rPr>
        <w:t>5.</w:t>
      </w:r>
      <w:r>
        <w:rPr>
          <w:rFonts w:hint="eastAsia" w:ascii="宋体"/>
          <w:color w:val="000000"/>
          <w:sz w:val="18"/>
        </w:rPr>
        <w:t>如果工资发放时间规律，需填报与工资对应月份平均人数，如，本月发本月工资，则填报本月平均人数；本月发上月工资，填报上月平均人数。如果工资发放时间不规律，则报告期平均人数按当月实际用工情况填报，平均人数不得填0</w:t>
      </w:r>
      <w:r>
        <w:rPr>
          <w:rFonts w:hint="eastAsia" w:ascii="宋体"/>
          <w:color w:val="000000"/>
          <w:sz w:val="18"/>
          <w:lang w:val="en-US" w:eastAsia="zh-CN"/>
        </w:rPr>
        <w:t>。</w:t>
      </w:r>
    </w:p>
    <w:p>
      <w:pPr>
        <w:keepNext w:val="0"/>
        <w:keepLines w:val="0"/>
        <w:pageBreakBefore w:val="0"/>
        <w:widowControl w:val="0"/>
        <w:wordWrap/>
        <w:topLinePunct w:val="0"/>
        <w:autoSpaceDE/>
        <w:autoSpaceDN/>
        <w:bidi w:val="0"/>
        <w:snapToGrid w:val="0"/>
        <w:spacing w:line="220" w:lineRule="exact"/>
        <w:ind w:left="722" w:leftChars="257" w:hanging="183" w:hangingChars="102"/>
        <w:textAlignment w:val="auto"/>
        <w:rPr>
          <w:rFonts w:hint="eastAsia" w:ascii="宋体"/>
          <w:color w:val="000000"/>
          <w:sz w:val="18"/>
        </w:rPr>
      </w:pPr>
      <w:r>
        <w:rPr>
          <w:rFonts w:hint="eastAsia" w:ascii="宋体"/>
          <w:color w:val="000000"/>
          <w:sz w:val="18"/>
          <w:lang w:val="en-US" w:eastAsia="zh-CN"/>
        </w:rPr>
        <w:t>6.</w:t>
      </w:r>
      <w:r>
        <w:rPr>
          <w:rFonts w:hint="eastAsia" w:ascii="宋体"/>
          <w:color w:val="000000"/>
          <w:sz w:val="18"/>
        </w:rPr>
        <w:t>审核关系：</w:t>
      </w:r>
    </w:p>
    <w:p>
      <w:pPr>
        <w:widowControl/>
        <w:spacing w:line="320" w:lineRule="exact"/>
        <w:jc w:val="center"/>
        <w:rPr>
          <w:rFonts w:ascii="宋体" w:hAnsi="宋体" w:cs="宋体"/>
          <w:color w:val="000000"/>
          <w:kern w:val="0"/>
          <w:sz w:val="18"/>
          <w:szCs w:val="18"/>
        </w:rPr>
      </w:pPr>
      <w:r>
        <w:rPr>
          <w:rFonts w:hint="eastAsia" w:ascii="宋体" w:hAnsi="宋体" w:cs="宋体"/>
          <w:color w:val="000000"/>
          <w:kern w:val="0"/>
          <w:sz w:val="18"/>
          <w:szCs w:val="18"/>
        </w:rPr>
        <w:t>（1）01≥02        （2）01</w:t>
      </w:r>
      <w:r>
        <w:rPr>
          <w:rFonts w:hint="eastAsia" w:ascii="宋体" w:hAnsi="宋体" w:cs="宋体"/>
          <w:color w:val="000000"/>
          <w:kern w:val="0"/>
          <w:sz w:val="18"/>
          <w:szCs w:val="18"/>
          <w:lang w:val="en-US" w:eastAsia="zh-CN"/>
        </w:rPr>
        <w:t>=04+05+06</w:t>
      </w:r>
      <w:r>
        <w:rPr>
          <w:rFonts w:hint="eastAsia" w:ascii="宋体" w:hAnsi="宋体" w:cs="宋体"/>
          <w:color w:val="000000"/>
          <w:kern w:val="0"/>
          <w:sz w:val="18"/>
          <w:szCs w:val="18"/>
        </w:rPr>
        <w:t xml:space="preserve">       （3）08</w:t>
      </w:r>
      <w:r>
        <w:rPr>
          <w:rFonts w:hint="eastAsia" w:ascii="宋体" w:hAnsi="宋体" w:cs="宋体"/>
          <w:color w:val="000000"/>
          <w:kern w:val="0"/>
          <w:sz w:val="18"/>
          <w:szCs w:val="18"/>
          <w:lang w:val="en-US" w:eastAsia="zh-CN"/>
        </w:rPr>
        <w:t>=09+10+11</w:t>
      </w:r>
      <w:r>
        <w:rPr>
          <w:rFonts w:hint="eastAsia" w:ascii="宋体" w:hAnsi="宋体" w:cs="宋体"/>
          <w:color w:val="000000"/>
          <w:kern w:val="0"/>
          <w:sz w:val="18"/>
          <w:szCs w:val="18"/>
        </w:rPr>
        <w:t xml:space="preserve">        （4）12</w:t>
      </w:r>
      <w:r>
        <w:rPr>
          <w:rFonts w:hint="eastAsia" w:ascii="宋体" w:hAnsi="宋体" w:cs="宋体"/>
          <w:color w:val="000000"/>
          <w:kern w:val="0"/>
          <w:sz w:val="18"/>
          <w:szCs w:val="18"/>
          <w:lang w:val="en-US" w:eastAsia="zh-CN"/>
        </w:rPr>
        <w:t xml:space="preserve">=13+18+19    </w:t>
      </w:r>
      <w:r>
        <w:rPr>
          <w:rFonts w:ascii="宋体" w:hAnsi="宋体" w:cs="宋体"/>
          <w:color w:val="000000"/>
          <w:kern w:val="0"/>
          <w:sz w:val="18"/>
          <w:szCs w:val="18"/>
        </w:rPr>
        <w:t xml:space="preserve"> </w:t>
      </w:r>
    </w:p>
    <w:p>
      <w:pPr>
        <w:pStyle w:val="15"/>
        <w:rPr>
          <w:rFonts w:ascii="宋体" w:hAnsi="宋体" w:cs="宋体"/>
          <w:color w:val="000000"/>
          <w:kern w:val="0"/>
          <w:sz w:val="18"/>
          <w:szCs w:val="18"/>
        </w:rPr>
      </w:pPr>
    </w:p>
    <w:p>
      <w:pPr>
        <w:pStyle w:val="15"/>
        <w:rPr>
          <w:rFonts w:ascii="宋体" w:hAnsi="宋体" w:cs="宋体"/>
          <w:color w:val="000000"/>
          <w:kern w:val="0"/>
          <w:sz w:val="18"/>
          <w:szCs w:val="18"/>
        </w:rPr>
      </w:pPr>
    </w:p>
    <w:p>
      <w:pPr>
        <w:pStyle w:val="15"/>
        <w:rPr>
          <w:rFonts w:hint="eastAsia" w:ascii="宋体" w:hAnsi="宋体" w:cs="宋体"/>
          <w:color w:val="000000"/>
          <w:kern w:val="0"/>
          <w:sz w:val="18"/>
          <w:szCs w:val="18"/>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68" w:name="_Toc1334238013"/>
      <w:bookmarkStart w:id="69" w:name="_Toc1641647167"/>
      <w:bookmarkStart w:id="70" w:name="_Toc631043705"/>
      <w:bookmarkStart w:id="71" w:name="_Toc614308523"/>
      <w:r>
        <w:rPr>
          <w:rFonts w:hint="eastAsia" w:ascii="宋体" w:hAnsi="宋体" w:eastAsia="宋体" w:cs="宋体"/>
          <w:b/>
          <w:bCs/>
          <w:sz w:val="32"/>
          <w:szCs w:val="32"/>
        </w:rPr>
        <w:t>财</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务 状 况</w:t>
      </w:r>
      <w:bookmarkEnd w:id="68"/>
      <w:bookmarkEnd w:id="69"/>
      <w:bookmarkEnd w:id="70"/>
      <w:bookmarkEnd w:id="71"/>
    </w:p>
    <w:tbl>
      <w:tblPr>
        <w:tblStyle w:val="17"/>
        <w:tblW w:w="5000" w:type="pct"/>
        <w:jc w:val="center"/>
        <w:tblLayout w:type="autofit"/>
        <w:tblCellMar>
          <w:top w:w="0" w:type="dxa"/>
          <w:left w:w="108" w:type="dxa"/>
          <w:bottom w:w="0" w:type="dxa"/>
          <w:right w:w="108" w:type="dxa"/>
        </w:tblCellMar>
      </w:tblPr>
      <w:tblGrid>
        <w:gridCol w:w="3288"/>
        <w:gridCol w:w="1411"/>
        <w:gridCol w:w="1416"/>
        <w:gridCol w:w="1529"/>
        <w:gridCol w:w="1768"/>
      </w:tblGrid>
      <w:tr>
        <w:tblPrEx>
          <w:tblCellMar>
            <w:top w:w="0" w:type="dxa"/>
            <w:left w:w="108" w:type="dxa"/>
            <w:bottom w:w="0" w:type="dxa"/>
            <w:right w:w="108" w:type="dxa"/>
          </w:tblCellMar>
        </w:tblPrEx>
        <w:trPr>
          <w:jc w:val="center"/>
        </w:trPr>
        <w:tc>
          <w:tcPr>
            <w:tcW w:w="1747" w:type="pct"/>
            <w:noWrap w:val="0"/>
            <w:tcMar>
              <w:left w:w="0" w:type="dxa"/>
              <w:right w:w="0" w:type="dxa"/>
            </w:tcMar>
            <w:vAlign w:val="top"/>
          </w:tcPr>
          <w:p>
            <w:pPr>
              <w:spacing w:line="240" w:lineRule="exact"/>
              <w:jc w:val="left"/>
              <w:rPr>
                <w:rFonts w:ascii="宋体"/>
                <w:sz w:val="32"/>
                <w:szCs w:val="32"/>
              </w:rPr>
            </w:pPr>
          </w:p>
        </w:tc>
        <w:tc>
          <w:tcPr>
            <w:tcW w:w="750" w:type="pct"/>
            <w:noWrap w:val="0"/>
            <w:tcMar>
              <w:left w:w="0" w:type="dxa"/>
              <w:right w:w="0" w:type="dxa"/>
            </w:tcMar>
            <w:vAlign w:val="top"/>
          </w:tcPr>
          <w:p>
            <w:pPr>
              <w:spacing w:line="240" w:lineRule="exact"/>
              <w:jc w:val="center"/>
              <w:rPr>
                <w:rFonts w:ascii="宋体"/>
                <w:sz w:val="32"/>
                <w:szCs w:val="32"/>
              </w:rPr>
            </w:pPr>
          </w:p>
        </w:tc>
        <w:tc>
          <w:tcPr>
            <w:tcW w:w="751" w:type="pct"/>
            <w:noWrap w:val="0"/>
            <w:tcMar>
              <w:left w:w="0" w:type="dxa"/>
              <w:right w:w="0" w:type="dxa"/>
            </w:tcMar>
            <w:vAlign w:val="top"/>
          </w:tcPr>
          <w:p>
            <w:pPr>
              <w:spacing w:line="240" w:lineRule="exact"/>
              <w:jc w:val="center"/>
              <w:rPr>
                <w:rFonts w:ascii="宋体"/>
                <w:sz w:val="32"/>
                <w:szCs w:val="32"/>
              </w:rPr>
            </w:pPr>
          </w:p>
        </w:tc>
        <w:tc>
          <w:tcPr>
            <w:tcW w:w="812" w:type="pct"/>
            <w:noWrap w:val="0"/>
            <w:tcMar>
              <w:left w:w="0" w:type="dxa"/>
              <w:right w:w="0" w:type="dxa"/>
            </w:tcMar>
            <w:vAlign w:val="top"/>
          </w:tcPr>
          <w:p>
            <w:pPr>
              <w:spacing w:line="240" w:lineRule="exact"/>
              <w:jc w:val="right"/>
              <w:rPr>
                <w:rFonts w:ascii="宋体"/>
                <w:sz w:val="32"/>
                <w:szCs w:val="32"/>
              </w:rPr>
            </w:pPr>
            <w:r>
              <w:rPr>
                <w:rFonts w:hint="eastAsia" w:ascii="宋体" w:hAnsi="宋体"/>
                <w:sz w:val="18"/>
                <w:szCs w:val="18"/>
              </w:rPr>
              <w:t>表</w:t>
            </w:r>
            <w:r>
              <w:rPr>
                <w:rFonts w:ascii="宋体" w:hAnsi="宋体"/>
                <w:sz w:val="18"/>
                <w:szCs w:val="18"/>
              </w:rPr>
              <w:t xml:space="preserve">    </w:t>
            </w:r>
            <w:r>
              <w:rPr>
                <w:rFonts w:hint="eastAsia" w:ascii="宋体" w:hAnsi="宋体"/>
                <w:sz w:val="18"/>
                <w:szCs w:val="18"/>
              </w:rPr>
              <w:t>号：</w:t>
            </w:r>
          </w:p>
        </w:tc>
        <w:tc>
          <w:tcPr>
            <w:tcW w:w="940" w:type="pct"/>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Ｂ２０３表</w:t>
            </w:r>
          </w:p>
        </w:tc>
      </w:tr>
      <w:tr>
        <w:tblPrEx>
          <w:tblCellMar>
            <w:top w:w="0" w:type="dxa"/>
            <w:left w:w="108" w:type="dxa"/>
            <w:bottom w:w="0" w:type="dxa"/>
            <w:right w:w="108" w:type="dxa"/>
          </w:tblCellMar>
        </w:tblPrEx>
        <w:trPr>
          <w:jc w:val="center"/>
        </w:trPr>
        <w:tc>
          <w:tcPr>
            <w:tcW w:w="3249" w:type="pct"/>
            <w:gridSpan w:val="3"/>
            <w:noWrap w:val="0"/>
            <w:tcMar>
              <w:left w:w="0" w:type="dxa"/>
              <w:right w:w="0" w:type="dxa"/>
            </w:tcMar>
            <w:vAlign w:val="top"/>
          </w:tcPr>
          <w:p>
            <w:pPr>
              <w:spacing w:line="240" w:lineRule="exact"/>
              <w:rPr>
                <w:rFonts w:ascii="宋体"/>
                <w:sz w:val="32"/>
                <w:szCs w:val="32"/>
              </w:rPr>
            </w:pPr>
          </w:p>
        </w:tc>
        <w:tc>
          <w:tcPr>
            <w:tcW w:w="812" w:type="pct"/>
            <w:noWrap w:val="0"/>
            <w:tcMar>
              <w:left w:w="0" w:type="dxa"/>
              <w:right w:w="0" w:type="dxa"/>
            </w:tcMar>
            <w:vAlign w:val="center"/>
          </w:tcPr>
          <w:p>
            <w:pPr>
              <w:spacing w:line="240" w:lineRule="exact"/>
              <w:jc w:val="right"/>
              <w:rPr>
                <w:rFonts w:ascii="宋体"/>
                <w:sz w:val="32"/>
                <w:szCs w:val="32"/>
              </w:rPr>
            </w:pPr>
            <w:r>
              <w:rPr>
                <w:rFonts w:hint="eastAsia" w:ascii="宋体" w:hAnsi="宋体"/>
                <w:sz w:val="18"/>
                <w:szCs w:val="18"/>
              </w:rPr>
              <w:t>制定机关：</w:t>
            </w:r>
          </w:p>
        </w:tc>
        <w:tc>
          <w:tcPr>
            <w:tcW w:w="940" w:type="pct"/>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w:t>
            </w:r>
            <w:r>
              <w:rPr>
                <w:rFonts w:ascii="宋体" w:hAnsi="宋体"/>
                <w:sz w:val="18"/>
                <w:szCs w:val="18"/>
              </w:rPr>
              <w:t xml:space="preserve"> </w:t>
            </w:r>
            <w:r>
              <w:rPr>
                <w:rFonts w:hint="eastAsia" w:ascii="宋体" w:hAnsi="宋体"/>
                <w:sz w:val="18"/>
                <w:szCs w:val="18"/>
              </w:rPr>
              <w:t>家</w:t>
            </w:r>
            <w:r>
              <w:rPr>
                <w:rFonts w:ascii="宋体" w:hAnsi="宋体"/>
                <w:sz w:val="18"/>
                <w:szCs w:val="18"/>
              </w:rPr>
              <w:t xml:space="preserve"> </w:t>
            </w:r>
            <w:r>
              <w:rPr>
                <w:rFonts w:hint="eastAsia" w:ascii="宋体" w:hAnsi="宋体"/>
                <w:sz w:val="18"/>
                <w:szCs w:val="18"/>
              </w:rPr>
              <w:t>统</w:t>
            </w:r>
            <w:r>
              <w:rPr>
                <w:rFonts w:ascii="宋体" w:hAnsi="宋体"/>
                <w:sz w:val="18"/>
                <w:szCs w:val="18"/>
              </w:rPr>
              <w:t xml:space="preserve"> </w:t>
            </w:r>
            <w:r>
              <w:rPr>
                <w:rFonts w:hint="eastAsia" w:ascii="宋体" w:hAnsi="宋体"/>
                <w:sz w:val="18"/>
                <w:szCs w:val="18"/>
              </w:rPr>
              <w:t>计</w:t>
            </w:r>
            <w:r>
              <w:rPr>
                <w:rFonts w:ascii="宋体" w:hAnsi="宋体"/>
                <w:sz w:val="18"/>
                <w:szCs w:val="18"/>
              </w:rPr>
              <w:t xml:space="preserve"> </w:t>
            </w:r>
            <w:r>
              <w:rPr>
                <w:rFonts w:hint="eastAsia" w:ascii="宋体" w:hAnsi="宋体"/>
                <w:sz w:val="18"/>
                <w:szCs w:val="18"/>
              </w:rPr>
              <w:t>局</w:t>
            </w:r>
          </w:p>
        </w:tc>
      </w:tr>
      <w:tr>
        <w:tblPrEx>
          <w:tblCellMar>
            <w:top w:w="0" w:type="dxa"/>
            <w:left w:w="108" w:type="dxa"/>
            <w:bottom w:w="0" w:type="dxa"/>
            <w:right w:w="108" w:type="dxa"/>
          </w:tblCellMar>
        </w:tblPrEx>
        <w:trPr>
          <w:jc w:val="center"/>
        </w:trPr>
        <w:tc>
          <w:tcPr>
            <w:tcW w:w="3249" w:type="pct"/>
            <w:gridSpan w:val="3"/>
            <w:noWrap w:val="0"/>
            <w:tcMar>
              <w:left w:w="0" w:type="dxa"/>
              <w:right w:w="0" w:type="dxa"/>
            </w:tcMar>
            <w:vAlign w:val="top"/>
          </w:tcPr>
          <w:p>
            <w:pPr>
              <w:spacing w:line="240" w:lineRule="exact"/>
              <w:rPr>
                <w:rFonts w:ascii="宋体"/>
                <w:sz w:val="32"/>
                <w:szCs w:val="32"/>
              </w:rPr>
            </w:pPr>
            <w:r>
              <w:rPr>
                <w:rFonts w:hint="eastAsia" w:ascii="宋体" w:hAnsi="宋体"/>
                <w:sz w:val="18"/>
                <w:szCs w:val="18"/>
              </w:rPr>
              <w:t>统一社会信用代码□□□□□□□□□□□□□□□□□□</w:t>
            </w:r>
          </w:p>
        </w:tc>
        <w:tc>
          <w:tcPr>
            <w:tcW w:w="812" w:type="pct"/>
            <w:noWrap w:val="0"/>
            <w:tcMar>
              <w:left w:w="0" w:type="dxa"/>
              <w:right w:w="0" w:type="dxa"/>
            </w:tcMar>
            <w:vAlign w:val="center"/>
          </w:tcPr>
          <w:p>
            <w:pPr>
              <w:spacing w:line="240" w:lineRule="exact"/>
              <w:jc w:val="right"/>
              <w:rPr>
                <w:rFonts w:ascii="宋体"/>
                <w:sz w:val="32"/>
                <w:szCs w:val="32"/>
              </w:rPr>
            </w:pP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号：</w:t>
            </w:r>
          </w:p>
        </w:tc>
        <w:tc>
          <w:tcPr>
            <w:tcW w:w="940" w:type="pct"/>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国统字〔</w:t>
            </w:r>
            <w:r>
              <w:rPr>
                <w:rFonts w:ascii="宋体" w:hAnsi="宋体"/>
                <w:sz w:val="18"/>
                <w:szCs w:val="18"/>
              </w:rPr>
              <w:t>202</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hint="eastAsia" w:ascii="宋体" w:hAnsi="宋体"/>
                <w:sz w:val="18"/>
                <w:szCs w:val="18"/>
              </w:rPr>
              <w:t>号</w:t>
            </w:r>
          </w:p>
        </w:tc>
      </w:tr>
      <w:tr>
        <w:tblPrEx>
          <w:tblCellMar>
            <w:top w:w="0" w:type="dxa"/>
            <w:left w:w="108" w:type="dxa"/>
            <w:bottom w:w="0" w:type="dxa"/>
            <w:right w:w="108" w:type="dxa"/>
          </w:tblCellMar>
        </w:tblPrEx>
        <w:trPr>
          <w:jc w:val="center"/>
        </w:trPr>
        <w:tc>
          <w:tcPr>
            <w:tcW w:w="1747" w:type="pct"/>
            <w:noWrap w:val="0"/>
            <w:tcMar>
              <w:left w:w="0" w:type="dxa"/>
              <w:right w:w="0" w:type="dxa"/>
            </w:tcMar>
            <w:vAlign w:val="top"/>
          </w:tcPr>
          <w:p>
            <w:pPr>
              <w:spacing w:line="240" w:lineRule="exact"/>
              <w:rPr>
                <w:rFonts w:ascii="宋体"/>
                <w:sz w:val="18"/>
                <w:szCs w:val="18"/>
              </w:rPr>
            </w:pPr>
            <w:r>
              <w:rPr>
                <w:rFonts w:hint="eastAsia" w:ascii="宋体" w:hAnsi="宋体"/>
                <w:sz w:val="18"/>
                <w:szCs w:val="18"/>
              </w:rPr>
              <w:t>单位详细名称：</w:t>
            </w:r>
          </w:p>
        </w:tc>
        <w:tc>
          <w:tcPr>
            <w:tcW w:w="1501" w:type="pct"/>
            <w:gridSpan w:val="2"/>
            <w:noWrap w:val="0"/>
            <w:tcMar>
              <w:left w:w="0" w:type="dxa"/>
              <w:right w:w="0" w:type="dxa"/>
            </w:tcMar>
            <w:vAlign w:val="top"/>
          </w:tcPr>
          <w:p>
            <w:pPr>
              <w:spacing w:line="240" w:lineRule="exact"/>
              <w:jc w:val="center"/>
              <w:rPr>
                <w:rFonts w:ascii="宋体"/>
                <w:sz w:val="18"/>
                <w:szCs w:val="18"/>
              </w:rPr>
            </w:pPr>
            <w:r>
              <w:rPr>
                <w:rFonts w:hint="eastAsia" w:ascii="宋体" w:hAnsi="宋体"/>
                <w:sz w:val="18"/>
                <w:szCs w:val="18"/>
              </w:rPr>
              <w:t>202</w:t>
            </w:r>
            <w:r>
              <w:rPr>
                <w:rFonts w:hint="eastAsia" w:ascii="宋体" w:hAnsi="宋体"/>
                <w:sz w:val="18"/>
                <w:szCs w:val="18"/>
                <w:lang w:val="en-US" w:eastAsia="zh-CN"/>
              </w:rPr>
              <w:t>6</w:t>
            </w:r>
            <w:r>
              <w:rPr>
                <w:rFonts w:hint="eastAsia" w:ascii="宋体" w:hAnsi="宋体"/>
                <w:sz w:val="18"/>
                <w:szCs w:val="18"/>
              </w:rPr>
              <w:t>年</w:t>
            </w:r>
            <w:r>
              <w:rPr>
                <w:rFonts w:ascii="宋体" w:hAnsi="宋体"/>
                <w:sz w:val="18"/>
                <w:szCs w:val="18"/>
              </w:rPr>
              <w:t xml:space="preserve">    </w:t>
            </w:r>
            <w:r>
              <w:rPr>
                <w:rFonts w:hint="eastAsia" w:ascii="宋体" w:hAnsi="宋体"/>
                <w:sz w:val="18"/>
                <w:szCs w:val="18"/>
              </w:rPr>
              <w:t>月</w:t>
            </w:r>
          </w:p>
        </w:tc>
        <w:tc>
          <w:tcPr>
            <w:tcW w:w="812" w:type="pct"/>
            <w:noWrap w:val="0"/>
            <w:tcMar>
              <w:left w:w="0" w:type="dxa"/>
              <w:right w:w="0" w:type="dxa"/>
            </w:tcMar>
            <w:vAlign w:val="center"/>
          </w:tcPr>
          <w:p>
            <w:pPr>
              <w:spacing w:line="240" w:lineRule="exact"/>
              <w:jc w:val="right"/>
              <w:rPr>
                <w:rFonts w:ascii="宋体"/>
                <w:sz w:val="18"/>
                <w:szCs w:val="18"/>
              </w:rPr>
            </w:pPr>
            <w:r>
              <w:rPr>
                <w:rFonts w:hint="eastAsia" w:ascii="宋体" w:hAnsi="宋体"/>
                <w:sz w:val="18"/>
                <w:szCs w:val="18"/>
              </w:rPr>
              <w:t>有效期至：</w:t>
            </w:r>
          </w:p>
        </w:tc>
        <w:tc>
          <w:tcPr>
            <w:tcW w:w="940" w:type="pct"/>
            <w:noWrap w:val="0"/>
            <w:tcMar>
              <w:left w:w="0" w:type="dxa"/>
              <w:right w:w="0" w:type="dxa"/>
            </w:tcMar>
            <w:vAlign w:val="center"/>
          </w:tcPr>
          <w:p>
            <w:pPr>
              <w:spacing w:line="240" w:lineRule="exact"/>
              <w:jc w:val="distribute"/>
              <w:rPr>
                <w:rFonts w:ascii="宋体"/>
                <w:sz w:val="18"/>
                <w:szCs w:val="18"/>
              </w:rPr>
            </w:pPr>
            <w:r>
              <w:rPr>
                <w:rFonts w:hint="eastAsia" w:ascii="宋体" w:hAnsi="宋体"/>
                <w:sz w:val="18"/>
                <w:szCs w:val="18"/>
              </w:rPr>
              <w:t>202</w:t>
            </w:r>
            <w:r>
              <w:rPr>
                <w:rFonts w:hint="eastAsia" w:ascii="宋体" w:hAnsi="宋体"/>
                <w:sz w:val="18"/>
                <w:szCs w:val="18"/>
                <w:lang w:val="en-US" w:eastAsia="zh-CN"/>
              </w:rPr>
              <w:t>7</w:t>
            </w:r>
            <w:r>
              <w:rPr>
                <w:rFonts w:hint="eastAsia" w:ascii="宋体" w:hAnsi="宋体"/>
                <w:sz w:val="18"/>
                <w:szCs w:val="18"/>
              </w:rPr>
              <w:t>年１月</w:t>
            </w:r>
          </w:p>
        </w:tc>
      </w:tr>
    </w:tbl>
    <w:p>
      <w:pPr>
        <w:spacing w:line="20" w:lineRule="exact"/>
        <w:ind w:left="-2" w:leftChars="-1"/>
        <w:rPr>
          <w:rFonts w:ascii="宋体"/>
          <w:sz w:val="18"/>
          <w:szCs w:val="18"/>
        </w:rPr>
      </w:pPr>
    </w:p>
    <w:tbl>
      <w:tblPr>
        <w:tblStyle w:val="17"/>
        <w:tblW w:w="9412" w:type="dxa"/>
        <w:jc w:val="center"/>
        <w:tblLayout w:type="autofit"/>
        <w:tblCellMar>
          <w:top w:w="0" w:type="dxa"/>
          <w:left w:w="108" w:type="dxa"/>
          <w:bottom w:w="0" w:type="dxa"/>
          <w:right w:w="108" w:type="dxa"/>
        </w:tblCellMar>
      </w:tblPr>
      <w:tblGrid>
        <w:gridCol w:w="3765"/>
        <w:gridCol w:w="941"/>
        <w:gridCol w:w="941"/>
        <w:gridCol w:w="1882"/>
        <w:gridCol w:w="1883"/>
      </w:tblGrid>
      <w:tr>
        <w:tblPrEx>
          <w:tblCellMar>
            <w:top w:w="0" w:type="dxa"/>
            <w:left w:w="108" w:type="dxa"/>
            <w:bottom w:w="0" w:type="dxa"/>
            <w:right w:w="108" w:type="dxa"/>
          </w:tblCellMar>
        </w:tblPrEx>
        <w:trPr>
          <w:cantSplit/>
          <w:trHeight w:val="680" w:hRule="atLeast"/>
          <w:jc w:val="center"/>
        </w:trPr>
        <w:tc>
          <w:tcPr>
            <w:tcW w:w="2000" w:type="pct"/>
            <w:tcBorders>
              <w:top w:val="single" w:color="auto" w:sz="8"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sz w:val="18"/>
              </w:rPr>
              <w:t>指标名称</w:t>
            </w:r>
          </w:p>
        </w:tc>
        <w:tc>
          <w:tcPr>
            <w:tcW w:w="500" w:type="pct"/>
            <w:tcBorders>
              <w:top w:val="single" w:color="auto" w:sz="8"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sz w:val="18"/>
              </w:rPr>
              <w:t>计量单位</w:t>
            </w:r>
          </w:p>
        </w:tc>
        <w:tc>
          <w:tcPr>
            <w:tcW w:w="500" w:type="pct"/>
            <w:tcBorders>
              <w:top w:val="single" w:color="auto" w:sz="8"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sz w:val="18"/>
              </w:rPr>
              <w:t>代码</w:t>
            </w:r>
          </w:p>
        </w:tc>
        <w:tc>
          <w:tcPr>
            <w:tcW w:w="1000" w:type="pct"/>
            <w:tcBorders>
              <w:top w:val="single" w:color="auto" w:sz="8"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ascii="宋体" w:hAnsi="宋体"/>
                <w:sz w:val="18"/>
              </w:rPr>
              <w:t>1—</w:t>
            </w:r>
            <w:r>
              <w:rPr>
                <w:rFonts w:hint="eastAsia"/>
                <w:sz w:val="18"/>
              </w:rPr>
              <w:t>本月</w:t>
            </w:r>
          </w:p>
        </w:tc>
        <w:tc>
          <w:tcPr>
            <w:tcW w:w="1000" w:type="pct"/>
            <w:tcBorders>
              <w:top w:val="single" w:color="auto" w:sz="8" w:space="0"/>
              <w:left w:val="single" w:color="auto" w:sz="2" w:space="0"/>
              <w:bottom w:val="single" w:color="auto" w:sz="2" w:space="0"/>
            </w:tcBorders>
            <w:shd w:val="clear" w:color="auto" w:fill="D9D9D9"/>
            <w:noWrap w:val="0"/>
            <w:vAlign w:val="center"/>
          </w:tcPr>
          <w:p>
            <w:pPr>
              <w:snapToGrid w:val="0"/>
              <w:jc w:val="center"/>
              <w:rPr>
                <w:rFonts w:ascii="宋体"/>
                <w:sz w:val="18"/>
              </w:rPr>
            </w:pPr>
            <w:r>
              <w:rPr>
                <w:rFonts w:hint="eastAsia"/>
                <w:sz w:val="18"/>
              </w:rPr>
              <w:t>上年同</w:t>
            </w:r>
            <w:r>
              <w:rPr>
                <w:rFonts w:hint="eastAsia" w:ascii="宋体" w:hAnsi="宋体"/>
                <w:sz w:val="18"/>
              </w:rPr>
              <w:t>期</w:t>
            </w:r>
          </w:p>
        </w:tc>
      </w:tr>
      <w:tr>
        <w:tblPrEx>
          <w:tblCellMar>
            <w:top w:w="0" w:type="dxa"/>
            <w:left w:w="108" w:type="dxa"/>
            <w:bottom w:w="0" w:type="dxa"/>
            <w:right w:w="108" w:type="dxa"/>
          </w:tblCellMar>
        </w:tblPrEx>
        <w:trPr>
          <w:cantSplit/>
          <w:trHeight w:val="283" w:hRule="atLeast"/>
          <w:jc w:val="center"/>
        </w:trPr>
        <w:tc>
          <w:tcPr>
            <w:tcW w:w="2000" w:type="pct"/>
            <w:tcBorders>
              <w:top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hAnsi="宋体"/>
                <w:sz w:val="18"/>
              </w:rPr>
              <w:t>甲</w:t>
            </w:r>
          </w:p>
        </w:tc>
        <w:tc>
          <w:tcPr>
            <w:tcW w:w="500" w:type="pct"/>
            <w:tcBorders>
              <w:top w:val="single" w:color="auto" w:sz="2"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hAnsi="宋体"/>
                <w:sz w:val="18"/>
              </w:rPr>
              <w:t>乙</w:t>
            </w:r>
          </w:p>
        </w:tc>
        <w:tc>
          <w:tcPr>
            <w:tcW w:w="500" w:type="pct"/>
            <w:tcBorders>
              <w:top w:val="single" w:color="auto" w:sz="2"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sz w:val="18"/>
              </w:rPr>
            </w:pPr>
            <w:r>
              <w:rPr>
                <w:rFonts w:hint="eastAsia" w:ascii="宋体" w:hAnsi="宋体"/>
                <w:sz w:val="18"/>
              </w:rPr>
              <w:t>丙</w:t>
            </w:r>
          </w:p>
        </w:tc>
        <w:tc>
          <w:tcPr>
            <w:tcW w:w="1000" w:type="pct"/>
            <w:tcBorders>
              <w:top w:val="single" w:color="auto" w:sz="2" w:space="0"/>
              <w:left w:val="single" w:color="auto" w:sz="2" w:space="0"/>
              <w:bottom w:val="single" w:color="auto" w:sz="2" w:space="0"/>
              <w:right w:val="single" w:color="auto" w:sz="2" w:space="0"/>
            </w:tcBorders>
            <w:shd w:val="clear" w:color="auto" w:fill="auto"/>
            <w:noWrap w:val="0"/>
            <w:vAlign w:val="center"/>
          </w:tcPr>
          <w:p>
            <w:pPr>
              <w:snapToGrid w:val="0"/>
              <w:jc w:val="center"/>
              <w:rPr>
                <w:rFonts w:ascii="宋体" w:hAnsi="宋体"/>
                <w:sz w:val="18"/>
              </w:rPr>
            </w:pPr>
            <w:r>
              <w:rPr>
                <w:rFonts w:ascii="宋体" w:hAnsi="宋体"/>
                <w:sz w:val="18"/>
              </w:rPr>
              <w:t>1</w:t>
            </w:r>
          </w:p>
        </w:tc>
        <w:tc>
          <w:tcPr>
            <w:tcW w:w="1000" w:type="pct"/>
            <w:tcBorders>
              <w:top w:val="single" w:color="auto" w:sz="2" w:space="0"/>
              <w:left w:val="single" w:color="auto" w:sz="2" w:space="0"/>
              <w:bottom w:val="single" w:color="auto" w:sz="2" w:space="0"/>
            </w:tcBorders>
            <w:shd w:val="clear" w:color="auto" w:fill="D9D9D9"/>
            <w:noWrap w:val="0"/>
            <w:vAlign w:val="center"/>
          </w:tcPr>
          <w:p>
            <w:pPr>
              <w:snapToGrid w:val="0"/>
              <w:jc w:val="center"/>
              <w:rPr>
                <w:rFonts w:ascii="宋体" w:hAnsi="宋体"/>
                <w:sz w:val="18"/>
              </w:rPr>
            </w:pPr>
            <w:r>
              <w:rPr>
                <w:rFonts w:ascii="宋体" w:hAnsi="宋体"/>
                <w:sz w:val="18"/>
              </w:rPr>
              <w:t>2</w:t>
            </w:r>
          </w:p>
        </w:tc>
      </w:tr>
      <w:tr>
        <w:tblPrEx>
          <w:tblCellMar>
            <w:top w:w="0" w:type="dxa"/>
            <w:left w:w="108" w:type="dxa"/>
            <w:bottom w:w="0" w:type="dxa"/>
            <w:right w:w="108" w:type="dxa"/>
          </w:tblCellMar>
        </w:tblPrEx>
        <w:trPr>
          <w:cantSplit/>
          <w:jc w:val="center"/>
        </w:trPr>
        <w:tc>
          <w:tcPr>
            <w:tcW w:w="2000" w:type="pct"/>
            <w:tcBorders>
              <w:top w:val="single" w:color="auto" w:sz="2" w:space="0"/>
              <w:bottom w:val="single" w:color="auto" w:sz="8" w:space="0"/>
              <w:right w:val="single" w:color="auto" w:sz="2" w:space="0"/>
            </w:tcBorders>
            <w:noWrap w:val="0"/>
            <w:vAlign w:val="top"/>
          </w:tcPr>
          <w:p>
            <w:pPr>
              <w:spacing w:line="200" w:lineRule="atLeast"/>
              <w:rPr>
                <w:rFonts w:ascii="宋体"/>
                <w:sz w:val="18"/>
              </w:rPr>
            </w:pPr>
            <w:r>
              <w:rPr>
                <w:rFonts w:hint="eastAsia" w:ascii="宋体"/>
                <w:sz w:val="18"/>
              </w:rPr>
              <w:t>一、期末资产负债</w:t>
            </w:r>
          </w:p>
          <w:p>
            <w:pPr>
              <w:spacing w:line="200" w:lineRule="atLeast"/>
              <w:ind w:firstLine="360" w:firstLineChars="200"/>
              <w:rPr>
                <w:rFonts w:ascii="宋体"/>
                <w:sz w:val="18"/>
              </w:rPr>
            </w:pPr>
            <w:r>
              <w:rPr>
                <w:rFonts w:hint="eastAsia" w:ascii="宋体"/>
                <w:sz w:val="18"/>
              </w:rPr>
              <w:t>流动资产合计</w:t>
            </w:r>
          </w:p>
          <w:p>
            <w:pPr>
              <w:spacing w:line="200" w:lineRule="atLeast"/>
              <w:ind w:firstLine="540" w:firstLineChars="300"/>
              <w:rPr>
                <w:rFonts w:ascii="宋体"/>
                <w:sz w:val="18"/>
              </w:rPr>
            </w:pPr>
            <w:r>
              <w:rPr>
                <w:rFonts w:hint="eastAsia" w:ascii="宋体"/>
                <w:sz w:val="18"/>
              </w:rPr>
              <w:t>其中：应收账款</w:t>
            </w:r>
          </w:p>
          <w:p>
            <w:pPr>
              <w:spacing w:line="200" w:lineRule="atLeast"/>
              <w:ind w:firstLine="540" w:firstLineChars="300"/>
              <w:rPr>
                <w:rFonts w:ascii="宋体"/>
                <w:sz w:val="18"/>
              </w:rPr>
            </w:pPr>
            <w:r>
              <w:rPr>
                <w:rFonts w:ascii="宋体"/>
                <w:sz w:val="18"/>
              </w:rPr>
              <w:t xml:space="preserve">      </w:t>
            </w:r>
            <w:r>
              <w:rPr>
                <w:rFonts w:hint="eastAsia" w:ascii="宋体"/>
                <w:sz w:val="18"/>
              </w:rPr>
              <w:t>存货</w:t>
            </w:r>
          </w:p>
          <w:p>
            <w:pPr>
              <w:spacing w:line="200" w:lineRule="atLeast"/>
              <w:ind w:firstLine="1260" w:firstLineChars="700"/>
              <w:rPr>
                <w:rFonts w:ascii="宋体"/>
                <w:sz w:val="18"/>
              </w:rPr>
            </w:pPr>
            <w:r>
              <w:rPr>
                <w:rFonts w:hint="eastAsia" w:ascii="宋体"/>
                <w:sz w:val="18"/>
              </w:rPr>
              <w:t>其中：产成品</w:t>
            </w:r>
          </w:p>
          <w:p>
            <w:pPr>
              <w:spacing w:line="200" w:lineRule="atLeast"/>
              <w:ind w:firstLine="360" w:firstLineChars="200"/>
              <w:rPr>
                <w:rFonts w:ascii="宋体"/>
                <w:sz w:val="18"/>
              </w:rPr>
            </w:pPr>
            <w:r>
              <w:rPr>
                <w:rFonts w:hint="eastAsia" w:ascii="宋体"/>
                <w:sz w:val="18"/>
              </w:rPr>
              <w:t>固定资产原价</w:t>
            </w:r>
          </w:p>
          <w:p>
            <w:pPr>
              <w:spacing w:line="200" w:lineRule="atLeast"/>
              <w:ind w:firstLine="360" w:firstLineChars="200"/>
              <w:rPr>
                <w:rFonts w:ascii="宋体"/>
                <w:sz w:val="18"/>
              </w:rPr>
            </w:pPr>
            <w:r>
              <w:rPr>
                <w:rFonts w:hint="eastAsia" w:ascii="宋体"/>
                <w:sz w:val="18"/>
              </w:rPr>
              <w:t>资产总计</w:t>
            </w:r>
          </w:p>
          <w:p>
            <w:pPr>
              <w:spacing w:line="200" w:lineRule="atLeast"/>
              <w:ind w:firstLine="360" w:firstLineChars="200"/>
              <w:rPr>
                <w:rFonts w:ascii="宋体"/>
                <w:sz w:val="18"/>
              </w:rPr>
            </w:pPr>
            <w:r>
              <w:rPr>
                <w:rFonts w:hint="eastAsia" w:ascii="宋体"/>
                <w:sz w:val="18"/>
              </w:rPr>
              <w:t>负债合计</w:t>
            </w:r>
          </w:p>
          <w:p>
            <w:pPr>
              <w:spacing w:line="200" w:lineRule="atLeast"/>
              <w:rPr>
                <w:rFonts w:ascii="宋体"/>
                <w:sz w:val="18"/>
              </w:rPr>
            </w:pPr>
            <w:r>
              <w:rPr>
                <w:rFonts w:hint="eastAsia" w:ascii="宋体"/>
                <w:sz w:val="18"/>
              </w:rPr>
              <w:t>二、损益</w:t>
            </w:r>
          </w:p>
          <w:p>
            <w:pPr>
              <w:spacing w:line="200" w:lineRule="atLeast"/>
              <w:ind w:firstLine="360" w:firstLineChars="200"/>
              <w:rPr>
                <w:rFonts w:ascii="宋体"/>
                <w:sz w:val="18"/>
              </w:rPr>
            </w:pPr>
            <w:r>
              <w:rPr>
                <w:rFonts w:hint="eastAsia" w:ascii="宋体"/>
                <w:sz w:val="18"/>
              </w:rPr>
              <w:t>营业收入</w:t>
            </w:r>
          </w:p>
          <w:p>
            <w:pPr>
              <w:spacing w:line="200" w:lineRule="atLeast"/>
              <w:ind w:firstLine="360" w:firstLineChars="200"/>
              <w:rPr>
                <w:rFonts w:ascii="宋体"/>
                <w:sz w:val="18"/>
              </w:rPr>
            </w:pPr>
            <w:r>
              <w:rPr>
                <w:rFonts w:hint="eastAsia" w:ascii="宋体"/>
                <w:sz w:val="18"/>
              </w:rPr>
              <w:t>营业成本</w:t>
            </w:r>
          </w:p>
          <w:p>
            <w:pPr>
              <w:spacing w:line="200" w:lineRule="atLeast"/>
              <w:ind w:firstLine="360" w:firstLineChars="200"/>
              <w:rPr>
                <w:rFonts w:ascii="宋体"/>
                <w:sz w:val="18"/>
              </w:rPr>
            </w:pPr>
            <w:r>
              <w:rPr>
                <w:rFonts w:hint="eastAsia" w:ascii="宋体"/>
                <w:sz w:val="18"/>
              </w:rPr>
              <w:t>税金及附加</w:t>
            </w:r>
          </w:p>
          <w:p>
            <w:pPr>
              <w:spacing w:line="200" w:lineRule="atLeast"/>
              <w:ind w:firstLine="360" w:firstLineChars="200"/>
              <w:rPr>
                <w:rFonts w:ascii="宋体"/>
                <w:sz w:val="18"/>
              </w:rPr>
            </w:pPr>
            <w:r>
              <w:rPr>
                <w:rFonts w:hint="eastAsia" w:ascii="宋体"/>
                <w:sz w:val="18"/>
              </w:rPr>
              <w:t>销售费用</w:t>
            </w:r>
          </w:p>
          <w:p>
            <w:pPr>
              <w:spacing w:line="200" w:lineRule="atLeast"/>
              <w:ind w:firstLine="360" w:firstLineChars="200"/>
              <w:rPr>
                <w:rFonts w:ascii="宋体"/>
                <w:sz w:val="18"/>
              </w:rPr>
            </w:pPr>
            <w:r>
              <w:rPr>
                <w:rFonts w:hint="eastAsia" w:ascii="宋体"/>
                <w:sz w:val="18"/>
              </w:rPr>
              <w:t>管理费用</w:t>
            </w:r>
          </w:p>
          <w:p>
            <w:pPr>
              <w:spacing w:line="200" w:lineRule="atLeast"/>
              <w:ind w:firstLine="360" w:firstLineChars="200"/>
              <w:rPr>
                <w:rFonts w:ascii="宋体"/>
                <w:sz w:val="18"/>
              </w:rPr>
            </w:pPr>
            <w:r>
              <w:rPr>
                <w:rFonts w:hint="eastAsia" w:ascii="宋体"/>
                <w:sz w:val="18"/>
              </w:rPr>
              <w:t>研发费用</w:t>
            </w:r>
          </w:p>
          <w:p>
            <w:pPr>
              <w:spacing w:line="200" w:lineRule="atLeast"/>
              <w:ind w:firstLine="360" w:firstLineChars="200"/>
              <w:rPr>
                <w:rFonts w:ascii="宋体"/>
                <w:sz w:val="18"/>
              </w:rPr>
            </w:pPr>
            <w:r>
              <w:rPr>
                <w:rFonts w:hint="eastAsia" w:ascii="宋体"/>
                <w:sz w:val="18"/>
              </w:rPr>
              <w:t>财务费用</w:t>
            </w:r>
          </w:p>
          <w:p>
            <w:pPr>
              <w:spacing w:line="200" w:lineRule="atLeast"/>
              <w:ind w:firstLine="360" w:firstLineChars="200"/>
              <w:rPr>
                <w:rFonts w:ascii="宋体"/>
                <w:sz w:val="18"/>
              </w:rPr>
            </w:pPr>
            <w:r>
              <w:rPr>
                <w:rFonts w:hint="eastAsia" w:ascii="宋体"/>
                <w:sz w:val="18"/>
              </w:rPr>
              <w:t>资产减值损失</w:t>
            </w:r>
            <w:r>
              <w:rPr>
                <w:rFonts w:ascii="宋体"/>
                <w:sz w:val="18"/>
              </w:rPr>
              <w:t>(</w:t>
            </w:r>
            <w:r>
              <w:rPr>
                <w:rFonts w:hint="eastAsia" w:ascii="宋体"/>
                <w:sz w:val="18"/>
              </w:rPr>
              <w:t>损失以“</w:t>
            </w:r>
            <w:r>
              <w:rPr>
                <w:rFonts w:ascii="宋体" w:hAnsi="宋体"/>
                <w:sz w:val="18"/>
              </w:rPr>
              <w:t>-</w:t>
            </w:r>
            <w:r>
              <w:rPr>
                <w:rFonts w:hint="eastAsia" w:ascii="宋体"/>
                <w:sz w:val="18"/>
              </w:rPr>
              <w:t>”号记</w:t>
            </w:r>
            <w:r>
              <w:rPr>
                <w:rFonts w:ascii="宋体"/>
                <w:sz w:val="18"/>
              </w:rPr>
              <w:t>)</w:t>
            </w:r>
          </w:p>
          <w:p>
            <w:pPr>
              <w:spacing w:line="200" w:lineRule="atLeast"/>
              <w:ind w:firstLine="360" w:firstLineChars="200"/>
              <w:rPr>
                <w:rFonts w:ascii="宋体"/>
                <w:sz w:val="18"/>
              </w:rPr>
            </w:pPr>
            <w:r>
              <w:rPr>
                <w:rFonts w:hint="eastAsia" w:ascii="宋体"/>
                <w:sz w:val="18"/>
              </w:rPr>
              <w:t>信用减值损失</w:t>
            </w:r>
            <w:r>
              <w:rPr>
                <w:rFonts w:ascii="宋体"/>
                <w:sz w:val="18"/>
              </w:rPr>
              <w:t>(</w:t>
            </w:r>
            <w:r>
              <w:rPr>
                <w:rFonts w:hint="eastAsia" w:ascii="宋体"/>
                <w:sz w:val="18"/>
              </w:rPr>
              <w:t>损失以“</w:t>
            </w:r>
            <w:r>
              <w:rPr>
                <w:rFonts w:ascii="宋体" w:hAnsi="宋体"/>
                <w:sz w:val="18"/>
              </w:rPr>
              <w:t>-</w:t>
            </w:r>
            <w:r>
              <w:rPr>
                <w:rFonts w:hint="eastAsia" w:ascii="宋体"/>
                <w:sz w:val="18"/>
              </w:rPr>
              <w:t>”号记</w:t>
            </w:r>
            <w:r>
              <w:rPr>
                <w:rFonts w:ascii="宋体"/>
                <w:sz w:val="18"/>
              </w:rPr>
              <w:t>)</w:t>
            </w:r>
          </w:p>
          <w:p>
            <w:pPr>
              <w:spacing w:line="200" w:lineRule="atLeast"/>
              <w:ind w:firstLine="360" w:firstLineChars="200"/>
              <w:rPr>
                <w:rFonts w:ascii="宋体"/>
                <w:sz w:val="18"/>
              </w:rPr>
            </w:pPr>
            <w:r>
              <w:rPr>
                <w:rFonts w:hint="eastAsia" w:ascii="宋体"/>
                <w:sz w:val="18"/>
              </w:rPr>
              <w:t>其他收益</w:t>
            </w:r>
          </w:p>
          <w:p>
            <w:pPr>
              <w:spacing w:line="200" w:lineRule="atLeast"/>
              <w:ind w:firstLine="360" w:firstLineChars="200"/>
              <w:rPr>
                <w:rFonts w:ascii="宋体"/>
                <w:sz w:val="18"/>
              </w:rPr>
            </w:pPr>
            <w:r>
              <w:rPr>
                <w:rFonts w:hint="eastAsia" w:ascii="宋体"/>
                <w:sz w:val="18"/>
              </w:rPr>
              <w:t>投资收益</w:t>
            </w:r>
            <w:r>
              <w:rPr>
                <w:rFonts w:ascii="宋体"/>
                <w:sz w:val="18"/>
              </w:rPr>
              <w:t>(</w:t>
            </w:r>
            <w:r>
              <w:rPr>
                <w:rFonts w:hint="eastAsia" w:ascii="宋体"/>
                <w:sz w:val="18"/>
              </w:rPr>
              <w:t>损失以“</w:t>
            </w:r>
            <w:r>
              <w:rPr>
                <w:rFonts w:ascii="宋体" w:hAnsi="宋体"/>
                <w:sz w:val="18"/>
              </w:rPr>
              <w:t>-</w:t>
            </w:r>
            <w:r>
              <w:rPr>
                <w:rFonts w:hint="eastAsia" w:ascii="宋体"/>
                <w:sz w:val="18"/>
              </w:rPr>
              <w:t>”号记</w:t>
            </w:r>
            <w:r>
              <w:rPr>
                <w:rFonts w:ascii="宋体"/>
                <w:sz w:val="18"/>
              </w:rPr>
              <w:t>)</w:t>
            </w:r>
          </w:p>
          <w:p>
            <w:pPr>
              <w:spacing w:line="200" w:lineRule="atLeast"/>
              <w:ind w:firstLine="360" w:firstLineChars="200"/>
              <w:rPr>
                <w:rFonts w:ascii="宋体"/>
                <w:sz w:val="18"/>
              </w:rPr>
            </w:pPr>
            <w:r>
              <w:rPr>
                <w:rFonts w:hint="eastAsia" w:ascii="宋体"/>
                <w:sz w:val="18"/>
              </w:rPr>
              <w:t>净敞口套期收益</w:t>
            </w:r>
            <w:r>
              <w:rPr>
                <w:rFonts w:ascii="宋体"/>
                <w:sz w:val="18"/>
              </w:rPr>
              <w:t>(</w:t>
            </w:r>
            <w:r>
              <w:rPr>
                <w:rFonts w:hint="eastAsia" w:ascii="宋体"/>
                <w:sz w:val="18"/>
              </w:rPr>
              <w:t>损失以“</w:t>
            </w:r>
            <w:r>
              <w:rPr>
                <w:rFonts w:ascii="宋体" w:hAnsi="宋体"/>
                <w:sz w:val="18"/>
              </w:rPr>
              <w:t>-</w:t>
            </w:r>
            <w:r>
              <w:rPr>
                <w:rFonts w:hint="eastAsia" w:ascii="宋体"/>
                <w:sz w:val="18"/>
              </w:rPr>
              <w:t>”号记</w:t>
            </w:r>
            <w:r>
              <w:rPr>
                <w:rFonts w:ascii="宋体"/>
                <w:sz w:val="18"/>
              </w:rPr>
              <w:t>)</w:t>
            </w:r>
          </w:p>
          <w:p>
            <w:pPr>
              <w:spacing w:line="200" w:lineRule="atLeast"/>
              <w:ind w:firstLine="360" w:firstLineChars="200"/>
              <w:rPr>
                <w:rFonts w:ascii="宋体"/>
                <w:sz w:val="18"/>
              </w:rPr>
            </w:pPr>
            <w:r>
              <w:rPr>
                <w:rFonts w:hint="eastAsia" w:ascii="宋体"/>
                <w:sz w:val="18"/>
              </w:rPr>
              <w:t>公允价值变动收益</w:t>
            </w:r>
            <w:r>
              <w:rPr>
                <w:rFonts w:ascii="宋体"/>
                <w:sz w:val="18"/>
              </w:rPr>
              <w:t>(</w:t>
            </w:r>
            <w:r>
              <w:rPr>
                <w:rFonts w:hint="eastAsia" w:ascii="宋体"/>
                <w:sz w:val="18"/>
              </w:rPr>
              <w:t>损失以“</w:t>
            </w:r>
            <w:r>
              <w:rPr>
                <w:rFonts w:ascii="宋体" w:hAnsi="宋体"/>
                <w:sz w:val="18"/>
              </w:rPr>
              <w:t>-</w:t>
            </w:r>
            <w:r>
              <w:rPr>
                <w:rFonts w:hint="eastAsia" w:ascii="宋体"/>
                <w:sz w:val="18"/>
              </w:rPr>
              <w:t>”号记</w:t>
            </w:r>
            <w:r>
              <w:rPr>
                <w:rFonts w:ascii="宋体"/>
                <w:sz w:val="18"/>
              </w:rPr>
              <w:t>)</w:t>
            </w:r>
          </w:p>
          <w:p>
            <w:pPr>
              <w:spacing w:line="200" w:lineRule="atLeast"/>
              <w:ind w:firstLine="360" w:firstLineChars="200"/>
              <w:rPr>
                <w:rFonts w:hint="eastAsia" w:ascii="宋体"/>
                <w:sz w:val="18"/>
              </w:rPr>
            </w:pPr>
            <w:r>
              <w:rPr>
                <w:rFonts w:hint="eastAsia" w:ascii="宋体"/>
                <w:sz w:val="18"/>
              </w:rPr>
              <w:t>资产处置收益(损失以‘</w:t>
            </w:r>
            <w:r>
              <w:rPr>
                <w:rFonts w:ascii="宋体" w:hAnsi="宋体"/>
                <w:sz w:val="18"/>
              </w:rPr>
              <w:t>-</w:t>
            </w:r>
            <w:r>
              <w:rPr>
                <w:rFonts w:hint="eastAsia" w:ascii="宋体"/>
                <w:sz w:val="18"/>
              </w:rPr>
              <w:t>’号记)</w:t>
            </w:r>
          </w:p>
          <w:p>
            <w:pPr>
              <w:spacing w:line="200" w:lineRule="atLeast"/>
              <w:ind w:firstLine="360" w:firstLineChars="200"/>
              <w:rPr>
                <w:rFonts w:ascii="宋体"/>
                <w:sz w:val="18"/>
              </w:rPr>
            </w:pPr>
            <w:r>
              <w:rPr>
                <w:rFonts w:hint="eastAsia" w:ascii="宋体"/>
                <w:sz w:val="18"/>
              </w:rPr>
              <w:t>营业利润</w:t>
            </w:r>
          </w:p>
          <w:p>
            <w:pPr>
              <w:spacing w:line="200" w:lineRule="atLeast"/>
              <w:ind w:firstLine="360" w:firstLineChars="200"/>
              <w:rPr>
                <w:rFonts w:ascii="宋体"/>
                <w:sz w:val="18"/>
              </w:rPr>
            </w:pPr>
            <w:r>
              <w:rPr>
                <w:rFonts w:hint="eastAsia" w:ascii="宋体"/>
                <w:sz w:val="18"/>
              </w:rPr>
              <w:t>营业外收入</w:t>
            </w:r>
          </w:p>
          <w:p>
            <w:pPr>
              <w:spacing w:line="200" w:lineRule="atLeast"/>
              <w:ind w:firstLine="360" w:firstLineChars="200"/>
              <w:rPr>
                <w:rFonts w:ascii="宋体"/>
                <w:sz w:val="18"/>
              </w:rPr>
            </w:pPr>
            <w:r>
              <w:rPr>
                <w:rFonts w:hint="eastAsia" w:ascii="宋体"/>
                <w:sz w:val="18"/>
              </w:rPr>
              <w:t>营业外支出</w:t>
            </w:r>
          </w:p>
          <w:p>
            <w:pPr>
              <w:spacing w:line="200" w:lineRule="atLeast"/>
              <w:ind w:firstLine="360" w:firstLineChars="200"/>
              <w:rPr>
                <w:rFonts w:ascii="宋体"/>
                <w:sz w:val="18"/>
              </w:rPr>
            </w:pPr>
            <w:r>
              <w:rPr>
                <w:rFonts w:hint="eastAsia" w:ascii="宋体"/>
                <w:sz w:val="18"/>
              </w:rPr>
              <w:t>利润总额</w:t>
            </w:r>
          </w:p>
          <w:p>
            <w:pPr>
              <w:spacing w:line="200" w:lineRule="atLeast"/>
              <w:rPr>
                <w:rFonts w:hint="eastAsia" w:ascii="宋体"/>
                <w:sz w:val="18"/>
              </w:rPr>
            </w:pPr>
            <w:r>
              <w:rPr>
                <w:rFonts w:hint="eastAsia" w:ascii="宋体"/>
                <w:sz w:val="18"/>
              </w:rPr>
              <w:t>三、应交增值税(本年累计发生额)</w:t>
            </w:r>
          </w:p>
          <w:p>
            <w:pPr>
              <w:spacing w:line="200" w:lineRule="atLeast"/>
              <w:rPr>
                <w:rFonts w:ascii="宋体"/>
                <w:sz w:val="18"/>
              </w:rPr>
            </w:pPr>
            <w:r>
              <w:rPr>
                <w:rFonts w:hint="eastAsia" w:ascii="宋体"/>
                <w:sz w:val="18"/>
              </w:rPr>
              <w:t>四、平均用工人数</w:t>
            </w:r>
          </w:p>
        </w:tc>
        <w:tc>
          <w:tcPr>
            <w:tcW w:w="500" w:type="pct"/>
            <w:tcBorders>
              <w:top w:val="single" w:color="auto" w:sz="2" w:space="0"/>
              <w:left w:val="single" w:color="auto" w:sz="2" w:space="0"/>
              <w:bottom w:val="single" w:color="auto" w:sz="8" w:space="0"/>
              <w:right w:val="single" w:color="auto" w:sz="2" w:space="0"/>
            </w:tcBorders>
            <w:noWrap w:val="0"/>
            <w:vAlign w:val="top"/>
          </w:tcPr>
          <w:p>
            <w:pPr>
              <w:spacing w:line="200" w:lineRule="atLeast"/>
              <w:jc w:val="center"/>
              <w:rPr>
                <w:rFonts w:ascii="宋体"/>
                <w:sz w:val="18"/>
              </w:rPr>
            </w:pPr>
            <w:r>
              <w:rPr>
                <w:rFonts w:ascii="宋体"/>
                <w:sz w:val="18"/>
              </w:rPr>
              <w:t>—</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ascii="宋体"/>
                <w:sz w:val="18"/>
              </w:rPr>
              <w:t>—</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千元</w:t>
            </w:r>
          </w:p>
          <w:p>
            <w:pPr>
              <w:spacing w:line="200" w:lineRule="atLeast"/>
              <w:jc w:val="center"/>
              <w:rPr>
                <w:rFonts w:ascii="宋体"/>
                <w:sz w:val="18"/>
              </w:rPr>
            </w:pPr>
            <w:r>
              <w:rPr>
                <w:rFonts w:hint="eastAsia" w:ascii="宋体"/>
                <w:sz w:val="18"/>
              </w:rPr>
              <w:t>人</w:t>
            </w:r>
          </w:p>
        </w:tc>
        <w:tc>
          <w:tcPr>
            <w:tcW w:w="500" w:type="pct"/>
            <w:tcBorders>
              <w:top w:val="single" w:color="auto" w:sz="2" w:space="0"/>
              <w:left w:val="single" w:color="auto" w:sz="2" w:space="0"/>
              <w:bottom w:val="single" w:color="auto" w:sz="8" w:space="0"/>
              <w:right w:val="single" w:color="auto" w:sz="2" w:space="0"/>
            </w:tcBorders>
            <w:noWrap w:val="0"/>
            <w:vAlign w:val="top"/>
          </w:tcPr>
          <w:p>
            <w:pPr>
              <w:spacing w:line="200" w:lineRule="atLeast"/>
              <w:jc w:val="center"/>
              <w:rPr>
                <w:rFonts w:ascii="宋体"/>
                <w:sz w:val="18"/>
              </w:rPr>
            </w:pPr>
            <w:r>
              <w:rPr>
                <w:rFonts w:ascii="宋体"/>
                <w:sz w:val="18"/>
              </w:rPr>
              <w:t>—</w:t>
            </w:r>
          </w:p>
          <w:p>
            <w:pPr>
              <w:spacing w:line="200" w:lineRule="atLeast"/>
              <w:jc w:val="center"/>
              <w:rPr>
                <w:rFonts w:ascii="宋体"/>
                <w:sz w:val="18"/>
              </w:rPr>
            </w:pPr>
            <w:r>
              <w:rPr>
                <w:rFonts w:ascii="宋体"/>
                <w:sz w:val="18"/>
              </w:rPr>
              <w:t>201</w:t>
            </w:r>
          </w:p>
          <w:p>
            <w:pPr>
              <w:spacing w:line="200" w:lineRule="atLeast"/>
              <w:jc w:val="center"/>
              <w:rPr>
                <w:rFonts w:ascii="宋体"/>
                <w:sz w:val="18"/>
              </w:rPr>
            </w:pPr>
            <w:r>
              <w:rPr>
                <w:rFonts w:ascii="宋体"/>
                <w:sz w:val="18"/>
              </w:rPr>
              <w:t>202</w:t>
            </w:r>
          </w:p>
          <w:p>
            <w:pPr>
              <w:spacing w:line="200" w:lineRule="atLeast"/>
              <w:jc w:val="center"/>
              <w:rPr>
                <w:rFonts w:ascii="宋体"/>
                <w:sz w:val="18"/>
              </w:rPr>
            </w:pPr>
            <w:r>
              <w:rPr>
                <w:rFonts w:ascii="宋体"/>
                <w:sz w:val="18"/>
              </w:rPr>
              <w:t>205</w:t>
            </w:r>
          </w:p>
          <w:p>
            <w:pPr>
              <w:spacing w:line="200" w:lineRule="atLeast"/>
              <w:jc w:val="center"/>
              <w:rPr>
                <w:rFonts w:ascii="宋体"/>
                <w:sz w:val="18"/>
              </w:rPr>
            </w:pPr>
            <w:r>
              <w:rPr>
                <w:rFonts w:ascii="宋体"/>
                <w:sz w:val="18"/>
              </w:rPr>
              <w:t>206</w:t>
            </w:r>
          </w:p>
          <w:p>
            <w:pPr>
              <w:spacing w:line="200" w:lineRule="atLeast"/>
              <w:jc w:val="center"/>
              <w:rPr>
                <w:rFonts w:ascii="宋体"/>
                <w:sz w:val="18"/>
              </w:rPr>
            </w:pPr>
            <w:r>
              <w:rPr>
                <w:rFonts w:ascii="宋体"/>
                <w:sz w:val="18"/>
              </w:rPr>
              <w:t>209</w:t>
            </w:r>
          </w:p>
          <w:p>
            <w:pPr>
              <w:spacing w:line="200" w:lineRule="atLeast"/>
              <w:jc w:val="center"/>
              <w:rPr>
                <w:rFonts w:ascii="宋体"/>
                <w:sz w:val="18"/>
              </w:rPr>
            </w:pPr>
            <w:r>
              <w:rPr>
                <w:rFonts w:ascii="宋体"/>
                <w:sz w:val="18"/>
              </w:rPr>
              <w:t>213</w:t>
            </w:r>
          </w:p>
          <w:p>
            <w:pPr>
              <w:spacing w:line="200" w:lineRule="atLeast"/>
              <w:jc w:val="center"/>
              <w:rPr>
                <w:rFonts w:ascii="宋体"/>
                <w:sz w:val="18"/>
              </w:rPr>
            </w:pPr>
            <w:r>
              <w:rPr>
                <w:rFonts w:ascii="宋体"/>
                <w:sz w:val="18"/>
              </w:rPr>
              <w:t>217</w:t>
            </w:r>
          </w:p>
          <w:p>
            <w:pPr>
              <w:spacing w:line="200" w:lineRule="atLeast"/>
              <w:jc w:val="center"/>
              <w:rPr>
                <w:rFonts w:ascii="宋体"/>
                <w:sz w:val="18"/>
              </w:rPr>
            </w:pPr>
            <w:r>
              <w:rPr>
                <w:rFonts w:ascii="宋体"/>
                <w:sz w:val="18"/>
              </w:rPr>
              <w:t>—</w:t>
            </w:r>
          </w:p>
          <w:p>
            <w:pPr>
              <w:spacing w:line="200" w:lineRule="atLeast"/>
              <w:jc w:val="center"/>
              <w:rPr>
                <w:rFonts w:ascii="宋体"/>
                <w:sz w:val="18"/>
              </w:rPr>
            </w:pPr>
            <w:r>
              <w:rPr>
                <w:rFonts w:ascii="宋体"/>
                <w:sz w:val="18"/>
              </w:rPr>
              <w:t>301</w:t>
            </w:r>
          </w:p>
          <w:p>
            <w:pPr>
              <w:spacing w:line="200" w:lineRule="atLeast"/>
              <w:jc w:val="center"/>
              <w:rPr>
                <w:rFonts w:ascii="宋体"/>
                <w:sz w:val="18"/>
              </w:rPr>
            </w:pPr>
            <w:r>
              <w:rPr>
                <w:rFonts w:ascii="宋体"/>
                <w:sz w:val="18"/>
              </w:rPr>
              <w:t>307</w:t>
            </w:r>
          </w:p>
          <w:p>
            <w:pPr>
              <w:spacing w:line="200" w:lineRule="atLeast"/>
              <w:jc w:val="center"/>
              <w:rPr>
                <w:rFonts w:ascii="宋体"/>
                <w:sz w:val="18"/>
              </w:rPr>
            </w:pPr>
            <w:r>
              <w:rPr>
                <w:rFonts w:ascii="宋体"/>
                <w:sz w:val="18"/>
              </w:rPr>
              <w:t>309</w:t>
            </w:r>
          </w:p>
          <w:p>
            <w:pPr>
              <w:spacing w:line="200" w:lineRule="atLeast"/>
              <w:jc w:val="center"/>
              <w:rPr>
                <w:rFonts w:ascii="宋体"/>
                <w:sz w:val="18"/>
              </w:rPr>
            </w:pPr>
            <w:r>
              <w:rPr>
                <w:rFonts w:ascii="宋体"/>
                <w:sz w:val="18"/>
              </w:rPr>
              <w:t>312</w:t>
            </w:r>
          </w:p>
          <w:p>
            <w:pPr>
              <w:spacing w:line="200" w:lineRule="atLeast"/>
              <w:jc w:val="center"/>
              <w:rPr>
                <w:rFonts w:ascii="宋体"/>
                <w:sz w:val="18"/>
              </w:rPr>
            </w:pPr>
            <w:r>
              <w:rPr>
                <w:rFonts w:ascii="宋体"/>
                <w:sz w:val="18"/>
              </w:rPr>
              <w:t>313</w:t>
            </w:r>
          </w:p>
          <w:p>
            <w:pPr>
              <w:spacing w:line="200" w:lineRule="atLeast"/>
              <w:jc w:val="center"/>
              <w:rPr>
                <w:rFonts w:ascii="宋体"/>
                <w:sz w:val="18"/>
              </w:rPr>
            </w:pPr>
            <w:r>
              <w:rPr>
                <w:rFonts w:ascii="宋体"/>
                <w:sz w:val="18"/>
              </w:rPr>
              <w:t>331</w:t>
            </w:r>
          </w:p>
          <w:p>
            <w:pPr>
              <w:spacing w:line="200" w:lineRule="atLeast"/>
              <w:jc w:val="center"/>
              <w:rPr>
                <w:rFonts w:ascii="宋体"/>
                <w:sz w:val="18"/>
              </w:rPr>
            </w:pPr>
            <w:r>
              <w:rPr>
                <w:rFonts w:ascii="宋体"/>
                <w:sz w:val="18"/>
              </w:rPr>
              <w:t>317</w:t>
            </w:r>
          </w:p>
          <w:p>
            <w:pPr>
              <w:spacing w:line="200" w:lineRule="atLeast"/>
              <w:jc w:val="center"/>
              <w:rPr>
                <w:rFonts w:ascii="宋体"/>
                <w:sz w:val="18"/>
              </w:rPr>
            </w:pPr>
            <w:r>
              <w:rPr>
                <w:rFonts w:ascii="宋体"/>
                <w:sz w:val="18"/>
              </w:rPr>
              <w:t>320</w:t>
            </w:r>
          </w:p>
          <w:p>
            <w:pPr>
              <w:spacing w:line="200" w:lineRule="atLeast"/>
              <w:jc w:val="center"/>
              <w:rPr>
                <w:rFonts w:ascii="宋体"/>
                <w:sz w:val="18"/>
              </w:rPr>
            </w:pPr>
            <w:r>
              <w:rPr>
                <w:rFonts w:ascii="宋体"/>
                <w:sz w:val="18"/>
              </w:rPr>
              <w:t>333</w:t>
            </w:r>
          </w:p>
          <w:p>
            <w:pPr>
              <w:spacing w:line="200" w:lineRule="atLeast"/>
              <w:jc w:val="center"/>
              <w:rPr>
                <w:rFonts w:ascii="宋体"/>
                <w:sz w:val="18"/>
              </w:rPr>
            </w:pPr>
            <w:r>
              <w:rPr>
                <w:rFonts w:ascii="宋体"/>
                <w:sz w:val="18"/>
              </w:rPr>
              <w:t>330</w:t>
            </w:r>
          </w:p>
          <w:p>
            <w:pPr>
              <w:spacing w:line="200" w:lineRule="atLeast"/>
              <w:jc w:val="center"/>
              <w:rPr>
                <w:rFonts w:ascii="宋体"/>
                <w:sz w:val="18"/>
              </w:rPr>
            </w:pPr>
            <w:r>
              <w:rPr>
                <w:rFonts w:ascii="宋体"/>
                <w:sz w:val="18"/>
              </w:rPr>
              <w:t>322</w:t>
            </w:r>
          </w:p>
          <w:p>
            <w:pPr>
              <w:spacing w:line="200" w:lineRule="atLeast"/>
              <w:jc w:val="center"/>
              <w:rPr>
                <w:rFonts w:ascii="宋体"/>
                <w:sz w:val="18"/>
              </w:rPr>
            </w:pPr>
            <w:r>
              <w:rPr>
                <w:rFonts w:ascii="宋体"/>
                <w:sz w:val="18"/>
              </w:rPr>
              <w:t>334</w:t>
            </w:r>
          </w:p>
          <w:p>
            <w:pPr>
              <w:spacing w:line="200" w:lineRule="atLeast"/>
              <w:jc w:val="center"/>
              <w:rPr>
                <w:rFonts w:ascii="宋体"/>
                <w:sz w:val="18"/>
              </w:rPr>
            </w:pPr>
            <w:r>
              <w:rPr>
                <w:rFonts w:ascii="宋体"/>
                <w:sz w:val="18"/>
              </w:rPr>
              <w:t>321</w:t>
            </w:r>
          </w:p>
          <w:p>
            <w:pPr>
              <w:spacing w:line="200" w:lineRule="atLeast"/>
              <w:jc w:val="center"/>
              <w:rPr>
                <w:rFonts w:ascii="宋体"/>
                <w:sz w:val="18"/>
              </w:rPr>
            </w:pPr>
            <w:r>
              <w:rPr>
                <w:rFonts w:ascii="宋体"/>
                <w:sz w:val="18"/>
              </w:rPr>
              <w:t>335</w:t>
            </w:r>
          </w:p>
          <w:p>
            <w:pPr>
              <w:spacing w:line="200" w:lineRule="atLeast"/>
              <w:jc w:val="center"/>
              <w:rPr>
                <w:rFonts w:ascii="宋体"/>
                <w:sz w:val="18"/>
              </w:rPr>
            </w:pPr>
            <w:r>
              <w:rPr>
                <w:rFonts w:ascii="宋体"/>
                <w:sz w:val="18"/>
              </w:rPr>
              <w:t>323</w:t>
            </w:r>
          </w:p>
          <w:p>
            <w:pPr>
              <w:spacing w:line="200" w:lineRule="atLeast"/>
              <w:jc w:val="center"/>
              <w:rPr>
                <w:rFonts w:ascii="宋体"/>
                <w:sz w:val="18"/>
              </w:rPr>
            </w:pPr>
            <w:r>
              <w:rPr>
                <w:rFonts w:ascii="宋体"/>
                <w:sz w:val="18"/>
              </w:rPr>
              <w:t>325</w:t>
            </w:r>
          </w:p>
          <w:p>
            <w:pPr>
              <w:spacing w:line="200" w:lineRule="atLeast"/>
              <w:jc w:val="center"/>
              <w:rPr>
                <w:rFonts w:ascii="宋体"/>
                <w:sz w:val="18"/>
              </w:rPr>
            </w:pPr>
            <w:r>
              <w:rPr>
                <w:rFonts w:ascii="宋体"/>
                <w:sz w:val="18"/>
              </w:rPr>
              <w:t>326</w:t>
            </w:r>
          </w:p>
          <w:p>
            <w:pPr>
              <w:spacing w:line="200" w:lineRule="atLeast"/>
              <w:jc w:val="center"/>
              <w:rPr>
                <w:rFonts w:ascii="宋体"/>
                <w:sz w:val="18"/>
              </w:rPr>
            </w:pPr>
            <w:r>
              <w:rPr>
                <w:rFonts w:ascii="宋体"/>
                <w:sz w:val="18"/>
              </w:rPr>
              <w:t>327</w:t>
            </w:r>
          </w:p>
          <w:p>
            <w:pPr>
              <w:spacing w:line="200" w:lineRule="atLeast"/>
              <w:jc w:val="center"/>
              <w:rPr>
                <w:rFonts w:ascii="宋体"/>
                <w:sz w:val="18"/>
              </w:rPr>
            </w:pPr>
            <w:r>
              <w:rPr>
                <w:rFonts w:ascii="宋体"/>
                <w:sz w:val="18"/>
              </w:rPr>
              <w:t>402</w:t>
            </w:r>
          </w:p>
          <w:p>
            <w:pPr>
              <w:spacing w:line="200" w:lineRule="atLeast"/>
              <w:jc w:val="center"/>
              <w:rPr>
                <w:rFonts w:ascii="宋体"/>
                <w:sz w:val="18"/>
              </w:rPr>
            </w:pPr>
            <w:r>
              <w:rPr>
                <w:rFonts w:ascii="宋体"/>
                <w:sz w:val="18"/>
              </w:rPr>
              <w:t>606</w:t>
            </w:r>
          </w:p>
        </w:tc>
        <w:tc>
          <w:tcPr>
            <w:tcW w:w="1000" w:type="pct"/>
            <w:tcBorders>
              <w:top w:val="single" w:color="auto" w:sz="2" w:space="0"/>
              <w:left w:val="single" w:color="auto" w:sz="2" w:space="0"/>
              <w:bottom w:val="single" w:color="auto" w:sz="8" w:space="0"/>
            </w:tcBorders>
            <w:noWrap w:val="0"/>
            <w:vAlign w:val="top"/>
          </w:tcPr>
          <w:p>
            <w:pPr>
              <w:spacing w:line="200" w:lineRule="atLeast"/>
              <w:rPr>
                <w:rFonts w:ascii="宋体"/>
                <w:sz w:val="18"/>
              </w:rPr>
            </w:pPr>
          </w:p>
        </w:tc>
        <w:tc>
          <w:tcPr>
            <w:tcW w:w="1000" w:type="pct"/>
            <w:tcBorders>
              <w:top w:val="single" w:color="auto" w:sz="2" w:space="0"/>
              <w:bottom w:val="single" w:color="auto" w:sz="8" w:space="0"/>
            </w:tcBorders>
            <w:noWrap w:val="0"/>
            <w:vAlign w:val="top"/>
          </w:tcPr>
          <w:p>
            <w:pPr>
              <w:spacing w:line="200" w:lineRule="atLeast"/>
              <w:rPr>
                <w:rFonts w:ascii="宋体"/>
                <w:sz w:val="18"/>
              </w:rPr>
            </w:pPr>
          </w:p>
        </w:tc>
      </w:tr>
    </w:tbl>
    <w:p>
      <w:pPr>
        <w:adjustRightInd w:val="0"/>
        <w:snapToGrid w:val="0"/>
        <w:spacing w:line="240" w:lineRule="exact"/>
        <w:ind w:left="-2" w:leftChars="-1"/>
        <w:rPr>
          <w:rFonts w:ascii="宋体"/>
          <w:bCs/>
          <w:sz w:val="18"/>
          <w:szCs w:val="18"/>
        </w:rPr>
      </w:pPr>
      <w:r>
        <w:rPr>
          <w:rFonts w:hint="eastAsia" w:ascii="宋体" w:hAnsi="宋体"/>
          <w:bCs/>
          <w:sz w:val="18"/>
          <w:szCs w:val="18"/>
        </w:rPr>
        <w:t>单位负责人：</w:t>
      </w:r>
      <w:r>
        <w:rPr>
          <w:rFonts w:ascii="宋体" w:hAnsi="宋体"/>
          <w:bCs/>
          <w:sz w:val="18"/>
          <w:szCs w:val="18"/>
        </w:rPr>
        <w:t xml:space="preserve">        </w:t>
      </w:r>
      <w:r>
        <w:rPr>
          <w:rFonts w:hint="eastAsia" w:ascii="宋体" w:hAnsi="宋体"/>
          <w:bCs/>
          <w:sz w:val="18"/>
          <w:szCs w:val="18"/>
        </w:rPr>
        <w:t>统计负责人：</w:t>
      </w:r>
      <w:r>
        <w:rPr>
          <w:rFonts w:ascii="宋体" w:hAnsi="宋体"/>
          <w:bCs/>
          <w:sz w:val="18"/>
          <w:szCs w:val="18"/>
        </w:rPr>
        <w:t xml:space="preserve">        </w:t>
      </w:r>
      <w:r>
        <w:rPr>
          <w:rFonts w:hint="eastAsia" w:ascii="宋体" w:hAnsi="宋体"/>
          <w:bCs/>
          <w:sz w:val="18"/>
          <w:szCs w:val="18"/>
        </w:rPr>
        <w:t>填表人：</w:t>
      </w:r>
      <w:r>
        <w:rPr>
          <w:rFonts w:ascii="宋体" w:hAnsi="宋体"/>
          <w:bCs/>
          <w:sz w:val="18"/>
          <w:szCs w:val="18"/>
        </w:rPr>
        <w:t xml:space="preserve">        </w:t>
      </w:r>
      <w:r>
        <w:rPr>
          <w:rFonts w:hint="eastAsia" w:ascii="宋体" w:hAnsi="宋体"/>
          <w:bCs/>
          <w:sz w:val="18"/>
          <w:szCs w:val="18"/>
        </w:rPr>
        <w:t>联系电话：</w:t>
      </w:r>
      <w:r>
        <w:rPr>
          <w:rFonts w:ascii="宋体" w:hAnsi="宋体"/>
          <w:bCs/>
          <w:sz w:val="18"/>
          <w:szCs w:val="18"/>
        </w:rPr>
        <w:t xml:space="preserve">          </w:t>
      </w:r>
      <w:r>
        <w:rPr>
          <w:rFonts w:hint="eastAsia" w:ascii="宋体" w:hAnsi="宋体"/>
          <w:bCs/>
          <w:sz w:val="18"/>
          <w:szCs w:val="18"/>
        </w:rPr>
        <w:t>报出日期：２０</w:t>
      </w:r>
      <w:r>
        <w:rPr>
          <w:rFonts w:ascii="宋体" w:hAnsi="宋体"/>
          <w:bCs/>
          <w:sz w:val="18"/>
          <w:szCs w:val="18"/>
        </w:rPr>
        <w:t xml:space="preserve">   </w:t>
      </w:r>
      <w:r>
        <w:rPr>
          <w:rFonts w:hint="eastAsia" w:ascii="宋体" w:hAnsi="宋体"/>
          <w:bCs/>
          <w:sz w:val="18"/>
          <w:szCs w:val="18"/>
        </w:rPr>
        <w:t>年</w:t>
      </w:r>
      <w:r>
        <w:rPr>
          <w:rFonts w:ascii="宋体" w:hAnsi="宋体"/>
          <w:bCs/>
          <w:sz w:val="18"/>
          <w:szCs w:val="18"/>
        </w:rPr>
        <w:t xml:space="preserve">   </w:t>
      </w:r>
      <w:r>
        <w:rPr>
          <w:rFonts w:hint="eastAsia" w:ascii="宋体" w:hAnsi="宋体"/>
          <w:bCs/>
          <w:sz w:val="18"/>
          <w:szCs w:val="18"/>
        </w:rPr>
        <w:t>月</w:t>
      </w:r>
      <w:r>
        <w:rPr>
          <w:rFonts w:ascii="宋体" w:hAnsi="宋体"/>
          <w:bCs/>
          <w:sz w:val="18"/>
          <w:szCs w:val="18"/>
        </w:rPr>
        <w:t xml:space="preserve">   </w:t>
      </w:r>
      <w:r>
        <w:rPr>
          <w:rFonts w:hint="eastAsia" w:ascii="宋体" w:hAnsi="宋体"/>
          <w:bCs/>
          <w:sz w:val="18"/>
          <w:szCs w:val="18"/>
        </w:rPr>
        <w:t>日</w:t>
      </w:r>
    </w:p>
    <w:p>
      <w:pPr>
        <w:adjustRightInd w:val="0"/>
        <w:snapToGrid w:val="0"/>
        <w:spacing w:line="200" w:lineRule="exact"/>
        <w:ind w:left="-359" w:leftChars="-171" w:firstLine="320" w:firstLineChars="100"/>
        <w:rPr>
          <w:rFonts w:ascii="黑体" w:eastAsia="黑体"/>
          <w:sz w:val="32"/>
        </w:rPr>
      </w:pPr>
    </w:p>
    <w:p>
      <w:pPr>
        <w:ind w:right="-310" w:rightChars="-148"/>
        <w:rPr>
          <w:rFonts w:ascii="宋体"/>
          <w:sz w:val="18"/>
          <w:szCs w:val="18"/>
        </w:rPr>
      </w:pPr>
      <w:r>
        <w:rPr>
          <w:rFonts w:hint="eastAsia" w:ascii="宋体" w:hAnsi="宋体"/>
          <w:sz w:val="18"/>
          <w:szCs w:val="18"/>
        </w:rPr>
        <w:t>说明：</w:t>
      </w:r>
      <w:r>
        <w:rPr>
          <w:rFonts w:ascii="宋体" w:hAnsi="宋体"/>
          <w:sz w:val="18"/>
          <w:szCs w:val="18"/>
        </w:rPr>
        <w:t>1.</w:t>
      </w:r>
      <w:r>
        <w:rPr>
          <w:rFonts w:hint="eastAsia" w:ascii="宋体" w:hAnsi="宋体"/>
          <w:sz w:val="18"/>
          <w:szCs w:val="18"/>
        </w:rPr>
        <w:t>统计范围：辖区内规模以上工业法人单位和规模以上工业个体经营户。</w:t>
      </w:r>
    </w:p>
    <w:p>
      <w:pPr>
        <w:ind w:left="2127" w:leftChars="253" w:right="-6" w:rightChars="-3" w:hanging="1596" w:hangingChars="887"/>
        <w:rPr>
          <w:rFonts w:ascii="宋体"/>
          <w:sz w:val="18"/>
          <w:szCs w:val="18"/>
        </w:rPr>
      </w:pPr>
      <w:r>
        <w:rPr>
          <w:rFonts w:ascii="宋体" w:hAnsi="宋体"/>
          <w:sz w:val="18"/>
          <w:szCs w:val="21"/>
        </w:rPr>
        <w:t>2.</w:t>
      </w:r>
      <w:r>
        <w:rPr>
          <w:rFonts w:hint="eastAsia" w:ascii="宋体" w:hAnsi="宋体"/>
          <w:sz w:val="18"/>
          <w:szCs w:val="21"/>
        </w:rPr>
        <w:t>报送日期及方式</w:t>
      </w:r>
      <w:r>
        <w:rPr>
          <w:rFonts w:hint="eastAsia" w:ascii="宋体" w:hAnsi="宋体"/>
          <w:sz w:val="18"/>
          <w:szCs w:val="18"/>
        </w:rPr>
        <w:t>：</w:t>
      </w:r>
      <w:r>
        <w:rPr>
          <w:rFonts w:hint="eastAsia" w:ascii="宋体"/>
          <w:sz w:val="18"/>
        </w:rPr>
        <w:t>调查单位月后</w:t>
      </w:r>
      <w:r>
        <w:rPr>
          <w:rFonts w:ascii="宋体"/>
          <w:sz w:val="18"/>
        </w:rPr>
        <w:t>18</w:t>
      </w:r>
      <w:r>
        <w:rPr>
          <w:rFonts w:hint="eastAsia" w:ascii="宋体"/>
          <w:sz w:val="18"/>
        </w:rPr>
        <w:t>日</w:t>
      </w:r>
      <w:r>
        <w:rPr>
          <w:rFonts w:ascii="宋体"/>
          <w:sz w:val="18"/>
        </w:rPr>
        <w:t>1</w:t>
      </w:r>
      <w:r>
        <w:rPr>
          <w:rFonts w:hint="default" w:ascii="宋体"/>
          <w:sz w:val="18"/>
          <w:lang w:val="en-US"/>
        </w:rPr>
        <w:t>2</w:t>
      </w:r>
      <w:r>
        <w:rPr>
          <w:rFonts w:hint="eastAsia" w:ascii="宋体"/>
          <w:sz w:val="18"/>
        </w:rPr>
        <w:t>：</w:t>
      </w:r>
      <w:r>
        <w:rPr>
          <w:rFonts w:ascii="宋体"/>
          <w:sz w:val="18"/>
        </w:rPr>
        <w:t>00</w:t>
      </w:r>
      <w:r>
        <w:rPr>
          <w:rFonts w:hint="eastAsia" w:ascii="宋体"/>
          <w:sz w:val="18"/>
        </w:rPr>
        <w:t>前独立自行网上填报，</w:t>
      </w:r>
      <w:r>
        <w:rPr>
          <w:rFonts w:ascii="宋体" w:hAnsi="宋体"/>
          <w:sz w:val="18"/>
          <w:szCs w:val="18"/>
        </w:rPr>
        <w:t>1</w:t>
      </w:r>
      <w:r>
        <w:rPr>
          <w:rFonts w:hint="eastAsia" w:ascii="宋体" w:hAnsi="宋体"/>
          <w:sz w:val="18"/>
          <w:szCs w:val="18"/>
        </w:rPr>
        <w:t>月份免报。</w:t>
      </w:r>
    </w:p>
    <w:p>
      <w:pPr>
        <w:ind w:left="717" w:leftChars="256" w:right="-54" w:rightChars="-26" w:hanging="180" w:hangingChars="100"/>
        <w:rPr>
          <w:rFonts w:ascii="宋体"/>
          <w:sz w:val="18"/>
        </w:rPr>
      </w:pPr>
      <w:r>
        <w:rPr>
          <w:rFonts w:ascii="宋体" w:hAnsi="宋体"/>
          <w:sz w:val="18"/>
          <w:szCs w:val="18"/>
        </w:rPr>
        <w:t>3.</w:t>
      </w:r>
      <w:r>
        <w:rPr>
          <w:rFonts w:hint="eastAsia" w:ascii="宋体"/>
          <w:sz w:val="18"/>
          <w:szCs w:val="18"/>
        </w:rPr>
        <w:t>本表“上年同期”数据统一由国家统计局在数据处理软件中复制，调查单位和各级统计机构原则上不得修改；本年新增的调查单位自行填报“上年同期”数据；涉及拆分、兼并、重组、视同法人、统计执法失实数据改正等情况的企业，经国家统计局批准后，调查单位可调整上年同期数；本年新增指标的上年同期数由调查单位自行填报。</w:t>
      </w:r>
    </w:p>
    <w:p>
      <w:pPr>
        <w:ind w:left="2" w:right="-310" w:rightChars="-148" w:firstLine="540" w:firstLineChars="300"/>
        <w:rPr>
          <w:rFonts w:ascii="宋体"/>
          <w:sz w:val="18"/>
        </w:rPr>
      </w:pPr>
      <w:r>
        <w:rPr>
          <w:rFonts w:ascii="宋体" w:hAnsi="宋体"/>
          <w:sz w:val="18"/>
          <w:szCs w:val="18"/>
        </w:rPr>
        <w:t>4.</w:t>
      </w:r>
      <w:r>
        <w:rPr>
          <w:rFonts w:hint="eastAsia" w:ascii="宋体" w:hAnsi="宋体"/>
          <w:sz w:val="18"/>
        </w:rPr>
        <w:t>审核关系：</w:t>
      </w:r>
    </w:p>
    <w:p>
      <w:pPr>
        <w:ind w:firstLine="720" w:firstLineChars="400"/>
        <w:jc w:val="left"/>
        <w:rPr>
          <w:rFonts w:ascii="宋体" w:hAnsi="宋体"/>
          <w:sz w:val="18"/>
        </w:rPr>
      </w:pPr>
      <w:r>
        <w:rPr>
          <w:rFonts w:ascii="宋体" w:hAnsi="宋体"/>
          <w:sz w:val="18"/>
        </w:rPr>
        <w:t>(1)</w:t>
      </w:r>
      <w:r>
        <w:rPr>
          <w:rFonts w:hint="eastAsia" w:ascii="宋体" w:hAnsi="宋体"/>
          <w:sz w:val="18"/>
        </w:rPr>
        <w:t>流动资产合计</w:t>
      </w:r>
      <w:r>
        <w:rPr>
          <w:rFonts w:ascii="宋体" w:hAnsi="宋体"/>
          <w:sz w:val="18"/>
        </w:rPr>
        <w:t>(201)</w:t>
      </w:r>
      <w:r>
        <w:rPr>
          <w:rFonts w:hint="eastAsia" w:ascii="宋体" w:hAnsi="宋体"/>
          <w:sz w:val="18"/>
        </w:rPr>
        <w:t>≥其中：</w:t>
      </w:r>
      <w:r>
        <w:rPr>
          <w:rFonts w:hint="eastAsia" w:ascii="宋体"/>
          <w:sz w:val="18"/>
        </w:rPr>
        <w:t>应收账款</w:t>
      </w:r>
      <w:r>
        <w:rPr>
          <w:rFonts w:ascii="宋体" w:hAnsi="宋体"/>
          <w:sz w:val="18"/>
        </w:rPr>
        <w:t>(202)+</w:t>
      </w:r>
      <w:r>
        <w:rPr>
          <w:rFonts w:hint="eastAsia" w:ascii="宋体" w:hAnsi="宋体"/>
          <w:sz w:val="18"/>
        </w:rPr>
        <w:t>其中：存货</w:t>
      </w:r>
      <w:r>
        <w:rPr>
          <w:rFonts w:ascii="宋体" w:hAnsi="宋体"/>
          <w:sz w:val="18"/>
        </w:rPr>
        <w:t>(205)</w:t>
      </w:r>
    </w:p>
    <w:p>
      <w:pPr>
        <w:ind w:firstLine="720" w:firstLineChars="400"/>
        <w:jc w:val="left"/>
        <w:rPr>
          <w:rFonts w:ascii="宋体" w:hAnsi="宋体"/>
          <w:sz w:val="18"/>
        </w:rPr>
      </w:pPr>
      <w:r>
        <w:rPr>
          <w:rFonts w:ascii="宋体" w:hAnsi="宋体"/>
          <w:sz w:val="18"/>
        </w:rPr>
        <w:t>(2)</w:t>
      </w:r>
      <w:r>
        <w:rPr>
          <w:rFonts w:hint="eastAsia" w:ascii="宋体" w:hAnsi="宋体"/>
          <w:sz w:val="18"/>
        </w:rPr>
        <w:t>存货</w:t>
      </w:r>
      <w:r>
        <w:rPr>
          <w:rFonts w:ascii="宋体" w:hAnsi="宋体"/>
          <w:sz w:val="18"/>
        </w:rPr>
        <w:t>(205)</w:t>
      </w:r>
      <w:r>
        <w:rPr>
          <w:rFonts w:hint="eastAsia" w:ascii="宋体" w:hAnsi="宋体"/>
          <w:sz w:val="18"/>
        </w:rPr>
        <w:t>≥其中：产成品</w:t>
      </w:r>
      <w:r>
        <w:rPr>
          <w:rFonts w:ascii="宋体" w:hAnsi="宋体"/>
          <w:sz w:val="18"/>
        </w:rPr>
        <w:t>(206)</w:t>
      </w:r>
    </w:p>
    <w:p>
      <w:pPr>
        <w:ind w:firstLine="720" w:firstLineChars="400"/>
        <w:jc w:val="left"/>
        <w:rPr>
          <w:rFonts w:ascii="宋体" w:hAnsi="宋体"/>
          <w:sz w:val="18"/>
        </w:rPr>
      </w:pPr>
      <w:r>
        <w:rPr>
          <w:rFonts w:ascii="宋体" w:hAnsi="宋体"/>
          <w:sz w:val="18"/>
        </w:rPr>
        <w:t>(3)</w:t>
      </w:r>
      <w:r>
        <w:rPr>
          <w:rFonts w:hint="eastAsia" w:ascii="宋体" w:hAnsi="宋体"/>
          <w:sz w:val="18"/>
        </w:rPr>
        <w:t>资产总计</w:t>
      </w:r>
      <w:r>
        <w:rPr>
          <w:rFonts w:ascii="宋体" w:hAnsi="宋体"/>
          <w:sz w:val="18"/>
        </w:rPr>
        <w:t>(213)</w:t>
      </w:r>
      <w:r>
        <w:rPr>
          <w:rFonts w:hint="eastAsia" w:ascii="宋体" w:hAnsi="宋体"/>
          <w:sz w:val="18"/>
        </w:rPr>
        <w:t>＞流动资产合计</w:t>
      </w:r>
      <w:r>
        <w:rPr>
          <w:rFonts w:ascii="宋体" w:hAnsi="宋体"/>
          <w:sz w:val="18"/>
        </w:rPr>
        <w:t>(201)</w:t>
      </w:r>
    </w:p>
    <w:p>
      <w:pPr>
        <w:ind w:left="1081" w:leftChars="343" w:hanging="361" w:hangingChars="201"/>
        <w:rPr>
          <w:rFonts w:ascii="宋体"/>
          <w:sz w:val="18"/>
        </w:rPr>
      </w:pPr>
      <w:r>
        <w:rPr>
          <w:rFonts w:ascii="宋体"/>
          <w:sz w:val="18"/>
        </w:rPr>
        <w:t>(4)</w:t>
      </w:r>
      <w:r>
        <w:rPr>
          <w:rFonts w:hint="eastAsia" w:ascii="宋体"/>
          <w:sz w:val="18"/>
        </w:rPr>
        <w:t>营业利润</w:t>
      </w:r>
      <w:r>
        <w:rPr>
          <w:rFonts w:ascii="宋体"/>
          <w:sz w:val="18"/>
        </w:rPr>
        <w:t>(323)=</w:t>
      </w:r>
      <w:r>
        <w:rPr>
          <w:rFonts w:hint="eastAsia" w:ascii="宋体"/>
          <w:sz w:val="18"/>
        </w:rPr>
        <w:t>营业收入</w:t>
      </w:r>
      <w:r>
        <w:rPr>
          <w:rFonts w:ascii="宋体"/>
          <w:sz w:val="18"/>
        </w:rPr>
        <w:t>(301)-</w:t>
      </w:r>
      <w:r>
        <w:rPr>
          <w:rFonts w:hint="eastAsia" w:ascii="宋体"/>
          <w:sz w:val="18"/>
        </w:rPr>
        <w:t>营业成本</w:t>
      </w:r>
      <w:r>
        <w:rPr>
          <w:rFonts w:ascii="宋体"/>
          <w:sz w:val="18"/>
        </w:rPr>
        <w:t>(307)-</w:t>
      </w:r>
      <w:r>
        <w:rPr>
          <w:rFonts w:hint="eastAsia" w:ascii="宋体"/>
          <w:sz w:val="18"/>
        </w:rPr>
        <w:t>税金及附加</w:t>
      </w:r>
      <w:r>
        <w:rPr>
          <w:rFonts w:ascii="宋体"/>
          <w:sz w:val="18"/>
        </w:rPr>
        <w:t>(309)-</w:t>
      </w:r>
      <w:r>
        <w:rPr>
          <w:rFonts w:hint="eastAsia" w:ascii="宋体"/>
          <w:sz w:val="18"/>
        </w:rPr>
        <w:t>销售费用</w:t>
      </w:r>
      <w:r>
        <w:rPr>
          <w:rFonts w:ascii="宋体"/>
          <w:sz w:val="18"/>
        </w:rPr>
        <w:t>(312)-</w:t>
      </w:r>
      <w:r>
        <w:rPr>
          <w:rFonts w:hint="eastAsia" w:ascii="宋体"/>
          <w:sz w:val="18"/>
        </w:rPr>
        <w:t>管理费用</w:t>
      </w:r>
      <w:r>
        <w:rPr>
          <w:rFonts w:ascii="宋体"/>
          <w:sz w:val="18"/>
        </w:rPr>
        <w:t>(313)-</w:t>
      </w:r>
      <w:r>
        <w:rPr>
          <w:rFonts w:hint="eastAsia" w:ascii="宋体"/>
          <w:sz w:val="18"/>
        </w:rPr>
        <w:t>研发费</w:t>
      </w:r>
    </w:p>
    <w:p>
      <w:pPr>
        <w:ind w:left="0" w:leftChars="0" w:firstLine="2098" w:firstLineChars="1166"/>
        <w:rPr>
          <w:rFonts w:ascii="宋体"/>
          <w:sz w:val="18"/>
        </w:rPr>
      </w:pPr>
      <w:r>
        <w:rPr>
          <w:rFonts w:hint="eastAsia" w:ascii="宋体"/>
          <w:sz w:val="18"/>
        </w:rPr>
        <w:t>用</w:t>
      </w:r>
      <w:r>
        <w:rPr>
          <w:rFonts w:ascii="宋体"/>
          <w:sz w:val="18"/>
        </w:rPr>
        <w:t>(331)-</w:t>
      </w:r>
      <w:r>
        <w:rPr>
          <w:rFonts w:hint="eastAsia" w:ascii="宋体"/>
          <w:sz w:val="18"/>
        </w:rPr>
        <w:t>财务费用</w:t>
      </w:r>
      <w:r>
        <w:rPr>
          <w:rFonts w:ascii="宋体"/>
          <w:sz w:val="18"/>
        </w:rPr>
        <w:t>(317)</w:t>
      </w:r>
      <w:r>
        <w:rPr>
          <w:rFonts w:hint="eastAsia" w:ascii="宋体"/>
          <w:sz w:val="18"/>
        </w:rPr>
        <w:t>+资产减值损失</w:t>
      </w:r>
      <w:r>
        <w:rPr>
          <w:rFonts w:ascii="宋体"/>
          <w:sz w:val="18"/>
        </w:rPr>
        <w:t>(320)</w:t>
      </w:r>
      <w:r>
        <w:rPr>
          <w:rFonts w:hint="eastAsia" w:ascii="宋体"/>
          <w:sz w:val="18"/>
        </w:rPr>
        <w:t>+信用减值损失</w:t>
      </w:r>
      <w:r>
        <w:rPr>
          <w:rFonts w:ascii="宋体"/>
          <w:sz w:val="18"/>
        </w:rPr>
        <w:t>(333)+</w:t>
      </w:r>
      <w:r>
        <w:rPr>
          <w:rFonts w:hint="eastAsia" w:ascii="宋体"/>
          <w:sz w:val="18"/>
        </w:rPr>
        <w:t>其他收益</w:t>
      </w:r>
      <w:r>
        <w:rPr>
          <w:rFonts w:ascii="宋体"/>
          <w:sz w:val="18"/>
        </w:rPr>
        <w:t>(330)+</w:t>
      </w:r>
      <w:r>
        <w:rPr>
          <w:rFonts w:hint="eastAsia" w:ascii="宋体"/>
          <w:sz w:val="18"/>
        </w:rPr>
        <w:t>投资收</w:t>
      </w:r>
    </w:p>
    <w:p>
      <w:pPr>
        <w:ind w:left="2097" w:leftChars="999" w:firstLine="0" w:firstLineChars="0"/>
        <w:rPr>
          <w:rFonts w:ascii="宋体"/>
          <w:sz w:val="18"/>
        </w:rPr>
      </w:pPr>
      <w:r>
        <w:rPr>
          <w:rFonts w:hint="eastAsia" w:ascii="宋体"/>
          <w:sz w:val="18"/>
        </w:rPr>
        <w:t>益</w:t>
      </w:r>
      <w:r>
        <w:rPr>
          <w:rFonts w:ascii="宋体"/>
          <w:sz w:val="18"/>
        </w:rPr>
        <w:t>(322)+</w:t>
      </w:r>
      <w:r>
        <w:rPr>
          <w:rFonts w:hint="eastAsia" w:ascii="宋体"/>
          <w:sz w:val="18"/>
        </w:rPr>
        <w:t>净敞口套期收益</w:t>
      </w:r>
      <w:r>
        <w:rPr>
          <w:rFonts w:ascii="宋体"/>
          <w:sz w:val="18"/>
        </w:rPr>
        <w:t>(334)+</w:t>
      </w:r>
      <w:r>
        <w:rPr>
          <w:rFonts w:hint="eastAsia" w:ascii="宋体"/>
          <w:sz w:val="18"/>
        </w:rPr>
        <w:t>公允价值变动收益</w:t>
      </w:r>
      <w:r>
        <w:rPr>
          <w:rFonts w:ascii="宋体"/>
          <w:sz w:val="18"/>
        </w:rPr>
        <w:t>(321)+</w:t>
      </w:r>
      <w:r>
        <w:rPr>
          <w:rFonts w:hint="eastAsia" w:ascii="宋体"/>
          <w:sz w:val="18"/>
        </w:rPr>
        <w:t>资产处置收益</w:t>
      </w:r>
      <w:r>
        <w:rPr>
          <w:rFonts w:ascii="宋体"/>
          <w:sz w:val="18"/>
        </w:rPr>
        <w:t>(335)</w:t>
      </w:r>
    </w:p>
    <w:p>
      <w:pPr>
        <w:ind w:left="982" w:leftChars="343" w:hanging="262" w:hangingChars="146"/>
        <w:rPr>
          <w:rFonts w:ascii="宋体"/>
          <w:sz w:val="18"/>
        </w:rPr>
      </w:pPr>
      <w:r>
        <w:rPr>
          <w:rFonts w:ascii="宋体"/>
          <w:sz w:val="18"/>
        </w:rPr>
        <w:t>(5)</w:t>
      </w:r>
      <w:r>
        <w:rPr>
          <w:rFonts w:hint="eastAsia" w:ascii="宋体"/>
          <w:sz w:val="18"/>
        </w:rPr>
        <w:t>利润总额</w:t>
      </w:r>
      <w:r>
        <w:rPr>
          <w:rFonts w:ascii="宋体"/>
          <w:sz w:val="18"/>
        </w:rPr>
        <w:t>(327)=</w:t>
      </w:r>
      <w:r>
        <w:rPr>
          <w:rFonts w:hint="eastAsia" w:ascii="宋体"/>
          <w:sz w:val="18"/>
        </w:rPr>
        <w:t>营业利润</w:t>
      </w:r>
      <w:r>
        <w:rPr>
          <w:rFonts w:ascii="宋体"/>
          <w:sz w:val="18"/>
        </w:rPr>
        <w:t>(323)+</w:t>
      </w:r>
      <w:r>
        <w:rPr>
          <w:rFonts w:hint="eastAsia" w:ascii="宋体"/>
          <w:sz w:val="18"/>
        </w:rPr>
        <w:t>营业外收入</w:t>
      </w:r>
      <w:r>
        <w:rPr>
          <w:rFonts w:ascii="宋体"/>
          <w:sz w:val="18"/>
        </w:rPr>
        <w:t>(325)-</w:t>
      </w:r>
      <w:r>
        <w:rPr>
          <w:rFonts w:hint="eastAsia" w:ascii="宋体"/>
          <w:sz w:val="18"/>
        </w:rPr>
        <w:t>营业外支出</w:t>
      </w:r>
      <w:r>
        <w:rPr>
          <w:rFonts w:ascii="宋体"/>
          <w:sz w:val="18"/>
        </w:rPr>
        <w:t>(326)</w:t>
      </w: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jc w:val="center"/>
        <w:rPr>
          <w:rFonts w:eastAsia="方正小标宋简体"/>
          <w:bCs/>
          <w:sz w:val="32"/>
          <w:szCs w:val="32"/>
        </w:rPr>
      </w:pPr>
    </w:p>
    <w:p>
      <w:pPr>
        <w:pStyle w:val="2"/>
      </w:pPr>
    </w:p>
    <w:p>
      <w:pPr>
        <w:jc w:val="center"/>
        <w:rPr>
          <w:rFonts w:eastAsia="方正小标宋简体"/>
          <w:bCs/>
          <w:sz w:val="32"/>
          <w:szCs w:val="32"/>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72" w:name="_Toc1652019431"/>
      <w:bookmarkStart w:id="73" w:name="_Toc1552840638"/>
      <w:bookmarkStart w:id="74" w:name="_Toc49191196"/>
      <w:r>
        <w:rPr>
          <w:rFonts w:hint="eastAsia" w:ascii="宋体" w:hAnsi="宋体" w:eastAsia="宋体" w:cs="宋体"/>
          <w:b/>
          <w:bCs/>
          <w:sz w:val="32"/>
          <w:szCs w:val="32"/>
        </w:rPr>
        <w:t>工业产销总值及主要产品产量</w:t>
      </w:r>
      <w:bookmarkEnd w:id="72"/>
      <w:bookmarkEnd w:id="73"/>
      <w:bookmarkEnd w:id="74"/>
    </w:p>
    <w:tbl>
      <w:tblPr>
        <w:tblStyle w:val="17"/>
        <w:tblW w:w="9403" w:type="dxa"/>
        <w:tblInd w:w="0" w:type="dxa"/>
        <w:tblLayout w:type="autofit"/>
        <w:tblCellMar>
          <w:top w:w="0" w:type="dxa"/>
          <w:left w:w="108" w:type="dxa"/>
          <w:bottom w:w="0" w:type="dxa"/>
          <w:right w:w="108" w:type="dxa"/>
        </w:tblCellMar>
      </w:tblPr>
      <w:tblGrid>
        <w:gridCol w:w="2876"/>
        <w:gridCol w:w="1067"/>
        <w:gridCol w:w="2716"/>
        <w:gridCol w:w="992"/>
        <w:gridCol w:w="1752"/>
      </w:tblGrid>
      <w:tr>
        <w:tblPrEx>
          <w:tblCellMar>
            <w:top w:w="0" w:type="dxa"/>
            <w:left w:w="108" w:type="dxa"/>
            <w:bottom w:w="0" w:type="dxa"/>
            <w:right w:w="108" w:type="dxa"/>
          </w:tblCellMar>
        </w:tblPrEx>
        <w:tc>
          <w:tcPr>
            <w:tcW w:w="2876" w:type="dxa"/>
            <w:noWrap w:val="0"/>
            <w:tcMar>
              <w:left w:w="0" w:type="dxa"/>
              <w:right w:w="0" w:type="dxa"/>
            </w:tcMar>
            <w:vAlign w:val="top"/>
          </w:tcPr>
          <w:p>
            <w:pPr>
              <w:spacing w:line="240" w:lineRule="exact"/>
              <w:jc w:val="center"/>
              <w:rPr>
                <w:rFonts w:ascii="宋体"/>
                <w:sz w:val="32"/>
                <w:szCs w:val="32"/>
              </w:rPr>
            </w:pPr>
          </w:p>
        </w:tc>
        <w:tc>
          <w:tcPr>
            <w:tcW w:w="1067" w:type="dxa"/>
            <w:noWrap w:val="0"/>
            <w:tcMar>
              <w:left w:w="0" w:type="dxa"/>
              <w:right w:w="0" w:type="dxa"/>
            </w:tcMar>
            <w:vAlign w:val="top"/>
          </w:tcPr>
          <w:p>
            <w:pPr>
              <w:spacing w:line="240" w:lineRule="exact"/>
              <w:jc w:val="center"/>
              <w:rPr>
                <w:rFonts w:ascii="宋体"/>
                <w:sz w:val="32"/>
                <w:szCs w:val="32"/>
              </w:rPr>
            </w:pPr>
          </w:p>
        </w:tc>
        <w:tc>
          <w:tcPr>
            <w:tcW w:w="2716" w:type="dxa"/>
            <w:noWrap w:val="0"/>
            <w:tcMar>
              <w:left w:w="0" w:type="dxa"/>
              <w:right w:w="0" w:type="dxa"/>
            </w:tcMar>
            <w:vAlign w:val="top"/>
          </w:tcPr>
          <w:p>
            <w:pPr>
              <w:spacing w:line="240" w:lineRule="exact"/>
              <w:jc w:val="center"/>
              <w:rPr>
                <w:rFonts w:ascii="宋体"/>
                <w:sz w:val="32"/>
                <w:szCs w:val="32"/>
              </w:rPr>
            </w:pPr>
          </w:p>
        </w:tc>
        <w:tc>
          <w:tcPr>
            <w:tcW w:w="992" w:type="dxa"/>
            <w:noWrap w:val="0"/>
            <w:tcMar>
              <w:left w:w="0" w:type="dxa"/>
              <w:right w:w="0" w:type="dxa"/>
            </w:tcMar>
            <w:vAlign w:val="top"/>
          </w:tcPr>
          <w:p>
            <w:pPr>
              <w:spacing w:line="240" w:lineRule="exact"/>
              <w:jc w:val="center"/>
              <w:rPr>
                <w:rFonts w:ascii="宋体"/>
                <w:sz w:val="32"/>
                <w:szCs w:val="32"/>
              </w:rPr>
            </w:pPr>
            <w:r>
              <w:rPr>
                <w:rFonts w:hint="eastAsia" w:ascii="宋体" w:hAnsi="宋体"/>
                <w:sz w:val="18"/>
                <w:szCs w:val="18"/>
              </w:rPr>
              <w:t>表</w:t>
            </w:r>
            <w:r>
              <w:rPr>
                <w:rFonts w:ascii="宋体" w:hAnsi="宋体"/>
                <w:sz w:val="18"/>
                <w:szCs w:val="18"/>
              </w:rPr>
              <w:t xml:space="preserve">    </w:t>
            </w:r>
            <w:r>
              <w:rPr>
                <w:rFonts w:hint="eastAsia" w:ascii="宋体" w:hAnsi="宋体"/>
                <w:sz w:val="18"/>
                <w:szCs w:val="18"/>
              </w:rPr>
              <w:t>号：</w:t>
            </w:r>
          </w:p>
        </w:tc>
        <w:tc>
          <w:tcPr>
            <w:tcW w:w="1752"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Ｂ２０４－１表</w:t>
            </w:r>
          </w:p>
        </w:tc>
      </w:tr>
      <w:tr>
        <w:tblPrEx>
          <w:tblCellMar>
            <w:top w:w="0" w:type="dxa"/>
            <w:left w:w="108" w:type="dxa"/>
            <w:bottom w:w="0" w:type="dxa"/>
            <w:right w:w="108" w:type="dxa"/>
          </w:tblCellMar>
        </w:tblPrEx>
        <w:tc>
          <w:tcPr>
            <w:tcW w:w="6659" w:type="dxa"/>
            <w:gridSpan w:val="3"/>
            <w:noWrap w:val="0"/>
            <w:tcMar>
              <w:left w:w="0" w:type="dxa"/>
              <w:right w:w="0" w:type="dxa"/>
            </w:tcMar>
            <w:vAlign w:val="top"/>
          </w:tcPr>
          <w:p>
            <w:pPr>
              <w:spacing w:line="240" w:lineRule="exact"/>
              <w:rPr>
                <w:rFonts w:ascii="宋体"/>
                <w:sz w:val="32"/>
                <w:szCs w:val="32"/>
              </w:rPr>
            </w:pPr>
          </w:p>
        </w:tc>
        <w:tc>
          <w:tcPr>
            <w:tcW w:w="992" w:type="dxa"/>
            <w:noWrap w:val="0"/>
            <w:tcMar>
              <w:left w:w="0" w:type="dxa"/>
              <w:right w:w="0" w:type="dxa"/>
            </w:tcMar>
            <w:vAlign w:val="center"/>
          </w:tcPr>
          <w:p>
            <w:pPr>
              <w:spacing w:line="240" w:lineRule="exact"/>
              <w:jc w:val="center"/>
              <w:rPr>
                <w:rFonts w:ascii="宋体"/>
                <w:sz w:val="32"/>
                <w:szCs w:val="32"/>
              </w:rPr>
            </w:pPr>
            <w:r>
              <w:rPr>
                <w:rFonts w:hint="eastAsia" w:ascii="宋体" w:hAnsi="宋体"/>
                <w:sz w:val="18"/>
                <w:szCs w:val="18"/>
              </w:rPr>
              <w:t>制定机关：</w:t>
            </w:r>
          </w:p>
        </w:tc>
        <w:tc>
          <w:tcPr>
            <w:tcW w:w="1752"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w:t>
            </w:r>
            <w:r>
              <w:rPr>
                <w:rFonts w:ascii="宋体" w:hAnsi="宋体"/>
                <w:sz w:val="18"/>
                <w:szCs w:val="18"/>
              </w:rPr>
              <w:t xml:space="preserve"> </w:t>
            </w:r>
            <w:r>
              <w:rPr>
                <w:rFonts w:hint="eastAsia" w:ascii="宋体" w:hAnsi="宋体"/>
                <w:sz w:val="18"/>
                <w:szCs w:val="18"/>
              </w:rPr>
              <w:t>家</w:t>
            </w:r>
            <w:r>
              <w:rPr>
                <w:rFonts w:ascii="宋体" w:hAnsi="宋体"/>
                <w:sz w:val="18"/>
                <w:szCs w:val="18"/>
              </w:rPr>
              <w:t xml:space="preserve"> </w:t>
            </w:r>
            <w:r>
              <w:rPr>
                <w:rFonts w:hint="eastAsia" w:ascii="宋体" w:hAnsi="宋体"/>
                <w:sz w:val="18"/>
                <w:szCs w:val="18"/>
              </w:rPr>
              <w:t>统</w:t>
            </w:r>
            <w:r>
              <w:rPr>
                <w:rFonts w:ascii="宋体" w:hAnsi="宋体"/>
                <w:sz w:val="18"/>
                <w:szCs w:val="18"/>
              </w:rPr>
              <w:t xml:space="preserve"> </w:t>
            </w:r>
            <w:r>
              <w:rPr>
                <w:rFonts w:hint="eastAsia" w:ascii="宋体" w:hAnsi="宋体"/>
                <w:sz w:val="18"/>
                <w:szCs w:val="18"/>
              </w:rPr>
              <w:t>计</w:t>
            </w:r>
            <w:r>
              <w:rPr>
                <w:rFonts w:ascii="宋体" w:hAnsi="宋体"/>
                <w:sz w:val="18"/>
                <w:szCs w:val="18"/>
              </w:rPr>
              <w:t xml:space="preserve"> </w:t>
            </w:r>
            <w:r>
              <w:rPr>
                <w:rFonts w:hint="eastAsia" w:ascii="宋体" w:hAnsi="宋体"/>
                <w:sz w:val="18"/>
                <w:szCs w:val="18"/>
              </w:rPr>
              <w:t>局</w:t>
            </w:r>
          </w:p>
        </w:tc>
      </w:tr>
      <w:tr>
        <w:tc>
          <w:tcPr>
            <w:tcW w:w="6659" w:type="dxa"/>
            <w:gridSpan w:val="3"/>
            <w:noWrap w:val="0"/>
            <w:tcMar>
              <w:left w:w="0" w:type="dxa"/>
              <w:right w:w="0" w:type="dxa"/>
            </w:tcMar>
            <w:vAlign w:val="top"/>
          </w:tcPr>
          <w:p>
            <w:pPr>
              <w:spacing w:line="240" w:lineRule="exact"/>
              <w:rPr>
                <w:rFonts w:ascii="宋体"/>
                <w:sz w:val="32"/>
                <w:szCs w:val="32"/>
              </w:rPr>
            </w:pPr>
            <w:r>
              <w:rPr>
                <w:rFonts w:hint="eastAsia" w:ascii="宋体" w:hAnsi="宋体"/>
                <w:sz w:val="18"/>
                <w:szCs w:val="18"/>
              </w:rPr>
              <w:t>统一社会信用代码□□□□□□□□□□□□□□□□□□</w:t>
            </w:r>
          </w:p>
        </w:tc>
        <w:tc>
          <w:tcPr>
            <w:tcW w:w="992" w:type="dxa"/>
            <w:noWrap w:val="0"/>
            <w:tcMar>
              <w:left w:w="0" w:type="dxa"/>
              <w:right w:w="0" w:type="dxa"/>
            </w:tcMar>
            <w:vAlign w:val="center"/>
          </w:tcPr>
          <w:p>
            <w:pPr>
              <w:spacing w:line="240" w:lineRule="exact"/>
              <w:jc w:val="center"/>
              <w:rPr>
                <w:rFonts w:ascii="宋体"/>
                <w:sz w:val="32"/>
                <w:szCs w:val="32"/>
              </w:rPr>
            </w:pPr>
            <w:r>
              <w:rPr>
                <w:rFonts w:hint="eastAsia" w:ascii="宋体" w:hAnsi="宋体"/>
                <w:sz w:val="18"/>
                <w:szCs w:val="18"/>
              </w:rPr>
              <w:t>文</w:t>
            </w:r>
            <w:r>
              <w:rPr>
                <w:rFonts w:ascii="宋体" w:hAnsi="宋体"/>
                <w:sz w:val="18"/>
                <w:szCs w:val="18"/>
              </w:rPr>
              <w:t xml:space="preserve">    </w:t>
            </w:r>
            <w:r>
              <w:rPr>
                <w:rFonts w:hint="eastAsia" w:ascii="宋体" w:hAnsi="宋体"/>
                <w:sz w:val="18"/>
                <w:szCs w:val="18"/>
              </w:rPr>
              <w:t>号：</w:t>
            </w:r>
          </w:p>
        </w:tc>
        <w:tc>
          <w:tcPr>
            <w:tcW w:w="1752"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国统字〔202</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hint="eastAsia" w:ascii="宋体" w:hAnsi="宋体"/>
                <w:sz w:val="18"/>
                <w:szCs w:val="18"/>
              </w:rPr>
              <w:t>号</w:t>
            </w:r>
          </w:p>
        </w:tc>
      </w:tr>
      <w:tr>
        <w:tblPrEx>
          <w:tblCellMar>
            <w:top w:w="0" w:type="dxa"/>
            <w:left w:w="108" w:type="dxa"/>
            <w:bottom w:w="0" w:type="dxa"/>
            <w:right w:w="108" w:type="dxa"/>
          </w:tblCellMar>
        </w:tblPrEx>
        <w:tc>
          <w:tcPr>
            <w:tcW w:w="2876" w:type="dxa"/>
            <w:noWrap w:val="0"/>
            <w:tcMar>
              <w:left w:w="0" w:type="dxa"/>
              <w:right w:w="0" w:type="dxa"/>
            </w:tcMar>
            <w:vAlign w:val="top"/>
          </w:tcPr>
          <w:p>
            <w:pPr>
              <w:spacing w:line="240" w:lineRule="exact"/>
              <w:rPr>
                <w:rFonts w:ascii="宋体"/>
                <w:sz w:val="32"/>
                <w:szCs w:val="32"/>
              </w:rPr>
            </w:pPr>
            <w:r>
              <w:rPr>
                <w:rFonts w:hint="eastAsia" w:ascii="宋体" w:hAnsi="宋体"/>
                <w:sz w:val="18"/>
                <w:szCs w:val="18"/>
              </w:rPr>
              <w:t>单位详细名称：</w:t>
            </w:r>
            <w:r>
              <w:rPr>
                <w:rFonts w:ascii="宋体" w:hAnsi="宋体"/>
                <w:sz w:val="18"/>
                <w:szCs w:val="18"/>
              </w:rPr>
              <w:t xml:space="preserve">  </w:t>
            </w:r>
          </w:p>
        </w:tc>
        <w:tc>
          <w:tcPr>
            <w:tcW w:w="1067" w:type="dxa"/>
            <w:noWrap w:val="0"/>
            <w:tcMar>
              <w:left w:w="0" w:type="dxa"/>
              <w:right w:w="0" w:type="dxa"/>
            </w:tcMar>
            <w:vAlign w:val="top"/>
          </w:tcPr>
          <w:p>
            <w:pPr>
              <w:spacing w:line="240" w:lineRule="exact"/>
              <w:jc w:val="center"/>
              <w:rPr>
                <w:rFonts w:ascii="宋体"/>
                <w:sz w:val="32"/>
                <w:szCs w:val="32"/>
              </w:rPr>
            </w:pPr>
          </w:p>
        </w:tc>
        <w:tc>
          <w:tcPr>
            <w:tcW w:w="2716" w:type="dxa"/>
            <w:noWrap w:val="0"/>
            <w:tcMar>
              <w:left w:w="0" w:type="dxa"/>
              <w:right w:w="0" w:type="dxa"/>
            </w:tcMar>
            <w:vAlign w:val="top"/>
          </w:tcPr>
          <w:p>
            <w:pPr>
              <w:spacing w:line="240" w:lineRule="exact"/>
              <w:ind w:firstLine="90" w:firstLineChars="50"/>
              <w:rPr>
                <w:rFonts w:ascii="宋体"/>
                <w:sz w:val="32"/>
                <w:szCs w:val="32"/>
              </w:rPr>
            </w:pPr>
            <w:r>
              <w:rPr>
                <w:rFonts w:hint="eastAsia" w:ascii="宋体" w:hAnsi="宋体"/>
                <w:sz w:val="18"/>
                <w:szCs w:val="18"/>
              </w:rPr>
              <w:t>202</w:t>
            </w:r>
            <w:r>
              <w:rPr>
                <w:rFonts w:hint="eastAsia" w:ascii="宋体" w:hAnsi="宋体"/>
                <w:sz w:val="18"/>
                <w:szCs w:val="18"/>
                <w:lang w:val="en-US" w:eastAsia="zh-CN"/>
              </w:rPr>
              <w:t>6</w:t>
            </w:r>
            <w:r>
              <w:rPr>
                <w:rFonts w:hint="eastAsia" w:ascii="宋体" w:hAnsi="宋体"/>
                <w:sz w:val="18"/>
                <w:szCs w:val="18"/>
              </w:rPr>
              <w:t>年</w:t>
            </w:r>
            <w:r>
              <w:rPr>
                <w:rFonts w:ascii="宋体" w:hAnsi="宋体"/>
                <w:sz w:val="18"/>
                <w:szCs w:val="18"/>
              </w:rPr>
              <w:t xml:space="preserve">    </w:t>
            </w:r>
            <w:r>
              <w:rPr>
                <w:rFonts w:hint="eastAsia" w:ascii="宋体" w:hAnsi="宋体"/>
                <w:sz w:val="18"/>
                <w:szCs w:val="18"/>
              </w:rPr>
              <w:t>月</w:t>
            </w:r>
          </w:p>
        </w:tc>
        <w:tc>
          <w:tcPr>
            <w:tcW w:w="992" w:type="dxa"/>
            <w:noWrap w:val="0"/>
            <w:tcMar>
              <w:left w:w="0" w:type="dxa"/>
              <w:right w:w="0" w:type="dxa"/>
            </w:tcMar>
            <w:vAlign w:val="center"/>
          </w:tcPr>
          <w:p>
            <w:pPr>
              <w:spacing w:line="240" w:lineRule="exact"/>
              <w:jc w:val="center"/>
              <w:rPr>
                <w:rFonts w:ascii="宋体"/>
                <w:sz w:val="32"/>
                <w:szCs w:val="32"/>
              </w:rPr>
            </w:pPr>
            <w:r>
              <w:rPr>
                <w:rFonts w:hint="eastAsia" w:ascii="宋体" w:hAnsi="宋体"/>
                <w:sz w:val="18"/>
                <w:szCs w:val="18"/>
              </w:rPr>
              <w:t>有效期至：</w:t>
            </w:r>
          </w:p>
        </w:tc>
        <w:tc>
          <w:tcPr>
            <w:tcW w:w="1752" w:type="dxa"/>
            <w:noWrap w:val="0"/>
            <w:tcMar>
              <w:left w:w="0" w:type="dxa"/>
              <w:right w:w="0" w:type="dxa"/>
            </w:tcMar>
            <w:vAlign w:val="center"/>
          </w:tcPr>
          <w:p>
            <w:pPr>
              <w:spacing w:line="240" w:lineRule="exact"/>
              <w:jc w:val="distribute"/>
              <w:rPr>
                <w:rFonts w:ascii="宋体"/>
                <w:sz w:val="32"/>
                <w:szCs w:val="32"/>
              </w:rPr>
            </w:pPr>
            <w:r>
              <w:rPr>
                <w:rFonts w:hint="eastAsia" w:ascii="宋体" w:hAnsi="宋体"/>
                <w:sz w:val="18"/>
                <w:szCs w:val="18"/>
              </w:rPr>
              <w:t>202</w:t>
            </w:r>
            <w:r>
              <w:rPr>
                <w:rFonts w:hint="eastAsia" w:ascii="宋体" w:hAnsi="宋体"/>
                <w:sz w:val="18"/>
                <w:szCs w:val="18"/>
                <w:lang w:val="en-US" w:eastAsia="zh-CN"/>
              </w:rPr>
              <w:t>7</w:t>
            </w:r>
            <w:r>
              <w:rPr>
                <w:rFonts w:hint="eastAsia" w:ascii="宋体" w:hAnsi="宋体"/>
                <w:sz w:val="18"/>
                <w:szCs w:val="18"/>
              </w:rPr>
              <w:t>年１月</w:t>
            </w:r>
          </w:p>
        </w:tc>
      </w:tr>
    </w:tbl>
    <w:p>
      <w:pPr>
        <w:spacing w:line="20" w:lineRule="exact"/>
        <w:rPr>
          <w:rFonts w:ascii="宋体"/>
          <w:sz w:val="18"/>
          <w:szCs w:val="18"/>
        </w:rPr>
      </w:pPr>
    </w:p>
    <w:tbl>
      <w:tblPr>
        <w:tblStyle w:val="17"/>
        <w:tblW w:w="4911" w:type="pct"/>
        <w:jc w:val="center"/>
        <w:tblLayout w:type="autofit"/>
        <w:tblCellMar>
          <w:top w:w="0" w:type="dxa"/>
          <w:left w:w="108" w:type="dxa"/>
          <w:bottom w:w="0" w:type="dxa"/>
          <w:right w:w="108" w:type="dxa"/>
        </w:tblCellMar>
      </w:tblPr>
      <w:tblGrid>
        <w:gridCol w:w="3992"/>
        <w:gridCol w:w="1050"/>
        <w:gridCol w:w="753"/>
        <w:gridCol w:w="929"/>
        <w:gridCol w:w="929"/>
        <w:gridCol w:w="929"/>
        <w:gridCol w:w="875"/>
      </w:tblGrid>
      <w:tr>
        <w:tblPrEx>
          <w:tblCellMar>
            <w:top w:w="0" w:type="dxa"/>
            <w:left w:w="108" w:type="dxa"/>
            <w:bottom w:w="0" w:type="dxa"/>
            <w:right w:w="108" w:type="dxa"/>
          </w:tblCellMar>
        </w:tblPrEx>
        <w:trPr>
          <w:cantSplit/>
          <w:trHeight w:val="454" w:hRule="exact"/>
          <w:jc w:val="center"/>
        </w:trPr>
        <w:tc>
          <w:tcPr>
            <w:tcW w:w="3992" w:type="dxa"/>
            <w:vMerge w:val="restart"/>
            <w:tcBorders>
              <w:top w:val="single" w:color="auto" w:sz="8"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指标名称</w:t>
            </w:r>
          </w:p>
        </w:tc>
        <w:tc>
          <w:tcPr>
            <w:tcW w:w="1050" w:type="dxa"/>
            <w:vMerge w:val="restart"/>
            <w:tcBorders>
              <w:top w:val="single" w:color="auto" w:sz="8" w:space="0"/>
              <w:left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计量单位</w:t>
            </w:r>
          </w:p>
        </w:tc>
        <w:tc>
          <w:tcPr>
            <w:tcW w:w="753" w:type="dxa"/>
            <w:vMerge w:val="restart"/>
            <w:tcBorders>
              <w:top w:val="single" w:color="auto" w:sz="8" w:space="0"/>
              <w:left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代码</w:t>
            </w:r>
          </w:p>
        </w:tc>
        <w:tc>
          <w:tcPr>
            <w:tcW w:w="1858" w:type="dxa"/>
            <w:gridSpan w:val="2"/>
            <w:tcBorders>
              <w:top w:val="single" w:color="auto" w:sz="8"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本年</w:t>
            </w:r>
          </w:p>
        </w:tc>
        <w:tc>
          <w:tcPr>
            <w:tcW w:w="1804" w:type="dxa"/>
            <w:gridSpan w:val="2"/>
            <w:tcBorders>
              <w:top w:val="single" w:color="auto" w:sz="8" w:space="0"/>
              <w:left w:val="single" w:color="auto" w:sz="2" w:space="0"/>
              <w:bottom w:val="single" w:color="auto" w:sz="2" w:space="0"/>
            </w:tcBorders>
            <w:shd w:val="clear" w:color="auto" w:fill="D9D9D9"/>
            <w:noWrap w:val="0"/>
            <w:vAlign w:val="center"/>
          </w:tcPr>
          <w:p>
            <w:pPr>
              <w:spacing w:line="240" w:lineRule="exact"/>
              <w:jc w:val="center"/>
              <w:rPr>
                <w:rFonts w:ascii="宋体"/>
                <w:sz w:val="18"/>
              </w:rPr>
            </w:pPr>
            <w:r>
              <w:rPr>
                <w:rFonts w:hint="eastAsia" w:ascii="宋体" w:hAnsi="宋体"/>
                <w:sz w:val="18"/>
              </w:rPr>
              <w:t>上年同期</w:t>
            </w:r>
          </w:p>
        </w:tc>
      </w:tr>
      <w:tr>
        <w:tblPrEx>
          <w:tblCellMar>
            <w:top w:w="0" w:type="dxa"/>
            <w:left w:w="108" w:type="dxa"/>
            <w:bottom w:w="0" w:type="dxa"/>
            <w:right w:w="108" w:type="dxa"/>
          </w:tblCellMar>
        </w:tblPrEx>
        <w:trPr>
          <w:cantSplit/>
          <w:trHeight w:val="567" w:hRule="exact"/>
          <w:jc w:val="center"/>
        </w:trPr>
        <w:tc>
          <w:tcPr>
            <w:tcW w:w="3992" w:type="dxa"/>
            <w:vMerge w:val="continue"/>
            <w:tcBorders>
              <w:top w:val="nil"/>
              <w:bottom w:val="single" w:color="auto" w:sz="2" w:space="0"/>
              <w:right w:val="single" w:color="auto" w:sz="2" w:space="0"/>
            </w:tcBorders>
            <w:shd w:val="clear" w:color="auto" w:fill="auto"/>
            <w:noWrap w:val="0"/>
            <w:vAlign w:val="center"/>
          </w:tcPr>
          <w:p>
            <w:pPr>
              <w:spacing w:line="240" w:lineRule="exact"/>
              <w:jc w:val="center"/>
              <w:rPr>
                <w:rFonts w:ascii="宋体"/>
                <w:sz w:val="18"/>
              </w:rPr>
            </w:pPr>
          </w:p>
        </w:tc>
        <w:tc>
          <w:tcPr>
            <w:tcW w:w="1050" w:type="dxa"/>
            <w:vMerge w:val="continue"/>
            <w:tcBorders>
              <w:top w:val="nil"/>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p>
        </w:tc>
        <w:tc>
          <w:tcPr>
            <w:tcW w:w="753" w:type="dxa"/>
            <w:vMerge w:val="continue"/>
            <w:tcBorders>
              <w:top w:val="nil"/>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p>
        </w:tc>
        <w:tc>
          <w:tcPr>
            <w:tcW w:w="929"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本月</w:t>
            </w:r>
          </w:p>
        </w:tc>
        <w:tc>
          <w:tcPr>
            <w:tcW w:w="929"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ascii="宋体" w:hAnsi="宋体"/>
                <w:sz w:val="18"/>
              </w:rPr>
              <w:t>1—</w:t>
            </w:r>
            <w:r>
              <w:rPr>
                <w:rFonts w:hint="eastAsia" w:ascii="宋体" w:hAnsi="宋体"/>
                <w:sz w:val="18"/>
              </w:rPr>
              <w:t>本月</w:t>
            </w:r>
          </w:p>
        </w:tc>
        <w:tc>
          <w:tcPr>
            <w:tcW w:w="929" w:type="dxa"/>
            <w:tcBorders>
              <w:top w:val="single" w:color="auto" w:sz="2" w:space="0"/>
              <w:left w:val="single" w:color="auto" w:sz="2" w:space="0"/>
              <w:bottom w:val="single" w:color="auto" w:sz="2" w:space="0"/>
              <w:right w:val="single" w:color="auto" w:sz="2" w:space="0"/>
            </w:tcBorders>
            <w:shd w:val="clear" w:color="auto" w:fill="D9D9D9"/>
            <w:noWrap w:val="0"/>
            <w:vAlign w:val="center"/>
          </w:tcPr>
          <w:p>
            <w:pPr>
              <w:spacing w:line="240" w:lineRule="exact"/>
              <w:jc w:val="center"/>
              <w:rPr>
                <w:rFonts w:ascii="宋体"/>
                <w:sz w:val="18"/>
              </w:rPr>
            </w:pPr>
            <w:r>
              <w:rPr>
                <w:rFonts w:hint="eastAsia" w:ascii="宋体" w:hAnsi="宋体"/>
                <w:sz w:val="18"/>
              </w:rPr>
              <w:t>本月</w:t>
            </w:r>
          </w:p>
        </w:tc>
        <w:tc>
          <w:tcPr>
            <w:tcW w:w="875" w:type="dxa"/>
            <w:tcBorders>
              <w:top w:val="single" w:color="auto" w:sz="2" w:space="0"/>
              <w:left w:val="single" w:color="auto" w:sz="2" w:space="0"/>
              <w:bottom w:val="single" w:color="auto" w:sz="2" w:space="0"/>
            </w:tcBorders>
            <w:shd w:val="clear" w:color="auto" w:fill="D9D9D9"/>
            <w:noWrap w:val="0"/>
            <w:vAlign w:val="center"/>
          </w:tcPr>
          <w:p>
            <w:pPr>
              <w:spacing w:line="240" w:lineRule="exact"/>
              <w:jc w:val="center"/>
              <w:rPr>
                <w:rFonts w:ascii="宋体"/>
                <w:sz w:val="18"/>
              </w:rPr>
            </w:pPr>
            <w:r>
              <w:rPr>
                <w:rFonts w:ascii="宋体" w:hAnsi="宋体"/>
                <w:sz w:val="18"/>
              </w:rPr>
              <w:t>1—</w:t>
            </w:r>
            <w:r>
              <w:rPr>
                <w:rFonts w:hint="eastAsia" w:ascii="宋体" w:hAnsi="宋体"/>
                <w:sz w:val="18"/>
              </w:rPr>
              <w:t>本月</w:t>
            </w:r>
          </w:p>
        </w:tc>
      </w:tr>
      <w:tr>
        <w:tblPrEx>
          <w:tblCellMar>
            <w:top w:w="0" w:type="dxa"/>
            <w:left w:w="108" w:type="dxa"/>
            <w:bottom w:w="0" w:type="dxa"/>
            <w:right w:w="108" w:type="dxa"/>
          </w:tblCellMar>
        </w:tblPrEx>
        <w:trPr>
          <w:cantSplit/>
          <w:trHeight w:val="283" w:hRule="exact"/>
          <w:jc w:val="center"/>
        </w:trPr>
        <w:tc>
          <w:tcPr>
            <w:tcW w:w="3992" w:type="dxa"/>
            <w:tcBorders>
              <w:top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甲</w:t>
            </w:r>
          </w:p>
        </w:tc>
        <w:tc>
          <w:tcPr>
            <w:tcW w:w="1050"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乙</w:t>
            </w:r>
          </w:p>
        </w:tc>
        <w:tc>
          <w:tcPr>
            <w:tcW w:w="753"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sz w:val="18"/>
              </w:rPr>
            </w:pPr>
            <w:r>
              <w:rPr>
                <w:rFonts w:hint="eastAsia" w:ascii="宋体" w:hAnsi="宋体"/>
                <w:sz w:val="18"/>
              </w:rPr>
              <w:t>丙</w:t>
            </w:r>
          </w:p>
        </w:tc>
        <w:tc>
          <w:tcPr>
            <w:tcW w:w="929"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hAnsi="宋体"/>
                <w:sz w:val="18"/>
              </w:rPr>
            </w:pPr>
            <w:r>
              <w:rPr>
                <w:rFonts w:ascii="宋体" w:hAnsi="宋体"/>
                <w:sz w:val="18"/>
              </w:rPr>
              <w:t>1</w:t>
            </w:r>
          </w:p>
        </w:tc>
        <w:tc>
          <w:tcPr>
            <w:tcW w:w="929" w:type="dxa"/>
            <w:tcBorders>
              <w:top w:val="single" w:color="auto" w:sz="2" w:space="0"/>
              <w:left w:val="single" w:color="auto" w:sz="2" w:space="0"/>
              <w:bottom w:val="single" w:color="auto" w:sz="2" w:space="0"/>
              <w:right w:val="single" w:color="auto" w:sz="2" w:space="0"/>
            </w:tcBorders>
            <w:shd w:val="clear" w:color="auto" w:fill="auto"/>
            <w:noWrap w:val="0"/>
            <w:vAlign w:val="center"/>
          </w:tcPr>
          <w:p>
            <w:pPr>
              <w:spacing w:line="240" w:lineRule="exact"/>
              <w:jc w:val="center"/>
              <w:rPr>
                <w:rFonts w:ascii="宋体" w:hAnsi="宋体"/>
                <w:sz w:val="18"/>
              </w:rPr>
            </w:pPr>
            <w:r>
              <w:rPr>
                <w:rFonts w:ascii="宋体" w:hAnsi="宋体"/>
                <w:sz w:val="18"/>
              </w:rPr>
              <w:t>2</w:t>
            </w:r>
          </w:p>
        </w:tc>
        <w:tc>
          <w:tcPr>
            <w:tcW w:w="929" w:type="dxa"/>
            <w:tcBorders>
              <w:top w:val="single" w:color="auto" w:sz="2" w:space="0"/>
              <w:left w:val="single" w:color="auto" w:sz="2" w:space="0"/>
              <w:bottom w:val="single" w:color="auto" w:sz="2" w:space="0"/>
              <w:right w:val="single" w:color="auto" w:sz="2" w:space="0"/>
            </w:tcBorders>
            <w:shd w:val="clear" w:color="auto" w:fill="D9D9D9"/>
            <w:noWrap w:val="0"/>
            <w:vAlign w:val="center"/>
          </w:tcPr>
          <w:p>
            <w:pPr>
              <w:spacing w:line="240" w:lineRule="exact"/>
              <w:jc w:val="center"/>
              <w:rPr>
                <w:rFonts w:ascii="宋体" w:hAnsi="宋体"/>
                <w:sz w:val="18"/>
              </w:rPr>
            </w:pPr>
            <w:r>
              <w:rPr>
                <w:rFonts w:ascii="宋体" w:hAnsi="宋体"/>
                <w:sz w:val="18"/>
              </w:rPr>
              <w:t>3</w:t>
            </w:r>
          </w:p>
        </w:tc>
        <w:tc>
          <w:tcPr>
            <w:tcW w:w="875" w:type="dxa"/>
            <w:tcBorders>
              <w:top w:val="single" w:color="auto" w:sz="2" w:space="0"/>
              <w:left w:val="single" w:color="auto" w:sz="2" w:space="0"/>
              <w:bottom w:val="single" w:color="auto" w:sz="2" w:space="0"/>
            </w:tcBorders>
            <w:shd w:val="clear" w:color="auto" w:fill="D9D9D9"/>
            <w:noWrap w:val="0"/>
            <w:vAlign w:val="center"/>
          </w:tcPr>
          <w:p>
            <w:pPr>
              <w:spacing w:line="240" w:lineRule="exact"/>
              <w:jc w:val="center"/>
              <w:rPr>
                <w:rFonts w:ascii="宋体" w:hAnsi="宋体"/>
                <w:sz w:val="18"/>
              </w:rPr>
            </w:pPr>
            <w:r>
              <w:rPr>
                <w:rFonts w:ascii="宋体" w:hAnsi="宋体"/>
                <w:sz w:val="18"/>
              </w:rPr>
              <w:t>4</w:t>
            </w:r>
          </w:p>
        </w:tc>
      </w:tr>
      <w:tr>
        <w:tblPrEx>
          <w:tblCellMar>
            <w:top w:w="0" w:type="dxa"/>
            <w:left w:w="108" w:type="dxa"/>
            <w:bottom w:w="0" w:type="dxa"/>
            <w:right w:w="108" w:type="dxa"/>
          </w:tblCellMar>
        </w:tblPrEx>
        <w:trPr>
          <w:cantSplit/>
          <w:jc w:val="center"/>
        </w:trPr>
        <w:tc>
          <w:tcPr>
            <w:tcW w:w="3992" w:type="dxa"/>
            <w:tcBorders>
              <w:top w:val="single" w:color="auto" w:sz="2" w:space="0"/>
              <w:bottom w:val="single" w:color="auto" w:sz="8" w:space="0"/>
              <w:right w:val="single" w:color="auto" w:sz="2" w:space="0"/>
            </w:tcBorders>
            <w:noWrap w:val="0"/>
            <w:vAlign w:val="top"/>
          </w:tcPr>
          <w:p>
            <w:pPr>
              <w:spacing w:line="280" w:lineRule="exact"/>
              <w:rPr>
                <w:rFonts w:ascii="宋体" w:hAnsi="宋体"/>
                <w:sz w:val="18"/>
              </w:rPr>
            </w:pPr>
            <w:r>
              <w:rPr>
                <w:rFonts w:hint="eastAsia" w:ascii="宋体" w:hAnsi="宋体"/>
                <w:sz w:val="18"/>
              </w:rPr>
              <w:t>一、工业总产值</w:t>
            </w:r>
            <w:r>
              <w:rPr>
                <w:rFonts w:ascii="宋体" w:hAnsi="宋体"/>
                <w:sz w:val="18"/>
              </w:rPr>
              <w:t>(</w:t>
            </w:r>
            <w:r>
              <w:rPr>
                <w:rFonts w:hint="eastAsia" w:ascii="宋体" w:hAnsi="宋体"/>
                <w:sz w:val="18"/>
              </w:rPr>
              <w:t>当年价格</w:t>
            </w:r>
            <w:r>
              <w:rPr>
                <w:rFonts w:ascii="宋体" w:hAnsi="宋体"/>
                <w:sz w:val="18"/>
              </w:rPr>
              <w:t>)</w:t>
            </w:r>
          </w:p>
          <w:p>
            <w:pPr>
              <w:spacing w:line="280" w:lineRule="exact"/>
              <w:rPr>
                <w:rFonts w:ascii="宋体" w:hAnsi="宋体"/>
                <w:sz w:val="18"/>
              </w:rPr>
            </w:pPr>
            <w:r>
              <w:rPr>
                <w:rFonts w:ascii="宋体" w:hAnsi="宋体"/>
                <w:sz w:val="18"/>
              </w:rPr>
              <w:t xml:space="preserve">    </w:t>
            </w:r>
            <w:r>
              <w:rPr>
                <w:rFonts w:hint="eastAsia" w:ascii="宋体" w:hAnsi="宋体"/>
                <w:sz w:val="18"/>
              </w:rPr>
              <w:t>工业销售产值</w:t>
            </w:r>
            <w:r>
              <w:rPr>
                <w:rFonts w:ascii="宋体" w:hAnsi="宋体"/>
                <w:sz w:val="18"/>
              </w:rPr>
              <w:t>(</w:t>
            </w:r>
            <w:r>
              <w:rPr>
                <w:rFonts w:hint="eastAsia" w:ascii="宋体" w:hAnsi="宋体"/>
                <w:sz w:val="18"/>
              </w:rPr>
              <w:t>当年价格</w:t>
            </w:r>
            <w:r>
              <w:rPr>
                <w:rFonts w:ascii="宋体" w:hAnsi="宋体"/>
                <w:sz w:val="18"/>
              </w:rPr>
              <w:t>)</w:t>
            </w:r>
          </w:p>
          <w:p>
            <w:pPr>
              <w:spacing w:line="280" w:lineRule="exact"/>
              <w:ind w:firstLine="540"/>
              <w:rPr>
                <w:rFonts w:ascii="宋体"/>
                <w:sz w:val="18"/>
              </w:rPr>
            </w:pPr>
            <w:r>
              <w:rPr>
                <w:rFonts w:hint="eastAsia" w:ascii="宋体" w:hAnsi="宋体"/>
                <w:sz w:val="18"/>
              </w:rPr>
              <w:t>其中：出口交货值</w:t>
            </w:r>
          </w:p>
          <w:p>
            <w:pPr>
              <w:spacing w:line="280" w:lineRule="exact"/>
              <w:rPr>
                <w:rFonts w:ascii="宋体"/>
                <w:sz w:val="18"/>
              </w:rPr>
            </w:pPr>
            <w:r>
              <w:rPr>
                <w:rFonts w:hint="eastAsia" w:ascii="宋体" w:hAnsi="宋体"/>
                <w:sz w:val="18"/>
              </w:rPr>
              <w:t>二、工业总产值</w:t>
            </w:r>
            <w:r>
              <w:rPr>
                <w:rFonts w:ascii="宋体" w:hAnsi="宋体"/>
                <w:sz w:val="18"/>
              </w:rPr>
              <w:t>(</w:t>
            </w:r>
            <w:r>
              <w:rPr>
                <w:rFonts w:hint="eastAsia" w:ascii="宋体" w:hAnsi="宋体"/>
                <w:sz w:val="18"/>
              </w:rPr>
              <w:t>当年价格</w:t>
            </w:r>
            <w:r>
              <w:rPr>
                <w:rFonts w:ascii="宋体" w:hAnsi="宋体"/>
                <w:sz w:val="18"/>
              </w:rPr>
              <w:t>)</w:t>
            </w:r>
            <w:r>
              <w:rPr>
                <w:rFonts w:hint="eastAsia" w:ascii="宋体" w:hAnsi="宋体"/>
                <w:sz w:val="18"/>
              </w:rPr>
              <w:t>按工业行业小类分</w:t>
            </w:r>
          </w:p>
          <w:p>
            <w:pPr>
              <w:spacing w:line="280" w:lineRule="exact"/>
              <w:ind w:firstLine="360"/>
              <w:rPr>
                <w:rFonts w:ascii="宋体"/>
                <w:sz w:val="18"/>
              </w:rPr>
            </w:pPr>
            <w:r>
              <w:rPr>
                <w:rFonts w:hint="eastAsia" w:ascii="宋体" w:hAnsi="宋体"/>
                <w:sz w:val="18"/>
              </w:rPr>
              <w:t>烟煤和无烟煤开采洗选</w:t>
            </w:r>
          </w:p>
          <w:p>
            <w:pPr>
              <w:spacing w:line="280" w:lineRule="exact"/>
              <w:ind w:firstLine="810"/>
              <w:rPr>
                <w:rFonts w:ascii="宋体"/>
                <w:sz w:val="18"/>
              </w:rPr>
            </w:pPr>
            <w:r>
              <w:rPr>
                <w:rFonts w:hint="eastAsia" w:ascii="宋体" w:hAnsi="宋体"/>
                <w:sz w:val="18"/>
              </w:rPr>
              <w:t>┆</w:t>
            </w:r>
          </w:p>
          <w:p>
            <w:pPr>
              <w:spacing w:line="280" w:lineRule="exact"/>
              <w:ind w:firstLine="360"/>
              <w:rPr>
                <w:rFonts w:ascii="宋体"/>
                <w:sz w:val="18"/>
              </w:rPr>
            </w:pPr>
            <w:r>
              <w:rPr>
                <w:rFonts w:hint="eastAsia" w:ascii="宋体" w:hAnsi="宋体"/>
                <w:sz w:val="18"/>
              </w:rPr>
              <w:t>其他水处理、利用与分配</w:t>
            </w:r>
          </w:p>
          <w:p>
            <w:pPr>
              <w:spacing w:line="280" w:lineRule="exact"/>
              <w:rPr>
                <w:rFonts w:ascii="宋体"/>
                <w:sz w:val="18"/>
              </w:rPr>
            </w:pPr>
            <w:r>
              <w:rPr>
                <w:rFonts w:hint="eastAsia" w:ascii="宋体" w:hAnsi="宋体"/>
                <w:sz w:val="18"/>
              </w:rPr>
              <w:t>三、主要工业产品产量</w:t>
            </w:r>
          </w:p>
        </w:tc>
        <w:tc>
          <w:tcPr>
            <w:tcW w:w="1050" w:type="dxa"/>
            <w:tcBorders>
              <w:top w:val="single" w:color="auto" w:sz="2" w:space="0"/>
              <w:left w:val="single" w:color="auto" w:sz="2" w:space="0"/>
              <w:bottom w:val="single" w:color="auto" w:sz="8" w:space="0"/>
              <w:right w:val="single" w:color="auto" w:sz="2" w:space="0"/>
            </w:tcBorders>
            <w:noWrap w:val="0"/>
            <w:vAlign w:val="top"/>
          </w:tcPr>
          <w:p>
            <w:pPr>
              <w:spacing w:line="280" w:lineRule="exact"/>
              <w:jc w:val="center"/>
              <w:rPr>
                <w:rFonts w:ascii="宋体"/>
                <w:sz w:val="18"/>
              </w:rPr>
            </w:pPr>
            <w:r>
              <w:rPr>
                <w:rFonts w:hint="eastAsia" w:ascii="宋体" w:hAnsi="宋体"/>
                <w:sz w:val="18"/>
              </w:rPr>
              <w:t>千元</w:t>
            </w:r>
          </w:p>
          <w:p>
            <w:pPr>
              <w:spacing w:line="280" w:lineRule="exact"/>
              <w:jc w:val="center"/>
              <w:rPr>
                <w:rFonts w:ascii="宋体"/>
                <w:sz w:val="18"/>
              </w:rPr>
            </w:pPr>
            <w:r>
              <w:rPr>
                <w:rFonts w:hint="eastAsia" w:ascii="宋体" w:hAnsi="宋体"/>
                <w:sz w:val="18"/>
              </w:rPr>
              <w:t>千元</w:t>
            </w:r>
          </w:p>
          <w:p>
            <w:pPr>
              <w:spacing w:line="280" w:lineRule="exact"/>
              <w:jc w:val="center"/>
              <w:rPr>
                <w:rFonts w:ascii="宋体"/>
                <w:sz w:val="18"/>
              </w:rPr>
            </w:pPr>
            <w:r>
              <w:rPr>
                <w:rFonts w:hint="eastAsia" w:ascii="宋体" w:hAnsi="宋体"/>
                <w:sz w:val="18"/>
              </w:rPr>
              <w:t>千元</w:t>
            </w:r>
          </w:p>
          <w:p>
            <w:pPr>
              <w:pStyle w:val="13"/>
              <w:pBdr>
                <w:bottom w:val="none" w:color="auto" w:sz="0" w:space="0"/>
              </w:pBdr>
              <w:tabs>
                <w:tab w:val="clear" w:pos="4153"/>
                <w:tab w:val="clear" w:pos="8306"/>
              </w:tabs>
              <w:snapToGrid/>
              <w:spacing w:line="280" w:lineRule="exact"/>
            </w:pPr>
            <w:r>
              <w:t>—</w:t>
            </w:r>
          </w:p>
          <w:p>
            <w:pPr>
              <w:spacing w:line="280" w:lineRule="exact"/>
              <w:jc w:val="center"/>
              <w:rPr>
                <w:rFonts w:ascii="宋体"/>
                <w:sz w:val="18"/>
              </w:rPr>
            </w:pPr>
            <w:r>
              <w:rPr>
                <w:rFonts w:hint="eastAsia" w:ascii="宋体" w:hAnsi="宋体"/>
                <w:sz w:val="18"/>
              </w:rPr>
              <w:t>千元</w:t>
            </w:r>
          </w:p>
          <w:p>
            <w:pPr>
              <w:spacing w:line="280" w:lineRule="exact"/>
              <w:jc w:val="center"/>
              <w:rPr>
                <w:rFonts w:ascii="宋体"/>
                <w:sz w:val="18"/>
              </w:rPr>
            </w:pPr>
            <w:r>
              <w:rPr>
                <w:rFonts w:hint="eastAsia" w:ascii="宋体" w:hAnsi="宋体"/>
                <w:sz w:val="18"/>
              </w:rPr>
              <w:t>┆</w:t>
            </w:r>
          </w:p>
          <w:p>
            <w:pPr>
              <w:spacing w:line="280" w:lineRule="exact"/>
              <w:jc w:val="center"/>
              <w:rPr>
                <w:rFonts w:ascii="宋体"/>
                <w:sz w:val="18"/>
              </w:rPr>
            </w:pPr>
            <w:r>
              <w:rPr>
                <w:rFonts w:hint="eastAsia" w:ascii="宋体" w:hAnsi="宋体"/>
                <w:sz w:val="18"/>
              </w:rPr>
              <w:t>千元</w:t>
            </w:r>
          </w:p>
          <w:p>
            <w:pPr>
              <w:spacing w:line="280" w:lineRule="exact"/>
              <w:jc w:val="center"/>
              <w:rPr>
                <w:rFonts w:ascii="宋体"/>
                <w:sz w:val="18"/>
              </w:rPr>
            </w:pPr>
            <w:r>
              <w:rPr>
                <w:rFonts w:ascii="宋体" w:hAnsi="宋体"/>
                <w:sz w:val="18"/>
              </w:rPr>
              <w:t>—</w:t>
            </w:r>
          </w:p>
        </w:tc>
        <w:tc>
          <w:tcPr>
            <w:tcW w:w="753" w:type="dxa"/>
            <w:tcBorders>
              <w:top w:val="single" w:color="auto" w:sz="2" w:space="0"/>
              <w:left w:val="single" w:color="auto" w:sz="2" w:space="0"/>
              <w:bottom w:val="single" w:color="auto" w:sz="8" w:space="0"/>
              <w:right w:val="single" w:color="auto" w:sz="2" w:space="0"/>
            </w:tcBorders>
            <w:noWrap w:val="0"/>
            <w:vAlign w:val="top"/>
          </w:tcPr>
          <w:p>
            <w:pPr>
              <w:spacing w:line="280" w:lineRule="exact"/>
              <w:jc w:val="center"/>
              <w:rPr>
                <w:rFonts w:ascii="宋体" w:hAnsi="宋体"/>
                <w:sz w:val="18"/>
              </w:rPr>
            </w:pPr>
            <w:r>
              <w:rPr>
                <w:rFonts w:ascii="宋体" w:hAnsi="宋体"/>
                <w:sz w:val="18"/>
              </w:rPr>
              <w:t>01</w:t>
            </w:r>
          </w:p>
          <w:p>
            <w:pPr>
              <w:spacing w:line="280" w:lineRule="exact"/>
              <w:jc w:val="center"/>
              <w:rPr>
                <w:rFonts w:ascii="宋体" w:hAnsi="宋体"/>
                <w:sz w:val="18"/>
              </w:rPr>
            </w:pPr>
            <w:r>
              <w:rPr>
                <w:rFonts w:ascii="宋体" w:hAnsi="宋体"/>
                <w:sz w:val="18"/>
              </w:rPr>
              <w:t>03</w:t>
            </w:r>
          </w:p>
          <w:p>
            <w:pPr>
              <w:spacing w:line="280" w:lineRule="exact"/>
              <w:jc w:val="center"/>
              <w:rPr>
                <w:rFonts w:ascii="宋体" w:hAnsi="宋体"/>
                <w:sz w:val="18"/>
              </w:rPr>
            </w:pPr>
            <w:r>
              <w:rPr>
                <w:rFonts w:ascii="宋体" w:hAnsi="宋体"/>
                <w:sz w:val="18"/>
              </w:rPr>
              <w:t>04</w:t>
            </w:r>
          </w:p>
          <w:p>
            <w:pPr>
              <w:spacing w:line="280" w:lineRule="exact"/>
              <w:jc w:val="center"/>
              <w:rPr>
                <w:rFonts w:ascii="宋体"/>
                <w:sz w:val="18"/>
              </w:rPr>
            </w:pPr>
            <w:r>
              <w:rPr>
                <w:rFonts w:ascii="宋体" w:hAnsi="宋体"/>
                <w:sz w:val="18"/>
              </w:rPr>
              <w:t>—</w:t>
            </w:r>
          </w:p>
          <w:p>
            <w:pPr>
              <w:spacing w:line="280" w:lineRule="exact"/>
              <w:jc w:val="center"/>
              <w:rPr>
                <w:rFonts w:ascii="宋体" w:hAnsi="宋体"/>
                <w:sz w:val="18"/>
              </w:rPr>
            </w:pPr>
            <w:r>
              <w:rPr>
                <w:rFonts w:ascii="宋体" w:hAnsi="宋体"/>
                <w:sz w:val="18"/>
              </w:rPr>
              <w:t>0610</w:t>
            </w:r>
          </w:p>
          <w:p>
            <w:pPr>
              <w:spacing w:line="280" w:lineRule="exact"/>
              <w:jc w:val="center"/>
              <w:rPr>
                <w:rFonts w:ascii="宋体"/>
                <w:sz w:val="18"/>
              </w:rPr>
            </w:pPr>
            <w:r>
              <w:rPr>
                <w:rFonts w:hint="eastAsia" w:ascii="宋体" w:hAnsi="宋体"/>
                <w:sz w:val="18"/>
              </w:rPr>
              <w:t>┆</w:t>
            </w:r>
          </w:p>
          <w:p>
            <w:pPr>
              <w:pStyle w:val="13"/>
              <w:pBdr>
                <w:bottom w:val="none" w:color="auto" w:sz="0" w:space="0"/>
              </w:pBdr>
              <w:tabs>
                <w:tab w:val="clear" w:pos="4153"/>
                <w:tab w:val="clear" w:pos="8306"/>
              </w:tabs>
              <w:snapToGrid/>
              <w:spacing w:line="280" w:lineRule="exact"/>
              <w:jc w:val="center"/>
              <w:rPr>
                <w:rFonts w:ascii="宋体" w:hAnsi="宋体"/>
              </w:rPr>
            </w:pPr>
            <w:r>
              <w:rPr>
                <w:rFonts w:ascii="宋体" w:hAnsi="宋体"/>
              </w:rPr>
              <w:t>4690</w:t>
            </w:r>
          </w:p>
          <w:p>
            <w:pPr>
              <w:pStyle w:val="13"/>
              <w:pBdr>
                <w:bottom w:val="none" w:color="auto" w:sz="0" w:space="0"/>
              </w:pBdr>
              <w:tabs>
                <w:tab w:val="clear" w:pos="4153"/>
                <w:tab w:val="clear" w:pos="8306"/>
              </w:tabs>
              <w:snapToGrid/>
              <w:spacing w:line="280" w:lineRule="exact"/>
              <w:jc w:val="center"/>
            </w:pPr>
            <w:r>
              <w:rPr>
                <w:rFonts w:ascii="宋体" w:hAnsi="宋体"/>
              </w:rPr>
              <w:t>—</w:t>
            </w:r>
          </w:p>
        </w:tc>
        <w:tc>
          <w:tcPr>
            <w:tcW w:w="3662" w:type="dxa"/>
            <w:gridSpan w:val="4"/>
            <w:tcBorders>
              <w:top w:val="single" w:color="auto" w:sz="2" w:space="0"/>
              <w:left w:val="single" w:color="auto" w:sz="2" w:space="0"/>
              <w:bottom w:val="single" w:color="auto" w:sz="8" w:space="0"/>
            </w:tcBorders>
            <w:noWrap w:val="0"/>
            <w:vAlign w:val="top"/>
          </w:tcPr>
          <w:p>
            <w:pPr>
              <w:spacing w:line="280" w:lineRule="exact"/>
              <w:rPr>
                <w:rFonts w:ascii="宋体"/>
                <w:sz w:val="18"/>
              </w:rPr>
            </w:pPr>
          </w:p>
        </w:tc>
      </w:tr>
    </w:tbl>
    <w:p>
      <w:pPr>
        <w:spacing w:line="320" w:lineRule="exact"/>
        <w:rPr>
          <w:rFonts w:ascii="宋体"/>
          <w:bCs/>
          <w:sz w:val="18"/>
          <w:szCs w:val="18"/>
        </w:rPr>
      </w:pPr>
      <w:r>
        <w:rPr>
          <w:rFonts w:hint="eastAsia" w:ascii="宋体" w:hAnsi="宋体"/>
          <w:bCs/>
          <w:sz w:val="18"/>
          <w:szCs w:val="18"/>
        </w:rPr>
        <w:t>单位负责人：</w:t>
      </w:r>
      <w:r>
        <w:rPr>
          <w:rFonts w:ascii="宋体" w:hAnsi="宋体"/>
          <w:bCs/>
          <w:sz w:val="18"/>
          <w:szCs w:val="18"/>
        </w:rPr>
        <w:t xml:space="preserve">      </w:t>
      </w:r>
      <w:r>
        <w:rPr>
          <w:rFonts w:hint="eastAsia" w:ascii="宋体" w:hAnsi="宋体"/>
          <w:bCs/>
          <w:sz w:val="18"/>
          <w:szCs w:val="18"/>
        </w:rPr>
        <w:t>统计负责人：</w:t>
      </w:r>
      <w:r>
        <w:rPr>
          <w:rFonts w:ascii="宋体" w:hAnsi="宋体"/>
          <w:bCs/>
          <w:sz w:val="18"/>
          <w:szCs w:val="18"/>
        </w:rPr>
        <w:t xml:space="preserve">       </w:t>
      </w:r>
      <w:r>
        <w:rPr>
          <w:rFonts w:hint="eastAsia" w:ascii="宋体" w:hAnsi="宋体"/>
          <w:bCs/>
          <w:sz w:val="18"/>
          <w:szCs w:val="18"/>
        </w:rPr>
        <w:t>填表人：</w:t>
      </w:r>
      <w:r>
        <w:rPr>
          <w:rFonts w:ascii="宋体" w:hAnsi="宋体"/>
          <w:bCs/>
          <w:sz w:val="18"/>
          <w:szCs w:val="18"/>
        </w:rPr>
        <w:t xml:space="preserve">       </w:t>
      </w:r>
      <w:r>
        <w:rPr>
          <w:rFonts w:ascii="宋体"/>
          <w:bCs/>
          <w:sz w:val="18"/>
        </w:rPr>
        <w:t xml:space="preserve"> </w:t>
      </w:r>
      <w:r>
        <w:rPr>
          <w:rFonts w:hint="eastAsia" w:ascii="宋体"/>
          <w:bCs/>
          <w:sz w:val="18"/>
        </w:rPr>
        <w:t>联系电话：</w:t>
      </w:r>
      <w:r>
        <w:rPr>
          <w:rFonts w:ascii="宋体"/>
          <w:bCs/>
          <w:sz w:val="18"/>
        </w:rPr>
        <w:t xml:space="preserve">             </w:t>
      </w:r>
      <w:r>
        <w:rPr>
          <w:rFonts w:hint="eastAsia" w:ascii="宋体" w:hAnsi="宋体"/>
          <w:bCs/>
          <w:sz w:val="18"/>
          <w:szCs w:val="18"/>
        </w:rPr>
        <w:t>报出日期：２０</w:t>
      </w:r>
      <w:r>
        <w:rPr>
          <w:rFonts w:ascii="宋体" w:hAnsi="宋体"/>
          <w:bCs/>
          <w:sz w:val="18"/>
          <w:szCs w:val="18"/>
        </w:rPr>
        <w:t xml:space="preserve">   </w:t>
      </w:r>
      <w:r>
        <w:rPr>
          <w:rFonts w:hint="eastAsia" w:ascii="宋体" w:hAnsi="宋体"/>
          <w:bCs/>
          <w:sz w:val="18"/>
          <w:szCs w:val="18"/>
        </w:rPr>
        <w:t>年</w:t>
      </w:r>
      <w:r>
        <w:rPr>
          <w:rFonts w:ascii="宋体" w:hAnsi="宋体"/>
          <w:bCs/>
          <w:sz w:val="18"/>
          <w:szCs w:val="18"/>
        </w:rPr>
        <w:t xml:space="preserve">   </w:t>
      </w:r>
      <w:r>
        <w:rPr>
          <w:rFonts w:hint="eastAsia" w:ascii="宋体" w:hAnsi="宋体"/>
          <w:bCs/>
          <w:sz w:val="18"/>
          <w:szCs w:val="18"/>
        </w:rPr>
        <w:t>月</w:t>
      </w:r>
      <w:r>
        <w:rPr>
          <w:rFonts w:ascii="宋体" w:hAnsi="宋体"/>
          <w:bCs/>
          <w:sz w:val="18"/>
          <w:szCs w:val="18"/>
        </w:rPr>
        <w:t xml:space="preserve">   </w:t>
      </w:r>
      <w:r>
        <w:rPr>
          <w:rFonts w:hint="eastAsia" w:ascii="宋体" w:hAnsi="宋体"/>
          <w:bCs/>
          <w:sz w:val="18"/>
          <w:szCs w:val="18"/>
        </w:rPr>
        <w:t>日</w:t>
      </w:r>
    </w:p>
    <w:p>
      <w:pPr>
        <w:spacing w:line="320" w:lineRule="exact"/>
        <w:rPr>
          <w:rFonts w:ascii="宋体"/>
          <w:sz w:val="18"/>
        </w:rPr>
      </w:pPr>
    </w:p>
    <w:p>
      <w:pPr>
        <w:ind w:left="720" w:hanging="720" w:hangingChars="400"/>
        <w:rPr>
          <w:rFonts w:ascii="宋体"/>
          <w:sz w:val="18"/>
        </w:rPr>
      </w:pPr>
      <w:r>
        <w:rPr>
          <w:rFonts w:hint="eastAsia" w:ascii="宋体" w:hAnsi="宋体"/>
          <w:sz w:val="18"/>
        </w:rPr>
        <w:t>说明：</w:t>
      </w:r>
      <w:r>
        <w:rPr>
          <w:rFonts w:ascii="宋体" w:hAnsi="宋体"/>
          <w:sz w:val="18"/>
        </w:rPr>
        <w:t>1.</w:t>
      </w:r>
      <w:r>
        <w:rPr>
          <w:rFonts w:hint="eastAsia" w:ascii="宋体"/>
          <w:sz w:val="18"/>
        </w:rPr>
        <w:t>统计范围：辖区内规模以上工业法人单位和规模以上工业个体经营户</w:t>
      </w:r>
      <w:r>
        <w:rPr>
          <w:rFonts w:hint="eastAsia" w:ascii="宋体" w:hAnsi="宋体"/>
          <w:sz w:val="18"/>
        </w:rPr>
        <w:t>。</w:t>
      </w:r>
    </w:p>
    <w:p>
      <w:pPr>
        <w:ind w:left="2141" w:leftChars="250" w:hanging="1616" w:hangingChars="898"/>
        <w:rPr>
          <w:rFonts w:ascii="宋体"/>
          <w:sz w:val="18"/>
        </w:rPr>
      </w:pPr>
      <w:r>
        <w:rPr>
          <w:rFonts w:ascii="宋体" w:hAnsi="宋体"/>
          <w:sz w:val="18"/>
        </w:rPr>
        <w:t>2.</w:t>
      </w:r>
      <w:r>
        <w:rPr>
          <w:rFonts w:hint="eastAsia" w:ascii="宋体" w:hAnsi="宋体"/>
          <w:sz w:val="18"/>
        </w:rPr>
        <w:t>报送日期</w:t>
      </w:r>
      <w:r>
        <w:rPr>
          <w:rFonts w:hint="eastAsia" w:ascii="宋体"/>
          <w:sz w:val="18"/>
        </w:rPr>
        <w:t>及方式：调查单位2、10月月后6日，6、7、8、11月月后7日，3、5、12月月后8日，4月月后9日，9月月后12日12:00前独立自行网上填报，</w:t>
      </w:r>
      <w:r>
        <w:rPr>
          <w:rFonts w:ascii="宋体"/>
          <w:sz w:val="18"/>
        </w:rPr>
        <w:t>1</w:t>
      </w:r>
      <w:r>
        <w:rPr>
          <w:rFonts w:hint="eastAsia" w:ascii="宋体"/>
          <w:sz w:val="18"/>
        </w:rPr>
        <w:t>月免报。</w:t>
      </w:r>
    </w:p>
    <w:p>
      <w:pPr>
        <w:ind w:left="717" w:leftChars="250" w:hanging="192" w:hangingChars="107"/>
        <w:rPr>
          <w:rFonts w:ascii="宋体"/>
          <w:sz w:val="18"/>
          <w:szCs w:val="18"/>
        </w:rPr>
      </w:pPr>
      <w:r>
        <w:rPr>
          <w:rFonts w:ascii="宋体" w:hAnsi="宋体"/>
          <w:sz w:val="18"/>
          <w:szCs w:val="18"/>
        </w:rPr>
        <w:t>3.</w:t>
      </w:r>
      <w:r>
        <w:rPr>
          <w:rFonts w:hint="eastAsia" w:ascii="宋体" w:hAnsi="宋体"/>
          <w:sz w:val="18"/>
          <w:szCs w:val="18"/>
        </w:rPr>
        <w:t>本表甲栏下“二、</w:t>
      </w:r>
      <w:r>
        <w:rPr>
          <w:rFonts w:hint="eastAsia" w:ascii="宋体" w:hAnsi="宋体"/>
          <w:sz w:val="18"/>
        </w:rPr>
        <w:t>工业总产值</w:t>
      </w:r>
      <w:r>
        <w:rPr>
          <w:rFonts w:ascii="宋体" w:hAnsi="宋体"/>
          <w:sz w:val="18"/>
        </w:rPr>
        <w:t>(</w:t>
      </w:r>
      <w:r>
        <w:rPr>
          <w:rFonts w:hint="eastAsia" w:ascii="宋体" w:hAnsi="宋体"/>
          <w:sz w:val="18"/>
        </w:rPr>
        <w:t>当年价格</w:t>
      </w:r>
      <w:r>
        <w:rPr>
          <w:rFonts w:ascii="宋体" w:hAnsi="宋体"/>
          <w:sz w:val="18"/>
        </w:rPr>
        <w:t>)</w:t>
      </w:r>
      <w:r>
        <w:rPr>
          <w:rFonts w:hint="eastAsia" w:ascii="宋体" w:hAnsi="宋体"/>
          <w:sz w:val="18"/>
        </w:rPr>
        <w:t>按工业行业小类分</w:t>
      </w:r>
      <w:r>
        <w:rPr>
          <w:rFonts w:hint="eastAsia" w:ascii="宋体"/>
          <w:sz w:val="18"/>
        </w:rPr>
        <w:t>”</w:t>
      </w:r>
      <w:r>
        <w:rPr>
          <w:rFonts w:hint="eastAsia" w:ascii="宋体" w:hAnsi="宋体"/>
          <w:sz w:val="18"/>
        </w:rPr>
        <w:t>按国民经济行业小类填报；</w:t>
      </w:r>
      <w:r>
        <w:rPr>
          <w:rFonts w:hint="eastAsia" w:ascii="宋体" w:hAnsi="宋体"/>
          <w:sz w:val="18"/>
          <w:szCs w:val="18"/>
        </w:rPr>
        <w:t>“三、</w:t>
      </w:r>
      <w:r>
        <w:rPr>
          <w:rFonts w:hint="eastAsia" w:ascii="宋体"/>
          <w:sz w:val="18"/>
        </w:rPr>
        <w:t>主要工业产品产量”按《</w:t>
      </w:r>
      <w:r>
        <w:rPr>
          <w:rFonts w:hint="eastAsia" w:ascii="宋体" w:hAnsi="宋体"/>
          <w:sz w:val="18"/>
        </w:rPr>
        <w:t>规模以上工业</w:t>
      </w:r>
      <w:r>
        <w:rPr>
          <w:rFonts w:hint="eastAsia" w:ascii="宋体"/>
          <w:sz w:val="18"/>
        </w:rPr>
        <w:t>产品产量目录》填报。</w:t>
      </w:r>
    </w:p>
    <w:p>
      <w:pPr>
        <w:tabs>
          <w:tab w:val="left" w:pos="5430"/>
        </w:tabs>
        <w:adjustRightInd w:val="0"/>
        <w:ind w:left="705" w:leftChars="250" w:hanging="180" w:hangingChars="100"/>
        <w:rPr>
          <w:rFonts w:ascii="宋体"/>
          <w:sz w:val="18"/>
          <w:szCs w:val="18"/>
        </w:rPr>
      </w:pPr>
      <w:r>
        <w:rPr>
          <w:rFonts w:ascii="宋体" w:hAnsi="宋体" w:cs="宋体"/>
          <w:bCs/>
          <w:kern w:val="0"/>
          <w:sz w:val="18"/>
          <w:szCs w:val="18"/>
        </w:rPr>
        <w:t>4.</w:t>
      </w:r>
      <w:r>
        <w:rPr>
          <w:rFonts w:hint="eastAsia" w:ascii="宋体"/>
          <w:sz w:val="18"/>
          <w:szCs w:val="18"/>
        </w:rPr>
        <w:t>本表“上年同期”数据统一由国家统计局在数据处理软件中复制，调查单位和各级统计机构原则上不得修改（不含产品产量）；本年新增的调查单位自行填报“上年同期”数据；涉及拆分、兼并、重组、视同法人、统计执法失实数据改正等情况的企业，经国家统计局批准后，调查单位可调整同期数；本年新增指标的同期数由调查单位自行填报。</w:t>
      </w:r>
    </w:p>
    <w:p>
      <w:pPr>
        <w:ind w:left="717" w:leftChars="256" w:right="-54" w:rightChars="-26" w:hanging="180" w:hangingChars="100"/>
        <w:rPr>
          <w:rFonts w:ascii="宋体"/>
          <w:sz w:val="18"/>
        </w:rPr>
      </w:pPr>
      <w:r>
        <w:rPr>
          <w:rFonts w:ascii="宋体"/>
          <w:sz w:val="18"/>
          <w:szCs w:val="18"/>
        </w:rPr>
        <w:t>5.</w:t>
      </w:r>
      <w:r>
        <w:rPr>
          <w:rFonts w:hint="eastAsia" w:ascii="宋体"/>
          <w:sz w:val="18"/>
          <w:szCs w:val="18"/>
        </w:rPr>
        <w:t>主要</w:t>
      </w:r>
      <w:r>
        <w:rPr>
          <w:rFonts w:hint="eastAsia" w:ascii="宋体" w:hAnsi="宋体"/>
          <w:sz w:val="18"/>
        </w:rPr>
        <w:t>审核关系：</w:t>
      </w:r>
    </w:p>
    <w:p>
      <w:pPr>
        <w:ind w:firstLine="720" w:firstLineChars="400"/>
        <w:rPr>
          <w:rFonts w:ascii="宋体"/>
          <w:sz w:val="18"/>
        </w:rPr>
      </w:pPr>
      <w:r>
        <w:rPr>
          <w:rFonts w:ascii="宋体"/>
          <w:sz w:val="18"/>
        </w:rPr>
        <w:t>(1)</w:t>
      </w:r>
      <w:r>
        <w:rPr>
          <w:rFonts w:hint="eastAsia" w:ascii="宋体"/>
          <w:sz w:val="18"/>
        </w:rPr>
        <w:t>工业销售产值</w:t>
      </w:r>
      <w:r>
        <w:rPr>
          <w:rFonts w:ascii="宋体"/>
          <w:sz w:val="18"/>
        </w:rPr>
        <w:t>(03)</w:t>
      </w:r>
      <w:r>
        <w:rPr>
          <w:rFonts w:hint="eastAsia" w:ascii="宋体"/>
          <w:sz w:val="18"/>
        </w:rPr>
        <w:t>≥其中：出口交货值</w:t>
      </w:r>
      <w:r>
        <w:rPr>
          <w:rFonts w:ascii="宋体"/>
          <w:sz w:val="18"/>
        </w:rPr>
        <w:t>(04)</w:t>
      </w:r>
    </w:p>
    <w:p>
      <w:pPr>
        <w:ind w:firstLine="720" w:firstLineChars="400"/>
        <w:rPr>
          <w:rFonts w:ascii="宋体" w:hAnsi="宋体"/>
          <w:sz w:val="18"/>
        </w:rPr>
      </w:pPr>
      <w:r>
        <w:rPr>
          <w:rFonts w:ascii="宋体"/>
          <w:sz w:val="18"/>
        </w:rPr>
        <w:t>(2)</w:t>
      </w:r>
      <w:r>
        <w:rPr>
          <w:rFonts w:hint="eastAsia" w:ascii="宋体"/>
          <w:sz w:val="18"/>
        </w:rPr>
        <w:t>工业总产值</w:t>
      </w:r>
      <w:r>
        <w:rPr>
          <w:rFonts w:ascii="宋体"/>
          <w:sz w:val="18"/>
        </w:rPr>
        <w:t>(01)</w:t>
      </w:r>
      <w:r>
        <w:rPr>
          <w:rFonts w:ascii="宋体" w:hAnsi="宋体"/>
          <w:sz w:val="18"/>
        </w:rPr>
        <w:t>=</w:t>
      </w:r>
      <w:r>
        <w:rPr>
          <w:rFonts w:hint="eastAsia" w:ascii="宋体" w:hAnsi="宋体"/>
          <w:sz w:val="18"/>
        </w:rPr>
        <w:t>烟煤和无烟煤开采洗选</w:t>
      </w:r>
      <w:r>
        <w:rPr>
          <w:rFonts w:ascii="宋体" w:hAnsi="宋体"/>
          <w:sz w:val="18"/>
        </w:rPr>
        <w:t>(0610)+</w:t>
      </w:r>
      <w:r>
        <w:rPr>
          <w:rFonts w:hint="eastAsia" w:ascii="宋体" w:hAnsi="宋体"/>
          <w:sz w:val="18"/>
        </w:rPr>
        <w:t>…</w:t>
      </w:r>
      <w:r>
        <w:rPr>
          <w:rFonts w:ascii="宋体" w:hAnsi="宋体"/>
          <w:sz w:val="18"/>
        </w:rPr>
        <w:t>+</w:t>
      </w:r>
      <w:r>
        <w:rPr>
          <w:rFonts w:hint="eastAsia" w:ascii="宋体"/>
          <w:sz w:val="18"/>
        </w:rPr>
        <w:t>其他水</w:t>
      </w:r>
      <w:r>
        <w:rPr>
          <w:rFonts w:hint="eastAsia" w:ascii="宋体" w:hAnsi="宋体"/>
          <w:sz w:val="18"/>
        </w:rPr>
        <w:t>处理、利用与分配</w:t>
      </w:r>
      <w:r>
        <w:rPr>
          <w:rFonts w:ascii="宋体" w:hAnsi="宋体"/>
          <w:sz w:val="18"/>
        </w:rPr>
        <w:t>(4690)</w:t>
      </w:r>
    </w:p>
    <w:p>
      <w:pPr>
        <w:spacing w:line="320" w:lineRule="exact"/>
        <w:jc w:val="center"/>
        <w:rPr>
          <w:lang w:val="en-GB"/>
        </w:rPr>
      </w:pPr>
    </w:p>
    <w:p>
      <w:pPr>
        <w:spacing w:line="320" w:lineRule="exact"/>
        <w:jc w:val="center"/>
      </w:pPr>
    </w:p>
    <w:p>
      <w:pPr>
        <w:spacing w:line="440" w:lineRule="exact"/>
        <w:jc w:val="center"/>
        <w:rPr>
          <w:sz w:val="30"/>
          <w:szCs w:val="30"/>
        </w:rPr>
      </w:pPr>
    </w:p>
    <w:p>
      <w:pPr>
        <w:spacing w:line="440" w:lineRule="exact"/>
        <w:jc w:val="center"/>
        <w:rPr>
          <w:sz w:val="30"/>
          <w:szCs w:val="30"/>
        </w:rPr>
      </w:pPr>
    </w:p>
    <w:p>
      <w:pPr>
        <w:spacing w:line="440" w:lineRule="exact"/>
        <w:jc w:val="center"/>
        <w:rPr>
          <w:sz w:val="30"/>
          <w:szCs w:val="30"/>
        </w:rPr>
      </w:pPr>
    </w:p>
    <w:p>
      <w:pPr>
        <w:spacing w:line="440" w:lineRule="exact"/>
        <w:jc w:val="center"/>
        <w:rPr>
          <w:sz w:val="30"/>
          <w:szCs w:val="30"/>
        </w:rPr>
      </w:pPr>
    </w:p>
    <w:p>
      <w:pPr>
        <w:pStyle w:val="2"/>
        <w:rPr>
          <w:sz w:val="30"/>
          <w:szCs w:val="30"/>
        </w:rPr>
      </w:pPr>
    </w:p>
    <w:p/>
    <w:p>
      <w:pPr>
        <w:pStyle w:val="2"/>
        <w:ind w:left="420" w:firstLine="600"/>
        <w:rPr>
          <w:sz w:val="30"/>
          <w:szCs w:val="30"/>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75" w:name="_Toc92149248"/>
      <w:bookmarkStart w:id="76" w:name="_Toc2027135114"/>
      <w:bookmarkStart w:id="77" w:name="_Toc479652278"/>
      <w:r>
        <w:rPr>
          <w:rFonts w:hint="eastAsia" w:ascii="宋体" w:hAnsi="宋体" w:eastAsia="宋体" w:cs="宋体"/>
          <w:b/>
          <w:bCs/>
          <w:sz w:val="32"/>
          <w:szCs w:val="32"/>
        </w:rPr>
        <w:t>生产经营景气状况</w:t>
      </w:r>
      <w:bookmarkEnd w:id="75"/>
      <w:bookmarkEnd w:id="76"/>
      <w:bookmarkEnd w:id="77"/>
    </w:p>
    <w:tbl>
      <w:tblPr>
        <w:tblStyle w:val="17"/>
        <w:tblW w:w="10731" w:type="dxa"/>
        <w:jc w:val="center"/>
        <w:tblLayout w:type="autofit"/>
        <w:tblCellMar>
          <w:top w:w="0" w:type="dxa"/>
          <w:left w:w="108" w:type="dxa"/>
          <w:bottom w:w="0" w:type="dxa"/>
          <w:right w:w="108" w:type="dxa"/>
        </w:tblCellMar>
      </w:tblPr>
      <w:tblGrid>
        <w:gridCol w:w="3701"/>
        <w:gridCol w:w="3944"/>
        <w:gridCol w:w="900"/>
        <w:gridCol w:w="2186"/>
      </w:tblGrid>
      <w:tr>
        <w:tblPrEx>
          <w:tblCellMar>
            <w:top w:w="0" w:type="dxa"/>
            <w:left w:w="108" w:type="dxa"/>
            <w:bottom w:w="0" w:type="dxa"/>
            <w:right w:w="108" w:type="dxa"/>
          </w:tblCellMar>
        </w:tblPrEx>
        <w:trPr>
          <w:jc w:val="center"/>
        </w:trPr>
        <w:tc>
          <w:tcPr>
            <w:tcW w:w="7645" w:type="dxa"/>
            <w:gridSpan w:val="2"/>
            <w:noWrap w:val="0"/>
            <w:tcMar>
              <w:left w:w="0" w:type="dxa"/>
              <w:right w:w="0" w:type="dxa"/>
            </w:tcMar>
            <w:vAlign w:val="top"/>
          </w:tcPr>
          <w:p>
            <w:pPr>
              <w:spacing w:line="240" w:lineRule="exact"/>
              <w:jc w:val="center"/>
              <w:rPr>
                <w:rFonts w:ascii="宋体" w:cs="宋体"/>
                <w:sz w:val="32"/>
                <w:szCs w:val="32"/>
              </w:rPr>
            </w:pPr>
            <w:r>
              <w:rPr>
                <w:rFonts w:ascii="宋体" w:cs="宋体"/>
                <w:sz w:val="32"/>
                <w:szCs w:val="32"/>
              </w:rPr>
              <w:t xml:space="preserve"> </w:t>
            </w:r>
          </w:p>
        </w:tc>
        <w:tc>
          <w:tcPr>
            <w:tcW w:w="900" w:type="dxa"/>
            <w:noWrap w:val="0"/>
            <w:vAlign w:val="top"/>
          </w:tcPr>
          <w:p>
            <w:pPr>
              <w:spacing w:line="240" w:lineRule="exact"/>
              <w:ind w:left="-108" w:leftChars="-52" w:right="-107" w:rightChars="-51" w:hanging="1"/>
              <w:jc w:val="right"/>
              <w:rPr>
                <w:rFonts w:ascii="宋体" w:cs="宋体"/>
                <w:sz w:val="32"/>
                <w:szCs w:val="32"/>
              </w:rPr>
            </w:pPr>
            <w:r>
              <w:rPr>
                <w:rFonts w:hint="eastAsia" w:ascii="宋体" w:hAnsi="宋体" w:cs="宋体"/>
                <w:sz w:val="18"/>
                <w:szCs w:val="18"/>
              </w:rPr>
              <w:t>表</w:t>
            </w:r>
            <w:r>
              <w:rPr>
                <w:rFonts w:ascii="宋体" w:hAnsi="宋体" w:cs="宋体"/>
                <w:sz w:val="18"/>
                <w:szCs w:val="18"/>
              </w:rPr>
              <w:t xml:space="preserve">    </w:t>
            </w:r>
            <w:r>
              <w:rPr>
                <w:rFonts w:hint="eastAsia" w:ascii="宋体" w:hAnsi="宋体" w:cs="宋体"/>
                <w:sz w:val="18"/>
                <w:szCs w:val="18"/>
              </w:rPr>
              <w:t>号：</w:t>
            </w:r>
          </w:p>
        </w:tc>
        <w:tc>
          <w:tcPr>
            <w:tcW w:w="2186" w:type="dxa"/>
            <w:noWrap w:val="0"/>
            <w:vAlign w:val="center"/>
          </w:tcPr>
          <w:p>
            <w:pPr>
              <w:spacing w:line="240" w:lineRule="exact"/>
              <w:ind w:left="-105" w:leftChars="-50" w:right="-105" w:rightChars="-50"/>
              <w:jc w:val="distribute"/>
              <w:rPr>
                <w:rFonts w:ascii="宋体" w:cs="宋体"/>
                <w:sz w:val="32"/>
                <w:szCs w:val="32"/>
              </w:rPr>
            </w:pPr>
            <w:r>
              <w:rPr>
                <w:rFonts w:hint="eastAsia" w:ascii="宋体" w:hAnsi="宋体" w:cs="宋体"/>
                <w:sz w:val="18"/>
                <w:szCs w:val="18"/>
              </w:rPr>
              <w:t>Ｂ２１０表</w:t>
            </w:r>
          </w:p>
        </w:tc>
      </w:tr>
      <w:tr>
        <w:tblPrEx>
          <w:tblCellMar>
            <w:top w:w="0" w:type="dxa"/>
            <w:left w:w="108" w:type="dxa"/>
            <w:bottom w:w="0" w:type="dxa"/>
            <w:right w:w="108" w:type="dxa"/>
          </w:tblCellMar>
        </w:tblPrEx>
        <w:trPr>
          <w:trHeight w:val="90" w:hRule="atLeast"/>
          <w:jc w:val="center"/>
        </w:trPr>
        <w:tc>
          <w:tcPr>
            <w:tcW w:w="7645" w:type="dxa"/>
            <w:gridSpan w:val="2"/>
            <w:noWrap w:val="0"/>
            <w:tcMar>
              <w:left w:w="0" w:type="dxa"/>
              <w:right w:w="0" w:type="dxa"/>
            </w:tcMar>
            <w:vAlign w:val="top"/>
          </w:tcPr>
          <w:p>
            <w:pPr>
              <w:spacing w:line="240" w:lineRule="exact"/>
              <w:rPr>
                <w:rFonts w:ascii="宋体" w:cs="宋体"/>
                <w:sz w:val="32"/>
                <w:szCs w:val="32"/>
              </w:rPr>
            </w:pPr>
          </w:p>
        </w:tc>
        <w:tc>
          <w:tcPr>
            <w:tcW w:w="900" w:type="dxa"/>
            <w:noWrap w:val="0"/>
            <w:vAlign w:val="top"/>
          </w:tcPr>
          <w:p>
            <w:pPr>
              <w:spacing w:line="240" w:lineRule="exact"/>
              <w:ind w:left="-105" w:leftChars="-50" w:right="-105" w:rightChars="-50"/>
              <w:jc w:val="right"/>
              <w:rPr>
                <w:rFonts w:ascii="宋体" w:cs="宋体"/>
                <w:sz w:val="32"/>
                <w:szCs w:val="32"/>
              </w:rPr>
            </w:pPr>
            <w:r>
              <w:rPr>
                <w:rFonts w:hint="eastAsia" w:ascii="宋体" w:hAnsi="宋体" w:cs="宋体"/>
                <w:sz w:val="18"/>
                <w:szCs w:val="18"/>
              </w:rPr>
              <w:t>制定机关：</w:t>
            </w:r>
          </w:p>
        </w:tc>
        <w:tc>
          <w:tcPr>
            <w:tcW w:w="2186" w:type="dxa"/>
            <w:noWrap w:val="0"/>
            <w:vAlign w:val="center"/>
          </w:tcPr>
          <w:p>
            <w:pPr>
              <w:spacing w:line="240" w:lineRule="exact"/>
              <w:ind w:left="-105" w:leftChars="-50" w:right="-105" w:rightChars="-50"/>
              <w:jc w:val="distribute"/>
              <w:rPr>
                <w:rFonts w:ascii="宋体" w:cs="宋体"/>
                <w:sz w:val="18"/>
                <w:szCs w:val="18"/>
              </w:rPr>
            </w:pPr>
            <w:r>
              <w:rPr>
                <w:rFonts w:hint="eastAsia" w:ascii="宋体" w:hAnsi="宋体" w:cs="宋体"/>
                <w:sz w:val="18"/>
                <w:szCs w:val="18"/>
              </w:rPr>
              <w:t>国家统计局</w:t>
            </w:r>
          </w:p>
        </w:tc>
      </w:tr>
      <w:tr>
        <w:tblPrEx>
          <w:tblCellMar>
            <w:top w:w="0" w:type="dxa"/>
            <w:left w:w="108" w:type="dxa"/>
            <w:bottom w:w="0" w:type="dxa"/>
            <w:right w:w="108" w:type="dxa"/>
          </w:tblCellMar>
        </w:tblPrEx>
        <w:trPr>
          <w:jc w:val="center"/>
        </w:trPr>
        <w:tc>
          <w:tcPr>
            <w:tcW w:w="7645" w:type="dxa"/>
            <w:gridSpan w:val="2"/>
            <w:noWrap w:val="0"/>
            <w:tcMar>
              <w:left w:w="0" w:type="dxa"/>
              <w:right w:w="0" w:type="dxa"/>
            </w:tcMar>
            <w:vAlign w:val="top"/>
          </w:tcPr>
          <w:p>
            <w:pPr>
              <w:spacing w:line="240" w:lineRule="exact"/>
              <w:rPr>
                <w:rFonts w:ascii="宋体" w:cs="宋体"/>
                <w:sz w:val="32"/>
                <w:szCs w:val="32"/>
              </w:rPr>
            </w:pPr>
            <w:r>
              <w:rPr>
                <w:rFonts w:hint="eastAsia" w:ascii="宋体" w:hAnsi="宋体"/>
                <w:sz w:val="18"/>
                <w:szCs w:val="18"/>
              </w:rPr>
              <w:t>统一社会信用代码□□□□□□□□□□□□□□□□□□</w:t>
            </w:r>
          </w:p>
        </w:tc>
        <w:tc>
          <w:tcPr>
            <w:tcW w:w="900" w:type="dxa"/>
            <w:noWrap w:val="0"/>
            <w:vAlign w:val="center"/>
          </w:tcPr>
          <w:p>
            <w:pPr>
              <w:spacing w:line="240" w:lineRule="exact"/>
              <w:ind w:left="-105" w:leftChars="-50" w:right="-105" w:rightChars="-50"/>
              <w:jc w:val="right"/>
              <w:rPr>
                <w:rFonts w:ascii="宋体" w:cs="宋体"/>
                <w:sz w:val="32"/>
                <w:szCs w:val="32"/>
              </w:rPr>
            </w:pPr>
            <w:r>
              <w:rPr>
                <w:rFonts w:hint="eastAsia" w:ascii="宋体" w:hAnsi="宋体" w:cs="宋体"/>
                <w:sz w:val="18"/>
                <w:szCs w:val="18"/>
              </w:rPr>
              <w:t>文</w:t>
            </w:r>
            <w:r>
              <w:rPr>
                <w:rFonts w:ascii="宋体" w:hAnsi="宋体" w:cs="宋体"/>
                <w:sz w:val="18"/>
                <w:szCs w:val="18"/>
              </w:rPr>
              <w:t xml:space="preserve">    </w:t>
            </w:r>
            <w:r>
              <w:rPr>
                <w:rFonts w:hint="eastAsia" w:ascii="宋体" w:hAnsi="宋体" w:cs="宋体"/>
                <w:sz w:val="18"/>
                <w:szCs w:val="18"/>
              </w:rPr>
              <w:t>号：</w:t>
            </w:r>
          </w:p>
        </w:tc>
        <w:tc>
          <w:tcPr>
            <w:tcW w:w="2186" w:type="dxa"/>
            <w:noWrap w:val="0"/>
            <w:vAlign w:val="center"/>
          </w:tcPr>
          <w:p>
            <w:pPr>
              <w:spacing w:line="240" w:lineRule="exact"/>
              <w:ind w:left="-105" w:leftChars="-50" w:right="-105" w:rightChars="-50"/>
              <w:jc w:val="distribute"/>
              <w:rPr>
                <w:rFonts w:ascii="宋体" w:cs="宋体"/>
                <w:sz w:val="32"/>
                <w:szCs w:val="32"/>
              </w:rPr>
            </w:pPr>
            <w:r>
              <w:rPr>
                <w:rFonts w:ascii="宋体" w:hAnsi="宋体"/>
                <w:sz w:val="18"/>
                <w:szCs w:val="18"/>
              </w:rPr>
              <w:t>国统字</w:t>
            </w:r>
            <w:r>
              <w:rPr>
                <w:rFonts w:hint="eastAsia" w:ascii="宋体" w:hAnsi="宋体"/>
                <w:sz w:val="18"/>
                <w:szCs w:val="18"/>
              </w:rPr>
              <w:t>〔</w:t>
            </w:r>
            <w:r>
              <w:rPr>
                <w:rFonts w:hint="eastAsia" w:ascii="宋体" w:hAnsi="宋体"/>
                <w:sz w:val="18"/>
                <w:szCs w:val="18"/>
                <w:lang w:eastAsia="zh-CN"/>
              </w:rPr>
              <w:t>２０２</w:t>
            </w:r>
            <w:r>
              <w:rPr>
                <w:rFonts w:hint="eastAsia" w:ascii="宋体" w:hAnsi="宋体"/>
                <w:sz w:val="18"/>
                <w:szCs w:val="18"/>
                <w:lang w:val="en-US" w:eastAsia="zh-CN"/>
              </w:rPr>
              <w:t>5</w:t>
            </w:r>
            <w:r>
              <w:rPr>
                <w:rFonts w:hint="eastAsia" w:ascii="宋体" w:hAnsi="宋体"/>
                <w:sz w:val="18"/>
                <w:szCs w:val="18"/>
              </w:rPr>
              <w:t>〕</w:t>
            </w:r>
            <w:r>
              <w:rPr>
                <w:rFonts w:hint="eastAsia" w:ascii="宋体" w:hAnsi="宋体"/>
                <w:sz w:val="18"/>
                <w:szCs w:val="18"/>
                <w:lang w:val="en-US" w:eastAsia="zh-CN"/>
              </w:rPr>
              <w:t>88</w:t>
            </w:r>
            <w:r>
              <w:rPr>
                <w:rFonts w:ascii="宋体" w:hAnsi="宋体"/>
                <w:sz w:val="18"/>
                <w:szCs w:val="18"/>
              </w:rPr>
              <w:t>号</w:t>
            </w:r>
          </w:p>
        </w:tc>
      </w:tr>
      <w:tr>
        <w:tblPrEx>
          <w:tblCellMar>
            <w:top w:w="0" w:type="dxa"/>
            <w:left w:w="108" w:type="dxa"/>
            <w:bottom w:w="0" w:type="dxa"/>
            <w:right w:w="108" w:type="dxa"/>
          </w:tblCellMar>
        </w:tblPrEx>
        <w:trPr>
          <w:jc w:val="center"/>
        </w:trPr>
        <w:tc>
          <w:tcPr>
            <w:tcW w:w="3701" w:type="dxa"/>
            <w:noWrap w:val="0"/>
            <w:tcMar>
              <w:left w:w="0" w:type="dxa"/>
              <w:right w:w="0" w:type="dxa"/>
            </w:tcMar>
            <w:vAlign w:val="top"/>
          </w:tcPr>
          <w:p>
            <w:pPr>
              <w:spacing w:line="240" w:lineRule="exact"/>
              <w:rPr>
                <w:rFonts w:ascii="宋体" w:cs="宋体"/>
                <w:sz w:val="32"/>
                <w:szCs w:val="32"/>
              </w:rPr>
            </w:pPr>
            <w:r>
              <w:rPr>
                <w:rFonts w:hint="eastAsia" w:ascii="宋体" w:hAnsi="宋体" w:cs="宋体"/>
                <w:sz w:val="18"/>
                <w:szCs w:val="18"/>
              </w:rPr>
              <w:t>单位详细名称：</w:t>
            </w:r>
          </w:p>
        </w:tc>
        <w:tc>
          <w:tcPr>
            <w:tcW w:w="3944" w:type="dxa"/>
            <w:noWrap w:val="0"/>
            <w:vAlign w:val="center"/>
          </w:tcPr>
          <w:p>
            <w:pPr>
              <w:spacing w:line="240" w:lineRule="exact"/>
              <w:ind w:firstLine="1080" w:firstLineChars="600"/>
              <w:rPr>
                <w:rFonts w:ascii="宋体" w:cs="宋体"/>
                <w:sz w:val="32"/>
                <w:szCs w:val="32"/>
              </w:rPr>
            </w:pPr>
            <w:r>
              <w:rPr>
                <w:rFonts w:hint="eastAsia" w:ascii="宋体" w:hAnsi="宋体" w:cs="宋体"/>
                <w:sz w:val="18"/>
                <w:szCs w:val="18"/>
              </w:rPr>
              <w:t>20</w:t>
            </w:r>
            <w:r>
              <w:rPr>
                <w:rFonts w:ascii="宋体" w:hAnsi="宋体" w:cs="宋体"/>
                <w:sz w:val="18"/>
                <w:szCs w:val="18"/>
              </w:rPr>
              <w:t xml:space="preserve">  </w:t>
            </w:r>
            <w:r>
              <w:rPr>
                <w:rFonts w:hint="eastAsia" w:ascii="宋体" w:hAnsi="宋体" w:cs="宋体"/>
                <w:sz w:val="18"/>
                <w:szCs w:val="18"/>
              </w:rPr>
              <w:t>年　　季</w:t>
            </w:r>
          </w:p>
        </w:tc>
        <w:tc>
          <w:tcPr>
            <w:tcW w:w="900" w:type="dxa"/>
            <w:noWrap w:val="0"/>
            <w:vAlign w:val="center"/>
          </w:tcPr>
          <w:p>
            <w:pPr>
              <w:spacing w:line="240" w:lineRule="exact"/>
              <w:ind w:left="-105" w:leftChars="-50" w:right="-105" w:rightChars="-50"/>
              <w:jc w:val="right"/>
              <w:rPr>
                <w:rFonts w:ascii="宋体" w:cs="宋体"/>
                <w:sz w:val="32"/>
                <w:szCs w:val="32"/>
              </w:rPr>
            </w:pPr>
            <w:r>
              <w:rPr>
                <w:rFonts w:hint="eastAsia" w:ascii="宋体" w:hAnsi="宋体" w:cs="宋体"/>
                <w:sz w:val="18"/>
                <w:szCs w:val="18"/>
              </w:rPr>
              <w:t>有效期至：</w:t>
            </w:r>
          </w:p>
        </w:tc>
        <w:tc>
          <w:tcPr>
            <w:tcW w:w="2186" w:type="dxa"/>
            <w:noWrap w:val="0"/>
            <w:vAlign w:val="center"/>
          </w:tcPr>
          <w:p>
            <w:pPr>
              <w:spacing w:line="240" w:lineRule="exact"/>
              <w:ind w:left="-105" w:leftChars="-50" w:right="-105" w:rightChars="-50"/>
              <w:jc w:val="distribute"/>
              <w:rPr>
                <w:rFonts w:ascii="宋体" w:cs="宋体"/>
                <w:sz w:val="32"/>
                <w:szCs w:val="32"/>
              </w:rPr>
            </w:pPr>
            <w:r>
              <w:rPr>
                <w:rFonts w:hint="eastAsia" w:ascii="宋体" w:hAnsi="宋体" w:cs="宋体"/>
                <w:sz w:val="18"/>
                <w:szCs w:val="18"/>
              </w:rPr>
              <w:t>202</w:t>
            </w:r>
            <w:r>
              <w:rPr>
                <w:rFonts w:hint="eastAsia" w:ascii="宋体" w:hAnsi="宋体" w:cs="宋体"/>
                <w:sz w:val="18"/>
                <w:szCs w:val="18"/>
                <w:lang w:val="en-US" w:eastAsia="zh-CN"/>
              </w:rPr>
              <w:t>7</w:t>
            </w:r>
            <w:r>
              <w:rPr>
                <w:rFonts w:hint="eastAsia" w:ascii="宋体" w:hAnsi="宋体" w:cs="宋体"/>
                <w:sz w:val="18"/>
                <w:szCs w:val="18"/>
              </w:rPr>
              <w:t>年</w:t>
            </w:r>
            <w:r>
              <w:rPr>
                <w:rFonts w:hint="eastAsia" w:ascii="宋体" w:hAnsi="宋体" w:cs="宋体"/>
                <w:sz w:val="18"/>
                <w:szCs w:val="18"/>
                <w:lang w:val="en-US" w:eastAsia="zh-CN"/>
              </w:rPr>
              <w:t>1</w:t>
            </w:r>
            <w:r>
              <w:rPr>
                <w:rFonts w:hint="eastAsia" w:ascii="宋体" w:hAnsi="宋体" w:cs="宋体"/>
                <w:sz w:val="18"/>
                <w:szCs w:val="18"/>
              </w:rPr>
              <w:t>月</w:t>
            </w:r>
          </w:p>
        </w:tc>
      </w:tr>
    </w:tbl>
    <w:p>
      <w:pPr>
        <w:adjustRightInd w:val="0"/>
        <w:snapToGrid w:val="0"/>
        <w:spacing w:line="20" w:lineRule="exact"/>
        <w:jc w:val="center"/>
        <w:rPr>
          <w:rFonts w:ascii="宋体"/>
          <w:sz w:val="32"/>
          <w:szCs w:val="32"/>
        </w:rPr>
      </w:pPr>
    </w:p>
    <w:p>
      <w:pPr>
        <w:spacing w:line="20" w:lineRule="exact"/>
        <w:jc w:val="center"/>
        <w:rPr>
          <w:rFonts w:ascii="黑体" w:hAnsi="宋体" w:eastAsia="黑体"/>
          <w:b/>
          <w:sz w:val="24"/>
        </w:rPr>
      </w:pPr>
    </w:p>
    <w:tbl>
      <w:tblPr>
        <w:tblStyle w:val="17"/>
        <w:tblW w:w="5673" w:type="pct"/>
        <w:jc w:val="center"/>
        <w:tblBorders>
          <w:top w:val="none" w:color="auto" w:sz="0" w:space="0"/>
          <w:left w:val="none" w:color="auto" w:sz="0" w:space="0"/>
          <w:bottom w:val="single" w:color="auto" w:sz="8" w:space="0"/>
          <w:right w:val="none" w:color="auto" w:sz="0" w:space="0"/>
          <w:insideH w:val="single" w:color="auto" w:sz="2" w:space="0"/>
          <w:insideV w:val="single" w:color="auto" w:sz="2" w:space="0"/>
        </w:tblBorders>
        <w:tblLayout w:type="autofit"/>
        <w:tblCellMar>
          <w:top w:w="0" w:type="dxa"/>
          <w:left w:w="0" w:type="dxa"/>
          <w:bottom w:w="0" w:type="dxa"/>
          <w:right w:w="0" w:type="dxa"/>
        </w:tblCellMar>
      </w:tblPr>
      <w:tblGrid>
        <w:gridCol w:w="454"/>
        <w:gridCol w:w="10259"/>
      </w:tblGrid>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97" w:hRule="atLeast"/>
          <w:jc w:val="center"/>
        </w:trPr>
        <w:tc>
          <w:tcPr>
            <w:tcW w:w="212" w:type="pct"/>
            <w:tcBorders>
              <w:top w:val="double" w:color="auto" w:sz="4" w:space="0"/>
              <w:left w:val="double" w:color="auto" w:sz="4" w:space="0"/>
              <w:bottom w:val="double" w:color="auto" w:sz="4" w:space="0"/>
            </w:tcBorders>
            <w:noWrap w:val="0"/>
            <w:vAlign w:val="center"/>
          </w:tcPr>
          <w:p>
            <w:pPr>
              <w:tabs>
                <w:tab w:val="left" w:pos="284"/>
              </w:tabs>
              <w:adjustRightInd w:val="0"/>
              <w:snapToGrid w:val="0"/>
              <w:spacing w:line="240" w:lineRule="exact"/>
              <w:jc w:val="center"/>
              <w:rPr>
                <w:rFonts w:ascii="宋体"/>
                <w:sz w:val="18"/>
              </w:rPr>
            </w:pPr>
            <w:r>
              <w:rPr>
                <w:rFonts w:ascii="宋体" w:hAnsi="宋体"/>
                <w:sz w:val="18"/>
              </w:rPr>
              <w:t>99</w:t>
            </w:r>
          </w:p>
        </w:tc>
        <w:tc>
          <w:tcPr>
            <w:tcW w:w="4787" w:type="pct"/>
            <w:tcBorders>
              <w:top w:val="double" w:color="auto" w:sz="4" w:space="0"/>
              <w:bottom w:val="double" w:color="auto" w:sz="4" w:space="0"/>
              <w:right w:val="double" w:color="auto" w:sz="4" w:space="0"/>
            </w:tcBorders>
            <w:noWrap w:val="0"/>
            <w:vAlign w:val="center"/>
          </w:tcPr>
          <w:p>
            <w:pPr>
              <w:tabs>
                <w:tab w:val="left" w:pos="0"/>
              </w:tabs>
              <w:adjustRightInd w:val="0"/>
              <w:snapToGrid w:val="0"/>
              <w:spacing w:line="240" w:lineRule="exact"/>
              <w:ind w:firstLine="90"/>
              <w:rPr>
                <w:rFonts w:ascii="宋体"/>
                <w:sz w:val="18"/>
              </w:rPr>
            </w:pPr>
            <w:r>
              <w:rPr>
                <w:rFonts w:hint="eastAsia" w:ascii="宋体" w:hAnsi="宋体"/>
                <w:sz w:val="18"/>
              </w:rPr>
              <w:t>企业当前生产状态：①正常生产</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ascii="宋体" w:hAnsi="宋体"/>
                <w:sz w:val="18"/>
              </w:rPr>
              <w:t xml:space="preserve">    </w:t>
            </w:r>
            <w:r>
              <w:rPr>
                <w:rFonts w:hint="eastAsia" w:ascii="宋体" w:hAnsi="宋体"/>
                <w:sz w:val="18"/>
              </w:rPr>
              <w:t>②半停产（临时停产）</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sz w:val="18"/>
              </w:rPr>
              <w:t>③永久停产</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④关闭破产</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260" w:hRule="atLeast"/>
          <w:jc w:val="center"/>
        </w:trPr>
        <w:tc>
          <w:tcPr>
            <w:tcW w:w="5000" w:type="pct"/>
            <w:gridSpan w:val="2"/>
            <w:tcBorders>
              <w:top w:val="double" w:color="auto" w:sz="4" w:space="0"/>
              <w:left w:val="double" w:color="auto" w:sz="4" w:space="0"/>
              <w:right w:val="double" w:color="auto" w:sz="4" w:space="0"/>
            </w:tcBorders>
            <w:noWrap w:val="0"/>
            <w:vAlign w:val="center"/>
          </w:tcPr>
          <w:p>
            <w:pPr>
              <w:adjustRightInd w:val="0"/>
              <w:snapToGrid w:val="0"/>
              <w:spacing w:line="240" w:lineRule="exact"/>
              <w:jc w:val="center"/>
              <w:rPr>
                <w:rFonts w:ascii="宋体"/>
                <w:b/>
                <w:sz w:val="18"/>
              </w:rPr>
            </w:pPr>
            <w:r>
              <w:rPr>
                <w:rFonts w:hint="eastAsia" w:ascii="宋体" w:hAnsi="宋体"/>
                <w:b/>
                <w:sz w:val="18"/>
              </w:rPr>
              <w:t>一、景气状况判断</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41" w:hRule="atLeast"/>
          <w:jc w:val="center"/>
        </w:trPr>
        <w:tc>
          <w:tcPr>
            <w:tcW w:w="212" w:type="pct"/>
            <w:tcBorders>
              <w:left w:val="double" w:color="auto" w:sz="4" w:space="0"/>
            </w:tcBorders>
            <w:noWrap w:val="0"/>
            <w:vAlign w:val="center"/>
          </w:tcPr>
          <w:p>
            <w:pPr>
              <w:adjustRightInd w:val="0"/>
              <w:snapToGrid w:val="0"/>
              <w:spacing w:line="240" w:lineRule="exact"/>
              <w:jc w:val="center"/>
              <w:rPr>
                <w:rFonts w:ascii="宋体"/>
                <w:sz w:val="18"/>
              </w:rPr>
            </w:pPr>
            <w:r>
              <w:rPr>
                <w:rFonts w:ascii="宋体" w:hAnsi="宋体"/>
                <w:sz w:val="18"/>
              </w:rPr>
              <w:t>01</w:t>
            </w:r>
          </w:p>
        </w:tc>
        <w:tc>
          <w:tcPr>
            <w:tcW w:w="4787" w:type="pct"/>
            <w:tcBorders>
              <w:right w:val="double" w:color="auto" w:sz="4" w:space="0"/>
            </w:tcBorders>
            <w:noWrap w:val="0"/>
            <w:vAlign w:val="center"/>
          </w:tcPr>
          <w:p>
            <w:pPr>
              <w:adjustRightInd w:val="0"/>
              <w:snapToGrid w:val="0"/>
              <w:spacing w:line="240" w:lineRule="exact"/>
              <w:ind w:right="-1" w:firstLine="86"/>
              <w:rPr>
                <w:rFonts w:ascii="宋体"/>
                <w:sz w:val="18"/>
              </w:rPr>
            </w:pPr>
            <w:r>
              <w:rPr>
                <w:rFonts w:hint="eastAsia" w:ascii="宋体" w:hAnsi="宋体"/>
                <w:sz w:val="18"/>
              </w:rPr>
              <w:t>您对本季度本行业总体运行状况的看法</w:t>
            </w:r>
            <w:r>
              <w:rPr>
                <w:rFonts w:ascii="宋体" w:hAnsi="宋体"/>
                <w:sz w:val="18"/>
              </w:rPr>
              <w:t xml:space="preserve">    </w:t>
            </w:r>
            <w:r>
              <w:rPr>
                <w:rFonts w:hint="eastAsia" w:ascii="宋体" w:hAnsi="宋体"/>
                <w:sz w:val="18"/>
              </w:rPr>
              <w:t>①良好</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ascii="宋体" w:hAnsi="宋体"/>
                <w:sz w:val="18"/>
              </w:rPr>
              <w:t xml:space="preserve">        </w:t>
            </w:r>
            <w:r>
              <w:rPr>
                <w:rFonts w:hint="eastAsia" w:ascii="宋体" w:hAnsi="宋体"/>
                <w:sz w:val="18"/>
              </w:rPr>
              <w:t>②一般</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sz w:val="18"/>
              </w:rPr>
              <w:t>③不佳</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223" w:hRule="atLeast"/>
          <w:jc w:val="center"/>
        </w:trPr>
        <w:tc>
          <w:tcPr>
            <w:tcW w:w="212" w:type="pct"/>
            <w:tcBorders>
              <w:left w:val="double" w:color="auto" w:sz="4" w:space="0"/>
            </w:tcBorders>
            <w:noWrap w:val="0"/>
            <w:vAlign w:val="center"/>
          </w:tcPr>
          <w:p>
            <w:pPr>
              <w:adjustRightInd w:val="0"/>
              <w:snapToGrid w:val="0"/>
              <w:spacing w:line="240" w:lineRule="exact"/>
              <w:jc w:val="center"/>
              <w:rPr>
                <w:rFonts w:ascii="宋体"/>
                <w:sz w:val="18"/>
              </w:rPr>
            </w:pPr>
            <w:r>
              <w:rPr>
                <w:rFonts w:ascii="宋体" w:hAnsi="宋体"/>
                <w:sz w:val="18"/>
              </w:rPr>
              <w:t xml:space="preserve">02 </w:t>
            </w:r>
          </w:p>
        </w:tc>
        <w:tc>
          <w:tcPr>
            <w:tcW w:w="4787" w:type="pct"/>
            <w:tcBorders>
              <w:right w:val="double" w:color="auto" w:sz="4" w:space="0"/>
            </w:tcBorders>
            <w:noWrap w:val="0"/>
            <w:vAlign w:val="center"/>
          </w:tcPr>
          <w:p>
            <w:pPr>
              <w:adjustRightInd w:val="0"/>
              <w:snapToGrid w:val="0"/>
              <w:spacing w:line="240" w:lineRule="exact"/>
              <w:ind w:firstLine="86"/>
              <w:rPr>
                <w:rFonts w:ascii="宋体"/>
                <w:sz w:val="18"/>
              </w:rPr>
            </w:pPr>
            <w:r>
              <w:rPr>
                <w:rFonts w:hint="eastAsia" w:ascii="宋体" w:hAnsi="宋体"/>
                <w:sz w:val="18"/>
              </w:rPr>
              <w:t>您对下季度本行业总体运行状况的预测</w:t>
            </w:r>
            <w:r>
              <w:rPr>
                <w:rFonts w:ascii="宋体" w:hAnsi="宋体"/>
                <w:sz w:val="18"/>
              </w:rPr>
              <w:t xml:space="preserve">    </w:t>
            </w:r>
            <w:r>
              <w:rPr>
                <w:rFonts w:hint="eastAsia" w:ascii="宋体" w:hAnsi="宋体"/>
                <w:sz w:val="18"/>
              </w:rPr>
              <w:t>①乐观</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②一般</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③不乐观</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213" w:hRule="atLeast"/>
          <w:jc w:val="center"/>
        </w:trPr>
        <w:tc>
          <w:tcPr>
            <w:tcW w:w="212" w:type="pct"/>
            <w:tcBorders>
              <w:left w:val="double" w:color="auto" w:sz="4" w:space="0"/>
            </w:tcBorders>
            <w:noWrap w:val="0"/>
            <w:vAlign w:val="center"/>
          </w:tcPr>
          <w:p>
            <w:pPr>
              <w:adjustRightInd w:val="0"/>
              <w:snapToGrid w:val="0"/>
              <w:spacing w:line="240" w:lineRule="exact"/>
              <w:jc w:val="center"/>
              <w:rPr>
                <w:rFonts w:ascii="宋体"/>
                <w:sz w:val="18"/>
              </w:rPr>
            </w:pPr>
            <w:r>
              <w:rPr>
                <w:rFonts w:ascii="宋体" w:hAnsi="宋体"/>
                <w:sz w:val="18"/>
              </w:rPr>
              <w:t xml:space="preserve">03 </w:t>
            </w:r>
          </w:p>
        </w:tc>
        <w:tc>
          <w:tcPr>
            <w:tcW w:w="4787" w:type="pct"/>
            <w:tcBorders>
              <w:right w:val="double" w:color="auto" w:sz="4" w:space="0"/>
            </w:tcBorders>
            <w:noWrap w:val="0"/>
            <w:vAlign w:val="center"/>
          </w:tcPr>
          <w:p>
            <w:pPr>
              <w:adjustRightInd w:val="0"/>
              <w:snapToGrid w:val="0"/>
              <w:spacing w:line="240" w:lineRule="exact"/>
              <w:ind w:firstLine="90"/>
              <w:rPr>
                <w:rFonts w:ascii="宋体"/>
                <w:sz w:val="18"/>
              </w:rPr>
            </w:pPr>
            <w:r>
              <w:rPr>
                <w:rFonts w:hint="eastAsia" w:ascii="宋体" w:hAnsi="宋体"/>
                <w:sz w:val="18"/>
              </w:rPr>
              <w:t>本季度企业综合经营状况</w:t>
            </w:r>
            <w:r>
              <w:rPr>
                <w:rFonts w:ascii="宋体" w:hAnsi="宋体"/>
                <w:sz w:val="18"/>
              </w:rPr>
              <w:t xml:space="preserve">                </w:t>
            </w:r>
            <w:r>
              <w:rPr>
                <w:rFonts w:hint="eastAsia" w:ascii="宋体" w:hAnsi="宋体"/>
                <w:sz w:val="18"/>
              </w:rPr>
              <w:t>①良好</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ascii="宋体" w:hAnsi="宋体"/>
                <w:sz w:val="18"/>
              </w:rPr>
              <w:t xml:space="preserve">            </w:t>
            </w:r>
            <w:r>
              <w:rPr>
                <w:rFonts w:hint="eastAsia" w:ascii="宋体" w:hAnsi="宋体"/>
                <w:sz w:val="18"/>
              </w:rPr>
              <w:t>②一般</w:t>
            </w:r>
            <w:r>
              <w:rPr>
                <w:rFonts w:ascii="宋体" w:hAnsi="宋体"/>
                <w:sz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sz w:val="18"/>
              </w:rPr>
              <w:t>③不佳</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124" w:hRule="atLeast"/>
          <w:jc w:val="center"/>
        </w:trPr>
        <w:tc>
          <w:tcPr>
            <w:tcW w:w="212" w:type="pct"/>
            <w:tcBorders>
              <w:left w:val="double" w:color="auto" w:sz="4" w:space="0"/>
              <w:bottom w:val="single" w:color="auto" w:sz="4" w:space="0"/>
            </w:tcBorders>
            <w:noWrap w:val="0"/>
            <w:vAlign w:val="center"/>
          </w:tcPr>
          <w:p>
            <w:pPr>
              <w:adjustRightInd w:val="0"/>
              <w:snapToGrid w:val="0"/>
              <w:spacing w:line="240" w:lineRule="exact"/>
              <w:jc w:val="center"/>
              <w:rPr>
                <w:rFonts w:ascii="宋体"/>
                <w:sz w:val="18"/>
              </w:rPr>
            </w:pPr>
            <w:r>
              <w:rPr>
                <w:rFonts w:ascii="宋体" w:hAnsi="宋体"/>
                <w:sz w:val="18"/>
              </w:rPr>
              <w:t xml:space="preserve">04 </w:t>
            </w:r>
          </w:p>
        </w:tc>
        <w:tc>
          <w:tcPr>
            <w:tcW w:w="4787" w:type="pct"/>
            <w:tcBorders>
              <w:bottom w:val="single" w:color="auto" w:sz="4" w:space="0"/>
              <w:right w:val="double" w:color="auto" w:sz="4" w:space="0"/>
            </w:tcBorders>
            <w:noWrap w:val="0"/>
            <w:vAlign w:val="center"/>
          </w:tcPr>
          <w:p>
            <w:pPr>
              <w:adjustRightInd w:val="0"/>
              <w:snapToGrid w:val="0"/>
              <w:spacing w:line="240" w:lineRule="exact"/>
              <w:ind w:firstLine="90"/>
              <w:rPr>
                <w:rFonts w:ascii="宋体"/>
                <w:sz w:val="18"/>
              </w:rPr>
            </w:pPr>
            <w:r>
              <w:rPr>
                <w:rFonts w:hint="eastAsia" w:ascii="宋体" w:hAnsi="宋体"/>
                <w:sz w:val="18"/>
              </w:rPr>
              <w:t>预计下季度企业综合经营状况</w:t>
            </w:r>
            <w:r>
              <w:rPr>
                <w:rFonts w:ascii="宋体" w:hAnsi="宋体"/>
                <w:sz w:val="18"/>
              </w:rPr>
              <w:t xml:space="preserve">            </w:t>
            </w:r>
            <w:r>
              <w:rPr>
                <w:rFonts w:hint="eastAsia" w:ascii="宋体" w:hAnsi="宋体"/>
                <w:sz w:val="18"/>
              </w:rPr>
              <w:t>①乐观</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②一般</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③不乐观</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38" w:hRule="atLeast"/>
          <w:jc w:val="center"/>
        </w:trPr>
        <w:tc>
          <w:tcPr>
            <w:tcW w:w="212" w:type="pct"/>
            <w:tcBorders>
              <w:left w:val="double" w:color="auto" w:sz="4" w:space="0"/>
              <w:bottom w:val="single" w:color="auto" w:sz="4"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05</w:t>
            </w:r>
          </w:p>
        </w:tc>
        <w:tc>
          <w:tcPr>
            <w:tcW w:w="4787" w:type="pct"/>
            <w:tcBorders>
              <w:bottom w:val="single" w:color="auto" w:sz="4" w:space="0"/>
              <w:right w:val="double" w:color="auto" w:sz="4" w:space="0"/>
            </w:tcBorders>
            <w:noWrap w:val="0"/>
            <w:vAlign w:val="center"/>
          </w:tcPr>
          <w:p>
            <w:pPr>
              <w:adjustRightInd w:val="0"/>
              <w:snapToGrid w:val="0"/>
              <w:spacing w:line="240" w:lineRule="exact"/>
              <w:ind w:firstLine="90"/>
              <w:rPr>
                <w:rFonts w:ascii="宋体" w:hAnsi="宋体"/>
                <w:sz w:val="18"/>
              </w:rPr>
            </w:pPr>
            <w:r>
              <w:rPr>
                <w:rFonts w:hint="eastAsia" w:ascii="宋体" w:hAnsi="宋体"/>
                <w:sz w:val="18"/>
              </w:rPr>
              <w:t xml:space="preserve">对下季度国内宏观经济形势的合理预期   </w:t>
            </w:r>
            <w:r>
              <w:rPr>
                <w:rFonts w:ascii="宋体" w:hAnsi="宋体"/>
                <w:sz w:val="18"/>
              </w:rPr>
              <w:t xml:space="preserve"> </w:t>
            </w:r>
            <w:r>
              <w:rPr>
                <w:rFonts w:hint="eastAsia" w:ascii="宋体" w:hAnsi="宋体"/>
                <w:sz w:val="18"/>
              </w:rPr>
              <w:t>①乐观</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②一般</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③不乐观</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205" w:hRule="atLeast"/>
          <w:jc w:val="center"/>
        </w:trPr>
        <w:tc>
          <w:tcPr>
            <w:tcW w:w="5000" w:type="pct"/>
            <w:gridSpan w:val="2"/>
            <w:tcBorders>
              <w:top w:val="double" w:color="auto" w:sz="4" w:space="0"/>
              <w:left w:val="double" w:color="auto" w:sz="4" w:space="0"/>
              <w:right w:val="double" w:color="auto" w:sz="4" w:space="0"/>
            </w:tcBorders>
            <w:noWrap w:val="0"/>
            <w:vAlign w:val="center"/>
          </w:tcPr>
          <w:p>
            <w:pPr>
              <w:adjustRightInd w:val="0"/>
              <w:snapToGrid w:val="0"/>
              <w:spacing w:line="240" w:lineRule="exact"/>
              <w:jc w:val="center"/>
              <w:rPr>
                <w:rFonts w:ascii="宋体"/>
                <w:sz w:val="18"/>
              </w:rPr>
            </w:pPr>
            <w:r>
              <w:rPr>
                <w:rFonts w:hint="eastAsia" w:ascii="宋体" w:hAnsi="宋体"/>
                <w:b/>
                <w:sz w:val="18"/>
              </w:rPr>
              <w:t>二、生产能力利用情况</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233" w:hRule="atLeast"/>
          <w:jc w:val="center"/>
        </w:trPr>
        <w:tc>
          <w:tcPr>
            <w:tcW w:w="212" w:type="pct"/>
            <w:tcBorders>
              <w:left w:val="double" w:color="auto" w:sz="4" w:space="0"/>
            </w:tcBorders>
            <w:noWrap w:val="0"/>
            <w:vAlign w:val="center"/>
          </w:tcPr>
          <w:p>
            <w:pPr>
              <w:adjustRightInd w:val="0"/>
              <w:spacing w:line="240" w:lineRule="exact"/>
              <w:jc w:val="center"/>
              <w:rPr>
                <w:rFonts w:ascii="宋体"/>
                <w:sz w:val="18"/>
              </w:rPr>
            </w:pPr>
            <w:r>
              <w:rPr>
                <w:rFonts w:ascii="宋体"/>
                <w:sz w:val="18"/>
              </w:rPr>
              <w:t>0</w:t>
            </w:r>
            <w:r>
              <w:rPr>
                <w:rFonts w:hint="eastAsia" w:ascii="宋体"/>
                <w:sz w:val="18"/>
              </w:rPr>
              <w:t>6</w:t>
            </w:r>
          </w:p>
        </w:tc>
        <w:tc>
          <w:tcPr>
            <w:tcW w:w="4787" w:type="pct"/>
            <w:tcBorders>
              <w:right w:val="double" w:color="auto" w:sz="4" w:space="0"/>
            </w:tcBorders>
            <w:noWrap w:val="0"/>
            <w:vAlign w:val="center"/>
          </w:tcPr>
          <w:p>
            <w:pPr>
              <w:tabs>
                <w:tab w:val="center" w:pos="9022"/>
              </w:tabs>
              <w:adjustRightInd w:val="0"/>
              <w:spacing w:line="240" w:lineRule="exact"/>
              <w:ind w:firstLine="90" w:firstLineChars="50"/>
              <w:rPr>
                <w:rFonts w:ascii="宋体"/>
                <w:sz w:val="18"/>
              </w:rPr>
            </w:pPr>
            <w:r>
              <w:rPr>
                <w:rFonts w:hint="eastAsia" w:ascii="宋体" w:hAnsi="宋体"/>
                <w:sz w:val="18"/>
              </w:rPr>
              <w:t>本季度企业主要产品生产能力利用率大约是</w:t>
            </w:r>
            <w:r>
              <w:rPr>
                <w:rFonts w:ascii="宋体" w:hAnsi="宋体"/>
                <w:sz w:val="18"/>
              </w:rPr>
              <w:t xml:space="preserve"> </w:t>
            </w:r>
            <w:r>
              <w:rPr>
                <w:rFonts w:ascii="宋体" w:hAnsi="宋体"/>
                <w:sz w:val="18"/>
                <w:u w:val="single"/>
              </w:rPr>
              <w:t xml:space="preserve">             </w:t>
            </w:r>
            <w:r>
              <w:rPr>
                <w:rFonts w:ascii="宋体" w:hAnsi="宋体"/>
                <w:sz w:val="18"/>
              </w:rPr>
              <w:t xml:space="preserve">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593" w:hRule="atLeast"/>
          <w:jc w:val="center"/>
        </w:trPr>
        <w:tc>
          <w:tcPr>
            <w:tcW w:w="212" w:type="pct"/>
            <w:tcBorders>
              <w:left w:val="double" w:color="auto" w:sz="4" w:space="0"/>
            </w:tcBorders>
            <w:noWrap w:val="0"/>
            <w:vAlign w:val="center"/>
          </w:tcPr>
          <w:p>
            <w:pPr>
              <w:adjustRightInd w:val="0"/>
              <w:spacing w:line="240" w:lineRule="exact"/>
              <w:jc w:val="center"/>
              <w:rPr>
                <w:rFonts w:ascii="宋体"/>
                <w:sz w:val="18"/>
              </w:rPr>
            </w:pPr>
            <w:r>
              <w:rPr>
                <w:rFonts w:ascii="宋体" w:hAnsi="宋体"/>
                <w:sz w:val="18"/>
              </w:rPr>
              <w:t>0</w:t>
            </w:r>
            <w:r>
              <w:rPr>
                <w:rFonts w:hint="eastAsia" w:ascii="宋体" w:hAnsi="宋体"/>
                <w:sz w:val="18"/>
              </w:rPr>
              <w:t>7</w:t>
            </w:r>
          </w:p>
        </w:tc>
        <w:tc>
          <w:tcPr>
            <w:tcW w:w="4787" w:type="pct"/>
            <w:tcBorders>
              <w:right w:val="double" w:color="auto" w:sz="4" w:space="0"/>
            </w:tcBorders>
            <w:noWrap w:val="0"/>
            <w:vAlign w:val="center"/>
          </w:tcPr>
          <w:p>
            <w:pPr>
              <w:adjustRightInd w:val="0"/>
              <w:snapToGrid w:val="0"/>
              <w:spacing w:line="240" w:lineRule="exact"/>
              <w:ind w:left="14" w:leftChars="7" w:firstLine="86" w:firstLineChars="50"/>
              <w:rPr>
                <w:rFonts w:ascii="宋体"/>
                <w:bCs/>
                <w:spacing w:val="-4"/>
                <w:sz w:val="18"/>
                <w:szCs w:val="18"/>
              </w:rPr>
            </w:pPr>
            <w:r>
              <w:rPr>
                <w:rFonts w:hint="eastAsia" w:ascii="宋体" w:hAnsi="宋体"/>
                <w:bCs/>
                <w:spacing w:val="-4"/>
                <w:sz w:val="18"/>
                <w:szCs w:val="18"/>
              </w:rPr>
              <w:t>本季度企业生产能力利用率与上季度相比</w:t>
            </w:r>
            <w:r>
              <w:rPr>
                <w:rFonts w:hint="eastAsia" w:ascii="宋体" w:hAnsi="宋体"/>
                <w:spacing w:val="-4"/>
                <w:sz w:val="18"/>
              </w:rPr>
              <w:t>（如选①，在问题08的①-⑦选项中进行选择，如选②，跳过问题08，如选③，在问题08的⑧-⑯选项中进行选择）</w:t>
            </w:r>
          </w:p>
          <w:p>
            <w:pPr>
              <w:adjustRightInd w:val="0"/>
              <w:snapToGrid w:val="0"/>
              <w:spacing w:line="240" w:lineRule="exact"/>
              <w:ind w:firstLine="30" w:firstLineChars="17"/>
              <w:rPr>
                <w:rFonts w:ascii="宋体"/>
                <w:sz w:val="18"/>
              </w:rPr>
            </w:pPr>
            <w:r>
              <w:rPr>
                <w:rFonts w:hint="eastAsia" w:ascii="宋体" w:hAnsi="宋体"/>
                <w:sz w:val="18"/>
              </w:rPr>
              <w:t>①提</w:t>
            </w:r>
            <w:r>
              <w:rPr>
                <w:rFonts w:hint="eastAsia" w:ascii="宋体" w:hAnsi="宋体"/>
                <w:bCs/>
                <w:sz w:val="18"/>
                <w:szCs w:val="18"/>
              </w:rPr>
              <w:t>高</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②不变</w:t>
            </w:r>
            <w:r>
              <w:rPr>
                <w:rFonts w:ascii="宋体" w:hAnsi="宋体"/>
                <w:bCs/>
                <w:sz w:val="18"/>
                <w:szCs w:val="18"/>
              </w:rPr>
              <w:t xml:space="preserve">                    </w:t>
            </w:r>
            <w:r>
              <w:rPr>
                <w:rFonts w:hint="eastAsia" w:ascii="宋体" w:hAnsi="宋体"/>
                <w:bCs/>
                <w:sz w:val="18"/>
                <w:szCs w:val="18"/>
              </w:rPr>
              <w:t>□</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③下降</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597" w:hRule="atLeast"/>
          <w:jc w:val="center"/>
        </w:trPr>
        <w:tc>
          <w:tcPr>
            <w:tcW w:w="212" w:type="pct"/>
            <w:tcBorders>
              <w:left w:val="double" w:color="auto" w:sz="4" w:space="0"/>
            </w:tcBorders>
            <w:noWrap w:val="0"/>
            <w:vAlign w:val="center"/>
          </w:tcPr>
          <w:p>
            <w:pPr>
              <w:adjustRightInd w:val="0"/>
              <w:snapToGrid w:val="0"/>
              <w:spacing w:line="240" w:lineRule="exact"/>
              <w:jc w:val="center"/>
              <w:rPr>
                <w:rFonts w:ascii="宋体" w:hAnsi="宋体"/>
                <w:sz w:val="18"/>
              </w:rPr>
            </w:pPr>
            <w:r>
              <w:rPr>
                <w:rFonts w:ascii="宋体" w:hAnsi="宋体"/>
                <w:sz w:val="18"/>
              </w:rPr>
              <w:t>0</w:t>
            </w:r>
            <w:r>
              <w:rPr>
                <w:rFonts w:hint="eastAsia" w:ascii="宋体" w:hAnsi="宋体"/>
                <w:sz w:val="18"/>
              </w:rPr>
              <w:t>8</w:t>
            </w:r>
          </w:p>
          <w:p>
            <w:pPr>
              <w:tabs>
                <w:tab w:val="left" w:pos="5220"/>
                <w:tab w:val="left" w:pos="6435"/>
                <w:tab w:val="left" w:pos="6585"/>
              </w:tabs>
              <w:adjustRightInd w:val="0"/>
              <w:snapToGrid w:val="0"/>
              <w:spacing w:line="240" w:lineRule="exact"/>
              <w:jc w:val="center"/>
              <w:rPr>
                <w:rFonts w:ascii="宋体"/>
                <w:sz w:val="18"/>
              </w:rPr>
            </w:pPr>
          </w:p>
        </w:tc>
        <w:tc>
          <w:tcPr>
            <w:tcW w:w="4787" w:type="pct"/>
            <w:tcBorders>
              <w:bottom w:val="double" w:color="auto" w:sz="4" w:space="0"/>
              <w:right w:val="double" w:color="auto" w:sz="4" w:space="0"/>
            </w:tcBorders>
            <w:noWrap w:val="0"/>
            <w:vAlign w:val="center"/>
          </w:tcPr>
          <w:p>
            <w:pPr>
              <w:adjustRightInd w:val="0"/>
              <w:snapToGrid w:val="0"/>
              <w:spacing w:line="240" w:lineRule="exact"/>
              <w:ind w:firstLine="90" w:firstLineChars="50"/>
              <w:rPr>
                <w:rFonts w:ascii="宋体"/>
                <w:sz w:val="18"/>
              </w:rPr>
            </w:pPr>
            <w:r>
              <w:rPr>
                <w:rFonts w:hint="eastAsia" w:ascii="宋体" w:hAnsi="宋体"/>
                <w:sz w:val="18"/>
              </w:rPr>
              <w:t>本企业生产能力利用率发生变化的主要原因是</w:t>
            </w:r>
            <w:r>
              <w:rPr>
                <w:rFonts w:ascii="宋体" w:hAnsi="宋体"/>
                <w:sz w:val="18"/>
              </w:rPr>
              <w:t>(</w:t>
            </w:r>
            <w:r>
              <w:rPr>
                <w:rFonts w:hint="eastAsia" w:ascii="宋体" w:hAnsi="宋体"/>
                <w:sz w:val="18"/>
              </w:rPr>
              <w:t>可多选，最多选</w:t>
            </w:r>
            <w:r>
              <w:rPr>
                <w:rFonts w:ascii="宋体" w:hAnsi="宋体"/>
                <w:sz w:val="18"/>
              </w:rPr>
              <w:t>3</w:t>
            </w:r>
            <w:r>
              <w:rPr>
                <w:rFonts w:hint="eastAsia" w:ascii="宋体" w:hAnsi="宋体"/>
                <w:sz w:val="18"/>
              </w:rPr>
              <w:t>项</w:t>
            </w:r>
            <w:r>
              <w:rPr>
                <w:rFonts w:ascii="宋体" w:hAnsi="宋体"/>
                <w:sz w:val="18"/>
              </w:rPr>
              <w:t>)</w:t>
            </w:r>
          </w:p>
          <w:p>
            <w:pPr>
              <w:adjustRightInd w:val="0"/>
              <w:snapToGrid w:val="0"/>
              <w:spacing w:line="240" w:lineRule="exact"/>
              <w:ind w:left="14" w:leftChars="7" w:right="83"/>
              <w:rPr>
                <w:rFonts w:ascii="宋体"/>
                <w:sz w:val="18"/>
              </w:rPr>
            </w:pPr>
            <w:r>
              <w:rPr>
                <w:rFonts w:hint="eastAsia" w:ascii="宋体" w:hAnsi="宋体"/>
                <w:sz w:val="18"/>
              </w:rPr>
              <w:t>①市场需求大、订单增加</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②技术改造、生产效率提升</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③产品竞争优势增强</w:t>
            </w:r>
            <w:r>
              <w:rPr>
                <w:rFonts w:ascii="宋体" w:hAnsi="宋体"/>
                <w:sz w:val="18"/>
              </w:rPr>
              <w:t xml:space="preserve">        </w:t>
            </w:r>
            <w:r>
              <w:rPr>
                <w:rFonts w:hint="eastAsia" w:ascii="宋体" w:hAnsi="宋体"/>
                <w:sz w:val="18"/>
              </w:rPr>
              <w:t>□</w:t>
            </w:r>
          </w:p>
          <w:p>
            <w:pPr>
              <w:adjustRightInd w:val="0"/>
              <w:snapToGrid w:val="0"/>
              <w:spacing w:line="240" w:lineRule="exact"/>
              <w:ind w:left="14" w:leftChars="7" w:right="83"/>
              <w:rPr>
                <w:rFonts w:ascii="宋体"/>
                <w:sz w:val="18"/>
              </w:rPr>
            </w:pPr>
            <w:r>
              <w:rPr>
                <w:rFonts w:hint="eastAsia" w:ascii="宋体" w:hAnsi="宋体"/>
                <w:sz w:val="18"/>
              </w:rPr>
              <w:t>④劳动力供应改善</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⑤资金状况改善</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⑥产能减少</w:t>
            </w:r>
            <w:r>
              <w:rPr>
                <w:rFonts w:ascii="宋体" w:hAnsi="宋体"/>
                <w:sz w:val="18"/>
              </w:rPr>
              <w:t xml:space="preserve">                </w:t>
            </w:r>
            <w:r>
              <w:rPr>
                <w:rFonts w:hint="eastAsia" w:ascii="宋体" w:hAnsi="宋体"/>
                <w:sz w:val="18"/>
              </w:rPr>
              <w:t>□</w:t>
            </w:r>
          </w:p>
          <w:p>
            <w:pPr>
              <w:adjustRightInd w:val="0"/>
              <w:snapToGrid w:val="0"/>
              <w:spacing w:line="240" w:lineRule="exact"/>
              <w:ind w:left="14" w:leftChars="7" w:right="83"/>
              <w:rPr>
                <w:rFonts w:ascii="宋体"/>
                <w:sz w:val="18"/>
              </w:rPr>
            </w:pPr>
            <w:r>
              <w:rPr>
                <w:rFonts w:hint="eastAsia" w:ascii="宋体" w:hAnsi="宋体"/>
                <w:sz w:val="18"/>
              </w:rPr>
              <w:t>⑦其他（请注明）</w:t>
            </w:r>
            <w:r>
              <w:rPr>
                <w:rFonts w:ascii="宋体" w:hAnsi="宋体"/>
                <w:sz w:val="18"/>
                <w:u w:val="single"/>
              </w:rPr>
              <w:t xml:space="preserve">           </w:t>
            </w:r>
            <w:r>
              <w:rPr>
                <w:rFonts w:ascii="宋体" w:hAnsi="宋体"/>
                <w:sz w:val="18"/>
              </w:rPr>
              <w:t xml:space="preserve"> </w:t>
            </w:r>
            <w:r>
              <w:rPr>
                <w:rFonts w:hint="eastAsia" w:ascii="宋体" w:hAnsi="宋体"/>
                <w:sz w:val="18"/>
              </w:rPr>
              <w:t>□</w:t>
            </w:r>
          </w:p>
          <w:p>
            <w:pPr>
              <w:pStyle w:val="22"/>
              <w:adjustRightInd w:val="0"/>
              <w:snapToGrid w:val="0"/>
              <w:spacing w:line="240" w:lineRule="exact"/>
              <w:ind w:left="22" w:right="83" w:firstLine="0" w:firstLineChars="0"/>
              <w:rPr>
                <w:rFonts w:ascii="宋体"/>
                <w:sz w:val="18"/>
              </w:rPr>
            </w:pPr>
            <w:r>
              <w:rPr>
                <w:rFonts w:hint="eastAsia" w:ascii="宋体" w:hAnsi="宋体"/>
                <w:sz w:val="18"/>
              </w:rPr>
              <w:t>⑧产品需求减少、订单不足</w:t>
            </w:r>
            <w:r>
              <w:rPr>
                <w:rFonts w:ascii="宋体" w:hAnsi="宋体"/>
                <w:bCs/>
                <w:sz w:val="18"/>
                <w:szCs w:val="18"/>
              </w:rPr>
              <w:t xml:space="preserve">  </w:t>
            </w:r>
            <w:r>
              <w:rPr>
                <w:rFonts w:ascii="宋体" w:hAnsi="宋体"/>
                <w:sz w:val="18"/>
              </w:rPr>
              <w:t xml:space="preserve">  </w:t>
            </w:r>
            <w:r>
              <w:rPr>
                <w:rFonts w:hint="eastAsia" w:ascii="宋体" w:hAnsi="宋体"/>
                <w:sz w:val="18"/>
              </w:rPr>
              <w:t>□</w:t>
            </w:r>
            <w:r>
              <w:rPr>
                <w:rFonts w:ascii="宋体" w:hAnsi="宋体"/>
                <w:bCs/>
                <w:sz w:val="18"/>
                <w:szCs w:val="18"/>
              </w:rPr>
              <w:t xml:space="preserve">      </w:t>
            </w:r>
            <w:r>
              <w:rPr>
                <w:rFonts w:hint="eastAsia" w:ascii="宋体" w:hAnsi="宋体"/>
                <w:sz w:val="18"/>
              </w:rPr>
              <w:t>⑨产品竞争力不足</w:t>
            </w:r>
            <w:r>
              <w:rPr>
                <w:rFonts w:ascii="宋体" w:hAnsi="宋体"/>
                <w:bCs/>
                <w:sz w:val="18"/>
                <w:szCs w:val="18"/>
              </w:rPr>
              <w:t xml:space="preserve">          </w:t>
            </w:r>
            <w:r>
              <w:rPr>
                <w:rFonts w:hint="eastAsia" w:ascii="宋体" w:hAnsi="宋体"/>
                <w:sz w:val="18"/>
              </w:rPr>
              <w:t>□</w:t>
            </w:r>
            <w:r>
              <w:rPr>
                <w:rFonts w:ascii="宋体" w:hAnsi="宋体"/>
                <w:bCs/>
                <w:sz w:val="18"/>
                <w:szCs w:val="18"/>
              </w:rPr>
              <w:t xml:space="preserve">     </w:t>
            </w:r>
            <w:r>
              <w:rPr>
                <w:rFonts w:hint="eastAsia" w:ascii="宋体" w:hAnsi="宋体"/>
                <w:sz w:val="18"/>
              </w:rPr>
              <w:t>⑩设备检修、调试或搬迁</w:t>
            </w:r>
            <w:r>
              <w:rPr>
                <w:rFonts w:ascii="宋体" w:hAnsi="宋体"/>
                <w:sz w:val="18"/>
              </w:rPr>
              <w:t xml:space="preserve">    </w:t>
            </w:r>
            <w:r>
              <w:rPr>
                <w:rFonts w:hint="eastAsia" w:ascii="宋体" w:hAnsi="宋体"/>
                <w:sz w:val="18"/>
              </w:rPr>
              <w:t>□</w:t>
            </w:r>
          </w:p>
          <w:p>
            <w:pPr>
              <w:pStyle w:val="22"/>
              <w:adjustRightInd w:val="0"/>
              <w:snapToGrid w:val="0"/>
              <w:spacing w:line="240" w:lineRule="exact"/>
              <w:ind w:left="22" w:right="83" w:firstLine="0" w:firstLineChars="0"/>
              <w:rPr>
                <w:rFonts w:ascii="宋体"/>
                <w:sz w:val="18"/>
              </w:rPr>
            </w:pPr>
            <w:r>
              <w:rPr>
                <w:rFonts w:hint="eastAsia" w:ascii="宋体" w:hAnsi="宋体"/>
                <w:sz w:val="18"/>
              </w:rPr>
              <w:t>⑪劳动力供应不足</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rPr>
              <w:t>□</w:t>
            </w:r>
            <w:r>
              <w:rPr>
                <w:rFonts w:ascii="宋体" w:hAnsi="宋体"/>
                <w:bCs/>
                <w:sz w:val="18"/>
                <w:szCs w:val="18"/>
              </w:rPr>
              <w:t xml:space="preserve">      </w:t>
            </w:r>
            <w:r>
              <w:rPr>
                <w:rFonts w:hint="eastAsia" w:ascii="宋体" w:hAnsi="宋体"/>
                <w:sz w:val="18"/>
              </w:rPr>
              <w:t>⑫资金紧张</w:t>
            </w:r>
            <w:r>
              <w:rPr>
                <w:rFonts w:ascii="宋体" w:hAnsi="宋体"/>
                <w:sz w:val="18"/>
              </w:rPr>
              <w:t xml:space="preserve">        </w:t>
            </w:r>
            <w:r>
              <w:rPr>
                <w:rFonts w:ascii="宋体" w:hAnsi="宋体"/>
                <w:bCs/>
                <w:sz w:val="18"/>
                <w:szCs w:val="18"/>
              </w:rPr>
              <w:t xml:space="preserve">        </w:t>
            </w:r>
            <w:r>
              <w:rPr>
                <w:rFonts w:hint="eastAsia" w:ascii="宋体" w:hAnsi="宋体"/>
                <w:sz w:val="18"/>
              </w:rPr>
              <w:t>□</w:t>
            </w:r>
            <w:r>
              <w:rPr>
                <w:rFonts w:ascii="宋体" w:hAnsi="宋体"/>
                <w:bCs/>
                <w:sz w:val="18"/>
                <w:szCs w:val="18"/>
              </w:rPr>
              <w:t xml:space="preserve">     </w:t>
            </w:r>
            <w:r>
              <w:rPr>
                <w:rFonts w:hint="eastAsia" w:ascii="宋体" w:hAnsi="宋体"/>
                <w:sz w:val="18"/>
              </w:rPr>
              <w:t>⑬季节性减产</w:t>
            </w:r>
            <w:r>
              <w:rPr>
                <w:rFonts w:ascii="宋体" w:hAnsi="宋体"/>
                <w:sz w:val="18"/>
              </w:rPr>
              <w:t xml:space="preserve">              </w:t>
            </w:r>
            <w:r>
              <w:rPr>
                <w:rFonts w:hint="eastAsia" w:ascii="宋体" w:hAnsi="宋体"/>
                <w:sz w:val="18"/>
              </w:rPr>
              <w:t>□</w:t>
            </w:r>
            <w:r>
              <w:rPr>
                <w:rFonts w:ascii="宋体" w:hAnsi="宋体"/>
                <w:sz w:val="18"/>
              </w:rPr>
              <w:t xml:space="preserve">  </w:t>
            </w:r>
          </w:p>
          <w:p>
            <w:pPr>
              <w:pStyle w:val="22"/>
              <w:adjustRightInd w:val="0"/>
              <w:snapToGrid w:val="0"/>
              <w:spacing w:line="240" w:lineRule="exact"/>
              <w:ind w:left="22" w:right="83" w:firstLine="0" w:firstLineChars="0"/>
              <w:rPr>
                <w:rFonts w:ascii="宋体"/>
                <w:sz w:val="18"/>
              </w:rPr>
            </w:pPr>
            <w:r>
              <w:rPr>
                <w:rFonts w:hint="eastAsia" w:ascii="宋体" w:hAnsi="宋体"/>
                <w:sz w:val="18"/>
              </w:rPr>
              <w:t>⑭原材料供应不足</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rPr>
              <w:t>□</w:t>
            </w:r>
            <w:r>
              <w:rPr>
                <w:rFonts w:ascii="宋体" w:hAnsi="宋体"/>
                <w:bCs/>
                <w:sz w:val="18"/>
                <w:szCs w:val="18"/>
              </w:rPr>
              <w:t xml:space="preserve">      </w:t>
            </w:r>
            <w:r>
              <w:rPr>
                <w:rFonts w:hint="eastAsia" w:ascii="宋体" w:hAnsi="宋体"/>
                <w:sz w:val="18"/>
              </w:rPr>
              <w:t>⑮产能增加</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⑯</w:t>
            </w:r>
            <w:r>
              <w:rPr>
                <w:rFonts w:hint="eastAsia" w:ascii="宋体" w:hAnsi="宋体"/>
                <w:sz w:val="18"/>
              </w:rPr>
              <w:t>其他（请注明）</w:t>
            </w:r>
            <w:r>
              <w:rPr>
                <w:rFonts w:ascii="宋体" w:hAnsi="宋体"/>
                <w:sz w:val="18"/>
                <w:u w:val="single"/>
              </w:rPr>
              <w:t xml:space="preserve">         </w:t>
            </w:r>
            <w:r>
              <w:rPr>
                <w:rFonts w:ascii="宋体" w:hAnsi="宋体"/>
                <w:sz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129" w:hRule="atLeast"/>
          <w:jc w:val="center"/>
        </w:trPr>
        <w:tc>
          <w:tcPr>
            <w:tcW w:w="5000" w:type="pct"/>
            <w:gridSpan w:val="2"/>
            <w:tcBorders>
              <w:top w:val="double" w:color="auto" w:sz="4" w:space="0"/>
              <w:left w:val="double" w:color="auto" w:sz="4" w:space="0"/>
              <w:bottom w:val="single" w:color="auto" w:sz="2" w:space="0"/>
              <w:right w:val="double" w:color="auto" w:sz="4" w:space="0"/>
            </w:tcBorders>
            <w:noWrap w:val="0"/>
            <w:vAlign w:val="center"/>
          </w:tcPr>
          <w:p>
            <w:pPr>
              <w:adjustRightInd w:val="0"/>
              <w:snapToGrid w:val="0"/>
              <w:spacing w:line="240" w:lineRule="exact"/>
              <w:jc w:val="center"/>
              <w:rPr>
                <w:rFonts w:ascii="宋体"/>
                <w:sz w:val="18"/>
              </w:rPr>
            </w:pPr>
            <w:r>
              <w:rPr>
                <w:rFonts w:hint="eastAsia" w:ascii="宋体" w:hAnsi="宋体"/>
                <w:b/>
                <w:bCs/>
                <w:sz w:val="18"/>
                <w:szCs w:val="18"/>
              </w:rPr>
              <w:t>三、企业资金和成本情况</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80"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bCs/>
                <w:sz w:val="18"/>
                <w:szCs w:val="18"/>
              </w:rPr>
            </w:pPr>
            <w:r>
              <w:rPr>
                <w:rFonts w:ascii="宋体" w:hAnsi="宋体"/>
                <w:bCs/>
                <w:sz w:val="18"/>
                <w:szCs w:val="18"/>
              </w:rPr>
              <w:t>0</w:t>
            </w:r>
            <w:r>
              <w:rPr>
                <w:rFonts w:hint="eastAsia" w:ascii="宋体" w:hAnsi="宋体"/>
                <w:bCs/>
                <w:sz w:val="18"/>
                <w:szCs w:val="18"/>
              </w:rPr>
              <w:t>9</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adjustRightInd w:val="0"/>
              <w:snapToGrid w:val="0"/>
              <w:spacing w:line="240" w:lineRule="exact"/>
              <w:ind w:left="14" w:leftChars="7"/>
              <w:rPr>
                <w:rFonts w:ascii="宋体"/>
                <w:b/>
                <w:bCs/>
                <w:sz w:val="18"/>
                <w:szCs w:val="18"/>
              </w:rPr>
            </w:pPr>
            <w:r>
              <w:rPr>
                <w:rFonts w:hint="eastAsia" w:ascii="宋体" w:hAnsi="宋体"/>
                <w:bCs/>
                <w:sz w:val="18"/>
                <w:szCs w:val="18"/>
              </w:rPr>
              <w:t>本季度资金周转情况</w:t>
            </w:r>
            <w:r>
              <w:rPr>
                <w:rFonts w:ascii="宋体" w:hAnsi="宋体"/>
                <w:bCs/>
                <w:sz w:val="18"/>
                <w:szCs w:val="18"/>
              </w:rPr>
              <w:t xml:space="preserve">             </w:t>
            </w:r>
            <w:r>
              <w:rPr>
                <w:rFonts w:hint="eastAsia" w:ascii="宋体" w:hAnsi="宋体"/>
                <w:sz w:val="18"/>
              </w:rPr>
              <w:t>①</w:t>
            </w:r>
            <w:r>
              <w:rPr>
                <w:rFonts w:hint="eastAsia" w:ascii="宋体" w:hAnsi="宋体"/>
                <w:bCs/>
                <w:sz w:val="18"/>
                <w:szCs w:val="18"/>
              </w:rPr>
              <w:t>资金紧张</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②</w:t>
            </w:r>
            <w:r>
              <w:rPr>
                <w:rFonts w:hint="eastAsia" w:ascii="宋体" w:hAnsi="宋体"/>
                <w:bCs/>
                <w:sz w:val="18"/>
                <w:szCs w:val="18"/>
              </w:rPr>
              <w:t>基本正常</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③</w:t>
            </w:r>
            <w:r>
              <w:rPr>
                <w:rFonts w:hint="eastAsia" w:ascii="宋体" w:hAnsi="宋体"/>
                <w:bCs/>
                <w:sz w:val="18"/>
                <w:szCs w:val="18"/>
              </w:rPr>
              <w:t>资金充裕</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225"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bCs/>
                <w:sz w:val="18"/>
                <w:szCs w:val="18"/>
              </w:rPr>
            </w:pPr>
            <w:r>
              <w:rPr>
                <w:rFonts w:hint="eastAsia" w:ascii="宋体" w:hAnsi="宋体"/>
                <w:bCs/>
                <w:sz w:val="18"/>
                <w:szCs w:val="18"/>
              </w:rPr>
              <w:t>10</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pStyle w:val="22"/>
              <w:adjustRightInd w:val="0"/>
              <w:snapToGrid w:val="0"/>
              <w:spacing w:line="240" w:lineRule="exact"/>
              <w:ind w:left="16" w:firstLine="0" w:firstLineChars="0"/>
              <w:rPr>
                <w:rFonts w:ascii="宋体"/>
                <w:b/>
                <w:bCs/>
                <w:sz w:val="18"/>
                <w:szCs w:val="18"/>
              </w:rPr>
            </w:pPr>
            <w:r>
              <w:rPr>
                <w:rFonts w:hint="eastAsia" w:ascii="宋体" w:hAnsi="宋体"/>
                <w:sz w:val="18"/>
              </w:rPr>
              <w:t>本季度企业应收账款情况</w:t>
            </w:r>
            <w:r>
              <w:rPr>
                <w:rFonts w:ascii="宋体" w:hAnsi="宋体"/>
                <w:sz w:val="18"/>
              </w:rPr>
              <w:t xml:space="preserve">         </w:t>
            </w:r>
            <w:r>
              <w:rPr>
                <w:rFonts w:hint="eastAsia" w:ascii="宋体" w:hAnsi="宋体"/>
                <w:sz w:val="18"/>
              </w:rPr>
              <w:t>①高于正常水平</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②处于正常水平</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③低于正常水平</w:t>
            </w:r>
            <w:r>
              <w:rPr>
                <w:rFonts w:ascii="宋体" w:hAnsi="宋体"/>
                <w:sz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69"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11</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adjustRightInd w:val="0"/>
              <w:snapToGrid w:val="0"/>
              <w:spacing w:line="240" w:lineRule="exact"/>
              <w:ind w:left="14" w:leftChars="7" w:right="151" w:rightChars="72"/>
              <w:rPr>
                <w:rFonts w:ascii="宋体"/>
                <w:bCs/>
                <w:sz w:val="18"/>
                <w:szCs w:val="18"/>
              </w:rPr>
            </w:pPr>
            <w:r>
              <w:rPr>
                <w:rFonts w:hint="eastAsia" w:ascii="宋体" w:hAnsi="宋体"/>
                <w:sz w:val="18"/>
              </w:rPr>
              <w:t>企业融资成本比上季度</w:t>
            </w:r>
            <w:r>
              <w:rPr>
                <w:rFonts w:ascii="宋体" w:hAnsi="宋体"/>
                <w:sz w:val="18"/>
              </w:rPr>
              <w:t xml:space="preserve">           </w:t>
            </w:r>
            <w:r>
              <w:rPr>
                <w:rFonts w:hint="eastAsia" w:ascii="宋体" w:hAnsi="宋体"/>
                <w:sz w:val="18"/>
              </w:rPr>
              <w:t>①上升</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②持平</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③下降</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④无融资需求</w:t>
            </w:r>
            <w:r>
              <w:rPr>
                <w:rFonts w:ascii="宋体" w:hAnsi="宋体"/>
                <w:sz w:val="18"/>
              </w:rPr>
              <w:t xml:space="preserve"> </w:t>
            </w:r>
            <w:r>
              <w:rPr>
                <w:rFonts w:hint="eastAsia" w:ascii="宋体" w:hAnsi="宋体"/>
                <w:sz w:val="18"/>
              </w:rPr>
              <w:t>　</w:t>
            </w:r>
            <w:r>
              <w:rPr>
                <w:rFonts w:ascii="宋体" w:hAnsi="宋体"/>
                <w:sz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344"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12</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adjustRightInd w:val="0"/>
              <w:snapToGrid w:val="0"/>
              <w:spacing w:line="240" w:lineRule="exact"/>
              <w:ind w:right="151" w:rightChars="72" w:firstLine="111" w:firstLineChars="62"/>
              <w:rPr>
                <w:rFonts w:ascii="宋体" w:hAnsi="宋体"/>
                <w:sz w:val="18"/>
              </w:rPr>
            </w:pPr>
            <w:r>
              <w:rPr>
                <w:rFonts w:hint="eastAsia" w:ascii="宋体" w:hAnsi="宋体"/>
                <w:bCs/>
                <w:sz w:val="18"/>
                <w:szCs w:val="18"/>
              </w:rPr>
              <w:t>企业融资难易程度（</w:t>
            </w:r>
            <w:r>
              <w:rPr>
                <w:rFonts w:hint="eastAsia" w:ascii="宋体" w:hAnsi="宋体"/>
                <w:sz w:val="18"/>
              </w:rPr>
              <w:t>如选</w:t>
            </w:r>
            <w:r>
              <w:rPr>
                <w:rFonts w:hint="eastAsia" w:ascii="宋体" w:hAnsi="宋体"/>
                <w:bCs/>
                <w:sz w:val="18"/>
                <w:szCs w:val="18"/>
              </w:rPr>
              <w:t>③④</w:t>
            </w:r>
            <w:r>
              <w:rPr>
                <w:rFonts w:hint="eastAsia" w:ascii="宋体" w:hAnsi="宋体"/>
                <w:sz w:val="18"/>
              </w:rPr>
              <w:t>⑤，跳过问题13</w:t>
            </w:r>
            <w:r>
              <w:rPr>
                <w:rFonts w:hint="eastAsia" w:ascii="宋体" w:hAnsi="宋体"/>
                <w:bCs/>
                <w:sz w:val="18"/>
                <w:szCs w:val="18"/>
              </w:rPr>
              <w:t>）</w:t>
            </w:r>
            <w:r>
              <w:rPr>
                <w:rFonts w:ascii="宋体" w:hAnsi="宋体"/>
                <w:sz w:val="18"/>
                <w:szCs w:val="18"/>
              </w:rPr>
              <w:t xml:space="preserve">   </w:t>
            </w:r>
            <w:r>
              <w:rPr>
                <w:rFonts w:ascii="宋体" w:hAnsi="宋体"/>
                <w:sz w:val="18"/>
              </w:rPr>
              <w:t xml:space="preserve"> </w:t>
            </w:r>
          </w:p>
          <w:p>
            <w:pPr>
              <w:adjustRightInd w:val="0"/>
              <w:snapToGrid w:val="0"/>
              <w:spacing w:line="240" w:lineRule="exact"/>
              <w:ind w:right="151" w:rightChars="72"/>
              <w:rPr>
                <w:rFonts w:ascii="宋体"/>
                <w:bCs/>
                <w:sz w:val="18"/>
                <w:szCs w:val="18"/>
              </w:rPr>
            </w:pPr>
            <w:r>
              <w:rPr>
                <w:rFonts w:hint="eastAsia" w:ascii="宋体" w:hAnsi="宋体"/>
                <w:sz w:val="18"/>
              </w:rPr>
              <w:t>①</w:t>
            </w:r>
            <w:r>
              <w:rPr>
                <w:rFonts w:hint="eastAsia" w:ascii="宋体" w:hAnsi="宋体"/>
                <w:bCs/>
                <w:sz w:val="18"/>
                <w:szCs w:val="18"/>
              </w:rPr>
              <w:t>很困难</w:t>
            </w:r>
            <w:r>
              <w:rPr>
                <w:rFonts w:ascii="宋体" w:hAnsi="宋体"/>
                <w:sz w:val="18"/>
                <w:szCs w:val="18"/>
              </w:rPr>
              <w:t xml:space="preserve">  </w:t>
            </w:r>
            <w:r>
              <w:rPr>
                <w:rFonts w:ascii="宋体" w:hAnsi="宋体"/>
                <w:bCs/>
                <w:sz w:val="18"/>
                <w:szCs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bCs/>
                <w:sz w:val="18"/>
                <w:szCs w:val="18"/>
              </w:rPr>
              <w:t>②比较困难</w:t>
            </w:r>
            <w:r>
              <w:rPr>
                <w:rFonts w:ascii="宋体" w:hAnsi="宋体"/>
                <w:sz w:val="18"/>
                <w:szCs w:val="18"/>
              </w:rPr>
              <w:t xml:space="preserve">  </w:t>
            </w:r>
            <w:r>
              <w:rPr>
                <w:rFonts w:ascii="宋体" w:hAnsi="宋体"/>
                <w:bCs/>
                <w:sz w:val="18"/>
                <w:szCs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bCs/>
                <w:sz w:val="18"/>
                <w:szCs w:val="18"/>
              </w:rPr>
              <w:t>③一般</w:t>
            </w:r>
            <w:r>
              <w:rPr>
                <w:rFonts w:ascii="宋体" w:hAnsi="宋体"/>
                <w:sz w:val="18"/>
                <w:szCs w:val="18"/>
              </w:rPr>
              <w:t xml:space="preserve">  </w:t>
            </w:r>
            <w:r>
              <w:rPr>
                <w:rFonts w:ascii="宋体" w:hAnsi="宋体"/>
                <w:bCs/>
                <w:sz w:val="18"/>
                <w:szCs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bCs/>
                <w:sz w:val="18"/>
                <w:szCs w:val="18"/>
              </w:rPr>
              <w:t>④比较容易</w:t>
            </w:r>
            <w:r>
              <w:rPr>
                <w:rFonts w:ascii="宋体" w:hAnsi="宋体"/>
                <w:sz w:val="18"/>
                <w:szCs w:val="18"/>
              </w:rPr>
              <w:t xml:space="preserve">  </w:t>
            </w:r>
            <w:r>
              <w:rPr>
                <w:rFonts w:ascii="宋体" w:hAnsi="宋体"/>
                <w:bCs/>
                <w:sz w:val="18"/>
                <w:szCs w:val="18"/>
              </w:rPr>
              <w:t xml:space="preserve"> </w:t>
            </w:r>
            <w:r>
              <w:rPr>
                <w:rFonts w:hint="eastAsia" w:ascii="宋体" w:hAnsi="宋体"/>
                <w:sz w:val="18"/>
                <w:szCs w:val="18"/>
              </w:rPr>
              <w:t>□</w:t>
            </w:r>
            <w:r>
              <w:rPr>
                <w:rFonts w:ascii="宋体" w:hAnsi="宋体"/>
                <w:sz w:val="18"/>
                <w:szCs w:val="18"/>
              </w:rPr>
              <w:t xml:space="preserve">       </w:t>
            </w:r>
            <w:r>
              <w:rPr>
                <w:rFonts w:hint="eastAsia" w:ascii="宋体" w:hAnsi="宋体"/>
                <w:sz w:val="18"/>
              </w:rPr>
              <w:t>⑤</w:t>
            </w:r>
            <w:r>
              <w:rPr>
                <w:rFonts w:hint="eastAsia" w:ascii="宋体" w:hAnsi="宋体"/>
                <w:bCs/>
                <w:sz w:val="18"/>
                <w:szCs w:val="18"/>
              </w:rPr>
              <w:t>无融资需求</w:t>
            </w:r>
            <w:r>
              <w:rPr>
                <w:rFonts w:ascii="宋体" w:hAnsi="宋体"/>
                <w:sz w:val="18"/>
                <w:szCs w:val="18"/>
              </w:rPr>
              <w:t xml:space="preserve">  </w:t>
            </w:r>
            <w:r>
              <w:rPr>
                <w:rFonts w:ascii="宋体" w:hAnsi="宋体"/>
                <w:bCs/>
                <w:sz w:val="18"/>
                <w:szCs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191"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13</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adjustRightInd w:val="0"/>
              <w:snapToGrid w:val="0"/>
              <w:spacing w:line="240" w:lineRule="exact"/>
              <w:ind w:right="151" w:rightChars="72" w:firstLine="90" w:firstLineChars="50"/>
              <w:rPr>
                <w:rFonts w:ascii="宋体"/>
                <w:bCs/>
                <w:sz w:val="18"/>
                <w:szCs w:val="18"/>
              </w:rPr>
            </w:pPr>
            <w:r>
              <w:rPr>
                <w:rFonts w:hint="eastAsia" w:ascii="宋体" w:hAnsi="宋体"/>
                <w:bCs/>
                <w:sz w:val="18"/>
                <w:szCs w:val="18"/>
              </w:rPr>
              <w:t>如果本季度融资较困难，您认为主要的原因是（可多选，最多选</w:t>
            </w:r>
            <w:r>
              <w:rPr>
                <w:rFonts w:ascii="宋体" w:hAnsi="宋体"/>
                <w:bCs/>
                <w:sz w:val="18"/>
                <w:szCs w:val="18"/>
              </w:rPr>
              <w:t>3</w:t>
            </w:r>
            <w:r>
              <w:rPr>
                <w:rFonts w:hint="eastAsia" w:ascii="宋体" w:hAnsi="宋体"/>
                <w:bCs/>
                <w:sz w:val="18"/>
                <w:szCs w:val="18"/>
              </w:rPr>
              <w:t>项）</w:t>
            </w:r>
          </w:p>
          <w:p>
            <w:pPr>
              <w:adjustRightInd w:val="0"/>
              <w:snapToGrid w:val="0"/>
              <w:spacing w:line="240" w:lineRule="exact"/>
              <w:ind w:right="151" w:rightChars="72"/>
              <w:rPr>
                <w:rFonts w:ascii="宋体"/>
                <w:sz w:val="18"/>
                <w:szCs w:val="18"/>
              </w:rPr>
            </w:pPr>
            <w:r>
              <w:rPr>
                <w:rFonts w:hint="eastAsia" w:ascii="宋体" w:hAnsi="宋体"/>
                <w:sz w:val="18"/>
              </w:rPr>
              <w:t>①</w:t>
            </w:r>
            <w:r>
              <w:rPr>
                <w:rFonts w:hint="eastAsia" w:ascii="宋体" w:hAnsi="宋体"/>
                <w:bCs/>
                <w:sz w:val="18"/>
                <w:szCs w:val="18"/>
              </w:rPr>
              <w:t>银行贷款门槛过高、手续繁杂、条件苛刻</w:t>
            </w:r>
            <w:r>
              <w:rPr>
                <w:rFonts w:ascii="宋体" w:hAnsi="宋体"/>
                <w:bCs/>
                <w:sz w:val="18"/>
                <w:szCs w:val="18"/>
              </w:rPr>
              <w:t xml:space="preserve">        </w:t>
            </w:r>
            <w:r>
              <w:rPr>
                <w:rFonts w:hint="eastAsia" w:ascii="宋体" w:hAnsi="宋体"/>
                <w:sz w:val="18"/>
                <w:szCs w:val="18"/>
              </w:rPr>
              <w:t>□</w:t>
            </w:r>
            <w:r>
              <w:rPr>
                <w:rFonts w:ascii="宋体" w:hAnsi="宋体"/>
                <w:bCs/>
                <w:sz w:val="18"/>
                <w:szCs w:val="18"/>
              </w:rPr>
              <w:t xml:space="preserve">         </w:t>
            </w:r>
            <w:r>
              <w:rPr>
                <w:rFonts w:hint="eastAsia" w:ascii="宋体" w:hAnsi="宋体"/>
                <w:bCs/>
                <w:sz w:val="18"/>
                <w:szCs w:val="18"/>
              </w:rPr>
              <w:t>②有效抵押资产不足</w:t>
            </w:r>
            <w:r>
              <w:rPr>
                <w:rFonts w:ascii="宋体" w:hAnsi="宋体"/>
                <w:bCs/>
                <w:sz w:val="18"/>
                <w:szCs w:val="18"/>
              </w:rPr>
              <w:t xml:space="preserve">                    </w:t>
            </w:r>
            <w:r>
              <w:rPr>
                <w:rFonts w:hint="eastAsia" w:ascii="宋体" w:hAnsi="宋体"/>
                <w:sz w:val="18"/>
                <w:szCs w:val="18"/>
              </w:rPr>
              <w:t>□</w:t>
            </w:r>
          </w:p>
          <w:p>
            <w:pPr>
              <w:adjustRightInd w:val="0"/>
              <w:snapToGrid w:val="0"/>
              <w:spacing w:line="240" w:lineRule="exact"/>
              <w:ind w:right="151" w:rightChars="72"/>
              <w:rPr>
                <w:rFonts w:ascii="宋体"/>
                <w:sz w:val="18"/>
                <w:szCs w:val="18"/>
              </w:rPr>
            </w:pPr>
            <w:r>
              <w:rPr>
                <w:rFonts w:hint="eastAsia" w:ascii="宋体" w:hAnsi="宋体"/>
                <w:bCs/>
                <w:sz w:val="18"/>
                <w:szCs w:val="18"/>
              </w:rPr>
              <w:t>③企业经营状况不佳</w:t>
            </w:r>
            <w:r>
              <w:rPr>
                <w:rFonts w:ascii="宋体" w:hAnsi="宋体"/>
                <w:bCs/>
                <w:sz w:val="18"/>
                <w:szCs w:val="18"/>
              </w:rPr>
              <w:t xml:space="preserve">                            </w:t>
            </w:r>
            <w:r>
              <w:rPr>
                <w:rFonts w:hint="eastAsia" w:ascii="宋体" w:hAnsi="宋体"/>
                <w:sz w:val="18"/>
                <w:szCs w:val="18"/>
              </w:rPr>
              <w:t>□</w:t>
            </w:r>
            <w:r>
              <w:rPr>
                <w:rFonts w:ascii="宋体" w:hAnsi="宋体"/>
                <w:bCs/>
                <w:sz w:val="18"/>
                <w:szCs w:val="18"/>
              </w:rPr>
              <w:t xml:space="preserve">         </w:t>
            </w:r>
            <w:r>
              <w:rPr>
                <w:rFonts w:hint="eastAsia" w:ascii="宋体" w:hAnsi="宋体"/>
                <w:bCs/>
                <w:sz w:val="18"/>
                <w:szCs w:val="18"/>
              </w:rPr>
              <w:t>④所在行业属限贷行业</w:t>
            </w:r>
            <w:r>
              <w:rPr>
                <w:rFonts w:ascii="宋体" w:hAnsi="宋体"/>
                <w:bCs/>
                <w:sz w:val="18"/>
                <w:szCs w:val="18"/>
              </w:rPr>
              <w:t xml:space="preserve">                  </w:t>
            </w:r>
            <w:r>
              <w:rPr>
                <w:rFonts w:hint="eastAsia" w:ascii="宋体" w:hAnsi="宋体"/>
                <w:sz w:val="18"/>
                <w:szCs w:val="18"/>
              </w:rPr>
              <w:t>□</w:t>
            </w:r>
          </w:p>
          <w:p>
            <w:pPr>
              <w:adjustRightInd w:val="0"/>
              <w:snapToGrid w:val="0"/>
              <w:spacing w:line="240" w:lineRule="exact"/>
              <w:ind w:right="151" w:rightChars="72"/>
              <w:rPr>
                <w:rFonts w:ascii="宋体"/>
                <w:bCs/>
                <w:sz w:val="18"/>
                <w:szCs w:val="18"/>
              </w:rPr>
            </w:pPr>
            <w:r>
              <w:rPr>
                <w:rFonts w:hint="eastAsia" w:ascii="宋体" w:hAnsi="宋体"/>
                <w:sz w:val="18"/>
              </w:rPr>
              <w:t>⑤</w:t>
            </w:r>
            <w:r>
              <w:rPr>
                <w:rFonts w:hint="eastAsia" w:ascii="宋体" w:hAnsi="宋体"/>
                <w:bCs/>
                <w:sz w:val="18"/>
                <w:szCs w:val="18"/>
              </w:rPr>
              <w:t>利率水平过高、企业承受力不足</w:t>
            </w:r>
            <w:r>
              <w:rPr>
                <w:rFonts w:ascii="宋体" w:hAnsi="宋体"/>
                <w:bCs/>
                <w:sz w:val="18"/>
                <w:szCs w:val="18"/>
              </w:rPr>
              <w:t xml:space="preserve">                </w:t>
            </w:r>
            <w:r>
              <w:rPr>
                <w:rFonts w:hint="eastAsia" w:ascii="宋体" w:hAnsi="宋体"/>
                <w:sz w:val="18"/>
                <w:szCs w:val="18"/>
              </w:rPr>
              <w:t>□</w:t>
            </w:r>
            <w:r>
              <w:rPr>
                <w:rFonts w:ascii="宋体" w:hAnsi="宋体"/>
                <w:bCs/>
                <w:sz w:val="18"/>
                <w:szCs w:val="18"/>
              </w:rPr>
              <w:t xml:space="preserve">         </w:t>
            </w:r>
            <w:r>
              <w:rPr>
                <w:rFonts w:hint="eastAsia" w:ascii="宋体" w:hAnsi="宋体"/>
                <w:sz w:val="18"/>
              </w:rPr>
              <w:t>⑥</w:t>
            </w:r>
            <w:r>
              <w:rPr>
                <w:rFonts w:hint="eastAsia" w:ascii="宋体" w:hAnsi="宋体"/>
                <w:bCs/>
                <w:sz w:val="18"/>
                <w:szCs w:val="18"/>
              </w:rPr>
              <w:t>股权、债权市场融资渠道不畅</w:t>
            </w:r>
            <w:r>
              <w:rPr>
                <w:rFonts w:ascii="宋体" w:hAnsi="宋体"/>
                <w:bCs/>
                <w:sz w:val="18"/>
                <w:szCs w:val="18"/>
              </w:rPr>
              <w:t xml:space="preserve">          </w:t>
            </w:r>
            <w:r>
              <w:rPr>
                <w:rFonts w:hint="eastAsia" w:ascii="宋体" w:hAnsi="宋体"/>
                <w:sz w:val="18"/>
                <w:szCs w:val="18"/>
              </w:rPr>
              <w:t>□</w:t>
            </w:r>
          </w:p>
          <w:p>
            <w:pPr>
              <w:adjustRightInd w:val="0"/>
              <w:snapToGrid w:val="0"/>
              <w:spacing w:line="240" w:lineRule="exact"/>
              <w:ind w:right="151" w:rightChars="72"/>
              <w:rPr>
                <w:rFonts w:ascii="宋体"/>
                <w:sz w:val="18"/>
              </w:rPr>
            </w:pPr>
            <w:r>
              <w:rPr>
                <w:rFonts w:hint="eastAsia" w:ascii="宋体" w:hAnsi="宋体"/>
                <w:sz w:val="18"/>
              </w:rPr>
              <w:t>⑦</w:t>
            </w:r>
            <w:r>
              <w:rPr>
                <w:rFonts w:hint="eastAsia" w:ascii="宋体" w:hAnsi="宋体"/>
                <w:bCs/>
                <w:sz w:val="18"/>
                <w:szCs w:val="18"/>
              </w:rPr>
              <w:t>企业资产负债率高、银行审贷困难</w:t>
            </w:r>
            <w:r>
              <w:rPr>
                <w:rFonts w:ascii="宋体" w:hAnsi="宋体"/>
                <w:bCs/>
                <w:sz w:val="18"/>
                <w:szCs w:val="18"/>
              </w:rPr>
              <w:t xml:space="preserve">              </w:t>
            </w:r>
            <w:r>
              <w:rPr>
                <w:rFonts w:hint="eastAsia" w:ascii="宋体" w:hAnsi="宋体"/>
                <w:sz w:val="18"/>
                <w:szCs w:val="18"/>
              </w:rPr>
              <w:t>□</w:t>
            </w:r>
            <w:r>
              <w:rPr>
                <w:rFonts w:ascii="宋体" w:hAnsi="宋体"/>
                <w:bCs/>
                <w:sz w:val="18"/>
                <w:szCs w:val="18"/>
              </w:rPr>
              <w:t xml:space="preserve">         </w:t>
            </w:r>
            <w:r>
              <w:rPr>
                <w:rFonts w:hint="eastAsia" w:ascii="宋体" w:hAnsi="宋体"/>
                <w:sz w:val="18"/>
              </w:rPr>
              <w:t>⑧</w:t>
            </w:r>
            <w:r>
              <w:rPr>
                <w:rFonts w:hint="eastAsia" w:ascii="宋体" w:hAnsi="宋体"/>
                <w:bCs/>
                <w:sz w:val="18"/>
                <w:szCs w:val="18"/>
              </w:rPr>
              <w:t xml:space="preserve">企业资信等级不够                    </w:t>
            </w:r>
            <w:r>
              <w:rPr>
                <w:rFonts w:hint="eastAsia" w:ascii="宋体" w:hAnsi="宋体"/>
                <w:sz w:val="18"/>
                <w:szCs w:val="18"/>
              </w:rPr>
              <w:t>□</w:t>
            </w:r>
          </w:p>
          <w:p>
            <w:pPr>
              <w:adjustRightInd w:val="0"/>
              <w:snapToGrid w:val="0"/>
              <w:spacing w:line="240" w:lineRule="exact"/>
              <w:ind w:right="151" w:rightChars="72"/>
              <w:rPr>
                <w:rFonts w:ascii="宋体" w:hAnsi="宋体"/>
                <w:bCs/>
                <w:sz w:val="18"/>
                <w:szCs w:val="18"/>
              </w:rPr>
            </w:pPr>
            <w:r>
              <w:rPr>
                <w:rFonts w:ascii="宋体" w:hAnsi="宋体"/>
                <w:bCs/>
                <w:sz w:val="18"/>
                <w:szCs w:val="18"/>
              </w:rPr>
              <w:fldChar w:fldCharType="begin"/>
            </w:r>
            <w:r>
              <w:rPr>
                <w:rFonts w:ascii="宋体" w:hAnsi="宋体"/>
                <w:bCs/>
                <w:sz w:val="18"/>
                <w:szCs w:val="18"/>
              </w:rPr>
              <w:instrText xml:space="preserve"> = 9 \* GB3 </w:instrText>
            </w:r>
            <w:r>
              <w:rPr>
                <w:rFonts w:ascii="宋体" w:hAnsi="宋体"/>
                <w:bCs/>
                <w:sz w:val="18"/>
                <w:szCs w:val="18"/>
              </w:rPr>
              <w:fldChar w:fldCharType="separate"/>
            </w:r>
            <w:r>
              <w:rPr>
                <w:rFonts w:hint="eastAsia" w:ascii="宋体" w:hAnsi="宋体"/>
                <w:bCs/>
                <w:sz w:val="18"/>
                <w:szCs w:val="18"/>
              </w:rPr>
              <w:t>⑨</w:t>
            </w:r>
            <w:r>
              <w:rPr>
                <w:rFonts w:ascii="宋体" w:hAnsi="宋体"/>
                <w:bCs/>
                <w:sz w:val="18"/>
                <w:szCs w:val="18"/>
              </w:rPr>
              <w:fldChar w:fldCharType="end"/>
            </w:r>
            <w:r>
              <w:rPr>
                <w:rFonts w:hint="eastAsia" w:ascii="宋体" w:hAnsi="宋体"/>
                <w:bCs/>
                <w:sz w:val="18"/>
                <w:szCs w:val="18"/>
              </w:rPr>
              <w:t>其他（请注明）</w:t>
            </w:r>
            <w:r>
              <w:rPr>
                <w:rFonts w:ascii="宋体" w:hAnsi="宋体"/>
                <w:bCs/>
                <w:sz w:val="18"/>
                <w:szCs w:val="18"/>
              </w:rPr>
              <w:t xml:space="preserve"> </w:t>
            </w:r>
            <w:r>
              <w:rPr>
                <w:rFonts w:ascii="宋体" w:hAnsi="宋体"/>
                <w:sz w:val="18"/>
                <w:u w:val="single"/>
              </w:rPr>
              <w:t xml:space="preserve">                </w:t>
            </w:r>
            <w:r>
              <w:rPr>
                <w:rFonts w:ascii="宋体" w:hAnsi="宋体"/>
                <w:bCs/>
                <w:sz w:val="18"/>
                <w:szCs w:val="18"/>
              </w:rPr>
              <w:t xml:space="preserve">             </w:t>
            </w:r>
            <w:r>
              <w:rPr>
                <w:rFonts w:hint="eastAsia" w:ascii="宋体" w:hAnsi="宋体"/>
                <w:sz w:val="18"/>
                <w:szCs w:val="18"/>
              </w:rPr>
              <w:t>□</w:t>
            </w:r>
            <w:r>
              <w:rPr>
                <w:rFonts w:ascii="宋体" w:hAnsi="宋体"/>
                <w:bCs/>
                <w:sz w:val="18"/>
                <w:szCs w:val="18"/>
              </w:rPr>
              <w:t xml:space="preserve">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90"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14</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adjustRightInd w:val="0"/>
              <w:snapToGrid w:val="0"/>
              <w:spacing w:line="240" w:lineRule="exact"/>
              <w:ind w:right="151" w:rightChars="72" w:firstLine="90" w:firstLineChars="50"/>
              <w:rPr>
                <w:rFonts w:ascii="宋体"/>
                <w:bCs/>
                <w:sz w:val="18"/>
                <w:szCs w:val="18"/>
              </w:rPr>
            </w:pPr>
            <w:r>
              <w:rPr>
                <w:rFonts w:hint="eastAsia" w:ascii="宋体" w:hAnsi="宋体"/>
                <w:bCs/>
                <w:sz w:val="18"/>
                <w:szCs w:val="18"/>
              </w:rPr>
              <w:t>本季度企业综合生产成本比上季度</w:t>
            </w:r>
            <w:r>
              <w:rPr>
                <w:rFonts w:ascii="宋体" w:hAnsi="宋体"/>
                <w:bCs/>
                <w:sz w:val="18"/>
                <w:szCs w:val="18"/>
              </w:rPr>
              <w:t xml:space="preserve">        </w:t>
            </w:r>
            <w:r>
              <w:rPr>
                <w:rFonts w:hint="eastAsia" w:ascii="宋体" w:hAnsi="宋体"/>
                <w:sz w:val="18"/>
              </w:rPr>
              <w:t>①</w:t>
            </w:r>
            <w:r>
              <w:rPr>
                <w:rFonts w:hint="eastAsia" w:ascii="宋体" w:hAnsi="宋体"/>
                <w:bCs/>
                <w:sz w:val="18"/>
                <w:szCs w:val="18"/>
              </w:rPr>
              <w:t>上升</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②基本持平</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③下降</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565"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15</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snapToGrid w:val="0"/>
              <w:spacing w:line="276" w:lineRule="auto"/>
              <w:ind w:firstLine="90" w:firstLineChars="50"/>
              <w:rPr>
                <w:rFonts w:ascii="宋体"/>
                <w:bCs/>
                <w:sz w:val="18"/>
                <w:szCs w:val="18"/>
              </w:rPr>
            </w:pPr>
            <w:r>
              <w:rPr>
                <w:rFonts w:hint="eastAsia" w:ascii="宋体" w:hAnsi="宋体"/>
                <w:bCs/>
                <w:sz w:val="18"/>
                <w:szCs w:val="18"/>
              </w:rPr>
              <w:t>本季度企业面临的主要成本压力</w:t>
            </w:r>
            <w:r>
              <w:rPr>
                <w:rFonts w:hint="eastAsia" w:ascii="宋体" w:hAnsi="宋体"/>
                <w:sz w:val="18"/>
              </w:rPr>
              <w:t>（可多选，最多选</w:t>
            </w:r>
            <w:r>
              <w:rPr>
                <w:rFonts w:ascii="宋体" w:hAnsi="宋体"/>
                <w:sz w:val="18"/>
              </w:rPr>
              <w:t>3</w:t>
            </w:r>
            <w:r>
              <w:rPr>
                <w:rFonts w:hint="eastAsia" w:ascii="宋体" w:hAnsi="宋体"/>
                <w:sz w:val="18"/>
              </w:rPr>
              <w:t>项）</w:t>
            </w:r>
          </w:p>
          <w:p>
            <w:pPr>
              <w:pStyle w:val="22"/>
              <w:tabs>
                <w:tab w:val="left" w:pos="305"/>
              </w:tabs>
              <w:snapToGrid w:val="0"/>
              <w:spacing w:line="276" w:lineRule="auto"/>
              <w:ind w:left="14" w:leftChars="7" w:firstLine="0" w:firstLineChars="0"/>
              <w:rPr>
                <w:rFonts w:ascii="宋体"/>
                <w:bCs/>
                <w:sz w:val="18"/>
                <w:szCs w:val="18"/>
              </w:rPr>
            </w:pPr>
            <w:r>
              <w:rPr>
                <w:rFonts w:hint="eastAsia" w:ascii="宋体" w:hAnsi="宋体"/>
                <w:sz w:val="18"/>
              </w:rPr>
              <w:t>①</w:t>
            </w:r>
            <w:r>
              <w:rPr>
                <w:rFonts w:hint="eastAsia" w:ascii="宋体" w:hAnsi="宋体"/>
                <w:bCs/>
                <w:sz w:val="18"/>
                <w:szCs w:val="18"/>
              </w:rPr>
              <w:t>原材料成本</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②用工成本</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③物流成本</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④能耗成本</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ascii="宋体" w:hAnsi="宋体"/>
                <w:bCs/>
                <w:sz w:val="18"/>
                <w:szCs w:val="18"/>
              </w:rPr>
              <w:fldChar w:fldCharType="begin"/>
            </w:r>
            <w:r>
              <w:rPr>
                <w:rFonts w:ascii="宋体" w:hAnsi="宋体"/>
                <w:bCs/>
                <w:sz w:val="18"/>
                <w:szCs w:val="18"/>
              </w:rPr>
              <w:instrText xml:space="preserve"> = 5 \* GB3 </w:instrText>
            </w:r>
            <w:r>
              <w:rPr>
                <w:rFonts w:ascii="宋体" w:hAnsi="宋体"/>
                <w:bCs/>
                <w:sz w:val="18"/>
                <w:szCs w:val="18"/>
              </w:rPr>
              <w:fldChar w:fldCharType="separate"/>
            </w:r>
            <w:r>
              <w:rPr>
                <w:rFonts w:hint="eastAsia" w:ascii="宋体" w:hAnsi="宋体"/>
                <w:bCs/>
                <w:sz w:val="18"/>
                <w:szCs w:val="18"/>
              </w:rPr>
              <w:t>⑤</w:t>
            </w:r>
            <w:r>
              <w:rPr>
                <w:rFonts w:ascii="宋体" w:hAnsi="宋体"/>
                <w:bCs/>
                <w:sz w:val="18"/>
                <w:szCs w:val="18"/>
              </w:rPr>
              <w:fldChar w:fldCharType="end"/>
            </w:r>
            <w:r>
              <w:rPr>
                <w:rFonts w:hint="eastAsia" w:ascii="宋体" w:hAnsi="宋体"/>
                <w:bCs/>
                <w:sz w:val="18"/>
                <w:szCs w:val="18"/>
              </w:rPr>
              <w:t>环保成本</w:t>
            </w:r>
            <w:r>
              <w:rPr>
                <w:rFonts w:ascii="宋体" w:hAnsi="宋体"/>
                <w:bCs/>
                <w:sz w:val="18"/>
                <w:szCs w:val="18"/>
              </w:rPr>
              <w:t xml:space="preserve">  </w:t>
            </w:r>
            <w:r>
              <w:rPr>
                <w:rFonts w:hint="eastAsia" w:ascii="宋体" w:hAnsi="宋体"/>
                <w:bCs/>
                <w:sz w:val="18"/>
                <w:szCs w:val="18"/>
              </w:rPr>
              <w:t>□</w:t>
            </w:r>
          </w:p>
          <w:p>
            <w:pPr>
              <w:adjustRightInd w:val="0"/>
              <w:snapToGrid w:val="0"/>
              <w:spacing w:line="240" w:lineRule="exact"/>
              <w:ind w:right="151" w:rightChars="72" w:firstLine="14" w:firstLineChars="8"/>
              <w:rPr>
                <w:rFonts w:ascii="宋体" w:hAnsi="宋体"/>
                <w:bCs/>
                <w:sz w:val="18"/>
                <w:szCs w:val="18"/>
              </w:rPr>
            </w:pPr>
            <w:r>
              <w:rPr>
                <w:rFonts w:hint="eastAsia" w:ascii="宋体" w:hAnsi="宋体"/>
                <w:bCs/>
                <w:sz w:val="18"/>
                <w:szCs w:val="18"/>
              </w:rPr>
              <w:t>⑥税费成本</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⑦融资成本</w:t>
            </w:r>
            <w:r>
              <w:rPr>
                <w:rFonts w:ascii="宋体" w:hAnsi="宋体"/>
                <w:bCs/>
                <w:sz w:val="18"/>
                <w:szCs w:val="18"/>
              </w:rPr>
              <w:t xml:space="preserve">    </w:t>
            </w:r>
            <w:r>
              <w:rPr>
                <w:rFonts w:hint="eastAsia" w:ascii="宋体" w:hAnsi="宋体"/>
                <w:bCs/>
                <w:sz w:val="18"/>
                <w:szCs w:val="18"/>
                <w:lang w:eastAsia="zh-CN"/>
              </w:rPr>
              <w:t>□</w:t>
            </w:r>
            <w:r>
              <w:rPr>
                <w:rFonts w:ascii="宋体" w:hAnsi="宋体"/>
                <w:bCs/>
                <w:sz w:val="18"/>
                <w:szCs w:val="18"/>
              </w:rPr>
              <w:t xml:space="preserve">     </w:t>
            </w:r>
            <w:r>
              <w:rPr>
                <w:rFonts w:hint="eastAsia" w:ascii="宋体" w:hAnsi="宋体"/>
                <w:bCs/>
                <w:sz w:val="18"/>
                <w:szCs w:val="18"/>
              </w:rPr>
              <w:t>⑧制度性成本</w:t>
            </w:r>
            <w:r>
              <w:rPr>
                <w:rFonts w:hint="eastAsia" w:ascii="宋体"/>
                <w:bCs/>
                <w:sz w:val="18"/>
                <w:szCs w:val="18"/>
              </w:rPr>
              <w:t>□</w:t>
            </w:r>
            <w:r>
              <w:rPr>
                <w:rFonts w:ascii="宋体" w:hAnsi="宋体"/>
                <w:bCs/>
                <w:sz w:val="18"/>
                <w:szCs w:val="18"/>
              </w:rPr>
              <w:t xml:space="preserve">     </w:t>
            </w:r>
            <w:r>
              <w:rPr>
                <w:rFonts w:ascii="宋体" w:hAnsi="宋体"/>
                <w:bCs/>
                <w:sz w:val="18"/>
                <w:szCs w:val="18"/>
              </w:rPr>
              <w:fldChar w:fldCharType="begin"/>
            </w:r>
            <w:r>
              <w:rPr>
                <w:rFonts w:ascii="宋体" w:hAnsi="宋体"/>
                <w:bCs/>
                <w:sz w:val="18"/>
                <w:szCs w:val="18"/>
              </w:rPr>
              <w:instrText xml:space="preserve"> = 9 \* GB3 </w:instrText>
            </w:r>
            <w:r>
              <w:rPr>
                <w:rFonts w:ascii="宋体" w:hAnsi="宋体"/>
                <w:bCs/>
                <w:sz w:val="18"/>
                <w:szCs w:val="18"/>
              </w:rPr>
              <w:fldChar w:fldCharType="separate"/>
            </w:r>
            <w:r>
              <w:rPr>
                <w:rFonts w:hint="eastAsia" w:ascii="宋体" w:hAnsi="宋体"/>
                <w:bCs/>
                <w:sz w:val="18"/>
                <w:szCs w:val="18"/>
              </w:rPr>
              <w:t>⑨</w:t>
            </w:r>
            <w:r>
              <w:rPr>
                <w:rFonts w:ascii="宋体" w:hAnsi="宋体"/>
                <w:bCs/>
                <w:sz w:val="18"/>
                <w:szCs w:val="18"/>
              </w:rPr>
              <w:fldChar w:fldCharType="end"/>
            </w:r>
            <w:r>
              <w:rPr>
                <w:rFonts w:hint="eastAsia" w:ascii="宋体" w:hAnsi="宋体"/>
                <w:bCs/>
                <w:sz w:val="18"/>
                <w:szCs w:val="18"/>
              </w:rPr>
              <w:t>其他（请注明）</w:t>
            </w:r>
            <w:r>
              <w:rPr>
                <w:rFonts w:ascii="宋体" w:hAnsi="宋体"/>
                <w:sz w:val="18"/>
                <w:u w:val="single"/>
              </w:rPr>
              <w:t xml:space="preserve">              </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PrEx>
        <w:trPr>
          <w:cantSplit/>
          <w:trHeight w:val="330" w:hRule="atLeast"/>
          <w:jc w:val="center"/>
        </w:trPr>
        <w:tc>
          <w:tcPr>
            <w:tcW w:w="212" w:type="pct"/>
            <w:tcBorders>
              <w:top w:val="single" w:color="auto" w:sz="2" w:space="0"/>
              <w:left w:val="double" w:color="auto" w:sz="4" w:space="0"/>
              <w:bottom w:val="single" w:color="auto" w:sz="2"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16</w:t>
            </w:r>
          </w:p>
        </w:tc>
        <w:tc>
          <w:tcPr>
            <w:tcW w:w="4787" w:type="pct"/>
            <w:tcBorders>
              <w:top w:val="single" w:color="auto" w:sz="2" w:space="0"/>
              <w:left w:val="single" w:color="auto" w:sz="2" w:space="0"/>
              <w:bottom w:val="single" w:color="auto" w:sz="2" w:space="0"/>
              <w:right w:val="double" w:color="auto" w:sz="4" w:space="0"/>
            </w:tcBorders>
            <w:noWrap w:val="0"/>
            <w:vAlign w:val="center"/>
          </w:tcPr>
          <w:p>
            <w:pPr>
              <w:snapToGrid w:val="0"/>
              <w:spacing w:line="276" w:lineRule="auto"/>
              <w:ind w:firstLine="90" w:firstLineChars="50"/>
              <w:rPr>
                <w:rFonts w:hint="eastAsia" w:ascii="宋体" w:hAnsi="宋体"/>
                <w:bCs/>
                <w:sz w:val="18"/>
                <w:szCs w:val="18"/>
              </w:rPr>
            </w:pPr>
            <w:r>
              <w:rPr>
                <w:rFonts w:hint="eastAsia" w:ascii="宋体" w:hAnsi="宋体"/>
                <w:bCs/>
                <w:sz w:val="18"/>
                <w:szCs w:val="18"/>
              </w:rPr>
              <w:t>本季度盈利比上季度（如选②，跳过问题17）</w:t>
            </w:r>
          </w:p>
          <w:p>
            <w:pPr>
              <w:pStyle w:val="2"/>
              <w:ind w:left="0" w:leftChars="0" w:firstLine="0" w:firstLineChars="0"/>
              <w:rPr>
                <w:rFonts w:hint="eastAsia"/>
              </w:rPr>
            </w:pPr>
            <w:r>
              <w:rPr>
                <w:rFonts w:hint="eastAsia" w:ascii="宋体" w:hAnsi="宋体"/>
                <w:sz w:val="18"/>
                <w:szCs w:val="18"/>
              </w:rPr>
              <w:t>①</w:t>
            </w:r>
            <w:r>
              <w:rPr>
                <w:rFonts w:hint="eastAsia" w:ascii="宋体" w:hAnsi="宋体"/>
                <w:bCs/>
                <w:sz w:val="18"/>
                <w:szCs w:val="18"/>
              </w:rPr>
              <w:t>增加（盈利增加、亏损减少、扭亏为盈）□</w:t>
            </w:r>
            <w:r>
              <w:rPr>
                <w:rFonts w:ascii="宋体" w:hAnsi="宋体"/>
                <w:bCs/>
                <w:sz w:val="18"/>
                <w:szCs w:val="18"/>
              </w:rPr>
              <w:t xml:space="preserve">  </w:t>
            </w:r>
            <w:r>
              <w:rPr>
                <w:rFonts w:hint="eastAsia" w:ascii="宋体" w:hAnsi="宋体"/>
                <w:bCs/>
                <w:sz w:val="18"/>
                <w:szCs w:val="18"/>
              </w:rPr>
              <w:t xml:space="preserve">②持平 </w:t>
            </w:r>
            <w:r>
              <w:rPr>
                <w:rFonts w:hint="eastAsia" w:ascii="宋体" w:hAnsi="宋体"/>
                <w:bCs/>
                <w:sz w:val="18"/>
                <w:szCs w:val="18"/>
                <w:lang w:eastAsia="zh-CN"/>
              </w:rPr>
              <w:t>□</w:t>
            </w:r>
            <w:r>
              <w:rPr>
                <w:rFonts w:ascii="宋体" w:hAnsi="宋体"/>
                <w:bCs/>
                <w:sz w:val="18"/>
                <w:szCs w:val="18"/>
              </w:rPr>
              <w:t xml:space="preserve">  </w:t>
            </w:r>
            <w:r>
              <w:rPr>
                <w:rFonts w:hint="eastAsia" w:ascii="宋体" w:hAnsi="宋体"/>
                <w:bCs/>
                <w:sz w:val="18"/>
                <w:szCs w:val="18"/>
              </w:rPr>
              <w:t>③减少（盈利减少、亏损增加、盈转亏）□</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97" w:hRule="atLeast"/>
          <w:jc w:val="center"/>
        </w:trPr>
        <w:tc>
          <w:tcPr>
            <w:tcW w:w="212" w:type="pct"/>
            <w:tcBorders>
              <w:top w:val="single" w:color="auto" w:sz="2" w:space="0"/>
              <w:left w:val="double" w:color="auto" w:sz="4" w:space="0"/>
              <w:bottom w:val="double" w:color="auto" w:sz="4" w:space="0"/>
              <w:right w:val="single" w:color="auto" w:sz="2" w:space="0"/>
            </w:tcBorders>
            <w:noWrap w:val="0"/>
            <w:vAlign w:val="center"/>
          </w:tcPr>
          <w:p>
            <w:pPr>
              <w:adjustRightInd w:val="0"/>
              <w:snapToGrid w:val="0"/>
              <w:spacing w:line="240" w:lineRule="exact"/>
              <w:jc w:val="center"/>
              <w:rPr>
                <w:rFonts w:ascii="宋体" w:hAnsi="宋体"/>
                <w:bCs/>
                <w:sz w:val="18"/>
                <w:szCs w:val="18"/>
              </w:rPr>
            </w:pPr>
            <w:r>
              <w:rPr>
                <w:rFonts w:hint="eastAsia" w:ascii="宋体" w:hAnsi="宋体"/>
                <w:bCs/>
                <w:sz w:val="18"/>
                <w:szCs w:val="18"/>
              </w:rPr>
              <w:t>17</w:t>
            </w:r>
          </w:p>
        </w:tc>
        <w:tc>
          <w:tcPr>
            <w:tcW w:w="4787" w:type="pct"/>
            <w:tcBorders>
              <w:top w:val="single" w:color="auto" w:sz="2" w:space="0"/>
              <w:left w:val="single" w:color="auto" w:sz="2" w:space="0"/>
              <w:bottom w:val="double" w:color="auto" w:sz="4" w:space="0"/>
              <w:right w:val="double" w:color="auto" w:sz="4" w:space="0"/>
            </w:tcBorders>
            <w:noWrap w:val="0"/>
            <w:vAlign w:val="center"/>
          </w:tcPr>
          <w:p>
            <w:pPr>
              <w:adjustRightInd w:val="0"/>
              <w:snapToGrid w:val="0"/>
              <w:spacing w:line="240" w:lineRule="exact"/>
              <w:ind w:right="151" w:rightChars="72" w:firstLine="194" w:firstLineChars="108"/>
              <w:rPr>
                <w:rFonts w:hint="eastAsia"/>
                <w:sz w:val="18"/>
                <w:szCs w:val="18"/>
              </w:rPr>
            </w:pPr>
            <w:r>
              <w:rPr>
                <w:rFonts w:hint="eastAsia"/>
                <w:sz w:val="18"/>
                <w:szCs w:val="18"/>
              </w:rPr>
              <w:t>本季度利润变动的主要影响因素</w:t>
            </w:r>
          </w:p>
          <w:p>
            <w:pPr>
              <w:pStyle w:val="2"/>
              <w:ind w:left="0" w:leftChars="0" w:firstLine="0" w:firstLineChars="0"/>
            </w:pPr>
            <w:r>
              <w:rPr>
                <w:rFonts w:hint="eastAsia" w:ascii="宋体" w:hAnsi="宋体"/>
                <w:sz w:val="18"/>
                <w:szCs w:val="18"/>
              </w:rPr>
              <w:t xml:space="preserve">①业务量 </w:t>
            </w:r>
            <w:r>
              <w:rPr>
                <w:rFonts w:hint="eastAsia" w:ascii="宋体" w:hAnsi="宋体"/>
                <w:bCs/>
                <w:sz w:val="18"/>
                <w:szCs w:val="18"/>
              </w:rPr>
              <w:t>□</w:t>
            </w:r>
            <w:r>
              <w:rPr>
                <w:rFonts w:hint="eastAsia" w:ascii="宋体" w:hAnsi="宋体"/>
                <w:sz w:val="18"/>
                <w:szCs w:val="18"/>
              </w:rPr>
              <w:t xml:space="preserve"> </w:t>
            </w:r>
            <w:r>
              <w:rPr>
                <w:rFonts w:hint="eastAsia" w:ascii="宋体" w:hAnsi="宋体"/>
                <w:bCs/>
                <w:sz w:val="18"/>
                <w:szCs w:val="18"/>
              </w:rPr>
              <w:t>②税费  □</w:t>
            </w:r>
            <w:r>
              <w:rPr>
                <w:rFonts w:hint="eastAsia" w:ascii="宋体" w:hAnsi="宋体"/>
                <w:sz w:val="18"/>
                <w:szCs w:val="18"/>
              </w:rPr>
              <w:t xml:space="preserve"> </w:t>
            </w:r>
            <w:r>
              <w:rPr>
                <w:rFonts w:hint="eastAsia" w:ascii="宋体" w:hAnsi="宋体"/>
                <w:bCs/>
                <w:sz w:val="18"/>
                <w:szCs w:val="18"/>
              </w:rPr>
              <w:t>③成本费用  □</w:t>
            </w:r>
            <w:r>
              <w:rPr>
                <w:rFonts w:hint="eastAsia" w:ascii="宋体" w:hAnsi="宋体"/>
                <w:sz w:val="18"/>
                <w:szCs w:val="18"/>
              </w:rPr>
              <w:t xml:space="preserve"> </w:t>
            </w:r>
            <w:r>
              <w:rPr>
                <w:rFonts w:hint="eastAsia" w:ascii="宋体" w:hAnsi="宋体"/>
                <w:bCs/>
                <w:sz w:val="18"/>
                <w:szCs w:val="18"/>
              </w:rPr>
              <w:t>④销售价格  □</w:t>
            </w:r>
            <w:r>
              <w:rPr>
                <w:rFonts w:hint="eastAsia" w:ascii="宋体" w:hAnsi="宋体"/>
                <w:sz w:val="18"/>
                <w:szCs w:val="18"/>
              </w:rPr>
              <w:t xml:space="preserve"> </w:t>
            </w:r>
            <w:r>
              <w:rPr>
                <w:rFonts w:ascii="宋体" w:hAnsi="宋体"/>
                <w:bCs/>
                <w:sz w:val="18"/>
                <w:szCs w:val="18"/>
              </w:rPr>
              <w:fldChar w:fldCharType="begin"/>
            </w:r>
            <w:r>
              <w:rPr>
                <w:rFonts w:ascii="宋体" w:hAnsi="宋体"/>
                <w:bCs/>
                <w:sz w:val="18"/>
                <w:szCs w:val="18"/>
              </w:rPr>
              <w:instrText xml:space="preserve"> = 5 \* GB3 </w:instrText>
            </w:r>
            <w:r>
              <w:rPr>
                <w:rFonts w:ascii="宋体" w:hAnsi="宋体"/>
                <w:bCs/>
                <w:sz w:val="18"/>
                <w:szCs w:val="18"/>
              </w:rPr>
              <w:fldChar w:fldCharType="separate"/>
            </w:r>
            <w:r>
              <w:rPr>
                <w:rFonts w:hint="eastAsia" w:ascii="宋体" w:hAnsi="宋体"/>
                <w:bCs/>
                <w:sz w:val="18"/>
                <w:szCs w:val="18"/>
              </w:rPr>
              <w:t>⑤</w:t>
            </w:r>
            <w:r>
              <w:rPr>
                <w:rFonts w:ascii="宋体" w:hAnsi="宋体"/>
                <w:bCs/>
                <w:sz w:val="18"/>
                <w:szCs w:val="18"/>
              </w:rPr>
              <w:fldChar w:fldCharType="end"/>
            </w:r>
            <w:r>
              <w:rPr>
                <w:rFonts w:hint="eastAsia" w:ascii="宋体" w:hAnsi="宋体"/>
                <w:bCs/>
                <w:sz w:val="18"/>
                <w:szCs w:val="18"/>
              </w:rPr>
              <w:t>其他 □</w:t>
            </w:r>
          </w:p>
        </w:tc>
      </w:tr>
    </w:tbl>
    <w:p>
      <w:r>
        <w:br w:type="page"/>
      </w:r>
    </w:p>
    <w:tbl>
      <w:tblPr>
        <w:tblStyle w:val="17"/>
        <w:tblW w:w="5708" w:type="pct"/>
        <w:tblInd w:w="-567" w:type="dxa"/>
        <w:tblBorders>
          <w:top w:val="none" w:color="auto" w:sz="0" w:space="0"/>
          <w:left w:val="none" w:color="auto" w:sz="0" w:space="0"/>
          <w:bottom w:val="single" w:color="auto" w:sz="8" w:space="0"/>
          <w:right w:val="none" w:color="auto" w:sz="0" w:space="0"/>
          <w:insideH w:val="single" w:color="auto" w:sz="2" w:space="0"/>
          <w:insideV w:val="single" w:color="auto" w:sz="2" w:space="0"/>
        </w:tblBorders>
        <w:tblLayout w:type="autofit"/>
        <w:tblCellMar>
          <w:top w:w="0" w:type="dxa"/>
          <w:left w:w="0" w:type="dxa"/>
          <w:bottom w:w="0" w:type="dxa"/>
          <w:right w:w="0" w:type="dxa"/>
        </w:tblCellMar>
      </w:tblPr>
      <w:tblGrid>
        <w:gridCol w:w="446"/>
        <w:gridCol w:w="10333"/>
      </w:tblGrid>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97" w:hRule="atLeast"/>
        </w:trPr>
        <w:tc>
          <w:tcPr>
            <w:tcW w:w="5000" w:type="pct"/>
            <w:gridSpan w:val="2"/>
            <w:tcBorders>
              <w:top w:val="double" w:color="auto" w:sz="4" w:space="0"/>
              <w:left w:val="double" w:color="auto" w:sz="4" w:space="0"/>
              <w:bottom w:val="single" w:color="auto" w:sz="2" w:space="0"/>
              <w:right w:val="double" w:color="auto" w:sz="4" w:space="0"/>
            </w:tcBorders>
            <w:noWrap w:val="0"/>
            <w:vAlign w:val="center"/>
          </w:tcPr>
          <w:p>
            <w:pPr>
              <w:tabs>
                <w:tab w:val="left" w:pos="5220"/>
                <w:tab w:val="left" w:pos="6435"/>
                <w:tab w:val="left" w:pos="6585"/>
                <w:tab w:val="left" w:pos="6738"/>
              </w:tabs>
              <w:adjustRightInd w:val="0"/>
              <w:snapToGrid w:val="0"/>
              <w:spacing w:line="240" w:lineRule="exact"/>
              <w:ind w:firstLine="90" w:firstLineChars="50"/>
              <w:jc w:val="center"/>
              <w:rPr>
                <w:rFonts w:ascii="宋体"/>
                <w:sz w:val="18"/>
              </w:rPr>
            </w:pPr>
            <w:r>
              <w:rPr>
                <w:rFonts w:hint="eastAsia" w:ascii="宋体" w:hAnsi="宋体"/>
                <w:b/>
                <w:sz w:val="18"/>
              </w:rPr>
              <w:t>四、企业订单、用工及投资情况</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782" w:hRule="atLeast"/>
        </w:trPr>
        <w:tc>
          <w:tcPr>
            <w:tcW w:w="207" w:type="pct"/>
            <w:tcBorders>
              <w:top w:val="single" w:color="auto" w:sz="2" w:space="0"/>
              <w:left w:val="double" w:color="auto" w:sz="4" w:space="0"/>
            </w:tcBorders>
            <w:noWrap w:val="0"/>
            <w:vAlign w:val="center"/>
          </w:tcPr>
          <w:p>
            <w:pPr>
              <w:adjustRightInd w:val="0"/>
              <w:snapToGrid w:val="0"/>
              <w:spacing w:line="240" w:lineRule="exact"/>
              <w:jc w:val="center"/>
              <w:rPr>
                <w:rFonts w:ascii="宋体"/>
                <w:sz w:val="18"/>
              </w:rPr>
            </w:pPr>
            <w:r>
              <w:rPr>
                <w:rFonts w:hint="eastAsia" w:ascii="宋体" w:hAnsi="宋体"/>
                <w:sz w:val="18"/>
              </w:rPr>
              <w:t>18</w:t>
            </w:r>
          </w:p>
        </w:tc>
        <w:tc>
          <w:tcPr>
            <w:tcW w:w="4792" w:type="pct"/>
            <w:tcBorders>
              <w:top w:val="single" w:color="auto" w:sz="2" w:space="0"/>
              <w:bottom w:val="single" w:color="auto" w:sz="2" w:space="0"/>
              <w:right w:val="double" w:color="auto" w:sz="4" w:space="0"/>
            </w:tcBorders>
            <w:noWrap w:val="0"/>
            <w:vAlign w:val="center"/>
          </w:tcPr>
          <w:p>
            <w:pPr>
              <w:tabs>
                <w:tab w:val="center" w:pos="9031"/>
              </w:tabs>
              <w:adjustRightInd w:val="0"/>
              <w:snapToGrid w:val="0"/>
              <w:spacing w:line="240" w:lineRule="exact"/>
              <w:ind w:firstLine="90" w:firstLineChars="50"/>
              <w:rPr>
                <w:rFonts w:ascii="宋体"/>
                <w:sz w:val="18"/>
              </w:rPr>
            </w:pPr>
            <w:r>
              <w:rPr>
                <w:rFonts w:hint="eastAsia" w:ascii="宋体" w:hAnsi="宋体"/>
                <w:sz w:val="18"/>
              </w:rPr>
              <w:t>本季度企业接到的产品订货量</w:t>
            </w:r>
            <w:r>
              <w:rPr>
                <w:rFonts w:ascii="宋体" w:hAnsi="宋体"/>
                <w:sz w:val="18"/>
              </w:rPr>
              <w:t xml:space="preserve"> (</w:t>
            </w:r>
            <w:r>
              <w:rPr>
                <w:rFonts w:hint="eastAsia" w:ascii="宋体" w:hAnsi="宋体"/>
                <w:sz w:val="18"/>
              </w:rPr>
              <w:t>没有订货的估计产品需求情况</w:t>
            </w:r>
            <w:r>
              <w:rPr>
                <w:rFonts w:ascii="宋体" w:hAnsi="宋体"/>
                <w:sz w:val="18"/>
              </w:rPr>
              <w:t xml:space="preserve">)  </w:t>
            </w:r>
          </w:p>
          <w:p>
            <w:pPr>
              <w:tabs>
                <w:tab w:val="center" w:pos="9031"/>
              </w:tabs>
              <w:adjustRightInd w:val="0"/>
              <w:snapToGrid w:val="0"/>
              <w:spacing w:line="240" w:lineRule="exact"/>
              <w:rPr>
                <w:rFonts w:hint="eastAsia" w:ascii="宋体" w:hAnsi="宋体"/>
                <w:sz w:val="18"/>
              </w:rPr>
            </w:pPr>
            <w:r>
              <w:rPr>
                <w:rFonts w:hint="eastAsia" w:ascii="宋体" w:hAnsi="宋体"/>
                <w:sz w:val="18"/>
              </w:rPr>
              <w:t>①高于正常水平</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②处于正常水平</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rPr>
              <w:t>③低于正常水平</w:t>
            </w:r>
            <w:r>
              <w:rPr>
                <w:rFonts w:ascii="宋体" w:hAnsi="宋体"/>
                <w:sz w:val="18"/>
              </w:rPr>
              <w:t xml:space="preserve">              </w:t>
            </w:r>
            <w:r>
              <w:rPr>
                <w:rFonts w:hint="eastAsia" w:ascii="宋体" w:hAnsi="宋体"/>
                <w:sz w:val="18"/>
                <w:szCs w:val="18"/>
              </w:rPr>
              <w:t>□</w:t>
            </w:r>
          </w:p>
          <w:p>
            <w:pPr>
              <w:adjustRightInd w:val="0"/>
              <w:snapToGrid w:val="0"/>
              <w:spacing w:line="240" w:lineRule="exact"/>
              <w:rPr>
                <w:rFonts w:ascii="宋体"/>
                <w:sz w:val="18"/>
              </w:rPr>
            </w:pPr>
            <w:r>
              <w:rPr>
                <w:rFonts w:hint="eastAsia" w:ascii="宋体" w:hAnsi="宋体"/>
                <w:sz w:val="18"/>
              </w:rPr>
              <w:t>其中：产品出口订货量</w:t>
            </w:r>
            <w:r>
              <w:rPr>
                <w:rFonts w:ascii="宋体" w:hAnsi="宋体"/>
                <w:bCs/>
                <w:sz w:val="18"/>
                <w:szCs w:val="18"/>
              </w:rPr>
              <w:t xml:space="preserve">   </w:t>
            </w:r>
            <w:r>
              <w:rPr>
                <w:rFonts w:ascii="宋体" w:hAnsi="宋体"/>
                <w:sz w:val="18"/>
              </w:rPr>
              <w:t xml:space="preserve"> </w:t>
            </w:r>
            <w:r>
              <w:rPr>
                <w:rFonts w:hint="eastAsia" w:ascii="宋体" w:hAnsi="宋体"/>
                <w:sz w:val="18"/>
              </w:rPr>
              <w:t>①高于正常水平</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ascii="宋体" w:hAnsi="宋体"/>
                <w:bCs/>
                <w:sz w:val="18"/>
                <w:szCs w:val="18"/>
              </w:rPr>
              <w:t xml:space="preserve">  </w:t>
            </w:r>
            <w:r>
              <w:rPr>
                <w:rFonts w:hint="eastAsia" w:ascii="宋体" w:hAnsi="宋体"/>
                <w:sz w:val="18"/>
              </w:rPr>
              <w:t>②处于正常水平</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ascii="宋体" w:hAnsi="宋体"/>
                <w:bCs/>
                <w:sz w:val="18"/>
                <w:szCs w:val="18"/>
              </w:rPr>
              <w:t xml:space="preserve"> </w:t>
            </w:r>
            <w:r>
              <w:rPr>
                <w:rFonts w:hint="eastAsia" w:ascii="宋体" w:hAnsi="宋体"/>
                <w:sz w:val="18"/>
              </w:rPr>
              <w:t>③低于正常水平</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ascii="宋体" w:hAnsi="宋体"/>
                <w:bCs/>
                <w:sz w:val="18"/>
                <w:szCs w:val="18"/>
              </w:rPr>
              <w:t xml:space="preserve"> </w:t>
            </w:r>
            <w:r>
              <w:rPr>
                <w:rFonts w:hint="eastAsia" w:ascii="宋体" w:hAnsi="宋体"/>
                <w:sz w:val="18"/>
              </w:rPr>
              <w:t>④产品无出口</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782" w:hRule="atLeast"/>
        </w:trPr>
        <w:tc>
          <w:tcPr>
            <w:tcW w:w="207" w:type="pct"/>
            <w:tcBorders>
              <w:top w:val="single" w:color="auto" w:sz="2" w:space="0"/>
              <w:left w:val="double" w:color="auto" w:sz="4"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19</w:t>
            </w:r>
          </w:p>
        </w:tc>
        <w:tc>
          <w:tcPr>
            <w:tcW w:w="4792" w:type="pct"/>
            <w:tcBorders>
              <w:top w:val="single" w:color="auto" w:sz="2" w:space="0"/>
              <w:bottom w:val="single" w:color="auto" w:sz="2" w:space="0"/>
              <w:right w:val="double" w:color="auto" w:sz="4" w:space="0"/>
            </w:tcBorders>
            <w:noWrap w:val="0"/>
            <w:vAlign w:val="center"/>
          </w:tcPr>
          <w:p>
            <w:pPr>
              <w:pStyle w:val="2"/>
              <w:ind w:left="0" w:leftChars="0" w:firstLine="0" w:firstLineChars="0"/>
              <w:rPr>
                <w:rFonts w:hint="eastAsia"/>
                <w:sz w:val="18"/>
                <w:szCs w:val="18"/>
              </w:rPr>
            </w:pPr>
            <w:r>
              <w:rPr>
                <w:rFonts w:hint="eastAsia"/>
                <w:sz w:val="18"/>
                <w:szCs w:val="18"/>
                <w:lang w:val="en-US" w:eastAsia="zh-CN"/>
              </w:rPr>
              <w:t xml:space="preserve"> </w:t>
            </w:r>
            <w:r>
              <w:rPr>
                <w:rFonts w:hint="eastAsia"/>
                <w:sz w:val="18"/>
                <w:szCs w:val="18"/>
              </w:rPr>
              <w:t>本季度企业接到的产品订货量比上季度（没有订货的估计产品需求情况）</w:t>
            </w:r>
          </w:p>
          <w:p>
            <w:pPr>
              <w:pStyle w:val="2"/>
              <w:ind w:left="0" w:leftChars="0" w:firstLine="0" w:firstLineChars="0"/>
              <w:rPr>
                <w:rFonts w:hint="eastAsia" w:ascii="宋体" w:hAnsi="宋体"/>
                <w:bCs/>
                <w:sz w:val="18"/>
                <w:szCs w:val="18"/>
              </w:rPr>
            </w:pPr>
            <w:r>
              <w:rPr>
                <w:rFonts w:hint="eastAsia" w:ascii="宋体" w:hAnsi="宋体"/>
                <w:sz w:val="18"/>
                <w:szCs w:val="18"/>
              </w:rPr>
              <w:t>①增加</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②</w:t>
            </w:r>
            <w:r>
              <w:rPr>
                <w:rFonts w:hint="eastAsia" w:ascii="宋体" w:hAnsi="宋体"/>
                <w:bCs/>
                <w:sz w:val="18"/>
                <w:szCs w:val="18"/>
              </w:rPr>
              <w:t>持平</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sz w:val="18"/>
                <w:szCs w:val="18"/>
              </w:rPr>
              <w:t>③减少</w:t>
            </w:r>
            <w:r>
              <w:rPr>
                <w:rFonts w:ascii="宋体" w:hAnsi="宋体"/>
                <w:bCs/>
                <w:sz w:val="18"/>
                <w:szCs w:val="18"/>
              </w:rPr>
              <w:t xml:space="preserve">      </w:t>
            </w:r>
            <w:r>
              <w:rPr>
                <w:rFonts w:hint="eastAsia" w:ascii="宋体" w:hAnsi="宋体"/>
                <w:bCs/>
                <w:sz w:val="18"/>
                <w:szCs w:val="18"/>
              </w:rPr>
              <w:t>□</w:t>
            </w:r>
          </w:p>
          <w:p>
            <w:pPr>
              <w:pStyle w:val="2"/>
              <w:ind w:left="0" w:leftChars="0" w:firstLine="0" w:firstLineChars="0"/>
              <w:rPr>
                <w:rFonts w:ascii="宋体" w:hAnsi="宋体"/>
                <w:bCs/>
                <w:sz w:val="18"/>
                <w:szCs w:val="18"/>
              </w:rPr>
            </w:pPr>
            <w:r>
              <w:rPr>
                <w:rFonts w:hint="eastAsia" w:ascii="宋体" w:hAnsi="宋体"/>
                <w:bCs/>
                <w:sz w:val="18"/>
                <w:szCs w:val="18"/>
              </w:rPr>
              <w:t xml:space="preserve">其中：产品出口订货量 </w:t>
            </w:r>
            <w:r>
              <w:rPr>
                <w:rFonts w:hint="eastAsia" w:ascii="宋体" w:hAnsi="宋体"/>
                <w:sz w:val="18"/>
                <w:szCs w:val="18"/>
              </w:rPr>
              <w:t>①增加</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②</w:t>
            </w:r>
            <w:r>
              <w:rPr>
                <w:rFonts w:hint="eastAsia" w:ascii="宋体" w:hAnsi="宋体"/>
                <w:bCs/>
                <w:sz w:val="18"/>
                <w:szCs w:val="18"/>
              </w:rPr>
              <w:t>持平</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sz w:val="18"/>
                <w:szCs w:val="18"/>
              </w:rPr>
              <w:t>③减少</w:t>
            </w:r>
            <w:r>
              <w:rPr>
                <w:rFonts w:ascii="宋体" w:hAnsi="宋体"/>
                <w:bCs/>
                <w:sz w:val="18"/>
                <w:szCs w:val="18"/>
              </w:rPr>
              <w:t xml:space="preserve">      </w:t>
            </w:r>
            <w:r>
              <w:rPr>
                <w:rFonts w:hint="eastAsia" w:ascii="宋体" w:hAnsi="宋体"/>
                <w:bCs/>
                <w:sz w:val="18"/>
                <w:szCs w:val="18"/>
              </w:rPr>
              <w:t xml:space="preserve">□  </w:t>
            </w:r>
            <w:r>
              <w:rPr>
                <w:rFonts w:hint="eastAsia" w:ascii="宋体" w:hAnsi="宋体"/>
                <w:sz w:val="18"/>
                <w:szCs w:val="18"/>
              </w:rPr>
              <w:t>④产品无出口</w:t>
            </w:r>
            <w:r>
              <w:rPr>
                <w:rFonts w:ascii="宋体" w:hAnsi="宋体"/>
                <w:sz w:val="18"/>
                <w:szCs w:val="18"/>
              </w:rPr>
              <w:t xml:space="preserve"> </w:t>
            </w:r>
            <w:r>
              <w:rPr>
                <w:rFonts w:hint="eastAsia" w:ascii="宋体" w:hAnsi="宋体"/>
                <w:sz w:val="18"/>
                <w:szCs w:val="18"/>
              </w:rPr>
              <w:t xml:space="preserve">  □</w:t>
            </w:r>
            <w:r>
              <w:rPr>
                <w:rFonts w:hint="eastAsia" w:ascii="宋体" w:hAnsi="宋体"/>
                <w:bCs/>
                <w:sz w:val="18"/>
                <w:szCs w:val="18"/>
              </w:rPr>
              <w:t xml:space="preserve">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911"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20</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ind w:firstLine="90" w:firstLineChars="50"/>
              <w:rPr>
                <w:rFonts w:ascii="宋体"/>
                <w:bCs/>
                <w:sz w:val="18"/>
                <w:szCs w:val="18"/>
              </w:rPr>
            </w:pPr>
            <w:r>
              <w:rPr>
                <w:rFonts w:hint="eastAsia" w:ascii="宋体" w:hAnsi="宋体"/>
                <w:bCs/>
                <w:sz w:val="18"/>
                <w:szCs w:val="18"/>
              </w:rPr>
              <w:t>本季度用工需求比上季度（如选①，在问题21的①-⑤选项中进行选择，如选②，跳过问题21，如选③，在问题21的⑥-⑩选项中进行选择）</w:t>
            </w:r>
          </w:p>
          <w:p>
            <w:pPr>
              <w:snapToGrid w:val="0"/>
              <w:spacing w:line="240" w:lineRule="exact"/>
              <w:rPr>
                <w:rFonts w:ascii="宋体"/>
                <w:b/>
                <w:sz w:val="18"/>
              </w:rPr>
            </w:pPr>
            <w:r>
              <w:rPr>
                <w:rFonts w:hint="eastAsia" w:ascii="宋体" w:hAnsi="宋体"/>
                <w:sz w:val="18"/>
              </w:rPr>
              <w:t>①</w:t>
            </w:r>
            <w:r>
              <w:rPr>
                <w:rFonts w:hint="eastAsia" w:ascii="宋体" w:hAnsi="宋体"/>
                <w:bCs/>
                <w:sz w:val="18"/>
                <w:szCs w:val="18"/>
              </w:rPr>
              <w:t>上升</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②</w:t>
            </w:r>
            <w:r>
              <w:rPr>
                <w:rFonts w:hint="eastAsia" w:ascii="宋体" w:hAnsi="宋体"/>
                <w:bCs/>
                <w:sz w:val="18"/>
                <w:szCs w:val="18"/>
              </w:rPr>
              <w:t>基本持平</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③</w:t>
            </w:r>
            <w:r>
              <w:rPr>
                <w:rFonts w:hint="eastAsia" w:ascii="宋体" w:hAnsi="宋体"/>
                <w:bCs/>
                <w:sz w:val="18"/>
                <w:szCs w:val="18"/>
              </w:rPr>
              <w:t>下降</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1400" w:hRule="atLeast"/>
        </w:trPr>
        <w:tc>
          <w:tcPr>
            <w:tcW w:w="207" w:type="pct"/>
            <w:tcBorders>
              <w:top w:val="single" w:color="auto" w:sz="2" w:space="0"/>
              <w:left w:val="double" w:color="auto" w:sz="4"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21</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ind w:firstLine="90" w:firstLineChars="50"/>
              <w:rPr>
                <w:rFonts w:ascii="宋体"/>
                <w:bCs/>
                <w:sz w:val="18"/>
                <w:szCs w:val="18"/>
              </w:rPr>
            </w:pPr>
            <w:r>
              <w:rPr>
                <w:rFonts w:hint="eastAsia" w:ascii="宋体" w:hAnsi="宋体"/>
                <w:bCs/>
                <w:sz w:val="18"/>
                <w:szCs w:val="18"/>
              </w:rPr>
              <w:t>企业用工需求变化的主要原因是</w:t>
            </w:r>
            <w:r>
              <w:rPr>
                <w:rFonts w:hint="eastAsia" w:ascii="宋体" w:hAnsi="宋体"/>
                <w:sz w:val="18"/>
              </w:rPr>
              <w:t>（可多选，最多选</w:t>
            </w:r>
            <w:r>
              <w:rPr>
                <w:rFonts w:ascii="宋体" w:hAnsi="宋体"/>
                <w:sz w:val="18"/>
              </w:rPr>
              <w:t>2</w:t>
            </w:r>
            <w:r>
              <w:rPr>
                <w:rFonts w:hint="eastAsia" w:ascii="宋体" w:hAnsi="宋体"/>
                <w:sz w:val="18"/>
              </w:rPr>
              <w:t>项）</w:t>
            </w:r>
          </w:p>
          <w:p>
            <w:pPr>
              <w:snapToGrid w:val="0"/>
              <w:spacing w:line="240" w:lineRule="exact"/>
              <w:rPr>
                <w:rFonts w:ascii="宋体" w:hAnsi="宋体"/>
                <w:bCs/>
                <w:sz w:val="18"/>
                <w:szCs w:val="18"/>
              </w:rPr>
            </w:pPr>
            <w:r>
              <w:rPr>
                <w:rFonts w:hint="eastAsia" w:ascii="宋体" w:hAnsi="宋体"/>
                <w:sz w:val="18"/>
              </w:rPr>
              <w:t>①</w:t>
            </w:r>
            <w:r>
              <w:rPr>
                <w:rFonts w:hint="eastAsia" w:ascii="宋体" w:hAnsi="宋体"/>
                <w:sz w:val="18"/>
                <w:szCs w:val="18"/>
              </w:rPr>
              <w:t>生产任务或订单增加</w:t>
            </w:r>
            <w:r>
              <w:rPr>
                <w:rFonts w:ascii="宋体" w:hAnsi="宋体"/>
                <w:sz w:val="18"/>
                <w:szCs w:val="18"/>
              </w:rPr>
              <w:t xml:space="preserve"> </w:t>
            </w:r>
            <w:r>
              <w:rPr>
                <w:rFonts w:ascii="宋体" w:hAnsi="宋体"/>
                <w:bCs/>
                <w:sz w:val="18"/>
                <w:szCs w:val="18"/>
              </w:rPr>
              <w:t xml:space="preserve">     </w:t>
            </w:r>
            <w:r>
              <w:rPr>
                <w:rFonts w:ascii="宋体" w:hAnsi="宋体"/>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w:t>
            </w:r>
            <w:r>
              <w:rPr>
                <w:rFonts w:hint="eastAsia" w:ascii="宋体" w:hAnsi="宋体"/>
                <w:sz w:val="18"/>
              </w:rPr>
              <w:t>企业规模扩大</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③员工流失率高</w:t>
            </w:r>
            <w:r>
              <w:rPr>
                <w:rFonts w:ascii="宋体" w:hAnsi="宋体"/>
                <w:bCs/>
                <w:sz w:val="18"/>
                <w:szCs w:val="18"/>
              </w:rPr>
              <w:t xml:space="preserve">        </w:t>
            </w:r>
            <w:r>
              <w:rPr>
                <w:rFonts w:ascii="宋体" w:hAnsi="宋体"/>
                <w:sz w:val="18"/>
              </w:rPr>
              <w:t xml:space="preserve">      </w:t>
            </w:r>
            <w:r>
              <w:rPr>
                <w:rFonts w:hint="eastAsia" w:ascii="宋体" w:hAnsi="宋体"/>
                <w:bCs/>
                <w:sz w:val="18"/>
                <w:szCs w:val="18"/>
              </w:rPr>
              <w:t>□</w:t>
            </w:r>
            <w:r>
              <w:rPr>
                <w:rFonts w:ascii="宋体" w:hAnsi="宋体"/>
                <w:bCs/>
                <w:sz w:val="18"/>
                <w:szCs w:val="18"/>
              </w:rPr>
              <w:t xml:space="preserve">     </w:t>
            </w:r>
          </w:p>
          <w:p>
            <w:pPr>
              <w:snapToGrid w:val="0"/>
              <w:spacing w:line="240" w:lineRule="exact"/>
              <w:rPr>
                <w:rFonts w:hint="eastAsia" w:ascii="宋体" w:hAnsi="宋体"/>
                <w:bCs/>
                <w:sz w:val="18"/>
                <w:szCs w:val="18"/>
              </w:rPr>
            </w:pPr>
            <w:r>
              <w:rPr>
                <w:rFonts w:hint="eastAsia" w:ascii="宋体" w:hAnsi="宋体"/>
                <w:bCs/>
                <w:sz w:val="18"/>
                <w:szCs w:val="18"/>
              </w:rPr>
              <w:t>④</w:t>
            </w:r>
            <w:r>
              <w:rPr>
                <w:rFonts w:hint="eastAsia" w:ascii="宋体" w:hAnsi="宋体"/>
                <w:sz w:val="18"/>
                <w:szCs w:val="18"/>
              </w:rPr>
              <w:t>季节性用工</w:t>
            </w:r>
            <w:r>
              <w:rPr>
                <w:rFonts w:ascii="宋体" w:hAnsi="宋体"/>
                <w:bCs/>
                <w:sz w:val="18"/>
                <w:szCs w:val="18"/>
              </w:rPr>
              <w:t xml:space="preserve">    </w:t>
            </w:r>
            <w:r>
              <w:rPr>
                <w:rFonts w:ascii="宋体" w:hAnsi="宋体"/>
                <w:sz w:val="18"/>
                <w:szCs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⑤</w:t>
            </w:r>
            <w:r>
              <w:rPr>
                <w:rFonts w:hint="eastAsia" w:ascii="宋体" w:hAnsi="宋体"/>
                <w:bCs/>
                <w:sz w:val="18"/>
                <w:szCs w:val="18"/>
              </w:rPr>
              <w:t>其他（请注明）</w:t>
            </w:r>
            <w:r>
              <w:rPr>
                <w:rFonts w:ascii="宋体" w:hAnsi="宋体"/>
                <w:sz w:val="18"/>
                <w:u w:val="single"/>
              </w:rPr>
              <w:t xml:space="preserve">         </w:t>
            </w:r>
            <w:r>
              <w:rPr>
                <w:rFonts w:ascii="宋体" w:hAnsi="宋体"/>
                <w:bCs/>
                <w:sz w:val="18"/>
                <w:szCs w:val="18"/>
                <w:u w:val="single"/>
              </w:rPr>
              <w:t xml:space="preserve">  </w:t>
            </w:r>
            <w:r>
              <w:rPr>
                <w:rFonts w:hint="eastAsia" w:ascii="宋体" w:hAnsi="宋体"/>
                <w:bCs/>
                <w:sz w:val="18"/>
                <w:szCs w:val="18"/>
              </w:rPr>
              <w:t>□</w:t>
            </w:r>
          </w:p>
          <w:p>
            <w:pPr>
              <w:snapToGrid w:val="0"/>
              <w:spacing w:line="240" w:lineRule="exact"/>
              <w:rPr>
                <w:rFonts w:ascii="宋体" w:hAnsi="宋体"/>
                <w:bCs/>
                <w:sz w:val="18"/>
                <w:szCs w:val="18"/>
              </w:rPr>
            </w:pPr>
            <w:r>
              <w:rPr>
                <w:rFonts w:hint="eastAsia" w:ascii="宋体" w:hAnsi="宋体"/>
                <w:sz w:val="18"/>
              </w:rPr>
              <w:t>⑥</w:t>
            </w:r>
            <w:r>
              <w:rPr>
                <w:rFonts w:hint="eastAsia" w:ascii="宋体" w:hAnsi="宋体"/>
                <w:sz w:val="18"/>
                <w:szCs w:val="18"/>
              </w:rPr>
              <w:t>生产任务不足</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⑦</w:t>
            </w:r>
            <w:r>
              <w:rPr>
                <w:rFonts w:hint="eastAsia" w:ascii="宋体" w:hAnsi="宋体"/>
                <w:sz w:val="18"/>
                <w:szCs w:val="18"/>
              </w:rPr>
              <w:t>用工成本上升</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⑧</w:t>
            </w:r>
            <w:r>
              <w:rPr>
                <w:rFonts w:hint="eastAsia" w:ascii="宋体" w:hAnsi="宋体"/>
                <w:sz w:val="18"/>
                <w:szCs w:val="18"/>
              </w:rPr>
              <w:t>自动化程度提高</w:t>
            </w:r>
            <w:r>
              <w:rPr>
                <w:rFonts w:ascii="宋体" w:hAnsi="宋体"/>
                <w:bCs/>
                <w:sz w:val="18"/>
                <w:szCs w:val="18"/>
              </w:rPr>
              <w:t xml:space="preserve">            </w:t>
            </w:r>
            <w:r>
              <w:rPr>
                <w:rFonts w:hint="eastAsia" w:ascii="宋体" w:hAnsi="宋体"/>
                <w:bCs/>
                <w:sz w:val="18"/>
                <w:szCs w:val="18"/>
              </w:rPr>
              <w:t>□</w:t>
            </w:r>
          </w:p>
          <w:p>
            <w:pPr>
              <w:snapToGrid w:val="0"/>
              <w:spacing w:line="240" w:lineRule="exact"/>
              <w:rPr>
                <w:rFonts w:ascii="宋体"/>
                <w:bCs/>
                <w:sz w:val="18"/>
                <w:szCs w:val="18"/>
              </w:rPr>
            </w:pPr>
            <w:r>
              <w:rPr>
                <w:rFonts w:hint="eastAsia" w:ascii="宋体" w:hAnsi="宋体"/>
                <w:bCs/>
                <w:sz w:val="18"/>
                <w:szCs w:val="18"/>
              </w:rPr>
              <w:t>⑨</w:t>
            </w:r>
            <w:r>
              <w:rPr>
                <w:rFonts w:hint="eastAsia" w:ascii="宋体" w:hAnsi="宋体"/>
                <w:sz w:val="18"/>
                <w:szCs w:val="18"/>
              </w:rPr>
              <w:t>产能减少</w:t>
            </w:r>
            <w:r>
              <w:rPr>
                <w:rFonts w:ascii="宋体" w:hAnsi="宋体"/>
                <w:sz w:val="18"/>
                <w:szCs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⑩</w:t>
            </w:r>
            <w:r>
              <w:rPr>
                <w:rFonts w:hint="eastAsia" w:ascii="宋体" w:hAnsi="宋体"/>
                <w:bCs/>
                <w:sz w:val="18"/>
                <w:szCs w:val="18"/>
              </w:rPr>
              <w:t>其他（请注明）</w:t>
            </w:r>
            <w:r>
              <w:rPr>
                <w:rFonts w:ascii="宋体" w:hAnsi="宋体"/>
                <w:sz w:val="18"/>
                <w:u w:val="single"/>
              </w:rPr>
              <w:t xml:space="preserve">          </w:t>
            </w:r>
            <w:r>
              <w:rPr>
                <w:rFonts w:ascii="宋体" w:hAnsi="宋体"/>
                <w:bCs/>
                <w:sz w:val="18"/>
                <w:szCs w:val="18"/>
                <w:u w:val="single"/>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2574"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22</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ind w:firstLine="90" w:firstLineChars="50"/>
              <w:rPr>
                <w:rFonts w:ascii="宋体"/>
                <w:bCs/>
                <w:sz w:val="18"/>
                <w:szCs w:val="18"/>
              </w:rPr>
            </w:pPr>
            <w:r>
              <w:rPr>
                <w:rFonts w:hint="eastAsia"/>
                <w:sz w:val="18"/>
                <w:szCs w:val="18"/>
              </w:rPr>
              <w:t>与</w:t>
            </w:r>
            <w:r>
              <w:rPr>
                <w:sz w:val="18"/>
                <w:szCs w:val="18"/>
              </w:rPr>
              <w:t>上季度相比，报告期企业用工人数变化及原因</w:t>
            </w:r>
          </w:p>
          <w:p>
            <w:pPr>
              <w:snapToGrid w:val="0"/>
              <w:spacing w:line="240" w:lineRule="exact"/>
              <w:ind w:firstLine="180" w:firstLineChars="100"/>
              <w:rPr>
                <w:rFonts w:hint="eastAsia" w:ascii="宋体" w:hAnsi="宋体"/>
                <w:sz w:val="18"/>
                <w:szCs w:val="18"/>
              </w:rPr>
            </w:pPr>
            <w:r>
              <w:rPr>
                <w:rFonts w:hint="eastAsia" w:ascii="宋体" w:hAnsi="宋体"/>
                <w:sz w:val="18"/>
                <w:szCs w:val="18"/>
              </w:rPr>
              <w:t>A增加（请列出企业用工增加的前两位原因）：第一位原因   □     第二位原因（选填） □</w:t>
            </w:r>
          </w:p>
          <w:p>
            <w:pPr>
              <w:snapToGrid w:val="0"/>
              <w:spacing w:line="240" w:lineRule="exact"/>
              <w:rPr>
                <w:rFonts w:hint="eastAsia" w:ascii="宋体" w:hAnsi="宋体"/>
                <w:bCs/>
                <w:sz w:val="18"/>
                <w:szCs w:val="18"/>
              </w:rPr>
            </w:pPr>
            <w:r>
              <w:rPr>
                <w:rFonts w:hint="eastAsia" w:ascii="宋体" w:hAnsi="宋体"/>
                <w:sz w:val="18"/>
              </w:rPr>
              <w:t>①</w:t>
            </w:r>
            <w:r>
              <w:rPr>
                <w:rFonts w:hint="eastAsia" w:ascii="宋体" w:hAnsi="宋体"/>
                <w:sz w:val="18"/>
                <w:szCs w:val="18"/>
              </w:rPr>
              <w:t xml:space="preserve">企业发展向好，生产订单或者业务增加      </w:t>
            </w:r>
            <w:r>
              <w:rPr>
                <w:rFonts w:hint="eastAsia" w:ascii="宋体" w:hAnsi="宋体"/>
                <w:bCs/>
                <w:sz w:val="18"/>
                <w:szCs w:val="18"/>
              </w:rPr>
              <w:t>②</w:t>
            </w:r>
            <w:r>
              <w:rPr>
                <w:rFonts w:hint="eastAsia" w:ascii="宋体" w:hAnsi="宋体"/>
                <w:sz w:val="18"/>
                <w:szCs w:val="18"/>
              </w:rPr>
              <w:t>临时性或者季节性的用工需要</w:t>
            </w:r>
          </w:p>
          <w:p>
            <w:pPr>
              <w:snapToGrid w:val="0"/>
              <w:spacing w:line="240" w:lineRule="exact"/>
              <w:rPr>
                <w:rFonts w:hint="eastAsia" w:ascii="宋体" w:hAnsi="宋体"/>
                <w:sz w:val="18"/>
                <w:szCs w:val="18"/>
              </w:rPr>
            </w:pPr>
            <w:r>
              <w:rPr>
                <w:rFonts w:hint="eastAsia" w:ascii="宋体" w:hAnsi="宋体"/>
                <w:bCs/>
                <w:sz w:val="18"/>
                <w:szCs w:val="18"/>
              </w:rPr>
              <w:t>③</w:t>
            </w:r>
            <w:r>
              <w:rPr>
                <w:rFonts w:hint="eastAsia" w:ascii="宋体" w:hAnsi="宋体"/>
                <w:sz w:val="18"/>
                <w:szCs w:val="18"/>
              </w:rPr>
              <w:t xml:space="preserve">为应对人员流失，提前储备                </w:t>
            </w:r>
            <w:r>
              <w:rPr>
                <w:rFonts w:hint="eastAsia" w:ascii="宋体" w:hAnsi="宋体"/>
                <w:bCs/>
                <w:sz w:val="18"/>
                <w:szCs w:val="18"/>
              </w:rPr>
              <w:t>④</w:t>
            </w:r>
            <w:r>
              <w:rPr>
                <w:rFonts w:hint="eastAsia" w:ascii="宋体" w:hAnsi="宋体"/>
                <w:sz w:val="18"/>
                <w:szCs w:val="18"/>
              </w:rPr>
              <w:t>用工方式调整（请注明具体情况）</w:t>
            </w:r>
          </w:p>
          <w:p>
            <w:pPr>
              <w:snapToGrid w:val="0"/>
              <w:spacing w:line="240" w:lineRule="exact"/>
              <w:rPr>
                <w:rFonts w:hint="eastAsia" w:ascii="宋体" w:hAnsi="宋体"/>
                <w:sz w:val="18"/>
                <w:szCs w:val="18"/>
              </w:rPr>
            </w:pPr>
            <w:r>
              <w:rPr>
                <w:rFonts w:hint="eastAsia" w:ascii="宋体" w:hAnsi="宋体"/>
                <w:sz w:val="18"/>
              </w:rPr>
              <w:t>⑤</w:t>
            </w:r>
            <w:r>
              <w:rPr>
                <w:rFonts w:hint="eastAsia" w:ascii="宋体" w:hAnsi="宋体"/>
                <w:sz w:val="18"/>
                <w:szCs w:val="18"/>
              </w:rPr>
              <w:t xml:space="preserve">其他（请注明） </w:t>
            </w:r>
          </w:p>
          <w:p>
            <w:pPr>
              <w:snapToGrid w:val="0"/>
              <w:spacing w:line="240" w:lineRule="exact"/>
              <w:rPr>
                <w:rFonts w:hint="eastAsia" w:ascii="宋体" w:hAnsi="宋体"/>
                <w:sz w:val="18"/>
                <w:szCs w:val="18"/>
              </w:rPr>
            </w:pPr>
            <w:r>
              <w:rPr>
                <w:rFonts w:hint="eastAsia" w:ascii="宋体" w:hAnsi="宋体"/>
                <w:sz w:val="18"/>
                <w:szCs w:val="18"/>
              </w:rPr>
              <w:t xml:space="preserve">  B减少（请列出企业用工减少的前两位原因）：第一位原因   □     第二位原因（选填） □</w:t>
            </w:r>
          </w:p>
          <w:p>
            <w:pPr>
              <w:snapToGrid w:val="0"/>
              <w:spacing w:line="240" w:lineRule="exact"/>
              <w:rPr>
                <w:rFonts w:hint="eastAsia" w:ascii="宋体" w:hAnsi="宋体"/>
                <w:sz w:val="18"/>
                <w:szCs w:val="18"/>
              </w:rPr>
            </w:pPr>
            <w:r>
              <w:rPr>
                <w:rFonts w:hint="eastAsia" w:ascii="宋体" w:hAnsi="宋体"/>
                <w:sz w:val="18"/>
              </w:rPr>
              <w:t>①</w:t>
            </w:r>
            <w:r>
              <w:rPr>
                <w:rFonts w:hint="eastAsia" w:ascii="宋体" w:hAnsi="宋体"/>
                <w:sz w:val="18"/>
                <w:szCs w:val="18"/>
              </w:rPr>
              <w:t xml:space="preserve">企业经营收缩，生产任务或者业务量不足    </w:t>
            </w:r>
            <w:r>
              <w:rPr>
                <w:rFonts w:hint="eastAsia" w:ascii="宋体" w:hAnsi="宋体"/>
                <w:bCs/>
                <w:sz w:val="18"/>
                <w:szCs w:val="18"/>
              </w:rPr>
              <w:t>②</w:t>
            </w:r>
            <w:r>
              <w:rPr>
                <w:rFonts w:hint="eastAsia" w:ascii="宋体" w:hAnsi="宋体"/>
                <w:sz w:val="18"/>
                <w:szCs w:val="18"/>
              </w:rPr>
              <w:t>临时性或者季节性的用工减少</w:t>
            </w:r>
          </w:p>
          <w:p>
            <w:pPr>
              <w:snapToGrid w:val="0"/>
              <w:spacing w:line="240" w:lineRule="exact"/>
              <w:rPr>
                <w:rFonts w:hint="eastAsia" w:ascii="宋体" w:hAnsi="宋体"/>
                <w:sz w:val="18"/>
                <w:szCs w:val="18"/>
              </w:rPr>
            </w:pPr>
            <w:r>
              <w:rPr>
                <w:rFonts w:hint="eastAsia" w:ascii="宋体" w:hAnsi="宋体"/>
                <w:bCs/>
                <w:sz w:val="18"/>
                <w:szCs w:val="18"/>
              </w:rPr>
              <w:t>③</w:t>
            </w:r>
            <w:r>
              <w:rPr>
                <w:rFonts w:hint="eastAsia" w:ascii="宋体" w:hAnsi="宋体"/>
                <w:sz w:val="18"/>
                <w:szCs w:val="18"/>
              </w:rPr>
              <w:t xml:space="preserve">技术升级，生产或经营效率提高            </w:t>
            </w:r>
            <w:r>
              <w:rPr>
                <w:rFonts w:hint="eastAsia" w:ascii="宋体" w:hAnsi="宋体"/>
                <w:bCs/>
                <w:sz w:val="18"/>
                <w:szCs w:val="18"/>
              </w:rPr>
              <w:t>④</w:t>
            </w:r>
            <w:r>
              <w:rPr>
                <w:rFonts w:hint="eastAsia" w:ascii="宋体" w:hAnsi="宋体"/>
                <w:sz w:val="18"/>
                <w:szCs w:val="18"/>
              </w:rPr>
              <w:t>经营正常，未及时对减员岗位进行招录补充</w:t>
            </w:r>
          </w:p>
          <w:p>
            <w:pPr>
              <w:snapToGrid w:val="0"/>
              <w:spacing w:line="240" w:lineRule="exact"/>
              <w:rPr>
                <w:rFonts w:hint="eastAsia" w:ascii="宋体" w:hAnsi="宋体"/>
                <w:sz w:val="18"/>
                <w:szCs w:val="18"/>
              </w:rPr>
            </w:pPr>
            <w:r>
              <w:rPr>
                <w:rFonts w:hint="eastAsia" w:ascii="宋体" w:hAnsi="宋体"/>
                <w:sz w:val="18"/>
              </w:rPr>
              <w:t>⑤</w:t>
            </w:r>
            <w:r>
              <w:rPr>
                <w:rFonts w:hint="eastAsia" w:ascii="宋体" w:hAnsi="宋体"/>
                <w:sz w:val="18"/>
                <w:szCs w:val="18"/>
              </w:rPr>
              <w:t xml:space="preserve">用工方式调整（请注明具体情况）          </w:t>
            </w:r>
            <w:r>
              <w:rPr>
                <w:rFonts w:hint="eastAsia" w:ascii="宋体" w:hAnsi="宋体"/>
                <w:sz w:val="18"/>
              </w:rPr>
              <w:t>⑥</w:t>
            </w:r>
            <w:r>
              <w:rPr>
                <w:rFonts w:hint="eastAsia" w:ascii="宋体" w:hAnsi="宋体"/>
                <w:sz w:val="18"/>
                <w:szCs w:val="18"/>
              </w:rPr>
              <w:t xml:space="preserve">其他（请注明）                  </w:t>
            </w:r>
          </w:p>
          <w:p>
            <w:pPr>
              <w:snapToGrid w:val="0"/>
              <w:spacing w:line="240" w:lineRule="exact"/>
              <w:rPr>
                <w:rFonts w:hint="eastAsia"/>
              </w:rPr>
            </w:pPr>
            <w:r>
              <w:rPr>
                <w:rFonts w:hint="eastAsia" w:ascii="宋体" w:hAnsi="宋体"/>
                <w:sz w:val="18"/>
                <w:szCs w:val="18"/>
              </w:rPr>
              <w:t xml:space="preserve">  C持平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649"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23</w:t>
            </w:r>
          </w:p>
        </w:tc>
        <w:tc>
          <w:tcPr>
            <w:tcW w:w="4792" w:type="pct"/>
            <w:tcBorders>
              <w:top w:val="single" w:color="auto" w:sz="2" w:space="0"/>
              <w:bottom w:val="single" w:color="auto" w:sz="2" w:space="0"/>
              <w:right w:val="double" w:color="auto" w:sz="4" w:space="0"/>
            </w:tcBorders>
            <w:noWrap w:val="0"/>
            <w:vAlign w:val="center"/>
          </w:tcPr>
          <w:p>
            <w:pPr>
              <w:tabs>
                <w:tab w:val="center" w:pos="9031"/>
              </w:tabs>
              <w:snapToGrid w:val="0"/>
              <w:spacing w:line="240" w:lineRule="exact"/>
              <w:ind w:firstLine="90" w:firstLineChars="50"/>
              <w:rPr>
                <w:rFonts w:hint="eastAsia" w:ascii="宋体" w:hAnsi="宋体"/>
                <w:sz w:val="18"/>
              </w:rPr>
            </w:pPr>
            <w:r>
              <w:rPr>
                <w:rFonts w:hint="eastAsia" w:ascii="宋体" w:hAnsi="宋体"/>
                <w:sz w:val="18"/>
              </w:rPr>
              <w:t xml:space="preserve">普通员工（如普通工人、销售人员、普通服务人员等）的平均月底薪上涨给企业经营形成的压力                    </w:t>
            </w:r>
          </w:p>
          <w:p>
            <w:pPr>
              <w:tabs>
                <w:tab w:val="center" w:pos="9031"/>
              </w:tabs>
              <w:adjustRightInd w:val="0"/>
              <w:snapToGrid w:val="0"/>
              <w:spacing w:line="240" w:lineRule="exact"/>
              <w:rPr>
                <w:rFonts w:ascii="宋体" w:hAnsi="宋体"/>
                <w:sz w:val="18"/>
              </w:rPr>
            </w:pPr>
            <w:r>
              <w:rPr>
                <w:rFonts w:hint="eastAsia" w:ascii="宋体" w:hAnsi="宋体"/>
                <w:sz w:val="18"/>
              </w:rPr>
              <w:t xml:space="preserve">①明显增大                  □     </w:t>
            </w:r>
            <w:r>
              <w:rPr>
                <w:rFonts w:hint="eastAsia" w:ascii="宋体" w:hAnsi="宋体"/>
                <w:bCs/>
                <w:sz w:val="18"/>
                <w:szCs w:val="18"/>
              </w:rPr>
              <w:t>②</w:t>
            </w:r>
            <w:r>
              <w:rPr>
                <w:rFonts w:hint="eastAsia" w:ascii="宋体" w:hAnsi="宋体"/>
                <w:sz w:val="18"/>
              </w:rPr>
              <w:t xml:space="preserve">有一定压力，但能消化     □     </w:t>
            </w:r>
            <w:r>
              <w:rPr>
                <w:rFonts w:hint="eastAsia" w:ascii="宋体" w:hAnsi="宋体"/>
                <w:bCs/>
                <w:sz w:val="18"/>
                <w:szCs w:val="18"/>
              </w:rPr>
              <w:t>③</w:t>
            </w:r>
            <w:r>
              <w:rPr>
                <w:rFonts w:hint="eastAsia" w:ascii="宋体" w:hAnsi="宋体"/>
                <w:sz w:val="18"/>
              </w:rPr>
              <w:t>压力较小或没有压力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649"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24</w:t>
            </w:r>
          </w:p>
        </w:tc>
        <w:tc>
          <w:tcPr>
            <w:tcW w:w="4792" w:type="pct"/>
            <w:tcBorders>
              <w:top w:val="single" w:color="auto" w:sz="2" w:space="0"/>
              <w:bottom w:val="single" w:color="auto" w:sz="2" w:space="0"/>
              <w:right w:val="double" w:color="auto" w:sz="4" w:space="0"/>
            </w:tcBorders>
            <w:noWrap w:val="0"/>
            <w:vAlign w:val="center"/>
          </w:tcPr>
          <w:p>
            <w:pPr>
              <w:tabs>
                <w:tab w:val="center" w:pos="9031"/>
              </w:tabs>
              <w:adjustRightInd w:val="0"/>
              <w:snapToGrid w:val="0"/>
              <w:spacing w:line="240" w:lineRule="exact"/>
              <w:ind w:firstLine="90" w:firstLineChars="50"/>
              <w:rPr>
                <w:rFonts w:ascii="宋体" w:hAnsi="宋体"/>
                <w:sz w:val="18"/>
              </w:rPr>
            </w:pPr>
            <w:r>
              <w:rPr>
                <w:rFonts w:hint="eastAsia" w:ascii="宋体" w:hAnsi="宋体"/>
                <w:bCs/>
                <w:sz w:val="18"/>
                <w:szCs w:val="18"/>
              </w:rPr>
              <w:t>目前企业用工面临的主要困</w:t>
            </w:r>
            <w:r>
              <w:rPr>
                <w:rFonts w:hint="eastAsia" w:ascii="宋体" w:hAnsi="宋体"/>
                <w:sz w:val="18"/>
              </w:rPr>
              <w:t>难是（可多选，最多选</w:t>
            </w:r>
            <w:r>
              <w:rPr>
                <w:rFonts w:ascii="宋体" w:hAnsi="宋体"/>
                <w:sz w:val="18"/>
              </w:rPr>
              <w:t>2</w:t>
            </w:r>
            <w:r>
              <w:rPr>
                <w:rFonts w:hint="eastAsia" w:ascii="宋体" w:hAnsi="宋体"/>
                <w:sz w:val="18"/>
              </w:rPr>
              <w:t>项）</w:t>
            </w:r>
            <w:r>
              <w:rPr>
                <w:rFonts w:ascii="宋体" w:hAnsi="宋体"/>
                <w:sz w:val="18"/>
              </w:rPr>
              <w:t xml:space="preserve">  </w:t>
            </w:r>
          </w:p>
          <w:p>
            <w:pPr>
              <w:tabs>
                <w:tab w:val="center" w:pos="9031"/>
              </w:tabs>
              <w:adjustRightInd w:val="0"/>
              <w:snapToGrid w:val="0"/>
              <w:spacing w:line="240" w:lineRule="exact"/>
              <w:rPr>
                <w:rFonts w:ascii="宋体"/>
                <w:sz w:val="18"/>
              </w:rPr>
            </w:pPr>
            <w:r>
              <w:rPr>
                <w:rFonts w:hint="eastAsia" w:ascii="宋体" w:hAnsi="宋体"/>
                <w:sz w:val="18"/>
              </w:rPr>
              <w:t>①招工难</w:t>
            </w:r>
            <w:r>
              <w:rPr>
                <w:rFonts w:ascii="宋体" w:hAnsi="宋体"/>
                <w:sz w:val="18"/>
              </w:rPr>
              <w:t xml:space="preserve">                    </w:t>
            </w:r>
            <w:r>
              <w:rPr>
                <w:rFonts w:hint="eastAsia" w:ascii="宋体" w:hAnsi="宋体"/>
                <w:bCs/>
                <w:sz w:val="18"/>
                <w:szCs w:val="18"/>
              </w:rPr>
              <w:t>□</w:t>
            </w:r>
            <w:r>
              <w:rPr>
                <w:rFonts w:ascii="宋体" w:hAnsi="宋体"/>
                <w:sz w:val="18"/>
              </w:rPr>
              <w:t xml:space="preserve">     </w:t>
            </w:r>
            <w:r>
              <w:rPr>
                <w:rFonts w:hint="eastAsia" w:ascii="宋体" w:hAnsi="宋体"/>
                <w:sz w:val="18"/>
              </w:rPr>
              <w:t>②员工流失率较高</w:t>
            </w:r>
            <w:r>
              <w:rPr>
                <w:rFonts w:ascii="宋体" w:hAnsi="宋体"/>
                <w:sz w:val="18"/>
              </w:rPr>
              <w:t xml:space="preserve">           </w:t>
            </w:r>
            <w:r>
              <w:rPr>
                <w:rFonts w:hint="eastAsia" w:ascii="宋体" w:hAnsi="宋体"/>
                <w:bCs/>
                <w:sz w:val="18"/>
                <w:szCs w:val="18"/>
              </w:rPr>
              <w:t>□</w:t>
            </w:r>
            <w:r>
              <w:rPr>
                <w:rFonts w:ascii="宋体" w:hAnsi="宋体"/>
                <w:sz w:val="18"/>
              </w:rPr>
              <w:t xml:space="preserve">     </w:t>
            </w:r>
            <w:r>
              <w:rPr>
                <w:rFonts w:hint="eastAsia" w:ascii="宋体" w:hAnsi="宋体"/>
                <w:sz w:val="18"/>
              </w:rPr>
              <w:t>③员工工资上涨压力较大</w:t>
            </w:r>
            <w:r>
              <w:rPr>
                <w:rFonts w:ascii="宋体" w:hAnsi="宋体"/>
                <w:sz w:val="18"/>
              </w:rPr>
              <w:t xml:space="preserve">      </w:t>
            </w:r>
            <w:r>
              <w:rPr>
                <w:rFonts w:hint="eastAsia" w:ascii="宋体" w:hAnsi="宋体"/>
                <w:bCs/>
                <w:sz w:val="18"/>
                <w:szCs w:val="18"/>
              </w:rPr>
              <w:t>□</w:t>
            </w:r>
          </w:p>
          <w:p>
            <w:pPr>
              <w:tabs>
                <w:tab w:val="center" w:pos="9031"/>
              </w:tabs>
              <w:adjustRightInd w:val="0"/>
              <w:snapToGrid w:val="0"/>
              <w:spacing w:line="240" w:lineRule="exact"/>
              <w:rPr>
                <w:rFonts w:ascii="宋体"/>
                <w:bCs/>
                <w:sz w:val="18"/>
                <w:szCs w:val="18"/>
              </w:rPr>
            </w:pPr>
            <w:r>
              <w:rPr>
                <w:rFonts w:hint="eastAsia" w:ascii="宋体" w:hAnsi="宋体"/>
                <w:sz w:val="18"/>
              </w:rPr>
              <w:t>④“五险一金”缴存比例高</w:t>
            </w:r>
            <w:r>
              <w:rPr>
                <w:rFonts w:ascii="宋体" w:hAnsi="宋体"/>
                <w:sz w:val="18"/>
              </w:rPr>
              <w:t xml:space="preserve">    </w:t>
            </w:r>
            <w:r>
              <w:rPr>
                <w:rFonts w:hint="eastAsia" w:ascii="宋体" w:hAnsi="宋体"/>
                <w:bCs/>
                <w:sz w:val="18"/>
                <w:szCs w:val="18"/>
              </w:rPr>
              <w:t>□</w:t>
            </w:r>
            <w:r>
              <w:rPr>
                <w:rFonts w:ascii="宋体" w:hAnsi="宋体"/>
                <w:sz w:val="18"/>
              </w:rPr>
              <w:t xml:space="preserve">     </w:t>
            </w:r>
            <w:r>
              <w:rPr>
                <w:rFonts w:hint="eastAsia" w:ascii="宋体" w:hAnsi="宋体"/>
                <w:sz w:val="18"/>
              </w:rPr>
              <w:t>⑤其他（请注明）</w:t>
            </w:r>
            <w:r>
              <w:rPr>
                <w:rFonts w:ascii="宋体" w:hAnsi="宋体"/>
                <w:sz w:val="18"/>
                <w:u w:val="single"/>
              </w:rPr>
              <w:t xml:space="preserve">       </w:t>
            </w:r>
            <w:r>
              <w:rPr>
                <w:rFonts w:ascii="宋体" w:hAnsi="宋体"/>
                <w:bCs/>
                <w:sz w:val="18"/>
                <w:szCs w:val="18"/>
                <w:u w:val="single"/>
              </w:rPr>
              <w:t xml:space="preserve">  </w:t>
            </w:r>
            <w:r>
              <w:rPr>
                <w:rFonts w:ascii="宋体" w:hAnsi="宋体"/>
                <w:sz w:val="18"/>
                <w:u w:val="single"/>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⑥无困难</w:t>
            </w:r>
            <w:r>
              <w:rPr>
                <w:rFonts w:ascii="宋体" w:hAnsi="宋体"/>
                <w:bCs/>
                <w:sz w:val="18"/>
                <w:szCs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649"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25</w:t>
            </w:r>
          </w:p>
        </w:tc>
        <w:tc>
          <w:tcPr>
            <w:tcW w:w="4792" w:type="pct"/>
            <w:tcBorders>
              <w:top w:val="single" w:color="auto" w:sz="2" w:space="0"/>
              <w:bottom w:val="single" w:color="auto" w:sz="2" w:space="0"/>
              <w:right w:val="double" w:color="auto" w:sz="4" w:space="0"/>
            </w:tcBorders>
            <w:noWrap w:val="0"/>
            <w:vAlign w:val="center"/>
          </w:tcPr>
          <w:p>
            <w:pPr>
              <w:ind w:firstLine="90" w:firstLineChars="50"/>
              <w:rPr>
                <w:rFonts w:hint="eastAsia" w:ascii="宋体" w:hAnsi="宋体"/>
                <w:bCs/>
                <w:sz w:val="18"/>
                <w:szCs w:val="18"/>
              </w:rPr>
            </w:pPr>
            <w:r>
              <w:rPr>
                <w:rFonts w:hint="eastAsia" w:ascii="宋体" w:hAnsi="宋体"/>
                <w:bCs/>
                <w:sz w:val="18"/>
                <w:szCs w:val="18"/>
              </w:rPr>
              <w:t>您认为目前是否存在“招工难”问题</w:t>
            </w:r>
            <w:r>
              <w:rPr>
                <w:rFonts w:hint="eastAsia" w:ascii="仿宋_GB2312" w:hAnsi="仿宋_GB2312" w:cs="仿宋_GB2312"/>
                <w:b w:val="0"/>
                <w:bCs w:val="0"/>
                <w:color w:val="000000"/>
                <w:kern w:val="0"/>
                <w:sz w:val="18"/>
                <w:szCs w:val="18"/>
                <w:highlight w:val="none"/>
                <w:shd w:val="clear" w:color="auto" w:fill="auto"/>
                <w:lang w:eastAsia="zh-CN"/>
              </w:rPr>
              <w:t>（如</w:t>
            </w:r>
            <w:r>
              <w:rPr>
                <w:rFonts w:hint="eastAsia" w:ascii="仿宋_GB2312" w:hAnsi="仿宋_GB2312" w:cs="仿宋_GB2312"/>
                <w:b w:val="0"/>
                <w:bCs w:val="0"/>
                <w:color w:val="000000"/>
                <w:kern w:val="0"/>
                <w:sz w:val="18"/>
                <w:szCs w:val="18"/>
                <w:highlight w:val="none"/>
                <w:shd w:val="clear" w:color="auto" w:fill="auto"/>
              </w:rPr>
              <w:t>选①，跳过问题</w:t>
            </w:r>
            <w:r>
              <w:rPr>
                <w:rFonts w:hint="eastAsia" w:ascii="仿宋_GB2312" w:hAnsi="仿宋_GB2312" w:cs="仿宋_GB2312"/>
                <w:b w:val="0"/>
                <w:bCs w:val="0"/>
                <w:color w:val="000000"/>
                <w:kern w:val="0"/>
                <w:sz w:val="18"/>
                <w:szCs w:val="18"/>
                <w:highlight w:val="none"/>
                <w:shd w:val="clear" w:color="auto" w:fill="auto"/>
                <w:lang w:eastAsia="zh-CN"/>
              </w:rPr>
              <w:t>2</w:t>
            </w:r>
            <w:r>
              <w:rPr>
                <w:rFonts w:hint="eastAsia" w:ascii="仿宋_GB2312" w:hAnsi="仿宋_GB2312" w:cs="仿宋_GB2312"/>
                <w:b w:val="0"/>
                <w:bCs w:val="0"/>
                <w:color w:val="000000"/>
                <w:kern w:val="0"/>
                <w:sz w:val="18"/>
                <w:szCs w:val="18"/>
                <w:highlight w:val="none"/>
                <w:shd w:val="clear" w:color="auto" w:fill="auto"/>
                <w:lang w:val="en-US" w:eastAsia="zh-CN"/>
              </w:rPr>
              <w:t>6</w:t>
            </w:r>
            <w:r>
              <w:rPr>
                <w:rFonts w:hint="eastAsia" w:ascii="仿宋_GB2312" w:hAnsi="仿宋_GB2312" w:cs="仿宋_GB2312"/>
                <w:b w:val="0"/>
                <w:bCs w:val="0"/>
                <w:color w:val="000000"/>
                <w:kern w:val="0"/>
                <w:sz w:val="18"/>
                <w:szCs w:val="18"/>
                <w:highlight w:val="none"/>
                <w:shd w:val="clear" w:color="auto" w:fill="auto"/>
                <w:lang w:eastAsia="zh-CN"/>
              </w:rPr>
              <w:t>）</w:t>
            </w:r>
          </w:p>
          <w:p>
            <w:pPr>
              <w:pStyle w:val="2"/>
              <w:ind w:left="0" w:leftChars="0" w:firstLine="0" w:firstLineChars="0"/>
              <w:rPr>
                <w:rFonts w:hint="eastAsia"/>
              </w:rPr>
            </w:pPr>
            <w:r>
              <w:rPr>
                <w:rFonts w:hint="eastAsia" w:ascii="宋体" w:hAnsi="宋体"/>
                <w:sz w:val="18"/>
                <w:szCs w:val="18"/>
              </w:rPr>
              <w:t>①不存在</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szCs w:val="18"/>
              </w:rPr>
              <w:t>②</w:t>
            </w:r>
            <w:r>
              <w:rPr>
                <w:rFonts w:hint="eastAsia" w:ascii="宋体" w:hAnsi="宋体"/>
                <w:bCs/>
                <w:sz w:val="18"/>
                <w:szCs w:val="18"/>
              </w:rPr>
              <w:t>存在，但不太严重</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sz w:val="18"/>
                <w:szCs w:val="18"/>
              </w:rPr>
              <w:t>③存在，比较严重</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④</w:t>
            </w:r>
            <w:r>
              <w:rPr>
                <w:rFonts w:hint="eastAsia" w:ascii="宋体" w:hAnsi="宋体"/>
                <w:sz w:val="18"/>
                <w:szCs w:val="18"/>
              </w:rPr>
              <w:t>存在，非常严重</w:t>
            </w:r>
            <w:r>
              <w:rPr>
                <w:rFonts w:ascii="宋体" w:hAnsi="宋体"/>
                <w:bCs/>
                <w:sz w:val="18"/>
                <w:szCs w:val="18"/>
              </w:rPr>
              <w:t xml:space="preserve">  </w:t>
            </w:r>
            <w:r>
              <w:rPr>
                <w:rFonts w:hint="eastAsia" w:ascii="宋体" w:hAnsi="宋体"/>
                <w:bCs/>
                <w:sz w:val="18"/>
                <w:szCs w:val="18"/>
              </w:rPr>
              <w:t xml:space="preserve">  □</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649"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26</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ind w:firstLine="90" w:firstLineChars="50"/>
              <w:rPr>
                <w:rFonts w:hint="eastAsia" w:ascii="宋体" w:hAnsi="宋体"/>
                <w:bCs/>
                <w:sz w:val="18"/>
                <w:szCs w:val="18"/>
              </w:rPr>
            </w:pPr>
            <w:r>
              <w:rPr>
                <w:rFonts w:hint="eastAsia" w:ascii="宋体" w:hAnsi="宋体"/>
                <w:bCs/>
                <w:sz w:val="18"/>
                <w:szCs w:val="18"/>
              </w:rPr>
              <w:t>您认为“招工难”的主要原因是（</w:t>
            </w:r>
            <w:r>
              <w:rPr>
                <w:rFonts w:hint="eastAsia" w:ascii="宋体" w:hAnsi="宋体"/>
                <w:sz w:val="18"/>
              </w:rPr>
              <w:t>可多选，最多选</w:t>
            </w:r>
            <w:r>
              <w:rPr>
                <w:rFonts w:ascii="宋体" w:hAnsi="宋体"/>
                <w:sz w:val="18"/>
              </w:rPr>
              <w:t>3</w:t>
            </w:r>
            <w:r>
              <w:rPr>
                <w:rFonts w:hint="eastAsia" w:ascii="宋体" w:hAnsi="宋体"/>
                <w:sz w:val="18"/>
              </w:rPr>
              <w:t>项</w:t>
            </w:r>
            <w:r>
              <w:rPr>
                <w:rFonts w:hint="eastAsia" w:ascii="宋体" w:hAnsi="宋体"/>
                <w:bCs/>
                <w:sz w:val="18"/>
                <w:szCs w:val="18"/>
              </w:rPr>
              <w:t>）</w:t>
            </w:r>
          </w:p>
          <w:p>
            <w:pPr>
              <w:snapToGrid w:val="0"/>
              <w:spacing w:line="240" w:lineRule="exact"/>
              <w:rPr>
                <w:rFonts w:ascii="宋体" w:hAnsi="宋体"/>
                <w:bCs/>
                <w:sz w:val="18"/>
                <w:szCs w:val="18"/>
              </w:rPr>
            </w:pPr>
            <w:r>
              <w:rPr>
                <w:rFonts w:hint="eastAsia" w:ascii="宋体" w:hAnsi="宋体"/>
                <w:sz w:val="18"/>
              </w:rPr>
              <w:t>①</w:t>
            </w:r>
            <w:r>
              <w:rPr>
                <w:rFonts w:hint="eastAsia" w:ascii="宋体" w:hAnsi="宋体"/>
                <w:sz w:val="18"/>
                <w:szCs w:val="18"/>
              </w:rPr>
              <w:t>求职者对薪酬期望过高</w:t>
            </w:r>
            <w:r>
              <w:rPr>
                <w:rFonts w:ascii="宋体" w:hAnsi="宋体"/>
                <w:sz w:val="18"/>
                <w:szCs w:val="18"/>
              </w:rPr>
              <w:t xml:space="preserve"> </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②</w:t>
            </w:r>
            <w:r>
              <w:rPr>
                <w:rFonts w:hint="eastAsia" w:ascii="宋体" w:hAnsi="宋体"/>
                <w:sz w:val="18"/>
              </w:rPr>
              <w:t>符合岗位要求的应聘者减少</w:t>
            </w:r>
            <w:r>
              <w:rPr>
                <w:rFonts w:ascii="宋体" w:hAnsi="宋体"/>
                <w:sz w:val="18"/>
              </w:rPr>
              <w:t xml:space="preserve"> </w:t>
            </w:r>
            <w:r>
              <w:rPr>
                <w:rFonts w:hint="eastAsia" w:ascii="宋体" w:hAnsi="宋体"/>
                <w:bCs/>
                <w:sz w:val="18"/>
                <w:szCs w:val="18"/>
              </w:rPr>
              <w:t>□</w:t>
            </w:r>
            <w:r>
              <w:rPr>
                <w:rFonts w:ascii="宋体" w:hAnsi="宋体"/>
                <w:bCs/>
                <w:sz w:val="18"/>
                <w:szCs w:val="18"/>
              </w:rPr>
              <w:t xml:space="preserve">     </w:t>
            </w:r>
          </w:p>
          <w:p>
            <w:pPr>
              <w:snapToGrid w:val="0"/>
              <w:spacing w:line="240" w:lineRule="exact"/>
              <w:rPr>
                <w:rFonts w:hint="eastAsia" w:ascii="宋体" w:hAnsi="宋体"/>
                <w:sz w:val="18"/>
                <w:szCs w:val="18"/>
              </w:rPr>
            </w:pPr>
            <w:r>
              <w:rPr>
                <w:rFonts w:hint="eastAsia" w:ascii="宋体" w:hAnsi="宋体"/>
                <w:bCs/>
                <w:sz w:val="18"/>
                <w:szCs w:val="18"/>
              </w:rPr>
              <w:t>③总体上求职者人数减少</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 xml:space="preserve">    ④</w:t>
            </w:r>
            <w:r>
              <w:rPr>
                <w:rFonts w:hint="eastAsia" w:ascii="宋体" w:hAnsi="宋体"/>
                <w:sz w:val="18"/>
                <w:szCs w:val="18"/>
              </w:rPr>
              <w:t>招聘渠道不畅</w:t>
            </w:r>
            <w:r>
              <w:rPr>
                <w:rFonts w:ascii="宋体" w:hAnsi="宋体"/>
                <w:bCs/>
                <w:sz w:val="18"/>
                <w:szCs w:val="18"/>
              </w:rPr>
              <w:t xml:space="preserve">   </w:t>
            </w:r>
            <w:r>
              <w:rPr>
                <w:rFonts w:ascii="宋体" w:hAnsi="宋体"/>
                <w:sz w:val="18"/>
                <w:szCs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⑤</w:t>
            </w:r>
            <w:r>
              <w:rPr>
                <w:rFonts w:hint="eastAsia" w:ascii="宋体" w:hAnsi="宋体"/>
                <w:bCs/>
                <w:sz w:val="18"/>
                <w:szCs w:val="18"/>
              </w:rPr>
              <w:t>其他（请注明）</w:t>
            </w:r>
            <w:r>
              <w:rPr>
                <w:rFonts w:ascii="宋体" w:hAnsi="宋体"/>
                <w:sz w:val="18"/>
                <w:u w:val="single"/>
              </w:rPr>
              <w:t xml:space="preserve">         </w:t>
            </w:r>
            <w:r>
              <w:rPr>
                <w:rFonts w:ascii="宋体" w:hAnsi="宋体"/>
                <w:bCs/>
                <w:sz w:val="18"/>
                <w:szCs w:val="18"/>
                <w:u w:val="single"/>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649"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27</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rPr>
                <w:rFonts w:ascii="宋体"/>
                <w:bCs/>
                <w:sz w:val="18"/>
                <w:szCs w:val="18"/>
              </w:rPr>
            </w:pPr>
            <w:r>
              <w:rPr>
                <w:rFonts w:hint="eastAsia" w:ascii="宋体" w:hAnsi="宋体"/>
                <w:bCs/>
                <w:sz w:val="18"/>
                <w:szCs w:val="18"/>
              </w:rPr>
              <w:t>本企业哪类人员“招工难”最突出</w:t>
            </w:r>
          </w:p>
          <w:p>
            <w:pPr>
              <w:snapToGrid w:val="0"/>
              <w:spacing w:line="240" w:lineRule="exact"/>
              <w:rPr>
                <w:rFonts w:ascii="宋体" w:hAnsi="宋体"/>
                <w:bCs/>
                <w:sz w:val="18"/>
                <w:szCs w:val="18"/>
              </w:rPr>
            </w:pPr>
            <w:r>
              <w:rPr>
                <w:rFonts w:hint="eastAsia" w:ascii="宋体" w:hAnsi="宋体"/>
                <w:sz w:val="18"/>
              </w:rPr>
              <w:t>①</w:t>
            </w:r>
            <w:r>
              <w:rPr>
                <w:rFonts w:hint="eastAsia" w:ascii="宋体" w:hAnsi="宋体"/>
                <w:sz w:val="18"/>
                <w:szCs w:val="18"/>
              </w:rPr>
              <w:t xml:space="preserve">经营管理人员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 xml:space="preserve"> ②</w:t>
            </w:r>
            <w:r>
              <w:rPr>
                <w:rFonts w:hint="eastAsia" w:ascii="宋体" w:hAnsi="宋体"/>
                <w:sz w:val="18"/>
              </w:rPr>
              <w:t xml:space="preserve">科研人员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③普通技工（或销售人员、普通服务人员）   □</w:t>
            </w:r>
          </w:p>
          <w:p>
            <w:pPr>
              <w:snapToGrid w:val="0"/>
              <w:spacing w:line="240" w:lineRule="exact"/>
              <w:rPr>
                <w:rFonts w:hint="eastAsia" w:ascii="宋体" w:hAnsi="宋体"/>
                <w:sz w:val="18"/>
                <w:szCs w:val="18"/>
              </w:rPr>
            </w:pPr>
            <w:r>
              <w:rPr>
                <w:rFonts w:hint="eastAsia" w:ascii="宋体" w:hAnsi="宋体"/>
                <w:bCs/>
                <w:sz w:val="18"/>
                <w:szCs w:val="18"/>
              </w:rPr>
              <w:t>④</w:t>
            </w:r>
            <w:r>
              <w:rPr>
                <w:rFonts w:hint="eastAsia" w:ascii="宋体" w:hAnsi="宋体"/>
                <w:sz w:val="18"/>
              </w:rPr>
              <w:t>高级技工        □     ⑤其他人员（请注明）  □       ⑥</w:t>
            </w:r>
            <w:r>
              <w:rPr>
                <w:rFonts w:hint="eastAsia" w:ascii="宋体" w:hAnsi="宋体"/>
                <w:sz w:val="18"/>
                <w:szCs w:val="18"/>
              </w:rPr>
              <w:t>各种人才都不缺</w:t>
            </w:r>
            <w:r>
              <w:rPr>
                <w:rFonts w:ascii="宋体" w:hAnsi="宋体"/>
                <w:bCs/>
                <w:sz w:val="18"/>
                <w:szCs w:val="18"/>
              </w:rPr>
              <w:t xml:space="preserve">           </w:t>
            </w:r>
            <w:r>
              <w:rPr>
                <w:rFonts w:hint="eastAsia" w:ascii="宋体" w:hAnsi="宋体"/>
                <w:bCs/>
                <w:sz w:val="18"/>
                <w:szCs w:val="18"/>
              </w:rPr>
              <w:t xml:space="preserve">           </w:t>
            </w:r>
            <w:r>
              <w:rPr>
                <w:rFonts w:ascii="宋体" w:hAnsi="宋体"/>
                <w:bCs/>
                <w:sz w:val="18"/>
                <w:szCs w:val="18"/>
              </w:rPr>
              <w:t xml:space="preserve">   </w:t>
            </w:r>
            <w:r>
              <w:rPr>
                <w:rFonts w:hint="eastAsia" w:ascii="宋体" w:hAnsi="宋体"/>
                <w:bCs/>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12"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hint="eastAsia" w:ascii="宋体"/>
                <w:sz w:val="18"/>
              </w:rPr>
            </w:pPr>
            <w:r>
              <w:rPr>
                <w:rFonts w:hint="eastAsia" w:ascii="宋体" w:hAnsi="宋体"/>
                <w:sz w:val="18"/>
              </w:rPr>
              <w:t>28</w:t>
            </w:r>
          </w:p>
        </w:tc>
        <w:tc>
          <w:tcPr>
            <w:tcW w:w="4792" w:type="pct"/>
            <w:tcBorders>
              <w:top w:val="single" w:color="auto" w:sz="2" w:space="0"/>
              <w:bottom w:val="single" w:color="auto" w:sz="2" w:space="0"/>
              <w:right w:val="double" w:color="auto" w:sz="4" w:space="0"/>
            </w:tcBorders>
            <w:noWrap w:val="0"/>
            <w:vAlign w:val="center"/>
          </w:tcPr>
          <w:p>
            <w:pPr>
              <w:adjustRightInd w:val="0"/>
              <w:snapToGrid w:val="0"/>
              <w:spacing w:line="240" w:lineRule="exact"/>
              <w:ind w:firstLine="90" w:firstLineChars="50"/>
              <w:rPr>
                <w:rFonts w:ascii="宋体"/>
                <w:sz w:val="18"/>
              </w:rPr>
            </w:pPr>
            <w:r>
              <w:rPr>
                <w:rFonts w:hint="eastAsia" w:ascii="宋体" w:hAnsi="宋体"/>
                <w:sz w:val="18"/>
              </w:rPr>
              <w:t>预计下季度企业用工计划比本季度</w:t>
            </w:r>
            <w:r>
              <w:rPr>
                <w:rFonts w:ascii="宋体" w:hAnsi="宋体"/>
                <w:sz w:val="18"/>
              </w:rPr>
              <w:t xml:space="preserve">      </w:t>
            </w:r>
            <w:r>
              <w:rPr>
                <w:rFonts w:hint="eastAsia" w:ascii="宋体" w:hAnsi="宋体"/>
                <w:sz w:val="18"/>
              </w:rPr>
              <w:t>①增加</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②持平</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③减少</w:t>
            </w:r>
            <w:r>
              <w:rPr>
                <w:rFonts w:ascii="宋体" w:hAnsi="宋体"/>
                <w:sz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12" w:hRule="atLeast"/>
        </w:trPr>
        <w:tc>
          <w:tcPr>
            <w:tcW w:w="207" w:type="pct"/>
            <w:tcBorders>
              <w:top w:val="single" w:color="auto" w:sz="2" w:space="0"/>
              <w:left w:val="double" w:color="auto" w:sz="4" w:space="0"/>
              <w:bottom w:val="single" w:color="auto" w:sz="4" w:space="0"/>
            </w:tcBorders>
            <w:noWrap w:val="0"/>
            <w:vAlign w:val="center"/>
          </w:tcPr>
          <w:p>
            <w:pPr>
              <w:adjustRightInd w:val="0"/>
              <w:snapToGrid w:val="0"/>
              <w:spacing w:line="240" w:lineRule="exact"/>
              <w:jc w:val="center"/>
              <w:rPr>
                <w:rFonts w:hint="eastAsia" w:ascii="宋体" w:hAnsi="宋体"/>
                <w:sz w:val="18"/>
              </w:rPr>
            </w:pPr>
            <w:r>
              <w:rPr>
                <w:rFonts w:hint="eastAsia" w:ascii="宋体" w:hAnsi="宋体"/>
                <w:sz w:val="18"/>
              </w:rPr>
              <w:t>29</w:t>
            </w:r>
          </w:p>
        </w:tc>
        <w:tc>
          <w:tcPr>
            <w:tcW w:w="4792" w:type="pct"/>
            <w:tcBorders>
              <w:top w:val="single" w:color="auto" w:sz="2" w:space="0"/>
              <w:bottom w:val="single" w:color="auto" w:sz="4" w:space="0"/>
              <w:right w:val="double" w:color="auto" w:sz="4" w:space="0"/>
            </w:tcBorders>
            <w:noWrap w:val="0"/>
            <w:vAlign w:val="center"/>
          </w:tcPr>
          <w:p>
            <w:pPr>
              <w:adjustRightInd w:val="0"/>
              <w:snapToGrid w:val="0"/>
              <w:spacing w:line="240" w:lineRule="exact"/>
              <w:ind w:firstLine="90" w:firstLineChars="50"/>
              <w:rPr>
                <w:rFonts w:ascii="宋体" w:hAnsi="宋体"/>
                <w:sz w:val="18"/>
              </w:rPr>
            </w:pPr>
            <w:r>
              <w:rPr>
                <w:rFonts w:hint="eastAsia" w:ascii="宋体" w:hAnsi="宋体"/>
                <w:sz w:val="18"/>
              </w:rPr>
              <w:t>下季度固定资产投资计划比本季度</w:t>
            </w:r>
            <w:r>
              <w:rPr>
                <w:rFonts w:ascii="宋体" w:hAnsi="宋体"/>
                <w:sz w:val="18"/>
              </w:rPr>
              <w:t xml:space="preserve">  </w:t>
            </w:r>
            <w:r>
              <w:rPr>
                <w:rFonts w:hint="eastAsia" w:ascii="宋体" w:hAnsi="宋体"/>
                <w:sz w:val="18"/>
              </w:rPr>
              <w:t>①增加</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②持平</w:t>
            </w:r>
            <w:r>
              <w:rPr>
                <w:rFonts w:ascii="宋体" w:hAnsi="宋体"/>
                <w:sz w:val="18"/>
              </w:rPr>
              <w:t xml:space="preserve">      </w:t>
            </w:r>
            <w:r>
              <w:rPr>
                <w:rFonts w:hint="eastAsia" w:ascii="宋体" w:hAnsi="宋体"/>
                <w:sz w:val="18"/>
              </w:rPr>
              <w:t>□</w:t>
            </w:r>
            <w:r>
              <w:rPr>
                <w:rFonts w:ascii="宋体" w:hAnsi="宋体"/>
                <w:sz w:val="18"/>
              </w:rPr>
              <w:t xml:space="preserve">       </w:t>
            </w:r>
            <w:r>
              <w:rPr>
                <w:rFonts w:hint="eastAsia" w:ascii="宋体" w:hAnsi="宋体"/>
                <w:sz w:val="18"/>
              </w:rPr>
              <w:t>③减少</w:t>
            </w:r>
            <w:r>
              <w:rPr>
                <w:rFonts w:ascii="宋体" w:hAnsi="宋体"/>
                <w:sz w:val="18"/>
              </w:rPr>
              <w:t xml:space="preserve">      </w:t>
            </w:r>
            <w:r>
              <w:rPr>
                <w:rFonts w:hint="eastAsia" w:ascii="宋体" w:hAnsi="宋体"/>
                <w:sz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397" w:hRule="atLeast"/>
        </w:trPr>
        <w:tc>
          <w:tcPr>
            <w:tcW w:w="5000" w:type="pct"/>
            <w:gridSpan w:val="2"/>
            <w:tcBorders>
              <w:top w:val="double" w:color="auto" w:sz="4" w:space="0"/>
              <w:left w:val="double" w:color="auto" w:sz="4" w:space="0"/>
              <w:bottom w:val="single" w:color="auto" w:sz="2" w:space="0"/>
              <w:right w:val="double" w:color="auto" w:sz="4" w:space="0"/>
            </w:tcBorders>
            <w:noWrap w:val="0"/>
            <w:vAlign w:val="center"/>
          </w:tcPr>
          <w:p>
            <w:pPr>
              <w:adjustRightInd w:val="0"/>
              <w:snapToGrid w:val="0"/>
              <w:spacing w:line="240" w:lineRule="exact"/>
              <w:jc w:val="center"/>
              <w:rPr>
                <w:rFonts w:ascii="宋体"/>
                <w:b/>
                <w:sz w:val="18"/>
              </w:rPr>
            </w:pPr>
            <w:r>
              <w:rPr>
                <w:rFonts w:hint="eastAsia" w:ascii="宋体" w:hAnsi="宋体"/>
                <w:b/>
                <w:sz w:val="18"/>
              </w:rPr>
              <w:t>五、中美经贸摩擦影响</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474" w:hRule="atLeast"/>
        </w:trPr>
        <w:tc>
          <w:tcPr>
            <w:tcW w:w="207" w:type="pct"/>
            <w:tcBorders>
              <w:top w:val="single" w:color="auto" w:sz="2" w:space="0"/>
              <w:left w:val="double" w:color="auto" w:sz="4" w:space="0"/>
              <w:bottom w:val="single" w:color="auto" w:sz="2" w:space="0"/>
            </w:tcBorders>
            <w:noWrap w:val="0"/>
            <w:vAlign w:val="center"/>
          </w:tcPr>
          <w:p>
            <w:pPr>
              <w:adjustRightInd w:val="0"/>
              <w:snapToGrid w:val="0"/>
              <w:spacing w:line="240" w:lineRule="exact"/>
              <w:jc w:val="center"/>
              <w:rPr>
                <w:rFonts w:ascii="宋体"/>
                <w:sz w:val="18"/>
              </w:rPr>
            </w:pPr>
            <w:r>
              <w:rPr>
                <w:rFonts w:hint="eastAsia" w:ascii="宋体" w:hAnsi="宋体"/>
                <w:sz w:val="18"/>
              </w:rPr>
              <w:t>30</w:t>
            </w:r>
          </w:p>
        </w:tc>
        <w:tc>
          <w:tcPr>
            <w:tcW w:w="4792" w:type="pct"/>
            <w:tcBorders>
              <w:top w:val="single" w:color="auto" w:sz="2" w:space="0"/>
              <w:bottom w:val="single" w:color="auto" w:sz="2" w:space="0"/>
              <w:right w:val="double" w:color="auto" w:sz="4" w:space="0"/>
            </w:tcBorders>
            <w:noWrap w:val="0"/>
            <w:vAlign w:val="center"/>
          </w:tcPr>
          <w:p>
            <w:pPr>
              <w:snapToGrid w:val="0"/>
              <w:spacing w:line="240" w:lineRule="exact"/>
              <w:ind w:firstLine="90" w:firstLineChars="50"/>
              <w:rPr>
                <w:rFonts w:ascii="宋体" w:hAnsi="宋体"/>
                <w:sz w:val="18"/>
              </w:rPr>
            </w:pPr>
            <w:r>
              <w:rPr>
                <w:rFonts w:hint="eastAsia" w:ascii="宋体" w:hAnsi="宋体"/>
                <w:sz w:val="18"/>
              </w:rPr>
              <w:t>本季度企业生产经营是否直接或间接受到中美经贸摩擦的影响？（如选</w:t>
            </w:r>
            <w:r>
              <w:rPr>
                <w:rFonts w:hint="eastAsia" w:ascii="宋体" w:hAnsi="宋体"/>
                <w:bCs/>
                <w:sz w:val="18"/>
                <w:szCs w:val="18"/>
              </w:rPr>
              <w:t>③</w:t>
            </w:r>
            <w:r>
              <w:rPr>
                <w:rFonts w:hint="eastAsia" w:ascii="宋体" w:hAnsi="宋体"/>
                <w:sz w:val="18"/>
              </w:rPr>
              <w:t>，跳过问题31，32，33）</w:t>
            </w:r>
            <w:r>
              <w:rPr>
                <w:rFonts w:ascii="宋体" w:hAnsi="宋体"/>
                <w:sz w:val="18"/>
              </w:rPr>
              <w:t xml:space="preserve">   </w:t>
            </w:r>
          </w:p>
          <w:p>
            <w:pPr>
              <w:snapToGrid w:val="0"/>
              <w:spacing w:line="240" w:lineRule="exact"/>
              <w:rPr>
                <w:rFonts w:ascii="宋体"/>
                <w:sz w:val="18"/>
              </w:rPr>
            </w:pPr>
            <w:r>
              <w:rPr>
                <w:rFonts w:hint="eastAsia" w:ascii="宋体" w:hAnsi="宋体"/>
                <w:sz w:val="18"/>
              </w:rPr>
              <w:t>①受直接影响</w:t>
            </w:r>
            <w:r>
              <w:rPr>
                <w:rFonts w:ascii="宋体" w:hAnsi="宋体"/>
                <w:sz w:val="18"/>
              </w:rPr>
              <w:t xml:space="preserve">                </w:t>
            </w:r>
            <w:r>
              <w:rPr>
                <w:rFonts w:hint="eastAsia" w:ascii="宋体" w:hAnsi="宋体"/>
                <w:sz w:val="18"/>
                <w:szCs w:val="18"/>
              </w:rPr>
              <w:t>□</w:t>
            </w:r>
            <w:r>
              <w:rPr>
                <w:rFonts w:ascii="宋体" w:hAnsi="宋体"/>
                <w:sz w:val="18"/>
              </w:rPr>
              <w:t xml:space="preserve">     </w:t>
            </w:r>
            <w:r>
              <w:rPr>
                <w:rFonts w:hint="eastAsia" w:ascii="宋体" w:hAnsi="宋体"/>
                <w:sz w:val="18"/>
              </w:rPr>
              <w:t>②受间接影响</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bCs/>
                <w:sz w:val="18"/>
                <w:szCs w:val="18"/>
              </w:rPr>
              <w:t>□</w:t>
            </w:r>
            <w:r>
              <w:rPr>
                <w:rFonts w:ascii="宋体" w:hAnsi="宋体"/>
                <w:sz w:val="18"/>
              </w:rPr>
              <w:t xml:space="preserve">    </w:t>
            </w:r>
            <w:r>
              <w:rPr>
                <w:rFonts w:hint="eastAsia" w:ascii="宋体" w:hAnsi="宋体"/>
                <w:bCs/>
                <w:sz w:val="18"/>
                <w:szCs w:val="18"/>
              </w:rPr>
              <w:t>③</w:t>
            </w:r>
            <w:r>
              <w:rPr>
                <w:rFonts w:hint="eastAsia" w:ascii="宋体" w:hAnsi="宋体"/>
                <w:sz w:val="18"/>
              </w:rPr>
              <w:t>不受影响</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hint="eastAsia" w:ascii="宋体" w:hAnsi="宋体"/>
                <w:sz w:val="18"/>
                <w:szCs w:val="18"/>
              </w:rPr>
              <w:t>□</w:t>
            </w:r>
          </w:p>
        </w:tc>
      </w:tr>
      <w:tr>
        <w:tblPrEx>
          <w:tblBorders>
            <w:top w:val="none" w:color="auto" w:sz="0"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cantSplit/>
          <w:trHeight w:val="841" w:hRule="atLeast"/>
        </w:trPr>
        <w:tc>
          <w:tcPr>
            <w:tcW w:w="207" w:type="pct"/>
            <w:tcBorders>
              <w:top w:val="single" w:color="auto" w:sz="2" w:space="0"/>
              <w:left w:val="double" w:color="auto" w:sz="4" w:space="0"/>
              <w:bottom w:val="double" w:color="auto" w:sz="4" w:space="0"/>
            </w:tcBorders>
            <w:noWrap w:val="0"/>
            <w:vAlign w:val="center"/>
          </w:tcPr>
          <w:p>
            <w:pPr>
              <w:adjustRightInd w:val="0"/>
              <w:snapToGrid w:val="0"/>
              <w:spacing w:line="240" w:lineRule="exact"/>
              <w:jc w:val="center"/>
              <w:rPr>
                <w:rFonts w:ascii="宋体" w:hAnsi="宋体"/>
                <w:sz w:val="18"/>
              </w:rPr>
            </w:pPr>
            <w:r>
              <w:rPr>
                <w:rFonts w:hint="eastAsia" w:ascii="宋体" w:hAnsi="宋体"/>
                <w:sz w:val="18"/>
              </w:rPr>
              <w:t>31</w:t>
            </w:r>
          </w:p>
        </w:tc>
        <w:tc>
          <w:tcPr>
            <w:tcW w:w="4792" w:type="pct"/>
            <w:tcBorders>
              <w:top w:val="single" w:color="auto" w:sz="2" w:space="0"/>
              <w:bottom w:val="double" w:color="auto" w:sz="4" w:space="0"/>
              <w:right w:val="double" w:color="auto" w:sz="4" w:space="0"/>
            </w:tcBorders>
            <w:noWrap w:val="0"/>
            <w:vAlign w:val="center"/>
          </w:tcPr>
          <w:p>
            <w:pPr>
              <w:tabs>
                <w:tab w:val="center" w:pos="9031"/>
              </w:tabs>
              <w:adjustRightInd w:val="0"/>
              <w:snapToGrid w:val="0"/>
              <w:spacing w:line="240" w:lineRule="exact"/>
              <w:ind w:firstLine="104" w:firstLineChars="58"/>
              <w:rPr>
                <w:rFonts w:ascii="宋体"/>
                <w:bCs/>
                <w:sz w:val="18"/>
                <w:szCs w:val="18"/>
              </w:rPr>
            </w:pPr>
            <w:r>
              <w:rPr>
                <w:rFonts w:hint="eastAsia" w:ascii="宋体" w:hAnsi="宋体"/>
                <w:bCs/>
                <w:sz w:val="18"/>
                <w:szCs w:val="18"/>
              </w:rPr>
              <w:t>本季度企业订单比去年同期</w:t>
            </w:r>
          </w:p>
          <w:p>
            <w:pPr>
              <w:snapToGrid w:val="0"/>
              <w:spacing w:line="240" w:lineRule="exact"/>
              <w:rPr>
                <w:rFonts w:ascii="宋体" w:hAnsi="宋体"/>
                <w:bCs/>
                <w:sz w:val="18"/>
                <w:szCs w:val="18"/>
              </w:rPr>
            </w:pPr>
            <w:r>
              <w:rPr>
                <w:rFonts w:hint="eastAsia" w:ascii="宋体" w:hAnsi="宋体"/>
                <w:sz w:val="18"/>
              </w:rPr>
              <w:t>①</w:t>
            </w:r>
            <w:r>
              <w:rPr>
                <w:rFonts w:hint="eastAsia" w:ascii="宋体" w:hAnsi="宋体"/>
                <w:bCs/>
                <w:sz w:val="18"/>
                <w:szCs w:val="18"/>
              </w:rPr>
              <w:t>订单下滑</w:t>
            </w:r>
            <w:r>
              <w:rPr>
                <w:rFonts w:ascii="宋体" w:hAnsi="宋体"/>
                <w:bCs/>
                <w:sz w:val="18"/>
                <w:szCs w:val="18"/>
              </w:rPr>
              <w:t>50%</w:t>
            </w:r>
            <w:r>
              <w:rPr>
                <w:rFonts w:hint="eastAsia" w:ascii="宋体" w:hAnsi="宋体"/>
                <w:bCs/>
                <w:sz w:val="18"/>
                <w:szCs w:val="18"/>
              </w:rPr>
              <w:t>以上</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②订单下滑</w:t>
            </w:r>
            <w:r>
              <w:rPr>
                <w:rFonts w:ascii="宋体" w:hAnsi="宋体"/>
                <w:bCs/>
                <w:sz w:val="18"/>
                <w:szCs w:val="18"/>
              </w:rPr>
              <w:t xml:space="preserve">30%-50%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③订单下滑</w:t>
            </w:r>
            <w:r>
              <w:rPr>
                <w:rFonts w:ascii="宋体" w:hAnsi="宋体"/>
                <w:bCs/>
                <w:sz w:val="18"/>
                <w:szCs w:val="18"/>
              </w:rPr>
              <w:t xml:space="preserve">10%-30%           </w:t>
            </w:r>
            <w:r>
              <w:rPr>
                <w:rFonts w:hint="eastAsia" w:ascii="宋体" w:hAnsi="宋体"/>
                <w:bCs/>
                <w:sz w:val="18"/>
                <w:szCs w:val="18"/>
              </w:rPr>
              <w:t>□</w:t>
            </w:r>
          </w:p>
          <w:p>
            <w:pPr>
              <w:tabs>
                <w:tab w:val="center" w:pos="9031"/>
              </w:tabs>
              <w:adjustRightInd w:val="0"/>
              <w:snapToGrid w:val="0"/>
              <w:spacing w:line="240" w:lineRule="exact"/>
              <w:ind w:firstLine="14" w:firstLineChars="8"/>
              <w:rPr>
                <w:rFonts w:ascii="宋体" w:hAnsi="宋体"/>
                <w:bCs/>
                <w:sz w:val="18"/>
                <w:szCs w:val="18"/>
              </w:rPr>
            </w:pPr>
            <w:r>
              <w:rPr>
                <w:rFonts w:hint="eastAsia" w:ascii="宋体" w:hAnsi="宋体"/>
                <w:bCs/>
                <w:sz w:val="18"/>
                <w:szCs w:val="18"/>
              </w:rPr>
              <w:t>④订单下滑</w:t>
            </w:r>
            <w:r>
              <w:rPr>
                <w:rFonts w:ascii="宋体" w:hAnsi="宋体"/>
                <w:bCs/>
                <w:sz w:val="18"/>
                <w:szCs w:val="18"/>
              </w:rPr>
              <w:t>10%</w:t>
            </w:r>
            <w:r>
              <w:rPr>
                <w:rFonts w:hint="eastAsia" w:ascii="宋体" w:hAnsi="宋体"/>
                <w:bCs/>
                <w:sz w:val="18"/>
                <w:szCs w:val="18"/>
              </w:rPr>
              <w:t>以内</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⑤订单未受影响</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⑥</w:t>
            </w:r>
            <w:r>
              <w:rPr>
                <w:rFonts w:hint="eastAsia" w:ascii="宋体" w:hAnsi="宋体"/>
                <w:bCs/>
                <w:sz w:val="18"/>
                <w:szCs w:val="18"/>
              </w:rPr>
              <w:t>订单有所增加</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p>
        </w:tc>
      </w:tr>
    </w:tbl>
    <w:p>
      <w:r>
        <w:br w:type="page"/>
      </w:r>
    </w:p>
    <w:tbl>
      <w:tblPr>
        <w:tblStyle w:val="17"/>
        <w:tblW w:w="5759" w:type="pct"/>
        <w:tblInd w:w="-595" w:type="dxa"/>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Layout w:type="autofit"/>
        <w:tblCellMar>
          <w:top w:w="0" w:type="dxa"/>
          <w:left w:w="0" w:type="dxa"/>
          <w:bottom w:w="0" w:type="dxa"/>
          <w:right w:w="0" w:type="dxa"/>
        </w:tblCellMar>
      </w:tblPr>
      <w:tblGrid>
        <w:gridCol w:w="468"/>
        <w:gridCol w:w="10407"/>
      </w:tblGrid>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0" w:type="dxa"/>
            <w:bottom w:w="0" w:type="dxa"/>
            <w:right w:w="0" w:type="dxa"/>
          </w:tblCellMar>
        </w:tblPrEx>
        <w:trPr>
          <w:cantSplit/>
          <w:trHeight w:val="1050" w:hRule="atLeast"/>
        </w:trPr>
        <w:tc>
          <w:tcPr>
            <w:tcW w:w="215" w:type="pct"/>
            <w:noWrap w:val="0"/>
            <w:vAlign w:val="center"/>
          </w:tcPr>
          <w:p>
            <w:pPr>
              <w:adjustRightInd w:val="0"/>
              <w:snapToGrid w:val="0"/>
              <w:spacing w:line="240" w:lineRule="exact"/>
              <w:jc w:val="center"/>
              <w:rPr>
                <w:rFonts w:ascii="宋体" w:hAnsi="宋体"/>
                <w:sz w:val="18"/>
              </w:rPr>
            </w:pPr>
            <w:r>
              <w:rPr>
                <w:rFonts w:hint="eastAsia" w:ascii="宋体" w:hAnsi="宋体"/>
                <w:sz w:val="18"/>
              </w:rPr>
              <w:t>32</w:t>
            </w:r>
          </w:p>
        </w:tc>
        <w:tc>
          <w:tcPr>
            <w:tcW w:w="4784" w:type="pct"/>
            <w:noWrap w:val="0"/>
            <w:vAlign w:val="center"/>
          </w:tcPr>
          <w:p>
            <w:pPr>
              <w:snapToGrid w:val="0"/>
              <w:spacing w:line="240" w:lineRule="exact"/>
              <w:ind w:firstLine="90" w:firstLineChars="50"/>
              <w:rPr>
                <w:rFonts w:ascii="宋体"/>
                <w:bCs/>
                <w:sz w:val="18"/>
                <w:szCs w:val="18"/>
              </w:rPr>
            </w:pPr>
            <w:r>
              <w:rPr>
                <w:rFonts w:hint="eastAsia" w:ascii="宋体" w:hAnsi="宋体"/>
                <w:bCs/>
                <w:sz w:val="18"/>
                <w:szCs w:val="18"/>
              </w:rPr>
              <w:t>中美经贸摩擦对本季度企业生产经营的主要影响</w:t>
            </w:r>
            <w:r>
              <w:rPr>
                <w:rFonts w:hint="eastAsia" w:ascii="宋体" w:hAnsi="宋体"/>
                <w:sz w:val="18"/>
              </w:rPr>
              <w:t>（可多选，最多选</w:t>
            </w:r>
            <w:r>
              <w:rPr>
                <w:rFonts w:ascii="宋体" w:hAnsi="宋体"/>
                <w:sz w:val="18"/>
              </w:rPr>
              <w:t>3</w:t>
            </w:r>
            <w:r>
              <w:rPr>
                <w:rFonts w:hint="eastAsia" w:ascii="宋体" w:hAnsi="宋体"/>
                <w:sz w:val="18"/>
              </w:rPr>
              <w:t>项）</w:t>
            </w:r>
          </w:p>
          <w:p>
            <w:pPr>
              <w:snapToGrid w:val="0"/>
              <w:spacing w:line="240" w:lineRule="exact"/>
              <w:rPr>
                <w:rFonts w:ascii="宋体"/>
                <w:bCs/>
                <w:sz w:val="18"/>
                <w:szCs w:val="18"/>
              </w:rPr>
            </w:pPr>
            <w:r>
              <w:rPr>
                <w:rFonts w:hint="eastAsia" w:ascii="宋体" w:hAnsi="宋体"/>
                <w:sz w:val="18"/>
              </w:rPr>
              <w:t>①</w:t>
            </w:r>
            <w:r>
              <w:rPr>
                <w:rFonts w:hint="eastAsia" w:ascii="宋体" w:hAnsi="宋体"/>
                <w:bCs/>
                <w:sz w:val="18"/>
                <w:szCs w:val="18"/>
              </w:rPr>
              <w:t>订单下滑，产能闲置</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②订单利润率下降</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③进口原材料价格上涨</w:t>
            </w:r>
            <w:r>
              <w:rPr>
                <w:rFonts w:hint="eastAsia" w:ascii="宋体"/>
                <w:bCs/>
                <w:sz w:val="18"/>
                <w:szCs w:val="18"/>
                <w:lang w:eastAsia="zh-CN"/>
              </w:rPr>
              <w:t>，</w:t>
            </w:r>
            <w:r>
              <w:rPr>
                <w:rFonts w:hint="eastAsia" w:ascii="宋体" w:hAnsi="宋体"/>
                <w:bCs/>
                <w:sz w:val="18"/>
                <w:szCs w:val="18"/>
              </w:rPr>
              <w:t>成本增加□</w:t>
            </w:r>
          </w:p>
          <w:p>
            <w:pPr>
              <w:snapToGrid w:val="0"/>
              <w:spacing w:line="240" w:lineRule="exact"/>
              <w:rPr>
                <w:rFonts w:ascii="宋体"/>
                <w:sz w:val="18"/>
              </w:rPr>
            </w:pPr>
            <w:r>
              <w:rPr>
                <w:rFonts w:hint="eastAsia" w:ascii="宋体" w:hAnsi="宋体"/>
                <w:bCs/>
                <w:sz w:val="18"/>
                <w:szCs w:val="18"/>
              </w:rPr>
              <w:t>④新市场开拓难度大，竞争加剧□</w:t>
            </w:r>
            <w:r>
              <w:rPr>
                <w:rFonts w:ascii="宋体" w:hAnsi="宋体"/>
                <w:bCs/>
                <w:sz w:val="18"/>
                <w:szCs w:val="18"/>
              </w:rPr>
              <w:t xml:space="preserve">     </w:t>
            </w:r>
            <w:r>
              <w:rPr>
                <w:rFonts w:hint="eastAsia" w:ascii="宋体" w:hAnsi="宋体"/>
                <w:sz w:val="18"/>
              </w:rPr>
              <w:t>⑤汇兑损失</w:t>
            </w:r>
            <w:r>
              <w:rPr>
                <w:rFonts w:ascii="宋体" w:hAnsi="宋体"/>
                <w:sz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⑥进口零部件供货不足</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p>
          <w:p>
            <w:pPr>
              <w:pStyle w:val="22"/>
              <w:snapToGrid w:val="0"/>
              <w:spacing w:line="240" w:lineRule="exact"/>
              <w:ind w:firstLine="0" w:firstLineChars="0"/>
              <w:rPr>
                <w:rFonts w:ascii="宋体"/>
                <w:bCs/>
                <w:sz w:val="18"/>
                <w:szCs w:val="18"/>
              </w:rPr>
            </w:pPr>
            <w:r>
              <w:rPr>
                <w:rFonts w:hint="eastAsia" w:ascii="宋体" w:hAnsi="宋体"/>
                <w:bCs/>
                <w:sz w:val="18"/>
                <w:szCs w:val="18"/>
              </w:rPr>
              <w:t>⑦其他（请注明）</w:t>
            </w:r>
            <w:r>
              <w:rPr>
                <w:rFonts w:ascii="宋体" w:hAnsi="宋体"/>
                <w:sz w:val="18"/>
                <w:u w:val="single"/>
              </w:rPr>
              <w:t xml:space="preserve">            </w:t>
            </w:r>
            <w:r>
              <w:rPr>
                <w:rFonts w:hint="eastAsia" w:ascii="宋体" w:hAnsi="宋体"/>
                <w:bCs/>
                <w:sz w:val="18"/>
                <w:szCs w:val="18"/>
              </w:rPr>
              <w:t>□</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0" w:type="dxa"/>
            <w:bottom w:w="0" w:type="dxa"/>
            <w:right w:w="0" w:type="dxa"/>
          </w:tblCellMar>
        </w:tblPrEx>
        <w:trPr>
          <w:cantSplit/>
          <w:trHeight w:val="1107" w:hRule="atLeast"/>
        </w:trPr>
        <w:tc>
          <w:tcPr>
            <w:tcW w:w="215" w:type="pct"/>
            <w:noWrap w:val="0"/>
            <w:vAlign w:val="center"/>
          </w:tcPr>
          <w:p>
            <w:pPr>
              <w:adjustRightInd w:val="0"/>
              <w:snapToGrid w:val="0"/>
              <w:spacing w:line="240" w:lineRule="exact"/>
              <w:jc w:val="center"/>
              <w:rPr>
                <w:rFonts w:ascii="宋体" w:hAnsi="宋体"/>
                <w:sz w:val="18"/>
              </w:rPr>
            </w:pPr>
            <w:r>
              <w:rPr>
                <w:rFonts w:hint="eastAsia" w:ascii="宋体" w:hAnsi="宋体"/>
                <w:sz w:val="18"/>
              </w:rPr>
              <w:t>33</w:t>
            </w:r>
          </w:p>
        </w:tc>
        <w:tc>
          <w:tcPr>
            <w:tcW w:w="4784" w:type="pct"/>
            <w:noWrap w:val="0"/>
            <w:vAlign w:val="center"/>
          </w:tcPr>
          <w:p>
            <w:pPr>
              <w:snapToGrid w:val="0"/>
              <w:spacing w:line="240" w:lineRule="exact"/>
              <w:ind w:firstLine="104" w:firstLineChars="58"/>
              <w:rPr>
                <w:rFonts w:ascii="宋体"/>
                <w:bCs/>
                <w:sz w:val="18"/>
                <w:szCs w:val="18"/>
              </w:rPr>
            </w:pPr>
            <w:r>
              <w:rPr>
                <w:rFonts w:hint="eastAsia" w:ascii="宋体" w:hAnsi="宋体"/>
                <w:sz w:val="18"/>
                <w:szCs w:val="18"/>
              </w:rPr>
              <w:t>当前，贵企业是否已经或打算将生产线转</w:t>
            </w:r>
            <w:r>
              <w:rPr>
                <w:rFonts w:hint="eastAsia" w:ascii="宋体" w:hAnsi="宋体"/>
                <w:bCs/>
                <w:sz w:val="18"/>
                <w:szCs w:val="18"/>
              </w:rPr>
              <w:t>移至境外？</w:t>
            </w:r>
          </w:p>
          <w:p>
            <w:pPr>
              <w:snapToGrid w:val="0"/>
              <w:spacing w:line="240" w:lineRule="exact"/>
              <w:rPr>
                <w:rFonts w:ascii="宋体" w:hAnsi="宋体"/>
                <w:bCs/>
                <w:sz w:val="18"/>
                <w:szCs w:val="18"/>
              </w:rPr>
            </w:pPr>
            <w:r>
              <w:rPr>
                <w:rFonts w:hint="eastAsia" w:ascii="宋体" w:hAnsi="宋体"/>
                <w:sz w:val="18"/>
              </w:rPr>
              <w:t>①</w:t>
            </w:r>
            <w:r>
              <w:rPr>
                <w:rFonts w:hint="eastAsia" w:ascii="宋体" w:hAnsi="宋体"/>
                <w:bCs/>
                <w:sz w:val="18"/>
                <w:szCs w:val="18"/>
              </w:rPr>
              <w:t>已将全部或部分生产线转移至东南亚生产</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②已将全部或部分生产线转移至美国生产</w:t>
            </w:r>
            <w:r>
              <w:rPr>
                <w:rFonts w:ascii="宋体" w:hAnsi="宋体"/>
                <w:sz w:val="18"/>
              </w:rPr>
              <w:t xml:space="preserve">     </w:t>
            </w:r>
            <w:r>
              <w:rPr>
                <w:rFonts w:hint="eastAsia" w:ascii="宋体" w:hAnsi="宋体"/>
                <w:bCs/>
                <w:sz w:val="18"/>
                <w:szCs w:val="18"/>
              </w:rPr>
              <w:t>□</w:t>
            </w:r>
            <w:r>
              <w:rPr>
                <w:rFonts w:ascii="宋体" w:hAnsi="宋体"/>
                <w:bCs/>
                <w:sz w:val="18"/>
                <w:szCs w:val="18"/>
              </w:rPr>
              <w:t xml:space="preserve">  </w:t>
            </w:r>
          </w:p>
          <w:p>
            <w:pPr>
              <w:snapToGrid w:val="0"/>
              <w:spacing w:line="240" w:lineRule="exact"/>
              <w:rPr>
                <w:rFonts w:ascii="宋体"/>
                <w:bCs/>
                <w:sz w:val="18"/>
                <w:szCs w:val="18"/>
              </w:rPr>
            </w:pPr>
            <w:r>
              <w:rPr>
                <w:rFonts w:hint="eastAsia" w:ascii="宋体" w:hAnsi="宋体"/>
                <w:bCs/>
                <w:sz w:val="18"/>
                <w:szCs w:val="18"/>
              </w:rPr>
              <w:t>③已将全部或部分生产线转移至其他国家或地区</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bCs/>
                <w:sz w:val="18"/>
                <w:szCs w:val="18"/>
              </w:rPr>
              <w:t>④正在或打算转移生产线</w:t>
            </w:r>
            <w:r>
              <w:rPr>
                <w:rFonts w:ascii="宋体" w:hAnsi="宋体"/>
                <w:sz w:val="18"/>
              </w:rPr>
              <w:t xml:space="preserve">                   </w:t>
            </w:r>
            <w:r>
              <w:rPr>
                <w:rFonts w:hint="eastAsia" w:ascii="宋体" w:hAnsi="宋体"/>
                <w:bCs/>
                <w:sz w:val="18"/>
                <w:szCs w:val="18"/>
              </w:rPr>
              <w:t>□</w:t>
            </w:r>
          </w:p>
          <w:p>
            <w:pPr>
              <w:snapToGrid w:val="0"/>
              <w:spacing w:line="240" w:lineRule="exact"/>
              <w:rPr>
                <w:rFonts w:ascii="宋体"/>
                <w:bCs/>
                <w:sz w:val="18"/>
                <w:szCs w:val="18"/>
              </w:rPr>
            </w:pPr>
            <w:r>
              <w:rPr>
                <w:rFonts w:hint="eastAsia" w:ascii="宋体" w:hAnsi="宋体"/>
                <w:sz w:val="18"/>
              </w:rPr>
              <w:t>⑤暂不考虑转移</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ascii="宋体" w:hAnsi="宋体"/>
                <w:sz w:val="18"/>
              </w:rPr>
              <w:t xml:space="preserve">  </w:t>
            </w:r>
            <w:r>
              <w:rPr>
                <w:rFonts w:ascii="宋体" w:hAnsi="宋体"/>
                <w:bCs/>
                <w:sz w:val="18"/>
                <w:szCs w:val="18"/>
              </w:rPr>
              <w:t xml:space="preserve">  </w:t>
            </w:r>
            <w:r>
              <w:rPr>
                <w:rFonts w:hint="eastAsia" w:ascii="宋体" w:hAnsi="宋体"/>
                <w:bCs/>
                <w:sz w:val="18"/>
                <w:szCs w:val="18"/>
              </w:rPr>
              <w:t>□</w:t>
            </w:r>
            <w:r>
              <w:rPr>
                <w:rFonts w:ascii="宋体" w:hAnsi="宋体"/>
                <w:bCs/>
                <w:sz w:val="18"/>
                <w:szCs w:val="18"/>
              </w:rPr>
              <w:t xml:space="preserve">         </w:t>
            </w:r>
            <w:r>
              <w:rPr>
                <w:rFonts w:hint="eastAsia" w:ascii="宋体" w:hAnsi="宋体"/>
                <w:sz w:val="18"/>
              </w:rPr>
              <w:t>⑥不清楚</w:t>
            </w:r>
            <w:r>
              <w:rPr>
                <w:rFonts w:ascii="宋体" w:hAnsi="宋体"/>
                <w:sz w:val="18"/>
              </w:rPr>
              <w:t xml:space="preserve">                                 </w:t>
            </w:r>
            <w:r>
              <w:rPr>
                <w:rFonts w:hint="eastAsia" w:ascii="宋体" w:hAnsi="宋体"/>
                <w:bCs/>
                <w:sz w:val="18"/>
                <w:szCs w:val="18"/>
              </w:rPr>
              <w:t>□</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0" w:type="dxa"/>
            <w:bottom w:w="0" w:type="dxa"/>
            <w:right w:w="0" w:type="dxa"/>
          </w:tblCellMar>
        </w:tblPrEx>
        <w:trPr>
          <w:cantSplit/>
          <w:trHeight w:val="381" w:hRule="atLeast"/>
        </w:trPr>
        <w:tc>
          <w:tcPr>
            <w:tcW w:w="5000" w:type="pct"/>
            <w:gridSpan w:val="2"/>
            <w:noWrap w:val="0"/>
            <w:vAlign w:val="center"/>
          </w:tcPr>
          <w:p>
            <w:pPr>
              <w:adjustRightInd w:val="0"/>
              <w:snapToGrid w:val="0"/>
              <w:spacing w:line="276" w:lineRule="auto"/>
              <w:jc w:val="center"/>
              <w:rPr>
                <w:rFonts w:ascii="宋体"/>
                <w:b/>
                <w:sz w:val="18"/>
              </w:rPr>
            </w:pPr>
            <w:r>
              <w:rPr>
                <w:rFonts w:hint="eastAsia" w:ascii="宋体" w:hAnsi="宋体"/>
                <w:b/>
                <w:sz w:val="18"/>
              </w:rPr>
              <w:t>六、相关政策落实情况</w:t>
            </w: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PrEx>
        <w:trPr>
          <w:cantSplit/>
          <w:trHeight w:val="850" w:hRule="atLeast"/>
        </w:trPr>
        <w:tc>
          <w:tcPr>
            <w:tcW w:w="215" w:type="pct"/>
            <w:noWrap w:val="0"/>
            <w:vAlign w:val="center"/>
          </w:tcPr>
          <w:p>
            <w:pPr>
              <w:adjustRightInd w:val="0"/>
              <w:snapToGrid w:val="0"/>
              <w:spacing w:line="280" w:lineRule="exact"/>
              <w:jc w:val="center"/>
              <w:rPr>
                <w:rFonts w:hint="eastAsia" w:ascii="宋体"/>
                <w:sz w:val="18"/>
              </w:rPr>
            </w:pPr>
            <w:r>
              <w:rPr>
                <w:rFonts w:hint="eastAsia" w:ascii="宋体" w:hAnsi="宋体"/>
                <w:sz w:val="18"/>
              </w:rPr>
              <w:t>34</w:t>
            </w:r>
          </w:p>
        </w:tc>
        <w:tc>
          <w:tcPr>
            <w:tcW w:w="4784" w:type="pct"/>
            <w:noWrap w:val="0"/>
            <w:vAlign w:val="center"/>
          </w:tcPr>
          <w:p>
            <w:pPr>
              <w:adjustRightInd w:val="0"/>
              <w:snapToGrid w:val="0"/>
              <w:ind w:left="155" w:leftChars="74"/>
              <w:rPr>
                <w:rFonts w:ascii="宋体"/>
                <w:sz w:val="18"/>
              </w:rPr>
            </w:pPr>
            <w:r>
              <w:rPr>
                <w:rFonts w:hint="eastAsia" w:ascii="宋体"/>
                <w:sz w:val="18"/>
              </w:rPr>
              <w:t>下列政策对贵企业的帮助和支持效果如何？</w:t>
            </w:r>
            <w:r>
              <w:rPr>
                <w:rFonts w:ascii="宋体"/>
                <w:sz w:val="18"/>
              </w:rPr>
              <w:t xml:space="preserve"> </w:t>
            </w:r>
            <w:r>
              <w:rPr>
                <w:rFonts w:hint="eastAsia" w:ascii="宋体" w:hAnsi="宋体"/>
                <w:bCs/>
                <w:sz w:val="18"/>
                <w:szCs w:val="18"/>
              </w:rPr>
              <w:t>（如选</w:t>
            </w:r>
            <w:r>
              <w:rPr>
                <w:rFonts w:hint="eastAsia" w:ascii="宋体" w:hAnsi="宋体"/>
                <w:sz w:val="18"/>
              </w:rPr>
              <w:t>①</w:t>
            </w:r>
            <w:r>
              <w:rPr>
                <w:rFonts w:hint="eastAsia" w:ascii="宋体" w:hAnsi="宋体"/>
                <w:bCs/>
                <w:sz w:val="18"/>
                <w:szCs w:val="18"/>
              </w:rPr>
              <w:t>②</w:t>
            </w:r>
            <w:r>
              <w:rPr>
                <w:rFonts w:hint="eastAsia" w:ascii="宋体" w:hAnsi="宋体"/>
                <w:sz w:val="18"/>
              </w:rPr>
              <w:t>，跳过问题35）</w:t>
            </w:r>
          </w:p>
          <w:tbl>
            <w:tblPr>
              <w:tblStyle w:val="17"/>
              <w:tblW w:w="9009" w:type="dxa"/>
              <w:tblInd w:w="0" w:type="dxa"/>
              <w:tblBorders>
                <w:top w:val="single" w:color="auto" w:sz="2" w:space="0"/>
                <w:left w:val="none" w:color="auto" w:sz="0" w:space="0"/>
                <w:bottom w:val="none" w:color="auto" w:sz="0"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2118"/>
              <w:gridCol w:w="1682"/>
              <w:gridCol w:w="1682"/>
              <w:gridCol w:w="1823"/>
              <w:gridCol w:w="1704"/>
            </w:tblGrid>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446" w:hRule="atLeast"/>
              </w:trPr>
              <w:tc>
                <w:tcPr>
                  <w:tcW w:w="2118" w:type="dxa"/>
                  <w:noWrap w:val="0"/>
                  <w:vAlign w:val="top"/>
                </w:tcPr>
                <w:p>
                  <w:pPr>
                    <w:adjustRightInd w:val="0"/>
                    <w:snapToGrid w:val="0"/>
                    <w:rPr>
                      <w:rFonts w:ascii="宋体"/>
                      <w:sz w:val="18"/>
                    </w:rPr>
                  </w:pPr>
                </w:p>
              </w:tc>
              <w:tc>
                <w:tcPr>
                  <w:tcW w:w="1682" w:type="dxa"/>
                  <w:noWrap w:val="0"/>
                  <w:vAlign w:val="center"/>
                </w:tcPr>
                <w:p>
                  <w:pPr>
                    <w:adjustRightInd w:val="0"/>
                    <w:snapToGrid w:val="0"/>
                    <w:jc w:val="center"/>
                    <w:rPr>
                      <w:rFonts w:ascii="宋体"/>
                      <w:sz w:val="18"/>
                    </w:rPr>
                  </w:pPr>
                  <w:r>
                    <w:rPr>
                      <w:rFonts w:hint="eastAsia" w:ascii="宋体" w:hAnsi="宋体"/>
                      <w:sz w:val="18"/>
                    </w:rPr>
                    <w:t>①</w:t>
                  </w:r>
                  <w:r>
                    <w:rPr>
                      <w:rFonts w:hint="eastAsia" w:ascii="宋体"/>
                      <w:sz w:val="18"/>
                    </w:rPr>
                    <w:t>效果明显</w:t>
                  </w:r>
                </w:p>
              </w:tc>
              <w:tc>
                <w:tcPr>
                  <w:tcW w:w="1682" w:type="dxa"/>
                  <w:noWrap w:val="0"/>
                  <w:vAlign w:val="center"/>
                </w:tcPr>
                <w:p>
                  <w:pPr>
                    <w:adjustRightInd w:val="0"/>
                    <w:snapToGrid w:val="0"/>
                    <w:rPr>
                      <w:rFonts w:ascii="宋体"/>
                      <w:sz w:val="18"/>
                    </w:rPr>
                  </w:pPr>
                  <w:r>
                    <w:rPr>
                      <w:rFonts w:hint="eastAsia" w:ascii="宋体" w:hAnsi="宋体"/>
                      <w:bCs/>
                      <w:sz w:val="18"/>
                      <w:szCs w:val="18"/>
                    </w:rPr>
                    <w:t>②</w:t>
                  </w:r>
                  <w:r>
                    <w:rPr>
                      <w:rFonts w:hint="eastAsia" w:ascii="宋体"/>
                      <w:sz w:val="18"/>
                    </w:rPr>
                    <w:t>有一定效果</w:t>
                  </w:r>
                </w:p>
              </w:tc>
              <w:tc>
                <w:tcPr>
                  <w:tcW w:w="1823" w:type="dxa"/>
                  <w:noWrap w:val="0"/>
                  <w:vAlign w:val="center"/>
                </w:tcPr>
                <w:p>
                  <w:pPr>
                    <w:adjustRightInd w:val="0"/>
                    <w:snapToGrid w:val="0"/>
                    <w:jc w:val="center"/>
                    <w:rPr>
                      <w:rFonts w:ascii="宋体"/>
                      <w:sz w:val="18"/>
                    </w:rPr>
                  </w:pPr>
                  <w:r>
                    <w:rPr>
                      <w:rFonts w:hint="eastAsia" w:ascii="宋体" w:hAnsi="宋体"/>
                      <w:bCs/>
                      <w:sz w:val="18"/>
                      <w:szCs w:val="18"/>
                    </w:rPr>
                    <w:t>③</w:t>
                  </w:r>
                  <w:r>
                    <w:rPr>
                      <w:rFonts w:hint="eastAsia" w:ascii="宋体"/>
                      <w:sz w:val="18"/>
                    </w:rPr>
                    <w:t>没有效果</w:t>
                  </w:r>
                </w:p>
              </w:tc>
              <w:tc>
                <w:tcPr>
                  <w:tcW w:w="1704" w:type="dxa"/>
                  <w:noWrap w:val="0"/>
                  <w:vAlign w:val="center"/>
                </w:tcPr>
                <w:p>
                  <w:pPr>
                    <w:adjustRightInd w:val="0"/>
                    <w:snapToGrid w:val="0"/>
                    <w:jc w:val="center"/>
                    <w:rPr>
                      <w:rFonts w:hint="eastAsia" w:ascii="宋体"/>
                      <w:sz w:val="18"/>
                    </w:rPr>
                  </w:pPr>
                  <w:r>
                    <w:rPr>
                      <w:rFonts w:hint="eastAsia" w:ascii="宋体" w:hAnsi="宋体"/>
                      <w:bCs/>
                      <w:sz w:val="18"/>
                      <w:szCs w:val="18"/>
                    </w:rPr>
                    <w:t>④</w:t>
                  </w:r>
                  <w:r>
                    <w:rPr>
                      <w:rFonts w:hint="eastAsia" w:ascii="宋体"/>
                      <w:sz w:val="18"/>
                    </w:rPr>
                    <w:t>不清楚或</w:t>
                  </w:r>
                </w:p>
                <w:p>
                  <w:pPr>
                    <w:adjustRightInd w:val="0"/>
                    <w:snapToGrid w:val="0"/>
                    <w:jc w:val="center"/>
                    <w:rPr>
                      <w:rFonts w:ascii="宋体"/>
                      <w:sz w:val="18"/>
                    </w:rPr>
                  </w:pPr>
                  <w:r>
                    <w:rPr>
                      <w:rFonts w:hint="eastAsia" w:ascii="宋体"/>
                      <w:sz w:val="18"/>
                    </w:rPr>
                    <w:t>不享受该政策</w:t>
                  </w: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340" w:hRule="atLeast"/>
              </w:trPr>
              <w:tc>
                <w:tcPr>
                  <w:tcW w:w="2118" w:type="dxa"/>
                  <w:noWrap w:val="0"/>
                  <w:vAlign w:val="center"/>
                </w:tcPr>
                <w:p>
                  <w:pPr>
                    <w:adjustRightInd w:val="0"/>
                    <w:snapToGrid w:val="0"/>
                    <w:rPr>
                      <w:rFonts w:ascii="宋体"/>
                      <w:sz w:val="18"/>
                    </w:rPr>
                  </w:pPr>
                  <w:r>
                    <w:rPr>
                      <w:rFonts w:hint="eastAsia" w:ascii="宋体" w:hAnsi="Calibri"/>
                      <w:sz w:val="18"/>
                    </w:rPr>
                    <w:t>“放管服”改革</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2118" w:type="dxa"/>
                  <w:noWrap w:val="0"/>
                  <w:vAlign w:val="center"/>
                </w:tcPr>
                <w:p>
                  <w:pPr>
                    <w:adjustRightInd w:val="0"/>
                    <w:snapToGrid w:val="0"/>
                    <w:rPr>
                      <w:rFonts w:ascii="宋体"/>
                      <w:sz w:val="18"/>
                    </w:rPr>
                  </w:pPr>
                  <w:r>
                    <w:rPr>
                      <w:rFonts w:hint="eastAsia" w:ascii="宋体"/>
                      <w:sz w:val="18"/>
                    </w:rPr>
                    <w:t>创新支持</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340" w:hRule="atLeast"/>
              </w:trPr>
              <w:tc>
                <w:tcPr>
                  <w:tcW w:w="2118" w:type="dxa"/>
                  <w:noWrap w:val="0"/>
                  <w:vAlign w:val="center"/>
                </w:tcPr>
                <w:p>
                  <w:pPr>
                    <w:adjustRightInd w:val="0"/>
                    <w:snapToGrid w:val="0"/>
                    <w:rPr>
                      <w:rFonts w:ascii="宋体"/>
                      <w:sz w:val="18"/>
                    </w:rPr>
                  </w:pPr>
                  <w:r>
                    <w:rPr>
                      <w:rFonts w:hint="eastAsia" w:ascii="宋体"/>
                      <w:sz w:val="18"/>
                    </w:rPr>
                    <w:t>减税降费</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ind w:right="-249" w:rightChars="-119"/>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2118" w:type="dxa"/>
                  <w:noWrap w:val="0"/>
                  <w:vAlign w:val="center"/>
                </w:tcPr>
                <w:p>
                  <w:pPr>
                    <w:adjustRightInd w:val="0"/>
                    <w:snapToGrid w:val="0"/>
                    <w:rPr>
                      <w:rFonts w:ascii="宋体"/>
                      <w:sz w:val="18"/>
                    </w:rPr>
                  </w:pPr>
                  <w:r>
                    <w:rPr>
                      <w:rFonts w:hint="eastAsia" w:ascii="宋体"/>
                      <w:sz w:val="18"/>
                    </w:rPr>
                    <w:t>缓解融资难、融资贵</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340" w:hRule="atLeast"/>
              </w:trPr>
              <w:tc>
                <w:tcPr>
                  <w:tcW w:w="2118" w:type="dxa"/>
                  <w:noWrap w:val="0"/>
                  <w:vAlign w:val="center"/>
                </w:tcPr>
                <w:p>
                  <w:pPr>
                    <w:adjustRightInd w:val="0"/>
                    <w:snapToGrid w:val="0"/>
                    <w:rPr>
                      <w:rFonts w:ascii="宋体"/>
                      <w:sz w:val="18"/>
                    </w:rPr>
                  </w:pPr>
                  <w:r>
                    <w:rPr>
                      <w:rFonts w:hint="eastAsia" w:ascii="宋体"/>
                      <w:sz w:val="18"/>
                    </w:rPr>
                    <w:t>清理拖欠账款</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2118" w:type="dxa"/>
                  <w:noWrap w:val="0"/>
                  <w:vAlign w:val="center"/>
                </w:tcPr>
                <w:p>
                  <w:pPr>
                    <w:adjustRightInd w:val="0"/>
                    <w:snapToGrid w:val="0"/>
                    <w:rPr>
                      <w:rFonts w:ascii="宋体"/>
                      <w:sz w:val="18"/>
                    </w:rPr>
                  </w:pPr>
                  <w:r>
                    <w:rPr>
                      <w:rFonts w:ascii="宋体"/>
                      <w:sz w:val="18"/>
                    </w:rPr>
                    <w:t>“</w:t>
                  </w:r>
                  <w:r>
                    <w:rPr>
                      <w:rFonts w:hint="eastAsia" w:ascii="宋体"/>
                      <w:sz w:val="18"/>
                    </w:rPr>
                    <w:t>一带一路</w:t>
                  </w:r>
                  <w:r>
                    <w:rPr>
                      <w:rFonts w:ascii="宋体"/>
                      <w:sz w:val="18"/>
                    </w:rPr>
                    <w:t>”</w:t>
                  </w:r>
                  <w:r>
                    <w:rPr>
                      <w:rFonts w:hint="eastAsia" w:ascii="宋体"/>
                      <w:sz w:val="18"/>
                    </w:rPr>
                    <w:t>建设</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340" w:hRule="atLeast"/>
              </w:trPr>
              <w:tc>
                <w:tcPr>
                  <w:tcW w:w="2118" w:type="dxa"/>
                  <w:noWrap w:val="0"/>
                  <w:vAlign w:val="center"/>
                </w:tcPr>
                <w:p>
                  <w:pPr>
                    <w:adjustRightInd w:val="0"/>
                    <w:snapToGrid w:val="0"/>
                    <w:rPr>
                      <w:rFonts w:ascii="宋体"/>
                      <w:sz w:val="18"/>
                    </w:rPr>
                  </w:pPr>
                  <w:r>
                    <w:rPr>
                      <w:rFonts w:hint="eastAsia" w:ascii="宋体" w:hAnsi="Calibri"/>
                      <w:sz w:val="18"/>
                    </w:rPr>
                    <w:t>稳外贸稳外资系列政策</w:t>
                  </w:r>
                </w:p>
              </w:tc>
              <w:tc>
                <w:tcPr>
                  <w:tcW w:w="1682" w:type="dxa"/>
                  <w:noWrap w:val="0"/>
                  <w:vAlign w:val="top"/>
                </w:tcPr>
                <w:p>
                  <w:pPr>
                    <w:adjustRightInd w:val="0"/>
                    <w:snapToGrid w:val="0"/>
                    <w:rPr>
                      <w:rFonts w:ascii="宋体"/>
                      <w:sz w:val="18"/>
                    </w:rPr>
                  </w:pPr>
                </w:p>
              </w:tc>
              <w:tc>
                <w:tcPr>
                  <w:tcW w:w="1682" w:type="dxa"/>
                  <w:noWrap w:val="0"/>
                  <w:vAlign w:val="top"/>
                </w:tcPr>
                <w:p>
                  <w:pPr>
                    <w:adjustRightInd w:val="0"/>
                    <w:snapToGrid w:val="0"/>
                    <w:rPr>
                      <w:rFonts w:ascii="宋体"/>
                      <w:sz w:val="18"/>
                    </w:rPr>
                  </w:pPr>
                </w:p>
              </w:tc>
              <w:tc>
                <w:tcPr>
                  <w:tcW w:w="1823" w:type="dxa"/>
                  <w:noWrap w:val="0"/>
                  <w:vAlign w:val="top"/>
                </w:tcPr>
                <w:p>
                  <w:pPr>
                    <w:adjustRightInd w:val="0"/>
                    <w:snapToGrid w:val="0"/>
                    <w:rPr>
                      <w:rFonts w:ascii="宋体"/>
                      <w:sz w:val="18"/>
                    </w:rPr>
                  </w:pPr>
                </w:p>
              </w:tc>
              <w:tc>
                <w:tcPr>
                  <w:tcW w:w="1704" w:type="dxa"/>
                  <w:noWrap w:val="0"/>
                  <w:vAlign w:val="top"/>
                </w:tcPr>
                <w:p>
                  <w:pPr>
                    <w:adjustRightInd w:val="0"/>
                    <w:snapToGrid w:val="0"/>
                    <w:rPr>
                      <w:rFonts w:ascii="宋体"/>
                      <w:sz w:val="18"/>
                    </w:rPr>
                  </w:pPr>
                </w:p>
              </w:tc>
            </w:tr>
          </w:tbl>
          <w:p>
            <w:pPr>
              <w:adjustRightInd w:val="0"/>
              <w:snapToGrid w:val="0"/>
              <w:rPr>
                <w:rFonts w:ascii="宋体"/>
                <w:sz w:val="18"/>
              </w:rPr>
            </w:pP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0" w:type="dxa"/>
            <w:bottom w:w="0" w:type="dxa"/>
            <w:right w:w="0" w:type="dxa"/>
          </w:tblCellMar>
        </w:tblPrEx>
        <w:trPr>
          <w:cantSplit/>
          <w:trHeight w:val="510" w:hRule="atLeast"/>
        </w:trPr>
        <w:tc>
          <w:tcPr>
            <w:tcW w:w="215" w:type="pct"/>
            <w:noWrap w:val="0"/>
            <w:vAlign w:val="center"/>
          </w:tcPr>
          <w:p>
            <w:pPr>
              <w:adjustRightInd w:val="0"/>
              <w:snapToGrid w:val="0"/>
              <w:spacing w:line="280" w:lineRule="exact"/>
              <w:jc w:val="center"/>
              <w:rPr>
                <w:rFonts w:hint="eastAsia" w:ascii="宋体" w:hAnsi="宋体"/>
                <w:sz w:val="18"/>
              </w:rPr>
            </w:pPr>
            <w:r>
              <w:rPr>
                <w:rFonts w:hint="eastAsia" w:ascii="宋体" w:hAnsi="宋体"/>
                <w:sz w:val="18"/>
              </w:rPr>
              <w:t>35</w:t>
            </w:r>
          </w:p>
        </w:tc>
        <w:tc>
          <w:tcPr>
            <w:tcW w:w="4784" w:type="pct"/>
            <w:noWrap w:val="0"/>
            <w:vAlign w:val="center"/>
          </w:tcPr>
          <w:p>
            <w:pPr>
              <w:adjustRightInd w:val="0"/>
              <w:snapToGrid w:val="0"/>
              <w:ind w:firstLine="90" w:firstLineChars="50"/>
              <w:rPr>
                <w:rFonts w:ascii="宋体"/>
                <w:sz w:val="18"/>
              </w:rPr>
            </w:pPr>
            <w:r>
              <w:rPr>
                <w:rFonts w:hint="eastAsia" w:ascii="宋体" w:hAnsi="宋体"/>
                <w:sz w:val="18"/>
              </w:rPr>
              <w:t>如果政策效果不明显，主要原因是什么？（可多选，最多选</w:t>
            </w:r>
            <w:r>
              <w:rPr>
                <w:rFonts w:ascii="宋体" w:hAnsi="宋体"/>
                <w:sz w:val="18"/>
              </w:rPr>
              <w:t>3</w:t>
            </w:r>
            <w:r>
              <w:rPr>
                <w:rFonts w:hint="eastAsia" w:ascii="宋体" w:hAnsi="宋体"/>
                <w:sz w:val="18"/>
              </w:rPr>
              <w:t>项）</w:t>
            </w:r>
          </w:p>
          <w:tbl>
            <w:tblPr>
              <w:tblStyle w:val="17"/>
              <w:tblW w:w="8999" w:type="dxa"/>
              <w:tblInd w:w="0" w:type="dxa"/>
              <w:tblBorders>
                <w:top w:val="single" w:color="auto" w:sz="2" w:space="0"/>
                <w:left w:val="none" w:color="auto" w:sz="0" w:space="0"/>
                <w:bottom w:val="none" w:color="auto" w:sz="0"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2116"/>
              <w:gridCol w:w="1120"/>
              <w:gridCol w:w="1400"/>
              <w:gridCol w:w="981"/>
              <w:gridCol w:w="1120"/>
              <w:gridCol w:w="1400"/>
              <w:gridCol w:w="862"/>
            </w:tblGrid>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97" w:hRule="atLeast"/>
              </w:trPr>
              <w:tc>
                <w:tcPr>
                  <w:tcW w:w="2116" w:type="dxa"/>
                  <w:noWrap w:val="0"/>
                  <w:vAlign w:val="top"/>
                </w:tcPr>
                <w:p>
                  <w:pPr>
                    <w:adjustRightInd w:val="0"/>
                    <w:snapToGrid w:val="0"/>
                    <w:rPr>
                      <w:rFonts w:ascii="宋体"/>
                      <w:sz w:val="18"/>
                    </w:rPr>
                  </w:pPr>
                </w:p>
              </w:tc>
              <w:tc>
                <w:tcPr>
                  <w:tcW w:w="1120" w:type="dxa"/>
                  <w:noWrap w:val="0"/>
                  <w:vAlign w:val="center"/>
                </w:tcPr>
                <w:p>
                  <w:pPr>
                    <w:adjustRightInd w:val="0"/>
                    <w:snapToGrid w:val="0"/>
                    <w:jc w:val="center"/>
                    <w:rPr>
                      <w:rFonts w:ascii="宋体"/>
                      <w:sz w:val="18"/>
                    </w:rPr>
                  </w:pPr>
                  <w:r>
                    <w:rPr>
                      <w:rFonts w:hint="eastAsia" w:ascii="宋体" w:hAnsi="宋体"/>
                      <w:sz w:val="18"/>
                    </w:rPr>
                    <w:t>①</w:t>
                  </w:r>
                  <w:r>
                    <w:rPr>
                      <w:rFonts w:hint="eastAsia" w:ascii="宋体" w:hAnsi="宋体"/>
                      <w:bCs/>
                      <w:sz w:val="18"/>
                      <w:szCs w:val="18"/>
                    </w:rPr>
                    <w:t>政策执行力度不够</w:t>
                  </w:r>
                </w:p>
              </w:tc>
              <w:tc>
                <w:tcPr>
                  <w:tcW w:w="1400" w:type="dxa"/>
                  <w:noWrap w:val="0"/>
                  <w:vAlign w:val="center"/>
                </w:tcPr>
                <w:p>
                  <w:pPr>
                    <w:adjustRightInd w:val="0"/>
                    <w:snapToGrid w:val="0"/>
                    <w:jc w:val="center"/>
                    <w:rPr>
                      <w:rFonts w:ascii="宋体"/>
                      <w:sz w:val="18"/>
                    </w:rPr>
                  </w:pPr>
                  <w:r>
                    <w:rPr>
                      <w:rFonts w:hint="eastAsia" w:ascii="宋体" w:hAnsi="宋体"/>
                      <w:bCs/>
                      <w:sz w:val="18"/>
                      <w:szCs w:val="18"/>
                    </w:rPr>
                    <w:t>②宣传力度不够</w:t>
                  </w:r>
                  <w:r>
                    <w:rPr>
                      <w:rFonts w:ascii="宋体"/>
                      <w:bCs/>
                      <w:sz w:val="18"/>
                      <w:szCs w:val="18"/>
                    </w:rPr>
                    <w:t>,</w:t>
                  </w:r>
                  <w:r>
                    <w:rPr>
                      <w:rFonts w:hint="eastAsia" w:ascii="宋体" w:hAnsi="宋体"/>
                      <w:bCs/>
                      <w:sz w:val="18"/>
                      <w:szCs w:val="18"/>
                    </w:rPr>
                    <w:t>企业不知晓</w:t>
                  </w:r>
                </w:p>
              </w:tc>
              <w:tc>
                <w:tcPr>
                  <w:tcW w:w="981" w:type="dxa"/>
                  <w:noWrap w:val="0"/>
                  <w:vAlign w:val="center"/>
                </w:tcPr>
                <w:p>
                  <w:pPr>
                    <w:adjustRightInd w:val="0"/>
                    <w:snapToGrid w:val="0"/>
                    <w:jc w:val="center"/>
                    <w:rPr>
                      <w:rFonts w:ascii="宋体"/>
                      <w:sz w:val="18"/>
                    </w:rPr>
                  </w:pPr>
                  <w:r>
                    <w:rPr>
                      <w:rFonts w:hint="eastAsia" w:ascii="宋体" w:hAnsi="宋体"/>
                      <w:bCs/>
                      <w:sz w:val="18"/>
                      <w:szCs w:val="18"/>
                    </w:rPr>
                    <w:t>③申请程序繁杂</w:t>
                  </w:r>
                </w:p>
              </w:tc>
              <w:tc>
                <w:tcPr>
                  <w:tcW w:w="1120" w:type="dxa"/>
                  <w:noWrap w:val="0"/>
                  <w:vAlign w:val="center"/>
                </w:tcPr>
                <w:p>
                  <w:pPr>
                    <w:adjustRightInd w:val="0"/>
                    <w:snapToGrid w:val="0"/>
                    <w:jc w:val="center"/>
                    <w:rPr>
                      <w:rFonts w:ascii="宋体"/>
                      <w:sz w:val="18"/>
                    </w:rPr>
                  </w:pPr>
                  <w:r>
                    <w:rPr>
                      <w:rFonts w:hint="eastAsia" w:ascii="宋体" w:hAnsi="宋体"/>
                      <w:bCs/>
                      <w:sz w:val="18"/>
                      <w:szCs w:val="18"/>
                    </w:rPr>
                    <w:t>④</w:t>
                  </w:r>
                  <w:r>
                    <w:rPr>
                      <w:rFonts w:hint="eastAsia" w:ascii="宋体" w:hAnsi="宋体"/>
                      <w:sz w:val="18"/>
                    </w:rPr>
                    <w:t>政策吸引力不足</w:t>
                  </w:r>
                </w:p>
              </w:tc>
              <w:tc>
                <w:tcPr>
                  <w:tcW w:w="1400" w:type="dxa"/>
                  <w:noWrap w:val="0"/>
                  <w:vAlign w:val="center"/>
                </w:tcPr>
                <w:p>
                  <w:pPr>
                    <w:adjustRightInd w:val="0"/>
                    <w:snapToGrid w:val="0"/>
                    <w:jc w:val="center"/>
                    <w:rPr>
                      <w:rFonts w:ascii="宋体"/>
                      <w:sz w:val="18"/>
                    </w:rPr>
                  </w:pPr>
                  <w:r>
                    <w:rPr>
                      <w:rFonts w:ascii="宋体" w:hAnsi="宋体"/>
                      <w:bCs/>
                      <w:sz w:val="18"/>
                      <w:szCs w:val="18"/>
                    </w:rPr>
                    <w:fldChar w:fldCharType="begin"/>
                  </w:r>
                  <w:r>
                    <w:rPr>
                      <w:rFonts w:ascii="宋体" w:hAnsi="宋体"/>
                      <w:bCs/>
                      <w:sz w:val="18"/>
                      <w:szCs w:val="18"/>
                    </w:rPr>
                    <w:instrText xml:space="preserve"> = 5 \* GB3 </w:instrText>
                  </w:r>
                  <w:r>
                    <w:rPr>
                      <w:rFonts w:ascii="宋体" w:hAnsi="宋体"/>
                      <w:bCs/>
                      <w:sz w:val="18"/>
                      <w:szCs w:val="18"/>
                    </w:rPr>
                    <w:fldChar w:fldCharType="separate"/>
                  </w:r>
                  <w:r>
                    <w:rPr>
                      <w:rFonts w:hint="eastAsia" w:ascii="宋体" w:hAnsi="宋体"/>
                      <w:bCs/>
                      <w:sz w:val="18"/>
                      <w:szCs w:val="18"/>
                    </w:rPr>
                    <w:t>⑤</w:t>
                  </w:r>
                  <w:r>
                    <w:rPr>
                      <w:rFonts w:ascii="宋体" w:hAnsi="宋体"/>
                      <w:bCs/>
                      <w:sz w:val="18"/>
                      <w:szCs w:val="18"/>
                    </w:rPr>
                    <w:fldChar w:fldCharType="end"/>
                  </w:r>
                  <w:r>
                    <w:rPr>
                      <w:rFonts w:hint="eastAsia" w:ascii="宋体" w:hAnsi="宋体"/>
                      <w:sz w:val="18"/>
                    </w:rPr>
                    <w:t>不具备享受该政策资格</w:t>
                  </w:r>
                </w:p>
              </w:tc>
              <w:tc>
                <w:tcPr>
                  <w:tcW w:w="862" w:type="dxa"/>
                  <w:noWrap w:val="0"/>
                  <w:vAlign w:val="center"/>
                </w:tcPr>
                <w:p>
                  <w:pPr>
                    <w:adjustRightInd w:val="0"/>
                    <w:snapToGrid w:val="0"/>
                    <w:ind w:left="-105" w:leftChars="-50" w:right="-105" w:rightChars="-50"/>
                    <w:jc w:val="center"/>
                    <w:rPr>
                      <w:rFonts w:ascii="宋体"/>
                      <w:sz w:val="18"/>
                    </w:rPr>
                  </w:pPr>
                  <w:r>
                    <w:rPr>
                      <w:rFonts w:hint="eastAsia" w:ascii="宋体" w:hAnsi="宋体"/>
                      <w:bCs/>
                      <w:sz w:val="18"/>
                      <w:szCs w:val="18"/>
                    </w:rPr>
                    <w:t>⑥</w:t>
                  </w:r>
                  <w:r>
                    <w:rPr>
                      <w:rFonts w:hint="eastAsia" w:ascii="宋体" w:hAnsi="宋体"/>
                      <w:sz w:val="18"/>
                    </w:rPr>
                    <w:t>其他</w:t>
                  </w: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2116" w:type="dxa"/>
                  <w:noWrap w:val="0"/>
                  <w:vAlign w:val="center"/>
                </w:tcPr>
                <w:p>
                  <w:pPr>
                    <w:adjustRightInd w:val="0"/>
                    <w:snapToGrid w:val="0"/>
                    <w:rPr>
                      <w:rFonts w:ascii="宋体"/>
                      <w:sz w:val="18"/>
                    </w:rPr>
                  </w:pPr>
                  <w:r>
                    <w:rPr>
                      <w:rFonts w:hint="eastAsia" w:ascii="宋体" w:hAnsi="Calibri"/>
                      <w:sz w:val="18"/>
                    </w:rPr>
                    <w:t>“放管服”改革</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2116" w:type="dxa"/>
                  <w:noWrap w:val="0"/>
                  <w:vAlign w:val="center"/>
                </w:tcPr>
                <w:p>
                  <w:pPr>
                    <w:adjustRightInd w:val="0"/>
                    <w:snapToGrid w:val="0"/>
                    <w:rPr>
                      <w:rFonts w:ascii="宋体"/>
                      <w:sz w:val="18"/>
                    </w:rPr>
                  </w:pPr>
                  <w:r>
                    <w:rPr>
                      <w:rFonts w:hint="eastAsia" w:ascii="宋体"/>
                      <w:sz w:val="18"/>
                    </w:rPr>
                    <w:t>创新支持</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283" w:hRule="atLeast"/>
              </w:trPr>
              <w:tc>
                <w:tcPr>
                  <w:tcW w:w="2116" w:type="dxa"/>
                  <w:noWrap w:val="0"/>
                  <w:vAlign w:val="center"/>
                </w:tcPr>
                <w:p>
                  <w:pPr>
                    <w:adjustRightInd w:val="0"/>
                    <w:snapToGrid w:val="0"/>
                    <w:rPr>
                      <w:rFonts w:ascii="宋体"/>
                      <w:sz w:val="18"/>
                    </w:rPr>
                  </w:pPr>
                  <w:r>
                    <w:rPr>
                      <w:rFonts w:hint="eastAsia" w:ascii="宋体"/>
                      <w:sz w:val="18"/>
                    </w:rPr>
                    <w:t>减税降费</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2116" w:type="dxa"/>
                  <w:noWrap w:val="0"/>
                  <w:vAlign w:val="center"/>
                </w:tcPr>
                <w:p>
                  <w:pPr>
                    <w:adjustRightInd w:val="0"/>
                    <w:snapToGrid w:val="0"/>
                    <w:rPr>
                      <w:rFonts w:ascii="宋体"/>
                      <w:sz w:val="18"/>
                    </w:rPr>
                  </w:pPr>
                  <w:r>
                    <w:rPr>
                      <w:rFonts w:hint="eastAsia" w:ascii="宋体"/>
                      <w:sz w:val="18"/>
                    </w:rPr>
                    <w:t>缓解融资难、融资贵</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2116" w:type="dxa"/>
                  <w:noWrap w:val="0"/>
                  <w:vAlign w:val="center"/>
                </w:tcPr>
                <w:p>
                  <w:pPr>
                    <w:adjustRightInd w:val="0"/>
                    <w:snapToGrid w:val="0"/>
                    <w:rPr>
                      <w:rFonts w:ascii="宋体"/>
                      <w:sz w:val="18"/>
                    </w:rPr>
                  </w:pPr>
                  <w:r>
                    <w:rPr>
                      <w:rFonts w:hint="eastAsia" w:ascii="宋体"/>
                      <w:sz w:val="18"/>
                    </w:rPr>
                    <w:t>清理拖欠账款</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2116" w:type="dxa"/>
                  <w:noWrap w:val="0"/>
                  <w:vAlign w:val="center"/>
                </w:tcPr>
                <w:p>
                  <w:pPr>
                    <w:adjustRightInd w:val="0"/>
                    <w:snapToGrid w:val="0"/>
                    <w:rPr>
                      <w:rFonts w:ascii="宋体"/>
                      <w:sz w:val="18"/>
                    </w:rPr>
                  </w:pPr>
                  <w:r>
                    <w:rPr>
                      <w:rFonts w:ascii="宋体"/>
                      <w:sz w:val="18"/>
                    </w:rPr>
                    <w:t>“</w:t>
                  </w:r>
                  <w:r>
                    <w:rPr>
                      <w:rFonts w:hint="eastAsia" w:ascii="宋体"/>
                      <w:sz w:val="18"/>
                    </w:rPr>
                    <w:t>一带一路</w:t>
                  </w:r>
                  <w:r>
                    <w:rPr>
                      <w:rFonts w:ascii="宋体"/>
                      <w:sz w:val="18"/>
                    </w:rPr>
                    <w:t>”</w:t>
                  </w:r>
                  <w:r>
                    <w:rPr>
                      <w:rFonts w:hint="eastAsia" w:ascii="宋体"/>
                      <w:sz w:val="18"/>
                    </w:rPr>
                    <w:t>建设</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r>
              <w:tblPrEx>
                <w:tblBorders>
                  <w:top w:val="single" w:color="auto" w:sz="2" w:space="0"/>
                  <w:left w:val="none" w:color="auto" w:sz="0" w:space="0"/>
                  <w:bottom w:val="none" w:color="auto" w:sz="0" w:space="0"/>
                  <w:right w:val="none" w:color="auto" w:sz="0" w:space="0"/>
                  <w:insideH w:val="single" w:color="auto" w:sz="2" w:space="0"/>
                  <w:insideV w:val="single" w:color="auto" w:sz="2" w:space="0"/>
                </w:tblBorders>
              </w:tblPrEx>
              <w:trPr>
                <w:trHeight w:val="283" w:hRule="atLeast"/>
              </w:trPr>
              <w:tc>
                <w:tcPr>
                  <w:tcW w:w="2116" w:type="dxa"/>
                  <w:noWrap w:val="0"/>
                  <w:vAlign w:val="center"/>
                </w:tcPr>
                <w:p>
                  <w:pPr>
                    <w:adjustRightInd w:val="0"/>
                    <w:snapToGrid w:val="0"/>
                    <w:rPr>
                      <w:rFonts w:ascii="宋体"/>
                      <w:sz w:val="18"/>
                    </w:rPr>
                  </w:pPr>
                  <w:r>
                    <w:rPr>
                      <w:rFonts w:hint="eastAsia" w:ascii="宋体" w:hAnsi="Calibri"/>
                      <w:sz w:val="18"/>
                    </w:rPr>
                    <w:t>稳外贸稳外资系列政策</w:t>
                  </w: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981" w:type="dxa"/>
                  <w:noWrap w:val="0"/>
                  <w:vAlign w:val="center"/>
                </w:tcPr>
                <w:p>
                  <w:pPr>
                    <w:adjustRightInd w:val="0"/>
                    <w:snapToGrid w:val="0"/>
                    <w:jc w:val="center"/>
                    <w:rPr>
                      <w:rFonts w:ascii="宋体"/>
                      <w:sz w:val="18"/>
                    </w:rPr>
                  </w:pPr>
                </w:p>
              </w:tc>
              <w:tc>
                <w:tcPr>
                  <w:tcW w:w="1120" w:type="dxa"/>
                  <w:noWrap w:val="0"/>
                  <w:vAlign w:val="center"/>
                </w:tcPr>
                <w:p>
                  <w:pPr>
                    <w:adjustRightInd w:val="0"/>
                    <w:snapToGrid w:val="0"/>
                    <w:jc w:val="center"/>
                    <w:rPr>
                      <w:rFonts w:ascii="宋体"/>
                      <w:sz w:val="18"/>
                    </w:rPr>
                  </w:pPr>
                </w:p>
              </w:tc>
              <w:tc>
                <w:tcPr>
                  <w:tcW w:w="1400" w:type="dxa"/>
                  <w:noWrap w:val="0"/>
                  <w:vAlign w:val="center"/>
                </w:tcPr>
                <w:p>
                  <w:pPr>
                    <w:adjustRightInd w:val="0"/>
                    <w:snapToGrid w:val="0"/>
                    <w:jc w:val="center"/>
                    <w:rPr>
                      <w:rFonts w:ascii="宋体"/>
                      <w:sz w:val="18"/>
                    </w:rPr>
                  </w:pPr>
                </w:p>
              </w:tc>
              <w:tc>
                <w:tcPr>
                  <w:tcW w:w="862" w:type="dxa"/>
                  <w:noWrap w:val="0"/>
                  <w:vAlign w:val="center"/>
                </w:tcPr>
                <w:p>
                  <w:pPr>
                    <w:adjustRightInd w:val="0"/>
                    <w:snapToGrid w:val="0"/>
                    <w:jc w:val="center"/>
                    <w:rPr>
                      <w:rFonts w:ascii="宋体"/>
                      <w:sz w:val="18"/>
                    </w:rPr>
                  </w:pPr>
                </w:p>
              </w:tc>
            </w:tr>
          </w:tbl>
          <w:p>
            <w:pPr>
              <w:pStyle w:val="22"/>
              <w:adjustRightInd w:val="0"/>
              <w:snapToGrid w:val="0"/>
              <w:ind w:left="112" w:firstLine="0" w:firstLineChars="0"/>
              <w:rPr>
                <w:rFonts w:ascii="宋体"/>
                <w:bCs/>
                <w:sz w:val="18"/>
                <w:szCs w:val="18"/>
              </w:rPr>
            </w:pPr>
          </w:p>
        </w:tc>
      </w:tr>
      <w:tr>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0" w:type="dxa"/>
            <w:bottom w:w="0" w:type="dxa"/>
            <w:right w:w="0" w:type="dxa"/>
          </w:tblCellMar>
        </w:tblPrEx>
        <w:trPr>
          <w:cantSplit/>
          <w:trHeight w:val="335" w:hRule="atLeast"/>
        </w:trPr>
        <w:tc>
          <w:tcPr>
            <w:tcW w:w="215" w:type="pct"/>
            <w:noWrap w:val="0"/>
            <w:vAlign w:val="center"/>
          </w:tcPr>
          <w:p>
            <w:pPr>
              <w:adjustRightInd w:val="0"/>
              <w:snapToGrid w:val="0"/>
              <w:spacing w:line="280" w:lineRule="exact"/>
              <w:jc w:val="center"/>
              <w:rPr>
                <w:rFonts w:hint="eastAsia" w:ascii="宋体" w:hAnsi="宋体"/>
                <w:sz w:val="18"/>
              </w:rPr>
            </w:pPr>
            <w:r>
              <w:rPr>
                <w:rFonts w:hint="eastAsia" w:ascii="宋体" w:hAnsi="宋体"/>
                <w:sz w:val="18"/>
              </w:rPr>
              <w:t>36</w:t>
            </w:r>
          </w:p>
        </w:tc>
        <w:tc>
          <w:tcPr>
            <w:tcW w:w="4784" w:type="pct"/>
            <w:noWrap w:val="0"/>
            <w:vAlign w:val="center"/>
          </w:tcPr>
          <w:p>
            <w:pPr>
              <w:adjustRightInd w:val="0"/>
              <w:snapToGrid w:val="0"/>
              <w:ind w:firstLine="90" w:firstLineChars="50"/>
              <w:rPr>
                <w:rFonts w:ascii="宋体"/>
                <w:sz w:val="18"/>
              </w:rPr>
            </w:pPr>
            <w:r>
              <w:rPr>
                <w:rFonts w:hint="eastAsia" w:ascii="宋体" w:hAnsi="宋体"/>
                <w:sz w:val="18"/>
              </w:rPr>
              <w:t>贵企业还关心哪方面的政策，或对现有政策有何建议：</w:t>
            </w:r>
            <w:r>
              <w:rPr>
                <w:rFonts w:ascii="宋体" w:hAnsi="宋体"/>
                <w:sz w:val="18"/>
                <w:u w:val="single"/>
              </w:rPr>
              <w:t xml:space="preserve">                                                </w:t>
            </w:r>
          </w:p>
        </w:tc>
      </w:tr>
    </w:tbl>
    <w:p>
      <w:pPr>
        <w:spacing w:line="320" w:lineRule="exact"/>
        <w:ind w:right="-525" w:rightChars="-250"/>
        <w:rPr>
          <w:rFonts w:ascii="宋体"/>
          <w:sz w:val="18"/>
        </w:rPr>
      </w:pPr>
      <w:r>
        <w:rPr>
          <w:rFonts w:hint="eastAsia" w:ascii="宋体" w:hAnsi="宋体"/>
          <w:sz w:val="18"/>
          <w:szCs w:val="18"/>
        </w:rPr>
        <w:t>单位负责人：</w:t>
      </w:r>
      <w:r>
        <w:rPr>
          <w:rFonts w:ascii="宋体" w:hAnsi="宋体"/>
          <w:sz w:val="18"/>
          <w:szCs w:val="18"/>
        </w:rPr>
        <w:t xml:space="preserve">  </w:t>
      </w:r>
      <w:r>
        <w:rPr>
          <w:rFonts w:hint="eastAsia" w:ascii="宋体" w:hAnsi="宋体"/>
          <w:sz w:val="18"/>
          <w:szCs w:val="18"/>
          <w:lang w:val="en-US" w:eastAsia="zh-CN"/>
        </w:rPr>
        <w:t xml:space="preserve"> </w:t>
      </w:r>
      <w:r>
        <w:rPr>
          <w:rFonts w:ascii="宋体" w:hAnsi="宋体"/>
          <w:sz w:val="18"/>
          <w:szCs w:val="18"/>
        </w:rPr>
        <w:t xml:space="preserve">     </w:t>
      </w:r>
      <w:r>
        <w:rPr>
          <w:rFonts w:hint="eastAsia" w:ascii="宋体" w:hAnsi="宋体"/>
          <w:sz w:val="18"/>
          <w:szCs w:val="18"/>
        </w:rPr>
        <w:t>统计负责人：</w:t>
      </w:r>
      <w:r>
        <w:rPr>
          <w:rFonts w:ascii="宋体" w:hAnsi="宋体"/>
          <w:sz w:val="18"/>
          <w:szCs w:val="18"/>
        </w:rPr>
        <w:t xml:space="preserve">    </w:t>
      </w:r>
      <w:r>
        <w:rPr>
          <w:rFonts w:hint="eastAsia" w:ascii="宋体" w:hAnsi="宋体"/>
          <w:sz w:val="18"/>
          <w:szCs w:val="18"/>
          <w:lang w:val="en-US" w:eastAsia="zh-CN"/>
        </w:rPr>
        <w:t xml:space="preserve"> </w:t>
      </w:r>
      <w:r>
        <w:rPr>
          <w:rFonts w:ascii="宋体" w:hAnsi="宋体"/>
          <w:sz w:val="18"/>
          <w:szCs w:val="18"/>
        </w:rPr>
        <w:t xml:space="preserve">   </w:t>
      </w:r>
      <w:r>
        <w:rPr>
          <w:rFonts w:hint="eastAsia" w:ascii="宋体" w:hAnsi="宋体"/>
          <w:sz w:val="18"/>
          <w:szCs w:val="18"/>
        </w:rPr>
        <w:t>填表人：</w:t>
      </w:r>
      <w:r>
        <w:rPr>
          <w:rFonts w:ascii="宋体" w:hAnsi="宋体"/>
          <w:sz w:val="18"/>
          <w:szCs w:val="18"/>
        </w:rPr>
        <w:t xml:space="preserve">    </w:t>
      </w:r>
      <w:r>
        <w:rPr>
          <w:rFonts w:hint="eastAsia" w:ascii="宋体" w:hAnsi="宋体"/>
          <w:sz w:val="18"/>
          <w:szCs w:val="18"/>
          <w:lang w:val="en-US" w:eastAsia="zh-CN"/>
        </w:rPr>
        <w:t xml:space="preserve"> </w:t>
      </w:r>
      <w:r>
        <w:rPr>
          <w:rFonts w:ascii="宋体" w:hAnsi="宋体"/>
          <w:sz w:val="18"/>
          <w:szCs w:val="18"/>
        </w:rPr>
        <w:t xml:space="preserve">  </w:t>
      </w:r>
      <w:r>
        <w:rPr>
          <w:rFonts w:hint="eastAsia" w:ascii="宋体" w:hAnsi="宋体"/>
          <w:sz w:val="18"/>
          <w:szCs w:val="18"/>
        </w:rPr>
        <w:t>联系电话：</w:t>
      </w:r>
      <w:r>
        <w:rPr>
          <w:rFonts w:ascii="宋体" w:hAnsi="宋体"/>
          <w:sz w:val="18"/>
          <w:szCs w:val="18"/>
        </w:rPr>
        <w:t xml:space="preserve">    </w:t>
      </w:r>
      <w:r>
        <w:rPr>
          <w:rFonts w:hint="eastAsia" w:ascii="宋体" w:hAnsi="宋体"/>
          <w:sz w:val="18"/>
          <w:szCs w:val="18"/>
          <w:lang w:val="en-US" w:eastAsia="zh-CN"/>
        </w:rPr>
        <w:t xml:space="preserve"> </w:t>
      </w:r>
      <w:r>
        <w:rPr>
          <w:rFonts w:ascii="宋体" w:hAnsi="宋体"/>
          <w:sz w:val="18"/>
          <w:szCs w:val="18"/>
        </w:rPr>
        <w:t xml:space="preserve">  </w:t>
      </w:r>
      <w:r>
        <w:rPr>
          <w:rFonts w:hint="eastAsia" w:ascii="宋体" w:hAnsi="宋体"/>
          <w:sz w:val="18"/>
          <w:szCs w:val="18"/>
        </w:rPr>
        <w:t>报出日期：２０</w:t>
      </w:r>
      <w:r>
        <w:rPr>
          <w:rFonts w:ascii="宋体" w:hAnsi="宋体"/>
          <w:sz w:val="18"/>
          <w:szCs w:val="18"/>
        </w:rPr>
        <w:t xml:space="preserve">  </w:t>
      </w:r>
      <w:r>
        <w:rPr>
          <w:rFonts w:hint="eastAsia" w:ascii="宋体" w:hAnsi="宋体"/>
          <w:sz w:val="18"/>
          <w:szCs w:val="18"/>
        </w:rPr>
        <w:t>年</w:t>
      </w:r>
      <w:r>
        <w:rPr>
          <w:rFonts w:ascii="宋体" w:hAnsi="宋体"/>
          <w:sz w:val="18"/>
          <w:szCs w:val="18"/>
        </w:rPr>
        <w:t xml:space="preserve">  </w:t>
      </w:r>
      <w:r>
        <w:rPr>
          <w:rFonts w:hint="eastAsia" w:ascii="宋体" w:hAnsi="宋体"/>
          <w:sz w:val="18"/>
          <w:szCs w:val="18"/>
        </w:rPr>
        <w:t>月</w:t>
      </w:r>
      <w:r>
        <w:rPr>
          <w:rFonts w:ascii="宋体" w:hAnsi="宋体"/>
          <w:sz w:val="18"/>
          <w:szCs w:val="18"/>
        </w:rPr>
        <w:t xml:space="preserve">  </w:t>
      </w:r>
      <w:r>
        <w:rPr>
          <w:rFonts w:hint="eastAsia" w:ascii="宋体" w:hAnsi="宋体"/>
          <w:sz w:val="18"/>
          <w:szCs w:val="18"/>
        </w:rPr>
        <w:t>日</w:t>
      </w:r>
    </w:p>
    <w:p>
      <w:pPr>
        <w:spacing w:line="360" w:lineRule="exact"/>
        <w:jc w:val="center"/>
        <w:rPr>
          <w:rFonts w:eastAsia="方正小标宋简体"/>
          <w:bCs/>
          <w:sz w:val="30"/>
          <w:szCs w:val="30"/>
        </w:rPr>
      </w:pPr>
    </w:p>
    <w:p>
      <w:pPr>
        <w:pStyle w:val="15"/>
        <w:rPr>
          <w:rFonts w:hint="eastAsia" w:ascii="宋体" w:hAnsi="宋体" w:cs="Times New Roman"/>
          <w:sz w:val="18"/>
          <w:szCs w:val="18"/>
          <w:lang w:eastAsia="zh-CN"/>
        </w:rPr>
      </w:pPr>
      <w:r>
        <w:rPr>
          <w:rFonts w:hint="eastAsia" w:ascii="宋体" w:hAnsi="宋体"/>
          <w:sz w:val="18"/>
        </w:rPr>
        <w:t>说明：</w:t>
      </w:r>
      <w:r>
        <w:rPr>
          <w:rFonts w:hint="eastAsia" w:ascii="宋体" w:hAnsi="宋体" w:cs="Times New Roman"/>
          <w:sz w:val="18"/>
          <w:szCs w:val="18"/>
        </w:rPr>
        <w:t>1.</w:t>
      </w:r>
      <w:r>
        <w:rPr>
          <w:rFonts w:hint="eastAsia" w:ascii="宋体" w:hAnsi="宋体" w:cs="Times New Roman"/>
          <w:sz w:val="18"/>
          <w:szCs w:val="18"/>
          <w:lang w:val="en-US" w:eastAsia="zh-CN"/>
        </w:rPr>
        <w:t xml:space="preserve">  </w:t>
      </w:r>
      <w:r>
        <w:rPr>
          <w:rFonts w:hint="eastAsia" w:ascii="宋体" w:hAnsi="宋体" w:cs="Times New Roman"/>
          <w:sz w:val="18"/>
          <w:szCs w:val="18"/>
        </w:rPr>
        <w:t>统计范围：抽取的规模以上工业法人单位，包括辖区内全部大中型和部分小微型工业企业，由主要负责人(或主管经营负责人)填写</w:t>
      </w:r>
      <w:r>
        <w:rPr>
          <w:rFonts w:hint="eastAsia" w:ascii="宋体" w:hAnsi="宋体" w:cs="Times New Roman"/>
          <w:sz w:val="18"/>
          <w:szCs w:val="18"/>
          <w:lang w:eastAsia="zh-CN"/>
        </w:rPr>
        <w:t>。</w:t>
      </w:r>
    </w:p>
    <w:p>
      <w:pPr>
        <w:pStyle w:val="15"/>
        <w:numPr>
          <w:ilvl w:val="0"/>
          <w:numId w:val="5"/>
        </w:numPr>
        <w:ind w:firstLine="540" w:firstLineChars="300"/>
        <w:rPr>
          <w:rFonts w:hint="eastAsia" w:ascii="宋体" w:hAnsi="宋体"/>
          <w:sz w:val="18"/>
          <w:szCs w:val="18"/>
          <w:lang w:eastAsia="zh-CN"/>
        </w:rPr>
      </w:pPr>
      <w:r>
        <w:rPr>
          <w:rFonts w:hint="eastAsia" w:ascii="宋体" w:hAnsi="宋体"/>
          <w:sz w:val="18"/>
          <w:szCs w:val="18"/>
        </w:rPr>
        <w:t>报送日期及方式：调查单位一季度季后8日12:00、二季度季后7日12:00、三季度季后12日12：00、四季度季后8日12:00前独立自行网上填报</w:t>
      </w:r>
      <w:r>
        <w:rPr>
          <w:rFonts w:hint="eastAsia" w:ascii="宋体" w:hAnsi="宋体"/>
          <w:sz w:val="18"/>
          <w:szCs w:val="18"/>
          <w:lang w:eastAsia="zh-CN"/>
        </w:rPr>
        <w:t>。</w:t>
      </w:r>
    </w:p>
    <w:p>
      <w:pPr>
        <w:pStyle w:val="15"/>
        <w:numPr>
          <w:ilvl w:val="0"/>
          <w:numId w:val="5"/>
        </w:numPr>
        <w:ind w:firstLine="540" w:firstLineChars="300"/>
        <w:rPr>
          <w:rFonts w:hint="eastAsia" w:ascii="宋体" w:hAnsi="宋体"/>
          <w:sz w:val="18"/>
          <w:szCs w:val="18"/>
          <w:lang w:eastAsia="zh-CN"/>
        </w:rPr>
      </w:pPr>
      <w:r>
        <w:rPr>
          <w:rFonts w:hint="eastAsia" w:ascii="宋体" w:hAnsi="宋体" w:cs="Times New Roman"/>
          <w:sz w:val="18"/>
          <w:szCs w:val="18"/>
        </w:rPr>
        <w:t>本表所列问题根据每季度工业经济运行情况进行调整，调整范围一般不超过3-5个问题</w:t>
      </w:r>
      <w:r>
        <w:rPr>
          <w:rFonts w:hint="eastAsia" w:ascii="宋体" w:hAnsi="宋体" w:cs="Times New Roman"/>
          <w:sz w:val="18"/>
          <w:szCs w:val="18"/>
          <w:lang w:eastAsia="zh-CN"/>
        </w:rPr>
        <w:t>。</w:t>
      </w:r>
    </w:p>
    <w:p>
      <w:pPr>
        <w:spacing w:line="360" w:lineRule="exact"/>
        <w:jc w:val="center"/>
        <w:rPr>
          <w:rFonts w:eastAsia="方正小标宋简体"/>
          <w:bCs/>
          <w:sz w:val="30"/>
          <w:szCs w:val="30"/>
        </w:rPr>
      </w:pPr>
    </w:p>
    <w:p>
      <w:pPr>
        <w:spacing w:line="440" w:lineRule="exact"/>
        <w:jc w:val="center"/>
        <w:rPr>
          <w:rFonts w:eastAsia="方正小标宋简体"/>
          <w:bCs/>
          <w:sz w:val="30"/>
          <w:szCs w:val="30"/>
        </w:rPr>
      </w:pPr>
    </w:p>
    <w:p>
      <w:pPr>
        <w:spacing w:line="440" w:lineRule="exact"/>
        <w:jc w:val="center"/>
        <w:rPr>
          <w:rFonts w:eastAsia="方正小标宋简体"/>
          <w:bCs/>
          <w:sz w:val="30"/>
          <w:szCs w:val="30"/>
        </w:rPr>
      </w:pPr>
    </w:p>
    <w:p>
      <w:pPr>
        <w:spacing w:line="440" w:lineRule="exact"/>
        <w:jc w:val="center"/>
        <w:rPr>
          <w:rFonts w:eastAsia="方正小标宋简体"/>
          <w:bCs/>
          <w:sz w:val="30"/>
          <w:szCs w:val="30"/>
        </w:rPr>
      </w:pPr>
    </w:p>
    <w:p>
      <w:pPr>
        <w:spacing w:line="440" w:lineRule="exact"/>
        <w:jc w:val="center"/>
        <w:rPr>
          <w:rFonts w:eastAsia="方正小标宋简体"/>
          <w:bCs/>
          <w:sz w:val="30"/>
          <w:szCs w:val="30"/>
        </w:rPr>
      </w:pPr>
    </w:p>
    <w:p>
      <w:pPr>
        <w:pStyle w:val="2"/>
      </w:pPr>
    </w:p>
    <w:p>
      <w:pPr>
        <w:spacing w:line="440" w:lineRule="exact"/>
        <w:jc w:val="center"/>
        <w:rPr>
          <w:rFonts w:eastAsia="方正小标宋简体"/>
          <w:bCs/>
          <w:sz w:val="30"/>
          <w:szCs w:val="30"/>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78" w:name="_Toc1064072189"/>
      <w:bookmarkStart w:id="79" w:name="_Toc296688621"/>
      <w:bookmarkStart w:id="80" w:name="_Toc1327312336"/>
      <w:r>
        <w:rPr>
          <w:rFonts w:hint="eastAsia" w:ascii="宋体" w:hAnsi="宋体" w:eastAsia="宋体" w:cs="宋体"/>
          <w:b/>
          <w:bCs/>
          <w:sz w:val="32"/>
          <w:szCs w:val="32"/>
        </w:rPr>
        <w:t>能源购进、消费与库存</w:t>
      </w:r>
      <w:bookmarkEnd w:id="78"/>
      <w:bookmarkEnd w:id="79"/>
      <w:bookmarkEnd w:id="80"/>
    </w:p>
    <w:tbl>
      <w:tblPr>
        <w:tblStyle w:val="17"/>
        <w:tblW w:w="9402" w:type="dxa"/>
        <w:jc w:val="center"/>
        <w:tblLayout w:type="autofit"/>
        <w:tblCellMar>
          <w:top w:w="0" w:type="dxa"/>
          <w:left w:w="0" w:type="dxa"/>
          <w:bottom w:w="0" w:type="dxa"/>
          <w:right w:w="0" w:type="dxa"/>
        </w:tblCellMar>
      </w:tblPr>
      <w:tblGrid>
        <w:gridCol w:w="3181"/>
        <w:gridCol w:w="753"/>
        <w:gridCol w:w="2682"/>
        <w:gridCol w:w="875"/>
        <w:gridCol w:w="1911"/>
      </w:tblGrid>
      <w:tr>
        <w:tblPrEx>
          <w:tblCellMar>
            <w:top w:w="0" w:type="dxa"/>
            <w:left w:w="0" w:type="dxa"/>
            <w:bottom w:w="0" w:type="dxa"/>
            <w:right w:w="0" w:type="dxa"/>
          </w:tblCellMar>
        </w:tblPrEx>
        <w:trPr>
          <w:jc w:val="center"/>
        </w:trPr>
        <w:tc>
          <w:tcPr>
            <w:tcW w:w="3181" w:type="dxa"/>
          </w:tcPr>
          <w:p>
            <w:pPr>
              <w:spacing w:line="260" w:lineRule="exact"/>
              <w:rPr>
                <w:sz w:val="18"/>
                <w:szCs w:val="18"/>
              </w:rPr>
            </w:pPr>
          </w:p>
        </w:tc>
        <w:tc>
          <w:tcPr>
            <w:tcW w:w="753" w:type="dxa"/>
          </w:tcPr>
          <w:p>
            <w:pPr>
              <w:spacing w:line="260" w:lineRule="exact"/>
              <w:rPr>
                <w:sz w:val="18"/>
                <w:szCs w:val="18"/>
              </w:rPr>
            </w:pPr>
          </w:p>
        </w:tc>
        <w:tc>
          <w:tcPr>
            <w:tcW w:w="2682" w:type="dxa"/>
          </w:tcPr>
          <w:p>
            <w:pPr>
              <w:spacing w:line="260" w:lineRule="exact"/>
              <w:rPr>
                <w:sz w:val="18"/>
                <w:szCs w:val="18"/>
              </w:rPr>
            </w:pPr>
          </w:p>
        </w:tc>
        <w:tc>
          <w:tcPr>
            <w:tcW w:w="875" w:type="dxa"/>
            <w:tcMar>
              <w:left w:w="0" w:type="dxa"/>
              <w:right w:w="0" w:type="dxa"/>
            </w:tcMar>
          </w:tcPr>
          <w:p>
            <w:pPr>
              <w:spacing w:line="260" w:lineRule="exact"/>
              <w:rPr>
                <w:sz w:val="18"/>
                <w:szCs w:val="18"/>
              </w:rPr>
            </w:pPr>
            <w:r>
              <w:rPr>
                <w:sz w:val="18"/>
                <w:szCs w:val="18"/>
              </w:rPr>
              <w:t>表    号：</w:t>
            </w:r>
          </w:p>
        </w:tc>
        <w:tc>
          <w:tcPr>
            <w:tcW w:w="1911" w:type="dxa"/>
            <w:vAlign w:val="center"/>
          </w:tcPr>
          <w:p>
            <w:pPr>
              <w:spacing w:line="260" w:lineRule="exact"/>
              <w:jc w:val="distribute"/>
              <w:rPr>
                <w:sz w:val="18"/>
                <w:szCs w:val="18"/>
              </w:rPr>
            </w:pPr>
            <w:r>
              <w:rPr>
                <w:sz w:val="18"/>
                <w:szCs w:val="18"/>
              </w:rPr>
              <w:t>２０５－１表</w:t>
            </w:r>
          </w:p>
        </w:tc>
      </w:tr>
      <w:tr>
        <w:tblPrEx>
          <w:tblCellMar>
            <w:top w:w="0" w:type="dxa"/>
            <w:left w:w="0" w:type="dxa"/>
            <w:bottom w:w="0" w:type="dxa"/>
            <w:right w:w="0" w:type="dxa"/>
          </w:tblCellMar>
        </w:tblPrEx>
        <w:trPr>
          <w:jc w:val="center"/>
        </w:trPr>
        <w:tc>
          <w:tcPr>
            <w:tcW w:w="6616" w:type="dxa"/>
            <w:gridSpan w:val="3"/>
          </w:tcPr>
          <w:p>
            <w:pPr>
              <w:spacing w:line="260" w:lineRule="exact"/>
              <w:rPr>
                <w:sz w:val="18"/>
                <w:szCs w:val="18"/>
              </w:rPr>
            </w:pPr>
            <w:r>
              <w:rPr>
                <w:sz w:val="18"/>
                <w:szCs w:val="18"/>
              </w:rPr>
              <w:t>统一社会信用代码</w:t>
            </w:r>
            <w:r>
              <w:rPr>
                <w:rFonts w:hint="eastAsia" w:ascii="宋体" w:hAnsi="宋体" w:cs="宋体"/>
                <w:color w:val="000000"/>
                <w:kern w:val="0"/>
                <w:sz w:val="18"/>
                <w:szCs w:val="18"/>
              </w:rPr>
              <w:t>□□□□□□□□□□□□□□□□□□</w:t>
            </w:r>
          </w:p>
        </w:tc>
        <w:tc>
          <w:tcPr>
            <w:tcW w:w="875" w:type="dxa"/>
            <w:tcMar>
              <w:left w:w="0" w:type="dxa"/>
              <w:right w:w="0" w:type="dxa"/>
            </w:tcMar>
            <w:vAlign w:val="center"/>
          </w:tcPr>
          <w:p>
            <w:pPr>
              <w:spacing w:line="260" w:lineRule="exact"/>
              <w:rPr>
                <w:sz w:val="18"/>
                <w:szCs w:val="18"/>
              </w:rPr>
            </w:pPr>
            <w:r>
              <w:rPr>
                <w:sz w:val="18"/>
                <w:szCs w:val="18"/>
              </w:rPr>
              <w:t>制定机关：</w:t>
            </w:r>
          </w:p>
        </w:tc>
        <w:tc>
          <w:tcPr>
            <w:tcW w:w="1911" w:type="dxa"/>
            <w:vAlign w:val="center"/>
          </w:tcPr>
          <w:p>
            <w:pPr>
              <w:spacing w:line="260" w:lineRule="exact"/>
              <w:jc w:val="distribute"/>
              <w:rPr>
                <w:sz w:val="18"/>
                <w:szCs w:val="18"/>
              </w:rPr>
            </w:pPr>
            <w:r>
              <w:rPr>
                <w:sz w:val="18"/>
                <w:szCs w:val="18"/>
              </w:rPr>
              <w:t>国 家 统 计 局</w:t>
            </w:r>
          </w:p>
        </w:tc>
      </w:tr>
      <w:tr>
        <w:tblPrEx>
          <w:tblCellMar>
            <w:top w:w="0" w:type="dxa"/>
            <w:left w:w="0" w:type="dxa"/>
            <w:bottom w:w="0" w:type="dxa"/>
            <w:right w:w="0" w:type="dxa"/>
          </w:tblCellMar>
        </w:tblPrEx>
        <w:trPr>
          <w:jc w:val="center"/>
        </w:trPr>
        <w:tc>
          <w:tcPr>
            <w:tcW w:w="6616" w:type="dxa"/>
            <w:gridSpan w:val="3"/>
          </w:tcPr>
          <w:p>
            <w:pPr>
              <w:spacing w:line="260" w:lineRule="exact"/>
              <w:rPr>
                <w:rFonts w:hint="eastAsia" w:eastAsia="宋体"/>
                <w:sz w:val="18"/>
                <w:szCs w:val="18"/>
                <w:lang w:eastAsia="zh-CN"/>
              </w:rPr>
            </w:pPr>
          </w:p>
        </w:tc>
        <w:tc>
          <w:tcPr>
            <w:tcW w:w="875" w:type="dxa"/>
            <w:tcMar>
              <w:left w:w="0" w:type="dxa"/>
              <w:right w:w="0" w:type="dxa"/>
            </w:tcMar>
            <w:vAlign w:val="center"/>
          </w:tcPr>
          <w:p>
            <w:pPr>
              <w:spacing w:line="260" w:lineRule="exact"/>
              <w:rPr>
                <w:sz w:val="18"/>
                <w:szCs w:val="18"/>
              </w:rPr>
            </w:pPr>
            <w:r>
              <w:rPr>
                <w:sz w:val="18"/>
                <w:szCs w:val="18"/>
              </w:rPr>
              <w:t>文    号：</w:t>
            </w:r>
          </w:p>
        </w:tc>
        <w:tc>
          <w:tcPr>
            <w:tcW w:w="1911" w:type="dxa"/>
            <w:vAlign w:val="center"/>
          </w:tcPr>
          <w:p>
            <w:pPr>
              <w:spacing w:line="260" w:lineRule="exact"/>
              <w:jc w:val="distribute"/>
              <w:rPr>
                <w:sz w:val="18"/>
                <w:szCs w:val="18"/>
              </w:rPr>
            </w:pPr>
            <w:r>
              <w:rPr>
                <w:rFonts w:hint="eastAsia" w:ascii="宋体" w:hAnsi="宋体"/>
                <w:sz w:val="18"/>
                <w:szCs w:val="18"/>
              </w:rPr>
              <w:t>国统</w:t>
            </w:r>
            <w:r>
              <w:rPr>
                <w:rFonts w:hint="eastAsia" w:ascii="宋体" w:hAnsi="宋体"/>
                <w:spacing w:val="-16"/>
                <w:sz w:val="18"/>
                <w:szCs w:val="18"/>
              </w:rPr>
              <w:t>字</w:t>
            </w:r>
            <w:r>
              <w:rPr>
                <w:rFonts w:hint="default" w:ascii="宋体" w:hAnsi="宋体"/>
                <w:spacing w:val="-16"/>
                <w:sz w:val="18"/>
                <w:szCs w:val="18"/>
                <w:lang w:val="en-US" w:eastAsia="zh-CN"/>
              </w:rPr>
              <w:t>〔２０２</w:t>
            </w:r>
            <w:r>
              <w:rPr>
                <w:rFonts w:hint="eastAsia" w:ascii="宋体" w:hAnsi="宋体"/>
                <w:spacing w:val="-16"/>
                <w:sz w:val="18"/>
                <w:szCs w:val="18"/>
                <w:lang w:val="en-US" w:eastAsia="zh-CN"/>
              </w:rPr>
              <w:t>5</w:t>
            </w:r>
            <w:r>
              <w:rPr>
                <w:rFonts w:hint="default" w:ascii="宋体" w:hAnsi="宋体"/>
                <w:spacing w:val="-16"/>
                <w:sz w:val="18"/>
                <w:szCs w:val="18"/>
                <w:lang w:val="en-US" w:eastAsia="zh-CN"/>
              </w:rPr>
              <w:t>〕</w:t>
            </w:r>
            <w:r>
              <w:rPr>
                <w:rFonts w:hint="eastAsia" w:ascii="宋体" w:hAnsi="宋体"/>
                <w:spacing w:val="-16"/>
                <w:sz w:val="18"/>
                <w:szCs w:val="18"/>
                <w:lang w:val="en-US" w:eastAsia="zh-CN"/>
              </w:rPr>
              <w:t>88</w:t>
            </w:r>
            <w:r>
              <w:rPr>
                <w:rFonts w:hint="eastAsia" w:ascii="宋体" w:hAnsi="宋体"/>
                <w:spacing w:val="-16"/>
                <w:sz w:val="18"/>
                <w:szCs w:val="18"/>
                <w:lang w:val="en" w:eastAsia="zh-CN"/>
              </w:rPr>
              <w:t>号</w:t>
            </w:r>
          </w:p>
        </w:tc>
      </w:tr>
      <w:tr>
        <w:tblPrEx>
          <w:tblCellMar>
            <w:top w:w="0" w:type="dxa"/>
            <w:left w:w="0" w:type="dxa"/>
            <w:bottom w:w="0" w:type="dxa"/>
            <w:right w:w="0" w:type="dxa"/>
          </w:tblCellMar>
        </w:tblPrEx>
        <w:trPr>
          <w:jc w:val="center"/>
        </w:trPr>
        <w:tc>
          <w:tcPr>
            <w:tcW w:w="3181" w:type="dxa"/>
          </w:tcPr>
          <w:p>
            <w:pPr>
              <w:spacing w:line="260" w:lineRule="exact"/>
              <w:rPr>
                <w:sz w:val="18"/>
                <w:szCs w:val="18"/>
              </w:rPr>
            </w:pPr>
            <w:r>
              <w:rPr>
                <w:sz w:val="18"/>
              </w:rPr>
              <w:t>单位详细名称：</w:t>
            </w:r>
          </w:p>
        </w:tc>
        <w:tc>
          <w:tcPr>
            <w:tcW w:w="753" w:type="dxa"/>
          </w:tcPr>
          <w:p>
            <w:pPr>
              <w:spacing w:line="260" w:lineRule="exact"/>
              <w:rPr>
                <w:sz w:val="18"/>
                <w:szCs w:val="18"/>
              </w:rPr>
            </w:pPr>
          </w:p>
        </w:tc>
        <w:tc>
          <w:tcPr>
            <w:tcW w:w="2682" w:type="dxa"/>
          </w:tcPr>
          <w:p>
            <w:pPr>
              <w:spacing w:line="260" w:lineRule="exact"/>
              <w:ind w:firstLine="180" w:firstLineChars="100"/>
              <w:rPr>
                <w:sz w:val="18"/>
                <w:szCs w:val="18"/>
              </w:rPr>
            </w:pPr>
            <w:r>
              <w:rPr>
                <w:sz w:val="18"/>
                <w:szCs w:val="18"/>
              </w:rPr>
              <w:t>２０　　年</w:t>
            </w:r>
            <w:r>
              <w:rPr>
                <w:rFonts w:hint="eastAsia"/>
                <w:sz w:val="18"/>
                <w:szCs w:val="18"/>
              </w:rPr>
              <w:t>　１</w:t>
            </w:r>
            <w:r>
              <w:rPr>
                <w:sz w:val="18"/>
                <w:szCs w:val="18"/>
              </w:rPr>
              <w:t>－　月</w:t>
            </w:r>
          </w:p>
        </w:tc>
        <w:tc>
          <w:tcPr>
            <w:tcW w:w="875" w:type="dxa"/>
            <w:tcMar>
              <w:left w:w="0" w:type="dxa"/>
              <w:right w:w="0" w:type="dxa"/>
            </w:tcMar>
            <w:vAlign w:val="center"/>
          </w:tcPr>
          <w:p>
            <w:pPr>
              <w:spacing w:line="260" w:lineRule="exact"/>
              <w:rPr>
                <w:sz w:val="18"/>
                <w:szCs w:val="18"/>
              </w:rPr>
            </w:pPr>
            <w:r>
              <w:rPr>
                <w:sz w:val="18"/>
                <w:szCs w:val="18"/>
              </w:rPr>
              <w:t>有效期至：</w:t>
            </w:r>
          </w:p>
        </w:tc>
        <w:tc>
          <w:tcPr>
            <w:tcW w:w="1911" w:type="dxa"/>
            <w:vAlign w:val="center"/>
          </w:tcPr>
          <w:p>
            <w:pPr>
              <w:spacing w:line="260" w:lineRule="exact"/>
              <w:jc w:val="distribute"/>
              <w:rPr>
                <w:rFonts w:hint="default" w:eastAsia="宋体"/>
                <w:sz w:val="18"/>
                <w:szCs w:val="18"/>
                <w:lang w:val="en-US" w:eastAsia="zh-CN"/>
              </w:rPr>
            </w:pPr>
            <w:r>
              <w:rPr>
                <w:rFonts w:hint="default"/>
                <w:sz w:val="18"/>
                <w:szCs w:val="18"/>
                <w:lang w:val="en-US" w:eastAsia="zh-CN"/>
              </w:rPr>
              <w:t>２０２</w:t>
            </w:r>
            <w:r>
              <w:rPr>
                <w:rFonts w:hint="eastAsia"/>
                <w:sz w:val="18"/>
                <w:szCs w:val="18"/>
                <w:lang w:val="en-US" w:eastAsia="zh-CN"/>
              </w:rPr>
              <w:t>7</w:t>
            </w:r>
            <w:r>
              <w:rPr>
                <w:rFonts w:hint="default"/>
                <w:sz w:val="18"/>
                <w:szCs w:val="18"/>
                <w:lang w:val="en-US" w:eastAsia="zh-CN"/>
              </w:rPr>
              <w:t>年１月</w:t>
            </w:r>
          </w:p>
        </w:tc>
      </w:tr>
    </w:tbl>
    <w:p>
      <w:pPr>
        <w:spacing w:line="20" w:lineRule="exact"/>
        <w:rPr>
          <w:sz w:val="18"/>
          <w:szCs w:val="18"/>
        </w:rPr>
      </w:pPr>
    </w:p>
    <w:tbl>
      <w:tblPr>
        <w:tblStyle w:val="17"/>
        <w:tblW w:w="0" w:type="auto"/>
        <w:jc w:val="center"/>
        <w:tblLayout w:type="fixed"/>
        <w:tblCellMar>
          <w:top w:w="0" w:type="dxa"/>
          <w:left w:w="0" w:type="dxa"/>
          <w:bottom w:w="0" w:type="dxa"/>
          <w:right w:w="0" w:type="dxa"/>
        </w:tblCellMar>
      </w:tblPr>
      <w:tblGrid>
        <w:gridCol w:w="554"/>
        <w:gridCol w:w="503"/>
        <w:gridCol w:w="506"/>
        <w:gridCol w:w="783"/>
        <w:gridCol w:w="783"/>
        <w:gridCol w:w="783"/>
        <w:gridCol w:w="783"/>
        <w:gridCol w:w="783"/>
        <w:gridCol w:w="783"/>
        <w:gridCol w:w="783"/>
        <w:gridCol w:w="783"/>
        <w:gridCol w:w="783"/>
        <w:gridCol w:w="802"/>
      </w:tblGrid>
      <w:tr>
        <w:trPr>
          <w:trHeight w:val="454" w:hRule="atLeast"/>
          <w:jc w:val="center"/>
        </w:trPr>
        <w:tc>
          <w:tcPr>
            <w:tcW w:w="554" w:type="dxa"/>
            <w:vMerge w:val="restart"/>
            <w:tcBorders>
              <w:top w:val="single" w:color="auto" w:sz="8" w:space="0"/>
              <w:left w:val="nil"/>
              <w:bottom w:val="single" w:color="auto" w:sz="2" w:space="0"/>
              <w:right w:val="single" w:color="auto" w:sz="2" w:space="0"/>
            </w:tcBorders>
            <w:noWrap w:val="0"/>
            <w:vAlign w:val="center"/>
          </w:tcPr>
          <w:p>
            <w:pPr>
              <w:widowControl/>
              <w:adjustRightInd w:val="0"/>
              <w:spacing w:line="240" w:lineRule="exact"/>
              <w:jc w:val="center"/>
              <w:rPr>
                <w:bCs/>
                <w:sz w:val="18"/>
                <w:szCs w:val="18"/>
              </w:rPr>
            </w:pPr>
            <w:r>
              <w:rPr>
                <w:bCs/>
                <w:sz w:val="18"/>
                <w:szCs w:val="18"/>
              </w:rPr>
              <w:t>能源               名称</w:t>
            </w:r>
          </w:p>
        </w:tc>
        <w:tc>
          <w:tcPr>
            <w:tcW w:w="503" w:type="dxa"/>
            <w:vMerge w:val="restart"/>
            <w:tcBorders>
              <w:top w:val="single" w:color="auto" w:sz="8"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bCs/>
                <w:sz w:val="18"/>
                <w:szCs w:val="18"/>
              </w:rPr>
              <w:t>计量  单位</w:t>
            </w:r>
          </w:p>
        </w:tc>
        <w:tc>
          <w:tcPr>
            <w:tcW w:w="506" w:type="dxa"/>
            <w:vMerge w:val="restart"/>
            <w:tcBorders>
              <w:top w:val="single" w:color="auto" w:sz="8"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r>
              <w:rPr>
                <w:bCs/>
                <w:sz w:val="18"/>
                <w:szCs w:val="18"/>
              </w:rPr>
              <w:t>代码</w:t>
            </w:r>
          </w:p>
        </w:tc>
        <w:tc>
          <w:tcPr>
            <w:tcW w:w="783" w:type="dxa"/>
            <w:vMerge w:val="restart"/>
            <w:tcBorders>
              <w:top w:val="single" w:color="auto" w:sz="8"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bCs/>
                <w:sz w:val="18"/>
                <w:szCs w:val="18"/>
              </w:rPr>
              <w:t>年初</w:t>
            </w:r>
          </w:p>
          <w:p>
            <w:pPr>
              <w:adjustRightInd w:val="0"/>
              <w:spacing w:line="240" w:lineRule="exact"/>
              <w:jc w:val="center"/>
              <w:rPr>
                <w:bCs/>
                <w:sz w:val="18"/>
                <w:szCs w:val="18"/>
              </w:rPr>
            </w:pPr>
            <w:r>
              <w:rPr>
                <w:bCs/>
                <w:sz w:val="18"/>
                <w:szCs w:val="18"/>
              </w:rPr>
              <w:t>库存量</w:t>
            </w:r>
          </w:p>
        </w:tc>
        <w:tc>
          <w:tcPr>
            <w:tcW w:w="4698" w:type="dxa"/>
            <w:gridSpan w:val="6"/>
            <w:tcBorders>
              <w:top w:val="single" w:color="auto" w:sz="8"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rFonts w:hint="eastAsia"/>
                <w:bCs/>
                <w:sz w:val="18"/>
                <w:szCs w:val="18"/>
              </w:rPr>
              <w:t>1</w:t>
            </w:r>
            <w:r>
              <w:rPr>
                <w:bCs/>
                <w:sz w:val="18"/>
                <w:szCs w:val="18"/>
              </w:rPr>
              <w:t>-本月</w:t>
            </w:r>
          </w:p>
        </w:tc>
        <w:tc>
          <w:tcPr>
            <w:tcW w:w="783" w:type="dxa"/>
            <w:vMerge w:val="restart"/>
            <w:tcBorders>
              <w:top w:val="single" w:color="auto" w:sz="8" w:space="0"/>
              <w:left w:val="single" w:color="auto" w:sz="2" w:space="0"/>
              <w:bottom w:val="single" w:color="auto" w:sz="2" w:space="0"/>
            </w:tcBorders>
            <w:noWrap w:val="0"/>
            <w:vAlign w:val="center"/>
          </w:tcPr>
          <w:p>
            <w:pPr>
              <w:widowControl/>
              <w:adjustRightInd w:val="0"/>
              <w:spacing w:line="240" w:lineRule="exact"/>
              <w:jc w:val="center"/>
              <w:rPr>
                <w:bCs/>
                <w:sz w:val="18"/>
                <w:szCs w:val="18"/>
              </w:rPr>
            </w:pPr>
            <w:r>
              <w:rPr>
                <w:bCs/>
                <w:sz w:val="18"/>
                <w:szCs w:val="18"/>
              </w:rPr>
              <w:t xml:space="preserve">期  末         </w:t>
            </w:r>
            <w:r>
              <w:rPr>
                <w:bCs/>
                <w:sz w:val="18"/>
              </w:rPr>
              <w:t>库存量</w:t>
            </w:r>
          </w:p>
        </w:tc>
        <w:tc>
          <w:tcPr>
            <w:tcW w:w="783" w:type="dxa"/>
            <w:vMerge w:val="restart"/>
            <w:tcBorders>
              <w:top w:val="single" w:color="auto" w:sz="8" w:space="0"/>
              <w:left w:val="single" w:color="auto" w:sz="2" w:space="0"/>
              <w:bottom w:val="single" w:color="auto" w:sz="2" w:space="0"/>
            </w:tcBorders>
            <w:noWrap w:val="0"/>
            <w:vAlign w:val="center"/>
          </w:tcPr>
          <w:p>
            <w:pPr>
              <w:widowControl/>
              <w:adjustRightInd w:val="0"/>
              <w:spacing w:line="240" w:lineRule="exact"/>
              <w:jc w:val="center"/>
              <w:rPr>
                <w:bCs/>
                <w:sz w:val="18"/>
                <w:szCs w:val="18"/>
              </w:rPr>
            </w:pPr>
            <w:r>
              <w:rPr>
                <w:bCs/>
                <w:sz w:val="18"/>
                <w:szCs w:val="18"/>
              </w:rPr>
              <w:t>采用折标</w:t>
            </w:r>
          </w:p>
          <w:p>
            <w:pPr>
              <w:widowControl/>
              <w:adjustRightInd w:val="0"/>
              <w:spacing w:line="240" w:lineRule="exact"/>
              <w:jc w:val="center"/>
              <w:rPr>
                <w:bCs/>
                <w:sz w:val="18"/>
                <w:szCs w:val="18"/>
              </w:rPr>
            </w:pPr>
            <w:r>
              <w:rPr>
                <w:bCs/>
                <w:sz w:val="18"/>
                <w:szCs w:val="18"/>
              </w:rPr>
              <w:t>系    数</w:t>
            </w:r>
          </w:p>
        </w:tc>
        <w:tc>
          <w:tcPr>
            <w:tcW w:w="802" w:type="dxa"/>
            <w:vMerge w:val="restart"/>
            <w:tcBorders>
              <w:top w:val="single" w:color="auto" w:sz="8" w:space="0"/>
              <w:left w:val="single" w:color="auto" w:sz="2" w:space="0"/>
              <w:bottom w:val="single" w:color="auto" w:sz="2" w:space="0"/>
            </w:tcBorders>
            <w:noWrap w:val="0"/>
            <w:vAlign w:val="center"/>
          </w:tcPr>
          <w:p>
            <w:pPr>
              <w:widowControl/>
              <w:adjustRightInd w:val="0"/>
              <w:spacing w:line="240" w:lineRule="exact"/>
              <w:jc w:val="center"/>
              <w:rPr>
                <w:bCs/>
                <w:sz w:val="18"/>
                <w:szCs w:val="18"/>
              </w:rPr>
            </w:pPr>
            <w:r>
              <w:rPr>
                <w:bCs/>
                <w:sz w:val="18"/>
                <w:szCs w:val="18"/>
              </w:rPr>
              <w:t>参考折标系    数</w:t>
            </w:r>
          </w:p>
        </w:tc>
      </w:tr>
      <w:tr>
        <w:trPr>
          <w:trHeight w:val="20" w:hRule="atLeast"/>
          <w:jc w:val="center"/>
        </w:trPr>
        <w:tc>
          <w:tcPr>
            <w:tcW w:w="554" w:type="dxa"/>
            <w:vMerge w:val="continue"/>
            <w:tcBorders>
              <w:top w:val="single" w:color="auto" w:sz="2" w:space="0"/>
              <w:left w:val="nil"/>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50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506"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vMerge w:val="restart"/>
            <w:tcBorders>
              <w:top w:val="single" w:color="auto" w:sz="2" w:space="0"/>
              <w:left w:val="single" w:color="auto" w:sz="2" w:space="0"/>
              <w:bottom w:val="single" w:color="auto" w:sz="2" w:space="0"/>
            </w:tcBorders>
            <w:noWrap w:val="0"/>
            <w:vAlign w:val="center"/>
          </w:tcPr>
          <w:p>
            <w:pPr>
              <w:adjustRightInd w:val="0"/>
              <w:spacing w:line="240" w:lineRule="exact"/>
              <w:jc w:val="center"/>
              <w:rPr>
                <w:bCs/>
                <w:sz w:val="18"/>
                <w:szCs w:val="18"/>
              </w:rPr>
            </w:pPr>
            <w:r>
              <w:rPr>
                <w:rFonts w:hint="eastAsia"/>
                <w:bCs/>
                <w:sz w:val="18"/>
                <w:szCs w:val="18"/>
              </w:rPr>
              <w:t>购进量</w:t>
            </w:r>
          </w:p>
        </w:tc>
        <w:tc>
          <w:tcPr>
            <w:tcW w:w="783" w:type="dxa"/>
            <w:tcBorders>
              <w:top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vMerge w:val="restart"/>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rFonts w:hint="eastAsia"/>
                <w:bCs/>
                <w:sz w:val="18"/>
                <w:szCs w:val="18"/>
              </w:rPr>
              <w:t>购进金额</w:t>
            </w:r>
          </w:p>
          <w:p>
            <w:pPr>
              <w:adjustRightInd w:val="0"/>
              <w:spacing w:line="240" w:lineRule="exact"/>
              <w:jc w:val="center"/>
              <w:rPr>
                <w:rFonts w:hint="eastAsia"/>
                <w:bCs/>
                <w:sz w:val="18"/>
                <w:szCs w:val="18"/>
              </w:rPr>
            </w:pPr>
            <w:r>
              <w:rPr>
                <w:rFonts w:hint="eastAsia"/>
                <w:bCs/>
                <w:sz w:val="18"/>
                <w:szCs w:val="18"/>
              </w:rPr>
              <w:t>（千元）</w:t>
            </w:r>
          </w:p>
        </w:tc>
        <w:tc>
          <w:tcPr>
            <w:tcW w:w="783" w:type="dxa"/>
            <w:vMerge w:val="restart"/>
            <w:tcBorders>
              <w:top w:val="single" w:color="auto" w:sz="2" w:space="0"/>
              <w:left w:val="single" w:color="auto" w:sz="2" w:space="0"/>
              <w:bottom w:val="single" w:color="auto" w:sz="2" w:space="0"/>
            </w:tcBorders>
            <w:noWrap w:val="0"/>
            <w:vAlign w:val="center"/>
          </w:tcPr>
          <w:p>
            <w:pPr>
              <w:adjustRightInd w:val="0"/>
              <w:spacing w:line="240" w:lineRule="exact"/>
              <w:jc w:val="center"/>
              <w:rPr>
                <w:bCs/>
                <w:sz w:val="18"/>
                <w:szCs w:val="18"/>
              </w:rPr>
            </w:pPr>
            <w:r>
              <w:rPr>
                <w:rFonts w:hint="eastAsia"/>
                <w:bCs/>
                <w:sz w:val="18"/>
                <w:szCs w:val="18"/>
              </w:rPr>
              <w:t>工  业</w:t>
            </w:r>
          </w:p>
          <w:p>
            <w:pPr>
              <w:adjustRightInd w:val="0"/>
              <w:spacing w:line="240" w:lineRule="exact"/>
              <w:jc w:val="center"/>
              <w:rPr>
                <w:bCs/>
                <w:sz w:val="18"/>
                <w:szCs w:val="18"/>
              </w:rPr>
            </w:pPr>
            <w:r>
              <w:rPr>
                <w:rFonts w:hint="eastAsia"/>
                <w:bCs/>
                <w:sz w:val="18"/>
                <w:szCs w:val="18"/>
              </w:rPr>
              <w:t>生  产</w:t>
            </w:r>
          </w:p>
          <w:p>
            <w:pPr>
              <w:adjustRightInd w:val="0"/>
              <w:spacing w:line="240" w:lineRule="exact"/>
              <w:jc w:val="center"/>
              <w:rPr>
                <w:bCs/>
                <w:sz w:val="18"/>
                <w:szCs w:val="18"/>
              </w:rPr>
            </w:pPr>
            <w:r>
              <w:rPr>
                <w:rFonts w:hint="eastAsia"/>
                <w:bCs/>
                <w:sz w:val="18"/>
                <w:szCs w:val="18"/>
              </w:rPr>
              <w:t>消费量</w:t>
            </w:r>
          </w:p>
        </w:tc>
        <w:tc>
          <w:tcPr>
            <w:tcW w:w="1566" w:type="dxa"/>
            <w:gridSpan w:val="2"/>
            <w:tcBorders>
              <w:top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802" w:type="dxa"/>
            <w:vMerge w:val="continue"/>
            <w:tcBorders>
              <w:top w:val="single" w:color="auto" w:sz="2" w:space="0"/>
              <w:left w:val="single" w:color="auto" w:sz="2" w:space="0"/>
              <w:bottom w:val="single" w:color="auto" w:sz="2" w:space="0"/>
            </w:tcBorders>
            <w:noWrap w:val="0"/>
            <w:vAlign w:val="center"/>
          </w:tcPr>
          <w:p>
            <w:pPr>
              <w:widowControl/>
              <w:adjustRightInd w:val="0"/>
              <w:spacing w:line="240" w:lineRule="exact"/>
              <w:jc w:val="center"/>
              <w:rPr>
                <w:bCs/>
                <w:sz w:val="18"/>
                <w:szCs w:val="18"/>
              </w:rPr>
            </w:pPr>
          </w:p>
        </w:tc>
      </w:tr>
      <w:tr>
        <w:trPr>
          <w:trHeight w:val="640" w:hRule="atLeast"/>
          <w:jc w:val="center"/>
        </w:trPr>
        <w:tc>
          <w:tcPr>
            <w:tcW w:w="554" w:type="dxa"/>
            <w:vMerge w:val="continue"/>
            <w:tcBorders>
              <w:top w:val="single" w:color="auto" w:sz="2" w:space="0"/>
              <w:left w:val="nil"/>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50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506"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rFonts w:hint="eastAsia"/>
                <w:bCs/>
                <w:sz w:val="18"/>
                <w:szCs w:val="18"/>
              </w:rPr>
              <w:t>购自</w:t>
            </w:r>
          </w:p>
          <w:p>
            <w:pPr>
              <w:adjustRightInd w:val="0"/>
              <w:spacing w:line="240" w:lineRule="exact"/>
              <w:jc w:val="center"/>
              <w:rPr>
                <w:bCs/>
                <w:sz w:val="18"/>
                <w:szCs w:val="18"/>
              </w:rPr>
            </w:pPr>
            <w:r>
              <w:rPr>
                <w:rFonts w:hint="eastAsia"/>
                <w:bCs/>
                <w:sz w:val="18"/>
                <w:szCs w:val="18"/>
              </w:rPr>
              <w:t>省外</w:t>
            </w: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p>
        </w:tc>
        <w:tc>
          <w:tcPr>
            <w:tcW w:w="783" w:type="dxa"/>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bCs/>
                <w:sz w:val="18"/>
                <w:szCs w:val="18"/>
              </w:rPr>
              <w:t>用  于      原材料</w:t>
            </w:r>
          </w:p>
        </w:tc>
        <w:tc>
          <w:tcPr>
            <w:tcW w:w="783" w:type="dxa"/>
            <w:tcBorders>
              <w:top w:val="single" w:color="auto" w:sz="2" w:space="0"/>
              <w:left w:val="single" w:color="auto" w:sz="2" w:space="0"/>
              <w:bottom w:val="single" w:color="auto" w:sz="2" w:space="0"/>
              <w:right w:val="single" w:color="auto" w:sz="2" w:space="0"/>
            </w:tcBorders>
            <w:noWrap w:val="0"/>
            <w:vAlign w:val="center"/>
          </w:tcPr>
          <w:p>
            <w:pPr>
              <w:adjustRightInd w:val="0"/>
              <w:spacing w:line="240" w:lineRule="exact"/>
              <w:jc w:val="center"/>
              <w:rPr>
                <w:bCs/>
                <w:sz w:val="18"/>
                <w:szCs w:val="18"/>
              </w:rPr>
            </w:pPr>
            <w:r>
              <w:rPr>
                <w:bCs/>
                <w:sz w:val="18"/>
                <w:szCs w:val="18"/>
              </w:rPr>
              <w:t>运输工</w:t>
            </w:r>
            <w:r>
              <w:rPr>
                <w:rFonts w:hint="eastAsia"/>
                <w:bCs/>
                <w:sz w:val="18"/>
                <w:szCs w:val="18"/>
              </w:rPr>
              <w:t xml:space="preserve">  </w:t>
            </w:r>
            <w:r>
              <w:rPr>
                <w:bCs/>
                <w:sz w:val="18"/>
                <w:szCs w:val="18"/>
              </w:rPr>
              <w:t>具消费</w:t>
            </w: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783" w:type="dxa"/>
            <w:vMerge w:val="continue"/>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802" w:type="dxa"/>
            <w:vMerge w:val="continue"/>
            <w:tcBorders>
              <w:top w:val="single" w:color="auto" w:sz="2" w:space="0"/>
              <w:left w:val="single" w:color="auto" w:sz="2" w:space="0"/>
              <w:bottom w:val="single" w:color="auto" w:sz="2" w:space="0"/>
            </w:tcBorders>
            <w:noWrap w:val="0"/>
            <w:vAlign w:val="center"/>
          </w:tcPr>
          <w:p>
            <w:pPr>
              <w:widowControl/>
              <w:adjustRightInd w:val="0"/>
              <w:spacing w:line="240" w:lineRule="exact"/>
              <w:jc w:val="center"/>
              <w:rPr>
                <w:bCs/>
                <w:sz w:val="18"/>
                <w:szCs w:val="18"/>
              </w:rPr>
            </w:pPr>
          </w:p>
        </w:tc>
      </w:tr>
      <w:tr>
        <w:trPr>
          <w:trHeight w:val="306" w:hRule="atLeast"/>
          <w:jc w:val="center"/>
        </w:trPr>
        <w:tc>
          <w:tcPr>
            <w:tcW w:w="554" w:type="dxa"/>
            <w:tcBorders>
              <w:top w:val="single" w:color="auto" w:sz="2" w:space="0"/>
              <w:left w:val="nil"/>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甲</w:t>
            </w:r>
          </w:p>
        </w:tc>
        <w:tc>
          <w:tcPr>
            <w:tcW w:w="50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乙</w:t>
            </w:r>
          </w:p>
        </w:tc>
        <w:tc>
          <w:tcPr>
            <w:tcW w:w="506"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丙</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1</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2</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3</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4</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5</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6</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7</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8</w:t>
            </w:r>
          </w:p>
        </w:tc>
        <w:tc>
          <w:tcPr>
            <w:tcW w:w="78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9</w:t>
            </w:r>
          </w:p>
        </w:tc>
        <w:tc>
          <w:tcPr>
            <w:tcW w:w="802" w:type="dxa"/>
            <w:tcBorders>
              <w:top w:val="single" w:color="auto" w:sz="2" w:space="0"/>
              <w:left w:val="single" w:color="auto" w:sz="2" w:space="0"/>
              <w:bottom w:val="single" w:color="auto" w:sz="2" w:space="0"/>
            </w:tcBorders>
            <w:noWrap w:val="0"/>
            <w:vAlign w:val="center"/>
          </w:tcPr>
          <w:p>
            <w:pPr>
              <w:widowControl/>
              <w:adjustRightInd w:val="0"/>
              <w:spacing w:line="240" w:lineRule="exact"/>
              <w:jc w:val="center"/>
              <w:textAlignment w:val="center"/>
              <w:rPr>
                <w:bCs/>
                <w:sz w:val="18"/>
                <w:szCs w:val="18"/>
              </w:rPr>
            </w:pPr>
            <w:r>
              <w:rPr>
                <w:bCs/>
                <w:sz w:val="18"/>
                <w:szCs w:val="18"/>
              </w:rPr>
              <w:t>丁</w:t>
            </w:r>
          </w:p>
        </w:tc>
      </w:tr>
      <w:tr>
        <w:trPr>
          <w:trHeight w:val="850" w:hRule="atLeast"/>
          <w:jc w:val="center"/>
        </w:trPr>
        <w:tc>
          <w:tcPr>
            <w:tcW w:w="554" w:type="dxa"/>
            <w:tcBorders>
              <w:top w:val="single" w:color="auto" w:sz="2" w:space="0"/>
              <w:left w:val="nil"/>
              <w:bottom w:val="single" w:color="auto" w:sz="2" w:space="0"/>
              <w:right w:val="single" w:color="auto" w:sz="2" w:space="0"/>
            </w:tcBorders>
            <w:noWrap w:val="0"/>
            <w:vAlign w:val="center"/>
          </w:tcPr>
          <w:p>
            <w:pPr>
              <w:widowControl/>
              <w:adjustRightInd w:val="0"/>
              <w:spacing w:line="240" w:lineRule="exact"/>
              <w:jc w:val="left"/>
              <w:rPr>
                <w:bCs/>
                <w:sz w:val="18"/>
                <w:szCs w:val="18"/>
              </w:rPr>
            </w:pPr>
          </w:p>
        </w:tc>
        <w:tc>
          <w:tcPr>
            <w:tcW w:w="503"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rPr>
                <w:bCs/>
                <w:spacing w:val="-4"/>
                <w:sz w:val="18"/>
                <w:szCs w:val="18"/>
              </w:rPr>
            </w:pPr>
          </w:p>
        </w:tc>
        <w:tc>
          <w:tcPr>
            <w:tcW w:w="506" w:type="dxa"/>
            <w:tcBorders>
              <w:top w:val="single" w:color="auto" w:sz="2" w:space="0"/>
              <w:left w:val="single" w:color="auto" w:sz="2" w:space="0"/>
              <w:bottom w:val="single" w:color="auto" w:sz="2" w:space="0"/>
              <w:right w:val="single" w:color="auto" w:sz="2" w:space="0"/>
            </w:tcBorders>
            <w:noWrap w:val="0"/>
            <w:vAlign w:val="center"/>
          </w:tcPr>
          <w:p>
            <w:pPr>
              <w:widowControl/>
              <w:adjustRightInd w:val="0"/>
              <w:spacing w:line="240" w:lineRule="exact"/>
              <w:jc w:val="center"/>
              <w:rPr>
                <w:bCs/>
                <w:sz w:val="18"/>
                <w:szCs w:val="18"/>
              </w:rPr>
            </w:pPr>
          </w:p>
        </w:tc>
        <w:tc>
          <w:tcPr>
            <w:tcW w:w="7047" w:type="dxa"/>
            <w:gridSpan w:val="9"/>
            <w:tcBorders>
              <w:top w:val="single" w:color="auto" w:sz="2" w:space="0"/>
              <w:left w:val="single" w:color="auto" w:sz="2" w:space="0"/>
              <w:bottom w:val="single" w:color="auto" w:sz="2" w:space="0"/>
            </w:tcBorders>
            <w:noWrap w:val="0"/>
            <w:vAlign w:val="center"/>
          </w:tcPr>
          <w:p>
            <w:pPr>
              <w:adjustRightInd w:val="0"/>
              <w:spacing w:line="240" w:lineRule="exact"/>
              <w:jc w:val="center"/>
              <w:rPr>
                <w:bCs/>
                <w:spacing w:val="-10"/>
                <w:sz w:val="18"/>
                <w:szCs w:val="18"/>
              </w:rPr>
            </w:pPr>
          </w:p>
        </w:tc>
        <w:tc>
          <w:tcPr>
            <w:tcW w:w="802" w:type="dxa"/>
            <w:tcBorders>
              <w:top w:val="single" w:color="auto" w:sz="2" w:space="0"/>
              <w:left w:val="single" w:color="auto" w:sz="2" w:space="0"/>
              <w:bottom w:val="single" w:color="auto" w:sz="2" w:space="0"/>
            </w:tcBorders>
            <w:noWrap w:val="0"/>
            <w:vAlign w:val="center"/>
          </w:tcPr>
          <w:p>
            <w:pPr>
              <w:adjustRightInd w:val="0"/>
              <w:spacing w:line="240" w:lineRule="exact"/>
              <w:jc w:val="center"/>
              <w:rPr>
                <w:bCs/>
                <w:spacing w:val="-10"/>
                <w:sz w:val="18"/>
                <w:szCs w:val="18"/>
              </w:rPr>
            </w:pPr>
          </w:p>
        </w:tc>
      </w:tr>
      <w:tr>
        <w:trPr>
          <w:trHeight w:val="1844" w:hRule="atLeast"/>
          <w:jc w:val="center"/>
        </w:trPr>
        <w:tc>
          <w:tcPr>
            <w:tcW w:w="9412" w:type="dxa"/>
            <w:gridSpan w:val="13"/>
            <w:tcBorders>
              <w:top w:val="single" w:color="auto" w:sz="2" w:space="0"/>
              <w:left w:val="nil"/>
              <w:bottom w:val="single" w:color="auto" w:sz="8" w:space="0"/>
            </w:tcBorders>
            <w:noWrap w:val="0"/>
            <w:vAlign w:val="center"/>
          </w:tcPr>
          <w:p>
            <w:pPr>
              <w:spacing w:line="260" w:lineRule="exact"/>
              <w:rPr>
                <w:bCs/>
                <w:sz w:val="18"/>
                <w:szCs w:val="18"/>
              </w:rPr>
            </w:pPr>
            <w:r>
              <w:rPr>
                <w:bCs/>
                <w:sz w:val="18"/>
                <w:szCs w:val="18"/>
              </w:rPr>
              <w:t>补充资料：</w:t>
            </w:r>
          </w:p>
          <w:p>
            <w:pPr>
              <w:spacing w:line="260" w:lineRule="exact"/>
              <w:ind w:firstLine="180" w:firstLineChars="100"/>
              <w:rPr>
                <w:sz w:val="18"/>
                <w:szCs w:val="18"/>
              </w:rPr>
            </w:pPr>
            <w:r>
              <w:rPr>
                <w:sz w:val="18"/>
                <w:szCs w:val="18"/>
              </w:rPr>
              <w:t>上年同期：</w:t>
            </w:r>
            <w:r>
              <w:rPr>
                <w:sz w:val="18"/>
                <w:szCs w:val="18"/>
                <w:shd w:val="clear" w:color="auto" w:fill="D9D9D9"/>
              </w:rPr>
              <w:t>综合能源消费量(41)</w:t>
            </w:r>
            <w:r>
              <w:rPr>
                <w:sz w:val="18"/>
                <w:szCs w:val="18"/>
                <w:u w:val="single"/>
                <w:shd w:val="clear" w:color="auto" w:fill="D9D9D9"/>
              </w:rPr>
              <w:t xml:space="preserve">　        </w:t>
            </w:r>
            <w:r>
              <w:rPr>
                <w:sz w:val="18"/>
                <w:szCs w:val="18"/>
                <w:shd w:val="clear" w:color="auto" w:fill="D9D9D9"/>
              </w:rPr>
              <w:t xml:space="preserve">吨标准煤          </w:t>
            </w:r>
            <w:r>
              <w:rPr>
                <w:rFonts w:hint="eastAsia"/>
                <w:sz w:val="18"/>
                <w:szCs w:val="18"/>
                <w:shd w:val="clear" w:color="auto" w:fill="D9D9D9"/>
              </w:rPr>
              <w:t>综合能源消费量（当月）</w:t>
            </w:r>
            <w:r>
              <w:rPr>
                <w:sz w:val="18"/>
                <w:szCs w:val="18"/>
                <w:shd w:val="clear" w:color="auto" w:fill="D9D9D9"/>
              </w:rPr>
              <w:t>(42)</w:t>
            </w:r>
            <w:r>
              <w:rPr>
                <w:sz w:val="18"/>
                <w:szCs w:val="18"/>
                <w:u w:val="single"/>
                <w:shd w:val="clear" w:color="auto" w:fill="D9D9D9"/>
              </w:rPr>
              <w:t xml:space="preserve">      </w:t>
            </w:r>
            <w:r>
              <w:rPr>
                <w:sz w:val="18"/>
                <w:szCs w:val="18"/>
                <w:shd w:val="clear" w:color="auto" w:fill="D9D9D9"/>
              </w:rPr>
              <w:t>吨</w:t>
            </w:r>
            <w:r>
              <w:rPr>
                <w:rFonts w:hint="eastAsia"/>
                <w:sz w:val="18"/>
                <w:szCs w:val="18"/>
                <w:shd w:val="clear" w:color="auto" w:fill="D9D9D9"/>
              </w:rPr>
              <w:t>标准煤</w:t>
            </w:r>
          </w:p>
          <w:p>
            <w:pPr>
              <w:spacing w:line="260" w:lineRule="exact"/>
              <w:rPr>
                <w:rFonts w:hint="eastAsia"/>
                <w:sz w:val="18"/>
                <w:szCs w:val="18"/>
                <w:shd w:val="clear" w:color="auto" w:fill="D9D9D9"/>
              </w:rPr>
            </w:pPr>
            <w:r>
              <w:rPr>
                <w:sz w:val="18"/>
                <w:szCs w:val="18"/>
              </w:rPr>
              <w:t>　　　　  　</w:t>
            </w:r>
            <w:r>
              <w:rPr>
                <w:rFonts w:hint="default"/>
                <w:sz w:val="18"/>
                <w:szCs w:val="18"/>
                <w:shd w:val="clear" w:color="auto" w:fill="D9D9D9"/>
              </w:rPr>
              <w:t>用于原材料的原煤采用折标系数</w:t>
            </w:r>
            <w:r>
              <w:rPr>
                <w:sz w:val="18"/>
                <w:szCs w:val="18"/>
                <w:shd w:val="clear" w:color="auto" w:fill="D9D9D9"/>
              </w:rPr>
              <w:t>(43)</w:t>
            </w:r>
            <w:r>
              <w:rPr>
                <w:sz w:val="18"/>
                <w:szCs w:val="18"/>
                <w:u w:val="single"/>
                <w:shd w:val="clear" w:color="auto" w:fill="D9D9D9"/>
              </w:rPr>
              <w:t xml:space="preserve">　            </w:t>
            </w:r>
            <w:r>
              <w:rPr>
                <w:sz w:val="18"/>
                <w:szCs w:val="18"/>
                <w:shd w:val="clear" w:color="auto" w:fill="D9D9D9"/>
              </w:rPr>
              <w:t>吨</w:t>
            </w:r>
            <w:r>
              <w:rPr>
                <w:rFonts w:hint="eastAsia"/>
                <w:sz w:val="18"/>
                <w:szCs w:val="18"/>
                <w:shd w:val="clear" w:color="auto" w:fill="D9D9D9"/>
              </w:rPr>
              <w:t>标准煤/吨</w:t>
            </w:r>
          </w:p>
          <w:p>
            <w:pPr>
              <w:spacing w:line="260" w:lineRule="exact"/>
              <w:ind w:left="0" w:leftChars="0" w:firstLine="1080" w:firstLineChars="600"/>
              <w:rPr>
                <w:sz w:val="18"/>
                <w:szCs w:val="18"/>
              </w:rPr>
            </w:pPr>
            <w:r>
              <w:rPr>
                <w:rFonts w:hint="eastAsia"/>
                <w:sz w:val="18"/>
                <w:szCs w:val="18"/>
                <w:shd w:val="clear" w:color="auto" w:fill="D9D9D9"/>
              </w:rPr>
              <w:t>工业生产用于原材料的能源消费量合计</w:t>
            </w:r>
            <w:r>
              <w:rPr>
                <w:sz w:val="18"/>
                <w:szCs w:val="18"/>
                <w:shd w:val="clear" w:color="auto" w:fill="D9D9D9"/>
              </w:rPr>
              <w:t>(44)</w:t>
            </w:r>
            <w:r>
              <w:rPr>
                <w:rFonts w:hint="eastAsia"/>
                <w:sz w:val="18"/>
                <w:szCs w:val="18"/>
                <w:u w:val="single"/>
                <w:shd w:val="clear" w:color="auto" w:fill="D9D9D9"/>
              </w:rPr>
              <w:t>　</w:t>
            </w:r>
            <w:r>
              <w:rPr>
                <w:sz w:val="18"/>
                <w:szCs w:val="18"/>
                <w:u w:val="single"/>
                <w:shd w:val="clear" w:color="auto" w:fill="D9D9D9"/>
              </w:rPr>
              <w:t xml:space="preserve">     </w:t>
            </w:r>
            <w:r>
              <w:rPr>
                <w:rFonts w:hint="eastAsia"/>
                <w:sz w:val="18"/>
                <w:szCs w:val="18"/>
                <w:u w:val="single"/>
                <w:shd w:val="clear" w:color="auto" w:fill="D9D9D9"/>
                <w:lang w:val="en-US" w:eastAsia="zh-CN"/>
              </w:rPr>
              <w:t xml:space="preserve">  </w:t>
            </w:r>
            <w:r>
              <w:rPr>
                <w:sz w:val="18"/>
                <w:szCs w:val="18"/>
                <w:u w:val="single"/>
                <w:shd w:val="clear" w:color="auto" w:fill="D9D9D9"/>
              </w:rPr>
              <w:t xml:space="preserve"> </w:t>
            </w:r>
            <w:r>
              <w:rPr>
                <w:rFonts w:hint="eastAsia"/>
                <w:spacing w:val="6"/>
                <w:sz w:val="18"/>
                <w:szCs w:val="18"/>
                <w:shd w:val="clear" w:color="auto" w:fill="D9D9D9"/>
              </w:rPr>
              <w:t>吨标准煤</w:t>
            </w:r>
          </w:p>
          <w:p>
            <w:pPr>
              <w:spacing w:line="260" w:lineRule="exact"/>
              <w:ind w:firstLine="1080" w:firstLineChars="600"/>
              <w:rPr>
                <w:sz w:val="18"/>
                <w:szCs w:val="18"/>
              </w:rPr>
            </w:pPr>
            <w:r>
              <w:rPr>
                <w:sz w:val="18"/>
                <w:szCs w:val="18"/>
                <w:shd w:val="clear" w:color="auto" w:fill="D9D9D9"/>
              </w:rPr>
              <w:t>工业生产电力消费(45)</w:t>
            </w:r>
            <w:r>
              <w:rPr>
                <w:sz w:val="18"/>
                <w:szCs w:val="18"/>
                <w:u w:val="single"/>
                <w:shd w:val="clear" w:color="auto" w:fill="D9D9D9"/>
              </w:rPr>
              <w:t xml:space="preserve">　　    </w:t>
            </w:r>
            <w:r>
              <w:rPr>
                <w:sz w:val="18"/>
                <w:szCs w:val="18"/>
                <w:shd w:val="clear" w:color="auto" w:fill="D9D9D9"/>
              </w:rPr>
              <w:t xml:space="preserve">万千瓦时          </w:t>
            </w:r>
            <w:r>
              <w:rPr>
                <w:rFonts w:hint="eastAsia"/>
                <w:sz w:val="18"/>
                <w:szCs w:val="18"/>
                <w:shd w:val="clear" w:color="auto" w:fill="D9D9D9"/>
                <w:lang w:val="en-US" w:eastAsia="zh-CN"/>
              </w:rPr>
              <w:t>火力发电</w:t>
            </w:r>
            <w:r>
              <w:rPr>
                <w:sz w:val="18"/>
                <w:szCs w:val="18"/>
                <w:shd w:val="clear" w:color="auto" w:fill="D9D9D9"/>
              </w:rPr>
              <w:t>产出(46)</w:t>
            </w:r>
            <w:r>
              <w:rPr>
                <w:sz w:val="18"/>
                <w:szCs w:val="18"/>
                <w:u w:val="single"/>
                <w:shd w:val="clear" w:color="auto" w:fill="D9D9D9"/>
              </w:rPr>
              <w:t xml:space="preserve">　              </w:t>
            </w:r>
            <w:r>
              <w:rPr>
                <w:sz w:val="18"/>
                <w:szCs w:val="18"/>
                <w:shd w:val="clear" w:color="auto" w:fill="D9D9D9"/>
              </w:rPr>
              <w:t>万千瓦时</w:t>
            </w:r>
          </w:p>
          <w:p>
            <w:pPr>
              <w:spacing w:line="260" w:lineRule="exact"/>
              <w:ind w:firstLine="1080" w:firstLineChars="600"/>
              <w:rPr>
                <w:sz w:val="18"/>
                <w:szCs w:val="18"/>
              </w:rPr>
            </w:pPr>
            <w:r>
              <w:rPr>
                <w:sz w:val="18"/>
                <w:szCs w:val="18"/>
                <w:shd w:val="clear" w:color="auto" w:fill="D9D9D9"/>
              </w:rPr>
              <w:t>火力发电投入(47)</w:t>
            </w:r>
            <w:r>
              <w:rPr>
                <w:sz w:val="18"/>
                <w:szCs w:val="18"/>
                <w:u w:val="single"/>
                <w:shd w:val="clear" w:color="auto" w:fill="D9D9D9"/>
              </w:rPr>
              <w:t xml:space="preserve">　      　  </w:t>
            </w:r>
            <w:r>
              <w:rPr>
                <w:sz w:val="18"/>
                <w:szCs w:val="18"/>
                <w:shd w:val="clear" w:color="auto" w:fill="D9D9D9"/>
              </w:rPr>
              <w:t>吨标准煤</w:t>
            </w:r>
            <w:r>
              <w:rPr>
                <w:sz w:val="18"/>
                <w:szCs w:val="18"/>
              </w:rPr>
              <w:t xml:space="preserve">                    </w:t>
            </w:r>
          </w:p>
          <w:p>
            <w:pPr>
              <w:adjustRightInd w:val="0"/>
              <w:spacing w:line="260" w:lineRule="exact"/>
              <w:ind w:firstLine="180" w:firstLineChars="100"/>
              <w:rPr>
                <w:sz w:val="18"/>
                <w:szCs w:val="18"/>
              </w:rPr>
            </w:pPr>
            <w:r>
              <w:rPr>
                <w:sz w:val="18"/>
                <w:szCs w:val="18"/>
              </w:rPr>
              <w:t>本    期：综合能源消费量(48)</w:t>
            </w:r>
            <w:r>
              <w:rPr>
                <w:sz w:val="18"/>
                <w:szCs w:val="18"/>
                <w:u w:val="single"/>
              </w:rPr>
              <w:t xml:space="preserve">　        </w:t>
            </w:r>
            <w:r>
              <w:rPr>
                <w:sz w:val="18"/>
                <w:szCs w:val="18"/>
              </w:rPr>
              <w:t xml:space="preserve">吨标准煤          </w:t>
            </w:r>
            <w:r>
              <w:rPr>
                <w:rFonts w:hint="eastAsia"/>
                <w:sz w:val="18"/>
                <w:szCs w:val="18"/>
              </w:rPr>
              <w:t>综合能源消费量（当月）</w:t>
            </w:r>
            <w:r>
              <w:rPr>
                <w:sz w:val="18"/>
                <w:szCs w:val="18"/>
              </w:rPr>
              <w:t>(49)</w:t>
            </w:r>
            <w:r>
              <w:rPr>
                <w:sz w:val="18"/>
                <w:szCs w:val="18"/>
                <w:u w:val="single"/>
              </w:rPr>
              <w:t xml:space="preserve">      </w:t>
            </w:r>
            <w:r>
              <w:rPr>
                <w:sz w:val="18"/>
                <w:szCs w:val="18"/>
              </w:rPr>
              <w:t>吨</w:t>
            </w:r>
            <w:r>
              <w:rPr>
                <w:rFonts w:hint="eastAsia"/>
                <w:sz w:val="18"/>
                <w:szCs w:val="18"/>
              </w:rPr>
              <w:t>标准煤</w:t>
            </w:r>
            <w:r>
              <w:rPr>
                <w:sz w:val="18"/>
                <w:szCs w:val="18"/>
              </w:rPr>
              <w:t xml:space="preserve">  </w:t>
            </w:r>
          </w:p>
          <w:p>
            <w:pPr>
              <w:adjustRightInd w:val="0"/>
              <w:spacing w:line="260" w:lineRule="exact"/>
              <w:ind w:firstLine="1080" w:firstLineChars="600"/>
              <w:jc w:val="left"/>
              <w:rPr>
                <w:sz w:val="18"/>
                <w:szCs w:val="18"/>
              </w:rPr>
            </w:pPr>
            <w:r>
              <w:rPr>
                <w:rFonts w:hint="eastAsia"/>
                <w:sz w:val="18"/>
                <w:szCs w:val="18"/>
              </w:rPr>
              <w:t>用于原材料的原煤采用折标系数</w:t>
            </w:r>
            <w:r>
              <w:rPr>
                <w:rFonts w:hint="default" w:ascii="Times New Roman" w:hAnsi="Times New Roman"/>
                <w:sz w:val="18"/>
                <w:szCs w:val="18"/>
              </w:rPr>
              <w:t>(50)</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r>
              <w:rPr>
                <w:rFonts w:hint="eastAsia"/>
                <w:sz w:val="18"/>
                <w:szCs w:val="18"/>
              </w:rPr>
              <w:t>吨标准煤/吨</w:t>
            </w:r>
          </w:p>
        </w:tc>
      </w:tr>
    </w:tbl>
    <w:p>
      <w:pPr>
        <w:tabs>
          <w:tab w:val="left" w:pos="5430"/>
        </w:tabs>
        <w:adjustRightInd w:val="0"/>
        <w:spacing w:before="72" w:beforeLines="30"/>
        <w:ind w:firstLine="90" w:firstLineChars="50"/>
        <w:rPr>
          <w:rFonts w:ascii="宋体" w:hAnsi="宋体"/>
          <w:spacing w:val="-4"/>
          <w:sz w:val="18"/>
          <w:szCs w:val="18"/>
        </w:rPr>
      </w:pPr>
      <w:r>
        <w:rPr>
          <w:rFonts w:hint="eastAsia" w:ascii="宋体"/>
          <w:sz w:val="18"/>
          <w:szCs w:val="18"/>
        </w:rPr>
        <w:t>单位负责人：</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rPr>
        <w:t>统计负责人：</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rPr>
        <w:t>填表人：</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联系电话</w:t>
      </w:r>
      <w:r>
        <w:rPr>
          <w:rFonts w:hint="eastAsia" w:ascii="宋体"/>
          <w:sz w:val="18"/>
          <w:szCs w:val="18"/>
        </w:rPr>
        <w:t>：</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rPr>
        <w:t xml:space="preserve">报出日期：２０  </w:t>
      </w:r>
      <w:r>
        <w:rPr>
          <w:rFonts w:hint="eastAsia" w:ascii="宋体"/>
          <w:sz w:val="18"/>
          <w:szCs w:val="18"/>
          <w:shd w:val="clear" w:color="auto" w:fill="FFFFFF"/>
        </w:rPr>
        <w:t>　</w:t>
      </w:r>
      <w:r>
        <w:rPr>
          <w:rFonts w:hint="eastAsia" w:ascii="宋体"/>
          <w:sz w:val="18"/>
          <w:szCs w:val="18"/>
        </w:rPr>
        <w:t>年</w:t>
      </w:r>
      <w:r>
        <w:rPr>
          <w:rFonts w:hint="eastAsia" w:ascii="宋体"/>
          <w:sz w:val="18"/>
          <w:szCs w:val="18"/>
          <w:shd w:val="clear" w:color="auto" w:fill="FFFFFF"/>
        </w:rPr>
        <w:t>　</w:t>
      </w:r>
      <w:r>
        <w:rPr>
          <w:rFonts w:hint="eastAsia" w:ascii="宋体"/>
          <w:sz w:val="18"/>
          <w:szCs w:val="18"/>
        </w:rPr>
        <w:t>月</w:t>
      </w:r>
      <w:r>
        <w:rPr>
          <w:rFonts w:ascii="宋体"/>
          <w:sz w:val="18"/>
          <w:szCs w:val="18"/>
          <w:shd w:val="clear" w:color="auto" w:fill="FFFFFF"/>
        </w:rPr>
        <w:t xml:space="preserve">  </w:t>
      </w:r>
      <w:r>
        <w:rPr>
          <w:rFonts w:hint="eastAsia" w:ascii="宋体"/>
          <w:sz w:val="18"/>
          <w:szCs w:val="18"/>
        </w:rPr>
        <w:t>日</w:t>
      </w:r>
    </w:p>
    <w:p>
      <w:pPr>
        <w:spacing w:line="260" w:lineRule="exact"/>
        <w:rPr>
          <w:rFonts w:hint="eastAsia" w:ascii="宋体" w:hAnsi="宋体"/>
          <w:sz w:val="18"/>
        </w:rPr>
      </w:pPr>
    </w:p>
    <w:p>
      <w:pPr>
        <w:spacing w:line="260" w:lineRule="exact"/>
        <w:rPr>
          <w:rFonts w:hint="eastAsia" w:asciiTheme="minorEastAsia" w:hAnsiTheme="minorEastAsia" w:eastAsiaTheme="minorEastAsia" w:cstheme="minorEastAsia"/>
          <w:kern w:val="0"/>
          <w:sz w:val="18"/>
          <w:szCs w:val="18"/>
        </w:rPr>
      </w:pPr>
      <w:r>
        <w:rPr>
          <w:rFonts w:hint="eastAsia" w:ascii="宋体" w:hAnsi="宋体"/>
          <w:b w:val="0"/>
          <w:bCs/>
          <w:spacing w:val="-4"/>
          <w:sz w:val="18"/>
          <w:szCs w:val="18"/>
        </w:rPr>
        <w:t>说明：</w:t>
      </w:r>
      <w:r>
        <w:rPr>
          <w:rFonts w:hint="eastAsia" w:asciiTheme="minorEastAsia" w:hAnsiTheme="minorEastAsia" w:eastAsiaTheme="minorEastAsia" w:cstheme="minorEastAsia"/>
          <w:kern w:val="0"/>
          <w:sz w:val="18"/>
          <w:szCs w:val="18"/>
        </w:rPr>
        <w:t>1.报送单位：辖区内规模以上工业法人单位</w:t>
      </w:r>
      <w:r>
        <w:rPr>
          <w:rFonts w:hint="eastAsia" w:asciiTheme="minorEastAsia" w:hAnsiTheme="minorEastAsia" w:eastAsiaTheme="minorEastAsia" w:cstheme="minorEastAsia"/>
          <w:sz w:val="18"/>
        </w:rPr>
        <w:t>和规模以上</w:t>
      </w:r>
      <w:r>
        <w:rPr>
          <w:rFonts w:hint="eastAsia" w:asciiTheme="minorEastAsia" w:hAnsiTheme="minorEastAsia" w:eastAsiaTheme="minorEastAsia" w:cstheme="minorEastAsia"/>
          <w:sz w:val="18"/>
          <w:lang w:eastAsia="zh-CN"/>
        </w:rPr>
        <w:t>工业</w:t>
      </w:r>
      <w:r>
        <w:rPr>
          <w:rFonts w:hint="eastAsia" w:asciiTheme="minorEastAsia" w:hAnsiTheme="minorEastAsia" w:eastAsiaTheme="minorEastAsia" w:cstheme="minorEastAsia"/>
          <w:sz w:val="18"/>
        </w:rPr>
        <w:t>个体经营户</w:t>
      </w:r>
      <w:r>
        <w:rPr>
          <w:rFonts w:hint="eastAsia" w:asciiTheme="minorEastAsia" w:hAnsiTheme="minorEastAsia" w:eastAsiaTheme="minorEastAsia" w:cstheme="minorEastAsia"/>
          <w:kern w:val="0"/>
          <w:sz w:val="18"/>
          <w:szCs w:val="18"/>
        </w:rPr>
        <w:t>。</w:t>
      </w:r>
    </w:p>
    <w:p>
      <w:pPr>
        <w:spacing w:line="240" w:lineRule="exact"/>
        <w:ind w:left="741" w:leftChars="259" w:hanging="198" w:hangingChars="110"/>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2.报送日期及方式：</w:t>
      </w:r>
      <w:r>
        <w:rPr>
          <w:rFonts w:hint="eastAsia" w:ascii="宋体" w:hAnsi="宋体" w:eastAsia="宋体" w:cs="宋体"/>
          <w:sz w:val="18"/>
          <w:szCs w:val="18"/>
        </w:rPr>
        <w:t>调查单位2、10月月后6日，6、7、8、11月月后7日，3、5、12月月后8日，4月月后9日，9月月后12日12：00前独立自行网上填报，1月免报</w:t>
      </w:r>
      <w:r>
        <w:rPr>
          <w:rFonts w:hint="eastAsia" w:asciiTheme="minorEastAsia" w:hAnsiTheme="minorEastAsia" w:eastAsiaTheme="minorEastAsia" w:cstheme="minorEastAsia"/>
          <w:kern w:val="0"/>
          <w:sz w:val="18"/>
          <w:szCs w:val="18"/>
        </w:rPr>
        <w:t>。</w:t>
      </w:r>
    </w:p>
    <w:p>
      <w:pPr>
        <w:spacing w:line="280" w:lineRule="exact"/>
        <w:ind w:left="2062" w:leftChars="245" w:hanging="1548" w:hangingChars="8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r>
        <w:rPr>
          <w:rFonts w:hint="eastAsia" w:asciiTheme="minorEastAsia" w:hAnsiTheme="minorEastAsia" w:eastAsiaTheme="minorEastAsia" w:cstheme="minorEastAsia"/>
          <w:bCs/>
          <w:spacing w:val="-4"/>
          <w:sz w:val="18"/>
          <w:szCs w:val="18"/>
        </w:rPr>
        <w:t>本表</w:t>
      </w:r>
      <w:r>
        <w:rPr>
          <w:rFonts w:hint="eastAsia" w:asciiTheme="minorEastAsia" w:hAnsiTheme="minorEastAsia" w:eastAsiaTheme="minorEastAsia" w:cstheme="minorEastAsia"/>
          <w:bCs/>
          <w:sz w:val="18"/>
          <w:szCs w:val="18"/>
        </w:rPr>
        <w:t>甲栏下按《能源购进、消费与库存和能源加工转换与回收利用目录</w:t>
      </w:r>
      <w:r>
        <w:rPr>
          <w:rFonts w:hint="eastAsia" w:asciiTheme="minorEastAsia" w:hAnsiTheme="minorEastAsia" w:eastAsiaTheme="minorEastAsia" w:cstheme="minorEastAsia"/>
          <w:bCs/>
          <w:spacing w:val="8"/>
          <w:sz w:val="18"/>
          <w:szCs w:val="18"/>
        </w:rPr>
        <w:t>》</w:t>
      </w:r>
      <w:r>
        <w:rPr>
          <w:rFonts w:hint="eastAsia" w:asciiTheme="minorEastAsia" w:hAnsiTheme="minorEastAsia" w:eastAsiaTheme="minorEastAsia" w:cstheme="minorEastAsia"/>
          <w:bCs/>
          <w:sz w:val="18"/>
          <w:szCs w:val="18"/>
        </w:rPr>
        <w:t>填报。</w:t>
      </w:r>
    </w:p>
    <w:p>
      <w:pPr>
        <w:spacing w:line="280" w:lineRule="exact"/>
        <w:ind w:left="640" w:leftChars="245" w:hanging="126" w:hangingChars="7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Cs/>
          <w:sz w:val="18"/>
          <w:szCs w:val="18"/>
        </w:rPr>
        <w:t>4</w:t>
      </w:r>
      <w:r>
        <w:rPr>
          <w:rFonts w:hint="eastAsia" w:asciiTheme="minorEastAsia" w:hAnsiTheme="minorEastAsia" w:eastAsiaTheme="minorEastAsia" w:cstheme="minorEastAsia"/>
          <w:sz w:val="18"/>
          <w:szCs w:val="18"/>
        </w:rPr>
        <w:t>.</w:t>
      </w:r>
      <w:r>
        <w:rPr>
          <w:rFonts w:hint="eastAsia" w:ascii="宋体" w:hAnsi="宋体" w:eastAsia="宋体" w:cs="宋体"/>
          <w:kern w:val="0"/>
          <w:sz w:val="18"/>
          <w:szCs w:val="18"/>
        </w:rPr>
        <w:t>本</w:t>
      </w:r>
      <w:r>
        <w:rPr>
          <w:rFonts w:hint="eastAsia" w:ascii="宋体" w:hAnsi="宋体"/>
          <w:sz w:val="18"/>
          <w:szCs w:val="18"/>
        </w:rPr>
        <w:t>表中</w:t>
      </w:r>
      <w:r>
        <w:rPr>
          <w:rFonts w:hint="eastAsia" w:ascii="宋体" w:hAnsi="宋体"/>
          <w:sz w:val="18"/>
          <w:szCs w:val="18"/>
          <w:lang w:eastAsia="zh-CN"/>
        </w:rPr>
        <w:t>“</w:t>
      </w:r>
      <w:r>
        <w:rPr>
          <w:rFonts w:hint="eastAsia" w:ascii="宋体" w:hAnsi="宋体"/>
          <w:sz w:val="18"/>
          <w:szCs w:val="18"/>
        </w:rPr>
        <w:t>上年同期</w:t>
      </w:r>
      <w:r>
        <w:rPr>
          <w:rFonts w:hint="eastAsia" w:ascii="宋体" w:hAnsi="宋体"/>
          <w:sz w:val="18"/>
          <w:szCs w:val="18"/>
          <w:lang w:eastAsia="zh-CN"/>
        </w:rPr>
        <w:t>”</w:t>
      </w:r>
      <w:r>
        <w:rPr>
          <w:rFonts w:hint="eastAsia" w:ascii="宋体" w:hAnsi="宋体"/>
          <w:sz w:val="18"/>
          <w:szCs w:val="18"/>
        </w:rPr>
        <w:t>数据统一由国家统计局在数据处理软件中复制，调查单位和各级统计机构原则上不得修改；本</w:t>
      </w:r>
      <w:r>
        <w:rPr>
          <w:rFonts w:hint="eastAsia"/>
          <w:sz w:val="18"/>
          <w:szCs w:val="18"/>
        </w:rPr>
        <w:t>年新增的调查单位自行填报</w:t>
      </w:r>
      <w:r>
        <w:rPr>
          <w:rFonts w:hint="eastAsia" w:ascii="宋体" w:hAnsi="宋体"/>
          <w:sz w:val="18"/>
          <w:szCs w:val="18"/>
          <w:lang w:eastAsia="zh-CN"/>
        </w:rPr>
        <w:t>“</w:t>
      </w:r>
      <w:r>
        <w:rPr>
          <w:rFonts w:hint="eastAsia" w:ascii="宋体" w:hAnsi="宋体"/>
          <w:sz w:val="18"/>
          <w:szCs w:val="18"/>
        </w:rPr>
        <w:t>上年同期</w:t>
      </w:r>
      <w:r>
        <w:rPr>
          <w:rFonts w:hint="eastAsia" w:ascii="宋体" w:hAnsi="宋体"/>
          <w:sz w:val="18"/>
          <w:szCs w:val="18"/>
          <w:lang w:eastAsia="zh-CN"/>
        </w:rPr>
        <w:t>”</w:t>
      </w:r>
      <w:r>
        <w:rPr>
          <w:rFonts w:hint="eastAsia"/>
          <w:sz w:val="18"/>
          <w:szCs w:val="18"/>
        </w:rPr>
        <w:t>数据；涉及兼并、重组等情况的企业，经国家统计局批准后，调查单位可调整同期数；本年新增指标的同期数由调查单位自行填报</w:t>
      </w:r>
      <w:r>
        <w:rPr>
          <w:rFonts w:hint="eastAsia" w:asciiTheme="minorEastAsia" w:hAnsiTheme="minorEastAsia" w:eastAsiaTheme="minorEastAsia" w:cstheme="minorEastAsia"/>
          <w:sz w:val="18"/>
          <w:szCs w:val="18"/>
        </w:rPr>
        <w:t>。</w:t>
      </w:r>
    </w:p>
    <w:p>
      <w:pPr>
        <w:spacing w:line="280" w:lineRule="exact"/>
        <w:ind w:left="668" w:leftChars="245" w:hanging="154" w:hangingChars="86"/>
        <w:jc w:val="left"/>
        <w:rPr>
          <w:rFonts w:hint="eastAsia" w:asciiTheme="minorEastAsia" w:hAnsiTheme="minorEastAsia" w:eastAsiaTheme="minorEastAsia" w:cstheme="minorEastAsia"/>
          <w:bCs/>
          <w:spacing w:val="-4"/>
          <w:sz w:val="18"/>
          <w:szCs w:val="18"/>
        </w:rPr>
      </w:pPr>
      <w:r>
        <w:rPr>
          <w:rFonts w:hint="eastAsia" w:asciiTheme="minorEastAsia" w:hAnsiTheme="minorEastAsia" w:eastAsiaTheme="minorEastAsia" w:cstheme="minorEastAsia"/>
          <w:bCs/>
          <w:sz w:val="18"/>
          <w:szCs w:val="18"/>
        </w:rPr>
        <w:t>5.</w:t>
      </w:r>
      <w:r>
        <w:rPr>
          <w:rFonts w:hint="eastAsia" w:asciiTheme="minorEastAsia" w:hAnsiTheme="minorEastAsia" w:eastAsiaTheme="minorEastAsia" w:cstheme="minorEastAsia"/>
          <w:bCs/>
          <w:spacing w:val="-4"/>
          <w:sz w:val="18"/>
          <w:szCs w:val="18"/>
        </w:rPr>
        <w:t>综合能源消费量计算方法：</w:t>
      </w:r>
    </w:p>
    <w:p>
      <w:pPr>
        <w:spacing w:line="280" w:lineRule="exact"/>
        <w:ind w:firstLine="666" w:firstLineChars="37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(1)没有能源加工转换和回收利用活动的调查单位：</w:t>
      </w:r>
    </w:p>
    <w:p>
      <w:pPr>
        <w:spacing w:line="280" w:lineRule="exact"/>
        <w:ind w:firstLine="864" w:firstLineChars="48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综合能源消费量(48)=工业生产消费(本表第5列能源合计)</w:t>
      </w:r>
    </w:p>
    <w:p>
      <w:pPr>
        <w:spacing w:line="280" w:lineRule="exact"/>
        <w:ind w:left="651" w:leftChars="31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(2)有能源加工转换或回收利用活动的调查单位：</w:t>
      </w:r>
    </w:p>
    <w:p>
      <w:pPr>
        <w:spacing w:line="280" w:lineRule="exact"/>
        <w:ind w:left="2517" w:leftChars="410" w:hanging="1656" w:hangingChars="92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综合能源消费量(48)=工业生产消费(本表第5列能源合计)-能源加工转换产出(205-2表第11列能源合计)-回收利用(205-2表第12列能源合计)</w:t>
      </w:r>
    </w:p>
    <w:p>
      <w:pPr>
        <w:spacing w:line="280" w:lineRule="exact"/>
        <w:ind w:left="661" w:leftChars="315" w:firstLine="0" w:firstLine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注：不计算原煤入洗损耗，下同。</w:t>
      </w:r>
    </w:p>
    <w:p>
      <w:pPr>
        <w:spacing w:line="280" w:lineRule="exact"/>
        <w:ind w:left="668" w:leftChars="245" w:hanging="154" w:hangingChars="86"/>
        <w:jc w:val="left"/>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6.补充资料中的上年同期和本期的综合能源消费量（当月）2月份免报，计算公式：</w:t>
      </w:r>
    </w:p>
    <w:p>
      <w:pPr>
        <w:spacing w:line="280" w:lineRule="exact"/>
        <w:ind w:left="668" w:leftChars="245" w:hanging="154" w:hangingChars="86"/>
        <w:jc w:val="left"/>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 xml:space="preserve">  上年同期：综合能源消费量（当月）(42)=本月综合能源消费量(41)-上月综合能源消费量(41)</w:t>
      </w:r>
    </w:p>
    <w:p>
      <w:pPr>
        <w:spacing w:line="280" w:lineRule="exact"/>
        <w:ind w:left="668" w:leftChars="245" w:hanging="154" w:hangingChars="86"/>
        <w:jc w:val="left"/>
        <w:outlineLvl w:val="9"/>
        <w:rPr>
          <w:rFonts w:hint="eastAsia" w:asciiTheme="minorEastAsia" w:hAnsiTheme="minorEastAsia" w:eastAsiaTheme="minorEastAsia" w:cstheme="minorEastAsia"/>
          <w:bCs/>
          <w:sz w:val="18"/>
        </w:rPr>
      </w:pPr>
      <w:r>
        <w:rPr>
          <w:rFonts w:hint="eastAsia" w:asciiTheme="minorEastAsia" w:hAnsiTheme="minorEastAsia" w:eastAsiaTheme="minorEastAsia" w:cstheme="minorEastAsia"/>
          <w:bCs/>
          <w:sz w:val="18"/>
          <w:szCs w:val="18"/>
        </w:rPr>
        <w:t xml:space="preserve">  本    期：综合能源消费量（当月）(49)=本月综合能源消费量(48)-上月综合能源消费量(48</w:t>
      </w:r>
      <w:r>
        <w:rPr>
          <w:rFonts w:hint="eastAsia" w:asciiTheme="minorEastAsia" w:hAnsiTheme="minorEastAsia" w:eastAsiaTheme="minorEastAsia" w:cstheme="minorEastAsia"/>
          <w:bCs/>
          <w:sz w:val="18"/>
        </w:rPr>
        <w:t>)</w:t>
      </w:r>
    </w:p>
    <w:p>
      <w:pPr>
        <w:spacing w:line="280" w:lineRule="exact"/>
        <w:outlineLvl w:val="9"/>
        <w:rPr>
          <w:rFonts w:hint="eastAsia"/>
          <w:sz w:val="18"/>
          <w:szCs w:val="18"/>
        </w:rPr>
      </w:pPr>
    </w:p>
    <w:p>
      <w:pPr>
        <w:spacing w:line="260" w:lineRule="exact"/>
        <w:outlineLvl w:val="9"/>
        <w:rPr>
          <w:sz w:val="30"/>
          <w:szCs w:val="30"/>
        </w:rPr>
      </w:pPr>
      <w:r>
        <w:rPr>
          <w:kern w:val="0"/>
          <w:sz w:val="18"/>
          <w:szCs w:val="18"/>
        </w:rPr>
        <w:br w:type="page"/>
      </w: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81" w:name="_Toc914623841"/>
      <w:bookmarkStart w:id="82" w:name="_Toc365172230"/>
      <w:r>
        <w:rPr>
          <w:rFonts w:hint="eastAsia" w:ascii="宋体" w:hAnsi="宋体" w:eastAsia="宋体" w:cs="宋体"/>
          <w:b/>
          <w:bCs/>
          <w:sz w:val="32"/>
          <w:szCs w:val="32"/>
        </w:rPr>
        <w:t>能源加工转换与回收利用</w:t>
      </w:r>
      <w:bookmarkEnd w:id="81"/>
      <w:bookmarkEnd w:id="82"/>
    </w:p>
    <w:tbl>
      <w:tblPr>
        <w:tblStyle w:val="17"/>
        <w:tblW w:w="9402" w:type="dxa"/>
        <w:jc w:val="center"/>
        <w:tblLayout w:type="autofit"/>
        <w:tblCellMar>
          <w:top w:w="0" w:type="dxa"/>
          <w:left w:w="0" w:type="dxa"/>
          <w:bottom w:w="0" w:type="dxa"/>
          <w:right w:w="0" w:type="dxa"/>
        </w:tblCellMar>
      </w:tblPr>
      <w:tblGrid>
        <w:gridCol w:w="3181"/>
        <w:gridCol w:w="790"/>
        <w:gridCol w:w="2645"/>
        <w:gridCol w:w="887"/>
        <w:gridCol w:w="1899"/>
      </w:tblGrid>
      <w:tr>
        <w:trPr>
          <w:jc w:val="center"/>
        </w:trPr>
        <w:tc>
          <w:tcPr>
            <w:tcW w:w="3181" w:type="dxa"/>
          </w:tcPr>
          <w:p>
            <w:pPr>
              <w:spacing w:line="260" w:lineRule="exact"/>
              <w:rPr>
                <w:sz w:val="18"/>
                <w:szCs w:val="18"/>
              </w:rPr>
            </w:pPr>
          </w:p>
        </w:tc>
        <w:tc>
          <w:tcPr>
            <w:tcW w:w="790" w:type="dxa"/>
          </w:tcPr>
          <w:p>
            <w:pPr>
              <w:spacing w:line="260" w:lineRule="exact"/>
              <w:rPr>
                <w:sz w:val="18"/>
                <w:szCs w:val="18"/>
              </w:rPr>
            </w:pPr>
          </w:p>
        </w:tc>
        <w:tc>
          <w:tcPr>
            <w:tcW w:w="2645" w:type="dxa"/>
          </w:tcPr>
          <w:p>
            <w:pPr>
              <w:spacing w:line="260" w:lineRule="exact"/>
              <w:rPr>
                <w:sz w:val="18"/>
                <w:szCs w:val="18"/>
              </w:rPr>
            </w:pPr>
          </w:p>
        </w:tc>
        <w:tc>
          <w:tcPr>
            <w:tcW w:w="887" w:type="dxa"/>
            <w:tcMar>
              <w:left w:w="0" w:type="dxa"/>
              <w:right w:w="0" w:type="dxa"/>
            </w:tcMar>
          </w:tcPr>
          <w:p>
            <w:pPr>
              <w:spacing w:line="260" w:lineRule="exact"/>
              <w:rPr>
                <w:sz w:val="18"/>
                <w:szCs w:val="18"/>
              </w:rPr>
            </w:pPr>
            <w:r>
              <w:rPr>
                <w:sz w:val="18"/>
                <w:szCs w:val="18"/>
              </w:rPr>
              <w:t>表    号：</w:t>
            </w:r>
          </w:p>
        </w:tc>
        <w:tc>
          <w:tcPr>
            <w:tcW w:w="1899" w:type="dxa"/>
            <w:vAlign w:val="center"/>
          </w:tcPr>
          <w:p>
            <w:pPr>
              <w:spacing w:line="260" w:lineRule="exact"/>
              <w:jc w:val="distribute"/>
              <w:rPr>
                <w:sz w:val="18"/>
                <w:szCs w:val="18"/>
              </w:rPr>
            </w:pPr>
            <w:r>
              <w:rPr>
                <w:sz w:val="18"/>
                <w:szCs w:val="18"/>
              </w:rPr>
              <w:t>２０５－２表</w:t>
            </w:r>
          </w:p>
        </w:tc>
      </w:tr>
      <w:tr>
        <w:trPr>
          <w:jc w:val="center"/>
        </w:trPr>
        <w:tc>
          <w:tcPr>
            <w:tcW w:w="6616" w:type="dxa"/>
            <w:gridSpan w:val="3"/>
          </w:tcPr>
          <w:p>
            <w:pPr>
              <w:spacing w:line="260" w:lineRule="exact"/>
              <w:rPr>
                <w:sz w:val="18"/>
                <w:szCs w:val="18"/>
              </w:rPr>
            </w:pPr>
            <w:r>
              <w:rPr>
                <w:sz w:val="18"/>
                <w:szCs w:val="18"/>
              </w:rPr>
              <w:t>统一社会信用代码</w:t>
            </w:r>
            <w:r>
              <w:rPr>
                <w:rFonts w:hint="eastAsia" w:ascii="宋体" w:hAnsi="宋体" w:cs="宋体"/>
                <w:color w:val="000000"/>
                <w:kern w:val="0"/>
                <w:sz w:val="18"/>
                <w:szCs w:val="18"/>
              </w:rPr>
              <w:t>□□□□□□□□□□□□□□□□□□</w:t>
            </w:r>
          </w:p>
        </w:tc>
        <w:tc>
          <w:tcPr>
            <w:tcW w:w="887" w:type="dxa"/>
            <w:tcMar>
              <w:left w:w="0" w:type="dxa"/>
              <w:right w:w="0" w:type="dxa"/>
            </w:tcMar>
            <w:vAlign w:val="center"/>
          </w:tcPr>
          <w:p>
            <w:pPr>
              <w:spacing w:line="260" w:lineRule="exact"/>
              <w:rPr>
                <w:sz w:val="18"/>
                <w:szCs w:val="18"/>
              </w:rPr>
            </w:pPr>
            <w:r>
              <w:rPr>
                <w:sz w:val="18"/>
                <w:szCs w:val="18"/>
              </w:rPr>
              <w:t>制定机关：</w:t>
            </w:r>
          </w:p>
        </w:tc>
        <w:tc>
          <w:tcPr>
            <w:tcW w:w="1899" w:type="dxa"/>
            <w:vAlign w:val="center"/>
          </w:tcPr>
          <w:p>
            <w:pPr>
              <w:spacing w:line="260" w:lineRule="exact"/>
              <w:jc w:val="distribute"/>
              <w:rPr>
                <w:sz w:val="18"/>
                <w:szCs w:val="18"/>
              </w:rPr>
            </w:pPr>
            <w:r>
              <w:rPr>
                <w:sz w:val="18"/>
                <w:szCs w:val="18"/>
              </w:rPr>
              <w:t>国 家 统 计 局</w:t>
            </w:r>
          </w:p>
        </w:tc>
      </w:tr>
      <w:tr>
        <w:trPr>
          <w:jc w:val="center"/>
        </w:trPr>
        <w:tc>
          <w:tcPr>
            <w:tcW w:w="6616" w:type="dxa"/>
            <w:gridSpan w:val="3"/>
          </w:tcPr>
          <w:p>
            <w:pPr>
              <w:spacing w:line="260" w:lineRule="exact"/>
              <w:rPr>
                <w:rFonts w:hint="eastAsia" w:eastAsia="宋体"/>
                <w:sz w:val="18"/>
                <w:szCs w:val="18"/>
                <w:lang w:eastAsia="zh-CN"/>
              </w:rPr>
            </w:pPr>
          </w:p>
        </w:tc>
        <w:tc>
          <w:tcPr>
            <w:tcW w:w="887" w:type="dxa"/>
            <w:tcMar>
              <w:left w:w="0" w:type="dxa"/>
              <w:right w:w="0" w:type="dxa"/>
            </w:tcMar>
            <w:vAlign w:val="center"/>
          </w:tcPr>
          <w:p>
            <w:pPr>
              <w:spacing w:line="260" w:lineRule="exact"/>
              <w:rPr>
                <w:sz w:val="18"/>
                <w:szCs w:val="18"/>
              </w:rPr>
            </w:pPr>
            <w:r>
              <w:rPr>
                <w:sz w:val="18"/>
                <w:szCs w:val="18"/>
              </w:rPr>
              <w:t>文    号：</w:t>
            </w:r>
          </w:p>
        </w:tc>
        <w:tc>
          <w:tcPr>
            <w:tcW w:w="1899" w:type="dxa"/>
            <w:vAlign w:val="center"/>
          </w:tcPr>
          <w:p>
            <w:pPr>
              <w:spacing w:line="260" w:lineRule="exact"/>
              <w:jc w:val="distribute"/>
              <w:rPr>
                <w:sz w:val="18"/>
                <w:szCs w:val="18"/>
              </w:rPr>
            </w:pPr>
            <w:r>
              <w:rPr>
                <w:rFonts w:hint="eastAsia" w:ascii="宋体" w:hAnsi="宋体"/>
                <w:sz w:val="18"/>
                <w:szCs w:val="18"/>
              </w:rPr>
              <w:t>国统</w:t>
            </w:r>
            <w:r>
              <w:rPr>
                <w:rFonts w:hint="eastAsia" w:ascii="宋体" w:hAnsi="宋体"/>
                <w:spacing w:val="-16"/>
                <w:sz w:val="18"/>
                <w:szCs w:val="18"/>
              </w:rPr>
              <w:t>字</w:t>
            </w:r>
            <w:r>
              <w:rPr>
                <w:rFonts w:hint="default" w:ascii="宋体" w:hAnsi="宋体"/>
                <w:spacing w:val="-16"/>
                <w:sz w:val="18"/>
                <w:szCs w:val="18"/>
                <w:lang w:val="en-US" w:eastAsia="zh-CN"/>
              </w:rPr>
              <w:t>〔２０２</w:t>
            </w:r>
            <w:r>
              <w:rPr>
                <w:rFonts w:hint="eastAsia" w:ascii="宋体" w:hAnsi="宋体"/>
                <w:spacing w:val="-16"/>
                <w:sz w:val="18"/>
                <w:szCs w:val="18"/>
                <w:lang w:val="en-US" w:eastAsia="zh-CN"/>
              </w:rPr>
              <w:t>5</w:t>
            </w:r>
            <w:r>
              <w:rPr>
                <w:rFonts w:hint="default" w:ascii="宋体" w:hAnsi="宋体"/>
                <w:spacing w:val="-16"/>
                <w:sz w:val="18"/>
                <w:szCs w:val="18"/>
                <w:lang w:val="en-US" w:eastAsia="zh-CN"/>
              </w:rPr>
              <w:t>〕</w:t>
            </w:r>
            <w:r>
              <w:rPr>
                <w:rFonts w:hint="eastAsia" w:ascii="宋体" w:hAnsi="宋体"/>
                <w:spacing w:val="-16"/>
                <w:sz w:val="18"/>
                <w:szCs w:val="18"/>
                <w:lang w:val="en-US" w:eastAsia="zh-CN"/>
              </w:rPr>
              <w:t>88</w:t>
            </w:r>
            <w:r>
              <w:rPr>
                <w:rFonts w:hint="eastAsia" w:ascii="宋体" w:hAnsi="宋体"/>
                <w:spacing w:val="-16"/>
                <w:sz w:val="18"/>
                <w:szCs w:val="18"/>
                <w:lang w:val="en" w:eastAsia="zh-CN"/>
              </w:rPr>
              <w:t>号</w:t>
            </w:r>
          </w:p>
        </w:tc>
      </w:tr>
      <w:tr>
        <w:trPr>
          <w:jc w:val="center"/>
        </w:trPr>
        <w:tc>
          <w:tcPr>
            <w:tcW w:w="3181" w:type="dxa"/>
          </w:tcPr>
          <w:p>
            <w:pPr>
              <w:spacing w:line="260" w:lineRule="exact"/>
              <w:rPr>
                <w:sz w:val="18"/>
                <w:szCs w:val="18"/>
              </w:rPr>
            </w:pPr>
            <w:r>
              <w:rPr>
                <w:sz w:val="18"/>
              </w:rPr>
              <w:t>单位详细名称：</w:t>
            </w:r>
          </w:p>
        </w:tc>
        <w:tc>
          <w:tcPr>
            <w:tcW w:w="790" w:type="dxa"/>
          </w:tcPr>
          <w:p>
            <w:pPr>
              <w:spacing w:line="260" w:lineRule="exact"/>
              <w:rPr>
                <w:sz w:val="18"/>
                <w:szCs w:val="18"/>
              </w:rPr>
            </w:pPr>
          </w:p>
        </w:tc>
        <w:tc>
          <w:tcPr>
            <w:tcW w:w="2645" w:type="dxa"/>
          </w:tcPr>
          <w:p>
            <w:pPr>
              <w:spacing w:line="260" w:lineRule="exact"/>
              <w:rPr>
                <w:sz w:val="18"/>
                <w:szCs w:val="18"/>
              </w:rPr>
            </w:pPr>
            <w:r>
              <w:rPr>
                <w:sz w:val="18"/>
                <w:szCs w:val="18"/>
              </w:rPr>
              <w:t>２０　　年</w:t>
            </w:r>
            <w:r>
              <w:rPr>
                <w:rFonts w:hint="eastAsia"/>
                <w:sz w:val="18"/>
                <w:szCs w:val="18"/>
              </w:rPr>
              <w:t>　１</w:t>
            </w:r>
            <w:r>
              <w:rPr>
                <w:sz w:val="18"/>
                <w:szCs w:val="18"/>
              </w:rPr>
              <w:t>－　月</w:t>
            </w:r>
          </w:p>
        </w:tc>
        <w:tc>
          <w:tcPr>
            <w:tcW w:w="887" w:type="dxa"/>
            <w:tcMar>
              <w:left w:w="0" w:type="dxa"/>
              <w:right w:w="0" w:type="dxa"/>
            </w:tcMar>
            <w:vAlign w:val="center"/>
          </w:tcPr>
          <w:p>
            <w:pPr>
              <w:spacing w:line="260" w:lineRule="exact"/>
              <w:rPr>
                <w:sz w:val="18"/>
                <w:szCs w:val="18"/>
              </w:rPr>
            </w:pPr>
            <w:r>
              <w:rPr>
                <w:sz w:val="18"/>
                <w:szCs w:val="18"/>
              </w:rPr>
              <w:t>有效期至：</w:t>
            </w:r>
          </w:p>
        </w:tc>
        <w:tc>
          <w:tcPr>
            <w:tcW w:w="1899" w:type="dxa"/>
            <w:vAlign w:val="center"/>
          </w:tcPr>
          <w:p>
            <w:pPr>
              <w:spacing w:line="260" w:lineRule="exact"/>
              <w:jc w:val="distribute"/>
              <w:rPr>
                <w:rFonts w:hint="default" w:eastAsia="宋体"/>
                <w:sz w:val="18"/>
                <w:szCs w:val="18"/>
                <w:lang w:val="en-US" w:eastAsia="zh-CN"/>
              </w:rPr>
            </w:pPr>
            <w:r>
              <w:rPr>
                <w:rFonts w:hint="default"/>
                <w:sz w:val="18"/>
                <w:szCs w:val="18"/>
                <w:lang w:val="en-US" w:eastAsia="zh-CN"/>
              </w:rPr>
              <w:t>２０２</w:t>
            </w:r>
            <w:r>
              <w:rPr>
                <w:rFonts w:hint="eastAsia"/>
                <w:sz w:val="18"/>
                <w:szCs w:val="18"/>
                <w:lang w:val="en-US" w:eastAsia="zh-CN"/>
              </w:rPr>
              <w:t>7</w:t>
            </w:r>
            <w:r>
              <w:rPr>
                <w:rFonts w:hint="default"/>
                <w:sz w:val="18"/>
                <w:szCs w:val="18"/>
                <w:lang w:val="en-US" w:eastAsia="zh-CN"/>
              </w:rPr>
              <w:t>年１月</w:t>
            </w:r>
          </w:p>
        </w:tc>
      </w:tr>
    </w:tbl>
    <w:p>
      <w:pPr>
        <w:spacing w:line="20" w:lineRule="exact"/>
        <w:rPr>
          <w:sz w:val="18"/>
          <w:szCs w:val="18"/>
        </w:rPr>
      </w:pPr>
    </w:p>
    <w:tbl>
      <w:tblPr>
        <w:tblStyle w:val="17"/>
        <w:tblW w:w="5000" w:type="pct"/>
        <w:jc w:val="center"/>
        <w:tblLayout w:type="autofit"/>
        <w:tblCellMar>
          <w:top w:w="0" w:type="dxa"/>
          <w:left w:w="0" w:type="dxa"/>
          <w:bottom w:w="0" w:type="dxa"/>
          <w:right w:w="0" w:type="dxa"/>
        </w:tblCellMar>
      </w:tblPr>
      <w:tblGrid>
        <w:gridCol w:w="1431"/>
        <w:gridCol w:w="563"/>
        <w:gridCol w:w="563"/>
        <w:gridCol w:w="640"/>
        <w:gridCol w:w="640"/>
        <w:gridCol w:w="553"/>
        <w:gridCol w:w="553"/>
        <w:gridCol w:w="553"/>
        <w:gridCol w:w="553"/>
        <w:gridCol w:w="553"/>
        <w:gridCol w:w="553"/>
        <w:gridCol w:w="553"/>
        <w:gridCol w:w="553"/>
        <w:gridCol w:w="583"/>
        <w:gridCol w:w="568"/>
      </w:tblGrid>
      <w:tr>
        <w:tblPrEx>
          <w:tblCellMar>
            <w:top w:w="0" w:type="dxa"/>
            <w:left w:w="0" w:type="dxa"/>
            <w:bottom w:w="0" w:type="dxa"/>
            <w:right w:w="0" w:type="dxa"/>
          </w:tblCellMar>
        </w:tblPrEx>
        <w:trPr>
          <w:cantSplit/>
          <w:trHeight w:val="283" w:hRule="atLeast"/>
          <w:jc w:val="center"/>
        </w:trPr>
        <w:tc>
          <w:tcPr>
            <w:tcW w:w="760" w:type="pct"/>
            <w:vMerge w:val="restart"/>
            <w:tcBorders>
              <w:top w:val="single" w:color="auto" w:sz="8" w:space="0"/>
              <w:left w:val="nil"/>
              <w:bottom w:val="single" w:color="auto" w:sz="2" w:space="0"/>
              <w:right w:val="single" w:color="auto" w:sz="2" w:space="0"/>
            </w:tcBorders>
            <w:shd w:val="clear" w:color="auto" w:fill="auto"/>
            <w:vAlign w:val="center"/>
          </w:tcPr>
          <w:p>
            <w:pPr>
              <w:widowControl/>
              <w:adjustRightInd w:val="0"/>
              <w:jc w:val="center"/>
              <w:rPr>
                <w:sz w:val="18"/>
                <w:szCs w:val="18"/>
              </w:rPr>
            </w:pPr>
            <w:r>
              <w:rPr>
                <w:sz w:val="18"/>
                <w:szCs w:val="18"/>
              </w:rPr>
              <w:t>能源名称</w:t>
            </w:r>
          </w:p>
        </w:tc>
        <w:tc>
          <w:tcPr>
            <w:tcW w:w="299" w:type="pct"/>
            <w:vMerge w:val="restart"/>
            <w:tcBorders>
              <w:top w:val="single" w:color="auto" w:sz="8" w:space="0"/>
              <w:left w:val="single" w:color="auto" w:sz="2" w:space="0"/>
              <w:bottom w:val="single" w:color="auto" w:sz="2" w:space="0"/>
              <w:right w:val="single" w:color="auto" w:sz="2" w:space="0"/>
            </w:tcBorders>
            <w:shd w:val="clear" w:color="auto" w:fill="auto"/>
            <w:vAlign w:val="center"/>
          </w:tcPr>
          <w:p>
            <w:pPr>
              <w:adjustRightInd w:val="0"/>
              <w:jc w:val="center"/>
              <w:rPr>
                <w:sz w:val="18"/>
                <w:szCs w:val="18"/>
              </w:rPr>
            </w:pPr>
            <w:r>
              <w:rPr>
                <w:sz w:val="18"/>
                <w:szCs w:val="18"/>
              </w:rPr>
              <w:t>计量  单位</w:t>
            </w:r>
          </w:p>
        </w:tc>
        <w:tc>
          <w:tcPr>
            <w:tcW w:w="299" w:type="pct"/>
            <w:vMerge w:val="restart"/>
            <w:tcBorders>
              <w:top w:val="single" w:color="auto" w:sz="8" w:space="0"/>
              <w:left w:val="single" w:color="auto" w:sz="2" w:space="0"/>
              <w:bottom w:val="single" w:color="auto" w:sz="2" w:space="0"/>
              <w:right w:val="single" w:color="auto" w:sz="2" w:space="0"/>
            </w:tcBorders>
            <w:shd w:val="clear" w:color="auto" w:fill="auto"/>
            <w:vAlign w:val="center"/>
          </w:tcPr>
          <w:p>
            <w:pPr>
              <w:widowControl/>
              <w:adjustRightInd w:val="0"/>
              <w:jc w:val="center"/>
              <w:rPr>
                <w:sz w:val="18"/>
                <w:szCs w:val="18"/>
              </w:rPr>
            </w:pPr>
            <w:r>
              <w:rPr>
                <w:sz w:val="18"/>
                <w:szCs w:val="18"/>
              </w:rPr>
              <w:t>代码</w:t>
            </w:r>
          </w:p>
        </w:tc>
        <w:tc>
          <w:tcPr>
            <w:tcW w:w="340" w:type="pct"/>
            <w:vMerge w:val="restart"/>
            <w:tcBorders>
              <w:top w:val="single" w:color="auto" w:sz="8" w:space="0"/>
              <w:left w:val="single" w:color="auto" w:sz="2" w:space="0"/>
              <w:bottom w:val="single" w:color="auto" w:sz="2" w:space="0"/>
            </w:tcBorders>
            <w:shd w:val="clear" w:color="auto" w:fill="auto"/>
            <w:vAlign w:val="center"/>
          </w:tcPr>
          <w:p>
            <w:pPr>
              <w:adjustRightInd w:val="0"/>
              <w:jc w:val="center"/>
              <w:rPr>
                <w:sz w:val="18"/>
                <w:szCs w:val="18"/>
              </w:rPr>
            </w:pPr>
            <w:r>
              <w:rPr>
                <w:sz w:val="18"/>
                <w:szCs w:val="18"/>
              </w:rPr>
              <w:t>工  业      生  产  消费量</w:t>
            </w:r>
          </w:p>
        </w:tc>
        <w:tc>
          <w:tcPr>
            <w:tcW w:w="2690" w:type="pct"/>
            <w:gridSpan w:val="9"/>
            <w:tcBorders>
              <w:top w:val="single" w:color="auto" w:sz="8" w:space="0"/>
              <w:bottom w:val="single" w:color="auto" w:sz="2" w:space="0"/>
              <w:right w:val="single" w:color="auto" w:sz="2" w:space="0"/>
            </w:tcBorders>
            <w:shd w:val="clear" w:color="auto" w:fill="auto"/>
            <w:vAlign w:val="center"/>
          </w:tcPr>
          <w:p>
            <w:pPr>
              <w:adjustRightInd w:val="0"/>
              <w:jc w:val="center"/>
              <w:rPr>
                <w:sz w:val="18"/>
                <w:szCs w:val="18"/>
              </w:rPr>
            </w:pPr>
          </w:p>
        </w:tc>
        <w:tc>
          <w:tcPr>
            <w:tcW w:w="309" w:type="pct"/>
            <w:vMerge w:val="restart"/>
            <w:tcBorders>
              <w:top w:val="single" w:color="auto" w:sz="8" w:space="0"/>
              <w:left w:val="single" w:color="auto" w:sz="2" w:space="0"/>
              <w:bottom w:val="single" w:color="auto" w:sz="2" w:space="0"/>
              <w:right w:val="single" w:color="auto" w:sz="2" w:space="0"/>
            </w:tcBorders>
            <w:shd w:val="clear" w:color="auto" w:fill="auto"/>
            <w:vAlign w:val="center"/>
          </w:tcPr>
          <w:p>
            <w:pPr>
              <w:adjustRightInd w:val="0"/>
              <w:jc w:val="center"/>
              <w:rPr>
                <w:sz w:val="18"/>
                <w:szCs w:val="18"/>
              </w:rPr>
            </w:pPr>
            <w:r>
              <w:rPr>
                <w:sz w:val="18"/>
                <w:szCs w:val="18"/>
              </w:rPr>
              <w:t>能源加工转换产  出</w:t>
            </w:r>
          </w:p>
        </w:tc>
        <w:tc>
          <w:tcPr>
            <w:tcW w:w="304" w:type="pct"/>
            <w:vMerge w:val="restart"/>
            <w:tcBorders>
              <w:top w:val="single" w:color="auto" w:sz="8" w:space="0"/>
              <w:left w:val="single" w:color="auto" w:sz="2" w:space="0"/>
              <w:bottom w:val="single" w:color="auto" w:sz="2" w:space="0"/>
              <w:right w:val="nil"/>
            </w:tcBorders>
            <w:shd w:val="clear" w:color="auto" w:fill="auto"/>
            <w:vAlign w:val="center"/>
          </w:tcPr>
          <w:p>
            <w:pPr>
              <w:adjustRightInd w:val="0"/>
              <w:jc w:val="center"/>
              <w:rPr>
                <w:sz w:val="18"/>
                <w:szCs w:val="18"/>
              </w:rPr>
            </w:pPr>
            <w:r>
              <w:rPr>
                <w:sz w:val="18"/>
                <w:szCs w:val="18"/>
              </w:rPr>
              <w:t>回收</w:t>
            </w:r>
          </w:p>
          <w:p>
            <w:pPr>
              <w:adjustRightInd w:val="0"/>
              <w:jc w:val="center"/>
              <w:rPr>
                <w:sz w:val="18"/>
                <w:szCs w:val="18"/>
              </w:rPr>
            </w:pPr>
            <w:r>
              <w:rPr>
                <w:sz w:val="18"/>
                <w:szCs w:val="18"/>
              </w:rPr>
              <w:t>利用</w:t>
            </w:r>
          </w:p>
        </w:tc>
      </w:tr>
      <w:tr>
        <w:tblPrEx>
          <w:tblCellMar>
            <w:top w:w="0" w:type="dxa"/>
            <w:left w:w="0" w:type="dxa"/>
            <w:bottom w:w="0" w:type="dxa"/>
            <w:right w:w="0" w:type="dxa"/>
          </w:tblCellMar>
        </w:tblPrEx>
        <w:trPr>
          <w:cantSplit/>
          <w:trHeight w:val="283" w:hRule="atLeast"/>
          <w:jc w:val="center"/>
        </w:trPr>
        <w:tc>
          <w:tcPr>
            <w:tcW w:w="760" w:type="pct"/>
            <w:vMerge w:val="continue"/>
            <w:tcBorders>
              <w:top w:val="single" w:color="auto" w:sz="2" w:space="0"/>
              <w:left w:val="nil"/>
              <w:bottom w:val="single" w:color="auto" w:sz="2" w:space="0"/>
              <w:right w:val="single" w:color="auto" w:sz="2" w:space="0"/>
            </w:tcBorders>
            <w:shd w:val="clear" w:color="auto" w:fill="auto"/>
            <w:vAlign w:val="center"/>
          </w:tcPr>
          <w:p>
            <w:pPr>
              <w:widowControl/>
              <w:jc w:val="left"/>
              <w:rPr>
                <w:sz w:val="18"/>
                <w:szCs w:val="18"/>
              </w:rPr>
            </w:pPr>
          </w:p>
        </w:tc>
        <w:tc>
          <w:tcPr>
            <w:tcW w:w="29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29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40"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40" w:type="pct"/>
            <w:vMerge w:val="restart"/>
            <w:tcBorders>
              <w:top w:val="single" w:color="auto" w:sz="2" w:space="0"/>
              <w:left w:val="single" w:color="auto" w:sz="2" w:space="0"/>
              <w:bottom w:val="single" w:color="auto" w:sz="2" w:space="0"/>
            </w:tcBorders>
            <w:shd w:val="clear" w:color="auto" w:fill="auto"/>
            <w:vAlign w:val="center"/>
          </w:tcPr>
          <w:p>
            <w:pPr>
              <w:widowControl/>
              <w:adjustRightInd w:val="0"/>
              <w:jc w:val="center"/>
              <w:rPr>
                <w:spacing w:val="-10"/>
                <w:sz w:val="18"/>
                <w:szCs w:val="18"/>
              </w:rPr>
            </w:pPr>
            <w:r>
              <w:rPr>
                <w:spacing w:val="-10"/>
                <w:sz w:val="18"/>
                <w:szCs w:val="18"/>
              </w:rPr>
              <w:t>加工转  换投入  合  计</w:t>
            </w:r>
          </w:p>
        </w:tc>
        <w:tc>
          <w:tcPr>
            <w:tcW w:w="2350" w:type="pct"/>
            <w:gridSpan w:val="8"/>
            <w:tcBorders>
              <w:top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p>
        </w:tc>
        <w:tc>
          <w:tcPr>
            <w:tcW w:w="30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04" w:type="pct"/>
            <w:vMerge w:val="continue"/>
            <w:tcBorders>
              <w:top w:val="single" w:color="auto" w:sz="2" w:space="0"/>
              <w:left w:val="single" w:color="auto" w:sz="2" w:space="0"/>
              <w:bottom w:val="single" w:color="auto" w:sz="2" w:space="0"/>
              <w:right w:val="nil"/>
            </w:tcBorders>
            <w:shd w:val="clear" w:color="auto" w:fill="auto"/>
            <w:vAlign w:val="center"/>
          </w:tcPr>
          <w:p>
            <w:pPr>
              <w:widowControl/>
              <w:jc w:val="left"/>
              <w:rPr>
                <w:sz w:val="18"/>
                <w:szCs w:val="18"/>
              </w:rPr>
            </w:pPr>
          </w:p>
        </w:tc>
      </w:tr>
      <w:tr>
        <w:tblPrEx>
          <w:tblCellMar>
            <w:top w:w="0" w:type="dxa"/>
            <w:left w:w="0" w:type="dxa"/>
            <w:bottom w:w="0" w:type="dxa"/>
            <w:right w:w="0" w:type="dxa"/>
          </w:tblCellMar>
        </w:tblPrEx>
        <w:trPr>
          <w:cantSplit/>
          <w:trHeight w:val="851" w:hRule="atLeast"/>
          <w:jc w:val="center"/>
        </w:trPr>
        <w:tc>
          <w:tcPr>
            <w:tcW w:w="760" w:type="pct"/>
            <w:vMerge w:val="continue"/>
            <w:tcBorders>
              <w:top w:val="single" w:color="auto" w:sz="2" w:space="0"/>
              <w:left w:val="nil"/>
              <w:bottom w:val="single" w:color="auto" w:sz="2" w:space="0"/>
              <w:right w:val="single" w:color="auto" w:sz="2" w:space="0"/>
            </w:tcBorders>
            <w:shd w:val="clear" w:color="auto" w:fill="auto"/>
            <w:vAlign w:val="center"/>
          </w:tcPr>
          <w:p>
            <w:pPr>
              <w:widowControl/>
              <w:jc w:val="left"/>
              <w:rPr>
                <w:sz w:val="18"/>
                <w:szCs w:val="18"/>
              </w:rPr>
            </w:pPr>
          </w:p>
        </w:tc>
        <w:tc>
          <w:tcPr>
            <w:tcW w:w="29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29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40"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40"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pacing w:val="-10"/>
                <w:sz w:val="18"/>
                <w:szCs w:val="18"/>
              </w:rPr>
            </w:pP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jc w:val="center"/>
              <w:rPr>
                <w:spacing w:val="-10"/>
                <w:sz w:val="18"/>
                <w:szCs w:val="18"/>
              </w:rPr>
            </w:pPr>
            <w:r>
              <w:rPr>
                <w:spacing w:val="-10"/>
                <w:sz w:val="18"/>
                <w:szCs w:val="18"/>
              </w:rPr>
              <w:t>火力   发电</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pacing w:val="-10"/>
                <w:sz w:val="18"/>
                <w:szCs w:val="18"/>
              </w:rPr>
              <w:t>供热</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pacing w:val="-10"/>
                <w:sz w:val="18"/>
                <w:szCs w:val="18"/>
              </w:rPr>
              <w:t>原煤   入洗</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pacing w:val="-10"/>
                <w:sz w:val="18"/>
                <w:szCs w:val="18"/>
              </w:rPr>
              <w:t>炼焦</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pacing w:val="-10"/>
                <w:sz w:val="18"/>
                <w:szCs w:val="18"/>
              </w:rPr>
              <w:t>炼油及</w:t>
            </w:r>
          </w:p>
          <w:p>
            <w:pPr>
              <w:adjustRightInd w:val="0"/>
              <w:jc w:val="center"/>
              <w:rPr>
                <w:spacing w:val="-10"/>
                <w:sz w:val="18"/>
                <w:szCs w:val="18"/>
              </w:rPr>
            </w:pPr>
            <w:r>
              <w:rPr>
                <w:spacing w:val="-10"/>
                <w:sz w:val="18"/>
                <w:szCs w:val="18"/>
              </w:rPr>
              <w:t>煤制油</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pacing w:val="-10"/>
                <w:sz w:val="18"/>
                <w:szCs w:val="18"/>
              </w:rPr>
              <w:t>制气</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r>
              <w:rPr>
                <w:sz w:val="18"/>
                <w:szCs w:val="18"/>
              </w:rPr>
              <w:t>天然气</w:t>
            </w:r>
            <w:r>
              <w:rPr>
                <w:spacing w:val="-10"/>
                <w:sz w:val="18"/>
                <w:szCs w:val="18"/>
              </w:rPr>
              <w:t>液   化</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jc w:val="center"/>
              <w:rPr>
                <w:spacing w:val="-10"/>
                <w:sz w:val="18"/>
                <w:szCs w:val="18"/>
              </w:rPr>
            </w:pPr>
          </w:p>
          <w:p>
            <w:pPr>
              <w:adjustRightInd w:val="0"/>
              <w:jc w:val="center"/>
              <w:rPr>
                <w:spacing w:val="-10"/>
                <w:sz w:val="18"/>
                <w:szCs w:val="18"/>
              </w:rPr>
            </w:pPr>
            <w:r>
              <w:rPr>
                <w:spacing w:val="-10"/>
                <w:sz w:val="18"/>
                <w:szCs w:val="18"/>
              </w:rPr>
              <w:t>煤制品加  工</w:t>
            </w:r>
          </w:p>
          <w:p>
            <w:pPr>
              <w:adjustRightInd w:val="0"/>
              <w:jc w:val="center"/>
              <w:rPr>
                <w:spacing w:val="-10"/>
                <w:sz w:val="18"/>
                <w:szCs w:val="18"/>
              </w:rPr>
            </w:pPr>
          </w:p>
        </w:tc>
        <w:tc>
          <w:tcPr>
            <w:tcW w:w="309" w:type="pct"/>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sz w:val="18"/>
                <w:szCs w:val="18"/>
              </w:rPr>
            </w:pPr>
          </w:p>
        </w:tc>
        <w:tc>
          <w:tcPr>
            <w:tcW w:w="304" w:type="pct"/>
            <w:vMerge w:val="continue"/>
            <w:tcBorders>
              <w:top w:val="single" w:color="auto" w:sz="2" w:space="0"/>
              <w:left w:val="single" w:color="auto" w:sz="2" w:space="0"/>
              <w:bottom w:val="single" w:color="auto" w:sz="2" w:space="0"/>
              <w:right w:val="nil"/>
            </w:tcBorders>
            <w:shd w:val="clear" w:color="auto" w:fill="auto"/>
            <w:vAlign w:val="center"/>
          </w:tcPr>
          <w:p>
            <w:pPr>
              <w:widowControl/>
              <w:jc w:val="left"/>
              <w:rPr>
                <w:sz w:val="18"/>
                <w:szCs w:val="18"/>
              </w:rPr>
            </w:pPr>
          </w:p>
        </w:tc>
      </w:tr>
      <w:tr>
        <w:tblPrEx>
          <w:tblCellMar>
            <w:top w:w="0" w:type="dxa"/>
            <w:left w:w="0" w:type="dxa"/>
            <w:bottom w:w="0" w:type="dxa"/>
            <w:right w:w="0" w:type="dxa"/>
          </w:tblCellMar>
        </w:tblPrEx>
        <w:trPr>
          <w:trHeight w:val="306" w:hRule="atLeast"/>
          <w:jc w:val="center"/>
        </w:trPr>
        <w:tc>
          <w:tcPr>
            <w:tcW w:w="760" w:type="pct"/>
            <w:tcBorders>
              <w:top w:val="single" w:color="auto" w:sz="2" w:space="0"/>
              <w:left w:val="nil"/>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甲</w:t>
            </w:r>
          </w:p>
        </w:tc>
        <w:tc>
          <w:tcPr>
            <w:tcW w:w="299"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乙</w:t>
            </w:r>
          </w:p>
        </w:tc>
        <w:tc>
          <w:tcPr>
            <w:tcW w:w="299"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丙</w:t>
            </w:r>
          </w:p>
        </w:tc>
        <w:tc>
          <w:tcPr>
            <w:tcW w:w="340"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1</w:t>
            </w:r>
          </w:p>
        </w:tc>
        <w:tc>
          <w:tcPr>
            <w:tcW w:w="340"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2</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3</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4</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5</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6</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7</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8</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9</w:t>
            </w:r>
          </w:p>
        </w:tc>
        <w:tc>
          <w:tcPr>
            <w:tcW w:w="294"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10</w:t>
            </w:r>
          </w:p>
        </w:tc>
        <w:tc>
          <w:tcPr>
            <w:tcW w:w="309" w:type="pct"/>
            <w:tcBorders>
              <w:top w:val="single" w:color="auto" w:sz="2" w:space="0"/>
              <w:left w:val="single" w:color="auto" w:sz="2" w:space="0"/>
              <w:bottom w:val="single" w:color="auto" w:sz="2" w:space="0"/>
              <w:right w:val="single" w:color="auto" w:sz="2" w:space="0"/>
            </w:tcBorders>
            <w:shd w:val="clear" w:color="auto" w:fill="auto"/>
            <w:vAlign w:val="center"/>
          </w:tcPr>
          <w:p>
            <w:pPr>
              <w:widowControl/>
              <w:adjustRightInd w:val="0"/>
              <w:spacing w:line="200" w:lineRule="exact"/>
              <w:jc w:val="center"/>
              <w:textAlignment w:val="center"/>
              <w:rPr>
                <w:sz w:val="18"/>
                <w:szCs w:val="18"/>
              </w:rPr>
            </w:pPr>
            <w:r>
              <w:rPr>
                <w:sz w:val="18"/>
                <w:szCs w:val="18"/>
              </w:rPr>
              <w:t>11</w:t>
            </w:r>
          </w:p>
        </w:tc>
        <w:tc>
          <w:tcPr>
            <w:tcW w:w="304" w:type="pct"/>
            <w:tcBorders>
              <w:top w:val="single" w:color="auto" w:sz="2" w:space="0"/>
              <w:left w:val="single" w:color="auto" w:sz="2" w:space="0"/>
              <w:bottom w:val="single" w:color="auto" w:sz="2" w:space="0"/>
              <w:right w:val="nil"/>
            </w:tcBorders>
            <w:shd w:val="clear" w:color="auto" w:fill="auto"/>
            <w:vAlign w:val="center"/>
          </w:tcPr>
          <w:p>
            <w:pPr>
              <w:widowControl/>
              <w:adjustRightInd w:val="0"/>
              <w:spacing w:line="200" w:lineRule="exact"/>
              <w:jc w:val="center"/>
              <w:textAlignment w:val="center"/>
              <w:rPr>
                <w:sz w:val="18"/>
                <w:szCs w:val="18"/>
              </w:rPr>
            </w:pPr>
            <w:r>
              <w:rPr>
                <w:sz w:val="18"/>
                <w:szCs w:val="18"/>
              </w:rPr>
              <w:t>12</w:t>
            </w:r>
          </w:p>
        </w:tc>
      </w:tr>
      <w:tr>
        <w:tblPrEx>
          <w:tblCellMar>
            <w:top w:w="0" w:type="dxa"/>
            <w:left w:w="0" w:type="dxa"/>
            <w:bottom w:w="0" w:type="dxa"/>
            <w:right w:w="0" w:type="dxa"/>
          </w:tblCellMar>
        </w:tblPrEx>
        <w:trPr>
          <w:trHeight w:val="850" w:hRule="atLeast"/>
          <w:jc w:val="center"/>
        </w:trPr>
        <w:tc>
          <w:tcPr>
            <w:tcW w:w="760" w:type="pct"/>
            <w:tcBorders>
              <w:top w:val="single" w:color="auto" w:sz="2" w:space="0"/>
              <w:left w:val="nil"/>
              <w:bottom w:val="single" w:color="auto" w:sz="8" w:space="0"/>
              <w:right w:val="single" w:color="auto" w:sz="2" w:space="0"/>
            </w:tcBorders>
            <w:shd w:val="clear" w:color="auto" w:fill="auto"/>
            <w:vAlign w:val="center"/>
          </w:tcPr>
          <w:p>
            <w:pPr>
              <w:widowControl/>
              <w:adjustRightInd w:val="0"/>
              <w:jc w:val="center"/>
              <w:rPr>
                <w:sz w:val="18"/>
                <w:szCs w:val="18"/>
              </w:rPr>
            </w:pPr>
          </w:p>
        </w:tc>
        <w:tc>
          <w:tcPr>
            <w:tcW w:w="299" w:type="pct"/>
            <w:tcBorders>
              <w:top w:val="single" w:color="auto" w:sz="2" w:space="0"/>
              <w:left w:val="single" w:color="auto" w:sz="2" w:space="0"/>
              <w:bottom w:val="single" w:color="auto" w:sz="8" w:space="0"/>
              <w:right w:val="single" w:color="auto" w:sz="2" w:space="0"/>
            </w:tcBorders>
            <w:shd w:val="clear" w:color="auto" w:fill="auto"/>
            <w:vAlign w:val="center"/>
          </w:tcPr>
          <w:p>
            <w:pPr>
              <w:widowControl/>
              <w:adjustRightInd w:val="0"/>
              <w:jc w:val="center"/>
              <w:rPr>
                <w:sz w:val="18"/>
                <w:szCs w:val="18"/>
              </w:rPr>
            </w:pPr>
          </w:p>
        </w:tc>
        <w:tc>
          <w:tcPr>
            <w:tcW w:w="299" w:type="pct"/>
            <w:tcBorders>
              <w:top w:val="single" w:color="auto" w:sz="2" w:space="0"/>
              <w:left w:val="single" w:color="auto" w:sz="2" w:space="0"/>
              <w:bottom w:val="single" w:color="auto" w:sz="8" w:space="0"/>
              <w:right w:val="single" w:color="auto" w:sz="2" w:space="0"/>
            </w:tcBorders>
            <w:shd w:val="clear" w:color="auto" w:fill="auto"/>
            <w:vAlign w:val="center"/>
          </w:tcPr>
          <w:p>
            <w:pPr>
              <w:widowControl/>
              <w:adjustRightInd w:val="0"/>
              <w:jc w:val="center"/>
              <w:rPr>
                <w:sz w:val="18"/>
                <w:szCs w:val="18"/>
              </w:rPr>
            </w:pPr>
          </w:p>
        </w:tc>
        <w:tc>
          <w:tcPr>
            <w:tcW w:w="3643" w:type="pct"/>
            <w:gridSpan w:val="12"/>
            <w:tcBorders>
              <w:top w:val="single" w:color="auto" w:sz="2" w:space="0"/>
              <w:left w:val="single" w:color="auto" w:sz="2" w:space="0"/>
              <w:bottom w:val="single" w:color="auto" w:sz="8" w:space="0"/>
            </w:tcBorders>
            <w:shd w:val="clear" w:color="auto" w:fill="auto"/>
            <w:vAlign w:val="center"/>
          </w:tcPr>
          <w:p>
            <w:pPr>
              <w:pStyle w:val="13"/>
              <w:widowControl/>
              <w:pBdr>
                <w:bottom w:val="none" w:color="auto" w:sz="0" w:space="0"/>
              </w:pBdr>
              <w:tabs>
                <w:tab w:val="clear" w:pos="4153"/>
                <w:tab w:val="clear" w:pos="8306"/>
              </w:tabs>
              <w:adjustRightInd w:val="0"/>
              <w:snapToGrid/>
            </w:pPr>
          </w:p>
        </w:tc>
      </w:tr>
    </w:tbl>
    <w:p>
      <w:pPr>
        <w:adjustRightInd w:val="0"/>
        <w:spacing w:line="260" w:lineRule="exact"/>
        <w:ind w:right="-1232" w:rightChars="-587"/>
        <w:rPr>
          <w:szCs w:val="20"/>
        </w:rPr>
      </w:pPr>
      <w:r>
        <w:rPr>
          <w:rFonts w:hint="eastAsia" w:ascii="宋体"/>
          <w:sz w:val="18"/>
          <w:szCs w:val="18"/>
        </w:rPr>
        <w:t>单位负责人：</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hint="eastAsia" w:ascii="宋体"/>
          <w:sz w:val="18"/>
          <w:szCs w:val="18"/>
        </w:rPr>
        <w:t>统计负责人：</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hint="eastAsia" w:ascii="宋体"/>
          <w:sz w:val="18"/>
          <w:szCs w:val="18"/>
        </w:rPr>
        <w:t xml:space="preserve">填表人：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联系电话</w:t>
      </w:r>
      <w:r>
        <w:rPr>
          <w:rFonts w:hint="eastAsia" w:ascii="宋体"/>
          <w:sz w:val="18"/>
          <w:szCs w:val="18"/>
        </w:rPr>
        <w:t>：</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hint="eastAsia" w:ascii="宋体"/>
          <w:sz w:val="18"/>
          <w:szCs w:val="18"/>
        </w:rPr>
        <w:t>报出日期：２０</w:t>
      </w:r>
      <w:r>
        <w:rPr>
          <w:rFonts w:hint="eastAsia" w:ascii="宋体"/>
          <w:sz w:val="18"/>
          <w:szCs w:val="18"/>
          <w:shd w:val="clear" w:color="auto" w:fill="FFFFFF"/>
        </w:rPr>
        <w:t xml:space="preserve">　 </w:t>
      </w:r>
      <w:r>
        <w:rPr>
          <w:rFonts w:hint="eastAsia" w:ascii="宋体"/>
          <w:sz w:val="18"/>
          <w:szCs w:val="18"/>
        </w:rPr>
        <w:t>年</w:t>
      </w:r>
      <w:r>
        <w:rPr>
          <w:rFonts w:hint="eastAsia" w:ascii="宋体"/>
          <w:sz w:val="18"/>
          <w:szCs w:val="18"/>
          <w:shd w:val="clear" w:color="auto" w:fill="FFFFFF"/>
        </w:rPr>
        <w:t>　</w:t>
      </w:r>
      <w:r>
        <w:rPr>
          <w:rFonts w:hint="eastAsia" w:ascii="宋体"/>
          <w:sz w:val="18"/>
          <w:szCs w:val="18"/>
        </w:rPr>
        <w:t>月</w:t>
      </w:r>
      <w:r>
        <w:rPr>
          <w:rFonts w:ascii="宋体"/>
          <w:sz w:val="18"/>
          <w:szCs w:val="18"/>
          <w:shd w:val="clear" w:color="auto" w:fill="FFFFFF"/>
        </w:rPr>
        <w:t xml:space="preserve">  </w:t>
      </w:r>
      <w:r>
        <w:rPr>
          <w:rFonts w:hint="eastAsia" w:ascii="宋体"/>
          <w:sz w:val="18"/>
          <w:szCs w:val="18"/>
        </w:rPr>
        <w:t>日</w:t>
      </w:r>
    </w:p>
    <w:p>
      <w:pPr>
        <w:tabs>
          <w:tab w:val="left" w:pos="5430"/>
        </w:tabs>
        <w:snapToGrid w:val="0"/>
        <w:spacing w:line="280" w:lineRule="exact"/>
        <w:ind w:right="-37" w:rightChars="-18"/>
        <w:rPr>
          <w:rFonts w:hint="eastAsia" w:ascii="宋体" w:hAnsi="宋体"/>
          <w:sz w:val="18"/>
        </w:rPr>
      </w:pPr>
    </w:p>
    <w:p>
      <w:pPr>
        <w:tabs>
          <w:tab w:val="left" w:pos="5430"/>
        </w:tabs>
        <w:snapToGrid w:val="0"/>
        <w:spacing w:line="280" w:lineRule="exact"/>
        <w:ind w:left="720" w:right="-37" w:rightChars="-18" w:hanging="720" w:hangingChars="400"/>
        <w:rPr>
          <w:rFonts w:ascii="宋体" w:hAnsi="宋体" w:cs="宋体"/>
          <w:sz w:val="18"/>
          <w:szCs w:val="18"/>
        </w:rPr>
      </w:pPr>
      <w:r>
        <w:rPr>
          <w:rFonts w:hint="eastAsia" w:ascii="宋体" w:hAnsi="宋体"/>
          <w:b/>
          <w:sz w:val="18"/>
          <w:szCs w:val="18"/>
        </w:rPr>
        <w:t>说明</w:t>
      </w:r>
      <w:r>
        <w:rPr>
          <w:rFonts w:hint="eastAsia" w:ascii="宋体" w:hAnsi="宋体" w:cs="宋体"/>
          <w:sz w:val="18"/>
          <w:szCs w:val="18"/>
        </w:rPr>
        <w:t>：</w:t>
      </w:r>
      <w:r>
        <w:rPr>
          <w:rFonts w:ascii="宋体" w:hAnsi="宋体"/>
          <w:spacing w:val="-4"/>
          <w:sz w:val="18"/>
          <w:szCs w:val="18"/>
        </w:rPr>
        <w:t>1</w:t>
      </w:r>
      <w:r>
        <w:rPr>
          <w:rFonts w:hint="eastAsia" w:ascii="宋体" w:hAnsi="宋体"/>
          <w:sz w:val="18"/>
          <w:szCs w:val="18"/>
        </w:rPr>
        <w:t>.</w:t>
      </w:r>
      <w:r>
        <w:rPr>
          <w:rFonts w:hint="eastAsia" w:ascii="宋体" w:hAnsi="宋体"/>
          <w:sz w:val="18"/>
        </w:rPr>
        <w:t>报送单位：</w:t>
      </w:r>
      <w:r>
        <w:rPr>
          <w:sz w:val="18"/>
          <w:szCs w:val="18"/>
        </w:rPr>
        <w:t>辖区内有能源加工转换或回收利用活动的规模以上工业法人单位</w:t>
      </w:r>
      <w:r>
        <w:rPr>
          <w:rFonts w:hint="eastAsia" w:ascii="宋体"/>
          <w:sz w:val="18"/>
        </w:rPr>
        <w:t>和规模以上</w:t>
      </w:r>
      <w:r>
        <w:rPr>
          <w:rFonts w:hint="eastAsia" w:ascii="宋体"/>
          <w:sz w:val="18"/>
          <w:lang w:eastAsia="zh-CN"/>
        </w:rPr>
        <w:t>工业</w:t>
      </w:r>
      <w:r>
        <w:rPr>
          <w:rFonts w:hint="eastAsia" w:ascii="宋体"/>
          <w:sz w:val="18"/>
        </w:rPr>
        <w:t>个体经营户</w:t>
      </w:r>
      <w:r>
        <w:rPr>
          <w:rFonts w:hint="eastAsia" w:ascii="宋体" w:hAnsi="宋体"/>
          <w:sz w:val="18"/>
        </w:rPr>
        <w:t>，报送日期及方式同205</w:t>
      </w:r>
      <w:r>
        <w:rPr>
          <w:rFonts w:hint="eastAsia" w:ascii="宋体" w:hAnsi="宋体"/>
          <w:bCs/>
          <w:spacing w:val="-4"/>
          <w:sz w:val="18"/>
        </w:rPr>
        <w:t>－1</w:t>
      </w:r>
      <w:r>
        <w:rPr>
          <w:rFonts w:hint="eastAsia" w:ascii="宋体" w:hAnsi="宋体"/>
          <w:sz w:val="18"/>
        </w:rPr>
        <w:t>表</w:t>
      </w:r>
      <w:r>
        <w:rPr>
          <w:rFonts w:ascii="宋体" w:hAnsi="宋体"/>
          <w:sz w:val="18"/>
        </w:rPr>
        <w:t>。</w:t>
      </w:r>
    </w:p>
    <w:p>
      <w:pPr>
        <w:snapToGrid w:val="0"/>
        <w:spacing w:line="280" w:lineRule="exact"/>
        <w:ind w:left="-2" w:leftChars="-1" w:right="-18" w:firstLine="547" w:firstLineChars="304"/>
        <w:rPr>
          <w:rFonts w:hint="eastAsia" w:ascii="宋体" w:hAnsi="宋体"/>
          <w:sz w:val="18"/>
        </w:rPr>
      </w:pPr>
      <w:r>
        <w:rPr>
          <w:rFonts w:hint="eastAsia" w:ascii="宋体" w:hAnsi="宋体"/>
          <w:sz w:val="18"/>
        </w:rPr>
        <w:t>2</w:t>
      </w:r>
      <w:r>
        <w:rPr>
          <w:rFonts w:hint="eastAsia" w:ascii="宋体" w:hAnsi="宋体"/>
          <w:sz w:val="18"/>
          <w:szCs w:val="18"/>
        </w:rPr>
        <w:t>.</w:t>
      </w:r>
      <w:r>
        <w:rPr>
          <w:sz w:val="18"/>
          <w:szCs w:val="18"/>
        </w:rPr>
        <w:t>本表甲栏下按</w:t>
      </w:r>
      <w:r>
        <w:rPr>
          <w:bCs/>
          <w:sz w:val="18"/>
        </w:rPr>
        <w:t>《</w:t>
      </w:r>
      <w:r>
        <w:rPr>
          <w:rFonts w:hint="eastAsia"/>
          <w:bCs/>
          <w:sz w:val="18"/>
        </w:rPr>
        <w:t>能源购进、消费与库存和能源加工转换与回收利用目录</w:t>
      </w:r>
      <w:r>
        <w:rPr>
          <w:bCs/>
          <w:spacing w:val="8"/>
          <w:sz w:val="18"/>
          <w:szCs w:val="18"/>
        </w:rPr>
        <w:t>》</w:t>
      </w:r>
      <w:r>
        <w:rPr>
          <w:sz w:val="18"/>
          <w:szCs w:val="18"/>
        </w:rPr>
        <w:t>填报</w:t>
      </w:r>
      <w:r>
        <w:rPr>
          <w:rFonts w:hint="eastAsia" w:ascii="宋体" w:hAnsi="宋体"/>
          <w:sz w:val="18"/>
        </w:rPr>
        <w:t>。</w:t>
      </w:r>
    </w:p>
    <w:p>
      <w:pPr>
        <w:snapToGrid w:val="0"/>
        <w:spacing w:line="280" w:lineRule="exact"/>
        <w:ind w:left="630" w:leftChars="261" w:right="-38" w:hanging="82" w:hangingChars="46"/>
        <w:rPr>
          <w:rFonts w:hint="eastAsia" w:ascii="宋体" w:hAnsi="宋体"/>
          <w:sz w:val="18"/>
        </w:rPr>
      </w:pPr>
      <w:r>
        <w:rPr>
          <w:rFonts w:hint="eastAsia" w:ascii="宋体" w:hAnsi="宋体"/>
          <w:sz w:val="18"/>
          <w:szCs w:val="18"/>
          <w:lang w:val="en-US" w:eastAsia="zh-CN"/>
        </w:rPr>
        <w:t>3</w:t>
      </w:r>
      <w:r>
        <w:rPr>
          <w:rFonts w:hint="eastAsia" w:ascii="宋体" w:hAnsi="宋体"/>
          <w:sz w:val="18"/>
          <w:szCs w:val="18"/>
        </w:rPr>
        <w:t>.</w:t>
      </w:r>
      <w:r>
        <w:rPr>
          <w:rFonts w:ascii="宋体" w:hAnsi="宋体"/>
          <w:sz w:val="18"/>
        </w:rPr>
        <w:t>主要逻辑审核关系：</w:t>
      </w:r>
    </w:p>
    <w:p>
      <w:pPr>
        <w:spacing w:line="280" w:lineRule="exact"/>
        <w:ind w:left="2629" w:leftChars="310" w:hanging="1978" w:hangingChars="109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(1)工业生产消费量与205-1表的工业生产消费量数值一致</w:t>
      </w:r>
    </w:p>
    <w:p>
      <w:pPr>
        <w:spacing w:line="280" w:lineRule="exact"/>
        <w:ind w:left="2432" w:leftChars="310" w:hanging="1781" w:hangingChars="99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(2)加工转换投入合计=火力发电投入+供热投入+原煤入洗投入+炼焦投入+炼油及煤制油投入+制气投入+天然气液化投入+煤制品加工投入</w:t>
      </w:r>
    </w:p>
    <w:p>
      <w:pPr>
        <w:snapToGrid w:val="0"/>
        <w:spacing w:beforeLines="200" w:afterLines="100"/>
        <w:jc w:val="center"/>
        <w:outlineLvl w:val="9"/>
        <w:rPr>
          <w:rFonts w:hint="eastAsia" w:ascii="宋体" w:hAnsi="宋体" w:eastAsia="宋体"/>
          <w:b/>
          <w:bCs/>
          <w:sz w:val="32"/>
          <w:szCs w:val="32"/>
        </w:rPr>
      </w:pPr>
    </w:p>
    <w:p>
      <w:pPr>
        <w:snapToGrid w:val="0"/>
        <w:spacing w:beforeLines="200" w:afterLines="100"/>
        <w:jc w:val="center"/>
        <w:outlineLvl w:val="9"/>
        <w:rPr>
          <w:rFonts w:hint="eastAsia" w:ascii="宋体" w:hAnsi="宋体" w:eastAsia="宋体"/>
          <w:b/>
          <w:bCs/>
          <w:sz w:val="32"/>
          <w:szCs w:val="32"/>
        </w:rPr>
      </w:pPr>
    </w:p>
    <w:p>
      <w:pPr>
        <w:snapToGrid w:val="0"/>
        <w:spacing w:beforeLines="200" w:afterLines="100"/>
        <w:jc w:val="center"/>
        <w:outlineLvl w:val="9"/>
        <w:rPr>
          <w:rFonts w:hint="eastAsia" w:ascii="宋体" w:hAnsi="宋体" w:eastAsia="宋体"/>
          <w:b/>
          <w:bCs/>
          <w:sz w:val="32"/>
          <w:szCs w:val="32"/>
        </w:rPr>
      </w:pPr>
    </w:p>
    <w:p>
      <w:pPr>
        <w:snapToGrid w:val="0"/>
        <w:spacing w:beforeLines="200" w:afterLines="100"/>
        <w:jc w:val="center"/>
        <w:outlineLvl w:val="9"/>
        <w:rPr>
          <w:rFonts w:hint="eastAsia" w:ascii="宋体" w:hAnsi="宋体" w:eastAsia="宋体"/>
          <w:b/>
          <w:bCs/>
          <w:sz w:val="32"/>
          <w:szCs w:val="32"/>
        </w:rPr>
      </w:pPr>
    </w:p>
    <w:p>
      <w:pPr>
        <w:snapToGrid w:val="0"/>
        <w:spacing w:beforeLines="200" w:afterLines="100"/>
        <w:jc w:val="center"/>
        <w:outlineLvl w:val="9"/>
        <w:rPr>
          <w:rFonts w:hint="eastAsia" w:ascii="宋体" w:hAnsi="宋体" w:eastAsia="宋体"/>
          <w:b/>
          <w:bCs/>
          <w:sz w:val="32"/>
          <w:szCs w:val="32"/>
        </w:rPr>
      </w:pPr>
    </w:p>
    <w:p>
      <w:pPr>
        <w:snapToGrid w:val="0"/>
        <w:spacing w:beforeLines="200" w:afterLines="100"/>
        <w:jc w:val="center"/>
        <w:outlineLvl w:val="9"/>
        <w:rPr>
          <w:rFonts w:hint="eastAsia" w:ascii="宋体" w:hAnsi="宋体" w:eastAsia="宋体"/>
          <w:b/>
          <w:bCs/>
          <w:sz w:val="32"/>
          <w:szCs w:val="32"/>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83" w:name="_Toc162996982"/>
      <w:bookmarkStart w:id="84" w:name="_Toc1574767867"/>
      <w:r>
        <w:rPr>
          <w:rFonts w:hint="eastAsia" w:ascii="宋体" w:hAnsi="宋体" w:eastAsia="宋体" w:cs="宋体"/>
          <w:b/>
          <w:bCs/>
          <w:sz w:val="32"/>
          <w:szCs w:val="32"/>
        </w:rPr>
        <w:t>主要耗能工业企业单位产品能源消费情况</w:t>
      </w:r>
      <w:bookmarkEnd w:id="83"/>
      <w:bookmarkEnd w:id="84"/>
    </w:p>
    <w:tbl>
      <w:tblPr>
        <w:tblStyle w:val="17"/>
        <w:tblW w:w="9430" w:type="dxa"/>
        <w:jc w:val="center"/>
        <w:tblLayout w:type="autofit"/>
        <w:tblCellMar>
          <w:top w:w="0" w:type="dxa"/>
          <w:left w:w="0" w:type="dxa"/>
          <w:bottom w:w="0" w:type="dxa"/>
          <w:right w:w="0" w:type="dxa"/>
        </w:tblCellMar>
      </w:tblPr>
      <w:tblGrid>
        <w:gridCol w:w="3209"/>
        <w:gridCol w:w="790"/>
        <w:gridCol w:w="2656"/>
        <w:gridCol w:w="850"/>
        <w:gridCol w:w="1925"/>
      </w:tblGrid>
      <w:tr>
        <w:tblPrEx>
          <w:tblCellMar>
            <w:top w:w="0" w:type="dxa"/>
            <w:left w:w="0" w:type="dxa"/>
            <w:bottom w:w="0" w:type="dxa"/>
            <w:right w:w="0" w:type="dxa"/>
          </w:tblCellMar>
        </w:tblPrEx>
        <w:trPr>
          <w:jc w:val="center"/>
        </w:trPr>
        <w:tc>
          <w:tcPr>
            <w:tcW w:w="3209" w:type="dxa"/>
          </w:tcPr>
          <w:p>
            <w:pPr>
              <w:spacing w:line="260" w:lineRule="exact"/>
              <w:rPr>
                <w:sz w:val="18"/>
                <w:szCs w:val="18"/>
              </w:rPr>
            </w:pPr>
          </w:p>
        </w:tc>
        <w:tc>
          <w:tcPr>
            <w:tcW w:w="790" w:type="dxa"/>
          </w:tcPr>
          <w:p>
            <w:pPr>
              <w:spacing w:line="260" w:lineRule="exact"/>
              <w:rPr>
                <w:sz w:val="18"/>
                <w:szCs w:val="18"/>
              </w:rPr>
            </w:pPr>
          </w:p>
        </w:tc>
        <w:tc>
          <w:tcPr>
            <w:tcW w:w="2656" w:type="dxa"/>
          </w:tcPr>
          <w:p>
            <w:pPr>
              <w:spacing w:line="260" w:lineRule="exact"/>
              <w:rPr>
                <w:sz w:val="18"/>
                <w:szCs w:val="18"/>
              </w:rPr>
            </w:pPr>
          </w:p>
        </w:tc>
        <w:tc>
          <w:tcPr>
            <w:tcW w:w="850" w:type="dxa"/>
            <w:tcMar>
              <w:left w:w="0" w:type="dxa"/>
              <w:right w:w="0" w:type="dxa"/>
            </w:tcMar>
          </w:tcPr>
          <w:p>
            <w:pPr>
              <w:spacing w:line="260" w:lineRule="exact"/>
              <w:rPr>
                <w:sz w:val="18"/>
                <w:szCs w:val="18"/>
              </w:rPr>
            </w:pPr>
            <w:r>
              <w:rPr>
                <w:sz w:val="18"/>
                <w:szCs w:val="18"/>
              </w:rPr>
              <w:t>表    号：</w:t>
            </w:r>
          </w:p>
        </w:tc>
        <w:tc>
          <w:tcPr>
            <w:tcW w:w="1925" w:type="dxa"/>
            <w:vAlign w:val="center"/>
          </w:tcPr>
          <w:p>
            <w:pPr>
              <w:spacing w:line="260" w:lineRule="exact"/>
              <w:jc w:val="distribute"/>
              <w:rPr>
                <w:sz w:val="18"/>
                <w:szCs w:val="18"/>
              </w:rPr>
            </w:pPr>
            <w:r>
              <w:rPr>
                <w:sz w:val="18"/>
                <w:szCs w:val="18"/>
              </w:rPr>
              <w:t>２０５－３表</w:t>
            </w:r>
          </w:p>
        </w:tc>
      </w:tr>
      <w:tr>
        <w:tblPrEx>
          <w:tblCellMar>
            <w:top w:w="0" w:type="dxa"/>
            <w:left w:w="0" w:type="dxa"/>
            <w:bottom w:w="0" w:type="dxa"/>
            <w:right w:w="0" w:type="dxa"/>
          </w:tblCellMar>
        </w:tblPrEx>
        <w:trPr>
          <w:jc w:val="center"/>
        </w:trPr>
        <w:tc>
          <w:tcPr>
            <w:tcW w:w="6655" w:type="dxa"/>
            <w:gridSpan w:val="3"/>
          </w:tcPr>
          <w:p>
            <w:pPr>
              <w:spacing w:line="260" w:lineRule="exact"/>
              <w:rPr>
                <w:sz w:val="18"/>
                <w:szCs w:val="18"/>
              </w:rPr>
            </w:pPr>
            <w:r>
              <w:rPr>
                <w:sz w:val="18"/>
                <w:szCs w:val="18"/>
              </w:rPr>
              <w:t>统一社会信用代码</w:t>
            </w:r>
            <w:r>
              <w:rPr>
                <w:rFonts w:hint="eastAsia" w:ascii="宋体" w:hAnsi="宋体" w:cs="宋体"/>
                <w:color w:val="000000"/>
                <w:kern w:val="0"/>
                <w:sz w:val="18"/>
                <w:szCs w:val="18"/>
              </w:rPr>
              <w:t>□□□□□□□□□□□□□□□□□□</w:t>
            </w:r>
          </w:p>
        </w:tc>
        <w:tc>
          <w:tcPr>
            <w:tcW w:w="850" w:type="dxa"/>
            <w:tcMar>
              <w:left w:w="0" w:type="dxa"/>
              <w:right w:w="0" w:type="dxa"/>
            </w:tcMar>
            <w:vAlign w:val="center"/>
          </w:tcPr>
          <w:p>
            <w:pPr>
              <w:spacing w:line="260" w:lineRule="exact"/>
              <w:rPr>
                <w:sz w:val="18"/>
                <w:szCs w:val="18"/>
              </w:rPr>
            </w:pPr>
            <w:r>
              <w:rPr>
                <w:sz w:val="18"/>
                <w:szCs w:val="18"/>
              </w:rPr>
              <w:t>制定机关：</w:t>
            </w:r>
          </w:p>
        </w:tc>
        <w:tc>
          <w:tcPr>
            <w:tcW w:w="1925" w:type="dxa"/>
            <w:vAlign w:val="center"/>
          </w:tcPr>
          <w:p>
            <w:pPr>
              <w:spacing w:line="260" w:lineRule="exact"/>
              <w:jc w:val="distribute"/>
              <w:rPr>
                <w:sz w:val="18"/>
                <w:szCs w:val="18"/>
              </w:rPr>
            </w:pPr>
            <w:r>
              <w:rPr>
                <w:sz w:val="18"/>
                <w:szCs w:val="18"/>
              </w:rPr>
              <w:t>国 家 统 计 局</w:t>
            </w:r>
          </w:p>
        </w:tc>
      </w:tr>
      <w:tr>
        <w:trPr>
          <w:jc w:val="center"/>
        </w:trPr>
        <w:tc>
          <w:tcPr>
            <w:tcW w:w="6655" w:type="dxa"/>
            <w:gridSpan w:val="3"/>
          </w:tcPr>
          <w:p>
            <w:pPr>
              <w:spacing w:line="260" w:lineRule="exact"/>
              <w:rPr>
                <w:rFonts w:hint="eastAsia" w:eastAsia="宋体"/>
                <w:sz w:val="18"/>
                <w:szCs w:val="18"/>
                <w:lang w:eastAsia="zh-CN"/>
              </w:rPr>
            </w:pPr>
          </w:p>
        </w:tc>
        <w:tc>
          <w:tcPr>
            <w:tcW w:w="850" w:type="dxa"/>
            <w:tcMar>
              <w:left w:w="0" w:type="dxa"/>
              <w:right w:w="0" w:type="dxa"/>
            </w:tcMar>
            <w:vAlign w:val="center"/>
          </w:tcPr>
          <w:p>
            <w:pPr>
              <w:spacing w:line="260" w:lineRule="exact"/>
              <w:rPr>
                <w:sz w:val="18"/>
                <w:szCs w:val="18"/>
              </w:rPr>
            </w:pPr>
            <w:r>
              <w:rPr>
                <w:sz w:val="18"/>
                <w:szCs w:val="18"/>
              </w:rPr>
              <w:t>文    号：</w:t>
            </w:r>
          </w:p>
        </w:tc>
        <w:tc>
          <w:tcPr>
            <w:tcW w:w="1925" w:type="dxa"/>
            <w:vAlign w:val="center"/>
          </w:tcPr>
          <w:p>
            <w:pPr>
              <w:spacing w:line="260" w:lineRule="exact"/>
              <w:jc w:val="distribute"/>
              <w:rPr>
                <w:sz w:val="18"/>
                <w:szCs w:val="18"/>
              </w:rPr>
            </w:pPr>
            <w:r>
              <w:rPr>
                <w:rFonts w:hint="eastAsia" w:ascii="宋体" w:hAnsi="宋体"/>
                <w:sz w:val="18"/>
                <w:szCs w:val="18"/>
              </w:rPr>
              <w:t>国统</w:t>
            </w:r>
            <w:r>
              <w:rPr>
                <w:rFonts w:hint="eastAsia" w:ascii="宋体" w:hAnsi="宋体"/>
                <w:spacing w:val="-16"/>
                <w:sz w:val="18"/>
                <w:szCs w:val="18"/>
              </w:rPr>
              <w:t>字</w:t>
            </w:r>
            <w:r>
              <w:rPr>
                <w:rFonts w:hint="default" w:ascii="宋体" w:hAnsi="宋体"/>
                <w:spacing w:val="-16"/>
                <w:sz w:val="18"/>
                <w:szCs w:val="18"/>
                <w:lang w:val="en-US" w:eastAsia="zh-CN"/>
              </w:rPr>
              <w:t>〔２０２</w:t>
            </w:r>
            <w:r>
              <w:rPr>
                <w:rFonts w:hint="eastAsia" w:ascii="宋体" w:hAnsi="宋体"/>
                <w:spacing w:val="-16"/>
                <w:sz w:val="18"/>
                <w:szCs w:val="18"/>
                <w:lang w:val="en-US" w:eastAsia="zh-CN"/>
              </w:rPr>
              <w:t>5</w:t>
            </w:r>
            <w:r>
              <w:rPr>
                <w:rFonts w:hint="default" w:ascii="宋体" w:hAnsi="宋体"/>
                <w:spacing w:val="-16"/>
                <w:sz w:val="18"/>
                <w:szCs w:val="18"/>
                <w:lang w:val="en-US" w:eastAsia="zh-CN"/>
              </w:rPr>
              <w:t>〕</w:t>
            </w:r>
            <w:r>
              <w:rPr>
                <w:rFonts w:hint="eastAsia" w:ascii="宋体" w:hAnsi="宋体"/>
                <w:spacing w:val="-16"/>
                <w:sz w:val="18"/>
                <w:szCs w:val="18"/>
                <w:lang w:val="en-US" w:eastAsia="zh-CN"/>
              </w:rPr>
              <w:t>88</w:t>
            </w:r>
            <w:r>
              <w:rPr>
                <w:rFonts w:hint="eastAsia" w:ascii="宋体" w:hAnsi="宋体"/>
                <w:spacing w:val="-16"/>
                <w:sz w:val="18"/>
                <w:szCs w:val="18"/>
                <w:lang w:val="en" w:eastAsia="zh-CN"/>
              </w:rPr>
              <w:t>号</w:t>
            </w:r>
          </w:p>
        </w:tc>
      </w:tr>
      <w:tr>
        <w:tblPrEx>
          <w:tblCellMar>
            <w:top w:w="0" w:type="dxa"/>
            <w:left w:w="0" w:type="dxa"/>
            <w:bottom w:w="0" w:type="dxa"/>
            <w:right w:w="0" w:type="dxa"/>
          </w:tblCellMar>
        </w:tblPrEx>
        <w:trPr>
          <w:jc w:val="center"/>
        </w:trPr>
        <w:tc>
          <w:tcPr>
            <w:tcW w:w="3209" w:type="dxa"/>
          </w:tcPr>
          <w:p>
            <w:pPr>
              <w:spacing w:line="260" w:lineRule="exact"/>
              <w:rPr>
                <w:sz w:val="18"/>
                <w:szCs w:val="18"/>
              </w:rPr>
            </w:pPr>
            <w:r>
              <w:rPr>
                <w:sz w:val="18"/>
              </w:rPr>
              <w:t>单位详细名称：</w:t>
            </w:r>
          </w:p>
        </w:tc>
        <w:tc>
          <w:tcPr>
            <w:tcW w:w="790" w:type="dxa"/>
          </w:tcPr>
          <w:p>
            <w:pPr>
              <w:spacing w:line="260" w:lineRule="exact"/>
              <w:rPr>
                <w:sz w:val="18"/>
                <w:szCs w:val="18"/>
              </w:rPr>
            </w:pPr>
          </w:p>
        </w:tc>
        <w:tc>
          <w:tcPr>
            <w:tcW w:w="2656" w:type="dxa"/>
          </w:tcPr>
          <w:p>
            <w:pPr>
              <w:spacing w:line="260" w:lineRule="exact"/>
              <w:rPr>
                <w:rFonts w:hint="eastAsia" w:eastAsia="宋体"/>
                <w:sz w:val="18"/>
                <w:szCs w:val="18"/>
                <w:lang w:eastAsia="zh-CN"/>
              </w:rPr>
            </w:pPr>
            <w:r>
              <w:rPr>
                <w:sz w:val="18"/>
                <w:szCs w:val="18"/>
              </w:rPr>
              <w:t>２０　　年　１－　</w:t>
            </w:r>
            <w:r>
              <w:rPr>
                <w:rFonts w:hint="eastAsia"/>
                <w:sz w:val="18"/>
                <w:szCs w:val="18"/>
                <w:lang w:val="en-US" w:eastAsia="zh-CN"/>
              </w:rPr>
              <w:t>月</w:t>
            </w:r>
          </w:p>
        </w:tc>
        <w:tc>
          <w:tcPr>
            <w:tcW w:w="850" w:type="dxa"/>
            <w:tcMar>
              <w:left w:w="0" w:type="dxa"/>
              <w:right w:w="0" w:type="dxa"/>
            </w:tcMar>
            <w:vAlign w:val="center"/>
          </w:tcPr>
          <w:p>
            <w:pPr>
              <w:spacing w:line="260" w:lineRule="exact"/>
              <w:rPr>
                <w:sz w:val="18"/>
                <w:szCs w:val="18"/>
              </w:rPr>
            </w:pPr>
            <w:r>
              <w:rPr>
                <w:sz w:val="18"/>
                <w:szCs w:val="18"/>
              </w:rPr>
              <w:t>有效期至：</w:t>
            </w:r>
          </w:p>
        </w:tc>
        <w:tc>
          <w:tcPr>
            <w:tcW w:w="1925" w:type="dxa"/>
            <w:vAlign w:val="center"/>
          </w:tcPr>
          <w:p>
            <w:pPr>
              <w:spacing w:line="260" w:lineRule="exact"/>
              <w:jc w:val="distribute"/>
              <w:rPr>
                <w:rFonts w:hint="default" w:eastAsia="宋体"/>
                <w:sz w:val="18"/>
                <w:szCs w:val="18"/>
                <w:lang w:val="en-US" w:eastAsia="zh-CN"/>
              </w:rPr>
            </w:pPr>
            <w:r>
              <w:rPr>
                <w:rFonts w:hint="default"/>
                <w:sz w:val="18"/>
                <w:szCs w:val="18"/>
                <w:lang w:val="en-US" w:eastAsia="zh-CN"/>
              </w:rPr>
              <w:t>２０２</w:t>
            </w:r>
            <w:r>
              <w:rPr>
                <w:rFonts w:hint="eastAsia"/>
                <w:sz w:val="18"/>
                <w:szCs w:val="18"/>
                <w:lang w:val="en-US" w:eastAsia="zh-CN"/>
              </w:rPr>
              <w:t>7</w:t>
            </w:r>
            <w:r>
              <w:rPr>
                <w:rFonts w:hint="default"/>
                <w:sz w:val="18"/>
                <w:szCs w:val="18"/>
                <w:lang w:val="en-US" w:eastAsia="zh-CN"/>
              </w:rPr>
              <w:t>年１月</w:t>
            </w:r>
          </w:p>
        </w:tc>
      </w:tr>
    </w:tbl>
    <w:p>
      <w:pPr>
        <w:spacing w:line="20" w:lineRule="exact"/>
        <w:rPr>
          <w:sz w:val="18"/>
          <w:szCs w:val="18"/>
        </w:rPr>
      </w:pPr>
    </w:p>
    <w:tbl>
      <w:tblPr>
        <w:tblStyle w:val="17"/>
        <w:tblW w:w="5013" w:type="pct"/>
        <w:jc w:val="center"/>
        <w:tblLayout w:type="autofit"/>
        <w:tblCellMar>
          <w:top w:w="0" w:type="dxa"/>
          <w:left w:w="0" w:type="dxa"/>
          <w:bottom w:w="0" w:type="dxa"/>
          <w:right w:w="0" w:type="dxa"/>
        </w:tblCellMar>
      </w:tblPr>
      <w:tblGrid>
        <w:gridCol w:w="970"/>
        <w:gridCol w:w="680"/>
        <w:gridCol w:w="680"/>
        <w:gridCol w:w="680"/>
        <w:gridCol w:w="680"/>
        <w:gridCol w:w="798"/>
        <w:gridCol w:w="829"/>
        <w:gridCol w:w="830"/>
        <w:gridCol w:w="830"/>
        <w:gridCol w:w="830"/>
        <w:gridCol w:w="830"/>
        <w:gridCol w:w="830"/>
      </w:tblGrid>
      <w:tr>
        <w:tblPrEx>
          <w:tblCellMar>
            <w:top w:w="0" w:type="dxa"/>
            <w:left w:w="0" w:type="dxa"/>
            <w:bottom w:w="0" w:type="dxa"/>
            <w:right w:w="0" w:type="dxa"/>
          </w:tblCellMar>
        </w:tblPrEx>
        <w:trPr>
          <w:trHeight w:val="454" w:hRule="atLeast"/>
          <w:jc w:val="center"/>
        </w:trPr>
        <w:tc>
          <w:tcPr>
            <w:tcW w:w="970" w:type="dxa"/>
            <w:vMerge w:val="restart"/>
            <w:tcBorders>
              <w:top w:val="single" w:color="auto" w:sz="8" w:space="0"/>
              <w:bottom w:val="single" w:color="auto" w:sz="4"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r>
              <w:rPr>
                <w:bCs/>
                <w:sz w:val="18"/>
                <w:szCs w:val="18"/>
              </w:rPr>
              <w:t>单位产品   能耗名称</w:t>
            </w:r>
          </w:p>
        </w:tc>
        <w:tc>
          <w:tcPr>
            <w:tcW w:w="2040" w:type="dxa"/>
            <w:gridSpan w:val="3"/>
            <w:tcBorders>
              <w:top w:val="single" w:color="auto" w:sz="8" w:space="0"/>
              <w:left w:val="single" w:color="auto" w:sz="2" w:space="0"/>
              <w:bottom w:val="single" w:color="auto" w:sz="2" w:space="0"/>
              <w:right w:val="single" w:color="auto" w:sz="2" w:space="0"/>
            </w:tcBorders>
            <w:shd w:val="clear" w:color="auto" w:fill="auto"/>
            <w:tcMar>
              <w:top w:w="15" w:type="dxa"/>
              <w:left w:w="15" w:type="dxa"/>
              <w:bottom w:w="0" w:type="dxa"/>
              <w:right w:w="15" w:type="dxa"/>
            </w:tcMar>
            <w:vAlign w:val="center"/>
          </w:tcPr>
          <w:p>
            <w:pPr>
              <w:spacing w:line="240" w:lineRule="exact"/>
              <w:jc w:val="center"/>
              <w:rPr>
                <w:bCs/>
                <w:sz w:val="18"/>
                <w:szCs w:val="18"/>
              </w:rPr>
            </w:pPr>
            <w:r>
              <w:rPr>
                <w:bCs/>
                <w:sz w:val="18"/>
                <w:szCs w:val="18"/>
              </w:rPr>
              <w:t>计量单位</w:t>
            </w:r>
          </w:p>
        </w:tc>
        <w:tc>
          <w:tcPr>
            <w:tcW w:w="680" w:type="dxa"/>
            <w:vMerge w:val="restart"/>
            <w:tcBorders>
              <w:top w:val="single" w:color="auto" w:sz="8" w:space="0"/>
              <w:left w:val="single" w:color="auto" w:sz="2" w:space="0"/>
              <w:right w:val="single" w:color="auto" w:sz="2" w:space="0"/>
            </w:tcBorders>
            <w:shd w:val="clear" w:color="auto" w:fill="auto"/>
            <w:tcMar>
              <w:top w:w="15" w:type="dxa"/>
              <w:left w:w="15" w:type="dxa"/>
              <w:bottom w:w="0" w:type="dxa"/>
              <w:right w:w="15" w:type="dxa"/>
            </w:tcMar>
            <w:vAlign w:val="center"/>
          </w:tcPr>
          <w:p>
            <w:pPr>
              <w:spacing w:line="240" w:lineRule="exact"/>
              <w:jc w:val="center"/>
              <w:rPr>
                <w:bCs/>
                <w:sz w:val="18"/>
                <w:szCs w:val="18"/>
              </w:rPr>
            </w:pPr>
            <w:r>
              <w:rPr>
                <w:bCs/>
                <w:sz w:val="18"/>
                <w:szCs w:val="18"/>
              </w:rPr>
              <w:t>代码</w:t>
            </w:r>
          </w:p>
        </w:tc>
        <w:tc>
          <w:tcPr>
            <w:tcW w:w="798" w:type="dxa"/>
            <w:vMerge w:val="restart"/>
            <w:tcBorders>
              <w:top w:val="single" w:color="auto" w:sz="8" w:space="0"/>
              <w:left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r>
              <w:rPr>
                <w:bCs/>
                <w:sz w:val="18"/>
                <w:szCs w:val="18"/>
              </w:rPr>
              <w:t>单位换算　　　系    数</w:t>
            </w:r>
          </w:p>
        </w:tc>
        <w:tc>
          <w:tcPr>
            <w:tcW w:w="2489" w:type="dxa"/>
            <w:gridSpan w:val="3"/>
            <w:tcBorders>
              <w:top w:val="single" w:color="auto" w:sz="8" w:space="0"/>
              <w:left w:val="single" w:color="auto" w:sz="2" w:space="0"/>
              <w:bottom w:val="single" w:color="auto" w:sz="2" w:space="0"/>
              <w:right w:val="single" w:color="auto" w:sz="2" w:space="0"/>
            </w:tcBorders>
            <w:shd w:val="clear" w:color="auto" w:fill="auto"/>
            <w:tcMar>
              <w:top w:w="15" w:type="dxa"/>
              <w:left w:w="15" w:type="dxa"/>
              <w:bottom w:w="0" w:type="dxa"/>
              <w:right w:w="15" w:type="dxa"/>
            </w:tcMar>
            <w:vAlign w:val="center"/>
          </w:tcPr>
          <w:p>
            <w:pPr>
              <w:spacing w:line="240" w:lineRule="exact"/>
              <w:jc w:val="center"/>
              <w:rPr>
                <w:bCs/>
                <w:sz w:val="18"/>
                <w:szCs w:val="18"/>
              </w:rPr>
            </w:pPr>
            <w:r>
              <w:rPr>
                <w:bCs/>
                <w:sz w:val="18"/>
                <w:szCs w:val="18"/>
              </w:rPr>
              <w:t>本    期</w:t>
            </w:r>
          </w:p>
        </w:tc>
        <w:tc>
          <w:tcPr>
            <w:tcW w:w="2490" w:type="dxa"/>
            <w:gridSpan w:val="3"/>
            <w:tcBorders>
              <w:top w:val="single" w:color="auto" w:sz="8" w:space="0"/>
              <w:left w:val="single" w:color="auto" w:sz="2" w:space="0"/>
              <w:bottom w:val="single" w:color="auto" w:sz="2" w:space="0"/>
            </w:tcBorders>
            <w:shd w:val="clear" w:color="auto" w:fill="D9D9D9"/>
            <w:tcMar>
              <w:top w:w="15" w:type="dxa"/>
              <w:left w:w="15" w:type="dxa"/>
              <w:bottom w:w="0" w:type="dxa"/>
              <w:right w:w="15" w:type="dxa"/>
            </w:tcMar>
            <w:vAlign w:val="center"/>
          </w:tcPr>
          <w:p>
            <w:pPr>
              <w:spacing w:line="240" w:lineRule="exact"/>
              <w:jc w:val="center"/>
              <w:rPr>
                <w:bCs/>
                <w:sz w:val="18"/>
                <w:szCs w:val="18"/>
              </w:rPr>
            </w:pPr>
            <w:r>
              <w:rPr>
                <w:bCs/>
                <w:sz w:val="18"/>
                <w:szCs w:val="18"/>
              </w:rPr>
              <w:t>上年同期</w:t>
            </w:r>
          </w:p>
        </w:tc>
      </w:tr>
      <w:tr>
        <w:tblPrEx>
          <w:tblCellMar>
            <w:top w:w="0" w:type="dxa"/>
            <w:left w:w="0" w:type="dxa"/>
            <w:bottom w:w="0" w:type="dxa"/>
            <w:right w:w="0" w:type="dxa"/>
          </w:tblCellMar>
        </w:tblPrEx>
        <w:trPr>
          <w:trHeight w:val="737" w:hRule="atLeast"/>
          <w:jc w:val="center"/>
        </w:trPr>
        <w:tc>
          <w:tcPr>
            <w:tcW w:w="970" w:type="dxa"/>
            <w:vMerge w:val="continue"/>
            <w:tcBorders>
              <w:top w:val="single" w:color="auto" w:sz="4" w:space="0"/>
              <w:bottom w:val="single" w:color="auto" w:sz="2" w:space="0"/>
              <w:right w:val="single" w:color="auto" w:sz="2" w:space="0"/>
            </w:tcBorders>
            <w:vAlign w:val="center"/>
          </w:tcPr>
          <w:p>
            <w:pPr>
              <w:spacing w:line="240" w:lineRule="exact"/>
              <w:jc w:val="center"/>
              <w:rPr>
                <w:bCs/>
                <w:sz w:val="18"/>
                <w:szCs w:val="18"/>
              </w:rPr>
            </w:pPr>
          </w:p>
        </w:tc>
        <w:tc>
          <w:tcPr>
            <w:tcW w:w="680" w:type="dxa"/>
            <w:tcBorders>
              <w:top w:val="single" w:color="auto" w:sz="2" w:space="0"/>
              <w:left w:val="single" w:color="auto" w:sz="2" w:space="0"/>
              <w:bottom w:val="single" w:color="auto" w:sz="2" w:space="0"/>
              <w:right w:val="single" w:color="auto" w:sz="2" w:space="0"/>
            </w:tcBorders>
            <w:shd w:val="clear" w:color="auto" w:fill="auto"/>
            <w:vAlign w:val="center"/>
          </w:tcPr>
          <w:p>
            <w:pPr>
              <w:spacing w:line="240" w:lineRule="exact"/>
              <w:jc w:val="center"/>
              <w:rPr>
                <w:bCs/>
                <w:sz w:val="18"/>
                <w:szCs w:val="18"/>
              </w:rPr>
            </w:pPr>
            <w:r>
              <w:rPr>
                <w:bCs/>
                <w:sz w:val="18"/>
                <w:szCs w:val="18"/>
              </w:rPr>
              <w:t>指标    单位</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r>
              <w:rPr>
                <w:bCs/>
                <w:sz w:val="18"/>
                <w:szCs w:val="18"/>
              </w:rPr>
              <w:t>子项    单位</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r>
              <w:rPr>
                <w:bCs/>
                <w:sz w:val="18"/>
                <w:szCs w:val="18"/>
              </w:rPr>
              <w:t>母项    单位</w:t>
            </w:r>
          </w:p>
        </w:tc>
        <w:tc>
          <w:tcPr>
            <w:tcW w:w="680" w:type="dxa"/>
            <w:vMerge w:val="continue"/>
            <w:tcBorders>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p>
        </w:tc>
        <w:tc>
          <w:tcPr>
            <w:tcW w:w="798" w:type="dxa"/>
            <w:vMerge w:val="continue"/>
            <w:tcBorders>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p>
        </w:tc>
        <w:tc>
          <w:tcPr>
            <w:tcW w:w="829"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szCs w:val="18"/>
              </w:rPr>
            </w:pPr>
            <w:r>
              <w:rPr>
                <w:bCs/>
                <w:sz w:val="18"/>
                <w:szCs w:val="18"/>
              </w:rPr>
              <w:t>指标值</w:t>
            </w:r>
          </w:p>
        </w:tc>
        <w:tc>
          <w:tcPr>
            <w:tcW w:w="83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rPr>
            </w:pPr>
            <w:r>
              <w:rPr>
                <w:bCs/>
                <w:sz w:val="18"/>
              </w:rPr>
              <w:t>子项值</w:t>
            </w:r>
          </w:p>
        </w:tc>
        <w:tc>
          <w:tcPr>
            <w:tcW w:w="83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rPr>
                <w:bCs/>
                <w:sz w:val="18"/>
              </w:rPr>
            </w:pPr>
            <w:r>
              <w:rPr>
                <w:bCs/>
                <w:sz w:val="18"/>
              </w:rPr>
              <w:t>母项值</w:t>
            </w:r>
          </w:p>
        </w:tc>
        <w:tc>
          <w:tcPr>
            <w:tcW w:w="830" w:type="dxa"/>
            <w:tcBorders>
              <w:top w:val="single" w:color="auto" w:sz="2" w:space="0"/>
              <w:left w:val="single" w:color="auto" w:sz="2" w:space="0"/>
              <w:bottom w:val="single" w:color="auto" w:sz="2" w:space="0"/>
              <w:right w:val="single" w:color="auto" w:sz="2" w:space="0"/>
            </w:tcBorders>
            <w:shd w:val="clear" w:color="auto" w:fill="D9D9D9"/>
            <w:tcMar>
              <w:top w:w="15" w:type="dxa"/>
              <w:left w:w="15" w:type="dxa"/>
              <w:bottom w:w="0" w:type="dxa"/>
              <w:right w:w="15" w:type="dxa"/>
            </w:tcMar>
            <w:vAlign w:val="center"/>
          </w:tcPr>
          <w:p>
            <w:pPr>
              <w:spacing w:line="240" w:lineRule="exact"/>
              <w:jc w:val="center"/>
              <w:rPr>
                <w:bCs/>
                <w:sz w:val="18"/>
                <w:szCs w:val="18"/>
              </w:rPr>
            </w:pPr>
            <w:r>
              <w:rPr>
                <w:bCs/>
                <w:sz w:val="18"/>
                <w:szCs w:val="18"/>
              </w:rPr>
              <w:t>指标值</w:t>
            </w:r>
          </w:p>
        </w:tc>
        <w:tc>
          <w:tcPr>
            <w:tcW w:w="830" w:type="dxa"/>
            <w:tcBorders>
              <w:top w:val="single" w:color="auto" w:sz="2" w:space="0"/>
              <w:left w:val="single" w:color="auto" w:sz="2" w:space="0"/>
              <w:bottom w:val="single" w:color="auto" w:sz="2" w:space="0"/>
              <w:right w:val="single" w:color="auto" w:sz="2" w:space="0"/>
            </w:tcBorders>
            <w:shd w:val="clear" w:color="auto" w:fill="D9D9D9"/>
            <w:tcMar>
              <w:top w:w="15" w:type="dxa"/>
              <w:left w:w="15" w:type="dxa"/>
              <w:bottom w:w="0" w:type="dxa"/>
              <w:right w:w="15" w:type="dxa"/>
            </w:tcMar>
            <w:vAlign w:val="center"/>
          </w:tcPr>
          <w:p>
            <w:pPr>
              <w:spacing w:line="240" w:lineRule="exact"/>
              <w:jc w:val="center"/>
              <w:rPr>
                <w:bCs/>
                <w:sz w:val="18"/>
                <w:szCs w:val="18"/>
              </w:rPr>
            </w:pPr>
            <w:r>
              <w:rPr>
                <w:bCs/>
                <w:sz w:val="18"/>
                <w:szCs w:val="18"/>
              </w:rPr>
              <w:t>子项值</w:t>
            </w:r>
          </w:p>
        </w:tc>
        <w:tc>
          <w:tcPr>
            <w:tcW w:w="830" w:type="dxa"/>
            <w:tcBorders>
              <w:top w:val="single" w:color="auto" w:sz="2" w:space="0"/>
              <w:left w:val="single" w:color="auto" w:sz="2" w:space="0"/>
              <w:bottom w:val="single" w:color="auto" w:sz="2" w:space="0"/>
            </w:tcBorders>
            <w:shd w:val="clear" w:color="auto" w:fill="D9D9D9"/>
            <w:tcMar>
              <w:top w:w="15" w:type="dxa"/>
              <w:left w:w="15" w:type="dxa"/>
              <w:bottom w:w="0" w:type="dxa"/>
              <w:right w:w="15" w:type="dxa"/>
            </w:tcMar>
            <w:vAlign w:val="center"/>
          </w:tcPr>
          <w:p>
            <w:pPr>
              <w:spacing w:line="240" w:lineRule="exact"/>
              <w:jc w:val="center"/>
              <w:rPr>
                <w:bCs/>
                <w:sz w:val="18"/>
                <w:szCs w:val="18"/>
              </w:rPr>
            </w:pPr>
            <w:r>
              <w:rPr>
                <w:bCs/>
                <w:sz w:val="18"/>
                <w:szCs w:val="18"/>
              </w:rPr>
              <w:t>母项值</w:t>
            </w:r>
          </w:p>
        </w:tc>
      </w:tr>
      <w:tr>
        <w:tblPrEx>
          <w:tblCellMar>
            <w:top w:w="0" w:type="dxa"/>
            <w:left w:w="0" w:type="dxa"/>
            <w:bottom w:w="0" w:type="dxa"/>
            <w:right w:w="0" w:type="dxa"/>
          </w:tblCellMar>
        </w:tblPrEx>
        <w:trPr>
          <w:trHeight w:val="306" w:hRule="atLeast"/>
          <w:jc w:val="center"/>
        </w:trPr>
        <w:tc>
          <w:tcPr>
            <w:tcW w:w="970" w:type="dxa"/>
            <w:tcBorders>
              <w:top w:val="single" w:color="auto" w:sz="2" w:space="0"/>
              <w:left w:val="nil"/>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甲</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乙</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丙</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丁</w:t>
            </w:r>
          </w:p>
        </w:tc>
        <w:tc>
          <w:tcPr>
            <w:tcW w:w="68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戊</w:t>
            </w:r>
          </w:p>
        </w:tc>
        <w:tc>
          <w:tcPr>
            <w:tcW w:w="798"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1</w:t>
            </w:r>
          </w:p>
        </w:tc>
        <w:tc>
          <w:tcPr>
            <w:tcW w:w="829"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2</w:t>
            </w:r>
          </w:p>
        </w:tc>
        <w:tc>
          <w:tcPr>
            <w:tcW w:w="83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3</w:t>
            </w:r>
          </w:p>
        </w:tc>
        <w:tc>
          <w:tcPr>
            <w:tcW w:w="830" w:type="dxa"/>
            <w:tcBorders>
              <w:top w:val="single" w:color="auto" w:sz="2" w:space="0"/>
              <w:left w:val="single" w:color="auto" w:sz="2" w:space="0"/>
              <w:bottom w:val="single" w:color="auto" w:sz="2" w:space="0"/>
              <w:right w:val="single" w:color="auto" w:sz="2" w:space="0"/>
            </w:tcBorders>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4</w:t>
            </w:r>
          </w:p>
        </w:tc>
        <w:tc>
          <w:tcPr>
            <w:tcW w:w="830" w:type="dxa"/>
            <w:tcBorders>
              <w:top w:val="single" w:color="auto" w:sz="2" w:space="0"/>
              <w:left w:val="single" w:color="auto" w:sz="2" w:space="0"/>
              <w:bottom w:val="single" w:color="auto" w:sz="2" w:space="0"/>
              <w:right w:val="single" w:color="auto" w:sz="2" w:space="0"/>
            </w:tcBorders>
            <w:shd w:val="clear" w:color="auto" w:fill="D9D9D9"/>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5</w:t>
            </w:r>
          </w:p>
        </w:tc>
        <w:tc>
          <w:tcPr>
            <w:tcW w:w="830" w:type="dxa"/>
            <w:tcBorders>
              <w:top w:val="single" w:color="auto" w:sz="2" w:space="0"/>
              <w:left w:val="single" w:color="auto" w:sz="2" w:space="0"/>
              <w:bottom w:val="single" w:color="auto" w:sz="2" w:space="0"/>
              <w:right w:val="single" w:color="auto" w:sz="2" w:space="0"/>
            </w:tcBorders>
            <w:shd w:val="clear" w:color="auto" w:fill="D9D9D9"/>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6</w:t>
            </w:r>
          </w:p>
        </w:tc>
        <w:tc>
          <w:tcPr>
            <w:tcW w:w="830" w:type="dxa"/>
            <w:tcBorders>
              <w:top w:val="single" w:color="auto" w:sz="2" w:space="0"/>
              <w:left w:val="single" w:color="auto" w:sz="2" w:space="0"/>
              <w:bottom w:val="single" w:color="auto" w:sz="2" w:space="0"/>
              <w:right w:val="nil"/>
            </w:tcBorders>
            <w:shd w:val="clear" w:color="auto" w:fill="D9D9D9"/>
            <w:tcMar>
              <w:top w:w="15" w:type="dxa"/>
              <w:left w:w="15" w:type="dxa"/>
              <w:bottom w:w="0" w:type="dxa"/>
              <w:right w:w="15" w:type="dxa"/>
            </w:tcMar>
            <w:vAlign w:val="center"/>
          </w:tcPr>
          <w:p>
            <w:pPr>
              <w:spacing w:line="240" w:lineRule="exact"/>
              <w:jc w:val="center"/>
              <w:textAlignment w:val="center"/>
              <w:rPr>
                <w:bCs/>
                <w:sz w:val="18"/>
                <w:szCs w:val="18"/>
              </w:rPr>
            </w:pPr>
            <w:r>
              <w:rPr>
                <w:bCs/>
                <w:sz w:val="18"/>
                <w:szCs w:val="18"/>
              </w:rPr>
              <w:t>7</w:t>
            </w:r>
          </w:p>
        </w:tc>
      </w:tr>
      <w:tr>
        <w:tblPrEx>
          <w:tblCellMar>
            <w:top w:w="0" w:type="dxa"/>
            <w:left w:w="0" w:type="dxa"/>
            <w:bottom w:w="0" w:type="dxa"/>
            <w:right w:w="0" w:type="dxa"/>
          </w:tblCellMar>
        </w:tblPrEx>
        <w:trPr>
          <w:trHeight w:val="850" w:hRule="atLeast"/>
          <w:jc w:val="center"/>
        </w:trPr>
        <w:tc>
          <w:tcPr>
            <w:tcW w:w="970" w:type="dxa"/>
            <w:tcBorders>
              <w:top w:val="single" w:color="auto" w:sz="2" w:space="0"/>
              <w:bottom w:val="single" w:color="auto" w:sz="8" w:space="0"/>
              <w:right w:val="single" w:color="auto" w:sz="2" w:space="0"/>
            </w:tcBorders>
            <w:vAlign w:val="center"/>
          </w:tcPr>
          <w:p>
            <w:pPr>
              <w:spacing w:line="240" w:lineRule="exact"/>
              <w:rPr>
                <w:bCs/>
                <w:szCs w:val="21"/>
              </w:rPr>
            </w:pPr>
          </w:p>
        </w:tc>
        <w:tc>
          <w:tcPr>
            <w:tcW w:w="680" w:type="dxa"/>
            <w:tcBorders>
              <w:top w:val="single" w:color="auto" w:sz="2" w:space="0"/>
              <w:left w:val="single" w:color="auto" w:sz="2" w:space="0"/>
              <w:bottom w:val="single" w:color="auto" w:sz="8" w:space="0"/>
              <w:right w:val="single" w:color="auto" w:sz="2" w:space="0"/>
            </w:tcBorders>
            <w:vAlign w:val="center"/>
          </w:tcPr>
          <w:p>
            <w:pPr>
              <w:spacing w:line="240" w:lineRule="exact"/>
              <w:rPr>
                <w:bCs/>
                <w:sz w:val="18"/>
                <w:szCs w:val="18"/>
              </w:rPr>
            </w:pPr>
          </w:p>
        </w:tc>
        <w:tc>
          <w:tcPr>
            <w:tcW w:w="680" w:type="dxa"/>
            <w:tcBorders>
              <w:top w:val="single" w:color="auto" w:sz="2" w:space="0"/>
              <w:left w:val="single" w:color="auto" w:sz="2" w:space="0"/>
              <w:bottom w:val="single" w:color="auto" w:sz="8" w:space="0"/>
              <w:right w:val="single" w:color="auto" w:sz="2" w:space="0"/>
            </w:tcBorders>
            <w:vAlign w:val="center"/>
          </w:tcPr>
          <w:p>
            <w:pPr>
              <w:spacing w:line="240" w:lineRule="exact"/>
              <w:rPr>
                <w:bCs/>
                <w:szCs w:val="21"/>
              </w:rPr>
            </w:pPr>
          </w:p>
        </w:tc>
        <w:tc>
          <w:tcPr>
            <w:tcW w:w="680" w:type="dxa"/>
            <w:tcBorders>
              <w:top w:val="single" w:color="auto" w:sz="2" w:space="0"/>
              <w:left w:val="single" w:color="auto" w:sz="2" w:space="0"/>
              <w:bottom w:val="single" w:color="auto" w:sz="8" w:space="0"/>
              <w:right w:val="single" w:color="auto" w:sz="2" w:space="0"/>
            </w:tcBorders>
            <w:vAlign w:val="center"/>
          </w:tcPr>
          <w:p>
            <w:pPr>
              <w:spacing w:line="240" w:lineRule="exact"/>
              <w:rPr>
                <w:bCs/>
                <w:szCs w:val="21"/>
              </w:rPr>
            </w:pPr>
          </w:p>
        </w:tc>
        <w:tc>
          <w:tcPr>
            <w:tcW w:w="680" w:type="dxa"/>
            <w:tcBorders>
              <w:top w:val="single" w:color="auto" w:sz="2" w:space="0"/>
              <w:left w:val="single" w:color="auto" w:sz="2" w:space="0"/>
              <w:bottom w:val="single" w:color="auto" w:sz="8" w:space="0"/>
              <w:right w:val="single" w:color="auto" w:sz="2" w:space="0"/>
            </w:tcBorders>
            <w:vAlign w:val="center"/>
          </w:tcPr>
          <w:p>
            <w:pPr>
              <w:spacing w:line="240" w:lineRule="exact"/>
              <w:rPr>
                <w:bCs/>
                <w:szCs w:val="21"/>
              </w:rPr>
            </w:pPr>
          </w:p>
        </w:tc>
        <w:tc>
          <w:tcPr>
            <w:tcW w:w="5777" w:type="dxa"/>
            <w:gridSpan w:val="7"/>
            <w:tcBorders>
              <w:top w:val="single" w:color="auto" w:sz="2" w:space="0"/>
              <w:left w:val="single" w:color="auto" w:sz="2" w:space="0"/>
              <w:bottom w:val="single" w:color="auto" w:sz="8" w:space="0"/>
            </w:tcBorders>
            <w:vAlign w:val="center"/>
          </w:tcPr>
          <w:p>
            <w:pPr>
              <w:spacing w:line="240" w:lineRule="exact"/>
              <w:rPr>
                <w:bCs/>
                <w:szCs w:val="21"/>
              </w:rPr>
            </w:pPr>
          </w:p>
        </w:tc>
      </w:tr>
    </w:tbl>
    <w:p>
      <w:pPr>
        <w:adjustRightInd w:val="0"/>
        <w:spacing w:line="300" w:lineRule="exact"/>
        <w:ind w:right="-1232" w:rightChars="-587" w:firstLine="36" w:firstLineChars="20"/>
        <w:rPr>
          <w:rFonts w:hint="eastAsia" w:ascii="宋体" w:hAnsi="宋体"/>
          <w:sz w:val="18"/>
          <w:szCs w:val="18"/>
        </w:rPr>
      </w:pPr>
      <w:r>
        <w:rPr>
          <w:rFonts w:hint="eastAsia" w:ascii="宋体"/>
          <w:sz w:val="18"/>
          <w:szCs w:val="18"/>
        </w:rPr>
        <w:t>单位负责人：</w:t>
      </w:r>
      <w:r>
        <w:rPr>
          <w:rFonts w:hint="eastAsia" w:ascii="宋体"/>
          <w:sz w:val="18"/>
          <w:szCs w:val="18"/>
          <w:shd w:val="clear" w:color="auto" w:fill="FFFFFF"/>
        </w:rPr>
        <w:t>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w:t>
      </w:r>
      <w:r>
        <w:rPr>
          <w:rFonts w:hint="eastAsia" w:ascii="宋体"/>
          <w:sz w:val="18"/>
          <w:szCs w:val="18"/>
        </w:rPr>
        <w:t>统计负责人：</w:t>
      </w:r>
      <w:r>
        <w:rPr>
          <w:rFonts w:hint="eastAsia" w:ascii="宋体"/>
          <w:sz w:val="18"/>
          <w:szCs w:val="18"/>
          <w:shd w:val="clear" w:color="auto" w:fill="FFFFFF"/>
        </w:rPr>
        <w:t>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w:t>
      </w:r>
      <w:r>
        <w:rPr>
          <w:rFonts w:hint="eastAsia" w:ascii="宋体"/>
          <w:sz w:val="18"/>
          <w:szCs w:val="18"/>
        </w:rPr>
        <w:t>填表人：</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xml:space="preserve"> 　联系</w:t>
      </w:r>
      <w:r>
        <w:rPr>
          <w:rFonts w:hint="eastAsia" w:ascii="宋体" w:hAnsi="宋体"/>
          <w:sz w:val="18"/>
        </w:rPr>
        <w:t>电话</w:t>
      </w:r>
      <w:r>
        <w:rPr>
          <w:rFonts w:hint="eastAsia" w:ascii="宋体"/>
          <w:sz w:val="18"/>
          <w:szCs w:val="18"/>
        </w:rPr>
        <w:t>：</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xml:space="preserve"> </w:t>
      </w:r>
      <w:r>
        <w:rPr>
          <w:rFonts w:ascii="宋体"/>
          <w:sz w:val="18"/>
          <w:szCs w:val="18"/>
          <w:shd w:val="clear" w:color="auto" w:fill="FFFFFF"/>
        </w:rPr>
        <w:t xml:space="preserve"> </w:t>
      </w:r>
      <w:r>
        <w:rPr>
          <w:rFonts w:hint="eastAsia" w:ascii="宋体"/>
          <w:sz w:val="18"/>
          <w:szCs w:val="18"/>
          <w:shd w:val="clear" w:color="auto" w:fill="FFFFFF"/>
        </w:rPr>
        <w:t>　</w:t>
      </w:r>
      <w:r>
        <w:rPr>
          <w:rFonts w:hint="eastAsia" w:ascii="宋体"/>
          <w:sz w:val="18"/>
          <w:szCs w:val="18"/>
        </w:rPr>
        <w:t>报出日期：２０</w:t>
      </w:r>
      <w:r>
        <w:rPr>
          <w:rFonts w:hint="eastAsia" w:ascii="宋体"/>
          <w:sz w:val="18"/>
          <w:szCs w:val="18"/>
          <w:shd w:val="clear" w:color="auto" w:fill="FFFFFF"/>
        </w:rPr>
        <w:t>　</w:t>
      </w:r>
      <w:r>
        <w:rPr>
          <w:rFonts w:hint="eastAsia" w:ascii="宋体"/>
          <w:sz w:val="18"/>
          <w:szCs w:val="18"/>
        </w:rPr>
        <w:t>年</w:t>
      </w:r>
      <w:r>
        <w:rPr>
          <w:rFonts w:hint="eastAsia" w:ascii="宋体"/>
          <w:sz w:val="18"/>
          <w:szCs w:val="18"/>
          <w:shd w:val="clear" w:color="auto" w:fill="FFFFFF"/>
        </w:rPr>
        <w:t>　</w:t>
      </w:r>
      <w:r>
        <w:rPr>
          <w:rFonts w:hint="eastAsia" w:ascii="宋体"/>
          <w:sz w:val="18"/>
          <w:szCs w:val="18"/>
        </w:rPr>
        <w:t>月</w:t>
      </w:r>
      <w:r>
        <w:rPr>
          <w:rFonts w:ascii="宋体"/>
          <w:sz w:val="18"/>
          <w:szCs w:val="18"/>
          <w:shd w:val="clear" w:color="auto" w:fill="FFFFFF"/>
        </w:rPr>
        <w:t xml:space="preserve">  </w:t>
      </w:r>
      <w:r>
        <w:rPr>
          <w:rFonts w:hint="eastAsia" w:ascii="宋体"/>
          <w:sz w:val="18"/>
          <w:szCs w:val="18"/>
        </w:rPr>
        <w:t>日</w:t>
      </w:r>
    </w:p>
    <w:p>
      <w:pPr>
        <w:adjustRightInd w:val="0"/>
        <w:snapToGrid w:val="0"/>
        <w:spacing w:line="280" w:lineRule="exact"/>
        <w:ind w:left="724" w:hanging="723" w:hangingChars="402"/>
        <w:rPr>
          <w:rFonts w:hint="eastAsia" w:ascii="宋体" w:hAnsi="宋体"/>
          <w:sz w:val="18"/>
        </w:rPr>
      </w:pPr>
    </w:p>
    <w:p>
      <w:pPr>
        <w:adjustRightInd w:val="0"/>
        <w:snapToGrid w:val="0"/>
        <w:spacing w:line="280" w:lineRule="exact"/>
        <w:ind w:left="724" w:hanging="723" w:hangingChars="402"/>
        <w:rPr>
          <w:rFonts w:hint="eastAsia" w:ascii="宋体" w:hAnsi="宋体"/>
          <w:sz w:val="18"/>
        </w:rPr>
      </w:pPr>
      <w:r>
        <w:rPr>
          <w:rFonts w:hint="eastAsia" w:ascii="宋体" w:hAnsi="宋体"/>
          <w:b/>
          <w:sz w:val="18"/>
          <w:szCs w:val="18"/>
        </w:rPr>
        <w:t>说明</w:t>
      </w:r>
      <w:r>
        <w:rPr>
          <w:rFonts w:hint="eastAsia" w:ascii="宋体" w:hAnsi="宋体" w:cs="宋体"/>
          <w:b/>
          <w:sz w:val="18"/>
          <w:szCs w:val="18"/>
        </w:rPr>
        <w:t>：</w:t>
      </w:r>
      <w:r>
        <w:rPr>
          <w:rFonts w:hint="eastAsia" w:ascii="宋体" w:hAnsi="宋体"/>
          <w:sz w:val="18"/>
        </w:rPr>
        <w:t>1</w:t>
      </w:r>
      <w:r>
        <w:rPr>
          <w:rFonts w:hint="eastAsia" w:ascii="宋体" w:hAnsi="宋体"/>
          <w:sz w:val="18"/>
          <w:szCs w:val="18"/>
        </w:rPr>
        <w:t>.</w:t>
      </w:r>
      <w:r>
        <w:rPr>
          <w:rFonts w:hint="eastAsia" w:ascii="宋体" w:hAnsi="宋体"/>
          <w:sz w:val="18"/>
        </w:rPr>
        <w:t>报送单位：辖区内年综合能源消费</w:t>
      </w:r>
      <w:r>
        <w:rPr>
          <w:rFonts w:ascii="宋体" w:hAnsi="宋体"/>
          <w:sz w:val="18"/>
        </w:rPr>
        <w:t>1</w:t>
      </w:r>
      <w:r>
        <w:rPr>
          <w:rFonts w:hint="eastAsia" w:ascii="宋体" w:hAnsi="宋体"/>
          <w:sz w:val="18"/>
        </w:rPr>
        <w:t>万吨标准煤及以上的规模以上工业法人单位</w:t>
      </w:r>
      <w:r>
        <w:rPr>
          <w:rFonts w:hint="eastAsia" w:ascii="宋体"/>
          <w:sz w:val="18"/>
        </w:rPr>
        <w:t>和规模以上</w:t>
      </w:r>
      <w:r>
        <w:rPr>
          <w:rFonts w:hint="eastAsia" w:ascii="宋体"/>
          <w:sz w:val="18"/>
          <w:lang w:eastAsia="zh-CN"/>
        </w:rPr>
        <w:t>工业</w:t>
      </w:r>
      <w:r>
        <w:rPr>
          <w:rFonts w:hint="eastAsia" w:ascii="宋体"/>
          <w:sz w:val="18"/>
        </w:rPr>
        <w:t>个体经营户</w:t>
      </w:r>
      <w:r>
        <w:rPr>
          <w:rFonts w:hint="eastAsia" w:ascii="宋体" w:hAnsi="宋体"/>
          <w:sz w:val="18"/>
        </w:rPr>
        <w:t>。</w:t>
      </w:r>
    </w:p>
    <w:p>
      <w:pPr>
        <w:spacing w:line="240" w:lineRule="exact"/>
        <w:ind w:left="736" w:leftChars="265" w:hanging="180" w:hangingChars="100"/>
        <w:rPr>
          <w:rFonts w:hint="eastAsia"/>
          <w:sz w:val="18"/>
          <w:szCs w:val="18"/>
        </w:rPr>
      </w:pPr>
      <w:r>
        <w:rPr>
          <w:rFonts w:hint="eastAsia" w:ascii="宋体" w:hAnsi="宋体"/>
          <w:sz w:val="18"/>
        </w:rPr>
        <w:t>2.报送日期及方式：</w:t>
      </w:r>
      <w:r>
        <w:rPr>
          <w:rFonts w:hint="eastAsia"/>
          <w:sz w:val="18"/>
          <w:szCs w:val="18"/>
        </w:rPr>
        <w:t>调查单位上半年7月10日、下半年次年1月10日12:00前独立自行网上填报</w:t>
      </w:r>
      <w:r>
        <w:rPr>
          <w:rFonts w:hint="eastAsia" w:ascii="宋体" w:hAnsi="宋体" w:cs="宋体"/>
          <w:kern w:val="0"/>
          <w:sz w:val="18"/>
          <w:szCs w:val="18"/>
        </w:rPr>
        <w:t>。</w:t>
      </w:r>
    </w:p>
    <w:p>
      <w:pPr>
        <w:pStyle w:val="5"/>
        <w:numPr>
          <w:ilvl w:val="0"/>
          <w:numId w:val="0"/>
        </w:numPr>
        <w:spacing w:line="280" w:lineRule="exact"/>
        <w:ind w:firstLine="540" w:firstLineChars="300"/>
        <w:rPr>
          <w:rFonts w:hint="default" w:ascii="Times New Roman" w:hAnsi="Times New Roman" w:eastAsia="宋体"/>
          <w:sz w:val="18"/>
          <w:szCs w:val="18"/>
          <w:lang w:val="en-US" w:eastAsia="zh-CN"/>
        </w:rPr>
      </w:pPr>
      <w:r>
        <w:rPr>
          <w:rFonts w:hint="eastAsia" w:ascii="宋体" w:hAnsi="宋体"/>
          <w:sz w:val="18"/>
        </w:rPr>
        <w:t>3.</w:t>
      </w:r>
      <w:r>
        <w:rPr>
          <w:sz w:val="18"/>
          <w:szCs w:val="18"/>
        </w:rPr>
        <w:t>本表为半年报，上半年报送</w:t>
      </w:r>
      <w:r>
        <w:rPr>
          <w:rFonts w:ascii="Times New Roman" w:hAnsi="Times New Roman"/>
          <w:sz w:val="18"/>
          <w:szCs w:val="18"/>
        </w:rPr>
        <w:t>1-6</w:t>
      </w:r>
      <w:r>
        <w:rPr>
          <w:sz w:val="18"/>
          <w:szCs w:val="18"/>
        </w:rPr>
        <w:t>月份累计数据，下半年报送</w:t>
      </w:r>
      <w:r>
        <w:rPr>
          <w:rFonts w:ascii="Times New Roman" w:hAnsi="Times New Roman"/>
          <w:sz w:val="18"/>
          <w:szCs w:val="18"/>
        </w:rPr>
        <w:t>1-12</w:t>
      </w:r>
      <w:r>
        <w:rPr>
          <w:sz w:val="18"/>
          <w:szCs w:val="18"/>
        </w:rPr>
        <w:t>月份累计数据。</w:t>
      </w:r>
    </w:p>
    <w:p>
      <w:pPr>
        <w:snapToGrid w:val="0"/>
        <w:spacing w:line="280" w:lineRule="exact"/>
        <w:ind w:left="736" w:leftChars="265" w:right="-40" w:hanging="180" w:hangingChars="100"/>
        <w:rPr>
          <w:rFonts w:hint="eastAsia" w:ascii="宋体" w:hAnsi="宋体" w:cs="宋体"/>
          <w:kern w:val="0"/>
          <w:sz w:val="18"/>
          <w:szCs w:val="18"/>
        </w:rPr>
      </w:pPr>
      <w:r>
        <w:rPr>
          <w:rFonts w:hint="eastAsia" w:ascii="宋体" w:hAnsi="宋体"/>
          <w:sz w:val="18"/>
          <w:lang w:val="en-US" w:eastAsia="zh-CN"/>
        </w:rPr>
        <w:t>4.</w:t>
      </w:r>
      <w:r>
        <w:rPr>
          <w:rFonts w:ascii="宋体" w:hAnsi="宋体"/>
          <w:sz w:val="18"/>
        </w:rPr>
        <w:t>本</w:t>
      </w:r>
      <w:r>
        <w:rPr>
          <w:rFonts w:hint="eastAsia" w:ascii="宋体" w:hAnsi="宋体"/>
          <w:sz w:val="18"/>
        </w:rPr>
        <w:t>表中</w:t>
      </w:r>
      <w:r>
        <w:rPr>
          <w:rFonts w:hint="eastAsia" w:ascii="宋体" w:hAnsi="宋体"/>
          <w:sz w:val="18"/>
          <w:lang w:eastAsia="zh-CN"/>
        </w:rPr>
        <w:t>“</w:t>
      </w:r>
      <w:r>
        <w:rPr>
          <w:rFonts w:hint="eastAsia" w:ascii="宋体" w:hAnsi="宋体"/>
          <w:sz w:val="18"/>
        </w:rPr>
        <w:t>上年同期</w:t>
      </w:r>
      <w:r>
        <w:rPr>
          <w:rFonts w:hint="eastAsia" w:ascii="宋体" w:hAnsi="宋体"/>
          <w:sz w:val="18"/>
          <w:lang w:eastAsia="zh-CN"/>
        </w:rPr>
        <w:t>”</w:t>
      </w:r>
      <w:r>
        <w:rPr>
          <w:rFonts w:hint="eastAsia" w:ascii="宋体" w:hAnsi="宋体"/>
          <w:sz w:val="18"/>
        </w:rPr>
        <w:t>数据统一由国家统计局在数据处理软件中复制，调查单位和各级统计机构原则上不得修改；本</w:t>
      </w:r>
      <w:r>
        <w:rPr>
          <w:rFonts w:hint="eastAsia"/>
          <w:sz w:val="18"/>
        </w:rPr>
        <w:t>年新增的调查单位自行填报</w:t>
      </w:r>
      <w:r>
        <w:rPr>
          <w:rFonts w:hint="eastAsia" w:ascii="宋体" w:hAnsi="宋体"/>
          <w:sz w:val="18"/>
          <w:lang w:eastAsia="zh-CN"/>
        </w:rPr>
        <w:t>“</w:t>
      </w:r>
      <w:r>
        <w:rPr>
          <w:rFonts w:hint="eastAsia" w:ascii="宋体" w:hAnsi="宋体"/>
          <w:sz w:val="18"/>
        </w:rPr>
        <w:t>上年同期</w:t>
      </w:r>
      <w:r>
        <w:rPr>
          <w:rFonts w:hint="eastAsia" w:ascii="宋体" w:hAnsi="宋体"/>
          <w:sz w:val="18"/>
          <w:lang w:eastAsia="zh-CN"/>
        </w:rPr>
        <w:t>”</w:t>
      </w:r>
      <w:r>
        <w:rPr>
          <w:rFonts w:hint="eastAsia"/>
          <w:sz w:val="18"/>
        </w:rPr>
        <w:t>数据；涉及兼并、重组等情况的企业，经国家统计局批准后，调查单位可调整同期数；本年新增指标的同期数由调查单位自行填报。</w:t>
      </w:r>
    </w:p>
    <w:p>
      <w:pPr>
        <w:adjustRightInd w:val="0"/>
        <w:snapToGrid w:val="0"/>
        <w:spacing w:line="280" w:lineRule="exact"/>
        <w:ind w:left="737" w:leftChars="265" w:hanging="181" w:hangingChars="101"/>
        <w:rPr>
          <w:rFonts w:hint="eastAsia" w:ascii="宋体" w:hAnsi="宋体"/>
          <w:sz w:val="18"/>
        </w:rPr>
      </w:pPr>
      <w:r>
        <w:rPr>
          <w:rFonts w:hint="eastAsia" w:ascii="宋体" w:hAnsi="宋体"/>
          <w:sz w:val="18"/>
          <w:lang w:val="en-US" w:eastAsia="zh-CN"/>
        </w:rPr>
        <w:t>5</w:t>
      </w:r>
      <w:r>
        <w:rPr>
          <w:rFonts w:hint="eastAsia" w:ascii="宋体" w:hAnsi="宋体"/>
          <w:sz w:val="18"/>
        </w:rPr>
        <w:t>.</w:t>
      </w:r>
      <w:r>
        <w:rPr>
          <w:sz w:val="18"/>
          <w:szCs w:val="18"/>
        </w:rPr>
        <w:t>本表甲栏下按《主要耗能工业企业单位产品能源消</w:t>
      </w:r>
      <w:r>
        <w:rPr>
          <w:rFonts w:hint="eastAsia"/>
          <w:sz w:val="18"/>
          <w:szCs w:val="18"/>
        </w:rPr>
        <w:t>费</w:t>
      </w:r>
      <w:r>
        <w:rPr>
          <w:sz w:val="18"/>
          <w:szCs w:val="18"/>
        </w:rPr>
        <w:t>情况目录》填报</w:t>
      </w:r>
      <w:r>
        <w:rPr>
          <w:rFonts w:hint="eastAsia" w:ascii="宋体" w:hAnsi="宋体"/>
          <w:sz w:val="18"/>
        </w:rPr>
        <w:t>。</w:t>
      </w:r>
    </w:p>
    <w:p>
      <w:pPr>
        <w:adjustRightInd w:val="0"/>
        <w:snapToGrid w:val="0"/>
        <w:spacing w:line="280" w:lineRule="exact"/>
        <w:ind w:left="737" w:leftChars="265" w:hanging="181" w:hangingChars="101"/>
        <w:rPr>
          <w:rFonts w:hint="eastAsia" w:ascii="宋体" w:hAnsi="宋体"/>
          <w:sz w:val="18"/>
        </w:rPr>
      </w:pPr>
      <w:r>
        <w:rPr>
          <w:rFonts w:hint="eastAsia" w:ascii="宋体" w:hAnsi="宋体"/>
          <w:sz w:val="18"/>
          <w:szCs w:val="18"/>
          <w:lang w:val="en-US" w:eastAsia="zh-CN"/>
        </w:rPr>
        <w:t>6.</w:t>
      </w:r>
      <w:r>
        <w:rPr>
          <w:rFonts w:hint="eastAsia" w:ascii="宋体" w:hAnsi="宋体"/>
          <w:sz w:val="18"/>
        </w:rPr>
        <w:t>审核关系：指标值=（子项值/母项值）×单位换算系数。</w:t>
      </w: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rPr>
          <w:rFonts w:hint="eastAsia" w:ascii="宋体" w:hAnsi="宋体"/>
          <w:sz w:val="18"/>
        </w:rPr>
      </w:pPr>
    </w:p>
    <w:p>
      <w:pPr>
        <w:pStyle w:val="2"/>
        <w:rPr>
          <w:rFonts w:hint="eastAsia" w:ascii="宋体" w:hAnsi="宋体"/>
          <w:sz w:val="18"/>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lang w:eastAsia="zh-CN"/>
        </w:rPr>
      </w:pPr>
      <w:bookmarkStart w:id="85" w:name="_Toc486878232"/>
      <w:bookmarkStart w:id="86" w:name="_Toc564392130"/>
      <w:r>
        <w:rPr>
          <w:rFonts w:hint="eastAsia" w:ascii="宋体" w:hAnsi="宋体" w:eastAsia="宋体" w:cs="宋体"/>
          <w:b/>
          <w:bCs/>
          <w:sz w:val="32"/>
          <w:szCs w:val="32"/>
          <w:lang w:eastAsia="zh-CN"/>
        </w:rPr>
        <w:t>工业企业用水情况</w:t>
      </w:r>
      <w:bookmarkEnd w:id="85"/>
      <w:bookmarkEnd w:id="86"/>
    </w:p>
    <w:tbl>
      <w:tblPr>
        <w:tblStyle w:val="17"/>
        <w:tblW w:w="5191" w:type="pct"/>
        <w:jc w:val="center"/>
        <w:tblLayout w:type="autofit"/>
        <w:tblCellMar>
          <w:top w:w="0" w:type="dxa"/>
          <w:left w:w="0" w:type="dxa"/>
          <w:bottom w:w="0" w:type="dxa"/>
          <w:right w:w="0" w:type="dxa"/>
        </w:tblCellMar>
      </w:tblPr>
      <w:tblGrid>
        <w:gridCol w:w="2710"/>
        <w:gridCol w:w="822"/>
        <w:gridCol w:w="400"/>
        <w:gridCol w:w="18"/>
        <w:gridCol w:w="790"/>
        <w:gridCol w:w="1253"/>
        <w:gridCol w:w="829"/>
        <w:gridCol w:w="428"/>
        <w:gridCol w:w="436"/>
        <w:gridCol w:w="815"/>
        <w:gridCol w:w="1253"/>
        <w:gridCol w:w="18"/>
      </w:tblGrid>
      <w:tr>
        <w:trPr>
          <w:gridAfter w:val="1"/>
          <w:wAfter w:w="8" w:type="pct"/>
          <w:jc w:val="center"/>
        </w:trPr>
        <w:tc>
          <w:tcPr>
            <w:tcW w:w="1808" w:type="pct"/>
            <w:gridSpan w:val="2"/>
          </w:tcPr>
          <w:p>
            <w:pPr>
              <w:spacing w:line="260" w:lineRule="exact"/>
              <w:rPr>
                <w:sz w:val="18"/>
                <w:szCs w:val="18"/>
              </w:rPr>
            </w:pPr>
          </w:p>
        </w:tc>
        <w:tc>
          <w:tcPr>
            <w:tcW w:w="214" w:type="pct"/>
            <w:gridSpan w:val="2"/>
          </w:tcPr>
          <w:p>
            <w:pPr>
              <w:spacing w:line="260" w:lineRule="exact"/>
              <w:rPr>
                <w:sz w:val="18"/>
                <w:szCs w:val="18"/>
              </w:rPr>
            </w:pPr>
          </w:p>
        </w:tc>
        <w:tc>
          <w:tcPr>
            <w:tcW w:w="1468" w:type="pct"/>
            <w:gridSpan w:val="3"/>
          </w:tcPr>
          <w:p>
            <w:pPr>
              <w:spacing w:line="260" w:lineRule="exact"/>
              <w:rPr>
                <w:sz w:val="18"/>
                <w:szCs w:val="18"/>
              </w:rPr>
            </w:pPr>
          </w:p>
        </w:tc>
        <w:tc>
          <w:tcPr>
            <w:tcW w:w="442" w:type="pct"/>
            <w:gridSpan w:val="2"/>
            <w:tcMar>
              <w:left w:w="0" w:type="dxa"/>
              <w:right w:w="0" w:type="dxa"/>
            </w:tcMar>
          </w:tcPr>
          <w:p>
            <w:pPr>
              <w:spacing w:line="260" w:lineRule="exact"/>
              <w:rPr>
                <w:sz w:val="18"/>
                <w:szCs w:val="18"/>
              </w:rPr>
            </w:pPr>
            <w:r>
              <w:rPr>
                <w:sz w:val="18"/>
                <w:szCs w:val="18"/>
              </w:rPr>
              <w:t>表    号：</w:t>
            </w:r>
          </w:p>
        </w:tc>
        <w:tc>
          <w:tcPr>
            <w:tcW w:w="1058" w:type="pct"/>
            <w:gridSpan w:val="2"/>
            <w:vAlign w:val="center"/>
          </w:tcPr>
          <w:p>
            <w:pPr>
              <w:spacing w:line="260" w:lineRule="exact"/>
              <w:jc w:val="distribute"/>
              <w:rPr>
                <w:sz w:val="18"/>
                <w:szCs w:val="18"/>
              </w:rPr>
            </w:pPr>
            <w:r>
              <w:rPr>
                <w:kern w:val="0"/>
                <w:sz w:val="18"/>
                <w:szCs w:val="18"/>
              </w:rPr>
              <w:t>２０５－４表</w:t>
            </w:r>
          </w:p>
        </w:tc>
      </w:tr>
      <w:tr>
        <w:trPr>
          <w:gridAfter w:val="1"/>
          <w:wAfter w:w="8" w:type="pct"/>
          <w:jc w:val="center"/>
        </w:trPr>
        <w:tc>
          <w:tcPr>
            <w:tcW w:w="3491" w:type="pct"/>
            <w:gridSpan w:val="7"/>
          </w:tcPr>
          <w:p>
            <w:pPr>
              <w:spacing w:line="260" w:lineRule="exact"/>
              <w:rPr>
                <w:sz w:val="18"/>
                <w:szCs w:val="18"/>
              </w:rPr>
            </w:pPr>
            <w:r>
              <w:rPr>
                <w:sz w:val="18"/>
                <w:szCs w:val="18"/>
              </w:rPr>
              <w:t>统一社会信用代码</w:t>
            </w:r>
            <w:r>
              <w:rPr>
                <w:rFonts w:hint="eastAsia" w:ascii="宋体" w:hAnsi="宋体" w:cs="宋体"/>
                <w:color w:val="000000"/>
                <w:kern w:val="0"/>
                <w:sz w:val="18"/>
                <w:szCs w:val="18"/>
              </w:rPr>
              <w:t>□□□□□□□□□□□□□□□□□□</w:t>
            </w:r>
          </w:p>
        </w:tc>
        <w:tc>
          <w:tcPr>
            <w:tcW w:w="442" w:type="pct"/>
            <w:gridSpan w:val="2"/>
            <w:tcMar>
              <w:left w:w="0" w:type="dxa"/>
              <w:right w:w="0" w:type="dxa"/>
            </w:tcMar>
            <w:vAlign w:val="center"/>
          </w:tcPr>
          <w:p>
            <w:pPr>
              <w:spacing w:line="260" w:lineRule="exact"/>
              <w:rPr>
                <w:sz w:val="18"/>
                <w:szCs w:val="18"/>
              </w:rPr>
            </w:pPr>
            <w:r>
              <w:rPr>
                <w:sz w:val="18"/>
                <w:szCs w:val="18"/>
              </w:rPr>
              <w:t>制定机关：</w:t>
            </w:r>
          </w:p>
        </w:tc>
        <w:tc>
          <w:tcPr>
            <w:tcW w:w="1058" w:type="pct"/>
            <w:gridSpan w:val="2"/>
            <w:vAlign w:val="center"/>
          </w:tcPr>
          <w:p>
            <w:pPr>
              <w:spacing w:line="260" w:lineRule="exact"/>
              <w:jc w:val="distribute"/>
              <w:rPr>
                <w:sz w:val="18"/>
                <w:szCs w:val="18"/>
              </w:rPr>
            </w:pPr>
            <w:r>
              <w:rPr>
                <w:sz w:val="18"/>
                <w:szCs w:val="18"/>
              </w:rPr>
              <w:t>国 家 统 计 局</w:t>
            </w:r>
          </w:p>
        </w:tc>
      </w:tr>
      <w:tr>
        <w:trPr>
          <w:gridAfter w:val="1"/>
          <w:wAfter w:w="8" w:type="pct"/>
          <w:jc w:val="center"/>
        </w:trPr>
        <w:tc>
          <w:tcPr>
            <w:tcW w:w="3491" w:type="pct"/>
            <w:gridSpan w:val="7"/>
          </w:tcPr>
          <w:p>
            <w:pPr>
              <w:spacing w:line="260" w:lineRule="exact"/>
              <w:rPr>
                <w:rFonts w:hint="eastAsia" w:eastAsia="宋体"/>
                <w:sz w:val="18"/>
                <w:szCs w:val="18"/>
                <w:lang w:eastAsia="zh-CN"/>
              </w:rPr>
            </w:pPr>
          </w:p>
        </w:tc>
        <w:tc>
          <w:tcPr>
            <w:tcW w:w="442" w:type="pct"/>
            <w:gridSpan w:val="2"/>
            <w:tcMar>
              <w:left w:w="0" w:type="dxa"/>
              <w:right w:w="0" w:type="dxa"/>
            </w:tcMar>
            <w:vAlign w:val="center"/>
          </w:tcPr>
          <w:p>
            <w:pPr>
              <w:spacing w:line="260" w:lineRule="exact"/>
              <w:rPr>
                <w:sz w:val="18"/>
                <w:szCs w:val="18"/>
              </w:rPr>
            </w:pPr>
            <w:r>
              <w:rPr>
                <w:sz w:val="18"/>
                <w:szCs w:val="18"/>
              </w:rPr>
              <w:t>文    号：</w:t>
            </w:r>
          </w:p>
        </w:tc>
        <w:tc>
          <w:tcPr>
            <w:tcW w:w="1058" w:type="pct"/>
            <w:gridSpan w:val="2"/>
            <w:vAlign w:val="center"/>
          </w:tcPr>
          <w:p>
            <w:pPr>
              <w:spacing w:line="260" w:lineRule="exact"/>
              <w:jc w:val="distribute"/>
              <w:rPr>
                <w:sz w:val="18"/>
                <w:szCs w:val="18"/>
              </w:rPr>
            </w:pPr>
            <w:r>
              <w:rPr>
                <w:rFonts w:hint="eastAsia" w:ascii="宋体" w:hAnsi="宋体"/>
                <w:sz w:val="18"/>
                <w:szCs w:val="18"/>
              </w:rPr>
              <w:t>国统</w:t>
            </w:r>
            <w:r>
              <w:rPr>
                <w:rFonts w:hint="eastAsia" w:ascii="宋体" w:hAnsi="宋体"/>
                <w:spacing w:val="-16"/>
                <w:sz w:val="18"/>
                <w:szCs w:val="18"/>
              </w:rPr>
              <w:t>字</w:t>
            </w:r>
            <w:r>
              <w:rPr>
                <w:rFonts w:hint="default" w:ascii="宋体" w:hAnsi="宋体"/>
                <w:spacing w:val="-16"/>
                <w:sz w:val="18"/>
                <w:szCs w:val="18"/>
                <w:lang w:val="en-US" w:eastAsia="zh-CN"/>
              </w:rPr>
              <w:t>〔２０２</w:t>
            </w:r>
            <w:r>
              <w:rPr>
                <w:rFonts w:hint="eastAsia" w:ascii="宋体" w:hAnsi="宋体"/>
                <w:spacing w:val="-16"/>
                <w:sz w:val="18"/>
                <w:szCs w:val="18"/>
                <w:lang w:val="en-US" w:eastAsia="zh-CN"/>
              </w:rPr>
              <w:t>5</w:t>
            </w:r>
            <w:r>
              <w:rPr>
                <w:rFonts w:hint="default" w:ascii="宋体" w:hAnsi="宋体"/>
                <w:spacing w:val="-16"/>
                <w:sz w:val="18"/>
                <w:szCs w:val="18"/>
                <w:lang w:val="en-US" w:eastAsia="zh-CN"/>
              </w:rPr>
              <w:t>〕</w:t>
            </w:r>
            <w:r>
              <w:rPr>
                <w:rFonts w:hint="eastAsia" w:ascii="宋体" w:hAnsi="宋体"/>
                <w:spacing w:val="-16"/>
                <w:sz w:val="18"/>
                <w:szCs w:val="18"/>
                <w:lang w:val="en-US" w:eastAsia="zh-CN"/>
              </w:rPr>
              <w:t>88</w:t>
            </w:r>
            <w:r>
              <w:rPr>
                <w:rFonts w:hint="eastAsia" w:ascii="宋体" w:hAnsi="宋体"/>
                <w:spacing w:val="-16"/>
                <w:sz w:val="18"/>
                <w:szCs w:val="18"/>
                <w:lang w:val="en" w:eastAsia="zh-CN"/>
              </w:rPr>
              <w:t>号</w:t>
            </w:r>
          </w:p>
        </w:tc>
      </w:tr>
      <w:tr>
        <w:trPr>
          <w:gridAfter w:val="1"/>
          <w:wAfter w:w="8" w:type="pct"/>
          <w:jc w:val="center"/>
        </w:trPr>
        <w:tc>
          <w:tcPr>
            <w:tcW w:w="1808" w:type="pct"/>
            <w:gridSpan w:val="2"/>
          </w:tcPr>
          <w:p>
            <w:pPr>
              <w:spacing w:line="260" w:lineRule="exact"/>
              <w:rPr>
                <w:sz w:val="18"/>
                <w:szCs w:val="18"/>
              </w:rPr>
            </w:pPr>
            <w:r>
              <w:rPr>
                <w:sz w:val="18"/>
              </w:rPr>
              <w:t>单位详细名称：</w:t>
            </w:r>
          </w:p>
        </w:tc>
        <w:tc>
          <w:tcPr>
            <w:tcW w:w="214" w:type="pct"/>
            <w:gridSpan w:val="2"/>
          </w:tcPr>
          <w:p>
            <w:pPr>
              <w:spacing w:line="260" w:lineRule="exact"/>
              <w:rPr>
                <w:sz w:val="18"/>
                <w:szCs w:val="18"/>
              </w:rPr>
            </w:pPr>
          </w:p>
        </w:tc>
        <w:tc>
          <w:tcPr>
            <w:tcW w:w="1468" w:type="pct"/>
            <w:gridSpan w:val="3"/>
          </w:tcPr>
          <w:p>
            <w:pPr>
              <w:spacing w:line="260" w:lineRule="exact"/>
              <w:rPr>
                <w:sz w:val="18"/>
                <w:szCs w:val="18"/>
              </w:rPr>
            </w:pPr>
            <w:r>
              <w:rPr>
                <w:sz w:val="18"/>
                <w:szCs w:val="18"/>
              </w:rPr>
              <w:t>２０　　年 １－　月</w:t>
            </w:r>
          </w:p>
        </w:tc>
        <w:tc>
          <w:tcPr>
            <w:tcW w:w="442" w:type="pct"/>
            <w:gridSpan w:val="2"/>
            <w:tcMar>
              <w:left w:w="0" w:type="dxa"/>
              <w:right w:w="0" w:type="dxa"/>
            </w:tcMar>
            <w:vAlign w:val="center"/>
          </w:tcPr>
          <w:p>
            <w:pPr>
              <w:spacing w:line="260" w:lineRule="exact"/>
              <w:rPr>
                <w:sz w:val="18"/>
                <w:szCs w:val="18"/>
              </w:rPr>
            </w:pPr>
            <w:r>
              <w:rPr>
                <w:sz w:val="18"/>
                <w:szCs w:val="18"/>
              </w:rPr>
              <w:t>有效期至：</w:t>
            </w:r>
          </w:p>
        </w:tc>
        <w:tc>
          <w:tcPr>
            <w:tcW w:w="1058" w:type="pct"/>
            <w:gridSpan w:val="2"/>
            <w:vAlign w:val="center"/>
          </w:tcPr>
          <w:p>
            <w:pPr>
              <w:spacing w:line="260" w:lineRule="exact"/>
              <w:jc w:val="distribute"/>
              <w:rPr>
                <w:rFonts w:hint="default" w:eastAsia="宋体"/>
                <w:sz w:val="18"/>
                <w:szCs w:val="18"/>
                <w:lang w:val="en-US" w:eastAsia="zh-CN"/>
              </w:rPr>
            </w:pPr>
            <w:r>
              <w:rPr>
                <w:rFonts w:hint="default"/>
                <w:sz w:val="18"/>
                <w:szCs w:val="18"/>
                <w:lang w:val="en-US" w:eastAsia="zh-CN"/>
              </w:rPr>
              <w:t>２０２</w:t>
            </w:r>
            <w:r>
              <w:rPr>
                <w:rFonts w:hint="eastAsia"/>
                <w:sz w:val="18"/>
                <w:szCs w:val="18"/>
                <w:lang w:val="en-US" w:eastAsia="zh-CN"/>
              </w:rPr>
              <w:t>7</w:t>
            </w:r>
            <w:r>
              <w:rPr>
                <w:rFonts w:hint="default"/>
                <w:sz w:val="18"/>
                <w:szCs w:val="18"/>
                <w:lang w:val="en-US" w:eastAsia="zh-CN"/>
              </w:rPr>
              <w:t>年１月</w:t>
            </w:r>
          </w:p>
        </w:tc>
      </w:tr>
      <w:tr>
        <w:tblPrEx>
          <w:tblCellMar>
            <w:top w:w="0" w:type="dxa"/>
            <w:left w:w="108" w:type="dxa"/>
            <w:bottom w:w="0" w:type="dxa"/>
            <w:right w:w="108" w:type="dxa"/>
          </w:tblCellMar>
        </w:tblPrEx>
        <w:trPr>
          <w:trHeight w:val="285" w:hRule="atLeast"/>
          <w:jc w:val="center"/>
        </w:trPr>
        <w:tc>
          <w:tcPr>
            <w:tcW w:w="1387" w:type="pct"/>
            <w:vMerge w:val="restart"/>
            <w:tcBorders>
              <w:top w:val="single" w:color="auto" w:sz="8" w:space="0"/>
              <w:left w:val="nil"/>
              <w:bottom w:val="single" w:color="auto" w:sz="2" w:space="0"/>
              <w:right w:val="single" w:color="auto" w:sz="2" w:space="0"/>
            </w:tcBorders>
            <w:vAlign w:val="center"/>
          </w:tcPr>
          <w:p>
            <w:pPr>
              <w:widowControl/>
              <w:jc w:val="center"/>
              <w:rPr>
                <w:kern w:val="0"/>
                <w:sz w:val="18"/>
                <w:szCs w:val="18"/>
              </w:rPr>
            </w:pPr>
            <w:r>
              <w:rPr>
                <w:kern w:val="0"/>
                <w:sz w:val="18"/>
                <w:szCs w:val="18"/>
              </w:rPr>
              <w:t>指标名称</w:t>
            </w:r>
          </w:p>
        </w:tc>
        <w:tc>
          <w:tcPr>
            <w:tcW w:w="626" w:type="pct"/>
            <w:gridSpan w:val="2"/>
            <w:vMerge w:val="restart"/>
            <w:tcBorders>
              <w:top w:val="single" w:color="auto" w:sz="8"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计量单位</w:t>
            </w:r>
          </w:p>
        </w:tc>
        <w:tc>
          <w:tcPr>
            <w:tcW w:w="413" w:type="pct"/>
            <w:gridSpan w:val="2"/>
            <w:vMerge w:val="restart"/>
            <w:tcBorders>
              <w:top w:val="single" w:color="auto" w:sz="8"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代码</w:t>
            </w:r>
          </w:p>
        </w:tc>
        <w:tc>
          <w:tcPr>
            <w:tcW w:w="1283" w:type="pct"/>
            <w:gridSpan w:val="3"/>
            <w:tcBorders>
              <w:top w:val="single" w:color="auto" w:sz="8"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取水量</w:t>
            </w:r>
          </w:p>
        </w:tc>
        <w:tc>
          <w:tcPr>
            <w:tcW w:w="1289" w:type="pct"/>
            <w:gridSpan w:val="4"/>
            <w:tcBorders>
              <w:top w:val="single" w:color="auto" w:sz="8" w:space="0"/>
              <w:left w:val="single" w:color="auto" w:sz="2" w:space="0"/>
              <w:bottom w:val="single" w:color="auto" w:sz="2" w:space="0"/>
              <w:right w:val="nil"/>
            </w:tcBorders>
            <w:vAlign w:val="center"/>
          </w:tcPr>
          <w:p>
            <w:pPr>
              <w:widowControl/>
              <w:jc w:val="center"/>
              <w:rPr>
                <w:kern w:val="0"/>
                <w:sz w:val="18"/>
                <w:szCs w:val="18"/>
              </w:rPr>
            </w:pPr>
            <w:r>
              <w:rPr>
                <w:kern w:val="0"/>
                <w:sz w:val="18"/>
                <w:szCs w:val="18"/>
              </w:rPr>
              <w:t>外供水量</w:t>
            </w:r>
          </w:p>
        </w:tc>
      </w:tr>
      <w:tr>
        <w:tblPrEx>
          <w:tblCellMar>
            <w:top w:w="0" w:type="dxa"/>
            <w:left w:w="108" w:type="dxa"/>
            <w:bottom w:w="0" w:type="dxa"/>
            <w:right w:w="108" w:type="dxa"/>
          </w:tblCellMar>
        </w:tblPrEx>
        <w:trPr>
          <w:trHeight w:val="285" w:hRule="atLeast"/>
          <w:jc w:val="center"/>
        </w:trPr>
        <w:tc>
          <w:tcPr>
            <w:tcW w:w="1387" w:type="pct"/>
            <w:vMerge w:val="continue"/>
            <w:tcBorders>
              <w:top w:val="single" w:color="auto" w:sz="2" w:space="0"/>
              <w:left w:val="nil"/>
              <w:bottom w:val="single" w:color="auto" w:sz="2" w:space="0"/>
              <w:right w:val="single" w:color="auto" w:sz="2" w:space="0"/>
            </w:tcBorders>
            <w:vAlign w:val="center"/>
          </w:tcPr>
          <w:p>
            <w:pPr>
              <w:widowControl/>
              <w:jc w:val="left"/>
              <w:rPr>
                <w:kern w:val="0"/>
                <w:sz w:val="18"/>
                <w:szCs w:val="18"/>
              </w:rPr>
            </w:pPr>
          </w:p>
        </w:tc>
        <w:tc>
          <w:tcPr>
            <w:tcW w:w="626" w:type="pct"/>
            <w:gridSpan w:val="2"/>
            <w:vMerge w:val="continue"/>
            <w:tcBorders>
              <w:top w:val="single" w:color="auto" w:sz="2" w:space="0"/>
              <w:left w:val="single" w:color="auto" w:sz="2" w:space="0"/>
              <w:bottom w:val="single" w:color="auto" w:sz="2" w:space="0"/>
              <w:right w:val="single" w:color="auto" w:sz="2" w:space="0"/>
            </w:tcBorders>
            <w:vAlign w:val="center"/>
          </w:tcPr>
          <w:p>
            <w:pPr>
              <w:widowControl/>
              <w:jc w:val="left"/>
              <w:rPr>
                <w:kern w:val="0"/>
                <w:sz w:val="18"/>
                <w:szCs w:val="18"/>
              </w:rPr>
            </w:pPr>
          </w:p>
        </w:tc>
        <w:tc>
          <w:tcPr>
            <w:tcW w:w="413" w:type="pct"/>
            <w:gridSpan w:val="2"/>
            <w:vMerge w:val="continue"/>
            <w:tcBorders>
              <w:top w:val="single" w:color="auto" w:sz="2" w:space="0"/>
              <w:left w:val="single" w:color="auto" w:sz="2" w:space="0"/>
              <w:bottom w:val="single" w:color="auto" w:sz="2" w:space="0"/>
              <w:right w:val="single" w:color="auto" w:sz="2" w:space="0"/>
            </w:tcBorders>
            <w:vAlign w:val="center"/>
          </w:tcPr>
          <w:p>
            <w:pPr>
              <w:widowControl/>
              <w:jc w:val="left"/>
              <w:rPr>
                <w:kern w:val="0"/>
                <w:sz w:val="18"/>
                <w:szCs w:val="18"/>
              </w:rPr>
            </w:pPr>
          </w:p>
        </w:tc>
        <w:tc>
          <w:tcPr>
            <w:tcW w:w="641" w:type="pct"/>
            <w:tcBorders>
              <w:top w:val="single" w:color="auto" w:sz="2"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本期</w:t>
            </w:r>
          </w:p>
        </w:tc>
        <w:tc>
          <w:tcPr>
            <w:tcW w:w="642" w:type="pct"/>
            <w:gridSpan w:val="2"/>
            <w:tcBorders>
              <w:top w:val="single" w:color="auto" w:sz="2" w:space="0"/>
              <w:left w:val="single" w:color="auto" w:sz="2" w:space="0"/>
              <w:bottom w:val="single" w:color="auto" w:sz="2" w:space="0"/>
              <w:right w:val="single" w:color="auto" w:sz="2" w:space="0"/>
            </w:tcBorders>
            <w:shd w:val="clear" w:color="auto" w:fill="D9D9D9"/>
            <w:vAlign w:val="center"/>
          </w:tcPr>
          <w:p>
            <w:pPr>
              <w:widowControl/>
              <w:jc w:val="center"/>
              <w:rPr>
                <w:kern w:val="0"/>
                <w:sz w:val="18"/>
                <w:szCs w:val="18"/>
              </w:rPr>
            </w:pPr>
            <w:r>
              <w:rPr>
                <w:kern w:val="0"/>
                <w:sz w:val="18"/>
                <w:szCs w:val="18"/>
              </w:rPr>
              <w:t>上年同期</w:t>
            </w:r>
          </w:p>
        </w:tc>
        <w:tc>
          <w:tcPr>
            <w:tcW w:w="640" w:type="pct"/>
            <w:gridSpan w:val="2"/>
            <w:tcBorders>
              <w:top w:val="single" w:color="auto" w:sz="2"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本期</w:t>
            </w:r>
          </w:p>
        </w:tc>
        <w:tc>
          <w:tcPr>
            <w:tcW w:w="649" w:type="pct"/>
            <w:gridSpan w:val="2"/>
            <w:tcBorders>
              <w:top w:val="single" w:color="auto" w:sz="2" w:space="0"/>
              <w:left w:val="single" w:color="auto" w:sz="2" w:space="0"/>
              <w:bottom w:val="single" w:color="auto" w:sz="2" w:space="0"/>
              <w:right w:val="nil"/>
            </w:tcBorders>
            <w:shd w:val="clear" w:color="auto" w:fill="D9D9D9"/>
            <w:vAlign w:val="center"/>
          </w:tcPr>
          <w:p>
            <w:pPr>
              <w:widowControl/>
              <w:jc w:val="center"/>
              <w:rPr>
                <w:kern w:val="0"/>
                <w:sz w:val="18"/>
                <w:szCs w:val="18"/>
              </w:rPr>
            </w:pPr>
            <w:r>
              <w:rPr>
                <w:kern w:val="0"/>
                <w:sz w:val="18"/>
                <w:szCs w:val="18"/>
              </w:rPr>
              <w:t>上年同期</w:t>
            </w:r>
          </w:p>
        </w:tc>
      </w:tr>
      <w:tr>
        <w:tblPrEx>
          <w:tblCellMar>
            <w:top w:w="0" w:type="dxa"/>
            <w:left w:w="108" w:type="dxa"/>
            <w:bottom w:w="0" w:type="dxa"/>
            <w:right w:w="108" w:type="dxa"/>
          </w:tblCellMar>
        </w:tblPrEx>
        <w:trPr>
          <w:trHeight w:val="306" w:hRule="atLeast"/>
          <w:jc w:val="center"/>
        </w:trPr>
        <w:tc>
          <w:tcPr>
            <w:tcW w:w="1387" w:type="pct"/>
            <w:tcBorders>
              <w:top w:val="single" w:color="auto" w:sz="2" w:space="0"/>
              <w:left w:val="nil"/>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甲</w:t>
            </w:r>
          </w:p>
        </w:tc>
        <w:tc>
          <w:tcPr>
            <w:tcW w:w="626" w:type="pct"/>
            <w:gridSpan w:val="2"/>
            <w:tcBorders>
              <w:top w:val="single" w:color="auto" w:sz="2" w:space="0"/>
              <w:left w:val="single" w:color="auto" w:sz="2" w:space="0"/>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乙</w:t>
            </w:r>
          </w:p>
        </w:tc>
        <w:tc>
          <w:tcPr>
            <w:tcW w:w="413" w:type="pct"/>
            <w:gridSpan w:val="2"/>
            <w:tcBorders>
              <w:top w:val="single" w:color="auto" w:sz="2" w:space="0"/>
              <w:left w:val="single" w:color="auto" w:sz="2" w:space="0"/>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丙</w:t>
            </w:r>
          </w:p>
        </w:tc>
        <w:tc>
          <w:tcPr>
            <w:tcW w:w="641" w:type="pct"/>
            <w:tcBorders>
              <w:top w:val="single" w:color="auto" w:sz="2" w:space="0"/>
              <w:left w:val="single" w:color="auto" w:sz="2" w:space="0"/>
              <w:bottom w:val="single" w:color="auto" w:sz="2" w:space="0"/>
              <w:right w:val="single" w:color="auto" w:sz="2" w:space="0"/>
            </w:tcBorders>
            <w:vAlign w:val="center"/>
          </w:tcPr>
          <w:p>
            <w:pPr>
              <w:spacing w:line="200" w:lineRule="exact"/>
              <w:jc w:val="center"/>
              <w:textAlignment w:val="center"/>
              <w:rPr>
                <w:kern w:val="0"/>
                <w:sz w:val="18"/>
                <w:szCs w:val="18"/>
              </w:rPr>
            </w:pPr>
            <w:r>
              <w:rPr>
                <w:kern w:val="0"/>
                <w:sz w:val="18"/>
                <w:szCs w:val="18"/>
              </w:rPr>
              <w:t>1</w:t>
            </w:r>
          </w:p>
        </w:tc>
        <w:tc>
          <w:tcPr>
            <w:tcW w:w="642" w:type="pct"/>
            <w:gridSpan w:val="2"/>
            <w:tcBorders>
              <w:top w:val="single" w:color="auto" w:sz="2" w:space="0"/>
              <w:left w:val="single" w:color="auto" w:sz="2" w:space="0"/>
              <w:bottom w:val="single" w:color="auto" w:sz="2" w:space="0"/>
              <w:right w:val="single" w:color="auto" w:sz="2" w:space="0"/>
            </w:tcBorders>
            <w:shd w:val="clear" w:color="auto" w:fill="D9D9D9"/>
            <w:vAlign w:val="center"/>
          </w:tcPr>
          <w:p>
            <w:pPr>
              <w:spacing w:line="200" w:lineRule="exact"/>
              <w:jc w:val="center"/>
              <w:textAlignment w:val="center"/>
              <w:rPr>
                <w:kern w:val="0"/>
                <w:sz w:val="18"/>
                <w:szCs w:val="18"/>
              </w:rPr>
            </w:pPr>
            <w:r>
              <w:rPr>
                <w:kern w:val="0"/>
                <w:sz w:val="18"/>
                <w:szCs w:val="18"/>
              </w:rPr>
              <w:t>2</w:t>
            </w:r>
          </w:p>
        </w:tc>
        <w:tc>
          <w:tcPr>
            <w:tcW w:w="640" w:type="pct"/>
            <w:gridSpan w:val="2"/>
            <w:tcBorders>
              <w:top w:val="single" w:color="auto" w:sz="2" w:space="0"/>
              <w:left w:val="single" w:color="auto" w:sz="2" w:space="0"/>
              <w:bottom w:val="single" w:color="auto" w:sz="2" w:space="0"/>
              <w:right w:val="single" w:color="auto" w:sz="2" w:space="0"/>
            </w:tcBorders>
            <w:vAlign w:val="center"/>
          </w:tcPr>
          <w:p>
            <w:pPr>
              <w:spacing w:line="200" w:lineRule="exact"/>
              <w:jc w:val="center"/>
              <w:textAlignment w:val="center"/>
              <w:rPr>
                <w:kern w:val="0"/>
                <w:sz w:val="18"/>
                <w:szCs w:val="18"/>
              </w:rPr>
            </w:pPr>
            <w:r>
              <w:rPr>
                <w:kern w:val="0"/>
                <w:sz w:val="18"/>
                <w:szCs w:val="18"/>
              </w:rPr>
              <w:t>3</w:t>
            </w:r>
          </w:p>
        </w:tc>
        <w:tc>
          <w:tcPr>
            <w:tcW w:w="649" w:type="pct"/>
            <w:gridSpan w:val="2"/>
            <w:tcBorders>
              <w:top w:val="single" w:color="auto" w:sz="2" w:space="0"/>
              <w:left w:val="single" w:color="auto" w:sz="2" w:space="0"/>
              <w:bottom w:val="single" w:color="auto" w:sz="2" w:space="0"/>
              <w:right w:val="nil"/>
            </w:tcBorders>
            <w:shd w:val="clear" w:color="auto" w:fill="D9D9D9"/>
            <w:vAlign w:val="center"/>
          </w:tcPr>
          <w:p>
            <w:pPr>
              <w:spacing w:line="200" w:lineRule="exact"/>
              <w:jc w:val="center"/>
              <w:textAlignment w:val="center"/>
              <w:rPr>
                <w:kern w:val="0"/>
                <w:sz w:val="18"/>
                <w:szCs w:val="18"/>
              </w:rPr>
            </w:pPr>
            <w:r>
              <w:rPr>
                <w:kern w:val="0"/>
                <w:sz w:val="18"/>
                <w:szCs w:val="18"/>
              </w:rPr>
              <w:t>4</w:t>
            </w:r>
          </w:p>
        </w:tc>
      </w:tr>
      <w:tr>
        <w:tblPrEx>
          <w:tblCellMar>
            <w:top w:w="0" w:type="dxa"/>
            <w:left w:w="108" w:type="dxa"/>
            <w:bottom w:w="0" w:type="dxa"/>
            <w:right w:w="108" w:type="dxa"/>
          </w:tblCellMar>
        </w:tblPrEx>
        <w:trPr>
          <w:trHeight w:val="270" w:hRule="atLeast"/>
          <w:jc w:val="center"/>
        </w:trPr>
        <w:tc>
          <w:tcPr>
            <w:tcW w:w="1387" w:type="pct"/>
            <w:tcBorders>
              <w:top w:val="single" w:color="auto" w:sz="2" w:space="0"/>
              <w:left w:val="nil"/>
              <w:right w:val="single" w:color="auto" w:sz="2" w:space="0"/>
            </w:tcBorders>
            <w:vAlign w:val="center"/>
          </w:tcPr>
          <w:p>
            <w:pPr>
              <w:widowControl/>
              <w:rPr>
                <w:kern w:val="0"/>
                <w:sz w:val="18"/>
                <w:szCs w:val="18"/>
              </w:rPr>
            </w:pPr>
            <w:r>
              <w:rPr>
                <w:kern w:val="0"/>
                <w:sz w:val="18"/>
                <w:szCs w:val="18"/>
              </w:rPr>
              <w:t>合计</w:t>
            </w:r>
          </w:p>
        </w:tc>
        <w:tc>
          <w:tcPr>
            <w:tcW w:w="626" w:type="pct"/>
            <w:gridSpan w:val="2"/>
            <w:tcBorders>
              <w:top w:val="single" w:color="auto" w:sz="2" w:space="0"/>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top w:val="single" w:color="auto" w:sz="2" w:space="0"/>
              <w:left w:val="single" w:color="auto" w:sz="2" w:space="0"/>
              <w:right w:val="single" w:color="auto" w:sz="2" w:space="0"/>
            </w:tcBorders>
            <w:vAlign w:val="center"/>
          </w:tcPr>
          <w:p>
            <w:pPr>
              <w:widowControl/>
              <w:jc w:val="center"/>
              <w:rPr>
                <w:kern w:val="0"/>
                <w:sz w:val="18"/>
                <w:szCs w:val="18"/>
              </w:rPr>
            </w:pPr>
            <w:r>
              <w:rPr>
                <w:kern w:val="0"/>
                <w:sz w:val="18"/>
                <w:szCs w:val="18"/>
              </w:rPr>
              <w:t>00</w:t>
            </w:r>
          </w:p>
        </w:tc>
        <w:tc>
          <w:tcPr>
            <w:tcW w:w="2572" w:type="pct"/>
            <w:gridSpan w:val="7"/>
            <w:vMerge w:val="restart"/>
            <w:tcBorders>
              <w:top w:val="single" w:color="auto" w:sz="2" w:space="0"/>
              <w:left w:val="single" w:color="auto" w:sz="2" w:space="0"/>
            </w:tcBorders>
            <w:vAlign w:val="center"/>
          </w:tcPr>
          <w:p>
            <w:pPr>
              <w:widowControl/>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1.地表淡水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01</w:t>
            </w:r>
          </w:p>
        </w:tc>
        <w:tc>
          <w:tcPr>
            <w:tcW w:w="2572" w:type="pct"/>
            <w:gridSpan w:val="7"/>
            <w:vMerge w:val="continue"/>
            <w:tcBorders>
              <w:left w:val="single" w:color="auto" w:sz="2" w:space="0"/>
            </w:tcBorders>
            <w:vAlign w:val="center"/>
          </w:tcPr>
          <w:p>
            <w:pPr>
              <w:widowControl/>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2.地下淡水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02</w:t>
            </w:r>
          </w:p>
        </w:tc>
        <w:tc>
          <w:tcPr>
            <w:tcW w:w="2572" w:type="pct"/>
            <w:gridSpan w:val="7"/>
            <w:vMerge w:val="continue"/>
            <w:tcBorders>
              <w:left w:val="single" w:color="auto" w:sz="2" w:space="0"/>
            </w:tcBorders>
            <w:vAlign w:val="center"/>
          </w:tcPr>
          <w:p>
            <w:pPr>
              <w:widowControl/>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3.自来水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03</w:t>
            </w:r>
          </w:p>
        </w:tc>
        <w:tc>
          <w:tcPr>
            <w:tcW w:w="2572" w:type="pct"/>
            <w:gridSpan w:val="7"/>
            <w:vMerge w:val="continue"/>
            <w:tcBorders>
              <w:left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4.海水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04</w:t>
            </w:r>
          </w:p>
        </w:tc>
        <w:tc>
          <w:tcPr>
            <w:tcW w:w="2572" w:type="pct"/>
            <w:gridSpan w:val="7"/>
            <w:vMerge w:val="continue"/>
            <w:tcBorders>
              <w:left w:val="single" w:color="auto" w:sz="2" w:space="0"/>
            </w:tcBorders>
            <w:vAlign w:val="center"/>
          </w:tcPr>
          <w:p>
            <w:pPr>
              <w:widowControl/>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5.陆地苦咸水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05</w:t>
            </w:r>
          </w:p>
        </w:tc>
        <w:tc>
          <w:tcPr>
            <w:tcW w:w="2572" w:type="pct"/>
            <w:gridSpan w:val="7"/>
            <w:vMerge w:val="continue"/>
            <w:tcBorders>
              <w:left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6.矿井水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06</w:t>
            </w:r>
          </w:p>
        </w:tc>
        <w:tc>
          <w:tcPr>
            <w:tcW w:w="2572" w:type="pct"/>
            <w:gridSpan w:val="7"/>
            <w:vMerge w:val="continue"/>
            <w:tcBorders>
              <w:left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7.雨水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07</w:t>
            </w:r>
          </w:p>
        </w:tc>
        <w:tc>
          <w:tcPr>
            <w:tcW w:w="2572" w:type="pct"/>
            <w:gridSpan w:val="7"/>
            <w:vMerge w:val="continue"/>
            <w:tcBorders>
              <w:left w:val="single" w:color="auto" w:sz="2" w:space="0"/>
            </w:tcBorders>
            <w:vAlign w:val="center"/>
          </w:tcPr>
          <w:p>
            <w:pPr>
              <w:widowControl/>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8.再生水（中水）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08</w:t>
            </w:r>
          </w:p>
        </w:tc>
        <w:tc>
          <w:tcPr>
            <w:tcW w:w="2572" w:type="pct"/>
            <w:gridSpan w:val="7"/>
            <w:vMerge w:val="continue"/>
            <w:tcBorders>
              <w:left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 xml:space="preserve">  9.海水淡化水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09</w:t>
            </w:r>
          </w:p>
        </w:tc>
        <w:tc>
          <w:tcPr>
            <w:tcW w:w="2572" w:type="pct"/>
            <w:gridSpan w:val="7"/>
            <w:vMerge w:val="continue"/>
            <w:tcBorders>
              <w:left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85" w:hRule="atLeast"/>
          <w:jc w:val="center"/>
        </w:trPr>
        <w:tc>
          <w:tcPr>
            <w:tcW w:w="1387" w:type="pct"/>
            <w:tcBorders>
              <w:left w:val="nil"/>
              <w:bottom w:val="single" w:color="auto" w:sz="2" w:space="0"/>
              <w:right w:val="single" w:color="auto" w:sz="2" w:space="0"/>
            </w:tcBorders>
            <w:vAlign w:val="center"/>
          </w:tcPr>
          <w:p>
            <w:pPr>
              <w:widowControl/>
              <w:rPr>
                <w:kern w:val="0"/>
                <w:sz w:val="18"/>
                <w:szCs w:val="18"/>
              </w:rPr>
            </w:pPr>
            <w:r>
              <w:rPr>
                <w:kern w:val="0"/>
                <w:sz w:val="18"/>
                <w:szCs w:val="18"/>
              </w:rPr>
              <w:t xml:space="preserve">  10.其他水</w:t>
            </w:r>
          </w:p>
        </w:tc>
        <w:tc>
          <w:tcPr>
            <w:tcW w:w="626" w:type="pct"/>
            <w:gridSpan w:val="2"/>
            <w:tcBorders>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10</w:t>
            </w:r>
          </w:p>
        </w:tc>
        <w:tc>
          <w:tcPr>
            <w:tcW w:w="2572" w:type="pct"/>
            <w:gridSpan w:val="7"/>
            <w:vMerge w:val="continue"/>
            <w:tcBorders>
              <w:left w:val="single" w:color="auto" w:sz="2" w:space="0"/>
              <w:bottom w:val="single" w:color="auto" w:sz="2" w:space="0"/>
            </w:tcBorders>
            <w:vAlign w:val="center"/>
          </w:tcPr>
          <w:p>
            <w:pPr>
              <w:widowControl/>
              <w:jc w:val="left"/>
              <w:rPr>
                <w:kern w:val="0"/>
                <w:sz w:val="20"/>
                <w:szCs w:val="20"/>
              </w:rPr>
            </w:pPr>
          </w:p>
        </w:tc>
      </w:tr>
      <w:tr>
        <w:tblPrEx>
          <w:tblCellMar>
            <w:top w:w="0" w:type="dxa"/>
            <w:left w:w="108" w:type="dxa"/>
            <w:bottom w:w="0" w:type="dxa"/>
            <w:right w:w="108" w:type="dxa"/>
          </w:tblCellMar>
        </w:tblPrEx>
        <w:trPr>
          <w:trHeight w:val="285" w:hRule="atLeast"/>
          <w:jc w:val="center"/>
        </w:trPr>
        <w:tc>
          <w:tcPr>
            <w:tcW w:w="5000" w:type="pct"/>
            <w:gridSpan w:val="12"/>
            <w:tcBorders>
              <w:top w:val="single" w:color="auto" w:sz="2" w:space="0"/>
              <w:left w:val="nil"/>
              <w:bottom w:val="single" w:color="auto" w:sz="2" w:space="0"/>
              <w:right w:val="nil"/>
            </w:tcBorders>
            <w:vAlign w:val="center"/>
          </w:tcPr>
          <w:p>
            <w:pPr>
              <w:widowControl/>
              <w:jc w:val="center"/>
              <w:rPr>
                <w:kern w:val="0"/>
                <w:sz w:val="18"/>
                <w:szCs w:val="18"/>
              </w:rPr>
            </w:pPr>
            <w:r>
              <w:rPr>
                <w:kern w:val="0"/>
                <w:sz w:val="18"/>
                <w:szCs w:val="18"/>
              </w:rPr>
              <w:t>补充指标</w:t>
            </w:r>
          </w:p>
        </w:tc>
      </w:tr>
      <w:tr>
        <w:tblPrEx>
          <w:tblCellMar>
            <w:top w:w="0" w:type="dxa"/>
            <w:left w:w="108" w:type="dxa"/>
            <w:bottom w:w="0" w:type="dxa"/>
            <w:right w:w="108" w:type="dxa"/>
          </w:tblCellMar>
        </w:tblPrEx>
        <w:trPr>
          <w:trHeight w:val="285" w:hRule="atLeast"/>
          <w:jc w:val="center"/>
        </w:trPr>
        <w:tc>
          <w:tcPr>
            <w:tcW w:w="1387" w:type="pct"/>
            <w:tcBorders>
              <w:top w:val="single" w:color="auto" w:sz="2" w:space="0"/>
              <w:left w:val="nil"/>
              <w:bottom w:val="single" w:color="auto" w:sz="2" w:space="0"/>
              <w:right w:val="single" w:color="auto" w:sz="2" w:space="0"/>
            </w:tcBorders>
            <w:vAlign w:val="center"/>
          </w:tcPr>
          <w:p>
            <w:pPr>
              <w:widowControl/>
              <w:jc w:val="center"/>
              <w:rPr>
                <w:kern w:val="0"/>
                <w:sz w:val="18"/>
                <w:szCs w:val="18"/>
              </w:rPr>
            </w:pPr>
            <w:r>
              <w:rPr>
                <w:kern w:val="0"/>
                <w:sz w:val="18"/>
                <w:szCs w:val="18"/>
              </w:rPr>
              <w:t>指标名称</w:t>
            </w:r>
          </w:p>
        </w:tc>
        <w:tc>
          <w:tcPr>
            <w:tcW w:w="626" w:type="pct"/>
            <w:gridSpan w:val="2"/>
            <w:tcBorders>
              <w:top w:val="single" w:color="auto" w:sz="2"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计量单位</w:t>
            </w:r>
          </w:p>
        </w:tc>
        <w:tc>
          <w:tcPr>
            <w:tcW w:w="413" w:type="pct"/>
            <w:gridSpan w:val="2"/>
            <w:tcBorders>
              <w:top w:val="single" w:color="auto" w:sz="2"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代码</w:t>
            </w:r>
          </w:p>
        </w:tc>
        <w:tc>
          <w:tcPr>
            <w:tcW w:w="1283" w:type="pct"/>
            <w:gridSpan w:val="3"/>
            <w:tcBorders>
              <w:top w:val="single" w:color="auto" w:sz="2" w:space="0"/>
              <w:left w:val="single" w:color="auto" w:sz="2" w:space="0"/>
              <w:bottom w:val="single" w:color="auto" w:sz="2" w:space="0"/>
              <w:right w:val="single" w:color="auto" w:sz="2" w:space="0"/>
            </w:tcBorders>
            <w:vAlign w:val="center"/>
          </w:tcPr>
          <w:p>
            <w:pPr>
              <w:widowControl/>
              <w:jc w:val="center"/>
              <w:rPr>
                <w:kern w:val="0"/>
                <w:sz w:val="18"/>
                <w:szCs w:val="18"/>
              </w:rPr>
            </w:pPr>
            <w:r>
              <w:rPr>
                <w:kern w:val="0"/>
                <w:sz w:val="18"/>
                <w:szCs w:val="18"/>
              </w:rPr>
              <w:t>本期</w:t>
            </w:r>
          </w:p>
        </w:tc>
        <w:tc>
          <w:tcPr>
            <w:tcW w:w="1289" w:type="pct"/>
            <w:gridSpan w:val="4"/>
            <w:tcBorders>
              <w:top w:val="single" w:color="auto" w:sz="2" w:space="0"/>
              <w:left w:val="single" w:color="auto" w:sz="2" w:space="0"/>
              <w:bottom w:val="single" w:color="auto" w:sz="2" w:space="0"/>
              <w:right w:val="nil"/>
            </w:tcBorders>
            <w:shd w:val="clear" w:color="auto" w:fill="D9D9D9"/>
            <w:vAlign w:val="center"/>
          </w:tcPr>
          <w:p>
            <w:pPr>
              <w:widowControl/>
              <w:jc w:val="center"/>
              <w:rPr>
                <w:kern w:val="0"/>
                <w:sz w:val="18"/>
                <w:szCs w:val="18"/>
              </w:rPr>
            </w:pPr>
            <w:r>
              <w:rPr>
                <w:kern w:val="0"/>
                <w:sz w:val="18"/>
                <w:szCs w:val="18"/>
              </w:rPr>
              <w:t>上年同期</w:t>
            </w:r>
          </w:p>
        </w:tc>
      </w:tr>
      <w:tr>
        <w:tblPrEx>
          <w:tblCellMar>
            <w:top w:w="0" w:type="dxa"/>
            <w:left w:w="108" w:type="dxa"/>
            <w:bottom w:w="0" w:type="dxa"/>
            <w:right w:w="108" w:type="dxa"/>
          </w:tblCellMar>
        </w:tblPrEx>
        <w:trPr>
          <w:trHeight w:val="306" w:hRule="atLeast"/>
          <w:jc w:val="center"/>
        </w:trPr>
        <w:tc>
          <w:tcPr>
            <w:tcW w:w="1387" w:type="pct"/>
            <w:tcBorders>
              <w:top w:val="single" w:color="auto" w:sz="2" w:space="0"/>
              <w:left w:val="nil"/>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甲</w:t>
            </w:r>
          </w:p>
        </w:tc>
        <w:tc>
          <w:tcPr>
            <w:tcW w:w="626" w:type="pct"/>
            <w:gridSpan w:val="2"/>
            <w:tcBorders>
              <w:top w:val="single" w:color="auto" w:sz="2" w:space="0"/>
              <w:left w:val="single" w:color="auto" w:sz="2" w:space="0"/>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乙</w:t>
            </w:r>
          </w:p>
        </w:tc>
        <w:tc>
          <w:tcPr>
            <w:tcW w:w="413" w:type="pct"/>
            <w:gridSpan w:val="2"/>
            <w:tcBorders>
              <w:top w:val="single" w:color="auto" w:sz="2" w:space="0"/>
              <w:left w:val="single" w:color="auto" w:sz="2" w:space="0"/>
              <w:bottom w:val="single" w:color="auto" w:sz="2" w:space="0"/>
              <w:right w:val="single" w:color="auto" w:sz="2" w:space="0"/>
            </w:tcBorders>
            <w:vAlign w:val="center"/>
          </w:tcPr>
          <w:p>
            <w:pPr>
              <w:widowControl/>
              <w:spacing w:line="200" w:lineRule="exact"/>
              <w:jc w:val="center"/>
              <w:textAlignment w:val="center"/>
              <w:rPr>
                <w:kern w:val="0"/>
                <w:sz w:val="18"/>
                <w:szCs w:val="18"/>
              </w:rPr>
            </w:pPr>
            <w:r>
              <w:rPr>
                <w:kern w:val="0"/>
                <w:sz w:val="18"/>
                <w:szCs w:val="18"/>
              </w:rPr>
              <w:t>丙</w:t>
            </w:r>
          </w:p>
        </w:tc>
        <w:tc>
          <w:tcPr>
            <w:tcW w:w="1283" w:type="pct"/>
            <w:gridSpan w:val="3"/>
            <w:tcBorders>
              <w:top w:val="single" w:color="auto" w:sz="2" w:space="0"/>
              <w:left w:val="single" w:color="auto" w:sz="2" w:space="0"/>
              <w:bottom w:val="single" w:color="auto" w:sz="2" w:space="0"/>
              <w:right w:val="single" w:color="auto" w:sz="2" w:space="0"/>
            </w:tcBorders>
            <w:vAlign w:val="center"/>
          </w:tcPr>
          <w:p>
            <w:pPr>
              <w:spacing w:line="200" w:lineRule="exact"/>
              <w:jc w:val="center"/>
              <w:textAlignment w:val="center"/>
              <w:rPr>
                <w:kern w:val="0"/>
                <w:sz w:val="18"/>
                <w:szCs w:val="18"/>
              </w:rPr>
            </w:pPr>
            <w:r>
              <w:rPr>
                <w:kern w:val="0"/>
                <w:sz w:val="18"/>
                <w:szCs w:val="18"/>
              </w:rPr>
              <w:t>1</w:t>
            </w:r>
          </w:p>
        </w:tc>
        <w:tc>
          <w:tcPr>
            <w:tcW w:w="1289" w:type="pct"/>
            <w:gridSpan w:val="4"/>
            <w:tcBorders>
              <w:top w:val="single" w:color="auto" w:sz="2" w:space="0"/>
              <w:left w:val="single" w:color="auto" w:sz="2" w:space="0"/>
              <w:bottom w:val="single" w:color="auto" w:sz="2" w:space="0"/>
              <w:right w:val="nil"/>
            </w:tcBorders>
            <w:shd w:val="clear" w:color="auto" w:fill="D9D9D9"/>
            <w:vAlign w:val="center"/>
          </w:tcPr>
          <w:p>
            <w:pPr>
              <w:spacing w:line="200" w:lineRule="exact"/>
              <w:jc w:val="center"/>
              <w:textAlignment w:val="center"/>
              <w:rPr>
                <w:kern w:val="0"/>
                <w:sz w:val="18"/>
                <w:szCs w:val="18"/>
              </w:rPr>
            </w:pPr>
            <w:r>
              <w:rPr>
                <w:kern w:val="0"/>
                <w:sz w:val="18"/>
                <w:szCs w:val="18"/>
              </w:rPr>
              <w:t>2</w:t>
            </w:r>
          </w:p>
        </w:tc>
      </w:tr>
      <w:tr>
        <w:tblPrEx>
          <w:tblCellMar>
            <w:top w:w="0" w:type="dxa"/>
            <w:left w:w="108" w:type="dxa"/>
            <w:bottom w:w="0" w:type="dxa"/>
            <w:right w:w="108" w:type="dxa"/>
          </w:tblCellMar>
        </w:tblPrEx>
        <w:trPr>
          <w:trHeight w:val="270" w:hRule="atLeast"/>
          <w:jc w:val="center"/>
        </w:trPr>
        <w:tc>
          <w:tcPr>
            <w:tcW w:w="1387" w:type="pct"/>
            <w:tcBorders>
              <w:top w:val="single" w:color="auto" w:sz="2" w:space="0"/>
              <w:left w:val="nil"/>
              <w:right w:val="single" w:color="auto" w:sz="2" w:space="0"/>
            </w:tcBorders>
            <w:vAlign w:val="center"/>
          </w:tcPr>
          <w:p>
            <w:pPr>
              <w:widowControl/>
              <w:rPr>
                <w:kern w:val="0"/>
                <w:sz w:val="18"/>
                <w:szCs w:val="18"/>
              </w:rPr>
            </w:pPr>
            <w:r>
              <w:rPr>
                <w:kern w:val="0"/>
                <w:sz w:val="18"/>
                <w:szCs w:val="18"/>
              </w:rPr>
              <w:t>外排水量</w:t>
            </w:r>
          </w:p>
        </w:tc>
        <w:tc>
          <w:tcPr>
            <w:tcW w:w="626" w:type="pct"/>
            <w:gridSpan w:val="2"/>
            <w:tcBorders>
              <w:top w:val="single" w:color="auto" w:sz="2" w:space="0"/>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top w:val="single" w:color="auto" w:sz="2" w:space="0"/>
              <w:left w:val="single" w:color="auto" w:sz="2" w:space="0"/>
              <w:right w:val="single" w:color="auto" w:sz="2" w:space="0"/>
            </w:tcBorders>
            <w:vAlign w:val="center"/>
          </w:tcPr>
          <w:p>
            <w:pPr>
              <w:widowControl/>
              <w:spacing w:line="240" w:lineRule="exact"/>
              <w:jc w:val="center"/>
              <w:textAlignment w:val="center"/>
              <w:rPr>
                <w:kern w:val="0"/>
                <w:sz w:val="18"/>
                <w:szCs w:val="18"/>
              </w:rPr>
            </w:pPr>
            <w:r>
              <w:rPr>
                <w:kern w:val="0"/>
                <w:sz w:val="18"/>
                <w:szCs w:val="18"/>
              </w:rPr>
              <w:t>11</w:t>
            </w:r>
          </w:p>
        </w:tc>
        <w:tc>
          <w:tcPr>
            <w:tcW w:w="2572" w:type="pct"/>
            <w:gridSpan w:val="7"/>
            <w:vMerge w:val="restart"/>
            <w:tcBorders>
              <w:top w:val="single" w:color="auto" w:sz="2" w:space="0"/>
              <w:left w:val="single" w:color="auto" w:sz="2" w:space="0"/>
            </w:tcBorders>
            <w:vAlign w:val="center"/>
          </w:tcPr>
          <w:p>
            <w:pPr>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重复用水量</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spacing w:line="240" w:lineRule="exact"/>
              <w:jc w:val="center"/>
              <w:textAlignment w:val="center"/>
              <w:rPr>
                <w:kern w:val="0"/>
                <w:sz w:val="18"/>
                <w:szCs w:val="18"/>
              </w:rPr>
            </w:pPr>
            <w:r>
              <w:rPr>
                <w:kern w:val="0"/>
                <w:sz w:val="18"/>
                <w:szCs w:val="18"/>
              </w:rPr>
              <w:t>12</w:t>
            </w:r>
          </w:p>
        </w:tc>
        <w:tc>
          <w:tcPr>
            <w:tcW w:w="2572" w:type="pct"/>
            <w:gridSpan w:val="7"/>
            <w:vMerge w:val="continue"/>
            <w:tcBorders>
              <w:left w:val="single" w:color="auto" w:sz="2" w:space="0"/>
            </w:tcBorders>
            <w:vAlign w:val="center"/>
          </w:tcPr>
          <w:p>
            <w:pPr>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直流冷却水量（河湖水）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spacing w:line="240" w:lineRule="exact"/>
              <w:jc w:val="center"/>
              <w:textAlignment w:val="center"/>
              <w:rPr>
                <w:kern w:val="0"/>
                <w:sz w:val="18"/>
                <w:szCs w:val="18"/>
              </w:rPr>
            </w:pPr>
            <w:r>
              <w:rPr>
                <w:kern w:val="0"/>
                <w:sz w:val="18"/>
                <w:szCs w:val="18"/>
              </w:rPr>
              <w:t>13</w:t>
            </w:r>
          </w:p>
        </w:tc>
        <w:tc>
          <w:tcPr>
            <w:tcW w:w="2572" w:type="pct"/>
            <w:gridSpan w:val="7"/>
            <w:vMerge w:val="continue"/>
            <w:tcBorders>
              <w:left w:val="single" w:color="auto" w:sz="2" w:space="0"/>
            </w:tcBorders>
            <w:vAlign w:val="center"/>
          </w:tcPr>
          <w:p>
            <w:pPr>
              <w:jc w:val="left"/>
              <w:rPr>
                <w:kern w:val="0"/>
                <w:sz w:val="18"/>
                <w:szCs w:val="18"/>
              </w:rPr>
            </w:pPr>
          </w:p>
        </w:tc>
      </w:tr>
      <w:tr>
        <w:tblPrEx>
          <w:tblCellMar>
            <w:top w:w="0" w:type="dxa"/>
            <w:left w:w="108" w:type="dxa"/>
            <w:bottom w:w="0" w:type="dxa"/>
            <w:right w:w="108" w:type="dxa"/>
          </w:tblCellMar>
        </w:tblPrEx>
        <w:trPr>
          <w:trHeight w:val="270" w:hRule="atLeast"/>
          <w:jc w:val="center"/>
        </w:trPr>
        <w:tc>
          <w:tcPr>
            <w:tcW w:w="1387" w:type="pct"/>
            <w:tcBorders>
              <w:left w:val="nil"/>
              <w:right w:val="single" w:color="auto" w:sz="2" w:space="0"/>
            </w:tcBorders>
            <w:vAlign w:val="center"/>
          </w:tcPr>
          <w:p>
            <w:pPr>
              <w:widowControl/>
              <w:rPr>
                <w:kern w:val="0"/>
                <w:sz w:val="18"/>
                <w:szCs w:val="18"/>
              </w:rPr>
            </w:pPr>
            <w:r>
              <w:rPr>
                <w:kern w:val="0"/>
                <w:sz w:val="18"/>
                <w:szCs w:val="18"/>
              </w:rPr>
              <w:t>直流冷却水量（海水）</w:t>
            </w:r>
          </w:p>
        </w:tc>
        <w:tc>
          <w:tcPr>
            <w:tcW w:w="626" w:type="pct"/>
            <w:gridSpan w:val="2"/>
            <w:tcBorders>
              <w:left w:val="single" w:color="auto" w:sz="2"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right w:val="single" w:color="auto" w:sz="2" w:space="0"/>
            </w:tcBorders>
            <w:vAlign w:val="center"/>
          </w:tcPr>
          <w:p>
            <w:pPr>
              <w:widowControl/>
              <w:spacing w:line="240" w:lineRule="exact"/>
              <w:jc w:val="center"/>
              <w:textAlignment w:val="center"/>
              <w:rPr>
                <w:kern w:val="0"/>
                <w:sz w:val="18"/>
                <w:szCs w:val="18"/>
              </w:rPr>
            </w:pPr>
            <w:r>
              <w:rPr>
                <w:kern w:val="0"/>
                <w:sz w:val="18"/>
                <w:szCs w:val="18"/>
              </w:rPr>
              <w:t>14</w:t>
            </w:r>
          </w:p>
        </w:tc>
        <w:tc>
          <w:tcPr>
            <w:tcW w:w="2572" w:type="pct"/>
            <w:gridSpan w:val="7"/>
            <w:vMerge w:val="continue"/>
            <w:tcBorders>
              <w:left w:val="single" w:color="auto" w:sz="2" w:space="0"/>
            </w:tcBorders>
            <w:vAlign w:val="center"/>
          </w:tcPr>
          <w:p>
            <w:pPr>
              <w:jc w:val="left"/>
              <w:rPr>
                <w:kern w:val="0"/>
                <w:sz w:val="20"/>
                <w:szCs w:val="20"/>
              </w:rPr>
            </w:pPr>
          </w:p>
        </w:tc>
      </w:tr>
      <w:tr>
        <w:tblPrEx>
          <w:tblCellMar>
            <w:top w:w="0" w:type="dxa"/>
            <w:left w:w="108" w:type="dxa"/>
            <w:bottom w:w="0" w:type="dxa"/>
            <w:right w:w="108" w:type="dxa"/>
          </w:tblCellMar>
        </w:tblPrEx>
        <w:trPr>
          <w:trHeight w:val="270" w:hRule="atLeast"/>
          <w:jc w:val="center"/>
        </w:trPr>
        <w:tc>
          <w:tcPr>
            <w:tcW w:w="1387" w:type="pct"/>
            <w:tcBorders>
              <w:left w:val="nil"/>
              <w:bottom w:val="single" w:color="auto" w:sz="8" w:space="0"/>
              <w:right w:val="single" w:color="auto" w:sz="2" w:space="0"/>
            </w:tcBorders>
            <w:vAlign w:val="center"/>
          </w:tcPr>
          <w:p>
            <w:pPr>
              <w:widowControl/>
              <w:rPr>
                <w:kern w:val="0"/>
                <w:sz w:val="18"/>
                <w:szCs w:val="18"/>
              </w:rPr>
            </w:pPr>
            <w:r>
              <w:rPr>
                <w:kern w:val="0"/>
                <w:sz w:val="18"/>
                <w:szCs w:val="18"/>
              </w:rPr>
              <w:t>污水处理量</w:t>
            </w:r>
          </w:p>
        </w:tc>
        <w:tc>
          <w:tcPr>
            <w:tcW w:w="626" w:type="pct"/>
            <w:gridSpan w:val="2"/>
            <w:tcBorders>
              <w:left w:val="single" w:color="auto" w:sz="2" w:space="0"/>
              <w:bottom w:val="single" w:color="auto" w:sz="8" w:space="0"/>
              <w:right w:val="single" w:color="auto" w:sz="2" w:space="0"/>
            </w:tcBorders>
            <w:vAlign w:val="center"/>
          </w:tcPr>
          <w:p>
            <w:pPr>
              <w:widowControl/>
              <w:jc w:val="center"/>
              <w:rPr>
                <w:kern w:val="0"/>
                <w:sz w:val="18"/>
                <w:szCs w:val="18"/>
              </w:rPr>
            </w:pPr>
            <w:r>
              <w:rPr>
                <w:kern w:val="0"/>
                <w:sz w:val="18"/>
                <w:szCs w:val="18"/>
              </w:rPr>
              <w:t>立方米</w:t>
            </w:r>
          </w:p>
        </w:tc>
        <w:tc>
          <w:tcPr>
            <w:tcW w:w="413" w:type="pct"/>
            <w:gridSpan w:val="2"/>
            <w:tcBorders>
              <w:left w:val="single" w:color="auto" w:sz="2" w:space="0"/>
              <w:bottom w:val="single" w:color="auto" w:sz="8" w:space="0"/>
              <w:right w:val="single" w:color="auto" w:sz="2" w:space="0"/>
            </w:tcBorders>
            <w:vAlign w:val="center"/>
          </w:tcPr>
          <w:p>
            <w:pPr>
              <w:widowControl/>
              <w:spacing w:line="240" w:lineRule="exact"/>
              <w:jc w:val="center"/>
              <w:textAlignment w:val="center"/>
              <w:rPr>
                <w:kern w:val="0"/>
                <w:sz w:val="18"/>
                <w:szCs w:val="18"/>
              </w:rPr>
            </w:pPr>
            <w:r>
              <w:rPr>
                <w:kern w:val="0"/>
                <w:sz w:val="18"/>
                <w:szCs w:val="18"/>
              </w:rPr>
              <w:t>15</w:t>
            </w:r>
          </w:p>
        </w:tc>
        <w:tc>
          <w:tcPr>
            <w:tcW w:w="2572" w:type="pct"/>
            <w:gridSpan w:val="7"/>
            <w:vMerge w:val="continue"/>
            <w:tcBorders>
              <w:left w:val="single" w:color="auto" w:sz="2" w:space="0"/>
              <w:bottom w:val="single" w:color="auto" w:sz="8" w:space="0"/>
            </w:tcBorders>
            <w:vAlign w:val="center"/>
          </w:tcPr>
          <w:p>
            <w:pPr>
              <w:jc w:val="left"/>
              <w:rPr>
                <w:kern w:val="0"/>
                <w:sz w:val="18"/>
                <w:szCs w:val="18"/>
              </w:rPr>
            </w:pPr>
          </w:p>
        </w:tc>
      </w:tr>
    </w:tbl>
    <w:p>
      <w:pPr>
        <w:widowControl/>
        <w:ind w:right="-247" w:rightChars="-118"/>
        <w:jc w:val="left"/>
        <w:rPr>
          <w:sz w:val="18"/>
          <w:szCs w:val="18"/>
        </w:rPr>
      </w:pPr>
      <w:r>
        <w:rPr>
          <w:sz w:val="18"/>
          <w:szCs w:val="18"/>
        </w:rPr>
        <w:t xml:space="preserve">单位负责人：　　    统计负责人：　    </w:t>
      </w:r>
      <w:r>
        <w:rPr>
          <w:rFonts w:hint="eastAsia"/>
          <w:sz w:val="18"/>
          <w:szCs w:val="18"/>
        </w:rPr>
        <w:t xml:space="preserve">  </w:t>
      </w:r>
      <w:r>
        <w:rPr>
          <w:sz w:val="18"/>
          <w:szCs w:val="18"/>
        </w:rPr>
        <w:t xml:space="preserve">  　填表人：　</w:t>
      </w:r>
      <w:r>
        <w:rPr>
          <w:rFonts w:hint="eastAsia"/>
          <w:sz w:val="18"/>
          <w:szCs w:val="18"/>
        </w:rPr>
        <w:t xml:space="preserve"> </w:t>
      </w:r>
      <w:r>
        <w:rPr>
          <w:sz w:val="18"/>
          <w:szCs w:val="18"/>
        </w:rPr>
        <w:t>　</w:t>
      </w:r>
      <w:r>
        <w:rPr>
          <w:rFonts w:hint="eastAsia"/>
          <w:sz w:val="18"/>
          <w:szCs w:val="18"/>
        </w:rPr>
        <w:t xml:space="preserve"> </w:t>
      </w:r>
      <w:r>
        <w:rPr>
          <w:sz w:val="18"/>
          <w:szCs w:val="18"/>
        </w:rPr>
        <w:t xml:space="preserve">　  联系电话：      </w:t>
      </w:r>
      <w:r>
        <w:rPr>
          <w:rFonts w:hint="eastAsia"/>
          <w:sz w:val="18"/>
          <w:szCs w:val="18"/>
        </w:rPr>
        <w:t xml:space="preserve">     </w:t>
      </w:r>
      <w:r>
        <w:rPr>
          <w:sz w:val="18"/>
          <w:szCs w:val="18"/>
        </w:rPr>
        <w:t>报出日期：２０  年　月  日</w:t>
      </w:r>
    </w:p>
    <w:p>
      <w:pPr>
        <w:keepNext w:val="0"/>
        <w:keepLines w:val="0"/>
        <w:pageBreakBefore w:val="0"/>
        <w:widowControl w:val="0"/>
        <w:kinsoku/>
        <w:wordWrap/>
        <w:overflowPunct/>
        <w:topLinePunct w:val="0"/>
        <w:autoSpaceDE/>
        <w:autoSpaceDN/>
        <w:bidi w:val="0"/>
        <w:adjustRightInd w:val="0"/>
        <w:snapToGrid w:val="0"/>
        <w:spacing w:line="270" w:lineRule="exact"/>
        <w:textAlignment w:val="auto"/>
        <w:rPr>
          <w:rFonts w:hint="eastAsia" w:ascii="宋体" w:hAnsi="宋体"/>
          <w:sz w:val="18"/>
          <w:szCs w:val="18"/>
        </w:rPr>
      </w:pPr>
      <w:r>
        <w:rPr>
          <w:rFonts w:hint="eastAsia" w:ascii="宋体" w:hAnsi="宋体"/>
          <w:b w:val="0"/>
          <w:bCs/>
          <w:sz w:val="18"/>
          <w:szCs w:val="18"/>
        </w:rPr>
        <w:t>说明</w:t>
      </w:r>
      <w:r>
        <w:rPr>
          <w:rFonts w:hint="eastAsia" w:ascii="宋体" w:hAnsi="宋体"/>
          <w:sz w:val="18"/>
          <w:szCs w:val="18"/>
        </w:rPr>
        <w:t>：1.报送单位：辖区内规模以上工业法人单位</w:t>
      </w:r>
      <w:r>
        <w:rPr>
          <w:rFonts w:hint="eastAsia" w:ascii="宋体"/>
          <w:sz w:val="18"/>
        </w:rPr>
        <w:t>和规模以上</w:t>
      </w:r>
      <w:r>
        <w:rPr>
          <w:rFonts w:hint="eastAsia" w:ascii="宋体"/>
          <w:sz w:val="18"/>
          <w:lang w:eastAsia="zh-CN"/>
        </w:rPr>
        <w:t>工业</w:t>
      </w:r>
      <w:r>
        <w:rPr>
          <w:rFonts w:hint="eastAsia" w:ascii="宋体"/>
          <w:sz w:val="18"/>
        </w:rPr>
        <w:t>个体经营户</w:t>
      </w:r>
      <w:r>
        <w:rPr>
          <w:rFonts w:hint="eastAsia" w:ascii="宋体" w:hAnsi="宋体"/>
          <w:sz w:val="18"/>
          <w:szCs w:val="18"/>
        </w:rPr>
        <w:t>。</w:t>
      </w:r>
    </w:p>
    <w:p>
      <w:pPr>
        <w:keepNext w:val="0"/>
        <w:keepLines w:val="0"/>
        <w:pageBreakBefore w:val="0"/>
        <w:widowControl w:val="0"/>
        <w:kinsoku/>
        <w:wordWrap/>
        <w:overflowPunct/>
        <w:topLinePunct w:val="0"/>
        <w:autoSpaceDE/>
        <w:autoSpaceDN/>
        <w:bidi w:val="0"/>
        <w:spacing w:line="270" w:lineRule="exact"/>
        <w:ind w:left="721" w:leftChars="258" w:hanging="180" w:hangingChars="100"/>
        <w:textAlignment w:val="auto"/>
        <w:rPr>
          <w:rFonts w:hint="eastAsia" w:ascii="宋体"/>
          <w:sz w:val="18"/>
        </w:rPr>
      </w:pPr>
      <w:r>
        <w:rPr>
          <w:rFonts w:hint="eastAsia" w:ascii="宋体" w:hAnsi="宋体"/>
          <w:sz w:val="18"/>
          <w:szCs w:val="18"/>
        </w:rPr>
        <w:t>2.报送日期及方式</w:t>
      </w:r>
      <w:r>
        <w:rPr>
          <w:rFonts w:hint="eastAsia" w:ascii="宋体" w:hAnsi="宋体" w:eastAsia="宋体" w:cs="Times New Roman"/>
          <w:sz w:val="18"/>
          <w:szCs w:val="18"/>
        </w:rPr>
        <w:t>：调查单位上半年7月10日、下半年次年1月10日12:00前独立自行网上填报</w:t>
      </w:r>
      <w:r>
        <w:rPr>
          <w:rFonts w:hint="eastAsia" w:ascii="宋体" w:hAnsi="宋体"/>
          <w:sz w:val="18"/>
          <w:szCs w:val="18"/>
        </w:rPr>
        <w:t>。</w:t>
      </w:r>
    </w:p>
    <w:p>
      <w:pPr>
        <w:keepNext w:val="0"/>
        <w:keepLines w:val="0"/>
        <w:pageBreakBefore w:val="0"/>
        <w:widowControl w:val="0"/>
        <w:kinsoku/>
        <w:wordWrap/>
        <w:overflowPunct/>
        <w:topLinePunct w:val="0"/>
        <w:autoSpaceDE/>
        <w:autoSpaceDN/>
        <w:bidi w:val="0"/>
        <w:adjustRightInd w:val="0"/>
        <w:snapToGrid w:val="0"/>
        <w:spacing w:line="270" w:lineRule="exact"/>
        <w:ind w:left="735" w:leftChars="257" w:hanging="196" w:hangingChars="109"/>
        <w:textAlignment w:val="auto"/>
        <w:rPr>
          <w:rFonts w:hint="eastAsia" w:ascii="宋体" w:hAnsi="宋体"/>
          <w:sz w:val="18"/>
          <w:szCs w:val="18"/>
        </w:rPr>
      </w:pPr>
      <w:r>
        <w:rPr>
          <w:rFonts w:hint="eastAsia" w:ascii="宋体" w:hAnsi="宋体"/>
          <w:sz w:val="18"/>
          <w:szCs w:val="18"/>
        </w:rPr>
        <w:t>3.</w:t>
      </w:r>
      <w:r>
        <w:rPr>
          <w:sz w:val="18"/>
          <w:szCs w:val="18"/>
        </w:rPr>
        <w:t>本表为半年报，上半年报送1-6月份累计数据，下半年报送1-12月份累计数据</w:t>
      </w:r>
      <w:r>
        <w:rPr>
          <w:rFonts w:hint="eastAsia" w:ascii="宋体" w:hAnsi="宋体"/>
          <w:sz w:val="18"/>
          <w:szCs w:val="18"/>
        </w:rPr>
        <w:t>。</w:t>
      </w:r>
    </w:p>
    <w:p>
      <w:pPr>
        <w:keepNext w:val="0"/>
        <w:keepLines w:val="0"/>
        <w:pageBreakBefore w:val="0"/>
        <w:widowControl w:val="0"/>
        <w:kinsoku/>
        <w:wordWrap/>
        <w:overflowPunct/>
        <w:topLinePunct w:val="0"/>
        <w:autoSpaceDE/>
        <w:autoSpaceDN/>
        <w:bidi w:val="0"/>
        <w:adjustRightInd w:val="0"/>
        <w:snapToGrid w:val="0"/>
        <w:spacing w:line="270" w:lineRule="exact"/>
        <w:ind w:left="735" w:leftChars="257" w:hanging="196" w:hangingChars="109"/>
        <w:textAlignment w:val="auto"/>
        <w:rPr>
          <w:rFonts w:hint="eastAsia" w:ascii="宋体" w:hAnsi="宋体" w:cs="宋体"/>
          <w:kern w:val="0"/>
          <w:sz w:val="18"/>
          <w:szCs w:val="18"/>
        </w:rPr>
      </w:pPr>
      <w:r>
        <w:rPr>
          <w:rFonts w:hint="eastAsia" w:ascii="宋体" w:hAnsi="宋体"/>
          <w:sz w:val="18"/>
          <w:szCs w:val="18"/>
        </w:rPr>
        <w:t>4.</w:t>
      </w:r>
      <w:r>
        <w:rPr>
          <w:rFonts w:hint="eastAsia"/>
          <w:sz w:val="18"/>
          <w:szCs w:val="18"/>
        </w:rPr>
        <w:t>本表中</w:t>
      </w:r>
      <w:r>
        <w:rPr>
          <w:rFonts w:hint="eastAsia"/>
          <w:sz w:val="18"/>
          <w:szCs w:val="18"/>
          <w:lang w:eastAsia="zh-CN"/>
        </w:rPr>
        <w:t>“</w:t>
      </w:r>
      <w:r>
        <w:rPr>
          <w:rFonts w:hint="eastAsia"/>
          <w:sz w:val="18"/>
          <w:szCs w:val="18"/>
        </w:rPr>
        <w:t>上年同期</w:t>
      </w:r>
      <w:r>
        <w:rPr>
          <w:rFonts w:hint="eastAsia"/>
          <w:sz w:val="18"/>
          <w:szCs w:val="18"/>
          <w:lang w:eastAsia="zh-CN"/>
        </w:rPr>
        <w:t>”</w:t>
      </w:r>
      <w:r>
        <w:rPr>
          <w:rFonts w:hint="eastAsia"/>
          <w:sz w:val="18"/>
          <w:szCs w:val="18"/>
        </w:rPr>
        <w:t>数据统一由国家统计局在数据处理软件中复制，调查单位和各级统计机构原则上不得修改；本年新增的调查单位自行填报</w:t>
      </w:r>
      <w:r>
        <w:rPr>
          <w:rFonts w:hint="eastAsia"/>
          <w:sz w:val="18"/>
          <w:szCs w:val="18"/>
          <w:lang w:eastAsia="zh-CN"/>
        </w:rPr>
        <w:t>“</w:t>
      </w:r>
      <w:r>
        <w:rPr>
          <w:rFonts w:hint="eastAsia"/>
          <w:sz w:val="18"/>
          <w:szCs w:val="18"/>
        </w:rPr>
        <w:t>上年同期</w:t>
      </w:r>
      <w:r>
        <w:rPr>
          <w:rFonts w:hint="eastAsia"/>
          <w:sz w:val="18"/>
          <w:szCs w:val="18"/>
          <w:lang w:eastAsia="zh-CN"/>
        </w:rPr>
        <w:t>”</w:t>
      </w:r>
      <w:r>
        <w:rPr>
          <w:rFonts w:hint="eastAsia"/>
          <w:sz w:val="18"/>
          <w:szCs w:val="18"/>
        </w:rPr>
        <w:t>数据；涉及兼并、重组等情况的企业，经国家统计局批准后，调查单位可调整同期数；本年新增指标的同期数由调查单位自行填报</w:t>
      </w:r>
      <w:r>
        <w:rPr>
          <w:rFonts w:hint="eastAsia" w:ascii="宋体" w:hAnsi="宋体" w:cs="宋体"/>
          <w:kern w:val="0"/>
          <w:sz w:val="18"/>
          <w:szCs w:val="18"/>
        </w:rPr>
        <w:t>。</w:t>
      </w:r>
    </w:p>
    <w:p>
      <w:pPr>
        <w:keepNext w:val="0"/>
        <w:keepLines w:val="0"/>
        <w:pageBreakBefore w:val="0"/>
        <w:widowControl w:val="0"/>
        <w:kinsoku/>
        <w:wordWrap/>
        <w:overflowPunct/>
        <w:topLinePunct w:val="0"/>
        <w:autoSpaceDE/>
        <w:autoSpaceDN/>
        <w:bidi w:val="0"/>
        <w:adjustRightInd w:val="0"/>
        <w:snapToGrid w:val="0"/>
        <w:spacing w:line="270" w:lineRule="exact"/>
        <w:ind w:left="2483" w:leftChars="257" w:hanging="1944" w:hangingChars="1080"/>
        <w:textAlignment w:val="auto"/>
        <w:rPr>
          <w:rFonts w:hint="eastAsia" w:ascii="宋体" w:hAnsi="宋体"/>
          <w:sz w:val="18"/>
          <w:szCs w:val="18"/>
        </w:rPr>
      </w:pPr>
      <w:r>
        <w:rPr>
          <w:rFonts w:hint="eastAsia" w:ascii="宋体" w:hAnsi="宋体"/>
          <w:sz w:val="18"/>
          <w:szCs w:val="18"/>
        </w:rPr>
        <w:t>5.审核关系：（1）合计＝地表淡水＋地下淡水＋自来水＋海水＋陆地苦咸水＋矿井水＋雨水＋再生水（中水）＋海水淡化水＋其他水</w:t>
      </w:r>
    </w:p>
    <w:p>
      <w:pPr>
        <w:keepNext w:val="0"/>
        <w:keepLines w:val="0"/>
        <w:pageBreakBefore w:val="0"/>
        <w:widowControl w:val="0"/>
        <w:kinsoku/>
        <w:wordWrap/>
        <w:overflowPunct/>
        <w:topLinePunct w:val="0"/>
        <w:autoSpaceDE/>
        <w:autoSpaceDN/>
        <w:bidi w:val="0"/>
        <w:adjustRightInd w:val="0"/>
        <w:snapToGrid w:val="0"/>
        <w:spacing w:line="270" w:lineRule="exact"/>
        <w:ind w:firstLine="1530" w:firstLineChars="850"/>
        <w:textAlignment w:val="auto"/>
        <w:rPr>
          <w:rFonts w:hint="eastAsia" w:ascii="宋体" w:hAnsi="宋体"/>
          <w:sz w:val="18"/>
          <w:szCs w:val="18"/>
        </w:rPr>
      </w:pPr>
      <w:r>
        <w:rPr>
          <w:rFonts w:hint="eastAsia" w:ascii="宋体" w:hAnsi="宋体"/>
          <w:sz w:val="18"/>
          <w:szCs w:val="18"/>
        </w:rPr>
        <w:t>（2）取水量合计＋污水处理量＞外供水量合计＋外排水量</w:t>
      </w:r>
    </w:p>
    <w:p>
      <w:pPr>
        <w:keepNext w:val="0"/>
        <w:keepLines w:val="0"/>
        <w:pageBreakBefore w:val="0"/>
        <w:widowControl w:val="0"/>
        <w:kinsoku/>
        <w:wordWrap/>
        <w:overflowPunct/>
        <w:topLinePunct w:val="0"/>
        <w:autoSpaceDE/>
        <w:autoSpaceDN/>
        <w:bidi w:val="0"/>
        <w:adjustRightInd w:val="0"/>
        <w:snapToGrid w:val="0"/>
        <w:spacing w:line="270" w:lineRule="exact"/>
        <w:ind w:left="735" w:leftChars="257" w:hanging="196" w:hangingChars="109"/>
        <w:textAlignment w:val="auto"/>
        <w:rPr>
          <w:rFonts w:hint="eastAsia" w:ascii="宋体" w:hAnsi="宋体"/>
          <w:sz w:val="18"/>
          <w:szCs w:val="18"/>
        </w:rPr>
      </w:pPr>
      <w:r>
        <w:rPr>
          <w:rFonts w:hint="eastAsia" w:ascii="宋体" w:hAnsi="宋体"/>
          <w:sz w:val="18"/>
          <w:szCs w:val="18"/>
          <w:lang w:val="en-US" w:eastAsia="zh-CN"/>
        </w:rPr>
        <w:t>6</w:t>
      </w:r>
      <w:r>
        <w:rPr>
          <w:rFonts w:hint="eastAsia" w:ascii="宋体" w:hAnsi="宋体"/>
          <w:sz w:val="18"/>
          <w:szCs w:val="18"/>
        </w:rPr>
        <w:t>.企业用新水量说明：</w:t>
      </w:r>
    </w:p>
    <w:p>
      <w:pPr>
        <w:keepNext w:val="0"/>
        <w:keepLines w:val="0"/>
        <w:pageBreakBefore w:val="0"/>
        <w:widowControl w:val="0"/>
        <w:kinsoku/>
        <w:wordWrap/>
        <w:overflowPunct/>
        <w:topLinePunct w:val="0"/>
        <w:autoSpaceDE/>
        <w:autoSpaceDN/>
        <w:bidi w:val="0"/>
        <w:adjustRightInd w:val="0"/>
        <w:snapToGrid w:val="0"/>
        <w:spacing w:line="270" w:lineRule="exact"/>
        <w:ind w:left="732" w:leftChars="343" w:hanging="12" w:hangingChars="7"/>
        <w:textAlignment w:val="auto"/>
        <w:rPr>
          <w:rFonts w:hint="eastAsia" w:ascii="宋体" w:hAnsi="宋体"/>
          <w:sz w:val="18"/>
          <w:szCs w:val="18"/>
        </w:rPr>
      </w:pPr>
      <w:r>
        <w:rPr>
          <w:rFonts w:hint="eastAsia" w:ascii="宋体" w:hAnsi="宋体"/>
          <w:sz w:val="18"/>
          <w:szCs w:val="18"/>
        </w:rPr>
        <w:t>⑴没有外供水的企业:用新水量＝取水量合计</w:t>
      </w:r>
    </w:p>
    <w:p>
      <w:pPr>
        <w:keepNext w:val="0"/>
        <w:keepLines w:val="0"/>
        <w:pageBreakBefore w:val="0"/>
        <w:widowControl w:val="0"/>
        <w:kinsoku/>
        <w:wordWrap/>
        <w:overflowPunct/>
        <w:topLinePunct w:val="0"/>
        <w:autoSpaceDE/>
        <w:autoSpaceDN/>
        <w:bidi w:val="0"/>
        <w:adjustRightInd w:val="0"/>
        <w:snapToGrid w:val="0"/>
        <w:spacing w:line="270" w:lineRule="exact"/>
        <w:ind w:left="732" w:leftChars="343" w:hanging="12" w:hangingChars="7"/>
        <w:textAlignment w:val="auto"/>
        <w:rPr>
          <w:rFonts w:hint="eastAsia" w:ascii="宋体" w:hAnsi="宋体"/>
          <w:sz w:val="18"/>
          <w:szCs w:val="18"/>
        </w:rPr>
      </w:pPr>
      <w:r>
        <w:rPr>
          <w:rFonts w:hint="eastAsia" w:ascii="宋体" w:hAnsi="宋体"/>
          <w:sz w:val="18"/>
          <w:szCs w:val="18"/>
        </w:rPr>
        <w:t>⑵有外供水的企业，比如自来水厂、矿泉水生产企业，用新水量＝取水量合计－外供水量合计</w:t>
      </w:r>
    </w:p>
    <w:p>
      <w:pPr>
        <w:keepNext w:val="0"/>
        <w:keepLines w:val="0"/>
        <w:pageBreakBefore w:val="0"/>
        <w:widowControl w:val="0"/>
        <w:kinsoku/>
        <w:wordWrap/>
        <w:overflowPunct/>
        <w:topLinePunct w:val="0"/>
        <w:autoSpaceDE/>
        <w:autoSpaceDN/>
        <w:bidi w:val="0"/>
        <w:adjustRightInd w:val="0"/>
        <w:snapToGrid w:val="0"/>
        <w:spacing w:line="270" w:lineRule="exact"/>
        <w:ind w:left="732" w:leftChars="343" w:hanging="12" w:hangingChars="7"/>
        <w:textAlignment w:val="auto"/>
        <w:rPr>
          <w:rFonts w:hint="eastAsia" w:ascii="宋体" w:hAnsi="宋体"/>
          <w:sz w:val="18"/>
          <w:szCs w:val="18"/>
        </w:rPr>
      </w:pPr>
      <w:r>
        <w:rPr>
          <w:rFonts w:hint="eastAsia" w:ascii="宋体" w:hAnsi="宋体"/>
          <w:sz w:val="18"/>
          <w:szCs w:val="18"/>
        </w:rPr>
        <w:t>⑶</w:t>
      </w:r>
      <w:r>
        <w:rPr>
          <w:rFonts w:hint="eastAsia"/>
          <w:sz w:val="18"/>
          <w:szCs w:val="18"/>
        </w:rPr>
        <w:t>有污水处理设备的企业取水量不包括污水和自用的再生水（中水）</w:t>
      </w:r>
    </w:p>
    <w:p>
      <w:pPr>
        <w:keepNext w:val="0"/>
        <w:keepLines w:val="0"/>
        <w:pageBreakBefore w:val="0"/>
        <w:widowControl w:val="0"/>
        <w:kinsoku/>
        <w:wordWrap/>
        <w:overflowPunct/>
        <w:topLinePunct w:val="0"/>
        <w:autoSpaceDE/>
        <w:autoSpaceDN/>
        <w:bidi w:val="0"/>
        <w:spacing w:line="270" w:lineRule="exact"/>
        <w:ind w:left="537" w:leftChars="256"/>
        <w:textAlignment w:val="auto"/>
        <w:rPr>
          <w:rFonts w:hint="eastAsia" w:eastAsia="宋体"/>
          <w:sz w:val="18"/>
          <w:szCs w:val="18"/>
          <w:lang w:eastAsia="zh-CN"/>
        </w:rPr>
      </w:pPr>
      <w:r>
        <w:rPr>
          <w:rFonts w:hint="eastAsia" w:ascii="宋体" w:hAnsi="宋体"/>
          <w:sz w:val="18"/>
          <w:szCs w:val="18"/>
          <w:lang w:val="en-US" w:eastAsia="zh-CN"/>
        </w:rPr>
        <w:t>7</w:t>
      </w:r>
      <w:r>
        <w:rPr>
          <w:rFonts w:hint="eastAsia" w:ascii="宋体" w:hAnsi="宋体"/>
          <w:sz w:val="18"/>
          <w:szCs w:val="18"/>
        </w:rPr>
        <w:t>.</w:t>
      </w:r>
      <w:r>
        <w:rPr>
          <w:sz w:val="18"/>
          <w:szCs w:val="18"/>
        </w:rPr>
        <w:t>用新水量计算说明：汇总国家或地区的用新水量的计算公式如下</w:t>
      </w:r>
      <w:r>
        <w:rPr>
          <w:rFonts w:hint="eastAsia"/>
          <w:sz w:val="18"/>
          <w:szCs w:val="18"/>
          <w:lang w:eastAsia="zh-CN"/>
        </w:rPr>
        <w:t>，</w:t>
      </w:r>
    </w:p>
    <w:p>
      <w:pPr>
        <w:keepNext w:val="0"/>
        <w:keepLines w:val="0"/>
        <w:pageBreakBefore w:val="0"/>
        <w:widowControl w:val="0"/>
        <w:kinsoku/>
        <w:wordWrap/>
        <w:overflowPunct/>
        <w:topLinePunct w:val="0"/>
        <w:autoSpaceDE/>
        <w:autoSpaceDN/>
        <w:bidi w:val="0"/>
        <w:spacing w:line="270" w:lineRule="exact"/>
        <w:ind w:left="630" w:leftChars="300" w:firstLine="90" w:firstLineChars="50"/>
        <w:textAlignment w:val="auto"/>
        <w:rPr>
          <w:sz w:val="18"/>
          <w:szCs w:val="18"/>
        </w:rPr>
      </w:pPr>
      <w:r>
        <w:rPr>
          <w:sz w:val="18"/>
          <w:szCs w:val="18"/>
        </w:rPr>
        <w:t>用新水量汇总数＝取水量汇总数－外供水量汇总数</w:t>
      </w:r>
    </w:p>
    <w:p>
      <w:pPr>
        <w:keepNext w:val="0"/>
        <w:keepLines w:val="0"/>
        <w:pageBreakBefore w:val="0"/>
        <w:widowControl w:val="0"/>
        <w:kinsoku/>
        <w:wordWrap/>
        <w:overflowPunct/>
        <w:topLinePunct w:val="0"/>
        <w:autoSpaceDE/>
        <w:autoSpaceDN/>
        <w:bidi w:val="0"/>
        <w:spacing w:line="270" w:lineRule="exact"/>
        <w:ind w:left="537" w:leftChars="256"/>
        <w:textAlignment w:val="auto"/>
        <w:rPr>
          <w:rFonts w:hint="eastAsia" w:ascii="宋体" w:hAnsi="宋体" w:eastAsia="宋体"/>
          <w:sz w:val="18"/>
          <w:szCs w:val="18"/>
          <w:lang w:val="en-US" w:eastAsia="zh-CN"/>
        </w:rPr>
      </w:pPr>
      <w:r>
        <w:rPr>
          <w:rFonts w:hint="eastAsia" w:ascii="宋体" w:hAnsi="宋体" w:eastAsia="宋体"/>
          <w:sz w:val="18"/>
          <w:szCs w:val="18"/>
          <w:lang w:val="en-US" w:eastAsia="zh-CN"/>
        </w:rPr>
        <w:t>8.重复用水率＝重复用水量/(用新水量+重复用水量)×100%</w:t>
      </w:r>
    </w:p>
    <w:p>
      <w:pPr>
        <w:keepNext w:val="0"/>
        <w:keepLines w:val="0"/>
        <w:pageBreakBefore w:val="0"/>
        <w:widowControl w:val="0"/>
        <w:kinsoku/>
        <w:wordWrap/>
        <w:overflowPunct/>
        <w:topLinePunct w:val="0"/>
        <w:autoSpaceDE/>
        <w:autoSpaceDN/>
        <w:bidi w:val="0"/>
        <w:spacing w:line="270" w:lineRule="exact"/>
        <w:ind w:left="537" w:leftChars="256"/>
        <w:textAlignment w:val="auto"/>
      </w:pPr>
      <w:r>
        <w:rPr>
          <w:rFonts w:hint="default" w:ascii="宋体" w:hAnsi="宋体" w:eastAsia="宋体"/>
          <w:sz w:val="18"/>
          <w:szCs w:val="18"/>
          <w:lang w:val="en-US" w:eastAsia="zh-CN"/>
        </w:rPr>
        <w:t>9.取水量不包括为转供给其他企业</w:t>
      </w:r>
      <w:r>
        <w:rPr>
          <w:rFonts w:hint="eastAsia" w:ascii="宋体" w:hAnsi="宋体" w:eastAsia="宋体"/>
          <w:sz w:val="18"/>
          <w:szCs w:val="18"/>
          <w:lang w:val="en-US" w:eastAsia="zh-CN"/>
        </w:rPr>
        <w:t>、居民等</w:t>
      </w:r>
      <w:r>
        <w:rPr>
          <w:rFonts w:hint="default" w:ascii="宋体" w:hAnsi="宋体" w:eastAsia="宋体"/>
          <w:sz w:val="18"/>
          <w:szCs w:val="18"/>
          <w:lang w:val="en-US" w:eastAsia="zh-CN"/>
        </w:rPr>
        <w:t>而取的自来水，外供水量不包括取来直接转供给其他企业</w:t>
      </w:r>
      <w:r>
        <w:rPr>
          <w:rFonts w:hint="eastAsia" w:ascii="宋体" w:hAnsi="宋体" w:eastAsia="宋体"/>
          <w:sz w:val="18"/>
          <w:szCs w:val="18"/>
          <w:lang w:val="en-US" w:eastAsia="zh-CN"/>
        </w:rPr>
        <w:t>、居民等</w:t>
      </w:r>
      <w:r>
        <w:rPr>
          <w:rFonts w:hint="default" w:ascii="宋体" w:hAnsi="宋体" w:eastAsia="宋体"/>
          <w:sz w:val="18"/>
          <w:szCs w:val="18"/>
          <w:lang w:val="en-US" w:eastAsia="zh-CN"/>
        </w:rPr>
        <w:t>的</w:t>
      </w:r>
      <w:r>
        <w:rPr>
          <w:rFonts w:hint="eastAsia" w:ascii="宋体" w:hAnsi="宋体" w:eastAsia="宋体"/>
          <w:sz w:val="18"/>
          <w:szCs w:val="18"/>
          <w:lang w:val="en-US" w:eastAsia="zh-CN"/>
        </w:rPr>
        <w:t>自</w:t>
      </w:r>
      <w:r>
        <w:rPr>
          <w:rFonts w:hint="default" w:ascii="宋体" w:hAnsi="宋体" w:eastAsia="宋体"/>
          <w:sz w:val="18"/>
          <w:szCs w:val="18"/>
          <w:lang w:val="en-US" w:eastAsia="zh-CN"/>
        </w:rPr>
        <w:t>来水。</w:t>
      </w: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87" w:name="_Toc1632712397"/>
      <w:bookmarkStart w:id="88" w:name="_Toc826445018"/>
      <w:r>
        <w:rPr>
          <w:rFonts w:hint="eastAsia" w:ascii="宋体" w:hAnsi="宋体" w:eastAsia="宋体" w:cs="宋体"/>
          <w:b/>
          <w:bCs/>
          <w:sz w:val="32"/>
          <w:szCs w:val="32"/>
        </w:rPr>
        <w:t>能源生产、销售与库存</w:t>
      </w:r>
      <w:bookmarkEnd w:id="87"/>
      <w:bookmarkEnd w:id="88"/>
    </w:p>
    <w:p>
      <w:pPr>
        <w:spacing w:line="40" w:lineRule="exact"/>
      </w:pPr>
    </w:p>
    <w:tbl>
      <w:tblPr>
        <w:tblStyle w:val="17"/>
        <w:tblW w:w="0" w:type="auto"/>
        <w:tblInd w:w="59" w:type="dxa"/>
        <w:tblLayout w:type="fixed"/>
        <w:tblCellMar>
          <w:top w:w="0" w:type="dxa"/>
          <w:left w:w="108" w:type="dxa"/>
          <w:bottom w:w="0" w:type="dxa"/>
          <w:right w:w="108" w:type="dxa"/>
        </w:tblCellMar>
      </w:tblPr>
      <w:tblGrid>
        <w:gridCol w:w="21"/>
        <w:gridCol w:w="619"/>
        <w:gridCol w:w="474"/>
        <w:gridCol w:w="117"/>
        <w:gridCol w:w="590"/>
        <w:gridCol w:w="159"/>
        <w:gridCol w:w="431"/>
        <w:gridCol w:w="445"/>
        <w:gridCol w:w="146"/>
        <w:gridCol w:w="594"/>
        <w:gridCol w:w="161"/>
        <w:gridCol w:w="429"/>
        <w:gridCol w:w="387"/>
        <w:gridCol w:w="209"/>
        <w:gridCol w:w="590"/>
        <w:gridCol w:w="594"/>
        <w:gridCol w:w="590"/>
        <w:gridCol w:w="63"/>
        <w:gridCol w:w="533"/>
        <w:gridCol w:w="393"/>
        <w:gridCol w:w="197"/>
        <w:gridCol w:w="594"/>
        <w:gridCol w:w="640"/>
        <w:gridCol w:w="629"/>
      </w:tblGrid>
      <w:tr>
        <w:tblPrEx>
          <w:tblCellMar>
            <w:top w:w="0" w:type="dxa"/>
            <w:left w:w="108" w:type="dxa"/>
            <w:bottom w:w="0" w:type="dxa"/>
            <w:right w:w="108" w:type="dxa"/>
          </w:tblCellMar>
        </w:tblPrEx>
        <w:trPr>
          <w:gridBefore w:val="1"/>
          <w:wBefore w:w="21" w:type="dxa"/>
        </w:trPr>
        <w:tc>
          <w:tcPr>
            <w:tcW w:w="1093"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866" w:type="dxa"/>
            <w:gridSpan w:val="3"/>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876"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901" w:type="dxa"/>
            <w:gridSpan w:val="3"/>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816"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2046" w:type="dxa"/>
            <w:gridSpan w:val="5"/>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926"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r>
              <w:rPr>
                <w:rFonts w:hint="eastAsia" w:ascii="宋体" w:hAnsi="宋体" w:cs="宋体"/>
                <w:kern w:val="0"/>
                <w:sz w:val="18"/>
                <w:szCs w:val="18"/>
              </w:rPr>
              <w:t>表　　号：</w:t>
            </w:r>
          </w:p>
        </w:tc>
        <w:tc>
          <w:tcPr>
            <w:tcW w:w="2060" w:type="dxa"/>
            <w:gridSpan w:val="4"/>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distribute"/>
              <w:rPr>
                <w:rFonts w:ascii="宋体" w:hAnsi="宋体" w:cs="宋体"/>
                <w:kern w:val="0"/>
                <w:sz w:val="18"/>
                <w:szCs w:val="18"/>
              </w:rPr>
            </w:pPr>
            <w:r>
              <w:rPr>
                <w:rFonts w:hint="eastAsia" w:ascii="宋体" w:hAnsi="宋体" w:cs="宋体"/>
                <w:kern w:val="0"/>
                <w:sz w:val="18"/>
                <w:szCs w:val="18"/>
              </w:rPr>
              <w:t>２０５－６表</w:t>
            </w:r>
          </w:p>
        </w:tc>
      </w:tr>
      <w:tr>
        <w:tblPrEx>
          <w:tblCellMar>
            <w:top w:w="0" w:type="dxa"/>
            <w:left w:w="108" w:type="dxa"/>
            <w:bottom w:w="0" w:type="dxa"/>
            <w:right w:w="108" w:type="dxa"/>
          </w:tblCellMar>
        </w:tblPrEx>
        <w:trPr>
          <w:gridBefore w:val="1"/>
          <w:wBefore w:w="21" w:type="dxa"/>
        </w:trPr>
        <w:tc>
          <w:tcPr>
            <w:tcW w:w="6598" w:type="dxa"/>
            <w:gridSpan w:val="17"/>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p>
        </w:tc>
        <w:tc>
          <w:tcPr>
            <w:tcW w:w="926"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r>
              <w:rPr>
                <w:rFonts w:hint="eastAsia" w:ascii="宋体" w:hAnsi="宋体" w:cs="宋体"/>
                <w:kern w:val="0"/>
                <w:sz w:val="18"/>
                <w:szCs w:val="18"/>
              </w:rPr>
              <w:t>制表机关：</w:t>
            </w:r>
          </w:p>
        </w:tc>
        <w:tc>
          <w:tcPr>
            <w:tcW w:w="2060" w:type="dxa"/>
            <w:gridSpan w:val="4"/>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distribute"/>
              <w:rPr>
                <w:rFonts w:ascii="宋体" w:hAnsi="宋体" w:cs="宋体"/>
                <w:kern w:val="0"/>
                <w:sz w:val="18"/>
                <w:szCs w:val="18"/>
              </w:rPr>
            </w:pPr>
            <w:r>
              <w:rPr>
                <w:rFonts w:hint="eastAsia" w:ascii="宋体" w:hAnsi="宋体" w:cs="宋体"/>
                <w:kern w:val="0"/>
                <w:sz w:val="18"/>
                <w:szCs w:val="18"/>
              </w:rPr>
              <w:t>国家统计局</w:t>
            </w:r>
          </w:p>
        </w:tc>
      </w:tr>
      <w:tr>
        <w:tblPrEx>
          <w:tblCellMar>
            <w:top w:w="0" w:type="dxa"/>
            <w:left w:w="108" w:type="dxa"/>
            <w:bottom w:w="0" w:type="dxa"/>
            <w:right w:w="108" w:type="dxa"/>
          </w:tblCellMar>
        </w:tblPrEx>
        <w:trPr>
          <w:gridBefore w:val="1"/>
          <w:wBefore w:w="21" w:type="dxa"/>
        </w:trPr>
        <w:tc>
          <w:tcPr>
            <w:tcW w:w="6598" w:type="dxa"/>
            <w:gridSpan w:val="17"/>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r>
              <w:rPr>
                <w:rFonts w:ascii="宋体" w:hAnsi="宋体"/>
                <w:sz w:val="18"/>
              </w:rPr>
              <w:t>统一社会信用代码□□□□□□□□□□□□□□□□□□</w:t>
            </w:r>
          </w:p>
        </w:tc>
        <w:tc>
          <w:tcPr>
            <w:tcW w:w="926" w:type="dxa"/>
            <w:gridSpan w:val="2"/>
            <w:tcBorders>
              <w:top w:val="nil"/>
              <w:left w:val="nil"/>
              <w:bottom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r>
              <w:rPr>
                <w:rFonts w:hint="eastAsia" w:ascii="宋体" w:hAnsi="宋体" w:cs="宋体"/>
                <w:kern w:val="0"/>
                <w:sz w:val="18"/>
                <w:szCs w:val="18"/>
              </w:rPr>
              <w:t>文　　号：</w:t>
            </w:r>
          </w:p>
        </w:tc>
        <w:tc>
          <w:tcPr>
            <w:tcW w:w="2060" w:type="dxa"/>
            <w:gridSpan w:val="4"/>
            <w:tcBorders>
              <w:top w:val="nil"/>
              <w:left w:val="nil"/>
              <w:bottom w:val="nil"/>
              <w:right w:val="nil"/>
            </w:tcBorders>
            <w:noWrap w:val="0"/>
            <w:tcMar>
              <w:left w:w="28" w:type="dxa"/>
              <w:right w:w="28" w:type="dxa"/>
            </w:tcMar>
            <w:vAlign w:val="center"/>
          </w:tcPr>
          <w:p>
            <w:pPr>
              <w:keepNext w:val="0"/>
              <w:keepLines w:val="0"/>
              <w:widowControl w:val="0"/>
              <w:suppressLineNumbers w:val="0"/>
              <w:spacing w:before="0" w:beforeAutospacing="0" w:after="0" w:afterAutospacing="0" w:line="260" w:lineRule="exact"/>
              <w:ind w:left="0" w:leftChars="0" w:right="0" w:rightChars="0"/>
              <w:jc w:val="distribute"/>
              <w:rPr>
                <w:rFonts w:ascii="宋体" w:hAnsi="宋体" w:cs="宋体"/>
                <w:kern w:val="0"/>
                <w:sz w:val="18"/>
                <w:szCs w:val="18"/>
              </w:rPr>
            </w:pPr>
            <w:r>
              <w:rPr>
                <w:rFonts w:hint="eastAsia" w:ascii="宋体" w:hAnsi="宋体" w:eastAsia="宋体" w:cs="宋体"/>
                <w:kern w:val="2"/>
                <w:sz w:val="18"/>
                <w:szCs w:val="18"/>
                <w:lang w:val="en-US" w:eastAsia="zh-CN" w:bidi="ar"/>
              </w:rPr>
              <w:t>国统字</w:t>
            </w:r>
            <w:r>
              <w:rPr>
                <w:rFonts w:hint="eastAsia" w:ascii="宋体" w:hAnsi="宋体" w:eastAsia="宋体" w:cs="宋体"/>
                <w:spacing w:val="0"/>
                <w:kern w:val="2"/>
                <w:sz w:val="18"/>
                <w:szCs w:val="18"/>
                <w:lang w:val="en-US" w:eastAsia="zh-CN" w:bidi="ar"/>
              </w:rPr>
              <w:t>〔2025〕88号</w:t>
            </w:r>
          </w:p>
        </w:tc>
      </w:tr>
      <w:tr>
        <w:tblPrEx>
          <w:tblCellMar>
            <w:top w:w="0" w:type="dxa"/>
            <w:left w:w="108" w:type="dxa"/>
            <w:bottom w:w="0" w:type="dxa"/>
            <w:right w:w="108" w:type="dxa"/>
          </w:tblCellMar>
        </w:tblPrEx>
        <w:trPr>
          <w:gridBefore w:val="1"/>
          <w:wBefore w:w="21" w:type="dxa"/>
        </w:trPr>
        <w:tc>
          <w:tcPr>
            <w:tcW w:w="2835" w:type="dxa"/>
            <w:gridSpan w:val="7"/>
            <w:tcBorders>
              <w:top w:val="nil"/>
              <w:left w:val="nil"/>
              <w:right w:val="nil"/>
            </w:tcBorders>
            <w:noWrap w:val="0"/>
            <w:tcMar>
              <w:left w:w="28" w:type="dxa"/>
              <w:right w:w="28" w:type="dxa"/>
            </w:tcMar>
            <w:vAlign w:val="center"/>
          </w:tcPr>
          <w:p>
            <w:pPr>
              <w:widowControl/>
              <w:adjustRightInd w:val="0"/>
              <w:snapToGrid w:val="0"/>
              <w:spacing w:line="260" w:lineRule="atLeast"/>
              <w:jc w:val="left"/>
              <w:rPr>
                <w:rFonts w:ascii="宋体" w:hAnsi="宋体" w:cs="宋体"/>
                <w:kern w:val="0"/>
                <w:sz w:val="18"/>
                <w:szCs w:val="18"/>
              </w:rPr>
            </w:pPr>
            <w:r>
              <w:rPr>
                <w:rFonts w:hint="eastAsia" w:ascii="宋体" w:hAnsi="宋体" w:cs="宋体"/>
                <w:kern w:val="0"/>
                <w:sz w:val="18"/>
                <w:szCs w:val="18"/>
              </w:rPr>
              <w:t>单位详细名称：　</w:t>
            </w:r>
          </w:p>
        </w:tc>
        <w:tc>
          <w:tcPr>
            <w:tcW w:w="3763" w:type="dxa"/>
            <w:gridSpan w:val="10"/>
            <w:tcBorders>
              <w:top w:val="nil"/>
              <w:left w:val="nil"/>
            </w:tcBorders>
            <w:noWrap w:val="0"/>
            <w:tcMar>
              <w:left w:w="28" w:type="dxa"/>
              <w:right w:w="28" w:type="dxa"/>
            </w:tcMar>
            <w:vAlign w:val="top"/>
          </w:tcPr>
          <w:p>
            <w:pPr>
              <w:adjustRightInd w:val="0"/>
              <w:snapToGrid w:val="0"/>
              <w:spacing w:line="260" w:lineRule="atLeast"/>
              <w:ind w:firstLine="900" w:firstLineChars="500"/>
              <w:rPr>
                <w:rFonts w:ascii="宋体" w:hAnsi="宋体" w:cs="宋体"/>
                <w:kern w:val="0"/>
                <w:sz w:val="18"/>
                <w:szCs w:val="18"/>
              </w:rPr>
            </w:pPr>
            <w:r>
              <w:rPr>
                <w:rFonts w:hint="eastAsia" w:ascii="宋体" w:hAnsi="宋体" w:cs="宋体"/>
                <w:kern w:val="0"/>
                <w:sz w:val="18"/>
                <w:szCs w:val="18"/>
              </w:rPr>
              <w:t>２０　　年　　　月</w:t>
            </w:r>
          </w:p>
        </w:tc>
        <w:tc>
          <w:tcPr>
            <w:tcW w:w="926" w:type="dxa"/>
            <w:gridSpan w:val="2"/>
            <w:tcBorders>
              <w:top w:val="nil"/>
              <w:left w:val="nil"/>
            </w:tcBorders>
            <w:noWrap w:val="0"/>
            <w:tcMar>
              <w:left w:w="28" w:type="dxa"/>
              <w:right w:w="28" w:type="dxa"/>
            </w:tcMar>
            <w:vAlign w:val="top"/>
          </w:tcPr>
          <w:p>
            <w:pPr>
              <w:adjustRightInd w:val="0"/>
              <w:snapToGrid w:val="0"/>
              <w:spacing w:line="260" w:lineRule="atLeast"/>
              <w:rPr>
                <w:rFonts w:ascii="宋体" w:hAnsi="宋体" w:cs="宋体"/>
                <w:kern w:val="0"/>
                <w:sz w:val="18"/>
                <w:szCs w:val="18"/>
              </w:rPr>
            </w:pPr>
            <w:r>
              <w:rPr>
                <w:rFonts w:hint="eastAsia" w:ascii="宋体" w:hAnsi="宋体" w:cs="宋体"/>
                <w:kern w:val="0"/>
                <w:sz w:val="18"/>
                <w:szCs w:val="18"/>
              </w:rPr>
              <w:t>有效期至：</w:t>
            </w:r>
          </w:p>
        </w:tc>
        <w:tc>
          <w:tcPr>
            <w:tcW w:w="2060" w:type="dxa"/>
            <w:gridSpan w:val="4"/>
            <w:tcBorders>
              <w:top w:val="nil"/>
              <w:left w:val="nil"/>
            </w:tcBorders>
            <w:noWrap w:val="0"/>
            <w:tcMar>
              <w:left w:w="28" w:type="dxa"/>
              <w:right w:w="28" w:type="dxa"/>
            </w:tcMar>
            <w:vAlign w:val="center"/>
          </w:tcPr>
          <w:p>
            <w:pPr>
              <w:keepNext w:val="0"/>
              <w:keepLines w:val="0"/>
              <w:widowControl w:val="0"/>
              <w:suppressLineNumbers w:val="0"/>
              <w:spacing w:before="0" w:beforeAutospacing="0" w:after="0" w:afterAutospacing="0" w:line="260" w:lineRule="exact"/>
              <w:ind w:left="0" w:leftChars="0" w:right="0" w:rightChars="0"/>
              <w:jc w:val="distribute"/>
              <w:rPr>
                <w:rFonts w:ascii="宋体" w:hAnsi="宋体" w:cs="宋体"/>
                <w:kern w:val="0"/>
                <w:sz w:val="18"/>
                <w:szCs w:val="18"/>
              </w:rPr>
            </w:pPr>
            <w:r>
              <w:rPr>
                <w:rFonts w:hint="eastAsia" w:ascii="宋体" w:hAnsi="宋体" w:eastAsia="宋体" w:cs="宋体"/>
                <w:kern w:val="2"/>
                <w:sz w:val="18"/>
                <w:szCs w:val="18"/>
                <w:lang w:val="en-US" w:eastAsia="zh-CN" w:bidi="ar"/>
              </w:rPr>
              <w:t>２０２7年１月</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20" w:hRule="atLeast"/>
        </w:trPr>
        <w:tc>
          <w:tcPr>
            <w:tcW w:w="640" w:type="dxa"/>
            <w:gridSpan w:val="2"/>
            <w:tcBorders>
              <w:top w:val="single" w:color="auto" w:sz="2" w:space="0"/>
              <w:bottom w:val="nil"/>
              <w:right w:val="single" w:color="auto" w:sz="2" w:space="0"/>
            </w:tcBorders>
            <w:noWrap w:val="0"/>
            <w:vAlign w:val="center"/>
          </w:tcPr>
          <w:p>
            <w:pPr>
              <w:widowControl/>
              <w:jc w:val="center"/>
              <w:rPr>
                <w:rFonts w:hint="eastAsia" w:ascii="宋体" w:hAnsi="宋体" w:cs="宋体"/>
                <w:kern w:val="0"/>
                <w:sz w:val="18"/>
                <w:szCs w:val="18"/>
              </w:rPr>
            </w:pPr>
          </w:p>
          <w:p>
            <w:pPr>
              <w:widowControl/>
              <w:jc w:val="center"/>
              <w:rPr>
                <w:rFonts w:ascii="宋体" w:hAnsi="宋体" w:cs="宋体"/>
                <w:kern w:val="0"/>
                <w:sz w:val="18"/>
                <w:szCs w:val="18"/>
              </w:rPr>
            </w:pPr>
          </w:p>
        </w:tc>
        <w:tc>
          <w:tcPr>
            <w:tcW w:w="591" w:type="dxa"/>
            <w:gridSpan w:val="2"/>
            <w:vMerge w:val="restart"/>
            <w:tcBorders>
              <w:top w:val="single" w:color="auto" w:sz="8" w:space="0"/>
              <w:left w:val="single" w:color="auto" w:sz="2" w:space="0"/>
              <w:bottom w:val="single" w:color="auto" w:sz="2"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计量单位</w:t>
            </w:r>
          </w:p>
        </w:tc>
        <w:tc>
          <w:tcPr>
            <w:tcW w:w="590" w:type="dxa"/>
            <w:vMerge w:val="restart"/>
            <w:tcBorders>
              <w:top w:val="single" w:color="auto" w:sz="8"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产品代码</w:t>
            </w:r>
          </w:p>
        </w:tc>
        <w:tc>
          <w:tcPr>
            <w:tcW w:w="590" w:type="dxa"/>
            <w:gridSpan w:val="2"/>
            <w:vMerge w:val="restart"/>
            <w:tcBorders>
              <w:top w:val="single" w:color="auto" w:sz="8"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年初产成品库存量</w:t>
            </w:r>
          </w:p>
        </w:tc>
        <w:tc>
          <w:tcPr>
            <w:tcW w:w="2371" w:type="dxa"/>
            <w:gridSpan w:val="7"/>
            <w:tcBorders>
              <w:top w:val="single" w:color="auto" w:sz="8"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生产量</w:t>
            </w:r>
          </w:p>
        </w:tc>
        <w:tc>
          <w:tcPr>
            <w:tcW w:w="2370" w:type="dxa"/>
            <w:gridSpan w:val="5"/>
            <w:tcBorders>
              <w:top w:val="single" w:color="auto" w:sz="8" w:space="0"/>
              <w:bottom w:val="nil"/>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销售量</w:t>
            </w:r>
          </w:p>
        </w:tc>
        <w:tc>
          <w:tcPr>
            <w:tcW w:w="1184" w:type="dxa"/>
            <w:gridSpan w:val="3"/>
            <w:tcBorders>
              <w:top w:val="single" w:color="auto" w:sz="8" w:space="0"/>
              <w:bottom w:val="single" w:color="auto" w:sz="2" w:space="0"/>
            </w:tcBorders>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企业自用</w:t>
            </w:r>
          </w:p>
          <w:p>
            <w:pPr>
              <w:widowControl/>
              <w:jc w:val="center"/>
              <w:rPr>
                <w:rFonts w:ascii="宋体" w:hAnsi="宋体" w:cs="宋体"/>
                <w:kern w:val="0"/>
                <w:sz w:val="18"/>
                <w:szCs w:val="18"/>
              </w:rPr>
            </w:pPr>
            <w:r>
              <w:rPr>
                <w:rFonts w:hint="eastAsia" w:ascii="宋体" w:hAnsi="宋体" w:cs="宋体"/>
                <w:kern w:val="0"/>
                <w:sz w:val="18"/>
                <w:szCs w:val="18"/>
              </w:rPr>
              <w:t>及 其 他</w:t>
            </w:r>
          </w:p>
        </w:tc>
        <w:tc>
          <w:tcPr>
            <w:tcW w:w="1269" w:type="dxa"/>
            <w:gridSpan w:val="2"/>
            <w:tcBorders>
              <w:top w:val="single" w:color="auto" w:sz="8"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期末产成品库存量</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99" w:hRule="atLeast"/>
        </w:trPr>
        <w:tc>
          <w:tcPr>
            <w:tcW w:w="640" w:type="dxa"/>
            <w:gridSpan w:val="2"/>
            <w:tcBorders>
              <w:top w:val="nil"/>
              <w:bottom w:val="nil"/>
              <w:right w:val="single" w:color="auto" w:sz="2" w:space="0"/>
            </w:tcBorders>
            <w:shd w:val="clear" w:color="auto" w:fill="auto"/>
            <w:noWrap w:val="0"/>
            <w:vAlign w:val="center"/>
          </w:tcPr>
          <w:p>
            <w:pPr>
              <w:widowControl/>
              <w:jc w:val="left"/>
              <w:rPr>
                <w:rFonts w:ascii="宋体" w:hAnsi="宋体" w:cs="宋体"/>
                <w:kern w:val="0"/>
                <w:sz w:val="18"/>
                <w:szCs w:val="18"/>
              </w:rPr>
            </w:pPr>
            <w:r>
              <w:rPr>
                <w:rFonts w:hint="eastAsia" w:ascii="宋体" w:hAnsi="宋体" w:cs="宋体"/>
                <w:kern w:val="0"/>
                <w:sz w:val="18"/>
                <w:szCs w:val="18"/>
              </w:rPr>
              <w:t>产品名称</w:t>
            </w:r>
          </w:p>
        </w:tc>
        <w:tc>
          <w:tcPr>
            <w:tcW w:w="591" w:type="dxa"/>
            <w:gridSpan w:val="2"/>
            <w:vMerge w:val="continue"/>
            <w:tcBorders>
              <w:top w:val="single" w:color="auto" w:sz="2" w:space="0"/>
              <w:left w:val="single" w:color="auto" w:sz="2" w:space="0"/>
            </w:tcBorders>
            <w:shd w:val="clear" w:color="auto" w:fill="auto"/>
            <w:noWrap w:val="0"/>
            <w:vAlign w:val="center"/>
          </w:tcPr>
          <w:p>
            <w:pPr>
              <w:widowControl/>
              <w:jc w:val="left"/>
              <w:rPr>
                <w:rFonts w:ascii="宋体" w:hAnsi="宋体" w:cs="宋体"/>
                <w:kern w:val="0"/>
                <w:sz w:val="18"/>
                <w:szCs w:val="18"/>
              </w:rPr>
            </w:pPr>
          </w:p>
        </w:tc>
        <w:tc>
          <w:tcPr>
            <w:tcW w:w="590" w:type="dxa"/>
            <w:vMerge w:val="continue"/>
            <w:tcBorders>
              <w:top w:val="single" w:color="auto" w:sz="2" w:space="0"/>
            </w:tcBorders>
            <w:shd w:val="clear" w:color="auto" w:fill="auto"/>
            <w:noWrap w:val="0"/>
            <w:vAlign w:val="center"/>
          </w:tcPr>
          <w:p>
            <w:pPr>
              <w:widowControl/>
              <w:jc w:val="left"/>
              <w:rPr>
                <w:rFonts w:ascii="宋体" w:hAnsi="宋体" w:cs="宋体"/>
                <w:kern w:val="0"/>
                <w:sz w:val="18"/>
                <w:szCs w:val="18"/>
              </w:rPr>
            </w:pPr>
          </w:p>
        </w:tc>
        <w:tc>
          <w:tcPr>
            <w:tcW w:w="590" w:type="dxa"/>
            <w:gridSpan w:val="2"/>
            <w:vMerge w:val="continue"/>
            <w:tcBorders>
              <w:top w:val="single" w:color="auto" w:sz="2" w:space="0"/>
            </w:tcBorders>
            <w:shd w:val="clear" w:color="auto" w:fill="auto"/>
            <w:noWrap w:val="0"/>
            <w:vAlign w:val="center"/>
          </w:tcPr>
          <w:p>
            <w:pPr>
              <w:widowControl/>
              <w:jc w:val="center"/>
              <w:rPr>
                <w:rFonts w:ascii="宋体" w:hAnsi="宋体" w:cs="宋体"/>
                <w:kern w:val="0"/>
                <w:sz w:val="18"/>
                <w:szCs w:val="18"/>
              </w:rPr>
            </w:pPr>
          </w:p>
        </w:tc>
        <w:tc>
          <w:tcPr>
            <w:tcW w:w="1185" w:type="dxa"/>
            <w:gridSpan w:val="3"/>
            <w:tcBorders>
              <w:top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本年</w:t>
            </w:r>
          </w:p>
        </w:tc>
        <w:tc>
          <w:tcPr>
            <w:tcW w:w="1186" w:type="dxa"/>
            <w:gridSpan w:val="4"/>
            <w:tcBorders>
              <w:top w:val="single" w:color="auto" w:sz="2" w:space="0"/>
            </w:tcBorders>
            <w:shd w:val="clear" w:color="auto" w:fill="C0C0C0"/>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上年同期</w:t>
            </w:r>
          </w:p>
        </w:tc>
        <w:tc>
          <w:tcPr>
            <w:tcW w:w="1184" w:type="dxa"/>
            <w:gridSpan w:val="2"/>
            <w:tcBorders>
              <w:top w:val="nil"/>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186" w:type="dxa"/>
            <w:gridSpan w:val="3"/>
            <w:tcBorders>
              <w:top w:val="single" w:color="auto" w:sz="2" w:space="0"/>
            </w:tcBorders>
            <w:shd w:val="clear" w:color="auto" w:fill="FFFFFF"/>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其中：</w:t>
            </w:r>
          </w:p>
          <w:p>
            <w:pPr>
              <w:widowControl/>
              <w:jc w:val="center"/>
              <w:rPr>
                <w:rFonts w:ascii="宋体" w:hAnsi="宋体" w:cs="宋体"/>
                <w:kern w:val="0"/>
                <w:sz w:val="18"/>
                <w:szCs w:val="18"/>
              </w:rPr>
            </w:pPr>
            <w:r>
              <w:rPr>
                <w:rFonts w:hint="eastAsia" w:ascii="宋体" w:hAnsi="宋体" w:cs="宋体"/>
                <w:kern w:val="0"/>
                <w:sz w:val="18"/>
                <w:szCs w:val="18"/>
              </w:rPr>
              <w:t>销往省外</w:t>
            </w:r>
          </w:p>
        </w:tc>
        <w:tc>
          <w:tcPr>
            <w:tcW w:w="590" w:type="dxa"/>
            <w:gridSpan w:val="2"/>
            <w:vMerge w:val="restart"/>
            <w:tcBorders>
              <w:top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p>
            <w:pPr>
              <w:jc w:val="left"/>
              <w:rPr>
                <w:rFonts w:ascii="宋体" w:hAnsi="宋体" w:cs="宋体"/>
                <w:kern w:val="0"/>
                <w:sz w:val="18"/>
                <w:szCs w:val="18"/>
              </w:rPr>
            </w:pPr>
            <w:r>
              <w:rPr>
                <w:rFonts w:hint="eastAsia" w:ascii="宋体" w:hAnsi="宋体" w:cs="宋体"/>
                <w:kern w:val="0"/>
                <w:sz w:val="18"/>
                <w:szCs w:val="18"/>
              </w:rPr>
              <w:t>本月</w:t>
            </w:r>
            <w:r>
              <w:rPr>
                <w:rFonts w:hint="eastAsia" w:ascii="宋体" w:hAnsi="宋体" w:cs="宋体"/>
                <w:kern w:val="0"/>
                <w:sz w:val="24"/>
              </w:rPr>
              <w:t>　</w:t>
            </w:r>
          </w:p>
        </w:tc>
        <w:tc>
          <w:tcPr>
            <w:tcW w:w="594" w:type="dxa"/>
            <w:vMerge w:val="restart"/>
            <w:tcBorders>
              <w:top w:val="single" w:color="auto" w:sz="2" w:space="0"/>
            </w:tcBorders>
            <w:shd w:val="clear" w:color="auto" w:fill="C0C0C0"/>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上年同期</w:t>
            </w:r>
          </w:p>
        </w:tc>
        <w:tc>
          <w:tcPr>
            <w:tcW w:w="640" w:type="dxa"/>
            <w:vMerge w:val="restart"/>
            <w:tcBorders>
              <w:top w:val="single" w:color="auto" w:sz="2" w:space="0"/>
            </w:tcBorders>
            <w:shd w:val="clear" w:color="auto" w:fill="auto"/>
            <w:noWrap w:val="0"/>
            <w:vAlign w:val="center"/>
          </w:tcPr>
          <w:p>
            <w:pPr>
              <w:jc w:val="left"/>
              <w:rPr>
                <w:rFonts w:ascii="宋体" w:hAnsi="宋体" w:cs="宋体"/>
                <w:kern w:val="0"/>
                <w:sz w:val="18"/>
                <w:szCs w:val="18"/>
              </w:rPr>
            </w:pPr>
            <w:r>
              <w:rPr>
                <w:rFonts w:hint="eastAsia" w:ascii="宋体" w:hAnsi="宋体" w:cs="宋体"/>
                <w:kern w:val="0"/>
                <w:sz w:val="18"/>
                <w:szCs w:val="18"/>
              </w:rPr>
              <w:t>本期</w:t>
            </w:r>
            <w:r>
              <w:rPr>
                <w:rFonts w:hint="eastAsia" w:ascii="宋体" w:hAnsi="宋体" w:cs="宋体"/>
                <w:kern w:val="0"/>
                <w:sz w:val="24"/>
              </w:rPr>
              <w:t>　</w:t>
            </w:r>
          </w:p>
        </w:tc>
        <w:tc>
          <w:tcPr>
            <w:tcW w:w="629" w:type="dxa"/>
            <w:vMerge w:val="restart"/>
            <w:tcBorders>
              <w:top w:val="single" w:color="auto" w:sz="2" w:space="0"/>
            </w:tcBorders>
            <w:shd w:val="clear" w:color="auto" w:fill="C0C0C0"/>
            <w:noWrap w:val="0"/>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上年</w:t>
            </w:r>
          </w:p>
          <w:p>
            <w:pPr>
              <w:widowControl/>
              <w:jc w:val="center"/>
              <w:rPr>
                <w:rFonts w:ascii="宋体" w:hAnsi="宋体" w:cs="宋体"/>
                <w:kern w:val="0"/>
                <w:sz w:val="18"/>
                <w:szCs w:val="18"/>
              </w:rPr>
            </w:pPr>
            <w:r>
              <w:rPr>
                <w:rFonts w:hint="eastAsia" w:ascii="宋体" w:hAnsi="宋体" w:cs="宋体"/>
                <w:kern w:val="0"/>
                <w:sz w:val="18"/>
                <w:szCs w:val="18"/>
              </w:rPr>
              <w:t>同期</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17" w:hRule="atLeast"/>
        </w:trPr>
        <w:tc>
          <w:tcPr>
            <w:tcW w:w="640" w:type="dxa"/>
            <w:gridSpan w:val="2"/>
            <w:tcBorders>
              <w:top w:val="nil"/>
              <w:bottom w:val="nil"/>
              <w:right w:val="single" w:color="auto" w:sz="2" w:space="0"/>
            </w:tcBorders>
            <w:shd w:val="clear" w:color="auto" w:fill="auto"/>
            <w:noWrap w:val="0"/>
            <w:vAlign w:val="center"/>
          </w:tcPr>
          <w:p>
            <w:pPr>
              <w:widowControl/>
              <w:jc w:val="left"/>
              <w:rPr>
                <w:rFonts w:ascii="宋体" w:hAnsi="宋体" w:cs="宋体"/>
                <w:kern w:val="0"/>
                <w:sz w:val="18"/>
                <w:szCs w:val="18"/>
              </w:rPr>
            </w:pPr>
          </w:p>
        </w:tc>
        <w:tc>
          <w:tcPr>
            <w:tcW w:w="591" w:type="dxa"/>
            <w:gridSpan w:val="2"/>
            <w:vMerge w:val="continue"/>
            <w:tcBorders>
              <w:left w:val="single" w:color="auto" w:sz="2" w:space="0"/>
              <w:bottom w:val="single" w:color="auto" w:sz="4" w:space="0"/>
            </w:tcBorders>
            <w:shd w:val="clear" w:color="auto" w:fill="auto"/>
            <w:noWrap w:val="0"/>
            <w:vAlign w:val="center"/>
          </w:tcPr>
          <w:p>
            <w:pPr>
              <w:widowControl/>
              <w:jc w:val="left"/>
              <w:rPr>
                <w:rFonts w:ascii="宋体" w:hAnsi="宋体" w:cs="宋体"/>
                <w:kern w:val="0"/>
                <w:sz w:val="18"/>
                <w:szCs w:val="18"/>
              </w:rPr>
            </w:pPr>
          </w:p>
        </w:tc>
        <w:tc>
          <w:tcPr>
            <w:tcW w:w="590" w:type="dxa"/>
            <w:vMerge w:val="continue"/>
            <w:tcBorders>
              <w:bottom w:val="single" w:color="auto" w:sz="4" w:space="0"/>
            </w:tcBorders>
            <w:shd w:val="clear" w:color="auto" w:fill="auto"/>
            <w:noWrap w:val="0"/>
            <w:vAlign w:val="center"/>
          </w:tcPr>
          <w:p>
            <w:pPr>
              <w:widowControl/>
              <w:jc w:val="left"/>
              <w:rPr>
                <w:rFonts w:ascii="宋体" w:hAnsi="宋体" w:cs="宋体"/>
                <w:kern w:val="0"/>
                <w:sz w:val="18"/>
                <w:szCs w:val="18"/>
              </w:rPr>
            </w:pPr>
          </w:p>
        </w:tc>
        <w:tc>
          <w:tcPr>
            <w:tcW w:w="590" w:type="dxa"/>
            <w:gridSpan w:val="2"/>
            <w:vMerge w:val="continue"/>
            <w:tcBorders>
              <w:bottom w:val="single" w:color="auto" w:sz="4" w:space="0"/>
            </w:tcBorders>
            <w:shd w:val="clear" w:color="auto" w:fill="auto"/>
            <w:noWrap w:val="0"/>
            <w:vAlign w:val="center"/>
          </w:tcPr>
          <w:p>
            <w:pPr>
              <w:widowControl/>
              <w:jc w:val="left"/>
              <w:rPr>
                <w:rFonts w:ascii="宋体" w:hAnsi="宋体" w:cs="宋体"/>
                <w:kern w:val="0"/>
                <w:sz w:val="18"/>
                <w:szCs w:val="18"/>
              </w:rPr>
            </w:pPr>
          </w:p>
        </w:tc>
        <w:tc>
          <w:tcPr>
            <w:tcW w:w="591" w:type="dxa"/>
            <w:gridSpan w:val="2"/>
            <w:tcBorders>
              <w:bottom w:val="single" w:color="auto" w:sz="4"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本月</w:t>
            </w:r>
          </w:p>
        </w:tc>
        <w:tc>
          <w:tcPr>
            <w:tcW w:w="594" w:type="dxa"/>
            <w:tcBorders>
              <w:top w:val="single" w:color="auto" w:sz="2" w:space="0"/>
              <w:bottom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p>
            <w:pPr>
              <w:jc w:val="center"/>
              <w:rPr>
                <w:rFonts w:ascii="宋体" w:hAnsi="宋体" w:cs="宋体"/>
                <w:kern w:val="0"/>
                <w:sz w:val="18"/>
                <w:szCs w:val="18"/>
              </w:rPr>
            </w:pPr>
            <w:r>
              <w:rPr>
                <w:rFonts w:hint="eastAsia" w:ascii="宋体" w:hAnsi="宋体" w:cs="宋体"/>
                <w:kern w:val="0"/>
                <w:sz w:val="18"/>
                <w:szCs w:val="18"/>
              </w:rPr>
              <w:t>本月</w:t>
            </w:r>
          </w:p>
        </w:tc>
        <w:tc>
          <w:tcPr>
            <w:tcW w:w="590" w:type="dxa"/>
            <w:gridSpan w:val="2"/>
            <w:tcBorders>
              <w:bottom w:val="single" w:color="auto" w:sz="4" w:space="0"/>
            </w:tcBorders>
            <w:shd w:val="clear" w:color="auto" w:fill="C0C0C0"/>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本月</w:t>
            </w:r>
          </w:p>
        </w:tc>
        <w:tc>
          <w:tcPr>
            <w:tcW w:w="596" w:type="dxa"/>
            <w:gridSpan w:val="2"/>
            <w:tcBorders>
              <w:top w:val="single" w:color="auto" w:sz="2" w:space="0"/>
              <w:bottom w:val="single" w:color="auto" w:sz="2" w:space="0"/>
            </w:tcBorders>
            <w:shd w:val="clear" w:color="auto" w:fill="C0C0C0"/>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p>
            <w:pPr>
              <w:jc w:val="center"/>
              <w:rPr>
                <w:rFonts w:ascii="宋体" w:hAnsi="宋体" w:cs="宋体"/>
                <w:kern w:val="0"/>
                <w:sz w:val="18"/>
                <w:szCs w:val="18"/>
              </w:rPr>
            </w:pPr>
            <w:r>
              <w:rPr>
                <w:rFonts w:hint="eastAsia" w:ascii="宋体" w:hAnsi="宋体" w:cs="宋体"/>
                <w:kern w:val="0"/>
                <w:sz w:val="18"/>
                <w:szCs w:val="18"/>
              </w:rPr>
              <w:t>本月</w:t>
            </w:r>
          </w:p>
        </w:tc>
        <w:tc>
          <w:tcPr>
            <w:tcW w:w="590" w:type="dxa"/>
            <w:tcBorders>
              <w:bottom w:val="single" w:color="auto" w:sz="4" w:space="0"/>
            </w:tcBorders>
            <w:shd w:val="clear" w:color="auto" w:fill="FFFFFF"/>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p>
            <w:pPr>
              <w:jc w:val="center"/>
              <w:rPr>
                <w:rFonts w:ascii="宋体" w:hAnsi="宋体" w:cs="宋体"/>
                <w:kern w:val="0"/>
                <w:sz w:val="18"/>
                <w:szCs w:val="18"/>
              </w:rPr>
            </w:pPr>
            <w:r>
              <w:rPr>
                <w:rFonts w:hint="eastAsia" w:ascii="宋体" w:hAnsi="宋体" w:cs="宋体"/>
                <w:kern w:val="0"/>
                <w:sz w:val="18"/>
                <w:szCs w:val="18"/>
              </w:rPr>
              <w:t>本月</w:t>
            </w:r>
          </w:p>
        </w:tc>
        <w:tc>
          <w:tcPr>
            <w:tcW w:w="594" w:type="dxa"/>
            <w:tcBorders>
              <w:bottom w:val="single" w:color="auto" w:sz="4" w:space="0"/>
            </w:tcBorders>
            <w:shd w:val="clear" w:color="auto" w:fill="C0C0C0"/>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上年同期</w:t>
            </w:r>
          </w:p>
        </w:tc>
        <w:tc>
          <w:tcPr>
            <w:tcW w:w="590" w:type="dxa"/>
            <w:tcBorders>
              <w:bottom w:val="single" w:color="auto" w:sz="4"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p>
            <w:pPr>
              <w:jc w:val="center"/>
              <w:rPr>
                <w:rFonts w:ascii="宋体" w:hAnsi="宋体" w:cs="宋体"/>
                <w:kern w:val="0"/>
                <w:sz w:val="18"/>
                <w:szCs w:val="18"/>
              </w:rPr>
            </w:pPr>
            <w:r>
              <w:rPr>
                <w:rFonts w:hint="eastAsia" w:ascii="宋体" w:hAnsi="宋体" w:cs="宋体"/>
                <w:kern w:val="0"/>
                <w:sz w:val="18"/>
                <w:szCs w:val="18"/>
              </w:rPr>
              <w:t>本月</w:t>
            </w:r>
          </w:p>
        </w:tc>
        <w:tc>
          <w:tcPr>
            <w:tcW w:w="596" w:type="dxa"/>
            <w:gridSpan w:val="2"/>
            <w:tcBorders>
              <w:top w:val="single" w:color="auto" w:sz="2" w:space="0"/>
              <w:bottom w:val="single" w:color="auto" w:sz="4" w:space="0"/>
            </w:tcBorders>
            <w:shd w:val="clear" w:color="auto" w:fill="B3B3B3"/>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上年同期</w:t>
            </w:r>
          </w:p>
        </w:tc>
        <w:tc>
          <w:tcPr>
            <w:tcW w:w="590" w:type="dxa"/>
            <w:gridSpan w:val="2"/>
            <w:vMerge w:val="continue"/>
            <w:tcBorders>
              <w:bottom w:val="single" w:color="auto" w:sz="4" w:space="0"/>
            </w:tcBorders>
            <w:noWrap w:val="0"/>
            <w:vAlign w:val="center"/>
          </w:tcPr>
          <w:p>
            <w:pPr>
              <w:jc w:val="left"/>
              <w:rPr>
                <w:rFonts w:ascii="宋体" w:hAnsi="宋体" w:cs="宋体"/>
                <w:kern w:val="0"/>
                <w:sz w:val="18"/>
                <w:szCs w:val="18"/>
              </w:rPr>
            </w:pPr>
          </w:p>
        </w:tc>
        <w:tc>
          <w:tcPr>
            <w:tcW w:w="594" w:type="dxa"/>
            <w:vMerge w:val="continue"/>
            <w:tcBorders>
              <w:bottom w:val="single" w:color="auto" w:sz="4" w:space="0"/>
            </w:tcBorders>
            <w:noWrap w:val="0"/>
            <w:vAlign w:val="center"/>
          </w:tcPr>
          <w:p>
            <w:pPr>
              <w:widowControl/>
              <w:jc w:val="left"/>
              <w:rPr>
                <w:rFonts w:ascii="宋体" w:hAnsi="宋体" w:cs="宋体"/>
                <w:kern w:val="0"/>
                <w:sz w:val="18"/>
                <w:szCs w:val="18"/>
              </w:rPr>
            </w:pPr>
          </w:p>
        </w:tc>
        <w:tc>
          <w:tcPr>
            <w:tcW w:w="640" w:type="dxa"/>
            <w:vMerge w:val="continue"/>
            <w:tcBorders>
              <w:bottom w:val="single" w:color="auto" w:sz="4" w:space="0"/>
            </w:tcBorders>
            <w:noWrap w:val="0"/>
            <w:vAlign w:val="center"/>
          </w:tcPr>
          <w:p>
            <w:pPr>
              <w:jc w:val="left"/>
              <w:rPr>
                <w:rFonts w:ascii="宋体" w:hAnsi="宋体" w:cs="宋体"/>
                <w:kern w:val="0"/>
                <w:sz w:val="18"/>
                <w:szCs w:val="18"/>
              </w:rPr>
            </w:pPr>
          </w:p>
        </w:tc>
        <w:tc>
          <w:tcPr>
            <w:tcW w:w="629" w:type="dxa"/>
            <w:vMerge w:val="continue"/>
            <w:tcBorders>
              <w:bottom w:val="single" w:color="auto" w:sz="4" w:space="0"/>
            </w:tcBorders>
            <w:noWrap w:val="0"/>
            <w:vAlign w:val="center"/>
          </w:tcPr>
          <w:p>
            <w:pPr>
              <w:widowControl/>
              <w:jc w:val="left"/>
              <w:rPr>
                <w:rFonts w:ascii="宋体" w:hAnsi="宋体" w:cs="宋体"/>
                <w:kern w:val="0"/>
                <w:sz w:val="18"/>
                <w:szCs w:val="18"/>
              </w:rPr>
            </w:pP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99" w:hRule="atLeast"/>
        </w:trPr>
        <w:tc>
          <w:tcPr>
            <w:tcW w:w="640" w:type="dxa"/>
            <w:gridSpan w:val="2"/>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甲</w:t>
            </w:r>
          </w:p>
        </w:tc>
        <w:tc>
          <w:tcPr>
            <w:tcW w:w="591" w:type="dxa"/>
            <w:gridSpan w:val="2"/>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乙</w:t>
            </w:r>
          </w:p>
        </w:tc>
        <w:tc>
          <w:tcPr>
            <w:tcW w:w="590" w:type="dxa"/>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丙</w:t>
            </w:r>
          </w:p>
        </w:tc>
        <w:tc>
          <w:tcPr>
            <w:tcW w:w="590" w:type="dxa"/>
            <w:gridSpan w:val="2"/>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w:t>
            </w:r>
          </w:p>
        </w:tc>
        <w:tc>
          <w:tcPr>
            <w:tcW w:w="591" w:type="dxa"/>
            <w:gridSpan w:val="2"/>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2</w:t>
            </w:r>
          </w:p>
        </w:tc>
        <w:tc>
          <w:tcPr>
            <w:tcW w:w="594" w:type="dxa"/>
            <w:tcBorders>
              <w:top w:val="single" w:color="auto" w:sz="2" w:space="0"/>
              <w:bottom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3</w:t>
            </w:r>
          </w:p>
        </w:tc>
        <w:tc>
          <w:tcPr>
            <w:tcW w:w="590" w:type="dxa"/>
            <w:gridSpan w:val="2"/>
            <w:tcBorders>
              <w:top w:val="single" w:color="auto" w:sz="4" w:space="0"/>
              <w:bottom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4</w:t>
            </w:r>
          </w:p>
        </w:tc>
        <w:tc>
          <w:tcPr>
            <w:tcW w:w="596" w:type="dxa"/>
            <w:gridSpan w:val="2"/>
            <w:tcBorders>
              <w:top w:val="single" w:color="auto" w:sz="2" w:space="0"/>
              <w:bottom w:val="single" w:color="auto" w:sz="2" w:space="0"/>
            </w:tcBorders>
            <w:shd w:val="clear" w:color="auto" w:fill="auto"/>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5</w:t>
            </w:r>
          </w:p>
        </w:tc>
        <w:tc>
          <w:tcPr>
            <w:tcW w:w="590" w:type="dxa"/>
            <w:shd w:val="clear" w:color="auto" w:fill="FFFFFF"/>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6</w:t>
            </w:r>
          </w:p>
        </w:tc>
        <w:tc>
          <w:tcPr>
            <w:tcW w:w="594" w:type="dxa"/>
            <w:tcBorders>
              <w:top w:val="single" w:color="auto" w:sz="4"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7</w:t>
            </w:r>
          </w:p>
        </w:tc>
        <w:tc>
          <w:tcPr>
            <w:tcW w:w="590"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w:t>
            </w:r>
          </w:p>
        </w:tc>
        <w:tc>
          <w:tcPr>
            <w:tcW w:w="596" w:type="dxa"/>
            <w:gridSpan w:val="2"/>
            <w:tcBorders>
              <w:top w:val="single" w:color="auto" w:sz="4"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9</w:t>
            </w:r>
          </w:p>
        </w:tc>
        <w:tc>
          <w:tcPr>
            <w:tcW w:w="590" w:type="dxa"/>
            <w:gridSpan w:val="2"/>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10</w:t>
            </w:r>
          </w:p>
        </w:tc>
        <w:tc>
          <w:tcPr>
            <w:tcW w:w="594" w:type="dxa"/>
            <w:tcBorders>
              <w:top w:val="single" w:color="auto" w:sz="4"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11</w:t>
            </w:r>
          </w:p>
        </w:tc>
        <w:tc>
          <w:tcPr>
            <w:tcW w:w="640" w:type="dxa"/>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12</w:t>
            </w:r>
          </w:p>
        </w:tc>
        <w:tc>
          <w:tcPr>
            <w:tcW w:w="629" w:type="dxa"/>
            <w:tcBorders>
              <w:top w:val="single" w:color="auto" w:sz="4" w:space="0"/>
              <w:bottom w:val="single" w:color="auto" w:sz="2"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13</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54" w:hRule="atLeast"/>
        </w:trPr>
        <w:tc>
          <w:tcPr>
            <w:tcW w:w="640" w:type="dxa"/>
            <w:gridSpan w:val="2"/>
            <w:tcBorders>
              <w:bottom w:val="single" w:color="auto" w:sz="8"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　</w:t>
            </w:r>
          </w:p>
        </w:tc>
        <w:tc>
          <w:tcPr>
            <w:tcW w:w="591" w:type="dxa"/>
            <w:gridSpan w:val="2"/>
            <w:tcBorders>
              <w:bottom w:val="single" w:color="auto" w:sz="8"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590" w:type="dxa"/>
            <w:tcBorders>
              <w:bottom w:val="single" w:color="auto" w:sz="8"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7784" w:type="dxa"/>
            <w:gridSpan w:val="19"/>
            <w:tcBorders>
              <w:bottom w:val="single" w:color="auto" w:sz="8"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r>
    </w:tbl>
    <w:p>
      <w:pPr>
        <w:spacing w:before="72" w:beforeLines="30"/>
        <w:ind w:firstLine="180" w:firstLineChars="100"/>
        <w:rPr>
          <w:rFonts w:ascii="宋体" w:hAnsi="宋体"/>
          <w:sz w:val="18"/>
          <w:szCs w:val="18"/>
        </w:rPr>
      </w:pPr>
      <w:r>
        <w:rPr>
          <w:rFonts w:hint="eastAsia" w:ascii="宋体" w:hAnsi="宋体" w:cs="宋体"/>
          <w:kern w:val="0"/>
          <w:sz w:val="18"/>
          <w:szCs w:val="18"/>
        </w:rPr>
        <w:t>单位负责人：         统计负责人：         填表人：         联系电话：       报出日期：２０   年  月  日</w:t>
      </w:r>
    </w:p>
    <w:p>
      <w:pPr>
        <w:spacing w:line="260" w:lineRule="exact"/>
        <w:rPr>
          <w:rFonts w:hint="eastAsia" w:ascii="宋体" w:hAnsi="宋体"/>
          <w:sz w:val="18"/>
        </w:rPr>
      </w:pPr>
    </w:p>
    <w:p>
      <w:pPr>
        <w:spacing w:line="320" w:lineRule="exact"/>
        <w:ind w:left="721" w:hanging="720" w:hangingChars="400"/>
        <w:rPr>
          <w:rFonts w:ascii="宋体" w:hAnsi="宋体"/>
          <w:sz w:val="18"/>
          <w:szCs w:val="18"/>
        </w:rPr>
      </w:pPr>
      <w:r>
        <w:rPr>
          <w:rFonts w:hint="eastAsia" w:ascii="宋体" w:hAnsi="宋体"/>
          <w:b/>
          <w:sz w:val="18"/>
          <w:szCs w:val="18"/>
        </w:rPr>
        <w:t>说明</w:t>
      </w:r>
      <w:r>
        <w:rPr>
          <w:rFonts w:hint="eastAsia" w:ascii="宋体" w:hAnsi="宋体"/>
          <w:sz w:val="18"/>
          <w:szCs w:val="18"/>
        </w:rPr>
        <w:t>：1.报送单位：辖区内规模以上工业法人单位</w:t>
      </w:r>
      <w:r>
        <w:rPr>
          <w:rFonts w:hint="eastAsia" w:ascii="宋体"/>
          <w:sz w:val="18"/>
        </w:rPr>
        <w:t>和规模以上</w:t>
      </w:r>
      <w:r>
        <w:rPr>
          <w:rFonts w:hint="eastAsia" w:ascii="宋体"/>
          <w:sz w:val="18"/>
          <w:lang w:eastAsia="zh-CN"/>
        </w:rPr>
        <w:t>工业</w:t>
      </w:r>
      <w:r>
        <w:rPr>
          <w:rFonts w:hint="eastAsia" w:ascii="宋体"/>
          <w:sz w:val="18"/>
        </w:rPr>
        <w:t>个体经营户</w:t>
      </w:r>
      <w:r>
        <w:rPr>
          <w:rFonts w:hint="eastAsia" w:ascii="宋体" w:hAnsi="宋体"/>
          <w:sz w:val="18"/>
          <w:szCs w:val="18"/>
        </w:rPr>
        <w:t xml:space="preserve">。 </w:t>
      </w:r>
    </w:p>
    <w:p>
      <w:pPr>
        <w:spacing w:line="320" w:lineRule="exact"/>
        <w:ind w:left="741" w:leftChars="250" w:hanging="216" w:hangingChars="120"/>
        <w:jc w:val="left"/>
        <w:rPr>
          <w:rFonts w:hint="eastAsia" w:ascii="宋体" w:hAnsi="宋体" w:eastAsia="宋体" w:cs="宋体"/>
          <w:kern w:val="0"/>
          <w:sz w:val="18"/>
          <w:szCs w:val="18"/>
        </w:rPr>
      </w:pPr>
      <w:r>
        <w:rPr>
          <w:rFonts w:hint="eastAsia" w:ascii="宋体" w:hAnsi="宋体"/>
          <w:sz w:val="18"/>
          <w:szCs w:val="18"/>
        </w:rPr>
        <w:t>2.报</w:t>
      </w:r>
      <w:r>
        <w:rPr>
          <w:rFonts w:hint="eastAsia" w:ascii="宋体" w:hAnsi="宋体" w:eastAsia="宋体" w:cs="宋体"/>
          <w:kern w:val="0"/>
          <w:sz w:val="18"/>
          <w:szCs w:val="18"/>
        </w:rPr>
        <w:t>送日期及方式：</w:t>
      </w:r>
      <w:r>
        <w:rPr>
          <w:rFonts w:hint="eastAsia" w:ascii="宋体" w:hAnsi="宋体" w:eastAsia="宋体" w:cs="宋体"/>
          <w:sz w:val="18"/>
          <w:szCs w:val="18"/>
        </w:rPr>
        <w:t>调查单位2、10月月后6日，6、7、8、11月月后7日，3、5、12月月后8日，4月月后9日，9月月后12日12：00前独立自行网上填报，1月免报</w:t>
      </w:r>
      <w:r>
        <w:rPr>
          <w:rFonts w:hint="eastAsia" w:ascii="宋体" w:hAnsi="宋体" w:eastAsia="宋体" w:cs="宋体"/>
          <w:kern w:val="0"/>
          <w:sz w:val="18"/>
          <w:szCs w:val="18"/>
        </w:rPr>
        <w:t>。</w:t>
      </w:r>
    </w:p>
    <w:p>
      <w:pPr>
        <w:tabs>
          <w:tab w:val="left" w:pos="5430"/>
        </w:tabs>
        <w:adjustRightInd w:val="0"/>
        <w:spacing w:line="320" w:lineRule="exact"/>
        <w:ind w:left="705" w:leftChars="250" w:hanging="180" w:hangingChars="100"/>
        <w:rPr>
          <w:rFonts w:hint="eastAsia" w:ascii="宋体" w:hAnsi="宋体" w:cs="宋体"/>
          <w:bCs/>
          <w:kern w:val="0"/>
          <w:sz w:val="18"/>
          <w:szCs w:val="18"/>
        </w:rPr>
      </w:pPr>
      <w:r>
        <w:rPr>
          <w:rFonts w:hint="eastAsia" w:ascii="宋体" w:hAnsi="宋体" w:cs="宋体"/>
          <w:bCs/>
          <w:kern w:val="0"/>
          <w:sz w:val="18"/>
          <w:szCs w:val="18"/>
        </w:rPr>
        <w:t>3.</w:t>
      </w:r>
      <w:r>
        <w:rPr>
          <w:rFonts w:hint="eastAsia" w:ascii="宋体" w:hAnsi="宋体"/>
          <w:sz w:val="18"/>
        </w:rPr>
        <w:t>本表甲栏下</w:t>
      </w:r>
      <w:r>
        <w:rPr>
          <w:rFonts w:hint="eastAsia" w:ascii="宋体" w:hAnsi="宋体"/>
          <w:sz w:val="18"/>
          <w:szCs w:val="18"/>
        </w:rPr>
        <w:t>按《能源生产、销售与库存目录》填报。</w:t>
      </w:r>
    </w:p>
    <w:p>
      <w:pPr>
        <w:tabs>
          <w:tab w:val="left" w:pos="5430"/>
        </w:tabs>
        <w:adjustRightInd w:val="0"/>
        <w:spacing w:line="320" w:lineRule="exact"/>
        <w:ind w:left="705" w:leftChars="250" w:hanging="180" w:hangingChars="100"/>
      </w:pPr>
      <w:r>
        <w:rPr>
          <w:rFonts w:hint="eastAsia" w:ascii="宋体" w:hAnsi="宋体" w:cs="宋体"/>
          <w:bCs/>
          <w:kern w:val="0"/>
          <w:sz w:val="18"/>
          <w:szCs w:val="18"/>
        </w:rPr>
        <w:t>4.</w:t>
      </w:r>
      <w:r>
        <w:rPr>
          <w:rFonts w:hint="eastAsia" w:ascii="宋体" w:hAnsi="宋体" w:cs="宋体"/>
          <w:kern w:val="0"/>
          <w:sz w:val="18"/>
          <w:szCs w:val="18"/>
        </w:rPr>
        <w:t>本表中“上年同期”数据统一由国家统计局在数据处理软件中复制，调查单位和各级统计机构原则上不得修改；本年新增的调查单位自行填报“上年同期”数据；涉及兼并、重组等情况的企业，经国家统计局批准后，调查单位可调整同期数；本年新增指标的同期数由调查单位自行填报。</w:t>
      </w:r>
    </w:p>
    <w:p>
      <w:pPr>
        <w:tabs>
          <w:tab w:val="left" w:pos="5430"/>
        </w:tabs>
        <w:adjustRightInd w:val="0"/>
        <w:spacing w:line="320" w:lineRule="exact"/>
        <w:ind w:left="705" w:leftChars="250" w:hanging="180" w:hangingChars="100"/>
        <w:outlineLvl w:val="9"/>
        <w:rPr>
          <w:rFonts w:ascii="宋体" w:hAnsi="宋体" w:cs="宋体"/>
          <w:kern w:val="0"/>
          <w:sz w:val="18"/>
          <w:szCs w:val="18"/>
        </w:rPr>
      </w:pPr>
      <w:r>
        <w:rPr>
          <w:rFonts w:hint="eastAsia" w:ascii="宋体" w:hAnsi="宋体" w:cs="宋体"/>
          <w:kern w:val="0"/>
          <w:sz w:val="18"/>
          <w:szCs w:val="18"/>
        </w:rPr>
        <w:t>5.几种</w:t>
      </w:r>
      <w:r>
        <w:rPr>
          <w:rFonts w:hint="eastAsia" w:ascii="宋体" w:hAnsi="宋体" w:cs="宋体"/>
          <w:kern w:val="0"/>
          <w:sz w:val="18"/>
          <w:szCs w:val="18"/>
          <w:lang w:eastAsia="zh-CN"/>
        </w:rPr>
        <w:t>能源</w:t>
      </w:r>
      <w:r>
        <w:rPr>
          <w:rFonts w:hint="eastAsia" w:ascii="宋体" w:hAnsi="宋体" w:cs="宋体"/>
          <w:kern w:val="0"/>
          <w:sz w:val="18"/>
          <w:szCs w:val="18"/>
        </w:rPr>
        <w:t>产品的</w:t>
      </w:r>
      <w:r>
        <w:rPr>
          <w:rFonts w:hint="eastAsia" w:ascii="宋体" w:hAnsi="宋体" w:cs="宋体"/>
          <w:kern w:val="0"/>
          <w:sz w:val="18"/>
          <w:szCs w:val="18"/>
          <w:lang w:eastAsia="zh-CN"/>
        </w:rPr>
        <w:t>重量单位与容积单位的换算关系</w:t>
      </w:r>
      <w:r>
        <w:rPr>
          <w:rFonts w:hint="eastAsia" w:ascii="宋体" w:hAnsi="宋体" w:cs="宋体"/>
          <w:kern w:val="0"/>
          <w:sz w:val="18"/>
          <w:szCs w:val="18"/>
        </w:rPr>
        <w:t>：</w:t>
      </w:r>
    </w:p>
    <w:p>
      <w:pPr>
        <w:tabs>
          <w:tab w:val="left" w:pos="5430"/>
        </w:tabs>
        <w:adjustRightInd w:val="0"/>
        <w:spacing w:line="320" w:lineRule="exact"/>
        <w:ind w:left="705" w:leftChars="336"/>
        <w:outlineLvl w:val="9"/>
        <w:rPr>
          <w:rFonts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1</w:t>
      </w:r>
      <w:r>
        <w:rPr>
          <w:rFonts w:hint="eastAsia" w:ascii="宋体" w:hAnsi="宋体" w:cs="宋体"/>
          <w:kern w:val="0"/>
          <w:sz w:val="18"/>
          <w:szCs w:val="18"/>
        </w:rPr>
        <w:t>)氢气，1立方米</w:t>
      </w:r>
      <w:r>
        <w:rPr>
          <w:rFonts w:ascii="宋体" w:hAnsi="宋体" w:cs="宋体"/>
          <w:kern w:val="0"/>
          <w:sz w:val="18"/>
          <w:szCs w:val="18"/>
        </w:rPr>
        <w:t>≈</w:t>
      </w:r>
      <w:r>
        <w:rPr>
          <w:rFonts w:hint="eastAsia" w:ascii="宋体" w:hAnsi="宋体" w:cs="宋体"/>
          <w:kern w:val="0"/>
          <w:sz w:val="18"/>
          <w:szCs w:val="18"/>
        </w:rPr>
        <w:t>0.0899千克，1千克</w:t>
      </w:r>
      <w:r>
        <w:rPr>
          <w:rFonts w:ascii="宋体" w:hAnsi="宋体" w:cs="宋体"/>
          <w:kern w:val="0"/>
          <w:sz w:val="18"/>
          <w:szCs w:val="18"/>
        </w:rPr>
        <w:t>≈</w:t>
      </w:r>
      <w:r>
        <w:rPr>
          <w:rFonts w:hint="eastAsia" w:ascii="宋体" w:hAnsi="宋体" w:cs="宋体"/>
          <w:kern w:val="0"/>
          <w:sz w:val="18"/>
          <w:szCs w:val="18"/>
        </w:rPr>
        <w:t>11.1235立方米</w:t>
      </w:r>
    </w:p>
    <w:p>
      <w:pPr>
        <w:tabs>
          <w:tab w:val="left" w:pos="5430"/>
        </w:tabs>
        <w:adjustRightInd w:val="0"/>
        <w:spacing w:line="320" w:lineRule="exact"/>
        <w:ind w:left="705" w:leftChars="336"/>
        <w:outlineLvl w:val="9"/>
        <w:rPr>
          <w:rFonts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2</w:t>
      </w:r>
      <w:r>
        <w:rPr>
          <w:rFonts w:hint="eastAsia" w:ascii="宋体" w:hAnsi="宋体" w:cs="宋体"/>
          <w:kern w:val="0"/>
          <w:sz w:val="18"/>
          <w:szCs w:val="18"/>
        </w:rPr>
        <w:t>)汽油，1升</w:t>
      </w:r>
      <w:r>
        <w:rPr>
          <w:rFonts w:ascii="宋体" w:hAnsi="宋体" w:cs="宋体"/>
          <w:kern w:val="0"/>
          <w:sz w:val="18"/>
          <w:szCs w:val="18"/>
        </w:rPr>
        <w:t>≈</w:t>
      </w:r>
      <w:r>
        <w:rPr>
          <w:rFonts w:hint="eastAsia" w:ascii="宋体" w:hAnsi="宋体" w:cs="宋体"/>
          <w:kern w:val="0"/>
          <w:sz w:val="18"/>
          <w:szCs w:val="18"/>
        </w:rPr>
        <w:t>0.73千克，1千克</w:t>
      </w:r>
      <w:r>
        <w:rPr>
          <w:rFonts w:ascii="宋体" w:hAnsi="宋体" w:cs="宋体"/>
          <w:kern w:val="0"/>
          <w:sz w:val="18"/>
          <w:szCs w:val="18"/>
        </w:rPr>
        <w:t>≈</w:t>
      </w:r>
      <w:r>
        <w:rPr>
          <w:rFonts w:hint="eastAsia" w:ascii="宋体" w:hAnsi="宋体" w:cs="宋体"/>
          <w:kern w:val="0"/>
          <w:sz w:val="18"/>
          <w:szCs w:val="18"/>
        </w:rPr>
        <w:t>1.3699升</w:t>
      </w:r>
    </w:p>
    <w:p>
      <w:pPr>
        <w:tabs>
          <w:tab w:val="left" w:pos="5430"/>
        </w:tabs>
        <w:adjustRightInd w:val="0"/>
        <w:spacing w:line="320" w:lineRule="exact"/>
        <w:ind w:left="705" w:leftChars="336"/>
        <w:outlineLvl w:val="9"/>
        <w:rPr>
          <w:rFonts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3</w:t>
      </w:r>
      <w:r>
        <w:rPr>
          <w:rFonts w:hint="eastAsia" w:ascii="宋体" w:hAnsi="宋体" w:cs="宋体"/>
          <w:kern w:val="0"/>
          <w:sz w:val="18"/>
          <w:szCs w:val="18"/>
        </w:rPr>
        <w:t>)重柴油，1升</w:t>
      </w:r>
      <w:r>
        <w:rPr>
          <w:rFonts w:ascii="宋体" w:hAnsi="宋体" w:cs="宋体"/>
          <w:kern w:val="0"/>
          <w:sz w:val="18"/>
          <w:szCs w:val="18"/>
        </w:rPr>
        <w:t>≈</w:t>
      </w:r>
      <w:r>
        <w:rPr>
          <w:rFonts w:hint="eastAsia" w:ascii="宋体" w:hAnsi="宋体" w:cs="宋体"/>
          <w:kern w:val="0"/>
          <w:sz w:val="18"/>
          <w:szCs w:val="18"/>
        </w:rPr>
        <w:t>0.92千克，1千克</w:t>
      </w:r>
      <w:r>
        <w:rPr>
          <w:rFonts w:ascii="宋体" w:hAnsi="宋体" w:cs="宋体"/>
          <w:kern w:val="0"/>
          <w:sz w:val="18"/>
          <w:szCs w:val="18"/>
        </w:rPr>
        <w:t>≈</w:t>
      </w:r>
      <w:r>
        <w:rPr>
          <w:rFonts w:hint="eastAsia" w:ascii="宋体" w:hAnsi="宋体" w:cs="宋体"/>
          <w:kern w:val="0"/>
          <w:sz w:val="18"/>
          <w:szCs w:val="18"/>
        </w:rPr>
        <w:t>1.0870升</w:t>
      </w:r>
    </w:p>
    <w:p>
      <w:pPr>
        <w:tabs>
          <w:tab w:val="left" w:pos="5430"/>
        </w:tabs>
        <w:adjustRightInd w:val="0"/>
        <w:spacing w:line="320" w:lineRule="exact"/>
        <w:ind w:left="705" w:leftChars="336"/>
        <w:outlineLvl w:val="9"/>
        <w:rPr>
          <w:rFonts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4</w:t>
      </w:r>
      <w:r>
        <w:rPr>
          <w:rFonts w:hint="eastAsia" w:ascii="宋体" w:hAnsi="宋体" w:cs="宋体"/>
          <w:kern w:val="0"/>
          <w:sz w:val="18"/>
          <w:szCs w:val="18"/>
        </w:rPr>
        <w:t>)轻柴油，1升</w:t>
      </w:r>
      <w:r>
        <w:rPr>
          <w:rFonts w:ascii="宋体" w:hAnsi="宋体" w:cs="宋体"/>
          <w:kern w:val="0"/>
          <w:sz w:val="18"/>
          <w:szCs w:val="18"/>
        </w:rPr>
        <w:t>≈</w:t>
      </w:r>
      <w:r>
        <w:rPr>
          <w:rFonts w:hint="eastAsia" w:ascii="宋体" w:hAnsi="宋体" w:cs="宋体"/>
          <w:kern w:val="0"/>
          <w:sz w:val="18"/>
          <w:szCs w:val="18"/>
        </w:rPr>
        <w:t>0.86千克，1千克</w:t>
      </w:r>
      <w:r>
        <w:rPr>
          <w:rFonts w:ascii="宋体" w:hAnsi="宋体" w:cs="宋体"/>
          <w:kern w:val="0"/>
          <w:sz w:val="18"/>
          <w:szCs w:val="18"/>
        </w:rPr>
        <w:t>≈</w:t>
      </w:r>
      <w:r>
        <w:rPr>
          <w:rFonts w:hint="eastAsia" w:ascii="宋体" w:hAnsi="宋体" w:cs="宋体"/>
          <w:kern w:val="0"/>
          <w:sz w:val="18"/>
          <w:szCs w:val="18"/>
        </w:rPr>
        <w:t>1.1628升</w:t>
      </w:r>
    </w:p>
    <w:p>
      <w:pPr>
        <w:tabs>
          <w:tab w:val="left" w:pos="5430"/>
        </w:tabs>
        <w:adjustRightInd w:val="0"/>
        <w:spacing w:line="320" w:lineRule="exact"/>
        <w:ind w:left="705" w:leftChars="336"/>
        <w:outlineLvl w:val="9"/>
        <w:rPr>
          <w:rFonts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5</w:t>
      </w:r>
      <w:r>
        <w:rPr>
          <w:rFonts w:hint="eastAsia" w:ascii="宋体" w:hAnsi="宋体" w:cs="宋体"/>
          <w:kern w:val="0"/>
          <w:sz w:val="18"/>
          <w:szCs w:val="18"/>
        </w:rPr>
        <w:t>)煤油，1升</w:t>
      </w:r>
      <w:r>
        <w:rPr>
          <w:rFonts w:ascii="宋体" w:hAnsi="宋体" w:cs="宋体"/>
          <w:kern w:val="0"/>
          <w:sz w:val="18"/>
          <w:szCs w:val="18"/>
        </w:rPr>
        <w:t>≈</w:t>
      </w:r>
      <w:r>
        <w:rPr>
          <w:rFonts w:hint="eastAsia" w:ascii="宋体" w:hAnsi="宋体" w:cs="宋体"/>
          <w:kern w:val="0"/>
          <w:sz w:val="18"/>
          <w:szCs w:val="18"/>
        </w:rPr>
        <w:t>0.82千克，1千克</w:t>
      </w:r>
      <w:r>
        <w:rPr>
          <w:rFonts w:ascii="宋体" w:hAnsi="宋体" w:cs="宋体"/>
          <w:kern w:val="0"/>
          <w:sz w:val="18"/>
          <w:szCs w:val="18"/>
        </w:rPr>
        <w:t>≈</w:t>
      </w:r>
      <w:r>
        <w:rPr>
          <w:rFonts w:hint="eastAsia" w:ascii="宋体" w:hAnsi="宋体" w:cs="宋体"/>
          <w:kern w:val="0"/>
          <w:sz w:val="18"/>
          <w:szCs w:val="18"/>
        </w:rPr>
        <w:t>1.2195升</w:t>
      </w:r>
    </w:p>
    <w:p>
      <w:pPr>
        <w:tabs>
          <w:tab w:val="left" w:pos="5430"/>
        </w:tabs>
        <w:adjustRightInd w:val="0"/>
        <w:spacing w:line="320" w:lineRule="exact"/>
        <w:ind w:left="705" w:leftChars="336"/>
        <w:outlineLvl w:val="9"/>
        <w:rPr>
          <w:rFonts w:hint="eastAsia" w:ascii="宋体" w:hAnsi="宋体" w:cs="宋体"/>
          <w:kern w:val="0"/>
          <w:sz w:val="18"/>
          <w:szCs w:val="18"/>
        </w:rPr>
      </w:pPr>
      <w:r>
        <w:rPr>
          <w:rFonts w:hint="eastAsia" w:ascii="宋体" w:hAnsi="宋体" w:cs="宋体"/>
          <w:kern w:val="0"/>
          <w:sz w:val="18"/>
          <w:szCs w:val="18"/>
        </w:rPr>
        <w:t>(</w:t>
      </w:r>
      <w:r>
        <w:rPr>
          <w:rFonts w:hint="eastAsia" w:ascii="宋体" w:hAnsi="宋体" w:cs="宋体"/>
          <w:kern w:val="0"/>
          <w:sz w:val="18"/>
          <w:szCs w:val="18"/>
          <w:lang w:val="en-US" w:eastAsia="zh-CN"/>
        </w:rPr>
        <w:t>6</w:t>
      </w:r>
      <w:r>
        <w:rPr>
          <w:rFonts w:hint="eastAsia" w:ascii="宋体" w:hAnsi="宋体" w:cs="宋体"/>
          <w:kern w:val="0"/>
          <w:sz w:val="18"/>
          <w:szCs w:val="18"/>
        </w:rPr>
        <w:t>)燃料油，1升</w:t>
      </w:r>
      <w:r>
        <w:rPr>
          <w:rFonts w:ascii="宋体" w:hAnsi="宋体" w:cs="宋体"/>
          <w:kern w:val="0"/>
          <w:sz w:val="18"/>
          <w:szCs w:val="18"/>
        </w:rPr>
        <w:t>≈</w:t>
      </w:r>
      <w:r>
        <w:rPr>
          <w:rFonts w:hint="eastAsia" w:ascii="宋体" w:hAnsi="宋体" w:cs="宋体"/>
          <w:kern w:val="0"/>
          <w:sz w:val="18"/>
          <w:szCs w:val="18"/>
        </w:rPr>
        <w:t>0.91千克，1千克</w:t>
      </w:r>
      <w:r>
        <w:rPr>
          <w:rFonts w:ascii="宋体" w:hAnsi="宋体" w:cs="宋体"/>
          <w:kern w:val="0"/>
          <w:sz w:val="18"/>
          <w:szCs w:val="18"/>
        </w:rPr>
        <w:t>≈</w:t>
      </w:r>
      <w:r>
        <w:rPr>
          <w:rFonts w:hint="eastAsia" w:ascii="宋体" w:hAnsi="宋体" w:cs="宋体"/>
          <w:kern w:val="0"/>
          <w:sz w:val="18"/>
          <w:szCs w:val="18"/>
        </w:rPr>
        <w:t>1.0990升</w:t>
      </w:r>
    </w:p>
    <w:p>
      <w:pPr>
        <w:pStyle w:val="5"/>
      </w:pPr>
    </w:p>
    <w:p>
      <w:pPr>
        <w:pStyle w:val="6"/>
      </w:pPr>
    </w:p>
    <w:p>
      <w:pPr>
        <w:spacing w:line="440" w:lineRule="exact"/>
        <w:jc w:val="center"/>
        <w:rPr>
          <w:rFonts w:eastAsia="方正小标宋简体"/>
          <w:sz w:val="30"/>
          <w:szCs w:val="30"/>
        </w:rPr>
      </w:pPr>
    </w:p>
    <w:p>
      <w:pPr>
        <w:spacing w:line="480" w:lineRule="exact"/>
        <w:jc w:val="center"/>
        <w:rPr>
          <w:rFonts w:eastAsia="黑体"/>
          <w:sz w:val="28"/>
          <w:szCs w:val="28"/>
        </w:rPr>
      </w:pPr>
    </w:p>
    <w:p>
      <w:pPr>
        <w:pStyle w:val="2"/>
        <w:rPr>
          <w:rFonts w:eastAsia="黑体"/>
          <w:sz w:val="28"/>
          <w:szCs w:val="28"/>
        </w:rPr>
      </w:pPr>
    </w:p>
    <w:p>
      <w:pPr>
        <w:rPr>
          <w:rFonts w:eastAsia="黑体"/>
          <w:sz w:val="28"/>
          <w:szCs w:val="28"/>
        </w:rPr>
      </w:pPr>
    </w:p>
    <w:p>
      <w:pPr>
        <w:pStyle w:val="5"/>
        <w:rPr>
          <w:rFonts w:eastAsia="黑体"/>
          <w:sz w:val="28"/>
          <w:szCs w:val="28"/>
        </w:rPr>
      </w:pPr>
    </w:p>
    <w:p>
      <w:pPr>
        <w:spacing w:line="480" w:lineRule="exact"/>
        <w:jc w:val="both"/>
        <w:rPr>
          <w:rFonts w:eastAsia="黑体"/>
          <w:sz w:val="28"/>
          <w:szCs w:val="28"/>
        </w:rPr>
      </w:pPr>
    </w:p>
    <w:p>
      <w:pPr>
        <w:keepNext w:val="0"/>
        <w:keepLines w:val="0"/>
        <w:pageBreakBefore w:val="0"/>
        <w:widowControl w:val="0"/>
        <w:kinsoku/>
        <w:wordWrap/>
        <w:overflowPunct/>
        <w:topLinePunct w:val="0"/>
        <w:autoSpaceDE/>
        <w:autoSpaceDN/>
        <w:bidi w:val="0"/>
        <w:adjustRightInd/>
        <w:snapToGrid w:val="0"/>
        <w:spacing w:beforeLines="50" w:afterLines="50" w:line="240" w:lineRule="auto"/>
        <w:jc w:val="center"/>
        <w:textAlignment w:val="auto"/>
        <w:outlineLvl w:val="2"/>
        <w:rPr>
          <w:rFonts w:hint="eastAsia" w:ascii="宋体" w:hAnsi="宋体" w:eastAsia="宋体" w:cs="宋体"/>
          <w:b/>
          <w:bCs/>
          <w:sz w:val="32"/>
          <w:szCs w:val="32"/>
        </w:rPr>
      </w:pPr>
      <w:bookmarkStart w:id="89" w:name="_Toc373570039"/>
      <w:bookmarkStart w:id="90" w:name="_Toc229680605"/>
      <w:bookmarkStart w:id="91" w:name="_Toc234842178"/>
      <w:bookmarkStart w:id="92" w:name="_Toc1987769785"/>
      <w:r>
        <w:rPr>
          <w:rFonts w:hint="eastAsia" w:ascii="宋体" w:hAnsi="宋体" w:eastAsia="宋体" w:cs="宋体"/>
          <w:b/>
          <w:bCs/>
          <w:sz w:val="32"/>
          <w:szCs w:val="32"/>
        </w:rPr>
        <w:t>固定资产投资项目情况</w:t>
      </w:r>
      <w:bookmarkEnd w:id="89"/>
      <w:bookmarkEnd w:id="90"/>
      <w:bookmarkEnd w:id="91"/>
      <w:bookmarkEnd w:id="92"/>
    </w:p>
    <w:tbl>
      <w:tblPr>
        <w:tblStyle w:val="17"/>
        <w:tblW w:w="9560" w:type="dxa"/>
        <w:tblInd w:w="-93" w:type="dxa"/>
        <w:tblLayout w:type="fixed"/>
        <w:tblCellMar>
          <w:top w:w="0" w:type="dxa"/>
          <w:left w:w="108" w:type="dxa"/>
          <w:bottom w:w="0" w:type="dxa"/>
          <w:right w:w="108" w:type="dxa"/>
        </w:tblCellMar>
      </w:tblPr>
      <w:tblGrid>
        <w:gridCol w:w="2956"/>
        <w:gridCol w:w="862"/>
        <w:gridCol w:w="2798"/>
        <w:gridCol w:w="1050"/>
        <w:gridCol w:w="1894"/>
      </w:tblGrid>
      <w:tr>
        <w:tblPrEx>
          <w:tblCellMar>
            <w:top w:w="0" w:type="dxa"/>
            <w:left w:w="108" w:type="dxa"/>
            <w:bottom w:w="0" w:type="dxa"/>
            <w:right w:w="108" w:type="dxa"/>
          </w:tblCellMar>
        </w:tblPrEx>
        <w:tc>
          <w:tcPr>
            <w:tcW w:w="6616" w:type="dxa"/>
            <w:gridSpan w:val="3"/>
            <w:noWrap w:val="0"/>
            <w:tcMar>
              <w:left w:w="0" w:type="dxa"/>
              <w:right w:w="0" w:type="dxa"/>
            </w:tcMar>
            <w:vAlign w:val="top"/>
          </w:tcPr>
          <w:p>
            <w:pPr>
              <w:adjustRightInd w:val="0"/>
              <w:snapToGrid w:val="0"/>
              <w:jc w:val="left"/>
              <w:rPr>
                <w:rFonts w:ascii="宋体" w:hAnsi="宋体" w:cs="宋体"/>
                <w:color w:val="000000"/>
                <w:sz w:val="18"/>
                <w:szCs w:val="18"/>
              </w:rPr>
            </w:pPr>
          </w:p>
        </w:tc>
        <w:tc>
          <w:tcPr>
            <w:tcW w:w="1050" w:type="dxa"/>
            <w:noWrap w:val="0"/>
            <w:vAlign w:val="top"/>
          </w:tcPr>
          <w:p>
            <w:pPr>
              <w:adjustRightInd w:val="0"/>
              <w:snapToGrid w:val="0"/>
              <w:jc w:val="center"/>
              <w:rPr>
                <w:rFonts w:ascii="宋体" w:hAnsi="宋体" w:cs="宋体"/>
                <w:color w:val="000000"/>
                <w:sz w:val="18"/>
                <w:szCs w:val="18"/>
              </w:rPr>
            </w:pPr>
            <w:r>
              <w:rPr>
                <w:rFonts w:hint="eastAsia" w:ascii="宋体" w:hAnsi="宋体" w:cs="宋体"/>
                <w:color w:val="000000"/>
                <w:sz w:val="18"/>
                <w:szCs w:val="18"/>
              </w:rPr>
              <w:t>表</w:t>
            </w:r>
            <w:r>
              <w:rPr>
                <w:rFonts w:ascii="宋体" w:hAnsi="宋体" w:cs="宋体"/>
                <w:color w:val="000000"/>
                <w:sz w:val="18"/>
                <w:szCs w:val="18"/>
              </w:rPr>
              <w:t xml:space="preserve">    </w:t>
            </w:r>
            <w:r>
              <w:rPr>
                <w:rFonts w:hint="eastAsia" w:ascii="宋体" w:hAnsi="宋体" w:cs="宋体"/>
                <w:color w:val="000000"/>
                <w:sz w:val="18"/>
                <w:szCs w:val="18"/>
              </w:rPr>
              <w:t>号：</w:t>
            </w:r>
          </w:p>
        </w:tc>
        <w:tc>
          <w:tcPr>
            <w:tcW w:w="1894" w:type="dxa"/>
            <w:noWrap w:val="0"/>
            <w:vAlign w:val="center"/>
          </w:tcPr>
          <w:p>
            <w:pPr>
              <w:snapToGrid w:val="0"/>
              <w:ind w:left="-105" w:leftChars="-50"/>
              <w:jc w:val="distribute"/>
              <w:rPr>
                <w:rFonts w:ascii="宋体" w:hAnsi="宋体"/>
                <w:color w:val="000000"/>
                <w:sz w:val="18"/>
              </w:rPr>
            </w:pPr>
            <w:r>
              <w:rPr>
                <w:rFonts w:hint="eastAsia" w:ascii="宋体" w:hAnsi="宋体"/>
                <w:color w:val="000000"/>
                <w:sz w:val="18"/>
              </w:rPr>
              <w:t>２０６表</w:t>
            </w:r>
          </w:p>
        </w:tc>
      </w:tr>
      <w:tr>
        <w:tblPrEx>
          <w:tblCellMar>
            <w:top w:w="0" w:type="dxa"/>
            <w:left w:w="108" w:type="dxa"/>
            <w:bottom w:w="0" w:type="dxa"/>
            <w:right w:w="108" w:type="dxa"/>
          </w:tblCellMar>
        </w:tblPrEx>
        <w:tc>
          <w:tcPr>
            <w:tcW w:w="6616" w:type="dxa"/>
            <w:gridSpan w:val="3"/>
            <w:noWrap w:val="0"/>
            <w:tcMar>
              <w:left w:w="0" w:type="dxa"/>
              <w:right w:w="0" w:type="dxa"/>
            </w:tcMar>
            <w:vAlign w:val="top"/>
          </w:tcPr>
          <w:p>
            <w:pPr>
              <w:adjustRightInd w:val="0"/>
              <w:snapToGrid w:val="0"/>
              <w:rPr>
                <w:rFonts w:ascii="宋体" w:hAnsi="宋体" w:cs="宋体"/>
                <w:color w:val="000000"/>
                <w:sz w:val="18"/>
                <w:szCs w:val="18"/>
              </w:rPr>
            </w:pPr>
          </w:p>
        </w:tc>
        <w:tc>
          <w:tcPr>
            <w:tcW w:w="1050" w:type="dxa"/>
            <w:noWrap w:val="0"/>
            <w:vAlign w:val="top"/>
          </w:tcPr>
          <w:p>
            <w:pPr>
              <w:adjustRightInd w:val="0"/>
              <w:snapToGrid w:val="0"/>
              <w:jc w:val="center"/>
              <w:rPr>
                <w:rFonts w:ascii="宋体" w:hAnsi="宋体" w:cs="宋体"/>
                <w:color w:val="000000"/>
                <w:sz w:val="18"/>
                <w:szCs w:val="18"/>
              </w:rPr>
            </w:pPr>
            <w:r>
              <w:rPr>
                <w:rFonts w:hint="eastAsia" w:ascii="宋体" w:hAnsi="宋体" w:cs="宋体"/>
                <w:color w:val="000000"/>
                <w:sz w:val="18"/>
                <w:szCs w:val="18"/>
              </w:rPr>
              <w:t>制定机关：</w:t>
            </w:r>
          </w:p>
        </w:tc>
        <w:tc>
          <w:tcPr>
            <w:tcW w:w="1894" w:type="dxa"/>
            <w:noWrap w:val="0"/>
            <w:vAlign w:val="center"/>
          </w:tcPr>
          <w:p>
            <w:pPr>
              <w:snapToGrid w:val="0"/>
              <w:ind w:left="-105" w:leftChars="-50"/>
              <w:jc w:val="distribute"/>
              <w:rPr>
                <w:rFonts w:hint="eastAsia" w:ascii="宋体" w:hAnsi="宋体"/>
                <w:color w:val="000000"/>
                <w:sz w:val="18"/>
              </w:rPr>
            </w:pPr>
            <w:r>
              <w:rPr>
                <w:rFonts w:hint="eastAsia" w:ascii="宋体" w:hAnsi="宋体"/>
                <w:color w:val="000000"/>
                <w:sz w:val="18"/>
              </w:rPr>
              <w:t>国家统计局</w:t>
            </w:r>
          </w:p>
        </w:tc>
      </w:tr>
      <w:tr>
        <w:tc>
          <w:tcPr>
            <w:tcW w:w="6616" w:type="dxa"/>
            <w:gridSpan w:val="3"/>
            <w:noWrap w:val="0"/>
            <w:tcMar>
              <w:left w:w="0" w:type="dxa"/>
              <w:right w:w="0" w:type="dxa"/>
            </w:tcMar>
            <w:vAlign w:val="bottom"/>
          </w:tcPr>
          <w:p>
            <w:pPr>
              <w:adjustRightInd w:val="0"/>
              <w:snapToGrid w:val="0"/>
              <w:jc w:val="left"/>
              <w:rPr>
                <w:rFonts w:ascii="宋体" w:hAnsi="宋体" w:cs="宋体"/>
                <w:color w:val="000000"/>
                <w:sz w:val="18"/>
                <w:szCs w:val="18"/>
              </w:rPr>
            </w:pPr>
            <w:r>
              <w:rPr>
                <w:rFonts w:hint="eastAsia" w:ascii="宋体" w:hAnsi="宋体" w:cs="宋体"/>
                <w:color w:val="000000"/>
                <w:sz w:val="18"/>
                <w:szCs w:val="18"/>
              </w:rPr>
              <w:t>统一社会信用代码□□□□□□□□□□□□□□□□□□</w:t>
            </w:r>
          </w:p>
        </w:tc>
        <w:tc>
          <w:tcPr>
            <w:tcW w:w="1050" w:type="dxa"/>
            <w:noWrap w:val="0"/>
            <w:vAlign w:val="center"/>
          </w:tcPr>
          <w:p>
            <w:pPr>
              <w:adjustRightInd w:val="0"/>
              <w:snapToGrid w:val="0"/>
              <w:jc w:val="center"/>
              <w:rPr>
                <w:rFonts w:ascii="宋体" w:hAnsi="宋体" w:cs="宋体"/>
                <w:color w:val="000000"/>
                <w:sz w:val="18"/>
                <w:szCs w:val="18"/>
              </w:rPr>
            </w:pPr>
            <w:r>
              <w:rPr>
                <w:rFonts w:hint="eastAsia" w:ascii="宋体" w:hAnsi="宋体" w:cs="宋体"/>
                <w:color w:val="000000"/>
                <w:sz w:val="18"/>
                <w:szCs w:val="18"/>
              </w:rPr>
              <w:t>文</w:t>
            </w:r>
            <w:r>
              <w:rPr>
                <w:rFonts w:ascii="宋体" w:hAnsi="宋体" w:cs="宋体"/>
                <w:color w:val="000000"/>
                <w:sz w:val="18"/>
                <w:szCs w:val="18"/>
              </w:rPr>
              <w:t xml:space="preserve">    </w:t>
            </w:r>
            <w:r>
              <w:rPr>
                <w:rFonts w:hint="eastAsia" w:ascii="宋体" w:hAnsi="宋体" w:cs="宋体"/>
                <w:color w:val="000000"/>
                <w:sz w:val="18"/>
                <w:szCs w:val="18"/>
              </w:rPr>
              <w:t>号：</w:t>
            </w:r>
          </w:p>
        </w:tc>
        <w:tc>
          <w:tcPr>
            <w:tcW w:w="1894" w:type="dxa"/>
            <w:noWrap w:val="0"/>
            <w:vAlign w:val="center"/>
          </w:tcPr>
          <w:p>
            <w:pPr>
              <w:snapToGrid w:val="0"/>
              <w:ind w:left="-105" w:leftChars="-50"/>
              <w:jc w:val="distribute"/>
              <w:rPr>
                <w:rFonts w:ascii="宋体" w:hAnsi="宋体"/>
                <w:color w:val="000000"/>
                <w:sz w:val="18"/>
              </w:rPr>
            </w:pPr>
            <w:r>
              <w:rPr>
                <w:rFonts w:hint="eastAsia" w:ascii="宋体" w:hAnsi="宋体"/>
                <w:color w:val="000000"/>
                <w:sz w:val="18"/>
              </w:rPr>
              <w:t>国统字〔202</w:t>
            </w:r>
            <w:r>
              <w:rPr>
                <w:rFonts w:hint="eastAsia" w:ascii="宋体" w:hAnsi="宋体"/>
                <w:color w:val="000000"/>
                <w:sz w:val="18"/>
                <w:lang w:val="en-US" w:eastAsia="zh-CN"/>
              </w:rPr>
              <w:t>5</w:t>
            </w:r>
            <w:r>
              <w:rPr>
                <w:rFonts w:hint="eastAsia" w:ascii="宋体" w:hAnsi="宋体"/>
                <w:color w:val="000000"/>
                <w:sz w:val="18"/>
              </w:rPr>
              <w:t>〕</w:t>
            </w:r>
            <w:r>
              <w:rPr>
                <w:rFonts w:hint="eastAsia" w:ascii="宋体" w:hAnsi="宋体"/>
                <w:color w:val="000000"/>
                <w:sz w:val="18"/>
                <w:lang w:val="en-US" w:eastAsia="zh-CN"/>
              </w:rPr>
              <w:t>88</w:t>
            </w:r>
            <w:r>
              <w:rPr>
                <w:rFonts w:hint="eastAsia" w:ascii="宋体" w:hAnsi="宋体"/>
                <w:color w:val="000000"/>
                <w:sz w:val="18"/>
              </w:rPr>
              <w:t>号</w:t>
            </w:r>
          </w:p>
        </w:tc>
      </w:tr>
      <w:tr>
        <w:tblPrEx>
          <w:tblCellMar>
            <w:top w:w="0" w:type="dxa"/>
            <w:left w:w="108" w:type="dxa"/>
            <w:bottom w:w="0" w:type="dxa"/>
            <w:right w:w="108" w:type="dxa"/>
          </w:tblCellMar>
        </w:tblPrEx>
        <w:tc>
          <w:tcPr>
            <w:tcW w:w="2956" w:type="dxa"/>
            <w:noWrap w:val="0"/>
            <w:tcMar>
              <w:left w:w="0" w:type="dxa"/>
              <w:right w:w="0" w:type="dxa"/>
            </w:tcMar>
            <w:vAlign w:val="top"/>
          </w:tcPr>
          <w:p>
            <w:pPr>
              <w:adjustRightInd w:val="0"/>
              <w:snapToGrid w:val="0"/>
              <w:rPr>
                <w:rFonts w:ascii="宋体" w:hAnsi="宋体" w:cs="宋体"/>
                <w:color w:val="000000"/>
                <w:sz w:val="18"/>
                <w:szCs w:val="18"/>
              </w:rPr>
            </w:pPr>
            <w:r>
              <w:rPr>
                <w:rFonts w:hint="eastAsia" w:ascii="宋体" w:hAnsi="宋体" w:cs="宋体"/>
                <w:color w:val="000000"/>
                <w:sz w:val="18"/>
                <w:szCs w:val="18"/>
              </w:rPr>
              <w:t>单位详细名称：</w:t>
            </w:r>
          </w:p>
        </w:tc>
        <w:tc>
          <w:tcPr>
            <w:tcW w:w="862" w:type="dxa"/>
            <w:noWrap w:val="0"/>
            <w:vAlign w:val="top"/>
          </w:tcPr>
          <w:p>
            <w:pPr>
              <w:adjustRightInd w:val="0"/>
              <w:snapToGrid w:val="0"/>
              <w:jc w:val="center"/>
              <w:rPr>
                <w:rFonts w:ascii="宋体" w:hAnsi="宋体" w:cs="宋体"/>
                <w:color w:val="000000"/>
                <w:sz w:val="18"/>
                <w:szCs w:val="18"/>
              </w:rPr>
            </w:pPr>
          </w:p>
        </w:tc>
        <w:tc>
          <w:tcPr>
            <w:tcW w:w="2798" w:type="dxa"/>
            <w:noWrap w:val="0"/>
            <w:vAlign w:val="top"/>
          </w:tcPr>
          <w:p>
            <w:pPr>
              <w:adjustRightInd w:val="0"/>
              <w:snapToGrid w:val="0"/>
              <w:ind w:firstLine="360" w:firstLineChars="200"/>
              <w:rPr>
                <w:rFonts w:ascii="宋体" w:hAnsi="宋体" w:cs="宋体"/>
                <w:color w:val="000000"/>
                <w:sz w:val="18"/>
                <w:szCs w:val="18"/>
              </w:rPr>
            </w:pPr>
            <w:r>
              <w:rPr>
                <w:rFonts w:hint="eastAsia" w:ascii="宋体" w:hAnsi="宋体" w:cs="宋体"/>
                <w:color w:val="000000"/>
                <w:sz w:val="18"/>
                <w:szCs w:val="18"/>
              </w:rPr>
              <w:t>２０２</w:t>
            </w:r>
            <w:r>
              <w:rPr>
                <w:rFonts w:hint="eastAsia" w:ascii="宋体" w:hAnsi="宋体" w:cs="宋体"/>
                <w:color w:val="000000"/>
                <w:sz w:val="18"/>
                <w:szCs w:val="18"/>
                <w:lang w:val="en-US" w:eastAsia="zh-CN"/>
              </w:rPr>
              <w:t>6</w:t>
            </w:r>
            <w:r>
              <w:rPr>
                <w:rFonts w:hint="eastAsia" w:ascii="宋体" w:hAnsi="宋体" w:cs="宋体"/>
                <w:color w:val="000000"/>
                <w:sz w:val="18"/>
                <w:szCs w:val="18"/>
              </w:rPr>
              <w:t>年１－  月</w:t>
            </w:r>
          </w:p>
        </w:tc>
        <w:tc>
          <w:tcPr>
            <w:tcW w:w="1050" w:type="dxa"/>
            <w:noWrap w:val="0"/>
            <w:vAlign w:val="center"/>
          </w:tcPr>
          <w:p>
            <w:pPr>
              <w:adjustRightInd w:val="0"/>
              <w:snapToGrid w:val="0"/>
              <w:jc w:val="center"/>
              <w:rPr>
                <w:rFonts w:ascii="宋体" w:hAnsi="宋体" w:cs="宋体"/>
                <w:color w:val="000000"/>
                <w:sz w:val="18"/>
                <w:szCs w:val="18"/>
              </w:rPr>
            </w:pPr>
            <w:r>
              <w:rPr>
                <w:rFonts w:hint="eastAsia" w:ascii="宋体" w:hAnsi="宋体" w:cs="宋体"/>
                <w:color w:val="000000"/>
                <w:sz w:val="18"/>
                <w:szCs w:val="18"/>
              </w:rPr>
              <w:t>有效期至：</w:t>
            </w:r>
          </w:p>
        </w:tc>
        <w:tc>
          <w:tcPr>
            <w:tcW w:w="1894" w:type="dxa"/>
            <w:noWrap w:val="0"/>
            <w:vAlign w:val="center"/>
          </w:tcPr>
          <w:p>
            <w:pPr>
              <w:snapToGrid w:val="0"/>
              <w:ind w:left="-105" w:leftChars="-50"/>
              <w:jc w:val="distribute"/>
              <w:rPr>
                <w:rFonts w:ascii="宋体" w:hAnsi="宋体"/>
                <w:color w:val="000000"/>
                <w:sz w:val="18"/>
              </w:rPr>
            </w:pPr>
            <w:r>
              <w:rPr>
                <w:rFonts w:hint="eastAsia" w:ascii="宋体" w:hAnsi="宋体"/>
                <w:color w:val="000000"/>
                <w:sz w:val="18"/>
              </w:rPr>
              <w:t>２０２</w:t>
            </w:r>
            <w:r>
              <w:rPr>
                <w:rFonts w:hint="eastAsia" w:ascii="宋体" w:hAnsi="宋体"/>
                <w:color w:val="000000"/>
                <w:sz w:val="18"/>
                <w:lang w:val="en-US" w:eastAsia="zh-CN"/>
              </w:rPr>
              <w:t>7</w:t>
            </w:r>
            <w:r>
              <w:rPr>
                <w:rFonts w:hint="eastAsia" w:ascii="宋体" w:hAnsi="宋体"/>
                <w:color w:val="000000"/>
                <w:sz w:val="18"/>
              </w:rPr>
              <w:t>年１月</w:t>
            </w:r>
          </w:p>
        </w:tc>
      </w:tr>
    </w:tbl>
    <w:p>
      <w:pPr>
        <w:spacing w:line="40" w:lineRule="exact"/>
        <w:rPr>
          <w:color w:val="000000"/>
        </w:rPr>
      </w:pPr>
    </w:p>
    <w:tbl>
      <w:tblPr>
        <w:tblStyle w:val="17"/>
        <w:tblW w:w="9573"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0" w:type="dxa"/>
          <w:bottom w:w="0" w:type="dxa"/>
          <w:right w:w="0" w:type="dxa"/>
        </w:tblCellMar>
      </w:tblPr>
      <w:tblGrid>
        <w:gridCol w:w="543"/>
        <w:gridCol w:w="1011"/>
        <w:gridCol w:w="970"/>
        <w:gridCol w:w="720"/>
        <w:gridCol w:w="186"/>
        <w:gridCol w:w="534"/>
        <w:gridCol w:w="385"/>
        <w:gridCol w:w="407"/>
        <w:gridCol w:w="24"/>
        <w:gridCol w:w="1846"/>
        <w:gridCol w:w="758"/>
        <w:gridCol w:w="792"/>
        <w:gridCol w:w="540"/>
        <w:gridCol w:w="703"/>
        <w:gridCol w:w="154"/>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9573" w:type="dxa"/>
            <w:gridSpan w:val="15"/>
            <w:noWrap w:val="0"/>
            <w:vAlign w:val="center"/>
          </w:tcPr>
          <w:p>
            <w:pPr>
              <w:adjustRightInd w:val="0"/>
              <w:snapToGrid w:val="0"/>
              <w:jc w:val="center"/>
              <w:rPr>
                <w:rFonts w:ascii="宋体" w:hAnsi="宋体"/>
                <w:b/>
                <w:color w:val="000000"/>
                <w:sz w:val="18"/>
                <w:szCs w:val="18"/>
              </w:rPr>
            </w:pPr>
            <w:r>
              <w:rPr>
                <w:rFonts w:hint="eastAsia" w:ascii="宋体" w:hAnsi="宋体"/>
                <w:b/>
                <w:color w:val="000000"/>
                <w:sz w:val="18"/>
                <w:szCs w:val="18"/>
              </w:rPr>
              <w:t>一、项目基本情况</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shd w:val="clear" w:color="auto" w:fill="C0C0C0"/>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01</w:t>
            </w:r>
          </w:p>
        </w:tc>
        <w:tc>
          <w:tcPr>
            <w:tcW w:w="1011" w:type="dxa"/>
            <w:shd w:val="clear" w:color="auto" w:fill="C0C0C0"/>
            <w:noWrap w:val="0"/>
            <w:vAlign w:val="center"/>
          </w:tcPr>
          <w:p>
            <w:pPr>
              <w:pStyle w:val="13"/>
              <w:pBdr>
                <w:bottom w:val="none" w:color="auto" w:sz="0" w:space="0"/>
              </w:pBdr>
              <w:tabs>
                <w:tab w:val="clear" w:pos="4153"/>
                <w:tab w:val="clear" w:pos="8306"/>
              </w:tabs>
              <w:adjustRightInd w:val="0"/>
              <w:spacing w:line="340" w:lineRule="exact"/>
              <w:rPr>
                <w:rFonts w:hint="eastAsia" w:ascii="宋体" w:hAnsi="宋体"/>
                <w:color w:val="000000"/>
              </w:rPr>
            </w:pPr>
            <w:r>
              <w:rPr>
                <w:rFonts w:hint="eastAsia" w:ascii="宋体" w:hAnsi="宋体"/>
                <w:color w:val="000000"/>
              </w:rPr>
              <w:t>项目代码</w:t>
            </w:r>
          </w:p>
        </w:tc>
        <w:tc>
          <w:tcPr>
            <w:tcW w:w="8019" w:type="dxa"/>
            <w:gridSpan w:val="13"/>
            <w:shd w:val="clear" w:color="auto" w:fill="C0C0C0"/>
            <w:noWrap w:val="0"/>
            <w:vAlign w:val="center"/>
          </w:tcPr>
          <w:p>
            <w:pPr>
              <w:adjustRightInd w:val="0"/>
              <w:snapToGrid w:val="0"/>
              <w:spacing w:line="340" w:lineRule="exact"/>
              <w:ind w:left="1530" w:hanging="1530" w:hangingChars="850"/>
              <w:rPr>
                <w:rFonts w:ascii="宋体" w:hAnsi="宋体" w:cs="宋体"/>
                <w:color w:val="000000"/>
                <w:sz w:val="18"/>
                <w:szCs w:val="18"/>
                <w:u w:val="single"/>
              </w:rPr>
            </w:pPr>
            <w:r>
              <w:rPr>
                <w:rFonts w:hint="eastAsia" w:ascii="宋体" w:hAnsi="宋体" w:cs="宋体"/>
                <w:color w:val="00000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shd w:val="clear" w:color="auto" w:fill="C0C0C0"/>
            <w:noWrap w:val="0"/>
            <w:vAlign w:val="center"/>
          </w:tcPr>
          <w:p>
            <w:pPr>
              <w:adjustRightInd w:val="0"/>
              <w:snapToGrid w:val="0"/>
              <w:spacing w:line="340" w:lineRule="exact"/>
              <w:jc w:val="center"/>
              <w:rPr>
                <w:rFonts w:hint="eastAsia" w:ascii="宋体" w:hAnsi="宋体"/>
                <w:b/>
                <w:color w:val="000000"/>
                <w:sz w:val="18"/>
                <w:szCs w:val="18"/>
              </w:rPr>
            </w:pPr>
            <w:r>
              <w:rPr>
                <w:rFonts w:ascii="宋体" w:hAnsi="宋体"/>
                <w:b/>
                <w:color w:val="000000"/>
                <w:sz w:val="18"/>
                <w:szCs w:val="18"/>
              </w:rPr>
              <w:t>0</w:t>
            </w:r>
            <w:r>
              <w:rPr>
                <w:rFonts w:hint="eastAsia" w:ascii="宋体" w:hAnsi="宋体"/>
                <w:b/>
                <w:color w:val="000000"/>
                <w:sz w:val="18"/>
                <w:szCs w:val="18"/>
              </w:rPr>
              <w:t>2</w:t>
            </w:r>
          </w:p>
        </w:tc>
        <w:tc>
          <w:tcPr>
            <w:tcW w:w="1011" w:type="dxa"/>
            <w:shd w:val="clear" w:color="auto" w:fill="C0C0C0"/>
            <w:noWrap w:val="0"/>
            <w:vAlign w:val="center"/>
          </w:tcPr>
          <w:p>
            <w:pPr>
              <w:pStyle w:val="13"/>
              <w:pBdr>
                <w:bottom w:val="none" w:color="auto" w:sz="0" w:space="0"/>
              </w:pBdr>
              <w:tabs>
                <w:tab w:val="clear" w:pos="4153"/>
                <w:tab w:val="clear" w:pos="8306"/>
              </w:tabs>
              <w:adjustRightInd w:val="0"/>
              <w:spacing w:line="340" w:lineRule="exact"/>
              <w:rPr>
                <w:rFonts w:ascii="宋体" w:hAnsi="宋体"/>
                <w:color w:val="000000"/>
              </w:rPr>
            </w:pPr>
            <w:r>
              <w:rPr>
                <w:rFonts w:hint="eastAsia" w:ascii="宋体" w:hAnsi="宋体"/>
                <w:color w:val="000000"/>
              </w:rPr>
              <w:t>项目名称</w:t>
            </w:r>
          </w:p>
        </w:tc>
        <w:tc>
          <w:tcPr>
            <w:tcW w:w="8019" w:type="dxa"/>
            <w:gridSpan w:val="13"/>
            <w:shd w:val="clear" w:color="auto" w:fill="C0C0C0"/>
            <w:noWrap w:val="0"/>
            <w:vAlign w:val="center"/>
          </w:tcPr>
          <w:p>
            <w:pPr>
              <w:adjustRightInd w:val="0"/>
              <w:snapToGrid w:val="0"/>
              <w:spacing w:line="340" w:lineRule="exact"/>
              <w:jc w:val="center"/>
              <w:rPr>
                <w:rFonts w:hint="eastAsia" w:ascii="宋体" w:hAnsi="宋体"/>
                <w:color w:val="000000"/>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shd w:val="clear" w:color="auto" w:fill="C0C0C0"/>
            <w:noWrap w:val="0"/>
            <w:vAlign w:val="center"/>
          </w:tcPr>
          <w:p>
            <w:pPr>
              <w:adjustRightInd w:val="0"/>
              <w:snapToGrid w:val="0"/>
              <w:spacing w:line="340" w:lineRule="exact"/>
              <w:jc w:val="center"/>
              <w:rPr>
                <w:rFonts w:ascii="宋体" w:hAnsi="宋体"/>
                <w:b/>
                <w:color w:val="000000"/>
                <w:sz w:val="18"/>
                <w:szCs w:val="18"/>
              </w:rPr>
            </w:pPr>
            <w:r>
              <w:rPr>
                <w:rFonts w:hint="eastAsia" w:ascii="宋体" w:hAnsi="宋体"/>
                <w:b/>
                <w:color w:val="000000"/>
                <w:sz w:val="18"/>
                <w:szCs w:val="18"/>
              </w:rPr>
              <w:t>13</w:t>
            </w:r>
          </w:p>
        </w:tc>
        <w:tc>
          <w:tcPr>
            <w:tcW w:w="1011" w:type="dxa"/>
            <w:shd w:val="clear" w:color="auto" w:fill="C0C0C0"/>
            <w:noWrap w:val="0"/>
            <w:vAlign w:val="center"/>
          </w:tcPr>
          <w:p>
            <w:pPr>
              <w:pStyle w:val="13"/>
              <w:pBdr>
                <w:bottom w:val="none" w:color="auto" w:sz="0" w:space="0"/>
              </w:pBdr>
              <w:tabs>
                <w:tab w:val="clear" w:pos="4153"/>
                <w:tab w:val="clear" w:pos="8306"/>
              </w:tabs>
              <w:adjustRightInd w:val="0"/>
              <w:spacing w:line="240" w:lineRule="atLeast"/>
              <w:jc w:val="left"/>
              <w:rPr>
                <w:rFonts w:hint="eastAsia" w:ascii="宋体" w:hAnsi="宋体"/>
                <w:color w:val="000000"/>
              </w:rPr>
            </w:pPr>
            <w:r>
              <w:rPr>
                <w:rFonts w:hint="eastAsia" w:ascii="宋体" w:hAnsi="宋体"/>
                <w:color w:val="000000"/>
              </w:rPr>
              <w:t>投资项目在线审批监管平台统一代码</w:t>
            </w:r>
          </w:p>
        </w:tc>
        <w:tc>
          <w:tcPr>
            <w:tcW w:w="8019" w:type="dxa"/>
            <w:gridSpan w:val="13"/>
            <w:shd w:val="clear" w:color="auto" w:fill="C0C0C0"/>
            <w:noWrap w:val="0"/>
            <w:vAlign w:val="center"/>
          </w:tcPr>
          <w:p>
            <w:pPr>
              <w:adjustRightInd w:val="0"/>
              <w:snapToGrid w:val="0"/>
              <w:spacing w:line="240" w:lineRule="atLeast"/>
              <w:jc w:val="left"/>
              <w:rPr>
                <w:rFonts w:hint="eastAsia" w:ascii="宋体" w:hAnsi="宋体"/>
                <w:color w:val="000000"/>
                <w:sz w:val="18"/>
                <w:szCs w:val="18"/>
              </w:rPr>
            </w:pPr>
            <w:r>
              <w:rPr>
                <w:rFonts w:hint="eastAsia" w:ascii="宋体" w:hAnsi="宋体" w:cs="宋体"/>
                <w:color w:val="00000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shd w:val="clear" w:color="auto" w:fill="C0C0C0"/>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104</w:t>
            </w:r>
          </w:p>
        </w:tc>
        <w:tc>
          <w:tcPr>
            <w:tcW w:w="1011" w:type="dxa"/>
            <w:shd w:val="clear" w:color="auto" w:fill="C0C0C0"/>
            <w:noWrap w:val="0"/>
            <w:vAlign w:val="center"/>
          </w:tcPr>
          <w:p>
            <w:pPr>
              <w:pStyle w:val="13"/>
              <w:pBdr>
                <w:bottom w:val="none" w:color="auto" w:sz="0" w:space="0"/>
              </w:pBdr>
              <w:tabs>
                <w:tab w:val="clear" w:pos="4153"/>
                <w:tab w:val="clear" w:pos="8306"/>
              </w:tabs>
              <w:adjustRightInd w:val="0"/>
              <w:spacing w:line="240" w:lineRule="atLeast"/>
              <w:rPr>
                <w:rFonts w:hint="eastAsia" w:ascii="宋体" w:hAnsi="宋体"/>
                <w:color w:val="000000"/>
              </w:rPr>
            </w:pPr>
            <w:r>
              <w:rPr>
                <w:rFonts w:hint="eastAsia" w:ascii="宋体" w:hAnsi="宋体"/>
                <w:color w:val="000000"/>
              </w:rPr>
              <w:t>报表类别</w:t>
            </w:r>
          </w:p>
        </w:tc>
        <w:tc>
          <w:tcPr>
            <w:tcW w:w="8019" w:type="dxa"/>
            <w:gridSpan w:val="13"/>
            <w:shd w:val="clear" w:color="auto" w:fill="C0C0C0"/>
            <w:noWrap w:val="0"/>
            <w:vAlign w:val="center"/>
          </w:tcPr>
          <w:p>
            <w:pPr>
              <w:spacing w:line="240" w:lineRule="atLeast"/>
              <w:jc w:val="left"/>
              <w:rPr>
                <w:rFonts w:ascii="宋体" w:hAnsi="宋体"/>
                <w:color w:val="000000"/>
                <w:sz w:val="18"/>
                <w:szCs w:val="18"/>
              </w:rPr>
            </w:pPr>
            <w:r>
              <w:rPr>
                <w:rFonts w:hint="eastAsia" w:ascii="宋体" w:hAnsi="宋体"/>
                <w:color w:val="000000"/>
                <w:sz w:val="18"/>
                <w:szCs w:val="18"/>
              </w:rPr>
              <w:t>报表类别        □</w:t>
            </w:r>
          </w:p>
          <w:p>
            <w:pPr>
              <w:spacing w:line="240" w:lineRule="atLeast"/>
              <w:ind w:firstLine="178" w:firstLineChars="99"/>
              <w:jc w:val="left"/>
              <w:rPr>
                <w:rFonts w:hint="eastAsia" w:ascii="宋体" w:cs="宋体"/>
                <w:color w:val="000000"/>
                <w:sz w:val="18"/>
                <w:szCs w:val="18"/>
                <w:lang w:val="zh-CN"/>
              </w:rPr>
            </w:pPr>
            <w:r>
              <w:rPr>
                <w:rFonts w:ascii="宋体" w:cs="宋体"/>
                <w:color w:val="000000"/>
                <w:sz w:val="18"/>
                <w:szCs w:val="18"/>
                <w:lang w:val="zh-CN"/>
              </w:rPr>
              <w:t xml:space="preserve">A </w:t>
            </w:r>
            <w:r>
              <w:rPr>
                <w:rFonts w:hint="eastAsia" w:ascii="宋体" w:cs="宋体"/>
                <w:color w:val="000000"/>
                <w:sz w:val="18"/>
                <w:szCs w:val="18"/>
                <w:lang w:val="zh-CN"/>
              </w:rPr>
              <w:t>农业</w:t>
            </w:r>
            <w:r>
              <w:rPr>
                <w:rFonts w:ascii="宋体" w:cs="宋体"/>
                <w:color w:val="000000"/>
                <w:sz w:val="18"/>
                <w:szCs w:val="18"/>
                <w:lang w:val="zh-CN"/>
              </w:rPr>
              <w:t xml:space="preserve">     </w:t>
            </w:r>
            <w:r>
              <w:rPr>
                <w:rFonts w:hint="eastAsia" w:ascii="宋体" w:cs="宋体"/>
                <w:color w:val="000000"/>
                <w:sz w:val="18"/>
                <w:szCs w:val="18"/>
                <w:lang w:val="zh-CN"/>
              </w:rPr>
              <w:t xml:space="preserve">  </w:t>
            </w:r>
            <w:r>
              <w:rPr>
                <w:rFonts w:ascii="宋体" w:cs="宋体"/>
                <w:color w:val="000000"/>
                <w:sz w:val="18"/>
                <w:szCs w:val="18"/>
                <w:lang w:val="zh-CN"/>
              </w:rPr>
              <w:t xml:space="preserve">B </w:t>
            </w:r>
            <w:r>
              <w:rPr>
                <w:rFonts w:hint="eastAsia" w:ascii="宋体" w:cs="宋体"/>
                <w:color w:val="000000"/>
                <w:sz w:val="18"/>
                <w:szCs w:val="18"/>
                <w:lang w:val="zh-CN"/>
              </w:rPr>
              <w:t>规模以上工业</w:t>
            </w:r>
            <w:r>
              <w:rPr>
                <w:rFonts w:ascii="宋体" w:cs="宋体"/>
                <w:color w:val="000000"/>
                <w:sz w:val="18"/>
                <w:szCs w:val="18"/>
                <w:lang w:val="zh-CN"/>
              </w:rPr>
              <w:t xml:space="preserve">     </w:t>
            </w:r>
            <w:r>
              <w:rPr>
                <w:rFonts w:hint="eastAsia" w:ascii="宋体" w:cs="宋体"/>
                <w:color w:val="000000"/>
                <w:sz w:val="18"/>
                <w:szCs w:val="18"/>
                <w:lang w:val="zh-CN"/>
              </w:rPr>
              <w:t xml:space="preserve">  </w:t>
            </w:r>
            <w:r>
              <w:rPr>
                <w:rFonts w:ascii="宋体" w:cs="宋体"/>
                <w:color w:val="000000"/>
                <w:sz w:val="18"/>
                <w:szCs w:val="18"/>
                <w:lang w:val="zh-CN"/>
              </w:rPr>
              <w:t xml:space="preserve"> </w:t>
            </w:r>
            <w:r>
              <w:rPr>
                <w:rFonts w:hint="eastAsia" w:ascii="宋体" w:cs="宋体"/>
                <w:color w:val="000000"/>
                <w:sz w:val="18"/>
                <w:szCs w:val="18"/>
                <w:lang w:val="zh-CN"/>
              </w:rPr>
              <w:t xml:space="preserve">B1 规模以下工业       </w:t>
            </w:r>
            <w:r>
              <w:rPr>
                <w:rFonts w:ascii="宋体" w:cs="宋体"/>
                <w:color w:val="000000"/>
                <w:sz w:val="18"/>
                <w:szCs w:val="18"/>
                <w:lang w:val="zh-CN"/>
              </w:rPr>
              <w:t xml:space="preserve">C </w:t>
            </w:r>
            <w:r>
              <w:rPr>
                <w:rFonts w:hint="eastAsia" w:ascii="宋体" w:cs="宋体"/>
                <w:color w:val="000000"/>
                <w:sz w:val="18"/>
                <w:szCs w:val="18"/>
                <w:lang w:val="zh-CN"/>
              </w:rPr>
              <w:t>建筑业</w:t>
            </w:r>
            <w:r>
              <w:rPr>
                <w:rFonts w:ascii="宋体" w:cs="宋体"/>
                <w:color w:val="000000"/>
                <w:sz w:val="18"/>
                <w:szCs w:val="18"/>
                <w:lang w:val="zh-CN"/>
              </w:rPr>
              <w:t xml:space="preserve">    </w:t>
            </w:r>
            <w:r>
              <w:rPr>
                <w:rFonts w:hint="eastAsia" w:ascii="宋体" w:cs="宋体"/>
                <w:color w:val="000000"/>
                <w:sz w:val="18"/>
                <w:szCs w:val="18"/>
                <w:lang w:val="zh-CN"/>
              </w:rPr>
              <w:t xml:space="preserve"> </w:t>
            </w:r>
            <w:r>
              <w:rPr>
                <w:rFonts w:ascii="宋体" w:cs="宋体"/>
                <w:color w:val="000000"/>
                <w:sz w:val="18"/>
                <w:szCs w:val="18"/>
                <w:lang w:val="zh-CN"/>
              </w:rPr>
              <w:t xml:space="preserve"> E </w:t>
            </w:r>
            <w:r>
              <w:rPr>
                <w:rFonts w:hint="eastAsia" w:ascii="宋体" w:cs="宋体"/>
                <w:color w:val="000000"/>
                <w:sz w:val="18"/>
                <w:szCs w:val="18"/>
                <w:lang w:val="zh-CN"/>
              </w:rPr>
              <w:t>批发和零售业</w:t>
            </w:r>
            <w:r>
              <w:rPr>
                <w:rFonts w:ascii="宋体" w:cs="宋体"/>
                <w:color w:val="000000"/>
                <w:sz w:val="18"/>
                <w:szCs w:val="18"/>
                <w:lang w:val="zh-CN"/>
              </w:rPr>
              <w:t xml:space="preserve"> </w:t>
            </w:r>
          </w:p>
          <w:p>
            <w:pPr>
              <w:spacing w:line="240" w:lineRule="atLeast"/>
              <w:ind w:firstLine="178" w:firstLineChars="99"/>
              <w:jc w:val="left"/>
              <w:rPr>
                <w:rFonts w:ascii="宋体" w:hAnsi="宋体"/>
                <w:color w:val="000000"/>
                <w:sz w:val="18"/>
                <w:szCs w:val="18"/>
              </w:rPr>
            </w:pPr>
            <w:r>
              <w:rPr>
                <w:rFonts w:ascii="宋体" w:cs="宋体"/>
                <w:color w:val="000000"/>
                <w:sz w:val="18"/>
                <w:szCs w:val="18"/>
                <w:lang w:val="zh-CN"/>
              </w:rPr>
              <w:t xml:space="preserve">S </w:t>
            </w:r>
            <w:r>
              <w:rPr>
                <w:rFonts w:hint="eastAsia" w:ascii="宋体" w:cs="宋体"/>
                <w:color w:val="000000"/>
                <w:sz w:val="18"/>
                <w:szCs w:val="18"/>
                <w:lang w:val="zh-CN"/>
              </w:rPr>
              <w:t xml:space="preserve">住宿和餐饮业 </w:t>
            </w:r>
            <w:r>
              <w:rPr>
                <w:rFonts w:hint="eastAsia" w:ascii="宋体" w:hAnsi="宋体"/>
                <w:color w:val="000000"/>
                <w:sz w:val="18"/>
                <w:szCs w:val="18"/>
              </w:rPr>
              <w:t xml:space="preserve">X </w:t>
            </w:r>
            <w:r>
              <w:rPr>
                <w:rFonts w:hint="eastAsia" w:ascii="宋体" w:cs="宋体"/>
                <w:color w:val="000000"/>
                <w:sz w:val="18"/>
                <w:szCs w:val="18"/>
                <w:lang w:val="zh-CN"/>
              </w:rPr>
              <w:t>房地产开发经营业</w:t>
            </w:r>
            <w:r>
              <w:rPr>
                <w:rFonts w:hint="eastAsia" w:ascii="宋体" w:hAnsi="宋体"/>
                <w:color w:val="000000"/>
                <w:sz w:val="18"/>
                <w:szCs w:val="18"/>
              </w:rPr>
              <w:t xml:space="preserve">  F </w:t>
            </w:r>
            <w:r>
              <w:rPr>
                <w:rFonts w:hint="eastAsia" w:ascii="宋体" w:cs="宋体"/>
                <w:color w:val="000000"/>
                <w:sz w:val="18"/>
                <w:szCs w:val="18"/>
                <w:lang w:val="zh-CN"/>
              </w:rPr>
              <w:t>规模以上服务业      H 投资        U 其他</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462" w:hRule="atLeast"/>
          <w:jc w:val="center"/>
        </w:trPr>
        <w:tc>
          <w:tcPr>
            <w:tcW w:w="543" w:type="dxa"/>
            <w:tcBorders>
              <w:top w:val="single" w:color="auto" w:sz="2" w:space="0"/>
              <w:bottom w:val="single" w:color="auto" w:sz="2" w:space="0"/>
            </w:tcBorders>
            <w:shd w:val="clear" w:color="auto" w:fill="C0C0C0"/>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204</w:t>
            </w:r>
          </w:p>
        </w:tc>
        <w:tc>
          <w:tcPr>
            <w:tcW w:w="9030" w:type="dxa"/>
            <w:gridSpan w:val="14"/>
            <w:shd w:val="clear" w:color="auto" w:fill="C0C0C0"/>
            <w:noWrap w:val="0"/>
            <w:vAlign w:val="center"/>
          </w:tcPr>
          <w:p>
            <w:pPr>
              <w:spacing w:line="240" w:lineRule="exact"/>
              <w:rPr>
                <w:rFonts w:ascii="宋体" w:hAnsi="宋体"/>
                <w:color w:val="000000"/>
              </w:rPr>
            </w:pPr>
            <w:r>
              <w:rPr>
                <w:rFonts w:hint="eastAsia" w:ascii="宋体" w:hAnsi="宋体" w:cs="Nimbus Roman No9 L"/>
                <w:color w:val="000000"/>
                <w:sz w:val="18"/>
                <w:szCs w:val="18"/>
              </w:rPr>
              <w:t>登记注册统计类别</w:t>
            </w:r>
            <w:r>
              <w:rPr>
                <w:rFonts w:ascii="宋体" w:hAnsi="宋体" w:cs="Nimbus Roman No9 L"/>
                <w:color w:val="000000"/>
                <w:sz w:val="18"/>
                <w:szCs w:val="18"/>
              </w:rPr>
              <w:t xml:space="preserve">  □□□  </w:t>
            </w:r>
          </w:p>
          <w:p>
            <w:pPr>
              <w:tabs>
                <w:tab w:val="left" w:pos="630"/>
              </w:tabs>
              <w:spacing w:line="240" w:lineRule="exact"/>
              <w:rPr>
                <w:rFonts w:ascii="宋体" w:hAnsi="宋体" w:cs="Nimbus Roman No9 L"/>
                <w:color w:val="000000"/>
                <w:sz w:val="18"/>
                <w:szCs w:val="18"/>
              </w:rPr>
            </w:pPr>
            <w:r>
              <w:rPr>
                <w:rFonts w:ascii="宋体" w:hAnsi="宋体" w:cs="Nimbus Roman No9 L"/>
                <w:b/>
                <w:bCs/>
                <w:color w:val="000000"/>
                <w:sz w:val="18"/>
                <w:szCs w:val="18"/>
              </w:rPr>
              <w:t>内资企业</w:t>
            </w:r>
          </w:p>
          <w:p>
            <w:pPr>
              <w:tabs>
                <w:tab w:val="left" w:pos="630"/>
              </w:tabs>
              <w:spacing w:line="240" w:lineRule="exact"/>
              <w:ind w:firstLine="180" w:firstLineChars="100"/>
              <w:rPr>
                <w:rFonts w:ascii="宋体" w:hAnsi="宋体" w:cs="Nimbus Roman No9 L"/>
                <w:color w:val="000000"/>
                <w:sz w:val="18"/>
                <w:szCs w:val="18"/>
                <w:lang w:val="en"/>
              </w:rPr>
            </w:pPr>
            <w:r>
              <w:rPr>
                <w:rFonts w:ascii="宋体" w:hAnsi="宋体" w:cs="Nimbus Roman No9 L"/>
                <w:color w:val="000000"/>
                <w:sz w:val="18"/>
                <w:szCs w:val="18"/>
                <w:lang w:val="en"/>
              </w:rPr>
              <w:t xml:space="preserve">111 国有独资公司 </w:t>
            </w:r>
            <w:r>
              <w:rPr>
                <w:rFonts w:hint="eastAsia" w:ascii="宋体" w:hAnsi="宋体" w:cs="Nimbus Roman No9 L"/>
                <w:color w:val="000000"/>
                <w:sz w:val="18"/>
                <w:szCs w:val="18"/>
              </w:rPr>
              <w:t xml:space="preserve">    </w:t>
            </w:r>
            <w:r>
              <w:rPr>
                <w:rFonts w:ascii="宋体" w:hAnsi="宋体" w:cs="Nimbus Roman No9 L"/>
                <w:color w:val="000000"/>
                <w:sz w:val="18"/>
                <w:szCs w:val="18"/>
                <w:lang w:val="en"/>
              </w:rPr>
              <w:t xml:space="preserve">112 私营有限责任公司 </w:t>
            </w:r>
            <w:r>
              <w:rPr>
                <w:rFonts w:hint="eastAsia" w:ascii="宋体" w:hAnsi="宋体" w:cs="Nimbus Roman No9 L"/>
                <w:color w:val="000000"/>
                <w:sz w:val="18"/>
                <w:szCs w:val="18"/>
              </w:rPr>
              <w:t xml:space="preserve">    </w:t>
            </w:r>
            <w:r>
              <w:rPr>
                <w:rFonts w:ascii="宋体" w:hAnsi="宋体" w:cs="Nimbus Roman No9 L"/>
                <w:color w:val="000000"/>
                <w:sz w:val="18"/>
                <w:szCs w:val="18"/>
                <w:lang w:val="en"/>
              </w:rPr>
              <w:t>119 其他有限责任公司</w:t>
            </w:r>
          </w:p>
          <w:p>
            <w:pPr>
              <w:tabs>
                <w:tab w:val="left" w:pos="630"/>
              </w:tabs>
              <w:spacing w:line="240" w:lineRule="exact"/>
              <w:ind w:firstLine="180" w:firstLineChars="100"/>
              <w:rPr>
                <w:rFonts w:ascii="宋体" w:hAnsi="宋体" w:cs="Nimbus Roman No9 L"/>
                <w:color w:val="000000"/>
                <w:sz w:val="18"/>
                <w:szCs w:val="18"/>
              </w:rPr>
            </w:pPr>
            <w:r>
              <w:rPr>
                <w:rFonts w:ascii="宋体" w:hAnsi="宋体" w:cs="Nimbus Roman No9 L"/>
                <w:color w:val="000000"/>
                <w:sz w:val="18"/>
                <w:szCs w:val="18"/>
              </w:rPr>
              <w:t>121 私营股份有限公司 129 其他股份有限公司</w:t>
            </w:r>
          </w:p>
          <w:p>
            <w:pPr>
              <w:tabs>
                <w:tab w:val="left" w:pos="630"/>
              </w:tabs>
              <w:spacing w:line="240" w:lineRule="exact"/>
              <w:ind w:firstLine="180" w:firstLineChars="100"/>
              <w:rPr>
                <w:rFonts w:hint="eastAsia" w:ascii="宋体" w:hAnsi="宋体" w:cs="Nimbus Roman No9 L"/>
                <w:color w:val="000000"/>
                <w:sz w:val="18"/>
                <w:szCs w:val="18"/>
              </w:rPr>
            </w:pPr>
            <w:r>
              <w:rPr>
                <w:rFonts w:ascii="宋体" w:hAnsi="宋体" w:cs="Nimbus Roman No9 L"/>
                <w:color w:val="000000"/>
                <w:sz w:val="18"/>
                <w:szCs w:val="18"/>
              </w:rPr>
              <w:t>131 全民所有制企业（国有企业）</w:t>
            </w:r>
            <w:r>
              <w:rPr>
                <w:rFonts w:hint="eastAsia" w:ascii="宋体" w:hAnsi="宋体" w:cs="Nimbus Roman No9 L"/>
                <w:color w:val="000000"/>
                <w:sz w:val="18"/>
                <w:szCs w:val="18"/>
              </w:rPr>
              <w:t xml:space="preserve">     132 集体所有制企业（集体企业） 133 股份合作企业 134 联营企业</w:t>
            </w:r>
          </w:p>
          <w:p>
            <w:pPr>
              <w:tabs>
                <w:tab w:val="left" w:pos="630"/>
              </w:tabs>
              <w:spacing w:line="240" w:lineRule="exact"/>
              <w:ind w:firstLine="180" w:firstLineChars="100"/>
              <w:rPr>
                <w:rFonts w:ascii="宋体" w:hAnsi="宋体" w:cs="Nimbus Roman No9 L"/>
                <w:color w:val="000000"/>
                <w:sz w:val="18"/>
                <w:szCs w:val="18"/>
                <w:lang w:val="en"/>
              </w:rPr>
            </w:pPr>
            <w:r>
              <w:rPr>
                <w:rFonts w:ascii="宋体" w:hAnsi="宋体" w:cs="Nimbus Roman No9 L"/>
                <w:color w:val="000000"/>
                <w:sz w:val="18"/>
                <w:szCs w:val="18"/>
              </w:rPr>
              <w:t>140</w:t>
            </w:r>
            <w:r>
              <w:rPr>
                <w:rFonts w:ascii="宋体" w:hAnsi="宋体" w:cs="Nimbus Roman No9 L"/>
                <w:color w:val="000000"/>
                <w:sz w:val="18"/>
                <w:szCs w:val="18"/>
                <w:lang w:val="en"/>
              </w:rPr>
              <w:t xml:space="preserve"> </w:t>
            </w:r>
            <w:r>
              <w:rPr>
                <w:rFonts w:ascii="宋体" w:hAnsi="宋体" w:cs="Nimbus Roman No9 L"/>
                <w:color w:val="000000"/>
                <w:sz w:val="18"/>
                <w:szCs w:val="18"/>
              </w:rPr>
              <w:t>个人独资企业</w:t>
            </w:r>
            <w:r>
              <w:rPr>
                <w:rFonts w:hint="eastAsia" w:ascii="宋体" w:hAnsi="宋体" w:cs="Nimbus Roman No9 L"/>
                <w:color w:val="000000"/>
                <w:sz w:val="18"/>
                <w:szCs w:val="18"/>
              </w:rPr>
              <w:t xml:space="preserve">    </w:t>
            </w:r>
            <w:r>
              <w:rPr>
                <w:rFonts w:ascii="宋体" w:hAnsi="宋体" w:cs="Nimbus Roman No9 L"/>
                <w:color w:val="000000"/>
                <w:sz w:val="18"/>
                <w:szCs w:val="18"/>
                <w:lang w:val="en"/>
              </w:rPr>
              <w:t xml:space="preserve"> </w:t>
            </w:r>
            <w:r>
              <w:rPr>
                <w:rFonts w:ascii="宋体" w:hAnsi="宋体" w:cs="Nimbus Roman No9 L"/>
                <w:color w:val="000000"/>
                <w:sz w:val="18"/>
                <w:szCs w:val="18"/>
              </w:rPr>
              <w:t>150</w:t>
            </w:r>
            <w:r>
              <w:rPr>
                <w:rFonts w:ascii="宋体" w:hAnsi="宋体" w:cs="Nimbus Roman No9 L"/>
                <w:color w:val="000000"/>
                <w:sz w:val="18"/>
                <w:szCs w:val="18"/>
                <w:lang w:val="en"/>
              </w:rPr>
              <w:t xml:space="preserve"> </w:t>
            </w:r>
            <w:r>
              <w:rPr>
                <w:rFonts w:ascii="宋体" w:hAnsi="宋体" w:cs="Nimbus Roman No9 L"/>
                <w:color w:val="000000"/>
                <w:sz w:val="18"/>
                <w:szCs w:val="18"/>
              </w:rPr>
              <w:t>合伙企业</w:t>
            </w:r>
            <w:r>
              <w:rPr>
                <w:rFonts w:ascii="宋体" w:hAnsi="宋体" w:cs="Nimbus Roman No9 L"/>
                <w:color w:val="000000"/>
                <w:sz w:val="18"/>
                <w:szCs w:val="18"/>
                <w:lang w:val="en"/>
              </w:rPr>
              <w:t xml:space="preserve"> </w:t>
            </w:r>
            <w:r>
              <w:rPr>
                <w:rFonts w:hint="eastAsia" w:ascii="宋体" w:hAnsi="宋体" w:cs="Nimbus Roman No9 L"/>
                <w:color w:val="000000"/>
                <w:sz w:val="18"/>
                <w:szCs w:val="18"/>
              </w:rPr>
              <w:t xml:space="preserve"> </w:t>
            </w:r>
            <w:r>
              <w:rPr>
                <w:rFonts w:ascii="宋体" w:hAnsi="宋体" w:cs="Nimbus Roman No9 L"/>
                <w:color w:val="000000"/>
                <w:sz w:val="18"/>
                <w:szCs w:val="18"/>
              </w:rPr>
              <w:t>190</w:t>
            </w:r>
            <w:r>
              <w:rPr>
                <w:rFonts w:ascii="宋体" w:hAnsi="宋体" w:cs="Nimbus Roman No9 L"/>
                <w:color w:val="000000"/>
                <w:sz w:val="18"/>
                <w:szCs w:val="18"/>
                <w:lang w:val="en"/>
              </w:rPr>
              <w:t xml:space="preserve"> </w:t>
            </w:r>
            <w:r>
              <w:rPr>
                <w:rFonts w:ascii="宋体" w:hAnsi="宋体" w:cs="Nimbus Roman No9 L"/>
                <w:color w:val="000000"/>
                <w:sz w:val="18"/>
                <w:szCs w:val="18"/>
              </w:rPr>
              <w:t>其他内资企业</w:t>
            </w:r>
          </w:p>
          <w:p>
            <w:pPr>
              <w:tabs>
                <w:tab w:val="left" w:pos="630"/>
              </w:tabs>
              <w:spacing w:line="240" w:lineRule="exact"/>
              <w:rPr>
                <w:rFonts w:ascii="宋体" w:hAnsi="宋体" w:cs="Nimbus Roman No9 L"/>
                <w:color w:val="000000"/>
                <w:sz w:val="18"/>
                <w:szCs w:val="18"/>
                <w:lang w:val="en"/>
              </w:rPr>
            </w:pPr>
            <w:r>
              <w:rPr>
                <w:rFonts w:ascii="宋体" w:hAnsi="宋体" w:cs="Nimbus Roman No9 L"/>
                <w:b/>
                <w:bCs/>
                <w:color w:val="000000"/>
                <w:sz w:val="18"/>
                <w:szCs w:val="18"/>
              </w:rPr>
              <w:t>港澳台投资企业</w:t>
            </w:r>
          </w:p>
          <w:p>
            <w:pPr>
              <w:tabs>
                <w:tab w:val="left" w:pos="630"/>
              </w:tabs>
              <w:spacing w:line="240" w:lineRule="exact"/>
              <w:ind w:firstLine="180" w:firstLineChars="100"/>
              <w:rPr>
                <w:rFonts w:ascii="宋体" w:hAnsi="宋体" w:cs="Nimbus Roman No9 L"/>
                <w:color w:val="000000"/>
                <w:sz w:val="18"/>
                <w:szCs w:val="18"/>
              </w:rPr>
            </w:pPr>
            <w:r>
              <w:rPr>
                <w:rFonts w:ascii="宋体" w:hAnsi="宋体" w:cs="Nimbus Roman No9 L"/>
                <w:color w:val="000000"/>
                <w:sz w:val="18"/>
                <w:szCs w:val="18"/>
              </w:rPr>
              <w:t>210</w:t>
            </w:r>
            <w:r>
              <w:rPr>
                <w:rFonts w:ascii="宋体" w:hAnsi="宋体" w:cs="Nimbus Roman No9 L"/>
                <w:color w:val="000000"/>
                <w:sz w:val="18"/>
                <w:szCs w:val="18"/>
                <w:lang w:val="en"/>
              </w:rPr>
              <w:t xml:space="preserve"> </w:t>
            </w:r>
            <w:r>
              <w:rPr>
                <w:rFonts w:ascii="宋体" w:hAnsi="宋体" w:cs="Nimbus Roman No9 L"/>
                <w:color w:val="000000"/>
                <w:sz w:val="18"/>
                <w:szCs w:val="18"/>
              </w:rPr>
              <w:t>港澳台投资有限责任公司</w:t>
            </w:r>
            <w:r>
              <w:rPr>
                <w:rFonts w:hint="eastAsia" w:ascii="宋体" w:hAnsi="宋体" w:cs="Nimbus Roman No9 L"/>
                <w:color w:val="000000"/>
                <w:sz w:val="18"/>
                <w:szCs w:val="18"/>
              </w:rPr>
              <w:t xml:space="preserve"> </w:t>
            </w:r>
            <w:r>
              <w:rPr>
                <w:rFonts w:ascii="宋体" w:hAnsi="宋体" w:cs="Nimbus Roman No9 L"/>
                <w:color w:val="000000"/>
                <w:sz w:val="18"/>
                <w:szCs w:val="18"/>
              </w:rPr>
              <w:t>220</w:t>
            </w:r>
            <w:r>
              <w:rPr>
                <w:rFonts w:ascii="宋体" w:hAnsi="宋体" w:cs="Nimbus Roman No9 L"/>
                <w:color w:val="000000"/>
                <w:sz w:val="18"/>
                <w:szCs w:val="18"/>
                <w:lang w:val="en"/>
              </w:rPr>
              <w:t xml:space="preserve"> </w:t>
            </w:r>
            <w:r>
              <w:rPr>
                <w:rFonts w:ascii="宋体" w:hAnsi="宋体" w:cs="Nimbus Roman No9 L"/>
                <w:color w:val="000000"/>
                <w:sz w:val="18"/>
                <w:szCs w:val="18"/>
              </w:rPr>
              <w:t>港澳台投资股份有限公司</w:t>
            </w:r>
            <w:r>
              <w:rPr>
                <w:rFonts w:hint="eastAsia" w:ascii="宋体" w:hAnsi="宋体" w:cs="Nimbus Roman No9 L"/>
                <w:color w:val="000000"/>
                <w:sz w:val="18"/>
                <w:szCs w:val="18"/>
              </w:rPr>
              <w:t xml:space="preserve"> </w:t>
            </w:r>
            <w:r>
              <w:rPr>
                <w:rFonts w:ascii="宋体" w:hAnsi="宋体" w:cs="Nimbus Roman No9 L"/>
                <w:color w:val="000000"/>
                <w:sz w:val="18"/>
                <w:szCs w:val="18"/>
              </w:rPr>
              <w:t>230</w:t>
            </w:r>
            <w:r>
              <w:rPr>
                <w:rFonts w:ascii="宋体" w:hAnsi="宋体" w:cs="Nimbus Roman No9 L"/>
                <w:color w:val="000000"/>
                <w:sz w:val="18"/>
                <w:szCs w:val="18"/>
                <w:lang w:val="en"/>
              </w:rPr>
              <w:t xml:space="preserve"> </w:t>
            </w:r>
            <w:r>
              <w:rPr>
                <w:rFonts w:ascii="宋体" w:hAnsi="宋体" w:cs="Nimbus Roman No9 L"/>
                <w:color w:val="000000"/>
                <w:sz w:val="18"/>
                <w:szCs w:val="18"/>
              </w:rPr>
              <w:t>港澳台投资合伙企业</w:t>
            </w:r>
            <w:r>
              <w:rPr>
                <w:rFonts w:hint="eastAsia" w:ascii="宋体" w:hAnsi="宋体" w:cs="Nimbus Roman No9 L"/>
                <w:color w:val="000000"/>
                <w:sz w:val="18"/>
                <w:szCs w:val="18"/>
              </w:rPr>
              <w:t xml:space="preserve"> </w:t>
            </w:r>
            <w:r>
              <w:rPr>
                <w:rFonts w:ascii="宋体" w:hAnsi="宋体" w:cs="Nimbus Roman No9 L"/>
                <w:color w:val="000000"/>
                <w:sz w:val="18"/>
                <w:szCs w:val="18"/>
              </w:rPr>
              <w:t>290</w:t>
            </w:r>
            <w:r>
              <w:rPr>
                <w:rFonts w:ascii="宋体" w:hAnsi="宋体" w:cs="Nimbus Roman No9 L"/>
                <w:color w:val="000000"/>
                <w:sz w:val="18"/>
                <w:szCs w:val="18"/>
                <w:lang w:val="en"/>
              </w:rPr>
              <w:t xml:space="preserve"> </w:t>
            </w:r>
            <w:r>
              <w:rPr>
                <w:rFonts w:ascii="宋体" w:hAnsi="宋体" w:cs="Nimbus Roman No9 L"/>
                <w:color w:val="000000"/>
                <w:sz w:val="18"/>
                <w:szCs w:val="18"/>
              </w:rPr>
              <w:t>其他港澳台投资企业</w:t>
            </w:r>
          </w:p>
          <w:p>
            <w:pPr>
              <w:tabs>
                <w:tab w:val="left" w:pos="630"/>
              </w:tabs>
              <w:spacing w:line="240" w:lineRule="exact"/>
              <w:rPr>
                <w:rFonts w:ascii="宋体" w:hAnsi="宋体" w:cs="Nimbus Roman No9 L"/>
                <w:color w:val="000000"/>
                <w:sz w:val="18"/>
                <w:szCs w:val="18"/>
              </w:rPr>
            </w:pPr>
            <w:r>
              <w:rPr>
                <w:rFonts w:ascii="宋体" w:hAnsi="宋体" w:cs="Nimbus Roman No9 L"/>
                <w:b/>
                <w:bCs/>
                <w:color w:val="000000"/>
                <w:sz w:val="18"/>
                <w:szCs w:val="18"/>
              </w:rPr>
              <w:t>外商投资企业</w:t>
            </w:r>
          </w:p>
          <w:p>
            <w:pPr>
              <w:tabs>
                <w:tab w:val="left" w:pos="630"/>
              </w:tabs>
              <w:spacing w:line="240" w:lineRule="exact"/>
              <w:ind w:firstLine="180" w:firstLineChars="100"/>
              <w:rPr>
                <w:rFonts w:ascii="宋体" w:hAnsi="宋体" w:cs="Nimbus Roman No9 L"/>
                <w:color w:val="000000"/>
                <w:sz w:val="18"/>
                <w:szCs w:val="18"/>
              </w:rPr>
            </w:pPr>
            <w:r>
              <w:rPr>
                <w:rFonts w:ascii="宋体" w:hAnsi="宋体" w:cs="Nimbus Roman No9 L"/>
                <w:color w:val="000000"/>
                <w:sz w:val="18"/>
                <w:szCs w:val="18"/>
              </w:rPr>
              <w:t>310</w:t>
            </w:r>
            <w:r>
              <w:rPr>
                <w:rFonts w:ascii="宋体" w:hAnsi="宋体" w:cs="Nimbus Roman No9 L"/>
                <w:color w:val="000000"/>
                <w:sz w:val="18"/>
                <w:szCs w:val="18"/>
                <w:lang w:val="en"/>
              </w:rPr>
              <w:t xml:space="preserve"> </w:t>
            </w:r>
            <w:r>
              <w:rPr>
                <w:rFonts w:ascii="宋体" w:hAnsi="宋体" w:cs="Nimbus Roman No9 L"/>
                <w:color w:val="000000"/>
                <w:sz w:val="18"/>
                <w:szCs w:val="18"/>
              </w:rPr>
              <w:t>外商投资有限责任公司</w:t>
            </w:r>
            <w:r>
              <w:rPr>
                <w:rFonts w:ascii="宋体" w:hAnsi="宋体" w:cs="Nimbus Roman No9 L"/>
                <w:color w:val="000000"/>
                <w:sz w:val="18"/>
                <w:szCs w:val="18"/>
                <w:lang w:val="en"/>
              </w:rPr>
              <w:t xml:space="preserve"> </w:t>
            </w:r>
            <w:r>
              <w:rPr>
                <w:rFonts w:hint="eastAsia" w:ascii="宋体" w:hAnsi="宋体" w:cs="Nimbus Roman No9 L"/>
                <w:color w:val="000000"/>
                <w:sz w:val="18"/>
                <w:szCs w:val="18"/>
              </w:rPr>
              <w:t xml:space="preserve">  </w:t>
            </w:r>
            <w:r>
              <w:rPr>
                <w:rFonts w:ascii="宋体" w:hAnsi="宋体" w:cs="Nimbus Roman No9 L"/>
                <w:color w:val="000000"/>
                <w:sz w:val="18"/>
                <w:szCs w:val="18"/>
              </w:rPr>
              <w:t>320</w:t>
            </w:r>
            <w:r>
              <w:rPr>
                <w:rFonts w:ascii="宋体" w:hAnsi="宋体" w:cs="Nimbus Roman No9 L"/>
                <w:color w:val="000000"/>
                <w:sz w:val="18"/>
                <w:szCs w:val="18"/>
                <w:lang w:val="en"/>
              </w:rPr>
              <w:t xml:space="preserve"> </w:t>
            </w:r>
            <w:r>
              <w:rPr>
                <w:rFonts w:ascii="宋体" w:hAnsi="宋体" w:cs="Nimbus Roman No9 L"/>
                <w:color w:val="000000"/>
                <w:sz w:val="18"/>
                <w:szCs w:val="18"/>
              </w:rPr>
              <w:t>外商投资股份有限公司</w:t>
            </w:r>
            <w:r>
              <w:rPr>
                <w:rFonts w:hint="eastAsia" w:ascii="宋体" w:hAnsi="宋体" w:cs="Nimbus Roman No9 L"/>
                <w:color w:val="000000"/>
                <w:sz w:val="18"/>
                <w:szCs w:val="18"/>
              </w:rPr>
              <w:t xml:space="preserve">   </w:t>
            </w:r>
            <w:r>
              <w:rPr>
                <w:rFonts w:ascii="宋体" w:hAnsi="宋体" w:cs="Nimbus Roman No9 L"/>
                <w:color w:val="000000"/>
                <w:sz w:val="18"/>
                <w:szCs w:val="18"/>
              </w:rPr>
              <w:t>330</w:t>
            </w:r>
            <w:r>
              <w:rPr>
                <w:rFonts w:ascii="宋体" w:hAnsi="宋体" w:cs="Nimbus Roman No9 L"/>
                <w:color w:val="000000"/>
                <w:sz w:val="18"/>
                <w:szCs w:val="18"/>
                <w:lang w:val="en"/>
              </w:rPr>
              <w:t xml:space="preserve"> </w:t>
            </w:r>
            <w:r>
              <w:rPr>
                <w:rFonts w:ascii="宋体" w:hAnsi="宋体" w:cs="Nimbus Roman No9 L"/>
                <w:color w:val="000000"/>
                <w:sz w:val="18"/>
                <w:szCs w:val="18"/>
              </w:rPr>
              <w:t>外商投资合伙企业</w:t>
            </w:r>
            <w:r>
              <w:rPr>
                <w:rFonts w:ascii="宋体" w:hAnsi="宋体" w:cs="Nimbus Roman No9 L"/>
                <w:color w:val="000000"/>
                <w:sz w:val="18"/>
                <w:szCs w:val="18"/>
                <w:lang w:val="en"/>
              </w:rPr>
              <w:t xml:space="preserve"> </w:t>
            </w:r>
            <w:r>
              <w:rPr>
                <w:rFonts w:hint="eastAsia" w:ascii="宋体" w:hAnsi="宋体" w:cs="Nimbus Roman No9 L"/>
                <w:color w:val="000000"/>
                <w:sz w:val="18"/>
                <w:szCs w:val="18"/>
              </w:rPr>
              <w:t xml:space="preserve">  </w:t>
            </w:r>
            <w:r>
              <w:rPr>
                <w:rFonts w:ascii="宋体" w:hAnsi="宋体" w:cs="Nimbus Roman No9 L"/>
                <w:color w:val="000000"/>
                <w:sz w:val="18"/>
                <w:szCs w:val="18"/>
              </w:rPr>
              <w:t>390</w:t>
            </w:r>
            <w:r>
              <w:rPr>
                <w:rFonts w:ascii="宋体" w:hAnsi="宋体" w:cs="Nimbus Roman No9 L"/>
                <w:color w:val="000000"/>
                <w:sz w:val="18"/>
                <w:szCs w:val="18"/>
                <w:lang w:val="en"/>
              </w:rPr>
              <w:t xml:space="preserve"> </w:t>
            </w:r>
            <w:r>
              <w:rPr>
                <w:rFonts w:ascii="宋体" w:hAnsi="宋体" w:cs="Nimbus Roman No9 L"/>
                <w:color w:val="000000"/>
                <w:sz w:val="18"/>
                <w:szCs w:val="18"/>
              </w:rPr>
              <w:t>其他外商投资企业</w:t>
            </w:r>
          </w:p>
          <w:p>
            <w:pPr>
              <w:spacing w:line="240" w:lineRule="exact"/>
              <w:rPr>
                <w:rFonts w:hint="eastAsia" w:ascii="宋体" w:hAnsi="宋体" w:cs="宋体"/>
                <w:color w:val="000000"/>
                <w:sz w:val="18"/>
                <w:szCs w:val="18"/>
              </w:rPr>
            </w:pPr>
            <w:r>
              <w:rPr>
                <w:rFonts w:ascii="宋体" w:hAnsi="宋体" w:cs="Nimbus Roman No9 L"/>
                <w:color w:val="000000"/>
                <w:sz w:val="18"/>
                <w:szCs w:val="18"/>
              </w:rPr>
              <w:t>400</w:t>
            </w:r>
            <w:r>
              <w:rPr>
                <w:rFonts w:ascii="宋体" w:hAnsi="宋体" w:cs="Nimbus Roman No9 L"/>
                <w:color w:val="000000"/>
                <w:sz w:val="18"/>
                <w:szCs w:val="18"/>
                <w:lang w:val="en"/>
              </w:rPr>
              <w:t xml:space="preserve"> </w:t>
            </w:r>
            <w:r>
              <w:rPr>
                <w:rFonts w:ascii="宋体" w:hAnsi="宋体" w:cs="Nimbus Roman No9 L"/>
                <w:b/>
                <w:bCs/>
                <w:color w:val="000000"/>
                <w:sz w:val="18"/>
                <w:szCs w:val="18"/>
              </w:rPr>
              <w:t>农民专业合作社（联合社）</w:t>
            </w:r>
            <w:r>
              <w:rPr>
                <w:rFonts w:hint="eastAsia" w:ascii="宋体" w:hAnsi="宋体" w:cs="Nimbus Roman No9 L"/>
                <w:color w:val="000000"/>
                <w:sz w:val="18"/>
                <w:szCs w:val="18"/>
              </w:rPr>
              <w:t xml:space="preserve"> </w:t>
            </w:r>
            <w:r>
              <w:rPr>
                <w:rFonts w:ascii="宋体" w:hAnsi="宋体" w:cs="Nimbus Roman No9 L"/>
                <w:color w:val="000000"/>
                <w:sz w:val="18"/>
                <w:szCs w:val="18"/>
              </w:rPr>
              <w:t>500</w:t>
            </w:r>
            <w:r>
              <w:rPr>
                <w:rFonts w:ascii="宋体" w:hAnsi="宋体" w:cs="Nimbus Roman No9 L"/>
                <w:color w:val="000000"/>
                <w:sz w:val="18"/>
                <w:szCs w:val="18"/>
                <w:lang w:val="en"/>
              </w:rPr>
              <w:t xml:space="preserve"> </w:t>
            </w:r>
            <w:r>
              <w:rPr>
                <w:rFonts w:ascii="宋体" w:hAnsi="宋体" w:cs="Nimbus Roman No9 L"/>
                <w:b/>
                <w:bCs/>
                <w:color w:val="000000"/>
                <w:sz w:val="18"/>
                <w:szCs w:val="18"/>
              </w:rPr>
              <w:t>个体工商户</w:t>
            </w:r>
            <w:r>
              <w:rPr>
                <w:rFonts w:hint="eastAsia" w:ascii="宋体" w:hAnsi="宋体" w:cs="Nimbus Roman No9 L"/>
                <w:b/>
                <w:bCs/>
                <w:color w:val="000000"/>
                <w:sz w:val="18"/>
                <w:szCs w:val="18"/>
              </w:rPr>
              <w:t xml:space="preserve">             </w:t>
            </w:r>
            <w:r>
              <w:rPr>
                <w:rFonts w:ascii="宋体" w:hAnsi="宋体" w:cs="Nimbus Roman No9 L"/>
                <w:color w:val="000000"/>
                <w:sz w:val="18"/>
                <w:szCs w:val="18"/>
              </w:rPr>
              <w:t>900</w:t>
            </w:r>
            <w:r>
              <w:rPr>
                <w:rFonts w:ascii="宋体" w:hAnsi="宋体" w:cs="Nimbus Roman No9 L"/>
                <w:color w:val="000000"/>
                <w:sz w:val="18"/>
                <w:szCs w:val="18"/>
                <w:lang w:val="en"/>
              </w:rPr>
              <w:t xml:space="preserve"> </w:t>
            </w:r>
            <w:r>
              <w:rPr>
                <w:rFonts w:ascii="宋体" w:hAnsi="宋体" w:cs="Nimbus Roman No9 L"/>
                <w:b/>
                <w:bCs/>
                <w:color w:val="000000"/>
                <w:sz w:val="18"/>
                <w:szCs w:val="18"/>
              </w:rPr>
              <w:t>其他市场主体</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827"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03</w:t>
            </w:r>
          </w:p>
        </w:tc>
        <w:tc>
          <w:tcPr>
            <w:tcW w:w="1011" w:type="dxa"/>
            <w:noWrap w:val="0"/>
            <w:vAlign w:val="center"/>
          </w:tcPr>
          <w:p>
            <w:pPr>
              <w:pStyle w:val="13"/>
              <w:pBdr>
                <w:bottom w:val="none" w:color="auto" w:sz="0" w:space="0"/>
              </w:pBdr>
              <w:tabs>
                <w:tab w:val="clear" w:pos="4153"/>
                <w:tab w:val="clear" w:pos="8306"/>
              </w:tabs>
              <w:adjustRightInd w:val="0"/>
              <w:spacing w:line="240" w:lineRule="atLeast"/>
              <w:rPr>
                <w:rFonts w:hint="eastAsia" w:ascii="宋体" w:hAnsi="宋体"/>
                <w:color w:val="000000"/>
              </w:rPr>
            </w:pPr>
            <w:r>
              <w:rPr>
                <w:rFonts w:hint="eastAsia" w:ascii="宋体" w:hAnsi="宋体"/>
                <w:color w:val="000000"/>
              </w:rPr>
              <w:t>项目建设所在地及区划</w:t>
            </w:r>
          </w:p>
        </w:tc>
        <w:tc>
          <w:tcPr>
            <w:tcW w:w="8019" w:type="dxa"/>
            <w:gridSpan w:val="13"/>
            <w:noWrap w:val="0"/>
            <w:vAlign w:val="center"/>
          </w:tcPr>
          <w:p>
            <w:pPr>
              <w:adjustRightInd w:val="0"/>
              <w:snapToGrid w:val="0"/>
              <w:spacing w:line="240" w:lineRule="atLeast"/>
              <w:ind w:left="1530" w:leftChars="86" w:hanging="1350" w:hangingChars="750"/>
              <w:rPr>
                <w:rFonts w:ascii="宋体" w:hAnsi="宋体"/>
                <w:color w:val="000000"/>
                <w:sz w:val="18"/>
                <w:szCs w:val="18"/>
              </w:rPr>
            </w:pPr>
            <w:r>
              <w:rPr>
                <w:rFonts w:ascii="宋体" w:hAnsi="宋体" w:cs="宋体"/>
                <w:color w:val="000000"/>
                <w:sz w:val="18"/>
                <w:szCs w:val="18"/>
                <w:u w:val="single"/>
              </w:rPr>
              <w:t xml:space="preserve"> </w:t>
            </w:r>
            <w:r>
              <w:rPr>
                <w:rFonts w:hint="eastAsia" w:ascii="宋体" w:hAnsi="宋体" w:cs="宋体"/>
                <w:color w:val="000000"/>
                <w:sz w:val="18"/>
                <w:szCs w:val="18"/>
                <w:u w:val="single"/>
              </w:rPr>
              <w:t xml:space="preserve"> </w:t>
            </w:r>
            <w:r>
              <w:rPr>
                <w:rFonts w:ascii="宋体" w:hAnsi="宋体" w:cs="宋体"/>
                <w:color w:val="000000"/>
                <w:sz w:val="18"/>
                <w:szCs w:val="18"/>
                <w:u w:val="single"/>
              </w:rPr>
              <w:t xml:space="preserve">            </w:t>
            </w:r>
            <w:r>
              <w:rPr>
                <w:rFonts w:hint="eastAsia" w:ascii="宋体" w:hAnsi="宋体" w:cs="宋体"/>
                <w:color w:val="000000"/>
                <w:sz w:val="18"/>
                <w:szCs w:val="18"/>
              </w:rPr>
              <w:t>省</w:t>
            </w:r>
            <w:r>
              <w:rPr>
                <w:rFonts w:ascii="宋体" w:hAnsi="宋体" w:cs="宋体"/>
                <w:color w:val="000000"/>
                <w:sz w:val="18"/>
                <w:szCs w:val="18"/>
              </w:rPr>
              <w:t>(</w:t>
            </w:r>
            <w:r>
              <w:rPr>
                <w:rFonts w:hint="eastAsia" w:ascii="宋体" w:hAnsi="宋体" w:cs="宋体"/>
                <w:color w:val="000000"/>
                <w:sz w:val="18"/>
                <w:szCs w:val="18"/>
              </w:rPr>
              <w:t>自治区、直辖市</w:t>
            </w:r>
            <w:r>
              <w:rPr>
                <w:rFonts w:ascii="宋体" w:hAnsi="宋体" w:cs="宋体"/>
                <w:color w:val="000000"/>
                <w:sz w:val="18"/>
                <w:szCs w:val="18"/>
              </w:rPr>
              <w:t>)</w:t>
            </w:r>
            <w:r>
              <w:rPr>
                <w:rFonts w:ascii="宋体" w:hAnsi="宋体" w:cs="宋体"/>
                <w:color w:val="000000"/>
                <w:sz w:val="18"/>
                <w:szCs w:val="18"/>
                <w:u w:val="single"/>
              </w:rPr>
              <w:t xml:space="preserve">          </w:t>
            </w:r>
            <w:r>
              <w:rPr>
                <w:rFonts w:ascii="Nimbus Roman No9 L" w:hAnsi="Nimbus Roman No9 L" w:cs="Nimbus Roman No9 L"/>
                <w:color w:val="000000"/>
                <w:sz w:val="18"/>
                <w:szCs w:val="18"/>
              </w:rPr>
              <w:t>地(</w:t>
            </w:r>
            <w:r>
              <w:rPr>
                <w:rFonts w:hint="eastAsia" w:ascii="Nimbus Roman No9 L" w:hAnsi="Nimbus Roman No9 L" w:cs="Nimbus Roman No9 L"/>
                <w:color w:val="000000"/>
                <w:sz w:val="18"/>
                <w:szCs w:val="18"/>
              </w:rPr>
              <w:t>市</w:t>
            </w:r>
            <w:r>
              <w:rPr>
                <w:rFonts w:ascii="Nimbus Roman No9 L" w:hAnsi="Nimbus Roman No9 L" w:cs="Nimbus Roman No9 L"/>
                <w:color w:val="000000"/>
                <w:sz w:val="18"/>
                <w:szCs w:val="18"/>
              </w:rPr>
              <w:t>、州、盟)</w:t>
            </w:r>
            <w:r>
              <w:rPr>
                <w:rFonts w:ascii="宋体" w:hAnsi="宋体" w:cs="宋体"/>
                <w:color w:val="000000"/>
                <w:sz w:val="18"/>
                <w:szCs w:val="18"/>
                <w:u w:val="single"/>
              </w:rPr>
              <w:t xml:space="preserve">        </w:t>
            </w:r>
            <w:r>
              <w:rPr>
                <w:rFonts w:hint="eastAsia" w:ascii="宋体" w:hAnsi="宋体" w:cs="宋体"/>
                <w:color w:val="000000"/>
                <w:sz w:val="18"/>
                <w:szCs w:val="18"/>
              </w:rPr>
              <w:t>县(市、区、旗)</w:t>
            </w:r>
          </w:p>
          <w:p>
            <w:pPr>
              <w:adjustRightInd w:val="0"/>
              <w:snapToGrid w:val="0"/>
              <w:spacing w:line="240" w:lineRule="atLeast"/>
              <w:ind w:firstLine="180" w:firstLineChars="100"/>
              <w:rPr>
                <w:rFonts w:hint="eastAsia" w:ascii="宋体" w:hAnsi="宋体" w:cs="宋体"/>
                <w:color w:val="000000"/>
                <w:sz w:val="18"/>
                <w:szCs w:val="18"/>
              </w:rPr>
            </w:pPr>
            <w:r>
              <w:rPr>
                <w:rFonts w:ascii="宋体" w:hAnsi="宋体" w:cs="宋体"/>
                <w:color w:val="000000"/>
                <w:sz w:val="18"/>
                <w:szCs w:val="18"/>
                <w:u w:val="single"/>
              </w:rPr>
              <w:t xml:space="preserve">              </w:t>
            </w:r>
            <w:r>
              <w:rPr>
                <w:rFonts w:ascii="Nimbus Roman No9 L" w:hAnsi="Nimbus Roman No9 L" w:cs="Nimbus Roman No9 L"/>
                <w:color w:val="000000"/>
                <w:sz w:val="18"/>
                <w:szCs w:val="18"/>
              </w:rPr>
              <w:t>乡(镇、街道)</w:t>
            </w:r>
            <w:r>
              <w:rPr>
                <w:rFonts w:ascii="Nimbus Roman No9 L" w:hAnsi="Nimbus Roman No9 L" w:cs="Nimbus Roman No9 L"/>
                <w:color w:val="000000"/>
                <w:sz w:val="18"/>
                <w:szCs w:val="18"/>
                <w:u w:val="single"/>
              </w:rPr>
              <w:t xml:space="preserve">             </w:t>
            </w:r>
            <w:r>
              <w:rPr>
                <w:rFonts w:ascii="Nimbus Roman No9 L" w:hAnsi="Nimbus Roman No9 L" w:cs="Nimbus Roman No9 L"/>
                <w:color w:val="000000"/>
                <w:sz w:val="18"/>
                <w:szCs w:val="18"/>
              </w:rPr>
              <w:t>村（居）委会</w:t>
            </w:r>
            <w:r>
              <w:rPr>
                <w:rFonts w:ascii="宋体" w:hAnsi="宋体" w:cs="宋体"/>
                <w:color w:val="000000"/>
                <w:sz w:val="18"/>
                <w:szCs w:val="18"/>
                <w:u w:val="single"/>
              </w:rPr>
              <w:t xml:space="preserve">                      </w:t>
            </w:r>
            <w:r>
              <w:rPr>
                <w:rFonts w:hint="eastAsia" w:ascii="宋体" w:hAnsi="宋体" w:cs="宋体"/>
                <w:color w:val="000000"/>
                <w:sz w:val="18"/>
                <w:szCs w:val="18"/>
              </w:rPr>
              <w:t>街</w:t>
            </w:r>
            <w:r>
              <w:rPr>
                <w:rFonts w:ascii="宋体" w:hAnsi="宋体" w:cs="宋体"/>
                <w:color w:val="000000"/>
                <w:sz w:val="18"/>
                <w:szCs w:val="18"/>
              </w:rPr>
              <w:t>(</w:t>
            </w:r>
            <w:r>
              <w:rPr>
                <w:rFonts w:hint="eastAsia" w:ascii="宋体" w:hAnsi="宋体" w:cs="宋体"/>
                <w:color w:val="000000"/>
                <w:sz w:val="18"/>
                <w:szCs w:val="18"/>
              </w:rPr>
              <w:t>路</w:t>
            </w:r>
            <w:r>
              <w:rPr>
                <w:rFonts w:ascii="宋体" w:hAnsi="宋体" w:cs="宋体"/>
                <w:color w:val="000000"/>
                <w:sz w:val="18"/>
                <w:szCs w:val="18"/>
              </w:rPr>
              <w:t>)</w:t>
            </w:r>
            <w:r>
              <w:rPr>
                <w:rFonts w:hint="eastAsia" w:ascii="宋体" w:hAnsi="宋体" w:cs="宋体"/>
                <w:color w:val="000000"/>
                <w:sz w:val="18"/>
                <w:szCs w:val="18"/>
              </w:rPr>
              <w:t>、门牌号</w:t>
            </w:r>
          </w:p>
          <w:p>
            <w:pPr>
              <w:adjustRightInd w:val="0"/>
              <w:snapToGrid w:val="0"/>
              <w:spacing w:line="240" w:lineRule="atLeast"/>
              <w:ind w:firstLine="180" w:firstLineChars="100"/>
              <w:rPr>
                <w:rFonts w:hint="eastAsia" w:ascii="宋体" w:hAnsi="宋体"/>
                <w:color w:val="000000"/>
                <w:sz w:val="18"/>
                <w:szCs w:val="18"/>
              </w:rPr>
            </w:pPr>
            <w:r>
              <w:rPr>
                <w:rFonts w:hint="eastAsia" w:ascii="宋体" w:hAnsi="宋体" w:cs="宋体"/>
                <w:color w:val="000000"/>
                <w:sz w:val="18"/>
                <w:szCs w:val="18"/>
              </w:rPr>
              <w:t>区划代码</w:t>
            </w:r>
            <w:r>
              <w:rPr>
                <w:rFonts w:ascii="宋体" w:hAnsi="宋体" w:cs="宋体"/>
                <w:color w:val="000000"/>
                <w:sz w:val="18"/>
                <w:szCs w:val="18"/>
              </w:rPr>
              <w:t xml:space="preserve">    </w:t>
            </w:r>
            <w:r>
              <w:rPr>
                <w:rFonts w:hint="eastAsia" w:ascii="宋体" w:hAnsi="宋体" w:cs="宋体"/>
                <w:color w:val="00000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338" w:hRule="atLeast"/>
          <w:jc w:val="center"/>
        </w:trPr>
        <w:tc>
          <w:tcPr>
            <w:tcW w:w="543" w:type="dxa"/>
            <w:vMerge w:val="restart"/>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04</w:t>
            </w: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联系电话</w:t>
            </w:r>
          </w:p>
        </w:tc>
        <w:tc>
          <w:tcPr>
            <w:tcW w:w="2795" w:type="dxa"/>
            <w:gridSpan w:val="5"/>
            <w:noWrap w:val="0"/>
            <w:vAlign w:val="center"/>
          </w:tcPr>
          <w:p>
            <w:pPr>
              <w:adjustRightInd w:val="0"/>
              <w:snapToGrid w:val="0"/>
              <w:spacing w:line="240" w:lineRule="atLeast"/>
              <w:ind w:firstLine="80" w:firstLineChars="50"/>
              <w:rPr>
                <w:rFonts w:hint="eastAsia" w:ascii="宋体" w:hAnsi="宋体"/>
                <w:color w:val="000000"/>
                <w:spacing w:val="-10"/>
                <w:sz w:val="18"/>
                <w:szCs w:val="18"/>
              </w:rPr>
            </w:pPr>
            <w:r>
              <w:rPr>
                <w:rFonts w:hint="eastAsia" w:ascii="宋体" w:hAnsi="宋体"/>
                <w:color w:val="000000"/>
                <w:spacing w:val="-10"/>
                <w:sz w:val="18"/>
                <w:szCs w:val="18"/>
              </w:rPr>
              <w:t>□□□□□□□□—□□□□□</w:t>
            </w:r>
          </w:p>
        </w:tc>
        <w:tc>
          <w:tcPr>
            <w:tcW w:w="431" w:type="dxa"/>
            <w:gridSpan w:val="2"/>
            <w:vMerge w:val="restart"/>
            <w:noWrap w:val="0"/>
            <w:vAlign w:val="center"/>
          </w:tcPr>
          <w:p>
            <w:pPr>
              <w:adjustRightInd w:val="0"/>
              <w:snapToGrid w:val="0"/>
              <w:spacing w:line="240" w:lineRule="atLeast"/>
              <w:jc w:val="center"/>
              <w:rPr>
                <w:rFonts w:hint="eastAsia" w:ascii="宋体" w:hAnsi="宋体"/>
                <w:b/>
                <w:color w:val="000000"/>
                <w:sz w:val="18"/>
                <w:szCs w:val="18"/>
              </w:rPr>
            </w:pPr>
            <w:r>
              <w:rPr>
                <w:rFonts w:hint="eastAsia" w:ascii="宋体" w:hAnsi="宋体"/>
                <w:b/>
                <w:color w:val="000000"/>
                <w:sz w:val="18"/>
                <w:szCs w:val="18"/>
              </w:rPr>
              <w:t>05</w:t>
            </w:r>
          </w:p>
        </w:tc>
        <w:tc>
          <w:tcPr>
            <w:tcW w:w="1846" w:type="dxa"/>
            <w:vMerge w:val="restart"/>
            <w:noWrap w:val="0"/>
            <w:vAlign w:val="center"/>
          </w:tcPr>
          <w:p>
            <w:pPr>
              <w:pStyle w:val="13"/>
              <w:pBdr>
                <w:bottom w:val="none" w:color="auto" w:sz="0" w:space="0"/>
              </w:pBdr>
              <w:tabs>
                <w:tab w:val="clear" w:pos="4153"/>
                <w:tab w:val="clear" w:pos="8306"/>
              </w:tabs>
              <w:adjustRightInd w:val="0"/>
              <w:spacing w:line="240" w:lineRule="atLeast"/>
              <w:rPr>
                <w:rFonts w:hint="eastAsia" w:ascii="宋体" w:hAnsi="宋体"/>
                <w:color w:val="000000"/>
              </w:rPr>
            </w:pPr>
            <w:r>
              <w:rPr>
                <w:rFonts w:hint="eastAsia" w:ascii="宋体" w:hAnsi="宋体"/>
                <w:color w:val="000000"/>
              </w:rPr>
              <w:t>项目行业编码</w:t>
            </w:r>
          </w:p>
        </w:tc>
        <w:tc>
          <w:tcPr>
            <w:tcW w:w="2947" w:type="dxa"/>
            <w:gridSpan w:val="5"/>
            <w:vMerge w:val="restart"/>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pacing w:val="-8"/>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337" w:hRule="atLeast"/>
          <w:jc w:val="center"/>
        </w:trPr>
        <w:tc>
          <w:tcPr>
            <w:tcW w:w="543" w:type="dxa"/>
            <w:vMerge w:val="continue"/>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移动电话</w:t>
            </w:r>
          </w:p>
        </w:tc>
        <w:tc>
          <w:tcPr>
            <w:tcW w:w="2795" w:type="dxa"/>
            <w:gridSpan w:val="5"/>
            <w:noWrap w:val="0"/>
            <w:vAlign w:val="center"/>
          </w:tcPr>
          <w:p>
            <w:pPr>
              <w:adjustRightInd w:val="0"/>
              <w:snapToGrid w:val="0"/>
              <w:spacing w:line="240" w:lineRule="atLeast"/>
              <w:ind w:firstLine="80" w:firstLineChars="50"/>
              <w:rPr>
                <w:rFonts w:ascii="宋体" w:hAnsi="宋体" w:cs="宋体"/>
                <w:color w:val="000000"/>
                <w:sz w:val="18"/>
                <w:szCs w:val="18"/>
              </w:rPr>
            </w:pPr>
            <w:r>
              <w:rPr>
                <w:rFonts w:hint="eastAsia" w:ascii="宋体" w:hAnsi="宋体"/>
                <w:color w:val="000000"/>
                <w:spacing w:val="-10"/>
                <w:sz w:val="18"/>
                <w:szCs w:val="18"/>
              </w:rPr>
              <w:t>□□□□□□□□□□□</w:t>
            </w:r>
          </w:p>
        </w:tc>
        <w:tc>
          <w:tcPr>
            <w:tcW w:w="431" w:type="dxa"/>
            <w:gridSpan w:val="2"/>
            <w:vMerge w:val="continue"/>
            <w:noWrap w:val="0"/>
            <w:vAlign w:val="center"/>
          </w:tcPr>
          <w:p>
            <w:pPr>
              <w:adjustRightInd w:val="0"/>
              <w:snapToGrid w:val="0"/>
              <w:spacing w:line="240" w:lineRule="atLeast"/>
              <w:jc w:val="center"/>
              <w:rPr>
                <w:rFonts w:hint="eastAsia" w:ascii="宋体" w:hAnsi="宋体"/>
                <w:b/>
                <w:color w:val="000000"/>
                <w:sz w:val="18"/>
                <w:szCs w:val="18"/>
              </w:rPr>
            </w:pPr>
          </w:p>
        </w:tc>
        <w:tc>
          <w:tcPr>
            <w:tcW w:w="1846" w:type="dxa"/>
            <w:vMerge w:val="continue"/>
            <w:noWrap w:val="0"/>
            <w:vAlign w:val="center"/>
          </w:tcPr>
          <w:p>
            <w:pPr>
              <w:pStyle w:val="13"/>
              <w:pBdr>
                <w:bottom w:val="none" w:color="auto" w:sz="0" w:space="0"/>
              </w:pBdr>
              <w:tabs>
                <w:tab w:val="clear" w:pos="4153"/>
                <w:tab w:val="clear" w:pos="8306"/>
              </w:tabs>
              <w:adjustRightInd w:val="0"/>
              <w:spacing w:line="240" w:lineRule="atLeast"/>
              <w:rPr>
                <w:rFonts w:hint="eastAsia" w:ascii="宋体" w:hAnsi="宋体"/>
                <w:color w:val="000000"/>
              </w:rPr>
            </w:pPr>
          </w:p>
        </w:tc>
        <w:tc>
          <w:tcPr>
            <w:tcW w:w="2947" w:type="dxa"/>
            <w:gridSpan w:val="5"/>
            <w:vMerge w:val="continue"/>
            <w:noWrap w:val="0"/>
            <w:vAlign w:val="center"/>
          </w:tcPr>
          <w:p>
            <w:pPr>
              <w:adjustRightInd w:val="0"/>
              <w:snapToGrid w:val="0"/>
              <w:spacing w:line="240" w:lineRule="atLeast"/>
              <w:jc w:val="center"/>
              <w:rPr>
                <w:rFonts w:hint="eastAsia" w:ascii="宋体" w:hAnsi="宋体"/>
                <w:color w:val="000000"/>
                <w:spacing w:val="-8"/>
                <w:sz w:val="18"/>
                <w:szCs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06</w:t>
            </w:r>
          </w:p>
        </w:tc>
        <w:tc>
          <w:tcPr>
            <w:tcW w:w="9030" w:type="dxa"/>
            <w:gridSpan w:val="14"/>
            <w:noWrap w:val="0"/>
            <w:vAlign w:val="center"/>
          </w:tcPr>
          <w:p>
            <w:pPr>
              <w:widowControl/>
              <w:spacing w:line="240" w:lineRule="atLeast"/>
              <w:ind w:firstLine="90" w:firstLineChars="50"/>
              <w:jc w:val="left"/>
              <w:rPr>
                <w:rFonts w:hint="eastAsia" w:ascii="宋体" w:hAnsi="宋体"/>
                <w:color w:val="000000"/>
                <w:sz w:val="18"/>
                <w:szCs w:val="18"/>
              </w:rPr>
            </w:pPr>
            <w:r>
              <w:rPr>
                <w:rFonts w:hint="eastAsia" w:ascii="宋体" w:hAnsi="宋体"/>
                <w:color w:val="000000"/>
                <w:sz w:val="18"/>
                <w:szCs w:val="18"/>
              </w:rPr>
              <w:t>控股情况   □    1国有控股   2 集体控股   3 私人控股   4 港澳台商控股   5 外商控股   9 其他</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07</w:t>
            </w:r>
          </w:p>
        </w:tc>
        <w:tc>
          <w:tcPr>
            <w:tcW w:w="9030" w:type="dxa"/>
            <w:gridSpan w:val="14"/>
            <w:noWrap w:val="0"/>
            <w:vAlign w:val="center"/>
          </w:tcPr>
          <w:p>
            <w:pPr>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隶属关系   □□ 10 中央     11 地方    90 其他</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227"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08</w:t>
            </w: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建设性质</w:t>
            </w:r>
          </w:p>
        </w:tc>
        <w:tc>
          <w:tcPr>
            <w:tcW w:w="8019" w:type="dxa"/>
            <w:gridSpan w:val="13"/>
            <w:noWrap w:val="0"/>
            <w:vAlign w:val="center"/>
          </w:tcPr>
          <w:p>
            <w:pPr>
              <w:adjustRightInd w:val="0"/>
              <w:snapToGrid w:val="0"/>
              <w:spacing w:line="240" w:lineRule="atLeast"/>
              <w:ind w:firstLine="82" w:firstLineChars="50"/>
              <w:rPr>
                <w:rFonts w:hint="eastAsia" w:ascii="宋体" w:hAnsi="宋体"/>
                <w:color w:val="000000"/>
                <w:sz w:val="18"/>
                <w:szCs w:val="18"/>
              </w:rPr>
            </w:pPr>
            <w:r>
              <w:rPr>
                <w:rFonts w:hint="eastAsia" w:ascii="宋体" w:hAnsi="宋体"/>
                <w:color w:val="000000"/>
                <w:spacing w:val="-8"/>
                <w:sz w:val="18"/>
                <w:szCs w:val="18"/>
              </w:rPr>
              <w:t xml:space="preserve">□   </w:t>
            </w:r>
            <w:r>
              <w:rPr>
                <w:rFonts w:hint="eastAsia" w:ascii="宋体" w:hAnsi="宋体"/>
                <w:color w:val="000000"/>
                <w:sz w:val="18"/>
                <w:szCs w:val="18"/>
              </w:rPr>
              <w:t>1 新建  2扩建  3改建和技术改造  4单纯建造生活设施  5迁建  6恢复  7单纯购置</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1093"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09</w:t>
            </w: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项目类别</w:t>
            </w:r>
          </w:p>
        </w:tc>
        <w:tc>
          <w:tcPr>
            <w:tcW w:w="2795" w:type="dxa"/>
            <w:gridSpan w:val="5"/>
            <w:noWrap w:val="0"/>
            <w:vAlign w:val="center"/>
          </w:tcPr>
          <w:p>
            <w:p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 xml:space="preserve">   □1  工业企业技术改造项目</w:t>
            </w:r>
          </w:p>
          <w:p>
            <w:p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 xml:space="preserve">   </w:t>
            </w:r>
            <w:r>
              <w:rPr>
                <w:rFonts w:hint="eastAsia" w:ascii="宋体" w:hAnsi="宋体"/>
                <w:color w:val="000000"/>
                <w:sz w:val="18"/>
                <w:szCs w:val="18"/>
                <w:lang w:eastAsia="zh-CN"/>
              </w:rPr>
              <w:t>□</w:t>
            </w:r>
            <w:r>
              <w:rPr>
                <w:rFonts w:hint="eastAsia" w:ascii="宋体" w:hAnsi="宋体"/>
                <w:color w:val="000000"/>
                <w:sz w:val="18"/>
                <w:szCs w:val="18"/>
              </w:rPr>
              <w:t>2  保障性住房项目</w:t>
            </w:r>
          </w:p>
          <w:p>
            <w:p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 xml:space="preserve">   </w:t>
            </w:r>
            <w:r>
              <w:rPr>
                <w:rFonts w:hint="eastAsia" w:ascii="宋体" w:hAnsi="宋体"/>
                <w:color w:val="000000"/>
                <w:sz w:val="18"/>
                <w:szCs w:val="18"/>
                <w:lang w:eastAsia="zh-CN"/>
              </w:rPr>
              <w:t>□</w:t>
            </w:r>
            <w:r>
              <w:rPr>
                <w:rFonts w:hint="eastAsia" w:ascii="宋体" w:hAnsi="宋体"/>
                <w:color w:val="000000"/>
                <w:sz w:val="18"/>
                <w:szCs w:val="18"/>
              </w:rPr>
              <w:t>3  涉农项目</w:t>
            </w:r>
          </w:p>
          <w:p>
            <w:pPr>
              <w:adjustRightInd w:val="0"/>
              <w:snapToGrid w:val="0"/>
              <w:spacing w:line="240" w:lineRule="atLeast"/>
              <w:rPr>
                <w:rFonts w:ascii="宋体" w:hAnsi="宋体"/>
                <w:color w:val="000000"/>
                <w:sz w:val="18"/>
                <w:szCs w:val="18"/>
              </w:rPr>
            </w:pPr>
            <w:r>
              <w:rPr>
                <w:rFonts w:hint="eastAsia" w:ascii="宋体" w:hAnsi="宋体"/>
                <w:color w:val="000000"/>
                <w:sz w:val="18"/>
                <w:szCs w:val="18"/>
              </w:rPr>
              <w:t xml:space="preserve">   </w:t>
            </w:r>
            <w:r>
              <w:rPr>
                <w:rFonts w:hint="eastAsia" w:ascii="宋体" w:hAnsi="宋体"/>
                <w:color w:val="000000"/>
                <w:sz w:val="18"/>
                <w:szCs w:val="18"/>
                <w:lang w:eastAsia="zh-CN"/>
              </w:rPr>
              <w:t>□</w:t>
            </w:r>
            <w:r>
              <w:rPr>
                <w:rFonts w:hint="eastAsia" w:ascii="宋体" w:hAnsi="宋体"/>
                <w:color w:val="000000"/>
                <w:sz w:val="18"/>
                <w:szCs w:val="18"/>
              </w:rPr>
              <w:t>4  老旧小区改造项目</w:t>
            </w:r>
          </w:p>
          <w:p>
            <w:pPr>
              <w:adjustRightInd w:val="0"/>
              <w:snapToGrid w:val="0"/>
              <w:spacing w:line="240" w:lineRule="atLeast"/>
              <w:ind w:firstLine="90" w:firstLineChars="50"/>
              <w:rPr>
                <w:rFonts w:ascii="宋体" w:hAnsi="宋体"/>
                <w:color w:val="000000"/>
                <w:sz w:val="18"/>
                <w:szCs w:val="18"/>
              </w:rPr>
            </w:pPr>
            <w:r>
              <w:rPr>
                <w:rFonts w:hint="eastAsia" w:ascii="宋体" w:hAnsi="宋体"/>
                <w:color w:val="000000"/>
                <w:sz w:val="18"/>
                <w:szCs w:val="18"/>
              </w:rPr>
              <w:t xml:space="preserve"> </w:t>
            </w:r>
            <w:r>
              <w:rPr>
                <w:rFonts w:ascii="宋体" w:hAnsi="宋体"/>
                <w:color w:val="000000"/>
                <w:sz w:val="18"/>
                <w:szCs w:val="18"/>
              </w:rPr>
              <w:t xml:space="preserve"> </w:t>
            </w:r>
            <w:r>
              <w:rPr>
                <w:rFonts w:hint="eastAsia" w:ascii="宋体" w:hAnsi="宋体"/>
                <w:color w:val="000000"/>
                <w:sz w:val="18"/>
                <w:szCs w:val="18"/>
              </w:rPr>
              <w:t>□</w:t>
            </w:r>
            <w:r>
              <w:rPr>
                <w:rFonts w:ascii="宋体" w:hAnsi="宋体"/>
                <w:color w:val="000000"/>
                <w:sz w:val="18"/>
                <w:szCs w:val="18"/>
              </w:rPr>
              <w:t>5  信息类新型基础设施项目</w:t>
            </w:r>
          </w:p>
          <w:p>
            <w:pPr>
              <w:adjustRightInd w:val="0"/>
              <w:snapToGrid w:val="0"/>
              <w:spacing w:line="240" w:lineRule="atLeast"/>
              <w:ind w:firstLine="90" w:firstLineChars="50"/>
              <w:rPr>
                <w:rFonts w:ascii="宋体" w:hAnsi="宋体"/>
                <w:color w:val="000000"/>
                <w:sz w:val="18"/>
                <w:szCs w:val="18"/>
              </w:rPr>
            </w:pPr>
            <w:r>
              <w:rPr>
                <w:rFonts w:hint="eastAsia" w:ascii="宋体" w:hAnsi="宋体"/>
                <w:color w:val="000000"/>
                <w:sz w:val="18"/>
                <w:szCs w:val="18"/>
              </w:rPr>
              <w:t xml:space="preserve"> </w:t>
            </w:r>
            <w:r>
              <w:rPr>
                <w:rFonts w:ascii="宋体" w:hAnsi="宋体"/>
                <w:color w:val="000000"/>
                <w:sz w:val="18"/>
                <w:szCs w:val="18"/>
              </w:rPr>
              <w:t xml:space="preserve"> </w:t>
            </w:r>
            <w:r>
              <w:rPr>
                <w:rFonts w:hint="eastAsia" w:ascii="宋体" w:hAnsi="宋体"/>
                <w:color w:val="000000"/>
                <w:sz w:val="18"/>
                <w:szCs w:val="18"/>
              </w:rPr>
              <w:t>□</w:t>
            </w:r>
            <w:r>
              <w:rPr>
                <w:rFonts w:ascii="宋体" w:hAnsi="宋体"/>
                <w:color w:val="000000"/>
                <w:sz w:val="18"/>
                <w:szCs w:val="18"/>
              </w:rPr>
              <w:t>6  融合类新型基础设施项目</w:t>
            </w:r>
          </w:p>
          <w:p>
            <w:pPr>
              <w:adjustRightInd w:val="0"/>
              <w:snapToGrid w:val="0"/>
              <w:spacing w:line="240" w:lineRule="atLeast"/>
              <w:ind w:firstLine="90" w:firstLineChars="50"/>
              <w:rPr>
                <w:rFonts w:ascii="宋体" w:hAnsi="宋体"/>
                <w:color w:val="000000"/>
                <w:sz w:val="18"/>
                <w:szCs w:val="18"/>
              </w:rPr>
            </w:pPr>
            <w:r>
              <w:rPr>
                <w:rFonts w:hint="eastAsia" w:ascii="宋体" w:hAnsi="宋体"/>
                <w:color w:val="000000"/>
                <w:sz w:val="18"/>
                <w:szCs w:val="18"/>
              </w:rPr>
              <w:t xml:space="preserve"> </w:t>
            </w:r>
            <w:r>
              <w:rPr>
                <w:rFonts w:ascii="宋体" w:hAnsi="宋体"/>
                <w:color w:val="000000"/>
                <w:sz w:val="18"/>
                <w:szCs w:val="18"/>
              </w:rPr>
              <w:t xml:space="preserve"> </w:t>
            </w:r>
            <w:r>
              <w:rPr>
                <w:rFonts w:hint="eastAsia" w:ascii="宋体" w:hAnsi="宋体"/>
                <w:color w:val="000000"/>
                <w:sz w:val="18"/>
                <w:szCs w:val="18"/>
                <w:lang w:eastAsia="zh-CN"/>
              </w:rPr>
              <w:t>□</w:t>
            </w:r>
            <w:r>
              <w:rPr>
                <w:rFonts w:ascii="宋体" w:hAnsi="宋体"/>
                <w:color w:val="000000"/>
                <w:sz w:val="18"/>
                <w:szCs w:val="18"/>
              </w:rPr>
              <w:t>7  创新类新型基础设施项目</w:t>
            </w:r>
          </w:p>
          <w:p>
            <w:pPr>
              <w:adjustRightInd w:val="0"/>
              <w:snapToGrid w:val="0"/>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 xml:space="preserve">  □</w:t>
            </w:r>
            <w:r>
              <w:rPr>
                <w:rFonts w:ascii="宋体" w:hAnsi="宋体"/>
                <w:color w:val="000000"/>
                <w:sz w:val="18"/>
                <w:szCs w:val="18"/>
              </w:rPr>
              <w:t>9  其他项目</w:t>
            </w:r>
          </w:p>
        </w:tc>
        <w:tc>
          <w:tcPr>
            <w:tcW w:w="431" w:type="dxa"/>
            <w:gridSpan w:val="2"/>
            <w:noWrap w:val="0"/>
            <w:vAlign w:val="center"/>
          </w:tcPr>
          <w:p>
            <w:pPr>
              <w:adjustRightInd w:val="0"/>
              <w:snapToGrid w:val="0"/>
              <w:spacing w:line="240" w:lineRule="atLeast"/>
              <w:jc w:val="center"/>
              <w:rPr>
                <w:rFonts w:hint="eastAsia" w:ascii="宋体" w:hAnsi="宋体"/>
                <w:b/>
                <w:color w:val="000000"/>
                <w:sz w:val="18"/>
                <w:szCs w:val="18"/>
              </w:rPr>
            </w:pPr>
            <w:r>
              <w:rPr>
                <w:rFonts w:hint="eastAsia" w:ascii="宋体" w:hAnsi="宋体"/>
                <w:b/>
                <w:color w:val="000000"/>
                <w:sz w:val="18"/>
                <w:szCs w:val="18"/>
              </w:rPr>
              <w:t>10</w:t>
            </w:r>
          </w:p>
        </w:tc>
        <w:tc>
          <w:tcPr>
            <w:tcW w:w="1846"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项目开工时间</w:t>
            </w:r>
          </w:p>
        </w:tc>
        <w:tc>
          <w:tcPr>
            <w:tcW w:w="2947" w:type="dxa"/>
            <w:gridSpan w:val="5"/>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pacing w:val="-8"/>
                <w:sz w:val="18"/>
                <w:szCs w:val="18"/>
              </w:rPr>
              <w:t>□□□□年□□月</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410" w:hRule="atLeast"/>
          <w:jc w:val="center"/>
        </w:trPr>
        <w:tc>
          <w:tcPr>
            <w:tcW w:w="543" w:type="dxa"/>
            <w:tcBorders>
              <w:top w:val="single" w:color="auto" w:sz="2" w:space="0"/>
              <w:bottom w:val="single" w:color="auto" w:sz="8"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11</w:t>
            </w: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本年全部</w:t>
            </w:r>
          </w:p>
          <w:p>
            <w:pPr>
              <w:adjustRightInd w:val="0"/>
              <w:snapToGrid w:val="0"/>
              <w:spacing w:line="240" w:lineRule="atLeast"/>
              <w:jc w:val="center"/>
              <w:rPr>
                <w:rFonts w:ascii="宋体" w:hAnsi="宋体"/>
                <w:color w:val="000000"/>
                <w:sz w:val="18"/>
                <w:szCs w:val="18"/>
              </w:rPr>
            </w:pPr>
            <w:r>
              <w:rPr>
                <w:rFonts w:hint="eastAsia" w:ascii="宋体" w:hAnsi="宋体"/>
                <w:color w:val="000000"/>
                <w:sz w:val="18"/>
                <w:szCs w:val="18"/>
              </w:rPr>
              <w:t>投产时间</w:t>
            </w:r>
          </w:p>
        </w:tc>
        <w:tc>
          <w:tcPr>
            <w:tcW w:w="2795" w:type="dxa"/>
            <w:gridSpan w:val="5"/>
            <w:noWrap w:val="0"/>
            <w:vAlign w:val="center"/>
          </w:tcPr>
          <w:p>
            <w:pPr>
              <w:adjustRightInd w:val="0"/>
              <w:snapToGrid w:val="0"/>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□□□□年□□月</w:t>
            </w:r>
          </w:p>
        </w:tc>
        <w:tc>
          <w:tcPr>
            <w:tcW w:w="431" w:type="dxa"/>
            <w:gridSpan w:val="2"/>
            <w:noWrap w:val="0"/>
            <w:vAlign w:val="center"/>
          </w:tcPr>
          <w:p>
            <w:pPr>
              <w:adjustRightInd w:val="0"/>
              <w:snapToGrid w:val="0"/>
              <w:spacing w:line="240" w:lineRule="atLeast"/>
              <w:jc w:val="center"/>
              <w:rPr>
                <w:rFonts w:hint="eastAsia" w:ascii="宋体" w:hAnsi="宋体"/>
                <w:b/>
                <w:color w:val="000000"/>
                <w:sz w:val="18"/>
                <w:szCs w:val="18"/>
              </w:rPr>
            </w:pPr>
            <w:r>
              <w:rPr>
                <w:rFonts w:hint="eastAsia" w:ascii="宋体" w:hAnsi="宋体"/>
                <w:b/>
                <w:color w:val="000000"/>
                <w:sz w:val="18"/>
                <w:szCs w:val="18"/>
              </w:rPr>
              <w:t>12</w:t>
            </w:r>
          </w:p>
        </w:tc>
        <w:tc>
          <w:tcPr>
            <w:tcW w:w="1846" w:type="dxa"/>
            <w:noWrap w:val="0"/>
            <w:vAlign w:val="center"/>
          </w:tcPr>
          <w:p>
            <w:p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 xml:space="preserve"> 期末项目建设状态</w:t>
            </w:r>
          </w:p>
        </w:tc>
        <w:tc>
          <w:tcPr>
            <w:tcW w:w="2947" w:type="dxa"/>
            <w:gridSpan w:val="5"/>
            <w:noWrap w:val="0"/>
            <w:vAlign w:val="center"/>
          </w:tcPr>
          <w:p>
            <w:pPr>
              <w:adjustRightInd w:val="0"/>
              <w:snapToGrid w:val="0"/>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 1 在建 2全部投产3全部停缓建</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346" w:hRule="atLeast"/>
          <w:jc w:val="center"/>
        </w:trPr>
        <w:tc>
          <w:tcPr>
            <w:tcW w:w="543" w:type="dxa"/>
            <w:tcBorders>
              <w:top w:val="single" w:color="auto" w:sz="8"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13</w:t>
            </w:r>
          </w:p>
        </w:tc>
        <w:tc>
          <w:tcPr>
            <w:tcW w:w="1011" w:type="dxa"/>
            <w:noWrap w:val="0"/>
            <w:vAlign w:val="center"/>
          </w:tcPr>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是否为</w:t>
            </w:r>
          </w:p>
          <w:p>
            <w:pPr>
              <w:adjustRightInd w:val="0"/>
              <w:snapToGrid w:val="0"/>
              <w:spacing w:line="240" w:lineRule="atLeast"/>
              <w:jc w:val="center"/>
              <w:rPr>
                <w:rFonts w:hint="eastAsia" w:ascii="宋体" w:hAnsi="宋体"/>
                <w:color w:val="000000"/>
                <w:sz w:val="18"/>
                <w:szCs w:val="18"/>
              </w:rPr>
            </w:pPr>
            <w:r>
              <w:rPr>
                <w:rFonts w:hint="eastAsia" w:ascii="宋体" w:hAnsi="宋体"/>
                <w:color w:val="000000"/>
                <w:sz w:val="18"/>
                <w:szCs w:val="18"/>
              </w:rPr>
              <w:t>三新项目</w:t>
            </w:r>
          </w:p>
        </w:tc>
        <w:tc>
          <w:tcPr>
            <w:tcW w:w="2795" w:type="dxa"/>
            <w:gridSpan w:val="5"/>
            <w:noWrap w:val="0"/>
            <w:vAlign w:val="center"/>
          </w:tcPr>
          <w:p>
            <w:pPr>
              <w:adjustRightInd w:val="0"/>
              <w:snapToGrid w:val="0"/>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□1 是  2 否</w:t>
            </w:r>
          </w:p>
        </w:tc>
        <w:tc>
          <w:tcPr>
            <w:tcW w:w="431" w:type="dxa"/>
            <w:gridSpan w:val="2"/>
            <w:noWrap w:val="0"/>
            <w:vAlign w:val="center"/>
          </w:tcPr>
          <w:p>
            <w:pPr>
              <w:adjustRightInd w:val="0"/>
              <w:snapToGrid w:val="0"/>
              <w:spacing w:line="240" w:lineRule="atLeast"/>
              <w:jc w:val="center"/>
              <w:rPr>
                <w:rFonts w:hint="eastAsia" w:ascii="宋体" w:hAnsi="宋体"/>
                <w:b/>
                <w:color w:val="000000"/>
                <w:sz w:val="18"/>
                <w:szCs w:val="18"/>
              </w:rPr>
            </w:pPr>
            <w:r>
              <w:rPr>
                <w:rFonts w:hint="eastAsia" w:ascii="宋体" w:hAnsi="宋体"/>
                <w:b/>
                <w:color w:val="000000"/>
                <w:sz w:val="18"/>
                <w:szCs w:val="18"/>
              </w:rPr>
              <w:t>14</w:t>
            </w:r>
          </w:p>
        </w:tc>
        <w:tc>
          <w:tcPr>
            <w:tcW w:w="1846" w:type="dxa"/>
            <w:noWrap w:val="0"/>
            <w:vAlign w:val="center"/>
          </w:tcPr>
          <w:p>
            <w:p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是否为政府专项债项目</w:t>
            </w:r>
          </w:p>
        </w:tc>
        <w:tc>
          <w:tcPr>
            <w:tcW w:w="2947" w:type="dxa"/>
            <w:gridSpan w:val="5"/>
            <w:noWrap w:val="0"/>
            <w:vAlign w:val="center"/>
          </w:tcPr>
          <w:p>
            <w:pPr>
              <w:adjustRightInd w:val="0"/>
              <w:snapToGrid w:val="0"/>
              <w:spacing w:line="240" w:lineRule="atLeast"/>
              <w:ind w:firstLine="90" w:firstLineChars="50"/>
              <w:rPr>
                <w:rFonts w:hint="eastAsia" w:ascii="宋体" w:hAnsi="宋体"/>
                <w:color w:val="000000"/>
                <w:sz w:val="18"/>
                <w:szCs w:val="18"/>
              </w:rPr>
            </w:pPr>
            <w:r>
              <w:rPr>
                <w:rFonts w:hint="eastAsia" w:ascii="宋体" w:hAnsi="宋体"/>
                <w:color w:val="000000"/>
                <w:sz w:val="18"/>
                <w:szCs w:val="18"/>
              </w:rPr>
              <w:t>□ 1 是   2否</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429"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eastAsia" w:ascii="宋体" w:hAnsi="宋体"/>
                <w:b/>
                <w:color w:val="000000"/>
                <w:sz w:val="18"/>
                <w:szCs w:val="18"/>
              </w:rPr>
            </w:pPr>
            <w:r>
              <w:rPr>
                <w:rFonts w:hint="eastAsia" w:ascii="宋体" w:hAnsi="宋体"/>
                <w:b/>
                <w:color w:val="000000"/>
                <w:sz w:val="18"/>
                <w:szCs w:val="18"/>
              </w:rPr>
              <w:t>1</w:t>
            </w:r>
            <w:r>
              <w:rPr>
                <w:rFonts w:ascii="宋体" w:hAnsi="宋体"/>
                <w:b/>
                <w:color w:val="000000"/>
                <w:sz w:val="18"/>
                <w:szCs w:val="18"/>
              </w:rPr>
              <w:t>5</w:t>
            </w:r>
          </w:p>
        </w:tc>
        <w:tc>
          <w:tcPr>
            <w:tcW w:w="2887" w:type="dxa"/>
            <w:gridSpan w:val="4"/>
            <w:noWrap w:val="0"/>
            <w:vAlign w:val="center"/>
          </w:tcPr>
          <w:p>
            <w:pPr>
              <w:adjustRightInd w:val="0"/>
              <w:snapToGrid w:val="0"/>
              <w:spacing w:line="240" w:lineRule="atLeast"/>
              <w:ind w:firstLine="180" w:firstLineChars="100"/>
              <w:rPr>
                <w:rFonts w:hint="eastAsia" w:ascii="宋体" w:hAnsi="宋体"/>
                <w:color w:val="000000"/>
                <w:sz w:val="18"/>
                <w:szCs w:val="18"/>
              </w:rPr>
            </w:pPr>
            <w:r>
              <w:rPr>
                <w:rFonts w:ascii="宋体" w:hAnsi="宋体"/>
                <w:color w:val="000000"/>
                <w:sz w:val="18"/>
                <w:szCs w:val="18"/>
              </w:rPr>
              <w:t>建筑</w:t>
            </w:r>
            <w:r>
              <w:rPr>
                <w:rFonts w:hint="eastAsia" w:ascii="宋体" w:hAnsi="宋体"/>
                <w:color w:val="000000"/>
                <w:sz w:val="18"/>
                <w:szCs w:val="18"/>
              </w:rPr>
              <w:t>安装工程填报依据</w:t>
            </w:r>
          </w:p>
        </w:tc>
        <w:tc>
          <w:tcPr>
            <w:tcW w:w="6143" w:type="dxa"/>
            <w:gridSpan w:val="10"/>
            <w:noWrap w:val="0"/>
            <w:vAlign w:val="center"/>
          </w:tcPr>
          <w:p>
            <w:pPr>
              <w:numPr>
                <w:ilvl w:val="0"/>
                <w:numId w:val="6"/>
              </w:numPr>
              <w:adjustRightInd w:val="0"/>
              <w:snapToGrid w:val="0"/>
              <w:spacing w:line="240" w:lineRule="atLeast"/>
              <w:rPr>
                <w:rFonts w:hint="eastAsia" w:ascii="宋体" w:hAnsi="宋体"/>
                <w:color w:val="000000"/>
                <w:sz w:val="18"/>
                <w:szCs w:val="18"/>
              </w:rPr>
            </w:pPr>
            <w:r>
              <w:rPr>
                <w:rFonts w:hint="eastAsia" w:ascii="宋体" w:hAnsi="宋体"/>
                <w:color w:val="000000"/>
                <w:sz w:val="18"/>
                <w:szCs w:val="18"/>
              </w:rPr>
              <w:t>1 工程结算单或进度单    2 会计科目或支付凭证</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0" w:type="dxa"/>
            <w:bottom w:w="0" w:type="dxa"/>
            <w:right w:w="0" w:type="dxa"/>
          </w:tblCellMar>
        </w:tblPrEx>
        <w:trPr>
          <w:trHeight w:val="429" w:hRule="atLeast"/>
          <w:jc w:val="center"/>
        </w:trPr>
        <w:tc>
          <w:tcPr>
            <w:tcW w:w="543" w:type="dxa"/>
            <w:tcBorders>
              <w:top w:val="single" w:color="auto" w:sz="2" w:space="0"/>
              <w:bottom w:val="single" w:color="auto" w:sz="2" w:space="0"/>
            </w:tcBorders>
            <w:noWrap w:val="0"/>
            <w:vAlign w:val="center"/>
          </w:tcPr>
          <w:p>
            <w:pPr>
              <w:adjustRightInd w:val="0"/>
              <w:snapToGrid w:val="0"/>
              <w:spacing w:line="340" w:lineRule="exact"/>
              <w:jc w:val="center"/>
              <w:rPr>
                <w:rFonts w:hint="default" w:ascii="宋体" w:hAnsi="宋体" w:eastAsia="宋体"/>
                <w:b/>
                <w:color w:val="000000"/>
                <w:sz w:val="18"/>
                <w:szCs w:val="18"/>
                <w:highlight w:val="none"/>
                <w:lang w:val="en-US" w:eastAsia="zh-CN"/>
              </w:rPr>
            </w:pPr>
            <w:r>
              <w:rPr>
                <w:rFonts w:hint="eastAsia" w:ascii="宋体" w:hAnsi="宋体"/>
                <w:b/>
                <w:color w:val="000000"/>
                <w:sz w:val="18"/>
                <w:szCs w:val="18"/>
                <w:highlight w:val="none"/>
                <w:lang w:val="en-US" w:eastAsia="zh-CN"/>
              </w:rPr>
              <w:t>16</w:t>
            </w:r>
          </w:p>
        </w:tc>
        <w:tc>
          <w:tcPr>
            <w:tcW w:w="9030" w:type="dxa"/>
            <w:gridSpan w:val="14"/>
            <w:noWrap w:val="0"/>
            <w:vAlign w:val="center"/>
          </w:tcPr>
          <w:p>
            <w:pPr>
              <w:adjustRightInd w:val="0"/>
              <w:snapToGrid w:val="0"/>
              <w:spacing w:line="240" w:lineRule="atLeast"/>
              <w:ind w:firstLine="180" w:firstLineChars="100"/>
              <w:rPr>
                <w:rFonts w:hint="default" w:ascii="宋体" w:hAnsi="宋体"/>
                <w:color w:val="000000"/>
                <w:sz w:val="18"/>
                <w:szCs w:val="18"/>
                <w:highlight w:val="none"/>
                <w:lang w:val="en-US"/>
              </w:rPr>
            </w:pPr>
            <w:r>
              <w:rPr>
                <w:rFonts w:hint="eastAsia" w:ascii="宋体" w:hAnsi="宋体"/>
                <w:color w:val="000000"/>
                <w:sz w:val="18"/>
                <w:szCs w:val="18"/>
                <w:highlight w:val="none"/>
                <w:lang w:val="en-US" w:eastAsia="zh-CN"/>
              </w:rPr>
              <w:t>民间资本参股比例</w:t>
            </w:r>
            <w:r>
              <w:rPr>
                <w:rFonts w:hint="eastAsia" w:ascii="宋体" w:hAnsi="宋体"/>
                <w:color w:val="000000"/>
                <w:sz w:val="18"/>
                <w:szCs w:val="18"/>
                <w:highlight w:val="none"/>
                <w:u w:val="single"/>
                <w:lang w:val="en-US" w:eastAsia="zh-CN"/>
              </w:rPr>
              <w:t xml:space="preserve">            </w:t>
            </w:r>
            <w:r>
              <w:rPr>
                <w:rFonts w:hint="eastAsia" w:ascii="宋体" w:hAnsi="宋体"/>
                <w:color w:val="000000"/>
                <w:sz w:val="18"/>
                <w:szCs w:val="18"/>
                <w:highlight w:val="none"/>
                <w:lang w:val="en-US" w:eastAsia="zh-CN"/>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gridAfter w:val="1"/>
          <w:wAfter w:w="154" w:type="dxa"/>
          <w:trHeight w:val="397" w:hRule="exact"/>
          <w:jc w:val="center"/>
        </w:trPr>
        <w:tc>
          <w:tcPr>
            <w:tcW w:w="9419" w:type="dxa"/>
            <w:gridSpan w:val="14"/>
            <w:noWrap w:val="0"/>
            <w:vAlign w:val="center"/>
          </w:tcPr>
          <w:p>
            <w:pPr>
              <w:snapToGrid w:val="0"/>
              <w:jc w:val="center"/>
              <w:rPr>
                <w:rFonts w:hint="eastAsia" w:ascii="宋体" w:hAnsi="宋体"/>
                <w:color w:val="000000"/>
                <w:sz w:val="18"/>
              </w:rPr>
            </w:pPr>
            <w:r>
              <w:rPr>
                <w:rFonts w:hint="eastAsia" w:ascii="宋体" w:hAnsi="宋体"/>
                <w:b/>
                <w:color w:val="000000"/>
                <w:sz w:val="18"/>
                <w:szCs w:val="18"/>
              </w:rPr>
              <w:t>二、项目投资情况</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gridAfter w:val="1"/>
          <w:wAfter w:w="154" w:type="dxa"/>
          <w:trHeight w:val="737" w:hRule="exact"/>
          <w:jc w:val="center"/>
        </w:trPr>
        <w:tc>
          <w:tcPr>
            <w:tcW w:w="2524" w:type="dxa"/>
            <w:gridSpan w:val="3"/>
            <w:noWrap w:val="0"/>
            <w:vAlign w:val="center"/>
          </w:tcPr>
          <w:p>
            <w:pPr>
              <w:spacing w:line="240" w:lineRule="exact"/>
              <w:jc w:val="center"/>
              <w:rPr>
                <w:rFonts w:ascii="宋体" w:hAnsi="宋体"/>
                <w:color w:val="000000"/>
                <w:sz w:val="18"/>
              </w:rPr>
            </w:pPr>
            <w:r>
              <w:rPr>
                <w:rFonts w:hint="eastAsia" w:ascii="宋体" w:hAnsi="宋体"/>
                <w:color w:val="000000"/>
                <w:sz w:val="18"/>
              </w:rPr>
              <w:t>指</w:t>
            </w:r>
            <w:r>
              <w:rPr>
                <w:rFonts w:ascii="宋体" w:hAnsi="宋体"/>
                <w:color w:val="000000"/>
                <w:sz w:val="18"/>
              </w:rPr>
              <w:t>标</w:t>
            </w:r>
            <w:r>
              <w:rPr>
                <w:rFonts w:hint="eastAsia" w:ascii="宋体" w:hAnsi="宋体"/>
                <w:color w:val="000000"/>
                <w:sz w:val="18"/>
              </w:rPr>
              <w:t>名</w:t>
            </w:r>
            <w:r>
              <w:rPr>
                <w:rFonts w:ascii="宋体" w:hAnsi="宋体"/>
                <w:color w:val="000000"/>
                <w:sz w:val="18"/>
              </w:rPr>
              <w:t>称</w:t>
            </w:r>
          </w:p>
        </w:tc>
        <w:tc>
          <w:tcPr>
            <w:tcW w:w="720"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计量     单位</w:t>
            </w:r>
          </w:p>
        </w:tc>
        <w:tc>
          <w:tcPr>
            <w:tcW w:w="720" w:type="dxa"/>
            <w:gridSpan w:val="2"/>
            <w:noWrap w:val="0"/>
            <w:tcMar>
              <w:left w:w="0" w:type="dxa"/>
              <w:right w:w="0" w:type="dxa"/>
            </w:tcMar>
            <w:vAlign w:val="center"/>
          </w:tcPr>
          <w:p>
            <w:pPr>
              <w:spacing w:line="240" w:lineRule="exact"/>
              <w:jc w:val="center"/>
              <w:rPr>
                <w:rFonts w:ascii="宋体" w:hAnsi="宋体"/>
                <w:color w:val="000000"/>
                <w:sz w:val="18"/>
              </w:rPr>
            </w:pPr>
            <w:r>
              <w:rPr>
                <w:rFonts w:hint="eastAsia" w:ascii="宋体" w:hAnsi="宋体"/>
                <w:color w:val="000000"/>
                <w:sz w:val="18"/>
              </w:rPr>
              <w:t>代</w:t>
            </w:r>
            <w:r>
              <w:rPr>
                <w:rFonts w:ascii="宋体" w:hAnsi="宋体"/>
                <w:color w:val="000000"/>
                <w:sz w:val="18"/>
              </w:rPr>
              <w:t>码</w:t>
            </w:r>
          </w:p>
        </w:tc>
        <w:tc>
          <w:tcPr>
            <w:tcW w:w="792" w:type="dxa"/>
            <w:gridSpan w:val="2"/>
            <w:tcBorders>
              <w:right w:val="double" w:color="auto" w:sz="4" w:space="0"/>
            </w:tcBorders>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1—本月</w:t>
            </w:r>
          </w:p>
        </w:tc>
        <w:tc>
          <w:tcPr>
            <w:tcW w:w="2628" w:type="dxa"/>
            <w:gridSpan w:val="3"/>
            <w:tcBorders>
              <w:top w:val="single" w:color="auto" w:sz="2" w:space="0"/>
              <w:left w:val="double" w:color="auto" w:sz="4" w:space="0"/>
              <w:bottom w:val="single" w:color="auto" w:sz="2" w:space="0"/>
            </w:tcBorders>
            <w:noWrap w:val="0"/>
            <w:vAlign w:val="center"/>
          </w:tcPr>
          <w:p>
            <w:pPr>
              <w:spacing w:line="240" w:lineRule="exact"/>
              <w:jc w:val="center"/>
              <w:rPr>
                <w:rFonts w:ascii="宋体" w:hAnsi="宋体"/>
                <w:color w:val="000000"/>
                <w:sz w:val="18"/>
              </w:rPr>
            </w:pPr>
            <w:r>
              <w:rPr>
                <w:rFonts w:hint="eastAsia" w:ascii="宋体" w:hAnsi="宋体"/>
                <w:color w:val="000000"/>
                <w:sz w:val="18"/>
              </w:rPr>
              <w:t>指</w:t>
            </w:r>
            <w:r>
              <w:rPr>
                <w:rFonts w:ascii="宋体" w:hAnsi="宋体"/>
                <w:color w:val="000000"/>
                <w:sz w:val="18"/>
              </w:rPr>
              <w:t>标</w:t>
            </w:r>
            <w:r>
              <w:rPr>
                <w:rFonts w:hint="eastAsia" w:ascii="宋体" w:hAnsi="宋体"/>
                <w:color w:val="000000"/>
                <w:sz w:val="18"/>
              </w:rPr>
              <w:t>名</w:t>
            </w:r>
            <w:r>
              <w:rPr>
                <w:rFonts w:ascii="宋体" w:hAnsi="宋体"/>
                <w:color w:val="000000"/>
                <w:sz w:val="18"/>
              </w:rPr>
              <w:t>称</w:t>
            </w:r>
          </w:p>
        </w:tc>
        <w:tc>
          <w:tcPr>
            <w:tcW w:w="792"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计量     单位</w:t>
            </w:r>
          </w:p>
        </w:tc>
        <w:tc>
          <w:tcPr>
            <w:tcW w:w="540"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代码</w:t>
            </w:r>
          </w:p>
        </w:tc>
        <w:tc>
          <w:tcPr>
            <w:tcW w:w="703"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1—本月</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gridAfter w:val="1"/>
          <w:wAfter w:w="154" w:type="dxa"/>
          <w:trHeight w:val="283" w:hRule="exact"/>
          <w:jc w:val="center"/>
        </w:trPr>
        <w:tc>
          <w:tcPr>
            <w:tcW w:w="2524" w:type="dxa"/>
            <w:gridSpan w:val="3"/>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甲</w:t>
            </w:r>
          </w:p>
        </w:tc>
        <w:tc>
          <w:tcPr>
            <w:tcW w:w="720"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乙</w:t>
            </w:r>
          </w:p>
        </w:tc>
        <w:tc>
          <w:tcPr>
            <w:tcW w:w="720" w:type="dxa"/>
            <w:gridSpan w:val="2"/>
            <w:noWrap w:val="0"/>
            <w:tcMar>
              <w:left w:w="0" w:type="dxa"/>
              <w:right w:w="0" w:type="dxa"/>
            </w:tcMar>
            <w:vAlign w:val="center"/>
          </w:tcPr>
          <w:p>
            <w:pPr>
              <w:spacing w:line="240" w:lineRule="exact"/>
              <w:jc w:val="center"/>
              <w:rPr>
                <w:rFonts w:hint="eastAsia" w:ascii="宋体" w:hAnsi="宋体"/>
                <w:color w:val="000000"/>
                <w:sz w:val="18"/>
              </w:rPr>
            </w:pPr>
            <w:r>
              <w:rPr>
                <w:rFonts w:hint="eastAsia" w:ascii="宋体" w:hAnsi="宋体"/>
                <w:color w:val="000000"/>
                <w:sz w:val="18"/>
              </w:rPr>
              <w:t>丙</w:t>
            </w:r>
          </w:p>
        </w:tc>
        <w:tc>
          <w:tcPr>
            <w:tcW w:w="792" w:type="dxa"/>
            <w:gridSpan w:val="2"/>
            <w:tcBorders>
              <w:right w:val="double" w:color="auto" w:sz="4" w:space="0"/>
            </w:tcBorders>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1</w:t>
            </w:r>
          </w:p>
        </w:tc>
        <w:tc>
          <w:tcPr>
            <w:tcW w:w="2628" w:type="dxa"/>
            <w:gridSpan w:val="3"/>
            <w:tcBorders>
              <w:top w:val="single" w:color="auto" w:sz="2" w:space="0"/>
              <w:left w:val="double" w:color="auto" w:sz="4" w:space="0"/>
              <w:bottom w:val="single" w:color="auto" w:sz="2" w:space="0"/>
            </w:tcBorders>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甲</w:t>
            </w:r>
          </w:p>
        </w:tc>
        <w:tc>
          <w:tcPr>
            <w:tcW w:w="792"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乙</w:t>
            </w:r>
          </w:p>
        </w:tc>
        <w:tc>
          <w:tcPr>
            <w:tcW w:w="540"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丙</w:t>
            </w:r>
          </w:p>
        </w:tc>
        <w:tc>
          <w:tcPr>
            <w:tcW w:w="703" w:type="dxa"/>
            <w:noWrap w:val="0"/>
            <w:vAlign w:val="center"/>
          </w:tcPr>
          <w:p>
            <w:pPr>
              <w:spacing w:line="240" w:lineRule="exact"/>
              <w:jc w:val="center"/>
              <w:rPr>
                <w:rFonts w:hint="eastAsia" w:ascii="宋体" w:hAnsi="宋体"/>
                <w:color w:val="000000"/>
                <w:sz w:val="18"/>
              </w:rPr>
            </w:pPr>
            <w:r>
              <w:rPr>
                <w:rFonts w:hint="eastAsia" w:ascii="宋体" w:hAnsi="宋体"/>
                <w:color w:val="000000"/>
                <w:sz w:val="18"/>
              </w:rPr>
              <w:t>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28" w:type="dxa"/>
            <w:bottom w:w="0" w:type="dxa"/>
            <w:right w:w="28" w:type="dxa"/>
          </w:tblCellMar>
        </w:tblPrEx>
        <w:trPr>
          <w:gridAfter w:val="1"/>
          <w:wAfter w:w="154" w:type="dxa"/>
          <w:trHeight w:val="4802" w:hRule="exact"/>
          <w:jc w:val="center"/>
        </w:trPr>
        <w:tc>
          <w:tcPr>
            <w:tcW w:w="2524" w:type="dxa"/>
            <w:gridSpan w:val="3"/>
            <w:noWrap w:val="0"/>
            <w:vAlign w:val="top"/>
          </w:tcPr>
          <w:p>
            <w:pPr>
              <w:spacing w:line="320" w:lineRule="exact"/>
              <w:rPr>
                <w:rFonts w:ascii="宋体" w:hAnsi="宋体"/>
                <w:bCs/>
                <w:color w:val="000000"/>
                <w:sz w:val="18"/>
              </w:rPr>
            </w:pPr>
            <w:r>
              <w:rPr>
                <w:rFonts w:ascii="宋体" w:hAnsi="宋体"/>
                <w:bCs/>
                <w:color w:val="000000"/>
                <w:sz w:val="18"/>
              </w:rPr>
              <w:t>计</w:t>
            </w:r>
            <w:r>
              <w:rPr>
                <w:rFonts w:hint="eastAsia" w:ascii="宋体" w:hAnsi="宋体"/>
                <w:bCs/>
                <w:color w:val="000000"/>
                <w:sz w:val="18"/>
              </w:rPr>
              <w:t>划</w:t>
            </w:r>
            <w:r>
              <w:rPr>
                <w:rFonts w:ascii="宋体" w:hAnsi="宋体"/>
                <w:bCs/>
                <w:color w:val="000000"/>
                <w:sz w:val="18"/>
              </w:rPr>
              <w:t>总投资</w:t>
            </w:r>
          </w:p>
          <w:p>
            <w:pPr>
              <w:spacing w:line="320" w:lineRule="exact"/>
              <w:rPr>
                <w:rFonts w:hint="eastAsia" w:ascii="宋体" w:hAnsi="宋体"/>
                <w:bCs/>
                <w:color w:val="000000"/>
                <w:sz w:val="18"/>
              </w:rPr>
            </w:pPr>
            <w:r>
              <w:rPr>
                <w:rFonts w:hint="eastAsia" w:ascii="宋体" w:hAnsi="宋体"/>
                <w:bCs/>
                <w:color w:val="000000"/>
                <w:sz w:val="18"/>
              </w:rPr>
              <w:t>已签订合同总额</w:t>
            </w:r>
          </w:p>
          <w:p>
            <w:pPr>
              <w:spacing w:line="320" w:lineRule="exact"/>
              <w:rPr>
                <w:rFonts w:hint="eastAsia" w:ascii="宋体" w:hAnsi="宋体"/>
                <w:bCs/>
                <w:color w:val="000000"/>
                <w:sz w:val="18"/>
              </w:rPr>
            </w:pPr>
            <w:r>
              <w:rPr>
                <w:rFonts w:hint="eastAsia" w:ascii="宋体" w:hAnsi="宋体"/>
                <w:bCs/>
                <w:color w:val="000000"/>
                <w:sz w:val="18"/>
              </w:rPr>
              <w:t>自</w:t>
            </w:r>
            <w:r>
              <w:rPr>
                <w:rFonts w:ascii="宋体" w:hAnsi="宋体"/>
                <w:bCs/>
                <w:color w:val="000000"/>
                <w:sz w:val="18"/>
              </w:rPr>
              <w:t>开始</w:t>
            </w:r>
            <w:r>
              <w:rPr>
                <w:rFonts w:hint="eastAsia" w:ascii="宋体" w:hAnsi="宋体"/>
                <w:bCs/>
                <w:color w:val="000000"/>
                <w:sz w:val="18"/>
              </w:rPr>
              <w:t>建</w:t>
            </w:r>
            <w:r>
              <w:rPr>
                <w:rFonts w:ascii="宋体" w:hAnsi="宋体"/>
                <w:bCs/>
                <w:color w:val="000000"/>
                <w:sz w:val="18"/>
              </w:rPr>
              <w:t>设</w:t>
            </w:r>
            <w:r>
              <w:rPr>
                <w:rFonts w:hint="eastAsia" w:ascii="宋体" w:hAnsi="宋体"/>
                <w:bCs/>
                <w:color w:val="000000"/>
                <w:sz w:val="18"/>
              </w:rPr>
              <w:t>累</w:t>
            </w:r>
            <w:r>
              <w:rPr>
                <w:rFonts w:ascii="宋体" w:hAnsi="宋体"/>
                <w:bCs/>
                <w:color w:val="000000"/>
                <w:sz w:val="18"/>
              </w:rPr>
              <w:t>计</w:t>
            </w:r>
            <w:r>
              <w:rPr>
                <w:rFonts w:hint="eastAsia" w:ascii="宋体" w:hAnsi="宋体"/>
                <w:bCs/>
                <w:color w:val="000000"/>
                <w:sz w:val="18"/>
              </w:rPr>
              <w:t>完成投</w:t>
            </w:r>
            <w:r>
              <w:rPr>
                <w:rFonts w:ascii="宋体" w:hAnsi="宋体"/>
                <w:bCs/>
                <w:color w:val="000000"/>
                <w:sz w:val="18"/>
              </w:rPr>
              <w:t>资</w:t>
            </w:r>
          </w:p>
          <w:p>
            <w:pPr>
              <w:spacing w:line="320" w:lineRule="exact"/>
              <w:rPr>
                <w:rFonts w:ascii="宋体" w:hAnsi="宋体"/>
                <w:bCs/>
                <w:color w:val="000000"/>
                <w:sz w:val="18"/>
              </w:rPr>
            </w:pPr>
            <w:r>
              <w:rPr>
                <w:rFonts w:hint="eastAsia" w:ascii="宋体" w:hAnsi="宋体"/>
                <w:bCs/>
                <w:color w:val="000000"/>
                <w:sz w:val="18"/>
              </w:rPr>
              <w:t>本年完成投</w:t>
            </w:r>
            <w:r>
              <w:rPr>
                <w:rFonts w:ascii="宋体" w:hAnsi="宋体"/>
                <w:bCs/>
                <w:color w:val="000000"/>
                <w:sz w:val="18"/>
              </w:rPr>
              <w:t>资</w:t>
            </w:r>
          </w:p>
          <w:p>
            <w:pPr>
              <w:pStyle w:val="2"/>
              <w:spacing w:after="0" w:line="320" w:lineRule="exact"/>
              <w:ind w:left="0" w:leftChars="0" w:firstLine="0" w:firstLineChars="0"/>
              <w:rPr>
                <w:rFonts w:hint="eastAsia" w:ascii="宋体" w:hAnsi="宋体"/>
                <w:color w:val="000000"/>
                <w:sz w:val="18"/>
                <w:szCs w:val="18"/>
              </w:rPr>
            </w:pPr>
            <w:r>
              <w:rPr>
                <w:rFonts w:hint="eastAsia" w:ascii="宋体" w:hAnsi="宋体"/>
                <w:color w:val="000000"/>
                <w:sz w:val="18"/>
                <w:szCs w:val="18"/>
              </w:rPr>
              <w:t xml:space="preserve">  其中：</w:t>
            </w:r>
            <w:r>
              <w:rPr>
                <w:rFonts w:ascii="宋体" w:hAnsi="宋体"/>
                <w:color w:val="000000"/>
                <w:sz w:val="18"/>
                <w:szCs w:val="18"/>
              </w:rPr>
              <w:t>本月完成投资</w:t>
            </w:r>
          </w:p>
          <w:p>
            <w:pPr>
              <w:spacing w:line="320" w:lineRule="exact"/>
              <w:rPr>
                <w:rFonts w:hint="eastAsia" w:ascii="宋体" w:hAnsi="宋体"/>
                <w:bCs/>
                <w:color w:val="000000"/>
                <w:sz w:val="18"/>
              </w:rPr>
            </w:pPr>
            <w:r>
              <w:rPr>
                <w:rFonts w:hint="eastAsia" w:ascii="宋体" w:hAnsi="宋体"/>
                <w:bCs/>
                <w:color w:val="000000"/>
                <w:sz w:val="18"/>
              </w:rPr>
              <w:t xml:space="preserve"> *其中：住宅</w:t>
            </w:r>
          </w:p>
          <w:p>
            <w:pPr>
              <w:spacing w:line="320" w:lineRule="exact"/>
              <w:rPr>
                <w:rFonts w:hint="eastAsia" w:ascii="宋体" w:hAnsi="宋体"/>
                <w:bCs/>
                <w:color w:val="000000"/>
                <w:sz w:val="18"/>
              </w:rPr>
            </w:pPr>
            <w:r>
              <w:rPr>
                <w:rFonts w:hint="eastAsia" w:ascii="宋体" w:hAnsi="宋体"/>
                <w:bCs/>
                <w:color w:val="000000"/>
                <w:sz w:val="18"/>
              </w:rPr>
              <w:t>按构成分：</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建筑工程</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安</w:t>
            </w:r>
            <w:r>
              <w:rPr>
                <w:rFonts w:ascii="宋体" w:hAnsi="宋体"/>
                <w:bCs/>
                <w:color w:val="000000"/>
                <w:sz w:val="18"/>
              </w:rPr>
              <w:t>装工</w:t>
            </w:r>
            <w:r>
              <w:rPr>
                <w:rFonts w:hint="eastAsia" w:ascii="宋体" w:hAnsi="宋体"/>
                <w:bCs/>
                <w:color w:val="000000"/>
                <w:sz w:val="18"/>
              </w:rPr>
              <w:t>程</w:t>
            </w:r>
          </w:p>
          <w:p>
            <w:pPr>
              <w:spacing w:line="320" w:lineRule="exact"/>
              <w:ind w:firstLine="180" w:firstLineChars="100"/>
              <w:rPr>
                <w:rFonts w:hint="eastAsia" w:ascii="宋体" w:hAnsi="宋体"/>
                <w:bCs/>
                <w:color w:val="000000"/>
                <w:sz w:val="18"/>
              </w:rPr>
            </w:pPr>
            <w:r>
              <w:rPr>
                <w:rFonts w:ascii="宋体" w:hAnsi="宋体"/>
                <w:bCs/>
                <w:color w:val="000000"/>
                <w:sz w:val="18"/>
              </w:rPr>
              <w:t>设备</w:t>
            </w:r>
            <w:r>
              <w:rPr>
                <w:rFonts w:hint="eastAsia" w:ascii="宋体" w:hAnsi="宋体"/>
                <w:bCs/>
                <w:color w:val="000000"/>
                <w:sz w:val="18"/>
              </w:rPr>
              <w:t>工器具</w:t>
            </w:r>
            <w:r>
              <w:rPr>
                <w:rFonts w:ascii="宋体" w:hAnsi="宋体"/>
                <w:bCs/>
                <w:color w:val="000000"/>
                <w:sz w:val="18"/>
              </w:rPr>
              <w:t>购</w:t>
            </w:r>
            <w:r>
              <w:rPr>
                <w:rFonts w:hint="eastAsia" w:ascii="宋体" w:hAnsi="宋体"/>
                <w:bCs/>
                <w:color w:val="000000"/>
                <w:sz w:val="18"/>
              </w:rPr>
              <w:t>置</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 xml:space="preserve">  *其中：购置旧设备</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其他</w:t>
            </w:r>
            <w:r>
              <w:rPr>
                <w:rFonts w:ascii="宋体" w:hAnsi="宋体"/>
                <w:bCs/>
                <w:color w:val="000000"/>
                <w:sz w:val="18"/>
              </w:rPr>
              <w:t>费</w:t>
            </w:r>
            <w:r>
              <w:rPr>
                <w:rFonts w:hint="eastAsia" w:ascii="宋体" w:hAnsi="宋体"/>
                <w:bCs/>
                <w:color w:val="000000"/>
                <w:sz w:val="18"/>
              </w:rPr>
              <w:t>用</w:t>
            </w:r>
          </w:p>
          <w:p>
            <w:pPr>
              <w:spacing w:line="320" w:lineRule="exact"/>
              <w:ind w:firstLine="360" w:firstLineChars="200"/>
              <w:rPr>
                <w:rFonts w:ascii="宋体" w:hAnsi="宋体"/>
                <w:bCs/>
                <w:color w:val="000000"/>
                <w:sz w:val="18"/>
              </w:rPr>
            </w:pPr>
            <w:r>
              <w:rPr>
                <w:rFonts w:hint="eastAsia" w:ascii="宋体" w:hAnsi="宋体"/>
                <w:bCs/>
                <w:color w:val="000000"/>
                <w:sz w:val="18"/>
              </w:rPr>
              <w:t>*其中：</w:t>
            </w:r>
            <w:r>
              <w:rPr>
                <w:rFonts w:ascii="宋体" w:hAnsi="宋体"/>
                <w:bCs/>
                <w:color w:val="000000"/>
                <w:sz w:val="18"/>
              </w:rPr>
              <w:t>旧建</w:t>
            </w:r>
            <w:r>
              <w:rPr>
                <w:rFonts w:hint="eastAsia" w:ascii="宋体" w:hAnsi="宋体"/>
                <w:bCs/>
                <w:color w:val="000000"/>
                <w:sz w:val="18"/>
              </w:rPr>
              <w:t>筑物</w:t>
            </w:r>
            <w:r>
              <w:rPr>
                <w:rFonts w:ascii="宋体" w:hAnsi="宋体"/>
                <w:bCs/>
                <w:color w:val="000000"/>
                <w:sz w:val="18"/>
              </w:rPr>
              <w:t>购</w:t>
            </w:r>
            <w:r>
              <w:rPr>
                <w:rFonts w:hint="eastAsia" w:ascii="宋体" w:hAnsi="宋体"/>
                <w:bCs/>
                <w:color w:val="000000"/>
                <w:sz w:val="18"/>
              </w:rPr>
              <w:t>置</w:t>
            </w:r>
            <w:r>
              <w:rPr>
                <w:rFonts w:ascii="宋体" w:hAnsi="宋体"/>
                <w:bCs/>
                <w:color w:val="000000"/>
                <w:sz w:val="18"/>
              </w:rPr>
              <w:t>费</w:t>
            </w:r>
          </w:p>
          <w:p>
            <w:pPr>
              <w:spacing w:line="320" w:lineRule="exact"/>
              <w:rPr>
                <w:rFonts w:hint="eastAsia" w:ascii="宋体" w:hAnsi="宋体"/>
                <w:bCs/>
                <w:color w:val="000000"/>
                <w:sz w:val="18"/>
              </w:rPr>
            </w:pPr>
            <w:r>
              <w:rPr>
                <w:rFonts w:ascii="宋体" w:hAnsi="宋体"/>
                <w:bCs/>
                <w:color w:val="000000"/>
                <w:sz w:val="18"/>
              </w:rPr>
              <w:t xml:space="preserve">    </w:t>
            </w:r>
            <w:r>
              <w:rPr>
                <w:rFonts w:hint="eastAsia" w:ascii="宋体" w:hAnsi="宋体"/>
                <w:bCs/>
                <w:color w:val="000000"/>
                <w:sz w:val="18"/>
              </w:rPr>
              <w:t>其中：建设用地</w:t>
            </w:r>
            <w:r>
              <w:rPr>
                <w:rFonts w:ascii="宋体" w:hAnsi="宋体"/>
                <w:bCs/>
                <w:color w:val="000000"/>
                <w:sz w:val="18"/>
              </w:rPr>
              <w:t>费</w:t>
            </w:r>
          </w:p>
          <w:p>
            <w:pPr>
              <w:spacing w:line="320" w:lineRule="exact"/>
              <w:rPr>
                <w:rFonts w:ascii="宋体" w:hAnsi="宋体"/>
                <w:bCs/>
                <w:color w:val="000000"/>
                <w:sz w:val="18"/>
              </w:rPr>
            </w:pPr>
            <w:r>
              <w:rPr>
                <w:rFonts w:hint="eastAsia" w:ascii="宋体" w:hAnsi="宋体"/>
                <w:bCs/>
                <w:color w:val="000000"/>
                <w:sz w:val="18"/>
              </w:rPr>
              <w:t>*本年新增固定资产</w:t>
            </w:r>
          </w:p>
          <w:p>
            <w:pPr>
              <w:spacing w:line="320" w:lineRule="exact"/>
              <w:rPr>
                <w:rFonts w:hint="eastAsia" w:ascii="宋体" w:hAnsi="宋体"/>
                <w:bCs/>
                <w:color w:val="000000"/>
                <w:sz w:val="18"/>
              </w:rPr>
            </w:pPr>
          </w:p>
        </w:tc>
        <w:tc>
          <w:tcPr>
            <w:tcW w:w="720" w:type="dxa"/>
            <w:noWrap w:val="0"/>
            <w:vAlign w:val="top"/>
          </w:tcPr>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color w:val="000000"/>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tc>
        <w:tc>
          <w:tcPr>
            <w:tcW w:w="720" w:type="dxa"/>
            <w:gridSpan w:val="2"/>
            <w:noWrap w:val="0"/>
            <w:tcMar>
              <w:left w:w="0" w:type="dxa"/>
              <w:right w:w="0" w:type="dxa"/>
            </w:tcMar>
            <w:vAlign w:val="top"/>
          </w:tcPr>
          <w:p>
            <w:pPr>
              <w:spacing w:line="320" w:lineRule="exact"/>
              <w:jc w:val="center"/>
              <w:rPr>
                <w:rFonts w:ascii="宋体" w:hAnsi="宋体"/>
                <w:bCs/>
                <w:color w:val="000000"/>
                <w:sz w:val="18"/>
              </w:rPr>
            </w:pPr>
            <w:r>
              <w:rPr>
                <w:rFonts w:ascii="宋体" w:hAnsi="宋体"/>
                <w:bCs/>
                <w:color w:val="000000"/>
                <w:sz w:val="18"/>
              </w:rPr>
              <w:t>101</w:t>
            </w:r>
          </w:p>
          <w:p>
            <w:pPr>
              <w:spacing w:line="320" w:lineRule="exact"/>
              <w:jc w:val="center"/>
              <w:rPr>
                <w:rFonts w:ascii="宋体" w:hAnsi="宋体"/>
                <w:bCs/>
                <w:color w:val="000000"/>
                <w:sz w:val="18"/>
              </w:rPr>
            </w:pPr>
            <w:r>
              <w:rPr>
                <w:rFonts w:hint="eastAsia" w:ascii="宋体" w:hAnsi="宋体"/>
                <w:bCs/>
                <w:color w:val="000000"/>
                <w:sz w:val="18"/>
              </w:rPr>
              <w:t>141</w:t>
            </w:r>
          </w:p>
          <w:p>
            <w:pPr>
              <w:spacing w:line="320" w:lineRule="exact"/>
              <w:jc w:val="center"/>
              <w:rPr>
                <w:rFonts w:hint="eastAsia" w:ascii="宋体" w:hAnsi="宋体"/>
                <w:bCs/>
                <w:color w:val="000000"/>
                <w:sz w:val="18"/>
              </w:rPr>
            </w:pPr>
            <w:r>
              <w:rPr>
                <w:rFonts w:ascii="宋体" w:hAnsi="宋体"/>
                <w:bCs/>
                <w:color w:val="000000"/>
                <w:sz w:val="18"/>
              </w:rPr>
              <w:t>103</w:t>
            </w:r>
          </w:p>
          <w:p>
            <w:pPr>
              <w:spacing w:line="320" w:lineRule="exact"/>
              <w:jc w:val="center"/>
              <w:rPr>
                <w:rFonts w:ascii="宋体" w:hAnsi="宋体"/>
                <w:bCs/>
                <w:color w:val="000000"/>
                <w:sz w:val="18"/>
              </w:rPr>
            </w:pPr>
            <w:r>
              <w:rPr>
                <w:rFonts w:ascii="宋体" w:hAnsi="宋体"/>
                <w:bCs/>
                <w:color w:val="000000"/>
                <w:sz w:val="18"/>
              </w:rPr>
              <w:t>107</w:t>
            </w:r>
          </w:p>
          <w:p>
            <w:pPr>
              <w:spacing w:line="320" w:lineRule="exact"/>
              <w:jc w:val="center"/>
              <w:rPr>
                <w:rFonts w:hint="eastAsia"/>
                <w:color w:val="000000"/>
              </w:rPr>
            </w:pPr>
            <w:r>
              <w:rPr>
                <w:rFonts w:ascii="宋体" w:hAnsi="宋体"/>
                <w:bCs/>
                <w:color w:val="000000"/>
                <w:sz w:val="18"/>
              </w:rPr>
              <w:t>140</w:t>
            </w:r>
          </w:p>
          <w:p>
            <w:pPr>
              <w:spacing w:line="320" w:lineRule="exact"/>
              <w:jc w:val="center"/>
              <w:rPr>
                <w:rFonts w:hint="eastAsia" w:ascii="宋体" w:hAnsi="宋体"/>
                <w:bCs/>
                <w:color w:val="000000"/>
                <w:sz w:val="18"/>
              </w:rPr>
            </w:pPr>
            <w:r>
              <w:rPr>
                <w:rFonts w:hint="eastAsia" w:ascii="宋体" w:hAnsi="宋体"/>
                <w:bCs/>
                <w:color w:val="000000"/>
                <w:sz w:val="18"/>
              </w:rPr>
              <w:t>118</w:t>
            </w:r>
          </w:p>
          <w:p>
            <w:pPr>
              <w:spacing w:line="320" w:lineRule="exact"/>
              <w:jc w:val="center"/>
              <w:rPr>
                <w:rFonts w:hint="eastAsia" w:ascii="宋体" w:hAnsi="宋体"/>
                <w:bCs/>
                <w:color w:val="000000"/>
                <w:sz w:val="18"/>
              </w:rPr>
            </w:pPr>
          </w:p>
          <w:p>
            <w:pPr>
              <w:spacing w:line="320" w:lineRule="exact"/>
              <w:jc w:val="center"/>
              <w:rPr>
                <w:rFonts w:ascii="宋体" w:hAnsi="宋体"/>
                <w:bCs/>
                <w:color w:val="000000"/>
                <w:sz w:val="18"/>
              </w:rPr>
            </w:pPr>
            <w:r>
              <w:rPr>
                <w:rFonts w:ascii="宋体" w:hAnsi="宋体"/>
                <w:bCs/>
                <w:color w:val="000000"/>
                <w:sz w:val="18"/>
              </w:rPr>
              <w:t>108</w:t>
            </w:r>
          </w:p>
          <w:p>
            <w:pPr>
              <w:spacing w:line="320" w:lineRule="exact"/>
              <w:jc w:val="center"/>
              <w:rPr>
                <w:rFonts w:ascii="宋体" w:hAnsi="宋体"/>
                <w:bCs/>
                <w:color w:val="000000"/>
                <w:sz w:val="18"/>
              </w:rPr>
            </w:pPr>
            <w:r>
              <w:rPr>
                <w:rFonts w:ascii="宋体" w:hAnsi="宋体"/>
                <w:bCs/>
                <w:color w:val="000000"/>
                <w:sz w:val="18"/>
              </w:rPr>
              <w:t>109</w:t>
            </w:r>
          </w:p>
          <w:p>
            <w:pPr>
              <w:spacing w:line="320" w:lineRule="exact"/>
              <w:jc w:val="center"/>
              <w:rPr>
                <w:rFonts w:ascii="宋体" w:hAnsi="宋体"/>
                <w:bCs/>
                <w:color w:val="000000"/>
                <w:sz w:val="18"/>
              </w:rPr>
            </w:pPr>
            <w:r>
              <w:rPr>
                <w:rFonts w:ascii="宋体" w:hAnsi="宋体"/>
                <w:bCs/>
                <w:color w:val="000000"/>
                <w:sz w:val="18"/>
              </w:rPr>
              <w:t>110</w:t>
            </w:r>
          </w:p>
          <w:p>
            <w:pPr>
              <w:spacing w:line="320" w:lineRule="exact"/>
              <w:jc w:val="center"/>
              <w:rPr>
                <w:rFonts w:hint="eastAsia" w:ascii="宋体" w:hAnsi="宋体"/>
                <w:bCs/>
                <w:color w:val="000000"/>
                <w:sz w:val="18"/>
              </w:rPr>
            </w:pPr>
            <w:r>
              <w:rPr>
                <w:rFonts w:hint="eastAsia" w:ascii="宋体" w:hAnsi="宋体"/>
                <w:bCs/>
                <w:color w:val="000000"/>
                <w:sz w:val="18"/>
              </w:rPr>
              <w:t>111</w:t>
            </w:r>
          </w:p>
          <w:p>
            <w:pPr>
              <w:spacing w:line="320" w:lineRule="exact"/>
              <w:jc w:val="center"/>
              <w:rPr>
                <w:rFonts w:hint="eastAsia" w:ascii="宋体" w:hAnsi="宋体"/>
                <w:bCs/>
                <w:color w:val="000000"/>
                <w:sz w:val="18"/>
              </w:rPr>
            </w:pPr>
            <w:r>
              <w:rPr>
                <w:rFonts w:ascii="宋体" w:hAnsi="宋体"/>
                <w:bCs/>
                <w:color w:val="000000"/>
                <w:sz w:val="18"/>
              </w:rPr>
              <w:t>112</w:t>
            </w:r>
          </w:p>
          <w:p>
            <w:pPr>
              <w:spacing w:line="320" w:lineRule="exact"/>
              <w:jc w:val="center"/>
              <w:rPr>
                <w:rFonts w:ascii="宋体" w:hAnsi="宋体"/>
                <w:bCs/>
                <w:color w:val="000000"/>
                <w:sz w:val="18"/>
              </w:rPr>
            </w:pPr>
            <w:r>
              <w:rPr>
                <w:rFonts w:ascii="宋体" w:hAnsi="宋体"/>
                <w:bCs/>
                <w:color w:val="000000"/>
                <w:sz w:val="18"/>
              </w:rPr>
              <w:t>113</w:t>
            </w:r>
          </w:p>
          <w:p>
            <w:pPr>
              <w:spacing w:line="320" w:lineRule="exact"/>
              <w:jc w:val="center"/>
              <w:rPr>
                <w:rFonts w:hint="eastAsia" w:ascii="宋体" w:hAnsi="宋体"/>
                <w:bCs/>
                <w:color w:val="000000"/>
                <w:sz w:val="18"/>
              </w:rPr>
            </w:pPr>
            <w:r>
              <w:rPr>
                <w:rFonts w:ascii="宋体" w:hAnsi="宋体"/>
                <w:bCs/>
                <w:color w:val="000000"/>
                <w:sz w:val="18"/>
              </w:rPr>
              <w:t>114</w:t>
            </w:r>
          </w:p>
          <w:p>
            <w:pPr>
              <w:spacing w:line="320" w:lineRule="exact"/>
              <w:jc w:val="center"/>
              <w:rPr>
                <w:rFonts w:hint="eastAsia" w:ascii="宋体" w:hAnsi="宋体"/>
                <w:bCs/>
                <w:color w:val="000000"/>
                <w:sz w:val="18"/>
              </w:rPr>
            </w:pPr>
            <w:r>
              <w:rPr>
                <w:rFonts w:hint="eastAsia" w:ascii="宋体" w:hAnsi="宋体"/>
                <w:bCs/>
                <w:color w:val="000000"/>
                <w:sz w:val="18"/>
              </w:rPr>
              <w:t>128</w:t>
            </w:r>
          </w:p>
        </w:tc>
        <w:tc>
          <w:tcPr>
            <w:tcW w:w="792" w:type="dxa"/>
            <w:gridSpan w:val="2"/>
            <w:tcBorders>
              <w:right w:val="double" w:color="auto" w:sz="4" w:space="0"/>
            </w:tcBorders>
            <w:noWrap w:val="0"/>
            <w:vAlign w:val="top"/>
          </w:tcPr>
          <w:p>
            <w:pPr>
              <w:spacing w:line="320" w:lineRule="exact"/>
              <w:jc w:val="center"/>
              <w:rPr>
                <w:rFonts w:hint="eastAsia" w:ascii="宋体" w:hAnsi="宋体"/>
                <w:color w:val="000000"/>
                <w:sz w:val="18"/>
              </w:rPr>
            </w:pPr>
          </w:p>
        </w:tc>
        <w:tc>
          <w:tcPr>
            <w:tcW w:w="2628" w:type="dxa"/>
            <w:gridSpan w:val="3"/>
            <w:tcBorders>
              <w:top w:val="single" w:color="auto" w:sz="2" w:space="0"/>
              <w:left w:val="double" w:color="auto" w:sz="4" w:space="0"/>
              <w:bottom w:val="single" w:color="auto" w:sz="8" w:space="0"/>
            </w:tcBorders>
            <w:noWrap w:val="0"/>
            <w:vAlign w:val="top"/>
          </w:tcPr>
          <w:p>
            <w:pPr>
              <w:spacing w:line="320" w:lineRule="exact"/>
              <w:ind w:firstLine="180" w:firstLineChars="100"/>
              <w:rPr>
                <w:rFonts w:hint="eastAsia" w:ascii="宋体" w:hAnsi="宋体"/>
                <w:bCs/>
                <w:color w:val="000000"/>
                <w:sz w:val="18"/>
              </w:rPr>
            </w:pPr>
            <w:r>
              <w:rPr>
                <w:rFonts w:hint="eastAsia" w:ascii="宋体" w:hAnsi="宋体"/>
                <w:bCs/>
                <w:color w:val="000000"/>
                <w:sz w:val="18"/>
              </w:rPr>
              <w:t>上年末结余资金</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本年实际到位资金</w:t>
            </w:r>
          </w:p>
          <w:p>
            <w:pPr>
              <w:spacing w:line="320" w:lineRule="exact"/>
              <w:ind w:firstLine="360" w:firstLineChars="200"/>
              <w:rPr>
                <w:rFonts w:hint="eastAsia" w:ascii="宋体" w:hAnsi="宋体"/>
                <w:bCs/>
                <w:color w:val="000000"/>
                <w:sz w:val="18"/>
              </w:rPr>
            </w:pPr>
            <w:r>
              <w:rPr>
                <w:rFonts w:ascii="宋体" w:hAnsi="宋体"/>
                <w:bCs/>
                <w:color w:val="000000"/>
                <w:sz w:val="18"/>
              </w:rPr>
              <w:t>国家预算资金</w:t>
            </w:r>
          </w:p>
          <w:p>
            <w:pPr>
              <w:spacing w:line="320" w:lineRule="exact"/>
              <w:rPr>
                <w:rFonts w:ascii="宋体" w:hAnsi="宋体"/>
                <w:bCs/>
                <w:color w:val="000000"/>
                <w:sz w:val="18"/>
              </w:rPr>
            </w:pPr>
            <w:r>
              <w:rPr>
                <w:rFonts w:hint="eastAsia" w:ascii="宋体" w:hAnsi="宋体"/>
                <w:bCs/>
                <w:color w:val="000000"/>
                <w:sz w:val="18"/>
              </w:rPr>
              <w:t xml:space="preserve">      *其中：中央预算资金</w:t>
            </w:r>
            <w:r>
              <w:rPr>
                <w:rFonts w:ascii="宋体" w:hAnsi="宋体"/>
                <w:bCs/>
                <w:color w:val="000000"/>
                <w:sz w:val="18"/>
              </w:rPr>
              <w:t xml:space="preserve"> </w:t>
            </w:r>
          </w:p>
          <w:p>
            <w:pPr>
              <w:spacing w:line="320" w:lineRule="exact"/>
              <w:ind w:firstLine="360" w:firstLineChars="200"/>
              <w:rPr>
                <w:rFonts w:ascii="宋体" w:hAnsi="宋体"/>
                <w:bCs/>
                <w:color w:val="000000"/>
                <w:sz w:val="18"/>
              </w:rPr>
            </w:pPr>
            <w:r>
              <w:rPr>
                <w:rFonts w:ascii="宋体" w:hAnsi="宋体"/>
                <w:bCs/>
                <w:color w:val="000000"/>
                <w:sz w:val="18"/>
              </w:rPr>
              <w:t>国内贷款</w:t>
            </w:r>
          </w:p>
          <w:p>
            <w:pPr>
              <w:spacing w:line="320" w:lineRule="exact"/>
              <w:ind w:firstLine="360" w:firstLineChars="200"/>
              <w:rPr>
                <w:rFonts w:ascii="宋体" w:hAnsi="宋体"/>
                <w:bCs/>
                <w:color w:val="000000"/>
                <w:sz w:val="18"/>
              </w:rPr>
            </w:pPr>
            <w:r>
              <w:rPr>
                <w:rFonts w:ascii="宋体" w:hAnsi="宋体"/>
                <w:bCs/>
                <w:color w:val="000000"/>
                <w:sz w:val="18"/>
              </w:rPr>
              <w:t>利用外资</w:t>
            </w:r>
          </w:p>
          <w:p>
            <w:pPr>
              <w:spacing w:line="320" w:lineRule="exact"/>
              <w:rPr>
                <w:rFonts w:hint="eastAsia" w:ascii="宋体" w:hAnsi="宋体"/>
                <w:bCs/>
                <w:color w:val="000000"/>
                <w:sz w:val="18"/>
              </w:rPr>
            </w:pPr>
            <w:r>
              <w:rPr>
                <w:rFonts w:hint="eastAsia" w:ascii="宋体" w:hAnsi="宋体"/>
                <w:bCs/>
                <w:color w:val="000000"/>
                <w:sz w:val="18"/>
              </w:rPr>
              <w:t xml:space="preserve">    </w:t>
            </w:r>
            <w:r>
              <w:rPr>
                <w:rFonts w:ascii="宋体" w:hAnsi="宋体"/>
                <w:bCs/>
                <w:color w:val="000000"/>
                <w:sz w:val="18"/>
              </w:rPr>
              <w:t>自筹资金</w:t>
            </w:r>
          </w:p>
          <w:p>
            <w:pPr>
              <w:spacing w:line="320" w:lineRule="exact"/>
              <w:ind w:firstLine="360" w:firstLineChars="200"/>
              <w:rPr>
                <w:rFonts w:ascii="宋体" w:hAnsi="宋体"/>
                <w:bCs/>
                <w:color w:val="000000"/>
                <w:sz w:val="18"/>
              </w:rPr>
            </w:pPr>
            <w:r>
              <w:rPr>
                <w:rFonts w:ascii="宋体" w:hAnsi="宋体"/>
                <w:bCs/>
                <w:color w:val="000000"/>
                <w:sz w:val="18"/>
              </w:rPr>
              <w:t>其他</w:t>
            </w:r>
            <w:r>
              <w:rPr>
                <w:rFonts w:hint="eastAsia" w:ascii="宋体" w:hAnsi="宋体"/>
                <w:bCs/>
                <w:color w:val="000000"/>
                <w:sz w:val="18"/>
              </w:rPr>
              <w:t>资金来源</w:t>
            </w:r>
          </w:p>
          <w:p>
            <w:pPr>
              <w:pStyle w:val="2"/>
              <w:spacing w:after="0" w:line="320" w:lineRule="exact"/>
              <w:ind w:left="199" w:leftChars="95" w:firstLine="171" w:firstLineChars="95"/>
              <w:rPr>
                <w:rFonts w:hint="eastAsia"/>
                <w:color w:val="000000"/>
                <w:sz w:val="18"/>
                <w:szCs w:val="18"/>
              </w:rPr>
            </w:pPr>
            <w:r>
              <w:rPr>
                <w:rFonts w:hint="eastAsia"/>
                <w:color w:val="000000"/>
                <w:sz w:val="18"/>
                <w:szCs w:val="18"/>
              </w:rPr>
              <w:t xml:space="preserve">  其中：</w:t>
            </w:r>
            <w:r>
              <w:rPr>
                <w:color w:val="000000"/>
                <w:sz w:val="18"/>
                <w:szCs w:val="18"/>
              </w:rPr>
              <w:t>债券</w:t>
            </w:r>
          </w:p>
          <w:p>
            <w:pPr>
              <w:spacing w:line="320" w:lineRule="exact"/>
              <w:rPr>
                <w:rFonts w:ascii="宋体" w:hAnsi="宋体"/>
                <w:bCs/>
                <w:color w:val="000000"/>
                <w:sz w:val="18"/>
              </w:rPr>
            </w:pPr>
            <w:r>
              <w:rPr>
                <w:rFonts w:hint="eastAsia" w:ascii="宋体" w:hAnsi="宋体"/>
                <w:bCs/>
                <w:color w:val="000000"/>
                <w:sz w:val="18"/>
              </w:rPr>
              <w:t>*各项应付款合计</w:t>
            </w:r>
          </w:p>
          <w:p>
            <w:pPr>
              <w:spacing w:line="320" w:lineRule="exact"/>
              <w:ind w:firstLine="180" w:firstLineChars="100"/>
              <w:rPr>
                <w:rFonts w:hint="eastAsia" w:ascii="宋体" w:hAnsi="宋体"/>
                <w:bCs/>
                <w:color w:val="000000"/>
                <w:sz w:val="18"/>
              </w:rPr>
            </w:pPr>
            <w:r>
              <w:rPr>
                <w:rFonts w:hint="eastAsia" w:ascii="宋体" w:hAnsi="宋体"/>
                <w:bCs/>
                <w:color w:val="000000"/>
                <w:sz w:val="18"/>
              </w:rPr>
              <w:t>*其中：工程款</w:t>
            </w:r>
          </w:p>
        </w:tc>
        <w:tc>
          <w:tcPr>
            <w:tcW w:w="792" w:type="dxa"/>
            <w:noWrap w:val="0"/>
            <w:vAlign w:val="top"/>
          </w:tcPr>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p>
            <w:pPr>
              <w:widowControl/>
              <w:spacing w:line="320" w:lineRule="exact"/>
              <w:jc w:val="center"/>
              <w:rPr>
                <w:rFonts w:ascii="宋体" w:hAnsi="宋体"/>
                <w:bCs/>
                <w:color w:val="000000"/>
                <w:sz w:val="18"/>
              </w:rPr>
            </w:pPr>
            <w:r>
              <w:rPr>
                <w:rFonts w:hint="eastAsia" w:ascii="宋体" w:hAnsi="宋体"/>
                <w:bCs/>
                <w:color w:val="000000"/>
                <w:sz w:val="18"/>
              </w:rPr>
              <w:t>万元</w:t>
            </w:r>
          </w:p>
          <w:p>
            <w:pPr>
              <w:widowControl/>
              <w:spacing w:line="320" w:lineRule="exact"/>
              <w:jc w:val="center"/>
              <w:rPr>
                <w:rFonts w:hint="eastAsia" w:ascii="宋体" w:hAnsi="宋体"/>
                <w:bCs/>
                <w:color w:val="000000"/>
                <w:sz w:val="18"/>
              </w:rPr>
            </w:pPr>
            <w:r>
              <w:rPr>
                <w:rFonts w:hint="eastAsia" w:ascii="宋体" w:hAnsi="宋体"/>
                <w:bCs/>
                <w:color w:val="000000"/>
                <w:sz w:val="18"/>
              </w:rPr>
              <w:t>万元</w:t>
            </w:r>
          </w:p>
        </w:tc>
        <w:tc>
          <w:tcPr>
            <w:tcW w:w="540" w:type="dxa"/>
            <w:noWrap w:val="0"/>
            <w:vAlign w:val="top"/>
          </w:tcPr>
          <w:p>
            <w:pPr>
              <w:spacing w:line="320" w:lineRule="exact"/>
              <w:jc w:val="center"/>
              <w:rPr>
                <w:rFonts w:hint="eastAsia" w:ascii="宋体" w:hAnsi="宋体"/>
                <w:bCs/>
                <w:color w:val="000000"/>
                <w:sz w:val="18"/>
              </w:rPr>
            </w:pPr>
            <w:r>
              <w:rPr>
                <w:rFonts w:hint="eastAsia" w:ascii="宋体" w:hAnsi="宋体"/>
                <w:bCs/>
                <w:color w:val="000000"/>
                <w:sz w:val="18"/>
              </w:rPr>
              <w:t>302</w:t>
            </w:r>
          </w:p>
          <w:p>
            <w:pPr>
              <w:widowControl/>
              <w:spacing w:line="320" w:lineRule="exact"/>
              <w:jc w:val="center"/>
              <w:rPr>
                <w:rFonts w:hint="eastAsia" w:ascii="宋体" w:hAnsi="宋体"/>
                <w:bCs/>
                <w:color w:val="000000"/>
                <w:sz w:val="18"/>
              </w:rPr>
            </w:pPr>
            <w:r>
              <w:rPr>
                <w:rFonts w:hint="eastAsia" w:ascii="宋体" w:hAnsi="宋体"/>
                <w:bCs/>
                <w:color w:val="000000"/>
                <w:sz w:val="18"/>
              </w:rPr>
              <w:t>303</w:t>
            </w:r>
          </w:p>
          <w:p>
            <w:pPr>
              <w:widowControl/>
              <w:spacing w:line="320" w:lineRule="exact"/>
              <w:jc w:val="center"/>
              <w:rPr>
                <w:rFonts w:hint="eastAsia" w:ascii="宋体" w:hAnsi="宋体"/>
                <w:bCs/>
                <w:color w:val="000000"/>
                <w:sz w:val="18"/>
              </w:rPr>
            </w:pPr>
            <w:r>
              <w:rPr>
                <w:rFonts w:hint="eastAsia" w:ascii="宋体" w:hAnsi="宋体"/>
                <w:bCs/>
                <w:color w:val="000000"/>
                <w:sz w:val="18"/>
              </w:rPr>
              <w:t>304</w:t>
            </w:r>
          </w:p>
          <w:p>
            <w:pPr>
              <w:widowControl/>
              <w:spacing w:line="320" w:lineRule="exact"/>
              <w:jc w:val="center"/>
              <w:rPr>
                <w:rFonts w:hint="eastAsia" w:ascii="宋体" w:hAnsi="宋体"/>
                <w:bCs/>
                <w:color w:val="000000"/>
                <w:sz w:val="18"/>
              </w:rPr>
            </w:pPr>
            <w:r>
              <w:rPr>
                <w:rFonts w:hint="eastAsia" w:ascii="宋体" w:hAnsi="宋体"/>
                <w:bCs/>
                <w:color w:val="000000"/>
                <w:sz w:val="18"/>
              </w:rPr>
              <w:t>328</w:t>
            </w:r>
          </w:p>
          <w:p>
            <w:pPr>
              <w:widowControl/>
              <w:spacing w:line="320" w:lineRule="exact"/>
              <w:jc w:val="center"/>
              <w:rPr>
                <w:rFonts w:hint="eastAsia" w:ascii="宋体" w:hAnsi="宋体"/>
                <w:bCs/>
                <w:color w:val="000000"/>
                <w:sz w:val="18"/>
              </w:rPr>
            </w:pPr>
            <w:r>
              <w:rPr>
                <w:rFonts w:hint="eastAsia" w:ascii="宋体" w:hAnsi="宋体"/>
                <w:bCs/>
                <w:color w:val="000000"/>
                <w:sz w:val="18"/>
              </w:rPr>
              <w:t>305</w:t>
            </w:r>
          </w:p>
          <w:p>
            <w:pPr>
              <w:widowControl/>
              <w:spacing w:line="320" w:lineRule="exact"/>
              <w:jc w:val="center"/>
              <w:rPr>
                <w:rFonts w:hint="eastAsia" w:ascii="宋体" w:hAnsi="宋体"/>
                <w:bCs/>
                <w:color w:val="000000"/>
                <w:sz w:val="18"/>
              </w:rPr>
            </w:pPr>
            <w:r>
              <w:rPr>
                <w:rFonts w:hint="eastAsia" w:ascii="宋体" w:hAnsi="宋体"/>
                <w:bCs/>
                <w:color w:val="000000"/>
                <w:sz w:val="18"/>
              </w:rPr>
              <w:t>307</w:t>
            </w:r>
          </w:p>
          <w:p>
            <w:pPr>
              <w:widowControl/>
              <w:spacing w:line="320" w:lineRule="exact"/>
              <w:jc w:val="center"/>
              <w:rPr>
                <w:rFonts w:hint="eastAsia" w:ascii="宋体" w:hAnsi="宋体"/>
                <w:bCs/>
                <w:color w:val="000000"/>
                <w:sz w:val="18"/>
              </w:rPr>
            </w:pPr>
            <w:r>
              <w:rPr>
                <w:rFonts w:hint="eastAsia" w:ascii="宋体" w:hAnsi="宋体"/>
                <w:bCs/>
                <w:color w:val="000000"/>
                <w:sz w:val="18"/>
              </w:rPr>
              <w:t>311</w:t>
            </w:r>
          </w:p>
          <w:p>
            <w:pPr>
              <w:widowControl/>
              <w:spacing w:line="320" w:lineRule="exact"/>
              <w:jc w:val="center"/>
              <w:rPr>
                <w:rFonts w:ascii="宋体" w:hAnsi="宋体"/>
                <w:bCs/>
                <w:color w:val="000000"/>
                <w:sz w:val="18"/>
              </w:rPr>
            </w:pPr>
            <w:r>
              <w:rPr>
                <w:rFonts w:hint="eastAsia" w:ascii="宋体" w:hAnsi="宋体"/>
                <w:bCs/>
                <w:color w:val="000000"/>
                <w:sz w:val="18"/>
              </w:rPr>
              <w:t>318</w:t>
            </w:r>
          </w:p>
          <w:p>
            <w:pPr>
              <w:widowControl/>
              <w:spacing w:line="320" w:lineRule="exact"/>
              <w:jc w:val="center"/>
              <w:rPr>
                <w:rFonts w:hint="eastAsia" w:ascii="宋体" w:hAnsi="宋体"/>
                <w:bCs/>
                <w:color w:val="000000"/>
                <w:sz w:val="18"/>
              </w:rPr>
            </w:pPr>
            <w:r>
              <w:rPr>
                <w:rFonts w:ascii="宋体" w:hAnsi="宋体"/>
                <w:bCs/>
                <w:color w:val="000000"/>
                <w:sz w:val="18"/>
              </w:rPr>
              <w:t>306</w:t>
            </w:r>
          </w:p>
          <w:p>
            <w:pPr>
              <w:widowControl/>
              <w:spacing w:line="320" w:lineRule="exact"/>
              <w:jc w:val="center"/>
              <w:rPr>
                <w:rFonts w:hint="eastAsia" w:ascii="宋体" w:hAnsi="宋体"/>
                <w:bCs/>
                <w:color w:val="000000"/>
                <w:sz w:val="18"/>
              </w:rPr>
            </w:pPr>
            <w:r>
              <w:rPr>
                <w:rFonts w:hint="eastAsia" w:ascii="宋体" w:hAnsi="宋体"/>
                <w:bCs/>
                <w:color w:val="000000"/>
                <w:sz w:val="18"/>
              </w:rPr>
              <w:t>320</w:t>
            </w:r>
          </w:p>
          <w:p>
            <w:pPr>
              <w:widowControl/>
              <w:spacing w:line="320" w:lineRule="exact"/>
              <w:jc w:val="center"/>
              <w:rPr>
                <w:rFonts w:hint="eastAsia" w:ascii="宋体" w:hAnsi="宋体"/>
                <w:bCs/>
                <w:color w:val="000000"/>
                <w:sz w:val="18"/>
              </w:rPr>
            </w:pPr>
            <w:r>
              <w:rPr>
                <w:rFonts w:hint="eastAsia" w:ascii="宋体" w:hAnsi="宋体"/>
                <w:bCs/>
                <w:color w:val="000000"/>
                <w:sz w:val="18"/>
              </w:rPr>
              <w:t>321</w:t>
            </w:r>
          </w:p>
        </w:tc>
        <w:tc>
          <w:tcPr>
            <w:tcW w:w="703" w:type="dxa"/>
            <w:noWrap w:val="0"/>
            <w:vAlign w:val="top"/>
          </w:tcPr>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p>
            <w:pPr>
              <w:spacing w:line="320" w:lineRule="exact"/>
              <w:jc w:val="center"/>
              <w:rPr>
                <w:rFonts w:hint="eastAsia" w:ascii="宋体" w:hAnsi="宋体"/>
                <w:color w:val="000000"/>
                <w:sz w:val="18"/>
              </w:rPr>
            </w:pPr>
          </w:p>
        </w:tc>
      </w:tr>
    </w:tbl>
    <w:p>
      <w:pPr>
        <w:adjustRightInd w:val="0"/>
        <w:spacing w:line="280" w:lineRule="exact"/>
        <w:rPr>
          <w:rFonts w:ascii="宋体"/>
          <w:sz w:val="18"/>
        </w:rPr>
      </w:pPr>
      <w:r>
        <w:rPr>
          <w:rFonts w:hint="eastAsia" w:ascii="宋体"/>
          <w:sz w:val="18"/>
        </w:rPr>
        <w:t>单位负责人</w:t>
      </w:r>
      <w:r>
        <w:rPr>
          <w:rFonts w:ascii="宋体"/>
          <w:sz w:val="18"/>
        </w:rPr>
        <w:t xml:space="preserve">：     </w:t>
      </w:r>
      <w:r>
        <w:rPr>
          <w:rFonts w:hint="eastAsia" w:ascii="宋体"/>
          <w:sz w:val="18"/>
        </w:rPr>
        <w:t xml:space="preserve">    </w:t>
      </w:r>
      <w:r>
        <w:rPr>
          <w:rFonts w:ascii="宋体"/>
          <w:sz w:val="18"/>
        </w:rPr>
        <w:t xml:space="preserve">      </w:t>
      </w:r>
      <w:r>
        <w:rPr>
          <w:rFonts w:hint="eastAsia" w:ascii="宋体"/>
          <w:sz w:val="18"/>
        </w:rPr>
        <w:t>统计负责人：</w:t>
      </w:r>
      <w:r>
        <w:rPr>
          <w:rFonts w:ascii="宋体"/>
          <w:sz w:val="18"/>
        </w:rPr>
        <w:t xml:space="preserve">   </w:t>
      </w:r>
      <w:r>
        <w:rPr>
          <w:rFonts w:hint="eastAsia" w:ascii="宋体"/>
          <w:sz w:val="18"/>
        </w:rPr>
        <w:t xml:space="preserve">   </w:t>
      </w:r>
      <w:r>
        <w:rPr>
          <w:rFonts w:ascii="宋体"/>
          <w:sz w:val="18"/>
        </w:rPr>
        <w:t xml:space="preserve">         </w:t>
      </w:r>
      <w:r>
        <w:rPr>
          <w:rFonts w:hint="eastAsia" w:ascii="宋体"/>
          <w:sz w:val="18"/>
        </w:rPr>
        <w:t>填表人：</w:t>
      </w:r>
      <w:r>
        <w:rPr>
          <w:rFonts w:ascii="宋体"/>
          <w:sz w:val="18"/>
        </w:rPr>
        <w:t xml:space="preserve">    </w:t>
      </w:r>
      <w:r>
        <w:rPr>
          <w:rFonts w:hint="eastAsia" w:ascii="宋体"/>
          <w:sz w:val="18"/>
        </w:rPr>
        <w:t xml:space="preserve">         报出日期：２０　 年</w:t>
      </w:r>
      <w:r>
        <w:rPr>
          <w:rFonts w:ascii="宋体"/>
          <w:sz w:val="18"/>
        </w:rPr>
        <w:t xml:space="preserve">   </w:t>
      </w:r>
      <w:r>
        <w:rPr>
          <w:rFonts w:hint="eastAsia" w:ascii="宋体"/>
          <w:sz w:val="18"/>
        </w:rPr>
        <w:t>月</w:t>
      </w:r>
      <w:r>
        <w:rPr>
          <w:rFonts w:ascii="宋体"/>
          <w:sz w:val="18"/>
        </w:rPr>
        <w:t xml:space="preserve">   </w:t>
      </w:r>
      <w:r>
        <w:rPr>
          <w:rFonts w:hint="eastAsia" w:ascii="宋体"/>
          <w:sz w:val="18"/>
        </w:rPr>
        <w:t>日</w:t>
      </w:r>
    </w:p>
    <w:p>
      <w:pPr>
        <w:snapToGrid w:val="0"/>
        <w:rPr>
          <w:rFonts w:hint="eastAsia" w:ascii="宋体"/>
          <w:sz w:val="18"/>
        </w:rPr>
      </w:pPr>
    </w:p>
    <w:p>
      <w:pPr>
        <w:snapToGrid w:val="0"/>
        <w:ind w:left="1618" w:leftChars="1" w:hanging="1616" w:hangingChars="898"/>
        <w:rPr>
          <w:rFonts w:hint="eastAsia" w:ascii="宋体" w:hAnsi="宋体"/>
          <w:sz w:val="18"/>
          <w:szCs w:val="18"/>
        </w:rPr>
      </w:pPr>
      <w:r>
        <w:rPr>
          <w:rFonts w:hint="eastAsia" w:ascii="宋体"/>
          <w:sz w:val="18"/>
        </w:rPr>
        <w:t>说明：1</w:t>
      </w:r>
      <w:r>
        <w:rPr>
          <w:rFonts w:ascii="宋体"/>
          <w:sz w:val="18"/>
        </w:rPr>
        <w:t>.</w:t>
      </w:r>
      <w:r>
        <w:rPr>
          <w:rFonts w:hint="eastAsia" w:ascii="宋体" w:hAnsi="宋体"/>
          <w:sz w:val="18"/>
        </w:rPr>
        <w:t>统计范围：</w:t>
      </w:r>
      <w:r>
        <w:rPr>
          <w:rFonts w:hint="eastAsia" w:ascii="宋体" w:hAnsi="宋体"/>
          <w:sz w:val="18"/>
          <w:szCs w:val="18"/>
        </w:rPr>
        <w:t>辖区内规模以上工业</w:t>
      </w:r>
      <w:r>
        <w:rPr>
          <w:rFonts w:hint="eastAsia" w:ascii="宋体" w:hAnsi="宋体"/>
          <w:sz w:val="18"/>
          <w:szCs w:val="18"/>
          <w:lang w:eastAsia="zh-CN"/>
        </w:rPr>
        <w:t>法人单位和规模以上工业个体经营户</w:t>
      </w:r>
      <w:r>
        <w:rPr>
          <w:rFonts w:hint="eastAsia" w:ascii="宋体" w:hAnsi="宋体"/>
          <w:sz w:val="18"/>
          <w:szCs w:val="18"/>
        </w:rPr>
        <w:t>的500万元及以上固定资产投资项目。</w:t>
      </w:r>
    </w:p>
    <w:p>
      <w:pPr>
        <w:snapToGrid w:val="0"/>
        <w:ind w:left="2162" w:leftChars="1" w:hanging="2160" w:hangingChars="1200"/>
        <w:rPr>
          <w:rFonts w:hint="eastAsia" w:ascii="宋体" w:hAnsi="宋体"/>
          <w:sz w:val="18"/>
          <w:szCs w:val="18"/>
        </w:rPr>
      </w:pPr>
      <w:r>
        <w:rPr>
          <w:rFonts w:hint="eastAsia" w:ascii="宋体"/>
          <w:sz w:val="18"/>
        </w:rPr>
        <w:t xml:space="preserve">      2.报送日期及方式：</w:t>
      </w:r>
      <w:r>
        <w:rPr>
          <w:rFonts w:ascii="宋体" w:hAnsi="宋体"/>
          <w:color w:val="000000"/>
          <w:sz w:val="18"/>
          <w:szCs w:val="18"/>
        </w:rPr>
        <w:t>调查单位</w:t>
      </w:r>
      <w:r>
        <w:rPr>
          <w:rFonts w:hint="eastAsia" w:ascii="宋体" w:hAnsi="宋体"/>
          <w:color w:val="000000"/>
          <w:sz w:val="18"/>
          <w:szCs w:val="18"/>
        </w:rPr>
        <w:t>于2、10月月后6日，6、7、8、11月月后7日，3、5、12月月后8日，4月月后9日，9月月后12日12:00前</w:t>
      </w:r>
      <w:r>
        <w:rPr>
          <w:rFonts w:ascii="宋体" w:hAnsi="宋体"/>
          <w:color w:val="000000"/>
          <w:sz w:val="18"/>
          <w:szCs w:val="18"/>
        </w:rPr>
        <w:t>独立自行网上填报</w:t>
      </w:r>
      <w:r>
        <w:rPr>
          <w:rFonts w:hint="eastAsia" w:ascii="宋体" w:hAnsi="宋体"/>
          <w:color w:val="000000"/>
          <w:sz w:val="18"/>
          <w:szCs w:val="18"/>
        </w:rPr>
        <w:t>，1月免报</w:t>
      </w:r>
      <w:r>
        <w:rPr>
          <w:rFonts w:hint="eastAsia" w:ascii="宋体" w:hAnsi="宋体"/>
          <w:sz w:val="18"/>
          <w:szCs w:val="18"/>
        </w:rPr>
        <w:t>。</w:t>
      </w:r>
    </w:p>
    <w:p>
      <w:pPr>
        <w:snapToGrid w:val="0"/>
        <w:ind w:left="720" w:hanging="720" w:hangingChars="400"/>
        <w:rPr>
          <w:rFonts w:hint="eastAsia" w:ascii="宋体"/>
          <w:sz w:val="18"/>
        </w:rPr>
      </w:pPr>
      <w:r>
        <w:rPr>
          <w:rFonts w:hint="eastAsia" w:ascii="宋体"/>
          <w:sz w:val="18"/>
        </w:rPr>
        <w:t xml:space="preserve">      3.本表除“计划总投资”、“自开始建设累计完成投资”、“上年末结余资金”指标外，其他指标均为自年初至报告期末累计数。</w:t>
      </w:r>
    </w:p>
    <w:p>
      <w:pPr>
        <w:snapToGrid w:val="0"/>
        <w:ind w:left="720" w:hanging="720" w:hangingChars="400"/>
        <w:rPr>
          <w:rFonts w:ascii="宋体"/>
          <w:sz w:val="18"/>
        </w:rPr>
      </w:pPr>
      <w:r>
        <w:rPr>
          <w:rFonts w:hint="eastAsia" w:ascii="宋体"/>
          <w:sz w:val="18"/>
        </w:rPr>
        <w:t xml:space="preserve">      4.投资项目在线审批监管平台统一代码的填报范围：报告期在建及新开工项目均需填写。该代码由各级发改部门投资项目在线审批监管平台生成。</w:t>
      </w:r>
    </w:p>
    <w:p>
      <w:pPr>
        <w:snapToGrid w:val="0"/>
        <w:ind w:left="720" w:hanging="720" w:hangingChars="400"/>
        <w:rPr>
          <w:rFonts w:hint="eastAsia" w:ascii="宋体"/>
          <w:sz w:val="18"/>
        </w:rPr>
      </w:pPr>
      <w:r>
        <w:rPr>
          <w:rFonts w:hint="eastAsia" w:ascii="宋体"/>
          <w:sz w:val="18"/>
        </w:rPr>
        <w:t xml:space="preserve">      5.</w:t>
      </w:r>
      <w:r>
        <w:rPr>
          <w:rFonts w:hint="eastAsia" w:ascii="宋体"/>
          <w:color w:val="000000"/>
          <w:sz w:val="18"/>
        </w:rPr>
        <w:t>带“*”的“118其中：住宅”“111其中：购置旧设备”“113其中</w:t>
      </w:r>
      <w:r>
        <w:rPr>
          <w:rFonts w:ascii="宋体"/>
          <w:color w:val="000000"/>
          <w:sz w:val="18"/>
        </w:rPr>
        <w:t>：</w:t>
      </w:r>
      <w:r>
        <w:rPr>
          <w:rFonts w:hint="eastAsia" w:ascii="宋体"/>
          <w:color w:val="000000"/>
          <w:sz w:val="18"/>
        </w:rPr>
        <w:t>旧建筑物购置费”“128本年新增固定资产”“320各项应付款合计”“321其中：工程款”“328其中：中央预算资金”仅12月月报填报</w:t>
      </w:r>
      <w:r>
        <w:rPr>
          <w:rFonts w:hint="eastAsia" w:ascii="宋体"/>
          <w:sz w:val="18"/>
        </w:rPr>
        <w:t>。</w:t>
      </w:r>
    </w:p>
    <w:p>
      <w:pPr>
        <w:snapToGrid w:val="0"/>
        <w:ind w:left="720" w:hanging="720" w:hangingChars="400"/>
        <w:rPr>
          <w:rFonts w:hint="eastAsia" w:ascii="宋体"/>
          <w:sz w:val="18"/>
        </w:rPr>
      </w:pPr>
      <w:r>
        <w:rPr>
          <w:rFonts w:hint="eastAsia" w:ascii="宋体"/>
          <w:sz w:val="18"/>
        </w:rPr>
        <w:t xml:space="preserve">      6.审核关系：</w:t>
      </w:r>
    </w:p>
    <w:p>
      <w:pPr>
        <w:snapToGrid w:val="0"/>
        <w:ind w:firstLine="720" w:firstLineChars="400"/>
        <w:rPr>
          <w:rFonts w:hint="eastAsia" w:ascii="宋体"/>
          <w:sz w:val="18"/>
        </w:rPr>
      </w:pPr>
      <w:r>
        <w:rPr>
          <w:rFonts w:hint="eastAsia" w:ascii="宋体"/>
          <w:sz w:val="18"/>
        </w:rPr>
        <w:t>(1)103≥107       (</w:t>
      </w:r>
      <w:r>
        <w:rPr>
          <w:rFonts w:ascii="宋体"/>
          <w:sz w:val="18"/>
        </w:rPr>
        <w:t>2</w:t>
      </w:r>
      <w:r>
        <w:rPr>
          <w:rFonts w:hint="eastAsia" w:ascii="宋体"/>
          <w:sz w:val="18"/>
        </w:rPr>
        <w:t>)107≥140</w:t>
      </w:r>
      <w:r>
        <w:rPr>
          <w:rFonts w:ascii="宋体"/>
          <w:sz w:val="18"/>
        </w:rPr>
        <w:t xml:space="preserve"> </w:t>
      </w:r>
      <w:r>
        <w:rPr>
          <w:rFonts w:hint="eastAsia" w:ascii="宋体"/>
          <w:sz w:val="18"/>
        </w:rPr>
        <w:t xml:space="preserve">       </w:t>
      </w:r>
      <w:r>
        <w:rPr>
          <w:rFonts w:ascii="宋体"/>
          <w:sz w:val="18"/>
        </w:rPr>
        <w:t xml:space="preserve"> </w:t>
      </w:r>
      <w:r>
        <w:rPr>
          <w:rFonts w:hint="eastAsia" w:ascii="宋体"/>
          <w:sz w:val="18"/>
        </w:rPr>
        <w:t>(</w:t>
      </w:r>
      <w:r>
        <w:rPr>
          <w:rFonts w:ascii="宋体"/>
          <w:sz w:val="18"/>
        </w:rPr>
        <w:t>3</w:t>
      </w:r>
      <w:r>
        <w:rPr>
          <w:rFonts w:hint="eastAsia" w:ascii="宋体"/>
          <w:sz w:val="18"/>
        </w:rPr>
        <w:t>)107≥118         (</w:t>
      </w:r>
      <w:r>
        <w:rPr>
          <w:rFonts w:ascii="宋体"/>
          <w:sz w:val="18"/>
        </w:rPr>
        <w:t>4</w:t>
      </w:r>
      <w:r>
        <w:rPr>
          <w:rFonts w:hint="eastAsia" w:ascii="宋体"/>
          <w:sz w:val="18"/>
        </w:rPr>
        <w:t xml:space="preserve">)107＝108＋109＋110＋112  </w:t>
      </w:r>
    </w:p>
    <w:p>
      <w:pPr>
        <w:snapToGrid w:val="0"/>
        <w:ind w:firstLine="720" w:firstLineChars="400"/>
        <w:rPr>
          <w:rFonts w:ascii="宋体"/>
          <w:sz w:val="18"/>
        </w:rPr>
      </w:pPr>
      <w:r>
        <w:rPr>
          <w:rFonts w:hint="eastAsia" w:ascii="宋体"/>
          <w:sz w:val="18"/>
        </w:rPr>
        <w:t>(</w:t>
      </w:r>
      <w:r>
        <w:rPr>
          <w:rFonts w:ascii="宋体"/>
          <w:sz w:val="18"/>
        </w:rPr>
        <w:t>5</w:t>
      </w:r>
      <w:r>
        <w:rPr>
          <w:rFonts w:hint="eastAsia" w:ascii="宋体"/>
          <w:sz w:val="18"/>
        </w:rPr>
        <w:t xml:space="preserve">)110≥111     </w:t>
      </w:r>
      <w:r>
        <w:rPr>
          <w:rFonts w:ascii="宋体"/>
          <w:sz w:val="18"/>
        </w:rPr>
        <w:t xml:space="preserve"> </w:t>
      </w:r>
      <w:r>
        <w:rPr>
          <w:rFonts w:hint="eastAsia" w:ascii="宋体"/>
          <w:sz w:val="18"/>
        </w:rPr>
        <w:t xml:space="preserve"> (</w:t>
      </w:r>
      <w:r>
        <w:rPr>
          <w:rFonts w:ascii="宋体"/>
          <w:sz w:val="18"/>
        </w:rPr>
        <w:t>6</w:t>
      </w:r>
      <w:r>
        <w:rPr>
          <w:rFonts w:hint="eastAsia" w:ascii="宋体"/>
          <w:sz w:val="18"/>
        </w:rPr>
        <w:t xml:space="preserve">)112≥113＋114  </w:t>
      </w:r>
      <w:r>
        <w:rPr>
          <w:rFonts w:ascii="宋体"/>
          <w:sz w:val="18"/>
        </w:rPr>
        <w:t xml:space="preserve"> </w:t>
      </w:r>
      <w:r>
        <w:rPr>
          <w:rFonts w:hint="eastAsia" w:ascii="宋体"/>
          <w:sz w:val="18"/>
        </w:rPr>
        <w:t xml:space="preserve"> (</w:t>
      </w:r>
      <w:r>
        <w:rPr>
          <w:rFonts w:ascii="宋体"/>
          <w:sz w:val="18"/>
        </w:rPr>
        <w:t>7</w:t>
      </w:r>
      <w:r>
        <w:rPr>
          <w:rFonts w:hint="eastAsia" w:ascii="宋体"/>
          <w:sz w:val="18"/>
        </w:rPr>
        <w:t xml:space="preserve">)303＝304＋305＋307＋311＋318 </w:t>
      </w:r>
    </w:p>
    <w:p>
      <w:pPr>
        <w:snapToGrid w:val="0"/>
        <w:ind w:firstLine="720" w:firstLineChars="400"/>
        <w:rPr>
          <w:rFonts w:hint="eastAsia" w:ascii="宋体"/>
          <w:sz w:val="18"/>
        </w:rPr>
      </w:pPr>
      <w:r>
        <w:rPr>
          <w:rFonts w:hint="eastAsia" w:ascii="宋体"/>
          <w:sz w:val="18"/>
        </w:rPr>
        <w:t>(</w:t>
      </w:r>
      <w:r>
        <w:rPr>
          <w:rFonts w:ascii="宋体"/>
          <w:sz w:val="18"/>
        </w:rPr>
        <w:t>8</w:t>
      </w:r>
      <w:r>
        <w:rPr>
          <w:rFonts w:hint="eastAsia" w:ascii="宋体"/>
          <w:sz w:val="18"/>
        </w:rPr>
        <w:t xml:space="preserve">)304≥328     </w:t>
      </w:r>
      <w:r>
        <w:rPr>
          <w:rFonts w:ascii="宋体"/>
          <w:sz w:val="18"/>
        </w:rPr>
        <w:t xml:space="preserve">  (9)</w:t>
      </w:r>
      <w:r>
        <w:rPr>
          <w:rFonts w:hint="eastAsia" w:ascii="宋体"/>
          <w:sz w:val="18"/>
        </w:rPr>
        <w:t>320≥321</w:t>
      </w:r>
    </w:p>
    <w:p>
      <w:pPr>
        <w:spacing w:before="240" w:after="156" w:afterLines="50" w:line="360" w:lineRule="exact"/>
        <w:ind w:right="51"/>
        <w:jc w:val="center"/>
        <w:rPr>
          <w:sz w:val="32"/>
          <w:szCs w:val="32"/>
        </w:rPr>
        <w:sectPr>
          <w:headerReference r:id="rId6" w:type="default"/>
          <w:pgSz w:w="11906" w:h="16838"/>
          <w:pgMar w:top="1418" w:right="1247" w:bottom="1247" w:left="1247" w:header="851" w:footer="851" w:gutter="0"/>
          <w:pgBorders>
            <w:top w:val="none" w:sz="0" w:space="0"/>
            <w:left w:val="none" w:sz="0" w:space="0"/>
            <w:bottom w:val="none" w:sz="0" w:space="0"/>
            <w:right w:val="none" w:sz="0" w:space="0"/>
          </w:pgBorders>
          <w:pgNumType w:fmt="decimal" w:start="1"/>
          <w:cols w:space="720" w:num="1"/>
          <w:docGrid w:type="linesAndChars" w:linePitch="312" w:charSpace="0"/>
        </w:sectPr>
      </w:pPr>
    </w:p>
    <w:p>
      <w:pPr>
        <w:spacing w:beforeLines="100"/>
        <w:jc w:val="center"/>
        <w:outlineLvl w:val="0"/>
        <w:rPr>
          <w:rFonts w:ascii="黑体" w:hAnsi="黑体" w:eastAsia="黑体" w:cs="黑体"/>
          <w:sz w:val="32"/>
          <w:szCs w:val="32"/>
        </w:rPr>
      </w:pPr>
      <w:bookmarkStart w:id="93" w:name="_Toc1003134309"/>
      <w:bookmarkStart w:id="94" w:name="_Toc2056233809"/>
      <w:bookmarkStart w:id="95" w:name="_Toc1623575390"/>
      <w:r>
        <w:rPr>
          <w:rFonts w:hint="eastAsia" w:ascii="黑体" w:hAnsi="黑体" w:eastAsia="黑体" w:cs="黑体"/>
          <w:sz w:val="32"/>
          <w:szCs w:val="32"/>
        </w:rPr>
        <w:t>四、附 录</w:t>
      </w:r>
      <w:bookmarkEnd w:id="93"/>
      <w:bookmarkEnd w:id="94"/>
      <w:bookmarkEnd w:id="95"/>
    </w:p>
    <w:p>
      <w:pPr>
        <w:adjustRightInd w:val="0"/>
        <w:snapToGrid w:val="0"/>
        <w:spacing w:line="200" w:lineRule="exact"/>
        <w:jc w:val="center"/>
        <w:rPr>
          <w:rFonts w:eastAsia="黑体"/>
          <w:sz w:val="18"/>
          <w:szCs w:val="18"/>
        </w:rPr>
      </w:pPr>
    </w:p>
    <w:p>
      <w:pPr>
        <w:numPr>
          <w:ilvl w:val="0"/>
          <w:numId w:val="7"/>
        </w:numPr>
        <w:spacing w:line="360" w:lineRule="exact"/>
        <w:ind w:left="0" w:leftChars="0" w:firstLine="420" w:firstLineChars="0"/>
        <w:jc w:val="center"/>
        <w:outlineLvl w:val="1"/>
        <w:rPr>
          <w:rFonts w:ascii="黑体" w:hAnsi="黑体" w:eastAsia="黑体" w:cs="黑体"/>
          <w:bCs/>
          <w:sz w:val="28"/>
          <w:szCs w:val="28"/>
        </w:rPr>
      </w:pPr>
      <w:bookmarkStart w:id="96" w:name="_Toc462842887"/>
      <w:bookmarkStart w:id="97" w:name="_Toc1496858305"/>
      <w:bookmarkStart w:id="98" w:name="_Toc382512553"/>
      <w:r>
        <w:rPr>
          <w:rFonts w:hint="eastAsia" w:ascii="黑体" w:hAnsi="黑体" w:eastAsia="黑体" w:cs="黑体"/>
          <w:bCs/>
          <w:sz w:val="28"/>
          <w:szCs w:val="28"/>
        </w:rPr>
        <w:t>修订说明</w:t>
      </w:r>
      <w:bookmarkEnd w:id="96"/>
      <w:bookmarkEnd w:id="97"/>
      <w:bookmarkEnd w:id="98"/>
    </w:p>
    <w:p>
      <w:pPr>
        <w:spacing w:line="240" w:lineRule="exact"/>
        <w:jc w:val="center"/>
        <w:rPr>
          <w:rFonts w:eastAsia="黑体"/>
          <w:bCs/>
          <w:sz w:val="18"/>
          <w:szCs w:val="18"/>
        </w:rPr>
      </w:pPr>
    </w:p>
    <w:p>
      <w:pPr>
        <w:numPr>
          <w:ilvl w:val="0"/>
          <w:numId w:val="8"/>
        </w:numPr>
        <w:adjustRightInd w:val="0"/>
        <w:snapToGrid w:val="0"/>
        <w:spacing w:line="360" w:lineRule="atLeast"/>
        <w:ind w:left="425" w:leftChars="0" w:hanging="425" w:firstLineChars="0"/>
        <w:outlineLvl w:val="9"/>
        <w:rPr>
          <w:b/>
        </w:rPr>
      </w:pPr>
      <w:r>
        <w:rPr>
          <w:rFonts w:hint="eastAsia"/>
          <w:b/>
        </w:rPr>
        <w:t>所有报表</w:t>
      </w:r>
    </w:p>
    <w:p>
      <w:pPr>
        <w:keepNext w:val="0"/>
        <w:keepLines w:val="0"/>
        <w:pageBreakBefore w:val="0"/>
        <w:widowControl w:val="0"/>
        <w:numPr>
          <w:ilvl w:val="0"/>
          <w:numId w:val="0"/>
        </w:numPr>
        <w:kinsoku/>
        <w:wordWrap/>
        <w:overflowPunct/>
        <w:topLinePunct w:val="0"/>
        <w:autoSpaceDE/>
        <w:autoSpaceDN/>
        <w:bidi w:val="0"/>
        <w:adjustRightInd w:val="0"/>
        <w:snapToGrid w:val="0"/>
        <w:spacing w:after="120" w:line="360" w:lineRule="atLeast"/>
        <w:ind w:left="420" w:leftChars="0"/>
        <w:textAlignment w:val="auto"/>
        <w:outlineLvl w:val="9"/>
        <w:rPr>
          <w:rFonts w:hint="eastAsia" w:eastAsia="宋体"/>
          <w:b w:val="0"/>
          <w:bCs/>
          <w:lang w:val="en-US" w:eastAsia="zh-CN"/>
        </w:rPr>
      </w:pPr>
      <w:r>
        <w:rPr>
          <w:rFonts w:hint="eastAsia" w:eastAsia="宋体"/>
          <w:b w:val="0"/>
          <w:bCs/>
          <w:lang w:val="en-US" w:eastAsia="zh-CN"/>
        </w:rPr>
        <w:t>（1）国家常规统计调查各项报表制度所列文号调整为“国统字〔202</w:t>
      </w:r>
      <w:r>
        <w:rPr>
          <w:rFonts w:hint="eastAsia"/>
          <w:b w:val="0"/>
          <w:bCs/>
          <w:lang w:val="en-US" w:eastAsia="zh-CN"/>
        </w:rPr>
        <w:t>5</w:t>
      </w:r>
      <w:r>
        <w:rPr>
          <w:rFonts w:hint="eastAsia" w:eastAsia="宋体"/>
          <w:b w:val="0"/>
          <w:bCs/>
          <w:lang w:val="en-US" w:eastAsia="zh-CN"/>
        </w:rPr>
        <w:t>〕</w:t>
      </w:r>
      <w:r>
        <w:rPr>
          <w:rFonts w:hint="eastAsia"/>
          <w:b w:val="0"/>
          <w:bCs/>
          <w:lang w:val="en-US" w:eastAsia="zh-CN"/>
        </w:rPr>
        <w:t>88</w:t>
      </w:r>
      <w:r>
        <w:rPr>
          <w:rFonts w:hint="eastAsia" w:eastAsia="宋体"/>
          <w:b w:val="0"/>
          <w:bCs/>
          <w:lang w:val="en-US" w:eastAsia="zh-CN"/>
        </w:rPr>
        <w:t>号”。</w:t>
      </w:r>
    </w:p>
    <w:p>
      <w:pPr>
        <w:keepNext w:val="0"/>
        <w:keepLines w:val="0"/>
        <w:pageBreakBefore w:val="0"/>
        <w:widowControl w:val="0"/>
        <w:kinsoku/>
        <w:wordWrap/>
        <w:overflowPunct/>
        <w:topLinePunct w:val="0"/>
        <w:autoSpaceDE/>
        <w:autoSpaceDN/>
        <w:bidi w:val="0"/>
        <w:adjustRightInd w:val="0"/>
        <w:snapToGrid w:val="0"/>
        <w:spacing w:after="120" w:line="360" w:lineRule="atLeast"/>
        <w:ind w:firstLine="420" w:firstLineChars="200"/>
        <w:textAlignment w:val="auto"/>
        <w:outlineLvl w:val="9"/>
        <w:rPr>
          <w:rFonts w:hint="eastAsia"/>
          <w:lang w:val="en-US" w:eastAsia="zh-CN"/>
        </w:rPr>
      </w:pPr>
      <w:r>
        <w:rPr>
          <w:rFonts w:hint="eastAsia" w:eastAsia="宋体"/>
          <w:b w:val="0"/>
          <w:bCs/>
          <w:lang w:val="en-US" w:eastAsia="zh-CN"/>
        </w:rPr>
        <w:t>（2）各制度报表时间根据国家法定节假日安排适当调整。</w:t>
      </w:r>
    </w:p>
    <w:p>
      <w:pPr>
        <w:keepNext w:val="0"/>
        <w:keepLines w:val="0"/>
        <w:pageBreakBefore w:val="0"/>
        <w:widowControl w:val="0"/>
        <w:kinsoku/>
        <w:wordWrap/>
        <w:overflowPunct/>
        <w:topLinePunct w:val="0"/>
        <w:autoSpaceDE/>
        <w:autoSpaceDN/>
        <w:bidi w:val="0"/>
        <w:adjustRightInd w:val="0"/>
        <w:snapToGrid w:val="0"/>
        <w:spacing w:after="120" w:line="360" w:lineRule="atLeast"/>
        <w:ind w:firstLine="420" w:firstLineChars="200"/>
        <w:textAlignment w:val="auto"/>
        <w:outlineLvl w:val="9"/>
        <w:rPr>
          <w:rFonts w:hint="eastAsia" w:eastAsia="宋体"/>
          <w:b w:val="0"/>
          <w:bCs/>
          <w:lang w:val="en-US" w:eastAsia="zh-CN"/>
        </w:rPr>
      </w:pPr>
      <w:r>
        <w:rPr>
          <w:rFonts w:hint="eastAsia" w:eastAsia="宋体"/>
          <w:b w:val="0"/>
          <w:bCs/>
          <w:lang w:val="en-US" w:eastAsia="zh-CN"/>
        </w:rPr>
        <w:t>（3）将“一套表调查单位确定”中，“名录库中已达到规上单位规模标准且具备报送数据条件但尚未纳入规上单位统计调查的单位……”删除“名录库中”。</w:t>
      </w:r>
    </w:p>
    <w:p>
      <w:pPr>
        <w:numPr>
          <w:ilvl w:val="0"/>
          <w:numId w:val="8"/>
        </w:numPr>
        <w:adjustRightInd w:val="0"/>
        <w:snapToGrid w:val="0"/>
        <w:spacing w:line="360" w:lineRule="atLeast"/>
        <w:ind w:left="425" w:leftChars="0" w:hanging="425" w:firstLineChars="0"/>
        <w:outlineLvl w:val="9"/>
        <w:rPr>
          <w:b/>
        </w:rPr>
      </w:pPr>
      <w:r>
        <w:rPr>
          <w:rFonts w:hint="eastAsia"/>
          <w:b/>
          <w:lang w:eastAsia="zh-CN"/>
        </w:rPr>
        <w:t>“调查单位基本情况”（101</w:t>
      </w:r>
      <w:r>
        <w:rPr>
          <w:rFonts w:hint="eastAsia"/>
          <w:b/>
          <w:lang w:val="en-US" w:eastAsia="zh-CN"/>
        </w:rPr>
        <w:t>-</w:t>
      </w:r>
      <w:r>
        <w:rPr>
          <w:rFonts w:hint="eastAsia"/>
          <w:b/>
          <w:lang w:eastAsia="zh-CN"/>
        </w:rPr>
        <w:t>1表、201</w:t>
      </w:r>
      <w:r>
        <w:rPr>
          <w:rFonts w:hint="eastAsia"/>
          <w:b/>
          <w:lang w:val="en-US" w:eastAsia="zh-CN"/>
        </w:rPr>
        <w:t>-</w:t>
      </w:r>
      <w:r>
        <w:rPr>
          <w:rFonts w:hint="eastAsia"/>
          <w:b/>
          <w:lang w:eastAsia="zh-CN"/>
        </w:rPr>
        <w:t>1表）</w:t>
      </w:r>
    </w:p>
    <w:p>
      <w:pPr>
        <w:pStyle w:val="2"/>
        <w:keepNext w:val="0"/>
        <w:keepLines w:val="0"/>
        <w:pageBreakBefore w:val="0"/>
        <w:widowControl w:val="0"/>
        <w:numPr>
          <w:ilvl w:val="0"/>
          <w:numId w:val="9"/>
        </w:numPr>
        <w:kinsoku/>
        <w:wordWrap/>
        <w:overflowPunct/>
        <w:topLinePunct w:val="0"/>
        <w:autoSpaceDE/>
        <w:autoSpaceDN/>
        <w:bidi w:val="0"/>
        <w:snapToGrid/>
        <w:spacing w:line="360" w:lineRule="exact"/>
        <w:ind w:left="0" w:leftChars="0" w:firstLine="420"/>
        <w:outlineLvl w:val="9"/>
        <w:rPr>
          <w:rFonts w:hint="eastAsia" w:ascii="Times New Roman" w:hAnsi="Times New Roman" w:eastAsia="宋体" w:cs="Times New Roman"/>
          <w:kern w:val="2"/>
          <w:sz w:val="21"/>
          <w:szCs w:val="22"/>
          <w:lang w:val="en-US" w:eastAsia="zh-CN" w:bidi="ar-SA"/>
        </w:rPr>
      </w:pPr>
      <w:r>
        <w:rPr>
          <w:rFonts w:hint="eastAsia" w:ascii="Times New Roman" w:hAnsi="Times New Roman" w:eastAsia="宋体" w:cs="Times New Roman"/>
          <w:kern w:val="2"/>
          <w:sz w:val="21"/>
          <w:szCs w:val="22"/>
          <w:lang w:val="en-US" w:eastAsia="zh-CN" w:bidi="ar-SA"/>
        </w:rPr>
        <w:t>调查单位基本情况（101—1表），增加指标“建筑业资质有效期至□□□□年□□月”；指标“营业利润”调整为“利润总额”；调整表底说明，“192从业人员”数据由“从102-1表摘抄取得”调整为“‘192从业人员’数据，对于年度新纳入单位，由调查单位自行填报，其他单位从‘从业人员及工资总额’（102-1表）中的‘从业人员期末人数（01）’和‘其中：女性（02）’摘抄取得”。</w:t>
      </w:r>
    </w:p>
    <w:p>
      <w:pPr>
        <w:keepNext w:val="0"/>
        <w:keepLines w:val="0"/>
        <w:pageBreakBefore w:val="0"/>
        <w:widowControl w:val="0"/>
        <w:numPr>
          <w:ilvl w:val="0"/>
          <w:numId w:val="9"/>
        </w:numPr>
        <w:kinsoku/>
        <w:wordWrap/>
        <w:overflowPunct/>
        <w:topLinePunct w:val="0"/>
        <w:autoSpaceDE/>
        <w:autoSpaceDN/>
        <w:bidi w:val="0"/>
        <w:snapToGrid/>
        <w:spacing w:line="360" w:lineRule="exact"/>
        <w:ind w:left="0" w:leftChars="0" w:firstLine="420" w:firstLineChars="200"/>
      </w:pPr>
      <w:r>
        <w:rPr>
          <w:rFonts w:hint="eastAsia"/>
          <w:lang w:eastAsia="zh-CN"/>
        </w:rPr>
        <w:t>调查单位基本情况（201—1表），增加指标“建筑业资质有效期至□□□□年□□月”；指标“营业利润”调整为“利润总额”；调整表底说明，“除需要审核修改的指标外，其他指标如需变更，省级名录库管理部门对表中变更内容在名录库中进行更新；国家统计局普查中心负责对比整理后推送联网直报平台”调整为“各指标月度如需变更，各级名录库管理部门和相关专业对表中变更内容在名录库系统中进行申报并审核确认，国家统计局普查中心负责整理后推送联网直报平台；待国家完成年报审核验收后，国家统计局普查中心利用101-1表和108表以及本年月度申报且通过审核确认的已变更信息对该表进行年度更新，并推送至联网直报平台”。</w:t>
      </w:r>
    </w:p>
    <w:p>
      <w:pPr>
        <w:numPr>
          <w:ilvl w:val="0"/>
          <w:numId w:val="8"/>
        </w:numPr>
        <w:adjustRightInd w:val="0"/>
        <w:snapToGrid w:val="0"/>
        <w:spacing w:line="360" w:lineRule="atLeast"/>
        <w:ind w:left="425" w:leftChars="0" w:hanging="425" w:firstLineChars="0"/>
        <w:outlineLvl w:val="9"/>
        <w:rPr>
          <w:rFonts w:eastAsia="宋体"/>
          <w:b/>
        </w:rPr>
      </w:pPr>
      <w:r>
        <w:rPr>
          <w:rFonts w:hint="eastAsia"/>
          <w:b/>
          <w:lang w:eastAsia="zh-CN"/>
        </w:rPr>
        <w:t>“</w:t>
      </w:r>
      <w:r>
        <w:rPr>
          <w:rFonts w:hint="eastAsia" w:eastAsia="宋体"/>
          <w:b/>
        </w:rPr>
        <w:t>企业组织结构调查表</w:t>
      </w:r>
      <w:r>
        <w:rPr>
          <w:rFonts w:hint="eastAsia"/>
          <w:b/>
          <w:lang w:eastAsia="zh-CN"/>
        </w:rPr>
        <w:t>”</w:t>
      </w:r>
      <w:r>
        <w:rPr>
          <w:rFonts w:hint="eastAsia" w:eastAsia="宋体"/>
          <w:b/>
        </w:rPr>
        <w:t>（108表）</w:t>
      </w:r>
    </w:p>
    <w:p>
      <w:pPr>
        <w:pStyle w:val="2"/>
        <w:ind w:left="0" w:leftChars="0" w:firstLine="420" w:firstLineChars="200"/>
        <w:rPr>
          <w:rFonts w:hint="eastAsia"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统计范围删除“其他有5000万元及以上在建项目的法人单位”；指标“本法人单位下属产业活动单位共   个”置灰，根据填报的行数自动计算，无需企业填报；指标“详细地址”调整为“详细地址：   省（自治区、直辖市）   地（市、州、盟）  县（市、区、旗）   街（路）门牌号”；调整表底说明，1后增加“分支机构不含已经视同法人单位统计的产业活动单位”，4调整为“统一社会信用代码中的临时码由统计机构按照《统计调查单位临时代码编码规则》编码后填写，区划代码由系统根据详细地址自动生成，行业代码由统计机构编写”。</w:t>
      </w:r>
    </w:p>
    <w:p>
      <w:pPr>
        <w:numPr>
          <w:ilvl w:val="0"/>
          <w:numId w:val="8"/>
        </w:numPr>
        <w:adjustRightInd w:val="0"/>
        <w:snapToGrid w:val="0"/>
        <w:spacing w:line="360" w:lineRule="atLeast"/>
        <w:ind w:left="425" w:leftChars="0" w:hanging="425" w:firstLineChars="0"/>
        <w:outlineLvl w:val="9"/>
        <w:rPr>
          <w:rFonts w:eastAsia="宋体"/>
          <w:b/>
        </w:rPr>
      </w:pPr>
      <w:r>
        <w:rPr>
          <w:rFonts w:hint="eastAsia"/>
          <w:b/>
          <w:lang w:eastAsia="zh-CN"/>
        </w:rPr>
        <w:t>“财务状况”（</w:t>
      </w:r>
      <w:r>
        <w:rPr>
          <w:rFonts w:hint="eastAsia"/>
          <w:b/>
          <w:lang w:val="en-US" w:eastAsia="zh-CN"/>
        </w:rPr>
        <w:t>B203表</w:t>
      </w:r>
      <w:r>
        <w:rPr>
          <w:rFonts w:hint="eastAsia"/>
          <w:b/>
          <w:lang w:eastAsia="zh-CN"/>
        </w:rPr>
        <w:t>）</w:t>
      </w:r>
    </w:p>
    <w:p>
      <w:pPr>
        <w:keepNext w:val="0"/>
        <w:keepLines w:val="0"/>
        <w:pageBreakBefore w:val="0"/>
        <w:widowControl w:val="0"/>
        <w:kinsoku/>
        <w:wordWrap/>
        <w:overflowPunct/>
        <w:topLinePunct w:val="0"/>
        <w:autoSpaceDE/>
        <w:autoSpaceDN/>
        <w:bidi w:val="0"/>
        <w:adjustRightInd w:val="0"/>
        <w:snapToGrid w:val="0"/>
        <w:spacing w:after="120" w:line="360" w:lineRule="atLeast"/>
        <w:ind w:firstLine="420" w:firstLineChars="200"/>
        <w:textAlignment w:val="auto"/>
        <w:outlineLvl w:val="9"/>
        <w:rPr>
          <w:rFonts w:hint="eastAsia" w:eastAsia="宋体"/>
          <w:b w:val="0"/>
          <w:bCs/>
          <w:lang w:val="en-US" w:eastAsia="zh-CN"/>
        </w:rPr>
      </w:pPr>
      <w:r>
        <w:rPr>
          <w:rFonts w:hint="eastAsia" w:ascii="Times New Roman" w:hAnsi="Times New Roman" w:eastAsia="宋体" w:cs="Times New Roman"/>
          <w:kern w:val="2"/>
          <w:sz w:val="21"/>
          <w:szCs w:val="22"/>
          <w:lang w:val="en" w:eastAsia="zh-CN" w:bidi="ar-SA"/>
        </w:rPr>
        <w:t>表底说明</w:t>
      </w:r>
      <w:r>
        <w:rPr>
          <w:rFonts w:hint="eastAsia" w:eastAsia="宋体"/>
          <w:b w:val="0"/>
          <w:bCs/>
          <w:lang w:val="en-US" w:eastAsia="zh-CN"/>
        </w:rPr>
        <w:t>“涉及拆分、兼并、重组等情况”调整为“涉及拆分、兼并、重组、视同法人、统计执法失实数据改正等情况，经国家统计局批准后，调查单位可调整上年同期数据”。</w:t>
      </w:r>
    </w:p>
    <w:p>
      <w:pPr>
        <w:numPr>
          <w:ilvl w:val="0"/>
          <w:numId w:val="8"/>
        </w:numPr>
        <w:adjustRightInd w:val="0"/>
        <w:snapToGrid w:val="0"/>
        <w:spacing w:line="360" w:lineRule="atLeast"/>
        <w:ind w:left="425" w:leftChars="0" w:hanging="425" w:firstLineChars="0"/>
        <w:outlineLvl w:val="9"/>
        <w:rPr>
          <w:rFonts w:eastAsia="宋体"/>
          <w:b/>
        </w:rPr>
      </w:pPr>
      <w:r>
        <w:rPr>
          <w:rFonts w:hint="eastAsia" w:eastAsia="宋体"/>
          <w:b/>
        </w:rPr>
        <w:t>“工业产销总值及主要产品产量”（B204-1表）</w:t>
      </w:r>
    </w:p>
    <w:p>
      <w:pPr>
        <w:pStyle w:val="2"/>
        <w:numPr>
          <w:ilvl w:val="0"/>
          <w:numId w:val="0"/>
        </w:numPr>
        <w:spacing w:line="360" w:lineRule="atLeast"/>
        <w:ind w:left="0" w:leftChars="0" w:firstLine="420" w:firstLineChars="200"/>
        <w:outlineLvl w:val="9"/>
        <w:rPr>
          <w:rFonts w:hint="eastAsia" w:ascii="Times New Roman" w:hAnsi="Times New Roman" w:eastAsia="宋体" w:cs="Times New Roman"/>
          <w:kern w:val="2"/>
          <w:sz w:val="21"/>
          <w:szCs w:val="22"/>
          <w:lang w:val="en-US" w:eastAsia="zh-CN" w:bidi="ar-SA"/>
        </w:rPr>
      </w:pPr>
      <w:r>
        <w:rPr>
          <w:rFonts w:hint="eastAsia" w:ascii="Times New Roman" w:hAnsi="Times New Roman" w:eastAsia="宋体" w:cs="Times New Roman"/>
          <w:kern w:val="2"/>
          <w:sz w:val="21"/>
          <w:szCs w:val="22"/>
          <w:lang w:val="en" w:eastAsia="zh-CN" w:bidi="ar-SA"/>
        </w:rPr>
        <w:t>表底说明</w:t>
      </w:r>
      <w:r>
        <w:rPr>
          <w:rFonts w:hint="eastAsia" w:eastAsia="宋体"/>
          <w:b w:val="0"/>
          <w:bCs/>
          <w:lang w:val="en-US" w:eastAsia="zh-CN"/>
        </w:rPr>
        <w:t>“涉及拆分、兼并、重组等情况”调整为“涉及拆分、兼并、重组、视同法人、统计执法失实数据改正等情况，经国家统计局批准后，调查单位可调整上年同期数据”</w:t>
      </w:r>
      <w:r>
        <w:rPr>
          <w:rFonts w:hint="eastAsia" w:ascii="Times New Roman" w:hAnsi="Times New Roman" w:eastAsia="宋体" w:cs="Times New Roman"/>
          <w:kern w:val="2"/>
          <w:sz w:val="21"/>
          <w:szCs w:val="22"/>
          <w:lang w:val="en" w:eastAsia="zh-CN" w:bidi="ar-SA"/>
        </w:rPr>
        <w:t>；调整《规模以上工业产品产量目录》。</w:t>
      </w:r>
    </w:p>
    <w:p>
      <w:pPr>
        <w:numPr>
          <w:ilvl w:val="0"/>
          <w:numId w:val="8"/>
        </w:numPr>
        <w:adjustRightInd w:val="0"/>
        <w:snapToGrid w:val="0"/>
        <w:spacing w:line="360" w:lineRule="atLeast"/>
        <w:ind w:left="425" w:leftChars="0" w:hanging="425" w:firstLineChars="0"/>
        <w:outlineLvl w:val="9"/>
        <w:rPr>
          <w:rFonts w:hint="eastAsia" w:eastAsia="宋体"/>
          <w:b/>
          <w:bCs w:val="0"/>
        </w:rPr>
      </w:pPr>
      <w:r>
        <w:rPr>
          <w:rFonts w:hint="eastAsia" w:eastAsia="宋体"/>
          <w:b/>
          <w:bCs w:val="0"/>
        </w:rPr>
        <w:t>“</w:t>
      </w:r>
      <w:r>
        <w:rPr>
          <w:rFonts w:hint="eastAsia"/>
          <w:b/>
          <w:bCs w:val="0"/>
          <w:lang w:eastAsia="zh-CN"/>
        </w:rPr>
        <w:t>工业企业战略性新兴产业总产值</w:t>
      </w:r>
      <w:r>
        <w:rPr>
          <w:rFonts w:hint="eastAsia" w:eastAsia="宋体"/>
          <w:b/>
          <w:bCs w:val="0"/>
        </w:rPr>
        <w:t>”（B</w:t>
      </w:r>
      <w:r>
        <w:rPr>
          <w:rFonts w:hint="eastAsia"/>
          <w:b/>
          <w:bCs w:val="0"/>
          <w:lang w:val="en-US" w:eastAsia="zh-CN"/>
        </w:rPr>
        <w:t>104-4</w:t>
      </w:r>
      <w:r>
        <w:rPr>
          <w:rFonts w:hint="eastAsia" w:eastAsia="宋体"/>
          <w:b/>
          <w:bCs w:val="0"/>
        </w:rPr>
        <w:t>表）</w:t>
      </w:r>
    </w:p>
    <w:p>
      <w:pPr>
        <w:adjustRightInd w:val="0"/>
        <w:snapToGrid w:val="0"/>
        <w:spacing w:line="360" w:lineRule="atLeast"/>
        <w:ind w:firstLine="420" w:firstLineChars="200"/>
        <w:outlineLvl w:val="9"/>
        <w:rPr>
          <w:rFonts w:hint="eastAsia" w:eastAsia="宋体"/>
          <w:b w:val="0"/>
          <w:bCs/>
        </w:rPr>
      </w:pPr>
      <w:r>
        <w:rPr>
          <w:rFonts w:hint="eastAsia" w:eastAsia="宋体"/>
          <w:b w:val="0"/>
          <w:bCs/>
        </w:rPr>
        <w:t>调整《工业战略性新兴产业分类目录》。</w:t>
      </w:r>
    </w:p>
    <w:p>
      <w:pPr>
        <w:rPr>
          <w:rFonts w:ascii="Times New Roman" w:eastAsia="黑体"/>
          <w:bCs/>
          <w:szCs w:val="28"/>
        </w:rPr>
      </w:pPr>
      <w:r>
        <w:rPr>
          <w:rFonts w:ascii="Times New Roman" w:eastAsia="黑体"/>
          <w:bCs/>
          <w:szCs w:val="28"/>
        </w:rPr>
        <w:br w:type="page"/>
      </w:r>
    </w:p>
    <w:p>
      <w:pPr>
        <w:numPr>
          <w:ilvl w:val="0"/>
          <w:numId w:val="7"/>
        </w:numPr>
        <w:spacing w:line="360" w:lineRule="exact"/>
        <w:ind w:left="0" w:leftChars="0" w:firstLine="420" w:firstLineChars="0"/>
        <w:jc w:val="center"/>
        <w:outlineLvl w:val="1"/>
        <w:rPr>
          <w:rFonts w:hint="eastAsia" w:ascii="黑体" w:hAnsi="黑体" w:eastAsia="黑体" w:cs="黑体"/>
          <w:bCs/>
          <w:sz w:val="28"/>
          <w:szCs w:val="28"/>
        </w:rPr>
      </w:pPr>
      <w:bookmarkStart w:id="99" w:name="_Toc1323497847"/>
      <w:bookmarkStart w:id="100" w:name="_Toc1859537555"/>
      <w:bookmarkStart w:id="101" w:name="_Toc13736218"/>
      <w:r>
        <w:rPr>
          <w:rFonts w:hint="eastAsia" w:ascii="黑体" w:hAnsi="黑体" w:eastAsia="黑体" w:cs="黑体"/>
          <w:bCs/>
          <w:sz w:val="28"/>
          <w:szCs w:val="28"/>
        </w:rPr>
        <w:t>统计标准</w:t>
      </w:r>
      <w:bookmarkEnd w:id="99"/>
      <w:bookmarkEnd w:id="100"/>
      <w:bookmarkEnd w:id="101"/>
    </w:p>
    <w:p>
      <w:pPr>
        <w:spacing w:line="240" w:lineRule="exact"/>
        <w:jc w:val="center"/>
        <w:rPr>
          <w:rFonts w:hint="eastAsia" w:eastAsia="黑体"/>
          <w:bCs/>
          <w:sz w:val="18"/>
          <w:szCs w:val="18"/>
        </w:rPr>
      </w:pPr>
    </w:p>
    <w:p>
      <w:pPr>
        <w:pStyle w:val="10"/>
        <w:numPr>
          <w:ilvl w:val="0"/>
          <w:numId w:val="10"/>
        </w:numPr>
        <w:spacing w:line="360" w:lineRule="exact"/>
        <w:ind w:left="425" w:leftChars="0" w:hanging="425" w:firstLineChars="0"/>
        <w:outlineLvl w:val="9"/>
        <w:rPr>
          <w:rFonts w:ascii="Times New Roman" w:hAnsi="Times New Roman"/>
          <w:b/>
        </w:rPr>
      </w:pPr>
      <w:r>
        <w:rPr>
          <w:rFonts w:ascii="Times New Roman" w:hAnsi="Times New Roman"/>
          <w:b/>
        </w:rPr>
        <w:t>企业规模划分</w:t>
      </w:r>
    </w:p>
    <w:p>
      <w:pPr>
        <w:pStyle w:val="10"/>
        <w:spacing w:line="360" w:lineRule="exact"/>
        <w:ind w:firstLine="420" w:firstLineChars="200"/>
        <w:outlineLvl w:val="9"/>
        <w:rPr>
          <w:rFonts w:ascii="Times New Roman" w:hAnsi="Times New Roman"/>
        </w:rPr>
      </w:pPr>
      <w:r>
        <w:rPr>
          <w:rFonts w:ascii="Times New Roman" w:hAnsi="Times New Roman"/>
        </w:rPr>
        <w:t>年主营业务收入2000万元及以上为规模以上工业</w:t>
      </w:r>
      <w:r>
        <w:rPr>
          <w:rFonts w:hint="eastAsia" w:ascii="Times New Roman" w:hAnsi="Times New Roman"/>
          <w:lang w:eastAsia="zh-CN"/>
        </w:rPr>
        <w:t>企业</w:t>
      </w:r>
      <w:r>
        <w:rPr>
          <w:rFonts w:ascii="Times New Roman" w:hAnsi="Times New Roman"/>
        </w:rPr>
        <w:t>，反之为规模以下</w:t>
      </w:r>
      <w:r>
        <w:rPr>
          <w:rFonts w:hint="eastAsia" w:ascii="Times New Roman" w:hAnsi="Times New Roman"/>
          <w:lang w:eastAsia="zh-CN"/>
        </w:rPr>
        <w:t>工业企业</w:t>
      </w:r>
      <w:r>
        <w:rPr>
          <w:rFonts w:ascii="Times New Roman" w:hAnsi="Times New Roman"/>
        </w:rPr>
        <w:t>。</w:t>
      </w:r>
    </w:p>
    <w:p>
      <w:pPr>
        <w:pStyle w:val="10"/>
        <w:numPr>
          <w:ilvl w:val="0"/>
          <w:numId w:val="10"/>
        </w:numPr>
        <w:spacing w:line="360" w:lineRule="exact"/>
        <w:ind w:left="425" w:leftChars="0" w:hanging="425" w:firstLineChars="0"/>
        <w:outlineLvl w:val="9"/>
        <w:rPr>
          <w:rFonts w:ascii="Times New Roman" w:hAnsi="Times New Roman" w:eastAsia="宋体"/>
          <w:b/>
        </w:rPr>
      </w:pPr>
      <w:r>
        <w:rPr>
          <w:rFonts w:ascii="Times New Roman" w:hAnsi="Times New Roman" w:eastAsia="宋体"/>
          <w:b/>
        </w:rPr>
        <w:t>行业划分</w:t>
      </w:r>
    </w:p>
    <w:p>
      <w:pPr>
        <w:pStyle w:val="10"/>
        <w:spacing w:line="360" w:lineRule="exact"/>
        <w:ind w:firstLine="420" w:firstLineChars="200"/>
        <w:outlineLvl w:val="9"/>
        <w:rPr>
          <w:rFonts w:ascii="Times New Roman" w:hAnsi="Times New Roman"/>
        </w:rPr>
      </w:pPr>
      <w:r>
        <w:rPr>
          <w:rFonts w:hint="eastAsia" w:ascii="Times New Roman" w:hAnsi="Times New Roman"/>
        </w:rPr>
        <w:t>执行《国民经济行业分类》（GB/T 4754-2017）和《统计用区划代码和城乡划分代码（202</w:t>
      </w:r>
      <w:r>
        <w:rPr>
          <w:rFonts w:hint="eastAsia" w:ascii="Times New Roman" w:hAnsi="Times New Roman"/>
          <w:lang w:val="en-US" w:eastAsia="zh-CN"/>
        </w:rPr>
        <w:t>5</w:t>
      </w:r>
      <w:r>
        <w:rPr>
          <w:rFonts w:hint="eastAsia" w:ascii="Times New Roman" w:hAnsi="Times New Roman"/>
        </w:rPr>
        <w:t>）》。</w:t>
      </w:r>
    </w:p>
    <w:p>
      <w:pPr>
        <w:pStyle w:val="10"/>
        <w:numPr>
          <w:ilvl w:val="0"/>
          <w:numId w:val="10"/>
        </w:numPr>
        <w:spacing w:line="360" w:lineRule="exact"/>
        <w:ind w:left="425" w:leftChars="0" w:hanging="425" w:firstLineChars="0"/>
        <w:outlineLvl w:val="9"/>
        <w:rPr>
          <w:rFonts w:ascii="Times New Roman" w:hAnsi="Times New Roman" w:eastAsia="宋体"/>
          <w:b/>
        </w:rPr>
      </w:pPr>
      <w:r>
        <w:rPr>
          <w:rFonts w:ascii="Times New Roman" w:hAnsi="Times New Roman" w:eastAsia="宋体"/>
          <w:b/>
        </w:rPr>
        <w:t>大中小微型企业划分</w:t>
      </w:r>
    </w:p>
    <w:p>
      <w:pPr>
        <w:pStyle w:val="10"/>
        <w:spacing w:line="360" w:lineRule="exact"/>
        <w:ind w:firstLine="420" w:firstLineChars="200"/>
        <w:outlineLvl w:val="9"/>
        <w:rPr>
          <w:rFonts w:ascii="Times New Roman" w:hAnsi="Times New Roman"/>
        </w:rPr>
      </w:pPr>
      <w:r>
        <w:rPr>
          <w:rFonts w:hint="eastAsia" w:ascii="Times New Roman" w:hAnsi="Times New Roman"/>
          <w:lang w:eastAsia="zh-CN"/>
        </w:rPr>
        <w:t>执行《</w:t>
      </w:r>
      <w:r>
        <w:rPr>
          <w:rFonts w:hint="eastAsia" w:ascii="Times New Roman" w:hAnsi="Times New Roman"/>
        </w:rPr>
        <w:t>统计上大中小微型企业划分办法（2017）</w:t>
      </w:r>
      <w:r>
        <w:rPr>
          <w:rFonts w:hint="eastAsia" w:ascii="Times New Roman" w:hAnsi="Times New Roman"/>
          <w:lang w:eastAsia="zh-CN"/>
        </w:rPr>
        <w:t>》</w:t>
      </w:r>
      <w:r>
        <w:rPr>
          <w:rFonts w:ascii="Times New Roman" w:hAnsi="Times New Roman"/>
        </w:rPr>
        <w:t>。</w:t>
      </w:r>
    </w:p>
    <w:p>
      <w:pPr>
        <w:pStyle w:val="10"/>
        <w:spacing w:line="360" w:lineRule="exact"/>
        <w:ind w:firstLine="420" w:firstLineChars="200"/>
        <w:outlineLvl w:val="9"/>
        <w:rPr>
          <w:rFonts w:ascii="Times New Roman" w:hAnsi="Times New Roman"/>
        </w:rPr>
      </w:pPr>
      <w:r>
        <w:rPr>
          <w:rFonts w:ascii="Times New Roman" w:hAnsi="Times New Roman"/>
        </w:rPr>
        <w:t>大型：从业人数≥1000人 且 营业收入≥40000万元</w:t>
      </w:r>
    </w:p>
    <w:p>
      <w:pPr>
        <w:pStyle w:val="10"/>
        <w:spacing w:line="360" w:lineRule="exact"/>
        <w:ind w:firstLine="420" w:firstLineChars="200"/>
        <w:outlineLvl w:val="9"/>
        <w:rPr>
          <w:rFonts w:ascii="Times New Roman" w:hAnsi="Times New Roman"/>
        </w:rPr>
      </w:pPr>
      <w:r>
        <w:rPr>
          <w:rFonts w:ascii="Times New Roman" w:hAnsi="Times New Roman"/>
        </w:rPr>
        <w:t>中型：300人≤从业人数＜1000人 且 营业收入≥2000万元</w:t>
      </w:r>
    </w:p>
    <w:p>
      <w:pPr>
        <w:pStyle w:val="10"/>
        <w:spacing w:line="360" w:lineRule="exact"/>
        <w:ind w:firstLine="420" w:firstLineChars="200"/>
        <w:outlineLvl w:val="9"/>
        <w:rPr>
          <w:rFonts w:ascii="Times New Roman" w:hAnsi="Times New Roman"/>
        </w:rPr>
      </w:pPr>
      <w:r>
        <w:rPr>
          <w:rFonts w:ascii="Times New Roman" w:hAnsi="Times New Roman"/>
        </w:rPr>
        <w:t>小型：20人≤从业人数＜300人 且 营业收入≥300万元</w:t>
      </w:r>
    </w:p>
    <w:p>
      <w:pPr>
        <w:pStyle w:val="10"/>
        <w:spacing w:line="360" w:lineRule="exact"/>
        <w:ind w:firstLine="420" w:firstLineChars="200"/>
        <w:outlineLvl w:val="9"/>
        <w:rPr>
          <w:rFonts w:ascii="Times New Roman" w:hAnsi="Times New Roman"/>
        </w:rPr>
      </w:pPr>
      <w:r>
        <w:rPr>
          <w:rFonts w:ascii="Times New Roman" w:hAnsi="Times New Roman"/>
        </w:rPr>
        <w:t>微型：人数＜20人 或 营业收入＜300万元</w:t>
      </w:r>
    </w:p>
    <w:p>
      <w:pPr>
        <w:pStyle w:val="10"/>
        <w:spacing w:line="360" w:lineRule="exact"/>
        <w:outlineLvl w:val="9"/>
        <w:rPr>
          <w:rFonts w:hint="eastAsia" w:ascii="Times New Roman" w:hAnsi="Times New Roman"/>
          <w:lang w:eastAsia="zh-CN"/>
        </w:rPr>
      </w:pPr>
      <w:r>
        <w:rPr>
          <w:rFonts w:ascii="Times New Roman" w:hAnsi="Times New Roman"/>
        </w:rPr>
        <w:t>（大型、中型、小型企业必须同时满足所列指标的下限，否则下划一档；微型企业只需满足所列指标中一项即可）</w:t>
      </w: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pPr>
    </w:p>
    <w:p>
      <w:pPr>
        <w:pStyle w:val="10"/>
        <w:spacing w:line="360" w:lineRule="exact"/>
        <w:rPr>
          <w:rFonts w:hint="eastAsia" w:ascii="Times New Roman" w:hAnsi="Times New Roman"/>
          <w:lang w:eastAsia="zh-CN"/>
        </w:rPr>
        <w:sectPr>
          <w:footerReference r:id="rId7" w:type="even"/>
          <w:pgSz w:w="11906" w:h="16838"/>
          <w:pgMar w:top="1418" w:right="1134" w:bottom="1134" w:left="1134" w:header="851" w:footer="567" w:gutter="0"/>
          <w:pgBorders>
            <w:top w:val="none" w:sz="0" w:space="0"/>
            <w:left w:val="none" w:sz="0" w:space="0"/>
            <w:bottom w:val="none" w:sz="0" w:space="0"/>
            <w:right w:val="none" w:sz="0" w:space="0"/>
          </w:pgBorders>
          <w:pgNumType w:fmt="decimal"/>
          <w:cols w:space="720" w:num="1"/>
          <w:docGrid w:linePitch="312" w:charSpace="0"/>
        </w:sectPr>
      </w:pPr>
    </w:p>
    <w:p>
      <w:pPr>
        <w:numPr>
          <w:ilvl w:val="0"/>
          <w:numId w:val="7"/>
        </w:numPr>
        <w:spacing w:line="360" w:lineRule="exact"/>
        <w:ind w:left="0" w:leftChars="0" w:firstLine="420" w:firstLineChars="0"/>
        <w:jc w:val="center"/>
        <w:outlineLvl w:val="1"/>
        <w:rPr>
          <w:rFonts w:hint="eastAsia" w:ascii="黑体" w:hAnsi="黑体" w:eastAsia="黑体" w:cs="黑体"/>
          <w:bCs/>
          <w:sz w:val="28"/>
          <w:szCs w:val="28"/>
        </w:rPr>
      </w:pPr>
      <w:bookmarkStart w:id="102" w:name="_Toc1353790687"/>
      <w:bookmarkStart w:id="103" w:name="_Toc93040076"/>
      <w:bookmarkStart w:id="104" w:name="_Toc1302590910"/>
      <w:r>
        <w:rPr>
          <w:rFonts w:hint="eastAsia" w:ascii="黑体" w:hAnsi="黑体" w:eastAsia="黑体" w:cs="黑体"/>
          <w:bCs/>
          <w:sz w:val="28"/>
          <w:szCs w:val="28"/>
        </w:rPr>
        <w:t>统计目录</w:t>
      </w:r>
      <w:bookmarkEnd w:id="102"/>
      <w:bookmarkEnd w:id="103"/>
      <w:bookmarkEnd w:id="104"/>
    </w:p>
    <w:p>
      <w:pPr>
        <w:pStyle w:val="6"/>
      </w:pPr>
    </w:p>
    <w:p>
      <w:pPr>
        <w:numPr>
          <w:ilvl w:val="0"/>
          <w:numId w:val="11"/>
        </w:numPr>
        <w:spacing w:line="240" w:lineRule="auto"/>
        <w:ind w:left="425" w:leftChars="0" w:hanging="425" w:firstLineChars="0"/>
        <w:jc w:val="center"/>
        <w:outlineLvl w:val="2"/>
        <w:rPr>
          <w:rFonts w:hint="eastAsia" w:asciiTheme="minorEastAsia" w:hAnsiTheme="minorEastAsia" w:eastAsiaTheme="minorEastAsia" w:cstheme="minorEastAsia"/>
          <w:b/>
          <w:bCs/>
          <w:sz w:val="32"/>
          <w:szCs w:val="32"/>
          <w:lang w:eastAsia="zh-CN"/>
        </w:rPr>
      </w:pPr>
      <w:bookmarkStart w:id="105" w:name="_Toc1509470142"/>
      <w:bookmarkStart w:id="106" w:name="_Toc721844227"/>
      <w:bookmarkStart w:id="107" w:name="_Toc447919144"/>
      <w:r>
        <w:rPr>
          <w:rFonts w:hint="eastAsia" w:asciiTheme="minorEastAsia" w:hAnsiTheme="minorEastAsia" w:eastAsiaTheme="minorEastAsia" w:cstheme="minorEastAsia"/>
          <w:b/>
          <w:bCs/>
          <w:sz w:val="32"/>
          <w:szCs w:val="32"/>
          <w:lang w:eastAsia="zh-CN"/>
        </w:rPr>
        <w:t>主要工业产品生产能力目录</w:t>
      </w:r>
      <w:bookmarkEnd w:id="105"/>
      <w:bookmarkEnd w:id="106"/>
      <w:bookmarkEnd w:id="107"/>
    </w:p>
    <w:tbl>
      <w:tblPr>
        <w:tblStyle w:val="17"/>
        <w:tblW w:w="9526" w:type="dxa"/>
        <w:jc w:val="center"/>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486"/>
        <w:gridCol w:w="4654"/>
        <w:gridCol w:w="3386"/>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780" w:type="pct"/>
            <w:tcBorders>
              <w:top w:val="single" w:color="auto" w:sz="8" w:space="0"/>
            </w:tcBorders>
            <w:noWrap/>
            <w:vAlign w:val="center"/>
          </w:tcPr>
          <w:p>
            <w:pPr>
              <w:widowControl/>
              <w:spacing w:line="280" w:lineRule="exact"/>
              <w:jc w:val="center"/>
              <w:rPr>
                <w:rFonts w:ascii="宋体" w:cs="Arial"/>
                <w:kern w:val="0"/>
                <w:sz w:val="18"/>
                <w:szCs w:val="18"/>
              </w:rPr>
            </w:pPr>
            <w:r>
              <w:rPr>
                <w:rFonts w:hint="eastAsia" w:ascii="宋体" w:hAnsi="宋体" w:cs="Arial"/>
                <w:kern w:val="0"/>
                <w:sz w:val="18"/>
                <w:szCs w:val="18"/>
              </w:rPr>
              <w:t>代码</w:t>
            </w:r>
          </w:p>
        </w:tc>
        <w:tc>
          <w:tcPr>
            <w:tcW w:w="2443" w:type="pct"/>
            <w:tcBorders>
              <w:top w:val="single" w:color="auto" w:sz="8" w:space="0"/>
            </w:tcBorders>
            <w:noWrap/>
            <w:vAlign w:val="center"/>
          </w:tcPr>
          <w:p>
            <w:pPr>
              <w:widowControl/>
              <w:spacing w:line="280" w:lineRule="exact"/>
              <w:jc w:val="center"/>
              <w:rPr>
                <w:rFonts w:ascii="宋体" w:cs="Arial"/>
                <w:kern w:val="0"/>
                <w:sz w:val="18"/>
                <w:szCs w:val="18"/>
              </w:rPr>
            </w:pPr>
            <w:r>
              <w:rPr>
                <w:rFonts w:hint="eastAsia" w:ascii="宋体" w:hAnsi="宋体" w:cs="Arial"/>
                <w:kern w:val="0"/>
                <w:sz w:val="18"/>
                <w:szCs w:val="18"/>
              </w:rPr>
              <w:t>产品名称</w:t>
            </w:r>
          </w:p>
        </w:tc>
        <w:tc>
          <w:tcPr>
            <w:tcW w:w="1777" w:type="pct"/>
            <w:tcBorders>
              <w:top w:val="single" w:color="auto" w:sz="8" w:space="0"/>
            </w:tcBorders>
            <w:noWrap/>
            <w:vAlign w:val="center"/>
          </w:tcPr>
          <w:p>
            <w:pPr>
              <w:widowControl/>
              <w:spacing w:line="280" w:lineRule="exact"/>
              <w:jc w:val="center"/>
              <w:rPr>
                <w:rFonts w:ascii="宋体" w:cs="Arial"/>
                <w:kern w:val="0"/>
                <w:sz w:val="18"/>
                <w:szCs w:val="18"/>
              </w:rPr>
            </w:pPr>
            <w:r>
              <w:rPr>
                <w:rFonts w:hint="eastAsia" w:ascii="宋体" w:hAnsi="宋体" w:cs="Arial"/>
                <w:kern w:val="0"/>
                <w:sz w:val="18"/>
                <w:szCs w:val="18"/>
              </w:rPr>
              <w:t>计量单位</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0739" w:hRule="atLeast"/>
          <w:jc w:val="center"/>
        </w:trPr>
        <w:tc>
          <w:tcPr>
            <w:tcW w:w="780" w:type="pct"/>
            <w:tcBorders>
              <w:bottom w:val="single" w:color="auto" w:sz="8" w:space="0"/>
            </w:tcBorders>
            <w:noWrap/>
            <w:vAlign w:val="top"/>
          </w:tcPr>
          <w:p>
            <w:pPr>
              <w:widowControl/>
              <w:spacing w:line="280" w:lineRule="exact"/>
              <w:jc w:val="center"/>
              <w:rPr>
                <w:rFonts w:ascii="宋体" w:hAnsi="宋体" w:cs="Arial"/>
                <w:kern w:val="0"/>
                <w:sz w:val="18"/>
                <w:szCs w:val="18"/>
              </w:rPr>
            </w:pPr>
            <w:r>
              <w:rPr>
                <w:rFonts w:ascii="宋体" w:hAnsi="宋体" w:cs="Arial"/>
                <w:kern w:val="0"/>
                <w:sz w:val="18"/>
                <w:szCs w:val="18"/>
              </w:rPr>
              <w:t>0600010</w:t>
            </w:r>
          </w:p>
          <w:p>
            <w:pPr>
              <w:widowControl/>
              <w:spacing w:line="280" w:lineRule="exact"/>
              <w:jc w:val="center"/>
              <w:rPr>
                <w:rFonts w:ascii="宋体" w:hAnsi="宋体" w:cs="Arial"/>
                <w:kern w:val="0"/>
                <w:sz w:val="18"/>
                <w:szCs w:val="18"/>
              </w:rPr>
            </w:pPr>
            <w:r>
              <w:rPr>
                <w:rFonts w:ascii="宋体" w:hAnsi="宋体" w:cs="Arial"/>
                <w:kern w:val="0"/>
                <w:sz w:val="18"/>
                <w:szCs w:val="18"/>
              </w:rPr>
              <w:t>0710010</w:t>
            </w:r>
          </w:p>
          <w:p>
            <w:pPr>
              <w:widowControl/>
              <w:spacing w:line="280" w:lineRule="exact"/>
              <w:jc w:val="center"/>
              <w:rPr>
                <w:rFonts w:ascii="宋体" w:hAnsi="宋体" w:cs="Arial"/>
                <w:kern w:val="0"/>
                <w:sz w:val="18"/>
                <w:szCs w:val="18"/>
              </w:rPr>
            </w:pPr>
            <w:r>
              <w:rPr>
                <w:rFonts w:ascii="宋体" w:hAnsi="宋体" w:cs="Arial"/>
                <w:kern w:val="0"/>
                <w:sz w:val="18"/>
                <w:szCs w:val="18"/>
              </w:rPr>
              <w:t>1620010</w:t>
            </w:r>
          </w:p>
          <w:p>
            <w:pPr>
              <w:widowControl/>
              <w:spacing w:line="280" w:lineRule="exact"/>
              <w:jc w:val="center"/>
              <w:rPr>
                <w:rFonts w:ascii="宋体" w:hAnsi="宋体" w:cs="Arial"/>
                <w:kern w:val="0"/>
                <w:sz w:val="18"/>
                <w:szCs w:val="18"/>
              </w:rPr>
            </w:pPr>
            <w:r>
              <w:rPr>
                <w:rFonts w:ascii="宋体" w:hAnsi="宋体" w:cs="Arial"/>
                <w:kern w:val="0"/>
                <w:sz w:val="18"/>
                <w:szCs w:val="18"/>
              </w:rPr>
              <w:t>1700010</w:t>
            </w:r>
          </w:p>
          <w:p>
            <w:pPr>
              <w:widowControl/>
              <w:spacing w:line="280" w:lineRule="exact"/>
              <w:jc w:val="center"/>
              <w:rPr>
                <w:rFonts w:ascii="宋体" w:hAnsi="宋体" w:cs="Arial"/>
                <w:kern w:val="0"/>
                <w:sz w:val="18"/>
                <w:szCs w:val="18"/>
              </w:rPr>
            </w:pPr>
            <w:r>
              <w:rPr>
                <w:rFonts w:ascii="宋体" w:hAnsi="宋体" w:cs="Arial"/>
                <w:kern w:val="0"/>
                <w:sz w:val="18"/>
                <w:szCs w:val="18"/>
              </w:rPr>
              <w:t>1700020</w:t>
            </w:r>
          </w:p>
          <w:p>
            <w:pPr>
              <w:widowControl/>
              <w:spacing w:line="280" w:lineRule="exact"/>
              <w:jc w:val="center"/>
              <w:rPr>
                <w:rFonts w:ascii="宋体" w:hAnsi="宋体" w:cs="Arial"/>
                <w:kern w:val="0"/>
                <w:sz w:val="18"/>
                <w:szCs w:val="18"/>
              </w:rPr>
            </w:pPr>
            <w:r>
              <w:rPr>
                <w:rFonts w:ascii="宋体" w:hAnsi="宋体" w:cs="Arial"/>
                <w:kern w:val="0"/>
                <w:sz w:val="18"/>
                <w:szCs w:val="18"/>
              </w:rPr>
              <w:t>1712010</w:t>
            </w:r>
          </w:p>
          <w:p>
            <w:pPr>
              <w:widowControl/>
              <w:spacing w:line="280" w:lineRule="exact"/>
              <w:jc w:val="center"/>
              <w:rPr>
                <w:rFonts w:ascii="宋体" w:hAnsi="宋体" w:cs="Arial"/>
                <w:kern w:val="0"/>
                <w:sz w:val="18"/>
                <w:szCs w:val="18"/>
              </w:rPr>
            </w:pPr>
            <w:r>
              <w:rPr>
                <w:rFonts w:ascii="宋体" w:hAnsi="宋体" w:cs="Arial"/>
                <w:kern w:val="0"/>
                <w:sz w:val="18"/>
                <w:szCs w:val="18"/>
              </w:rPr>
              <w:t>2511010</w:t>
            </w:r>
          </w:p>
          <w:p>
            <w:pPr>
              <w:widowControl/>
              <w:spacing w:line="280" w:lineRule="exact"/>
              <w:jc w:val="center"/>
              <w:rPr>
                <w:rFonts w:ascii="宋体" w:hAnsi="宋体" w:cs="Arial"/>
                <w:kern w:val="0"/>
                <w:sz w:val="18"/>
                <w:szCs w:val="18"/>
              </w:rPr>
            </w:pPr>
            <w:r>
              <w:rPr>
                <w:rFonts w:ascii="宋体" w:hAnsi="宋体" w:cs="Arial"/>
                <w:kern w:val="0"/>
                <w:sz w:val="18"/>
                <w:szCs w:val="18"/>
              </w:rPr>
              <w:t>2520010</w:t>
            </w:r>
          </w:p>
          <w:p>
            <w:pPr>
              <w:widowControl/>
              <w:spacing w:line="280" w:lineRule="exact"/>
              <w:jc w:val="center"/>
              <w:rPr>
                <w:rFonts w:ascii="宋体" w:hAnsi="宋体" w:cs="Arial"/>
                <w:kern w:val="0"/>
                <w:sz w:val="18"/>
                <w:szCs w:val="18"/>
              </w:rPr>
            </w:pPr>
            <w:r>
              <w:rPr>
                <w:rFonts w:ascii="宋体" w:hAnsi="宋体" w:cs="Arial"/>
                <w:kern w:val="0"/>
                <w:sz w:val="18"/>
                <w:szCs w:val="18"/>
              </w:rPr>
              <w:t>2612010</w:t>
            </w:r>
          </w:p>
          <w:p>
            <w:pPr>
              <w:widowControl/>
              <w:spacing w:line="280" w:lineRule="exact"/>
              <w:jc w:val="center"/>
              <w:rPr>
                <w:rFonts w:ascii="宋体" w:hAnsi="宋体" w:cs="Arial"/>
                <w:kern w:val="0"/>
                <w:sz w:val="18"/>
                <w:szCs w:val="18"/>
              </w:rPr>
            </w:pPr>
            <w:r>
              <w:rPr>
                <w:rFonts w:ascii="宋体" w:hAnsi="宋体" w:cs="Arial"/>
                <w:kern w:val="0"/>
                <w:sz w:val="18"/>
                <w:szCs w:val="18"/>
              </w:rPr>
              <w:t>2613030</w:t>
            </w:r>
          </w:p>
          <w:p>
            <w:pPr>
              <w:widowControl/>
              <w:spacing w:line="280" w:lineRule="exact"/>
              <w:jc w:val="center"/>
              <w:rPr>
                <w:rFonts w:ascii="宋体" w:hAnsi="宋体" w:cs="Arial"/>
                <w:kern w:val="0"/>
                <w:sz w:val="18"/>
                <w:szCs w:val="18"/>
              </w:rPr>
            </w:pPr>
            <w:r>
              <w:rPr>
                <w:rFonts w:ascii="宋体" w:hAnsi="宋体" w:cs="Arial"/>
                <w:kern w:val="0"/>
                <w:sz w:val="18"/>
                <w:szCs w:val="18"/>
              </w:rPr>
              <w:t>2620020</w:t>
            </w:r>
          </w:p>
          <w:p>
            <w:pPr>
              <w:widowControl/>
              <w:spacing w:line="280" w:lineRule="exact"/>
              <w:jc w:val="center"/>
              <w:rPr>
                <w:rFonts w:ascii="宋体" w:hAnsi="宋体" w:cs="Arial"/>
                <w:kern w:val="0"/>
                <w:sz w:val="18"/>
                <w:szCs w:val="18"/>
              </w:rPr>
            </w:pPr>
            <w:r>
              <w:rPr>
                <w:rFonts w:ascii="宋体" w:hAnsi="宋体" w:cs="Arial"/>
                <w:kern w:val="0"/>
                <w:sz w:val="18"/>
                <w:szCs w:val="18"/>
              </w:rPr>
              <w:t>2651010</w:t>
            </w:r>
          </w:p>
          <w:p>
            <w:pPr>
              <w:widowControl/>
              <w:spacing w:line="280" w:lineRule="exact"/>
              <w:jc w:val="center"/>
              <w:rPr>
                <w:rFonts w:ascii="宋体" w:hAnsi="宋体" w:cs="Arial"/>
                <w:kern w:val="0"/>
                <w:sz w:val="18"/>
                <w:szCs w:val="18"/>
              </w:rPr>
            </w:pPr>
            <w:r>
              <w:rPr>
                <w:rFonts w:ascii="宋体" w:hAnsi="宋体" w:cs="Arial"/>
                <w:kern w:val="0"/>
                <w:sz w:val="18"/>
                <w:szCs w:val="18"/>
              </w:rPr>
              <w:t>2800020</w:t>
            </w:r>
          </w:p>
          <w:p>
            <w:pPr>
              <w:widowControl/>
              <w:spacing w:line="280" w:lineRule="exact"/>
              <w:jc w:val="center"/>
              <w:rPr>
                <w:rFonts w:ascii="宋体" w:hAnsi="宋体" w:cs="Arial"/>
                <w:kern w:val="0"/>
                <w:sz w:val="18"/>
                <w:szCs w:val="18"/>
              </w:rPr>
            </w:pPr>
            <w:r>
              <w:rPr>
                <w:rFonts w:ascii="宋体" w:hAnsi="宋体" w:cs="Arial"/>
                <w:kern w:val="0"/>
                <w:sz w:val="18"/>
                <w:szCs w:val="18"/>
              </w:rPr>
              <w:t>3011010</w:t>
            </w:r>
          </w:p>
          <w:p>
            <w:pPr>
              <w:widowControl/>
              <w:spacing w:line="280" w:lineRule="exact"/>
              <w:jc w:val="center"/>
              <w:rPr>
                <w:rFonts w:ascii="宋体" w:hAnsi="宋体" w:cs="Arial"/>
                <w:kern w:val="0"/>
                <w:sz w:val="18"/>
                <w:szCs w:val="18"/>
              </w:rPr>
            </w:pPr>
            <w:r>
              <w:rPr>
                <w:rFonts w:ascii="宋体" w:hAnsi="宋体" w:cs="Arial"/>
                <w:kern w:val="0"/>
                <w:sz w:val="18"/>
                <w:szCs w:val="18"/>
              </w:rPr>
              <w:t>3011030</w:t>
            </w:r>
          </w:p>
          <w:p>
            <w:pPr>
              <w:widowControl/>
              <w:spacing w:line="280" w:lineRule="exact"/>
              <w:jc w:val="center"/>
              <w:rPr>
                <w:rFonts w:ascii="宋体" w:hAnsi="宋体" w:cs="Arial"/>
                <w:kern w:val="0"/>
                <w:sz w:val="18"/>
                <w:szCs w:val="18"/>
              </w:rPr>
            </w:pPr>
            <w:r>
              <w:rPr>
                <w:rFonts w:ascii="宋体" w:hAnsi="宋体" w:cs="Arial"/>
                <w:kern w:val="0"/>
                <w:sz w:val="18"/>
                <w:szCs w:val="18"/>
              </w:rPr>
              <w:t>3041010</w:t>
            </w:r>
          </w:p>
          <w:p>
            <w:pPr>
              <w:widowControl/>
              <w:spacing w:line="280" w:lineRule="exact"/>
              <w:jc w:val="center"/>
              <w:rPr>
                <w:rFonts w:ascii="宋体" w:hAnsi="宋体" w:cs="Arial"/>
                <w:kern w:val="0"/>
                <w:sz w:val="18"/>
                <w:szCs w:val="18"/>
              </w:rPr>
            </w:pPr>
            <w:r>
              <w:rPr>
                <w:rFonts w:ascii="宋体" w:hAnsi="宋体" w:cs="Arial"/>
                <w:kern w:val="0"/>
                <w:sz w:val="18"/>
                <w:szCs w:val="18"/>
              </w:rPr>
              <w:t>3110010</w:t>
            </w:r>
          </w:p>
          <w:p>
            <w:pPr>
              <w:widowControl/>
              <w:spacing w:line="280" w:lineRule="exact"/>
              <w:jc w:val="center"/>
              <w:rPr>
                <w:rFonts w:ascii="宋体" w:hAnsi="宋体" w:cs="Arial"/>
                <w:kern w:val="0"/>
                <w:sz w:val="18"/>
                <w:szCs w:val="18"/>
              </w:rPr>
            </w:pPr>
            <w:r>
              <w:rPr>
                <w:rFonts w:ascii="宋体" w:hAnsi="宋体" w:cs="Arial"/>
                <w:kern w:val="0"/>
                <w:sz w:val="18"/>
                <w:szCs w:val="18"/>
              </w:rPr>
              <w:t>3120010</w:t>
            </w:r>
          </w:p>
          <w:p>
            <w:pPr>
              <w:widowControl/>
              <w:spacing w:line="280" w:lineRule="exact"/>
              <w:jc w:val="center"/>
              <w:rPr>
                <w:rFonts w:ascii="宋体" w:cs="Arial"/>
                <w:kern w:val="0"/>
                <w:sz w:val="18"/>
                <w:szCs w:val="18"/>
              </w:rPr>
            </w:pPr>
            <w:r>
              <w:rPr>
                <w:rFonts w:ascii="宋体" w:hAnsi="宋体" w:cs="Arial"/>
                <w:kern w:val="0"/>
                <w:sz w:val="18"/>
                <w:szCs w:val="18"/>
              </w:rPr>
              <w:t>3130710</w:t>
            </w:r>
          </w:p>
          <w:p>
            <w:pPr>
              <w:widowControl/>
              <w:spacing w:line="280" w:lineRule="exact"/>
              <w:jc w:val="center"/>
              <w:rPr>
                <w:rFonts w:ascii="宋体" w:hAnsi="宋体" w:cs="Arial"/>
                <w:kern w:val="0"/>
                <w:sz w:val="18"/>
                <w:szCs w:val="18"/>
              </w:rPr>
            </w:pPr>
            <w:r>
              <w:rPr>
                <w:rFonts w:ascii="宋体" w:hAnsi="宋体" w:cs="Arial"/>
                <w:kern w:val="0"/>
                <w:sz w:val="18"/>
                <w:szCs w:val="18"/>
              </w:rPr>
              <w:t>314</w:t>
            </w:r>
            <w:r>
              <w:rPr>
                <w:rFonts w:ascii="宋体" w:cs="Arial"/>
                <w:kern w:val="0"/>
                <w:sz w:val="18"/>
                <w:szCs w:val="18"/>
              </w:rPr>
              <w:t>0</w:t>
            </w:r>
            <w:r>
              <w:rPr>
                <w:rFonts w:ascii="宋体" w:hAnsi="宋体" w:cs="Arial"/>
                <w:kern w:val="0"/>
                <w:sz w:val="18"/>
                <w:szCs w:val="18"/>
              </w:rPr>
              <w:t>710</w:t>
            </w:r>
          </w:p>
          <w:p>
            <w:pPr>
              <w:widowControl/>
              <w:spacing w:line="280" w:lineRule="exact"/>
              <w:jc w:val="center"/>
              <w:rPr>
                <w:rFonts w:ascii="宋体" w:hAnsi="宋体" w:cs="Arial"/>
                <w:kern w:val="0"/>
                <w:sz w:val="18"/>
                <w:szCs w:val="18"/>
              </w:rPr>
            </w:pPr>
            <w:r>
              <w:rPr>
                <w:rFonts w:ascii="宋体" w:hAnsi="宋体" w:cs="Arial"/>
                <w:kern w:val="0"/>
                <w:sz w:val="18"/>
                <w:szCs w:val="18"/>
              </w:rPr>
              <w:t>3216020</w:t>
            </w:r>
          </w:p>
          <w:p>
            <w:pPr>
              <w:widowControl/>
              <w:spacing w:line="280" w:lineRule="exact"/>
              <w:jc w:val="center"/>
              <w:rPr>
                <w:rFonts w:ascii="宋体" w:hAnsi="宋体" w:cs="Arial"/>
                <w:kern w:val="0"/>
                <w:sz w:val="18"/>
                <w:szCs w:val="18"/>
              </w:rPr>
            </w:pPr>
            <w:r>
              <w:rPr>
                <w:rFonts w:ascii="宋体" w:hAnsi="宋体" w:cs="Arial"/>
                <w:kern w:val="0"/>
                <w:sz w:val="18"/>
                <w:szCs w:val="18"/>
              </w:rPr>
              <w:t>3421010</w:t>
            </w:r>
          </w:p>
          <w:p>
            <w:pPr>
              <w:widowControl/>
              <w:spacing w:line="280" w:lineRule="exact"/>
              <w:jc w:val="center"/>
              <w:rPr>
                <w:rFonts w:ascii="宋体" w:cs="Arial"/>
                <w:kern w:val="0"/>
                <w:sz w:val="18"/>
                <w:szCs w:val="18"/>
              </w:rPr>
            </w:pPr>
            <w:r>
              <w:rPr>
                <w:rFonts w:ascii="宋体" w:hAnsi="宋体" w:cs="Arial"/>
                <w:kern w:val="0"/>
                <w:sz w:val="18"/>
                <w:szCs w:val="18"/>
              </w:rPr>
              <w:t>3514711</w:t>
            </w:r>
          </w:p>
          <w:p>
            <w:pPr>
              <w:widowControl/>
              <w:spacing w:line="280" w:lineRule="exact"/>
              <w:jc w:val="center"/>
              <w:rPr>
                <w:rFonts w:ascii="宋体" w:hAnsi="宋体" w:cs="Arial"/>
                <w:kern w:val="0"/>
                <w:sz w:val="18"/>
                <w:szCs w:val="18"/>
              </w:rPr>
            </w:pPr>
            <w:r>
              <w:rPr>
                <w:rFonts w:ascii="宋体" w:hAnsi="宋体" w:cs="Arial"/>
                <w:kern w:val="0"/>
                <w:sz w:val="18"/>
                <w:szCs w:val="18"/>
              </w:rPr>
              <w:t>3610010</w:t>
            </w:r>
          </w:p>
          <w:p>
            <w:pPr>
              <w:widowControl/>
              <w:spacing w:line="280" w:lineRule="exact"/>
              <w:jc w:val="center"/>
              <w:rPr>
                <w:rFonts w:ascii="宋体" w:hAnsi="宋体" w:cs="Arial"/>
                <w:kern w:val="0"/>
                <w:sz w:val="18"/>
                <w:szCs w:val="18"/>
              </w:rPr>
            </w:pPr>
            <w:r>
              <w:rPr>
                <w:rFonts w:ascii="宋体" w:hAnsi="宋体" w:cs="Arial"/>
                <w:kern w:val="0"/>
                <w:sz w:val="18"/>
                <w:szCs w:val="18"/>
              </w:rPr>
              <w:t>3610020</w:t>
            </w:r>
          </w:p>
          <w:p>
            <w:pPr>
              <w:widowControl/>
              <w:spacing w:line="280" w:lineRule="exact"/>
              <w:jc w:val="center"/>
              <w:rPr>
                <w:rFonts w:ascii="宋体" w:hAnsi="宋体" w:cs="Arial"/>
                <w:kern w:val="0"/>
                <w:sz w:val="18"/>
                <w:szCs w:val="18"/>
              </w:rPr>
            </w:pPr>
            <w:r>
              <w:rPr>
                <w:rFonts w:ascii="宋体" w:hAnsi="宋体" w:cs="Arial"/>
                <w:kern w:val="0"/>
                <w:sz w:val="18"/>
                <w:szCs w:val="18"/>
              </w:rPr>
              <w:t>3610042</w:t>
            </w:r>
          </w:p>
          <w:p>
            <w:pPr>
              <w:widowControl/>
              <w:spacing w:line="280" w:lineRule="exact"/>
              <w:jc w:val="center"/>
              <w:rPr>
                <w:rFonts w:ascii="宋体" w:hAnsi="宋体" w:cs="Arial"/>
                <w:kern w:val="0"/>
                <w:sz w:val="18"/>
                <w:szCs w:val="18"/>
              </w:rPr>
            </w:pPr>
            <w:r>
              <w:rPr>
                <w:rFonts w:ascii="宋体" w:hAnsi="宋体" w:cs="Arial"/>
                <w:kern w:val="0"/>
                <w:sz w:val="18"/>
                <w:szCs w:val="18"/>
              </w:rPr>
              <w:t>3610100</w:t>
            </w:r>
          </w:p>
          <w:p>
            <w:pPr>
              <w:widowControl/>
              <w:spacing w:line="280" w:lineRule="exact"/>
              <w:jc w:val="center"/>
              <w:rPr>
                <w:rFonts w:ascii="宋体" w:hAnsi="宋体" w:cs="Arial"/>
                <w:kern w:val="0"/>
                <w:sz w:val="18"/>
                <w:szCs w:val="18"/>
              </w:rPr>
            </w:pPr>
            <w:r>
              <w:rPr>
                <w:rFonts w:ascii="宋体" w:hAnsi="宋体" w:cs="Arial"/>
                <w:kern w:val="0"/>
                <w:sz w:val="18"/>
                <w:szCs w:val="18"/>
              </w:rPr>
              <w:t>3610052</w:t>
            </w:r>
          </w:p>
          <w:p>
            <w:pPr>
              <w:widowControl/>
              <w:spacing w:line="280" w:lineRule="exact"/>
              <w:jc w:val="center"/>
              <w:rPr>
                <w:rFonts w:ascii="宋体" w:hAnsi="宋体" w:cs="Arial"/>
                <w:kern w:val="0"/>
                <w:sz w:val="18"/>
                <w:szCs w:val="18"/>
              </w:rPr>
            </w:pPr>
            <w:r>
              <w:rPr>
                <w:rFonts w:ascii="宋体" w:hAnsi="宋体" w:cs="Arial"/>
                <w:kern w:val="0"/>
                <w:sz w:val="18"/>
                <w:szCs w:val="18"/>
              </w:rPr>
              <w:t>3731010</w:t>
            </w:r>
          </w:p>
          <w:p>
            <w:pPr>
              <w:widowControl/>
              <w:spacing w:line="280" w:lineRule="exact"/>
              <w:jc w:val="center"/>
              <w:rPr>
                <w:rFonts w:ascii="宋体" w:hAnsi="宋体" w:cs="Arial"/>
                <w:kern w:val="0"/>
                <w:sz w:val="18"/>
                <w:szCs w:val="18"/>
              </w:rPr>
            </w:pPr>
            <w:r>
              <w:rPr>
                <w:rFonts w:ascii="宋体" w:hAnsi="宋体" w:cs="Arial"/>
                <w:kern w:val="0"/>
                <w:sz w:val="18"/>
                <w:szCs w:val="18"/>
              </w:rPr>
              <w:t>3849100</w:t>
            </w:r>
          </w:p>
          <w:p>
            <w:pPr>
              <w:widowControl/>
              <w:spacing w:line="280" w:lineRule="exact"/>
              <w:jc w:val="center"/>
              <w:rPr>
                <w:rFonts w:ascii="宋体" w:hAnsi="宋体" w:cs="Arial"/>
                <w:kern w:val="0"/>
                <w:sz w:val="18"/>
                <w:szCs w:val="18"/>
              </w:rPr>
            </w:pPr>
            <w:r>
              <w:rPr>
                <w:rFonts w:ascii="宋体" w:hAnsi="宋体" w:cs="Arial"/>
                <w:kern w:val="0"/>
                <w:sz w:val="18"/>
                <w:szCs w:val="18"/>
              </w:rPr>
              <w:t>3851010</w:t>
            </w:r>
          </w:p>
          <w:p>
            <w:pPr>
              <w:widowControl/>
              <w:spacing w:line="280" w:lineRule="exact"/>
              <w:jc w:val="center"/>
              <w:rPr>
                <w:rFonts w:ascii="宋体" w:hAnsi="宋体" w:cs="Arial"/>
                <w:kern w:val="0"/>
                <w:sz w:val="18"/>
                <w:szCs w:val="18"/>
              </w:rPr>
            </w:pPr>
            <w:r>
              <w:rPr>
                <w:rFonts w:ascii="宋体" w:hAnsi="宋体" w:cs="Arial"/>
                <w:kern w:val="0"/>
                <w:sz w:val="18"/>
                <w:szCs w:val="18"/>
              </w:rPr>
              <w:t>3852010</w:t>
            </w:r>
          </w:p>
          <w:p>
            <w:pPr>
              <w:widowControl/>
              <w:spacing w:line="280" w:lineRule="exact"/>
              <w:jc w:val="center"/>
              <w:rPr>
                <w:rFonts w:ascii="宋体" w:hAnsi="宋体" w:cs="Arial"/>
                <w:kern w:val="0"/>
                <w:sz w:val="18"/>
                <w:szCs w:val="18"/>
              </w:rPr>
            </w:pPr>
            <w:r>
              <w:rPr>
                <w:rFonts w:ascii="宋体" w:hAnsi="宋体" w:cs="Arial"/>
                <w:kern w:val="0"/>
                <w:sz w:val="18"/>
                <w:szCs w:val="18"/>
              </w:rPr>
              <w:t>3911030</w:t>
            </w:r>
          </w:p>
          <w:p>
            <w:pPr>
              <w:widowControl/>
              <w:spacing w:line="280" w:lineRule="exact"/>
              <w:jc w:val="center"/>
              <w:rPr>
                <w:rFonts w:ascii="宋体" w:hAnsi="宋体" w:cs="Arial"/>
                <w:kern w:val="0"/>
                <w:sz w:val="18"/>
                <w:szCs w:val="18"/>
              </w:rPr>
            </w:pPr>
            <w:r>
              <w:rPr>
                <w:rFonts w:ascii="宋体" w:hAnsi="宋体" w:cs="Arial"/>
                <w:kern w:val="0"/>
                <w:sz w:val="18"/>
                <w:szCs w:val="18"/>
              </w:rPr>
              <w:t>3922040</w:t>
            </w:r>
          </w:p>
          <w:p>
            <w:pPr>
              <w:widowControl/>
              <w:spacing w:line="280" w:lineRule="exact"/>
              <w:jc w:val="center"/>
              <w:rPr>
                <w:rFonts w:ascii="宋体" w:hAnsi="宋体" w:cs="Arial"/>
                <w:kern w:val="0"/>
                <w:sz w:val="18"/>
                <w:szCs w:val="18"/>
              </w:rPr>
            </w:pPr>
            <w:r>
              <w:rPr>
                <w:rFonts w:ascii="宋体" w:hAnsi="宋体" w:cs="Arial"/>
                <w:kern w:val="0"/>
                <w:sz w:val="18"/>
                <w:szCs w:val="18"/>
              </w:rPr>
              <w:t>3951010</w:t>
            </w:r>
          </w:p>
          <w:p>
            <w:pPr>
              <w:widowControl/>
              <w:spacing w:line="280" w:lineRule="exact"/>
              <w:jc w:val="center"/>
              <w:rPr>
                <w:rFonts w:ascii="宋体" w:hAnsi="宋体" w:cs="Arial"/>
                <w:kern w:val="0"/>
                <w:sz w:val="18"/>
                <w:szCs w:val="18"/>
              </w:rPr>
            </w:pPr>
            <w:r>
              <w:rPr>
                <w:rFonts w:ascii="宋体" w:hAnsi="宋体" w:cs="Arial"/>
                <w:kern w:val="0"/>
                <w:sz w:val="18"/>
                <w:szCs w:val="18"/>
              </w:rPr>
              <w:t>4410010</w:t>
            </w:r>
          </w:p>
          <w:p>
            <w:pPr>
              <w:widowControl/>
              <w:spacing w:line="280" w:lineRule="exact"/>
              <w:jc w:val="center"/>
              <w:rPr>
                <w:rFonts w:ascii="宋体" w:hAnsi="宋体" w:cs="Arial"/>
                <w:kern w:val="0"/>
                <w:sz w:val="18"/>
                <w:szCs w:val="18"/>
              </w:rPr>
            </w:pPr>
            <w:r>
              <w:rPr>
                <w:rFonts w:ascii="宋体" w:hAnsi="宋体" w:cs="Arial"/>
                <w:kern w:val="0"/>
                <w:sz w:val="18"/>
                <w:szCs w:val="18"/>
              </w:rPr>
              <w:t>4411010</w:t>
            </w:r>
          </w:p>
          <w:p>
            <w:pPr>
              <w:widowControl/>
              <w:spacing w:line="280" w:lineRule="exact"/>
              <w:jc w:val="center"/>
              <w:rPr>
                <w:rFonts w:ascii="宋体" w:hAnsi="宋体" w:cs="Arial"/>
                <w:kern w:val="0"/>
                <w:sz w:val="18"/>
                <w:szCs w:val="18"/>
              </w:rPr>
            </w:pPr>
            <w:r>
              <w:rPr>
                <w:rFonts w:ascii="宋体" w:hAnsi="宋体" w:cs="Arial"/>
                <w:kern w:val="0"/>
                <w:sz w:val="18"/>
                <w:szCs w:val="18"/>
              </w:rPr>
              <w:t>4412010</w:t>
            </w:r>
          </w:p>
          <w:p>
            <w:pPr>
              <w:widowControl/>
              <w:spacing w:line="280" w:lineRule="exact"/>
              <w:jc w:val="center"/>
              <w:rPr>
                <w:rFonts w:ascii="宋体" w:hAnsi="宋体" w:cs="Arial"/>
                <w:kern w:val="0"/>
                <w:sz w:val="18"/>
                <w:szCs w:val="18"/>
              </w:rPr>
            </w:pPr>
            <w:r>
              <w:rPr>
                <w:rFonts w:ascii="宋体" w:hAnsi="宋体" w:cs="Arial"/>
                <w:kern w:val="0"/>
                <w:sz w:val="18"/>
                <w:szCs w:val="18"/>
              </w:rPr>
              <w:t>4413010</w:t>
            </w:r>
          </w:p>
          <w:p>
            <w:pPr>
              <w:spacing w:line="280" w:lineRule="exact"/>
              <w:jc w:val="center"/>
              <w:rPr>
                <w:rFonts w:ascii="宋体" w:hAnsi="宋体" w:cs="Arial"/>
                <w:kern w:val="0"/>
                <w:sz w:val="18"/>
                <w:szCs w:val="18"/>
              </w:rPr>
            </w:pPr>
            <w:r>
              <w:rPr>
                <w:rFonts w:ascii="宋体" w:hAnsi="宋体" w:cs="Arial"/>
                <w:kern w:val="0"/>
                <w:sz w:val="18"/>
                <w:szCs w:val="18"/>
              </w:rPr>
              <w:t>4414010</w:t>
            </w:r>
          </w:p>
        </w:tc>
        <w:tc>
          <w:tcPr>
            <w:tcW w:w="2443" w:type="pct"/>
            <w:tcBorders>
              <w:bottom w:val="single" w:color="auto" w:sz="8" w:space="0"/>
            </w:tcBorders>
            <w:noWrap/>
            <w:vAlign w:val="top"/>
          </w:tcPr>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原煤</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天然原油</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卷烟</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棉纺锭／纺纱量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气流纺锭／纺纱量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棉布织机／布</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原油加工能力／原油加工量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焦炭</w:t>
            </w:r>
          </w:p>
          <w:p>
            <w:pPr>
              <w:widowControl/>
              <w:spacing w:line="280" w:lineRule="exact"/>
              <w:rPr>
                <w:rFonts w:ascii="宋体" w:hAns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烧碱</w:t>
            </w:r>
            <w:r>
              <w:rPr>
                <w:rFonts w:ascii="宋体" w:hAnsi="宋体" w:cs="Arial"/>
                <w:kern w:val="0"/>
                <w:sz w:val="18"/>
                <w:szCs w:val="18"/>
              </w:rPr>
              <w:t>(</w:t>
            </w:r>
            <w:r>
              <w:rPr>
                <w:rFonts w:hint="eastAsia" w:ascii="宋体" w:hAnsi="宋体" w:cs="Arial"/>
                <w:kern w:val="0"/>
                <w:sz w:val="18"/>
                <w:szCs w:val="18"/>
              </w:rPr>
              <w:t>折</w:t>
            </w:r>
            <w:r>
              <w:rPr>
                <w:rFonts w:ascii="宋体" w:hAnsi="宋体" w:cs="Arial"/>
                <w:kern w:val="0"/>
                <w:sz w:val="18"/>
                <w:szCs w:val="18"/>
              </w:rPr>
              <w:t>100%)</w:t>
            </w:r>
          </w:p>
          <w:p>
            <w:pPr>
              <w:widowControl/>
              <w:spacing w:line="280" w:lineRule="exact"/>
              <w:rPr>
                <w:rFonts w:ascii="宋体" w:hAns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碳化钙</w:t>
            </w:r>
            <w:r>
              <w:rPr>
                <w:rFonts w:ascii="宋体" w:hAnsi="宋体" w:cs="Arial"/>
                <w:kern w:val="0"/>
                <w:sz w:val="18"/>
                <w:szCs w:val="18"/>
              </w:rPr>
              <w:t>(</w:t>
            </w:r>
            <w:r>
              <w:rPr>
                <w:rFonts w:hint="eastAsia" w:ascii="宋体" w:hAnsi="宋体" w:cs="Arial"/>
                <w:kern w:val="0"/>
                <w:sz w:val="18"/>
                <w:szCs w:val="18"/>
              </w:rPr>
              <w:t>电石，折</w:t>
            </w:r>
            <w:r>
              <w:rPr>
                <w:rFonts w:ascii="宋体" w:hAnsi="宋体" w:cs="Arial"/>
                <w:kern w:val="0"/>
                <w:sz w:val="18"/>
                <w:szCs w:val="18"/>
              </w:rPr>
              <w:t>300</w:t>
            </w:r>
            <w:r>
              <w:rPr>
                <w:rFonts w:hint="eastAsia" w:ascii="宋体" w:hAnsi="宋体" w:cs="Arial"/>
                <w:kern w:val="0"/>
                <w:sz w:val="18"/>
                <w:szCs w:val="18"/>
              </w:rPr>
              <w:t>升／千克</w:t>
            </w:r>
            <w:r>
              <w:rPr>
                <w:rFonts w:ascii="宋体" w:hAnsi="宋体" w:cs="Arial"/>
                <w:kern w:val="0"/>
                <w:sz w:val="18"/>
                <w:szCs w:val="18"/>
              </w:rPr>
              <w:t>)</w:t>
            </w:r>
          </w:p>
          <w:p>
            <w:pPr>
              <w:widowControl/>
              <w:spacing w:line="280" w:lineRule="exact"/>
              <w:rPr>
                <w:rFonts w:ascii="宋体" w:hAns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农用氮、磷、钾化学肥料总计</w:t>
            </w:r>
            <w:r>
              <w:rPr>
                <w:rFonts w:ascii="宋体" w:hAnsi="宋体" w:cs="Arial"/>
                <w:kern w:val="0"/>
                <w:sz w:val="18"/>
                <w:szCs w:val="18"/>
              </w:rPr>
              <w:t>(</w:t>
            </w:r>
            <w:r>
              <w:rPr>
                <w:rFonts w:hint="eastAsia" w:ascii="宋体" w:hAnsi="宋体" w:cs="Arial"/>
                <w:kern w:val="0"/>
                <w:sz w:val="18"/>
                <w:szCs w:val="18"/>
              </w:rPr>
              <w:t>折纯</w:t>
            </w:r>
            <w:r>
              <w:rPr>
                <w:rFonts w:ascii="宋体" w:hAnsi="宋体" w:cs="Arial"/>
                <w:kern w:val="0"/>
                <w:sz w:val="18"/>
                <w:szCs w:val="18"/>
              </w:rPr>
              <w:t>)</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初级形态塑料</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化学纤维</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硅酸盐水泥熟料</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水泥</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平板玻璃</w:t>
            </w:r>
          </w:p>
          <w:p>
            <w:pPr>
              <w:widowControl/>
              <w:spacing w:line="280" w:lineRule="exact"/>
              <w:ind w:firstLine="90" w:firstLineChars="50"/>
              <w:rPr>
                <w:rFonts w:ascii="宋体" w:cs="Arial"/>
                <w:kern w:val="0"/>
                <w:sz w:val="18"/>
                <w:szCs w:val="18"/>
              </w:rPr>
            </w:pPr>
            <w:r>
              <w:rPr>
                <w:rFonts w:hint="eastAsia" w:ascii="宋体" w:hAnsi="宋体" w:cs="Arial"/>
                <w:kern w:val="0"/>
                <w:sz w:val="18"/>
                <w:szCs w:val="18"/>
              </w:rPr>
              <w:t>生铁</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粗钢</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钢材</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铁合金</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原铝（电解铝）</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金属切削机床</w:t>
            </w:r>
          </w:p>
          <w:p>
            <w:pPr>
              <w:widowControl/>
              <w:spacing w:line="280" w:lineRule="exact"/>
              <w:ind w:firstLine="90" w:firstLineChars="50"/>
              <w:rPr>
                <w:rFonts w:ascii="宋体" w:cs="Arial"/>
                <w:kern w:val="0"/>
                <w:sz w:val="18"/>
                <w:szCs w:val="18"/>
              </w:rPr>
            </w:pPr>
            <w:r>
              <w:rPr>
                <w:rFonts w:hint="eastAsia" w:ascii="宋体" w:hAnsi="宋体" w:cs="Arial"/>
                <w:kern w:val="0"/>
                <w:sz w:val="18"/>
                <w:szCs w:val="18"/>
              </w:rPr>
              <w:t>挖掘机</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汽车</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其中：乘用车</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其中：新能源乘用车</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商用车</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其中：新能源商用车</w:t>
            </w:r>
          </w:p>
          <w:p>
            <w:pPr>
              <w:widowControl/>
              <w:spacing w:line="280" w:lineRule="exact"/>
              <w:ind w:firstLine="90" w:firstLineChars="50"/>
              <w:rPr>
                <w:rFonts w:ascii="宋体" w:cs="Arial"/>
                <w:kern w:val="0"/>
                <w:sz w:val="18"/>
                <w:szCs w:val="18"/>
              </w:rPr>
            </w:pPr>
            <w:r>
              <w:rPr>
                <w:rFonts w:hint="eastAsia" w:ascii="宋体" w:hAnsi="宋体" w:cs="Arial"/>
                <w:kern w:val="0"/>
                <w:sz w:val="18"/>
                <w:szCs w:val="18"/>
              </w:rPr>
              <w:t>民用钢质船舶</w:t>
            </w:r>
          </w:p>
          <w:p>
            <w:pPr>
              <w:widowControl/>
              <w:spacing w:line="280" w:lineRule="exact"/>
              <w:ind w:firstLine="90" w:firstLineChars="50"/>
              <w:rPr>
                <w:rFonts w:ascii="宋体" w:cs="Arial"/>
                <w:kern w:val="0"/>
                <w:sz w:val="18"/>
                <w:szCs w:val="18"/>
              </w:rPr>
            </w:pPr>
            <w:r>
              <w:rPr>
                <w:rFonts w:hint="eastAsia" w:ascii="宋体" w:hAnsi="宋体" w:cs="Arial"/>
                <w:kern w:val="0"/>
                <w:sz w:val="18"/>
                <w:szCs w:val="18"/>
              </w:rPr>
              <w:t>太阳能电池</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家用电冰箱</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房间空气调节器</w:t>
            </w:r>
          </w:p>
          <w:p>
            <w:pPr>
              <w:widowControl/>
              <w:spacing w:line="280" w:lineRule="exact"/>
              <w:ind w:firstLine="90" w:firstLineChars="50"/>
              <w:rPr>
                <w:rFonts w:ascii="宋体" w:cs="Arial"/>
                <w:kern w:val="0"/>
                <w:sz w:val="18"/>
                <w:szCs w:val="18"/>
              </w:rPr>
            </w:pPr>
            <w:r>
              <w:rPr>
                <w:rFonts w:hint="eastAsia" w:ascii="宋体" w:hAnsi="宋体" w:cs="Arial"/>
                <w:kern w:val="0"/>
                <w:sz w:val="18"/>
                <w:szCs w:val="18"/>
              </w:rPr>
              <w:t>微型计算机设备</w:t>
            </w:r>
          </w:p>
          <w:p>
            <w:pPr>
              <w:widowControl/>
              <w:spacing w:line="280" w:lineRule="exact"/>
              <w:rPr>
                <w:rFonts w:ascii="宋体" w:hAns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移动通信手持机</w:t>
            </w:r>
            <w:r>
              <w:rPr>
                <w:rFonts w:ascii="宋体" w:hAnsi="宋体" w:cs="Arial"/>
                <w:kern w:val="0"/>
                <w:sz w:val="18"/>
                <w:szCs w:val="18"/>
              </w:rPr>
              <w:t>(</w:t>
            </w:r>
            <w:r>
              <w:rPr>
                <w:rFonts w:hint="eastAsia" w:ascii="宋体" w:hAnsi="宋体" w:cs="Arial"/>
                <w:kern w:val="0"/>
                <w:sz w:val="18"/>
                <w:szCs w:val="18"/>
              </w:rPr>
              <w:t>手机</w:t>
            </w:r>
            <w:r>
              <w:rPr>
                <w:rFonts w:ascii="宋体" w:hAnsi="宋体" w:cs="Arial"/>
                <w:kern w:val="0"/>
                <w:sz w:val="18"/>
                <w:szCs w:val="18"/>
              </w:rPr>
              <w:t>)</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彩色电视机</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发电设备容量总计／发电量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其中：火电设备容量／发电量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水电设备容量／发电量</w:t>
            </w:r>
          </w:p>
          <w:p>
            <w:pPr>
              <w:widowControl/>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核电设备容量／发电量</w:t>
            </w:r>
          </w:p>
          <w:p>
            <w:pPr>
              <w:spacing w:line="280" w:lineRule="exact"/>
              <w:rPr>
                <w:rFonts w:ascii="宋体" w:cs="Arial"/>
                <w:kern w:val="0"/>
                <w:sz w:val="18"/>
                <w:szCs w:val="18"/>
              </w:rPr>
            </w:pPr>
            <w:r>
              <w:rPr>
                <w:rFonts w:ascii="宋体" w:hAnsi="宋体" w:cs="Arial"/>
                <w:kern w:val="0"/>
                <w:sz w:val="18"/>
                <w:szCs w:val="18"/>
              </w:rPr>
              <w:t xml:space="preserve">         </w:t>
            </w:r>
            <w:r>
              <w:rPr>
                <w:rFonts w:hint="eastAsia" w:ascii="宋体" w:hAnsi="宋体" w:cs="Arial"/>
                <w:kern w:val="0"/>
                <w:sz w:val="18"/>
                <w:szCs w:val="18"/>
              </w:rPr>
              <w:t>风电设备容量／发电量</w:t>
            </w:r>
          </w:p>
        </w:tc>
        <w:tc>
          <w:tcPr>
            <w:tcW w:w="1777" w:type="pct"/>
            <w:tcBorders>
              <w:bottom w:val="single" w:color="auto" w:sz="8" w:space="0"/>
            </w:tcBorders>
            <w:noWrap/>
            <w:vAlign w:val="top"/>
          </w:tcPr>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万支</w:t>
            </w:r>
          </w:p>
          <w:p>
            <w:pPr>
              <w:widowControl/>
              <w:spacing w:line="280" w:lineRule="exact"/>
              <w:jc w:val="center"/>
              <w:rPr>
                <w:rFonts w:ascii="宋体" w:cs="Arial"/>
                <w:kern w:val="0"/>
                <w:sz w:val="18"/>
                <w:szCs w:val="18"/>
              </w:rPr>
            </w:pPr>
            <w:r>
              <w:rPr>
                <w:rFonts w:hint="eastAsia" w:ascii="宋体" w:hAnsi="宋体" w:cs="Arial"/>
                <w:kern w:val="0"/>
                <w:sz w:val="18"/>
                <w:szCs w:val="18"/>
              </w:rPr>
              <w:t>锭／吨</w:t>
            </w:r>
          </w:p>
          <w:p>
            <w:pPr>
              <w:widowControl/>
              <w:spacing w:line="280" w:lineRule="exact"/>
              <w:jc w:val="center"/>
              <w:rPr>
                <w:rFonts w:ascii="宋体" w:cs="Arial"/>
                <w:kern w:val="0"/>
                <w:sz w:val="18"/>
                <w:szCs w:val="18"/>
              </w:rPr>
            </w:pPr>
            <w:r>
              <w:rPr>
                <w:rFonts w:hint="eastAsia" w:ascii="宋体" w:hAnsi="宋体" w:cs="Arial"/>
                <w:kern w:val="0"/>
                <w:sz w:val="18"/>
                <w:szCs w:val="18"/>
              </w:rPr>
              <w:t>头／吨</w:t>
            </w:r>
          </w:p>
          <w:p>
            <w:pPr>
              <w:widowControl/>
              <w:spacing w:line="280" w:lineRule="exact"/>
              <w:jc w:val="center"/>
              <w:rPr>
                <w:rFonts w:ascii="宋体" w:cs="Arial"/>
                <w:kern w:val="0"/>
                <w:sz w:val="18"/>
                <w:szCs w:val="18"/>
              </w:rPr>
            </w:pPr>
            <w:r>
              <w:rPr>
                <w:rFonts w:hint="eastAsia" w:ascii="宋体" w:hAnsi="宋体" w:cs="Arial"/>
                <w:kern w:val="0"/>
                <w:sz w:val="18"/>
                <w:szCs w:val="18"/>
              </w:rPr>
              <w:t>台／万米</w:t>
            </w:r>
          </w:p>
          <w:p>
            <w:pPr>
              <w:widowControl/>
              <w:spacing w:line="280" w:lineRule="exact"/>
              <w:jc w:val="center"/>
              <w:rPr>
                <w:rFonts w:ascii="宋体" w:cs="Arial"/>
                <w:kern w:val="0"/>
                <w:sz w:val="18"/>
                <w:szCs w:val="18"/>
              </w:rPr>
            </w:pPr>
            <w:r>
              <w:rPr>
                <w:rFonts w:hint="eastAsia" w:ascii="宋体" w:hAnsi="宋体" w:cs="Arial"/>
                <w:kern w:val="0"/>
                <w:sz w:val="18"/>
                <w:szCs w:val="18"/>
              </w:rPr>
              <w:t>吨／吨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重量箱</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吨</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辆</w:t>
            </w:r>
          </w:p>
          <w:p>
            <w:pPr>
              <w:widowControl/>
              <w:spacing w:line="280" w:lineRule="exact"/>
              <w:jc w:val="center"/>
              <w:rPr>
                <w:rFonts w:ascii="宋体" w:cs="Arial"/>
                <w:kern w:val="0"/>
                <w:sz w:val="18"/>
                <w:szCs w:val="18"/>
              </w:rPr>
            </w:pPr>
            <w:r>
              <w:rPr>
                <w:rFonts w:hint="eastAsia" w:ascii="宋体" w:hAnsi="宋体" w:cs="Arial"/>
                <w:kern w:val="0"/>
                <w:sz w:val="18"/>
                <w:szCs w:val="18"/>
              </w:rPr>
              <w:t>辆</w:t>
            </w:r>
          </w:p>
          <w:p>
            <w:pPr>
              <w:widowControl/>
              <w:spacing w:line="280" w:lineRule="exact"/>
              <w:jc w:val="center"/>
              <w:rPr>
                <w:rFonts w:ascii="宋体" w:cs="Arial"/>
                <w:kern w:val="0"/>
                <w:sz w:val="18"/>
                <w:szCs w:val="18"/>
              </w:rPr>
            </w:pPr>
            <w:r>
              <w:rPr>
                <w:rFonts w:hint="eastAsia" w:ascii="宋体" w:hAnsi="宋体" w:cs="Arial"/>
                <w:kern w:val="0"/>
                <w:sz w:val="18"/>
                <w:szCs w:val="18"/>
              </w:rPr>
              <w:t>辆</w:t>
            </w:r>
          </w:p>
          <w:p>
            <w:pPr>
              <w:widowControl/>
              <w:spacing w:line="280" w:lineRule="exact"/>
              <w:jc w:val="center"/>
              <w:rPr>
                <w:rFonts w:ascii="宋体" w:cs="Arial"/>
                <w:kern w:val="0"/>
                <w:sz w:val="18"/>
                <w:szCs w:val="18"/>
              </w:rPr>
            </w:pPr>
            <w:r>
              <w:rPr>
                <w:rFonts w:hint="eastAsia" w:ascii="宋体" w:hAnsi="宋体" w:cs="Arial"/>
                <w:kern w:val="0"/>
                <w:sz w:val="18"/>
                <w:szCs w:val="18"/>
              </w:rPr>
              <w:t>辆</w:t>
            </w:r>
          </w:p>
          <w:p>
            <w:pPr>
              <w:widowControl/>
              <w:spacing w:line="280" w:lineRule="exact"/>
              <w:jc w:val="center"/>
              <w:rPr>
                <w:rFonts w:ascii="宋体" w:cs="Arial"/>
                <w:kern w:val="0"/>
                <w:sz w:val="18"/>
                <w:szCs w:val="18"/>
              </w:rPr>
            </w:pPr>
            <w:r>
              <w:rPr>
                <w:rFonts w:hint="eastAsia" w:ascii="宋体" w:hAnsi="宋体" w:cs="Arial"/>
                <w:kern w:val="0"/>
                <w:sz w:val="18"/>
                <w:szCs w:val="18"/>
              </w:rPr>
              <w:t>辆</w:t>
            </w:r>
          </w:p>
          <w:p>
            <w:pPr>
              <w:widowControl/>
              <w:spacing w:line="280" w:lineRule="exact"/>
              <w:jc w:val="center"/>
              <w:rPr>
                <w:rFonts w:ascii="宋体" w:cs="Arial"/>
                <w:kern w:val="0"/>
                <w:sz w:val="18"/>
                <w:szCs w:val="18"/>
              </w:rPr>
            </w:pPr>
            <w:r>
              <w:rPr>
                <w:rFonts w:hint="eastAsia" w:ascii="宋体" w:hAnsi="宋体" w:cs="Arial"/>
                <w:kern w:val="0"/>
                <w:sz w:val="18"/>
                <w:szCs w:val="18"/>
              </w:rPr>
              <w:t>载重吨</w:t>
            </w:r>
          </w:p>
          <w:p>
            <w:pPr>
              <w:widowControl/>
              <w:spacing w:line="280" w:lineRule="exact"/>
              <w:jc w:val="center"/>
              <w:rPr>
                <w:rFonts w:ascii="宋体" w:cs="Arial"/>
                <w:kern w:val="0"/>
                <w:sz w:val="18"/>
                <w:szCs w:val="18"/>
              </w:rPr>
            </w:pPr>
            <w:r>
              <w:rPr>
                <w:rFonts w:hint="eastAsia" w:ascii="宋体" w:hAnsi="宋体" w:cs="Arial"/>
                <w:kern w:val="0"/>
                <w:sz w:val="18"/>
                <w:szCs w:val="18"/>
              </w:rPr>
              <w:t>千瓦</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台</w:t>
            </w:r>
          </w:p>
          <w:p>
            <w:pPr>
              <w:widowControl/>
              <w:spacing w:line="280" w:lineRule="exact"/>
              <w:jc w:val="center"/>
              <w:rPr>
                <w:rFonts w:ascii="宋体" w:cs="Arial"/>
                <w:kern w:val="0"/>
                <w:sz w:val="18"/>
                <w:szCs w:val="18"/>
              </w:rPr>
            </w:pPr>
            <w:r>
              <w:rPr>
                <w:rFonts w:hint="eastAsia" w:ascii="宋体" w:hAnsi="宋体" w:cs="Arial"/>
                <w:kern w:val="0"/>
                <w:sz w:val="18"/>
                <w:szCs w:val="18"/>
              </w:rPr>
              <w:t>万千瓦</w:t>
            </w:r>
            <w:r>
              <w:rPr>
                <w:rFonts w:ascii="宋体" w:hAnsi="宋体" w:cs="Arial"/>
                <w:kern w:val="0"/>
                <w:sz w:val="18"/>
                <w:szCs w:val="18"/>
              </w:rPr>
              <w:t>/</w:t>
            </w:r>
            <w:r>
              <w:rPr>
                <w:rFonts w:hint="eastAsia" w:ascii="宋体" w:hAnsi="宋体" w:cs="Arial"/>
                <w:kern w:val="0"/>
                <w:sz w:val="18"/>
                <w:szCs w:val="18"/>
              </w:rPr>
              <w:t>万千瓦小时</w:t>
            </w:r>
          </w:p>
          <w:p>
            <w:pPr>
              <w:widowControl/>
              <w:spacing w:line="280" w:lineRule="exact"/>
              <w:jc w:val="center"/>
              <w:rPr>
                <w:rFonts w:ascii="宋体" w:cs="Arial"/>
                <w:kern w:val="0"/>
                <w:sz w:val="18"/>
                <w:szCs w:val="18"/>
              </w:rPr>
            </w:pPr>
            <w:r>
              <w:rPr>
                <w:rFonts w:hint="eastAsia" w:ascii="宋体" w:hAnsi="宋体" w:cs="Arial"/>
                <w:kern w:val="0"/>
                <w:sz w:val="18"/>
                <w:szCs w:val="18"/>
              </w:rPr>
              <w:t>万千瓦</w:t>
            </w:r>
            <w:r>
              <w:rPr>
                <w:rFonts w:ascii="宋体" w:hAnsi="宋体" w:cs="Arial"/>
                <w:kern w:val="0"/>
                <w:sz w:val="18"/>
                <w:szCs w:val="18"/>
              </w:rPr>
              <w:t>/</w:t>
            </w:r>
            <w:r>
              <w:rPr>
                <w:rFonts w:hint="eastAsia" w:ascii="宋体" w:hAnsi="宋体" w:cs="Arial"/>
                <w:kern w:val="0"/>
                <w:sz w:val="18"/>
                <w:szCs w:val="18"/>
              </w:rPr>
              <w:t>万千瓦小时</w:t>
            </w:r>
          </w:p>
          <w:p>
            <w:pPr>
              <w:widowControl/>
              <w:spacing w:line="280" w:lineRule="exact"/>
              <w:jc w:val="center"/>
              <w:rPr>
                <w:rFonts w:ascii="宋体" w:cs="Arial"/>
                <w:kern w:val="0"/>
                <w:sz w:val="18"/>
                <w:szCs w:val="18"/>
              </w:rPr>
            </w:pPr>
            <w:r>
              <w:rPr>
                <w:rFonts w:hint="eastAsia" w:ascii="宋体" w:hAnsi="宋体" w:cs="Arial"/>
                <w:kern w:val="0"/>
                <w:sz w:val="18"/>
                <w:szCs w:val="18"/>
              </w:rPr>
              <w:t>万千瓦</w:t>
            </w:r>
            <w:r>
              <w:rPr>
                <w:rFonts w:ascii="宋体" w:hAnsi="宋体" w:cs="Arial"/>
                <w:kern w:val="0"/>
                <w:sz w:val="18"/>
                <w:szCs w:val="18"/>
              </w:rPr>
              <w:t>/</w:t>
            </w:r>
            <w:r>
              <w:rPr>
                <w:rFonts w:hint="eastAsia" w:ascii="宋体" w:hAnsi="宋体" w:cs="Arial"/>
                <w:kern w:val="0"/>
                <w:sz w:val="18"/>
                <w:szCs w:val="18"/>
              </w:rPr>
              <w:t>万千瓦小时</w:t>
            </w:r>
          </w:p>
          <w:p>
            <w:pPr>
              <w:widowControl/>
              <w:spacing w:line="280" w:lineRule="exact"/>
              <w:jc w:val="center"/>
              <w:rPr>
                <w:rFonts w:ascii="宋体" w:cs="Arial"/>
                <w:kern w:val="0"/>
                <w:sz w:val="18"/>
                <w:szCs w:val="18"/>
              </w:rPr>
            </w:pPr>
            <w:r>
              <w:rPr>
                <w:rFonts w:hint="eastAsia" w:ascii="宋体" w:hAnsi="宋体" w:cs="Arial"/>
                <w:kern w:val="0"/>
                <w:sz w:val="18"/>
                <w:szCs w:val="18"/>
              </w:rPr>
              <w:t>万千瓦</w:t>
            </w:r>
            <w:r>
              <w:rPr>
                <w:rFonts w:ascii="宋体" w:hAnsi="宋体" w:cs="Arial"/>
                <w:kern w:val="0"/>
                <w:sz w:val="18"/>
                <w:szCs w:val="18"/>
              </w:rPr>
              <w:t>/</w:t>
            </w:r>
            <w:r>
              <w:rPr>
                <w:rFonts w:hint="eastAsia" w:ascii="宋体" w:hAnsi="宋体" w:cs="Arial"/>
                <w:kern w:val="0"/>
                <w:sz w:val="18"/>
                <w:szCs w:val="18"/>
              </w:rPr>
              <w:t>万千瓦小时</w:t>
            </w:r>
          </w:p>
          <w:p>
            <w:pPr>
              <w:spacing w:line="280" w:lineRule="exact"/>
              <w:jc w:val="center"/>
              <w:rPr>
                <w:rFonts w:ascii="宋体" w:cs="Arial"/>
                <w:kern w:val="0"/>
                <w:sz w:val="18"/>
                <w:szCs w:val="18"/>
              </w:rPr>
            </w:pPr>
            <w:r>
              <w:rPr>
                <w:rFonts w:hint="eastAsia" w:ascii="宋体" w:hAnsi="宋体" w:cs="Arial"/>
                <w:kern w:val="0"/>
                <w:sz w:val="18"/>
                <w:szCs w:val="18"/>
              </w:rPr>
              <w:t>万千瓦</w:t>
            </w:r>
            <w:r>
              <w:rPr>
                <w:rFonts w:ascii="宋体" w:hAnsi="宋体" w:cs="Arial"/>
                <w:kern w:val="0"/>
                <w:sz w:val="18"/>
                <w:szCs w:val="18"/>
              </w:rPr>
              <w:t>/</w:t>
            </w:r>
            <w:r>
              <w:rPr>
                <w:rFonts w:hint="eastAsia" w:ascii="宋体" w:hAnsi="宋体" w:cs="Arial"/>
                <w:kern w:val="0"/>
                <w:sz w:val="18"/>
                <w:szCs w:val="18"/>
              </w:rPr>
              <w:t>万千瓦小时</w:t>
            </w:r>
          </w:p>
        </w:tc>
      </w:tr>
    </w:tbl>
    <w:p>
      <w:pPr>
        <w:pStyle w:val="6"/>
      </w:pPr>
    </w:p>
    <w:p>
      <w:pPr>
        <w:pStyle w:val="2"/>
        <w:ind w:left="420" w:firstLine="420"/>
      </w:pPr>
    </w:p>
    <w:p/>
    <w:p>
      <w:pPr>
        <w:numPr>
          <w:ilvl w:val="0"/>
          <w:numId w:val="11"/>
        </w:numPr>
        <w:spacing w:line="240" w:lineRule="auto"/>
        <w:ind w:left="425" w:leftChars="0" w:hanging="425" w:firstLineChars="0"/>
        <w:jc w:val="center"/>
        <w:outlineLvl w:val="2"/>
        <w:rPr>
          <w:rFonts w:hint="eastAsia" w:asciiTheme="minorEastAsia" w:hAnsiTheme="minorEastAsia" w:eastAsiaTheme="minorEastAsia" w:cstheme="minorEastAsia"/>
          <w:b/>
          <w:bCs/>
          <w:sz w:val="32"/>
          <w:szCs w:val="32"/>
        </w:rPr>
      </w:pPr>
      <w:bookmarkStart w:id="108" w:name="_Toc243376483"/>
      <w:bookmarkStart w:id="109" w:name="_Toc1097968527"/>
      <w:bookmarkStart w:id="110" w:name="_Toc135926238"/>
      <w:r>
        <w:rPr>
          <w:rFonts w:hint="eastAsia" w:asciiTheme="minorEastAsia" w:hAnsiTheme="minorEastAsia" w:eastAsiaTheme="minorEastAsia" w:cstheme="minorEastAsia"/>
          <w:b/>
          <w:bCs/>
          <w:sz w:val="32"/>
          <w:szCs w:val="32"/>
        </w:rPr>
        <w:t>规模以上工业产品产量目录</w:t>
      </w:r>
      <w:bookmarkEnd w:id="108"/>
      <w:bookmarkEnd w:id="109"/>
      <w:bookmarkEnd w:id="110"/>
    </w:p>
    <w:tbl>
      <w:tblPr>
        <w:tblStyle w:val="17"/>
        <w:tblW w:w="9469" w:type="dxa"/>
        <w:jc w:val="center"/>
        <w:tblBorders>
          <w:top w:val="none" w:color="auto" w:sz="0" w:space="0"/>
          <w:left w:val="none" w:color="auto" w:sz="0" w:space="0"/>
          <w:bottom w:val="single" w:color="auto" w:sz="4"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850"/>
        <w:gridCol w:w="2315"/>
        <w:gridCol w:w="824"/>
        <w:gridCol w:w="5480"/>
      </w:tblGrid>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tblHeader/>
          <w:jc w:val="center"/>
        </w:trPr>
        <w:tc>
          <w:tcPr>
            <w:tcW w:w="850" w:type="dxa"/>
            <w:tcBorders>
              <w:top w:val="single" w:color="auto" w:sz="8" w:space="0"/>
              <w:bottom w:val="single" w:color="auto" w:sz="2" w:space="0"/>
              <w:right w:val="single" w:color="auto" w:sz="2" w:space="0"/>
            </w:tcBorders>
            <w:noWrap w:val="0"/>
            <w:vAlign w:val="center"/>
          </w:tcPr>
          <w:p>
            <w:pPr>
              <w:widowControl/>
              <w:snapToGrid w:val="0"/>
              <w:ind w:left="-105" w:leftChars="-50" w:right="-105" w:rightChars="-50"/>
              <w:jc w:val="center"/>
              <w:rPr>
                <w:rFonts w:ascii="宋体" w:hAnsi="宋体" w:cs="宋体"/>
                <w:b/>
                <w:bCs/>
                <w:kern w:val="0"/>
                <w:sz w:val="18"/>
                <w:szCs w:val="18"/>
              </w:rPr>
            </w:pPr>
            <w:r>
              <w:rPr>
                <w:rFonts w:hint="eastAsia" w:ascii="宋体" w:hAnsi="宋体" w:cs="宋体"/>
                <w:b/>
                <w:bCs/>
                <w:kern w:val="0"/>
                <w:sz w:val="18"/>
                <w:szCs w:val="18"/>
              </w:rPr>
              <w:t>产品代码</w:t>
            </w:r>
          </w:p>
        </w:tc>
        <w:tc>
          <w:tcPr>
            <w:tcW w:w="2315" w:type="dxa"/>
            <w:tcBorders>
              <w:top w:val="single" w:color="auto" w:sz="8" w:space="0"/>
              <w:left w:val="single" w:color="auto" w:sz="2" w:space="0"/>
              <w:bottom w:val="single" w:color="auto" w:sz="2" w:space="0"/>
              <w:right w:val="single" w:color="auto" w:sz="2" w:space="0"/>
            </w:tcBorders>
            <w:noWrap w:val="0"/>
            <w:vAlign w:val="center"/>
          </w:tcPr>
          <w:p>
            <w:pPr>
              <w:widowControl/>
              <w:snapToGrid w:val="0"/>
              <w:ind w:left="-105" w:leftChars="-50" w:right="-105" w:rightChars="-50"/>
              <w:jc w:val="center"/>
              <w:rPr>
                <w:rFonts w:ascii="宋体" w:hAnsi="宋体" w:cs="宋体"/>
                <w:b/>
                <w:bCs/>
                <w:kern w:val="0"/>
                <w:sz w:val="18"/>
                <w:szCs w:val="18"/>
              </w:rPr>
            </w:pPr>
            <w:r>
              <w:rPr>
                <w:rFonts w:hint="eastAsia" w:ascii="宋体" w:hAnsi="宋体" w:cs="宋体"/>
                <w:b/>
                <w:bCs/>
                <w:kern w:val="0"/>
                <w:sz w:val="18"/>
                <w:szCs w:val="18"/>
              </w:rPr>
              <w:t>产品名称</w:t>
            </w:r>
          </w:p>
        </w:tc>
        <w:tc>
          <w:tcPr>
            <w:tcW w:w="824" w:type="dxa"/>
            <w:tcBorders>
              <w:top w:val="single" w:color="auto" w:sz="8" w:space="0"/>
              <w:left w:val="single" w:color="auto" w:sz="2" w:space="0"/>
              <w:bottom w:val="single" w:color="auto" w:sz="2" w:space="0"/>
              <w:right w:val="single" w:color="auto" w:sz="2" w:space="0"/>
            </w:tcBorders>
            <w:noWrap/>
            <w:vAlign w:val="center"/>
          </w:tcPr>
          <w:p>
            <w:pPr>
              <w:widowControl/>
              <w:snapToGrid w:val="0"/>
              <w:ind w:left="-105" w:leftChars="-50" w:right="-105" w:rightChars="-50"/>
              <w:jc w:val="center"/>
              <w:rPr>
                <w:rFonts w:ascii="宋体" w:hAnsi="宋体" w:cs="宋体"/>
                <w:b/>
                <w:bCs/>
                <w:kern w:val="0"/>
                <w:sz w:val="18"/>
                <w:szCs w:val="18"/>
              </w:rPr>
            </w:pPr>
            <w:r>
              <w:rPr>
                <w:rFonts w:hint="eastAsia" w:ascii="宋体" w:hAnsi="宋体" w:cs="宋体"/>
                <w:b/>
                <w:bCs/>
                <w:kern w:val="0"/>
                <w:sz w:val="18"/>
                <w:szCs w:val="18"/>
              </w:rPr>
              <w:t>产品单位</w:t>
            </w:r>
          </w:p>
        </w:tc>
        <w:tc>
          <w:tcPr>
            <w:tcW w:w="5480" w:type="dxa"/>
            <w:tcBorders>
              <w:top w:val="single" w:color="auto" w:sz="8" w:space="0"/>
              <w:left w:val="single" w:color="auto" w:sz="2" w:space="0"/>
              <w:bottom w:val="single" w:color="auto" w:sz="2" w:space="0"/>
            </w:tcBorders>
            <w:noWrap w:val="0"/>
            <w:vAlign w:val="center"/>
          </w:tcPr>
          <w:p>
            <w:pPr>
              <w:widowControl/>
              <w:snapToGrid w:val="0"/>
              <w:ind w:left="-105" w:leftChars="-50" w:right="-105" w:rightChars="-50"/>
              <w:jc w:val="center"/>
              <w:rPr>
                <w:rFonts w:ascii="宋体" w:hAnsi="宋体" w:cs="宋体"/>
                <w:b/>
                <w:bCs/>
                <w:kern w:val="0"/>
                <w:sz w:val="18"/>
                <w:szCs w:val="18"/>
              </w:rPr>
            </w:pPr>
            <w:r>
              <w:rPr>
                <w:rFonts w:hint="eastAsia" w:ascii="宋体" w:hAnsi="宋体" w:cs="宋体"/>
                <w:b/>
                <w:bCs/>
                <w:kern w:val="0"/>
                <w:sz w:val="18"/>
                <w:szCs w:val="18"/>
              </w:rPr>
              <w:t>产品说明</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top w:val="single" w:color="auto" w:sz="2" w:space="0"/>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0810010</w:t>
            </w:r>
          </w:p>
        </w:tc>
        <w:tc>
          <w:tcPr>
            <w:tcW w:w="2315" w:type="dxa"/>
            <w:tcBorders>
              <w:top w:val="single" w:color="auto" w:sz="2" w:space="0"/>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铁矿石原矿</w:t>
            </w:r>
          </w:p>
        </w:tc>
        <w:tc>
          <w:tcPr>
            <w:tcW w:w="824" w:type="dxa"/>
            <w:tcBorders>
              <w:top w:val="single" w:color="auto" w:sz="2" w:space="0"/>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top w:val="single" w:color="auto" w:sz="2" w:space="0"/>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指采出后尚未加工，未进行选矿处理的铁矿石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0810020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铁矿石成品矿◇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铁矿石成品矿≥铁精矿。包括符合直接冶炼要求的铁矿石，以及符合人造富矿条件的富矿粉和铁精矿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0810030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其中：◇铁精矿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经选矿加工后生产出的铁精矿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0820010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锰矿石原矿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未经筛选的矿石量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0820020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锰矿石成品矿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符合冶炼或加工条件的块矿和粉矿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0911010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铜金属含量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指供铜冶炼厂直接入炉的铜金属含铜量和湿法堆浸生产的电积铜及复用矿含铜量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0912010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铅金属含量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指供铅冶炼厂直接入炉的铅金属含量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0912020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锌金属含量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指供锌冶炼厂直接入炉的锌金属含量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0913010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镍金属含量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指供镍冶炼用的镍金属含量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0914010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锡金属含量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指供锡冶炼用的锡金属含量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0915010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锑金属含量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指供锑冶炼用的锑金属含量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0930010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稀有稀土金属矿◇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稀有稀土金属矿≥钨精矿折合量（折三氧化钨65％）+钼精矿折合量（折纯钼45％）</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67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0931010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其中：◇钨精矿折合量（折三氧化钨65％）</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指钨选矿厂的最终产品，即钨精矿实物量按含三氧化钨65％折合后的数量，也就是常说的折三氧化钨65％后的钨精矿量，包括黑钨精矿和白钨精矿。不含钨中矿折合量和钨细泥折合量，也不含外购钨精矿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0931020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◇钼精矿折合量（折纯钼45％）</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指钼选矿厂的最终产品，即钼精矿实物量按含纯钼45％折合后的数量，也就是我们常说的折纯钼45％钼精矿量，不含外购钼精矿量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1011010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石灰石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石灰石包含水泥用石灰石。指成品矿，主要由碳酸钙组成的沉积岩石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1012010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建筑用天然石料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包括天然大理石荒料、天然花岗石荒料、石英岩、玻璃用石英岩、其他石英岩、砂岩、板岩、蜡石和其他建筑用天然石料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1013010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萤石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ascii="宋体" w:hAnsi="宋体" w:cs="宋体"/>
                <w:kern w:val="0"/>
                <w:sz w:val="18"/>
                <w:szCs w:val="18"/>
              </w:rPr>
              <w:t>包括萤石块矿和萤石粉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67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1019010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高岭土（瓷土）</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也称瓷土，是高岭石和多水高岭石组成的矿物，采出矿物后经手选或机选而成的；专门为造纸、搪瓷、橡胶、塑料、石油工业选制加工的高岭土，也应包括在高岭土产量内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1020010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硫铁矿石（折含硫35％）</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折含硫35％，包括未焙烧黄铁矿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59"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1020020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spacing w:val="-8"/>
                <w:kern w:val="0"/>
                <w:sz w:val="16"/>
                <w:szCs w:val="16"/>
              </w:rPr>
            </w:pPr>
            <w:r>
              <w:rPr>
                <w:rFonts w:hint="eastAsia"/>
                <w:spacing w:val="-8"/>
                <w:sz w:val="16"/>
                <w:szCs w:val="16"/>
              </w:rPr>
              <w:t>磷矿石（折含五氧化二磷30％）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折含五氧化二磷30％</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90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1030010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原盐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通过以海水（含沿海浅层地下卤水）为原料晒制，或以钻井汲取地下卤水、注水溶解地下岩盐为原料，经真空蒸发干燥，以及从盐湖中采掘制成的以氯化钠为主要成分的盐产品；不包括以原盐为原料的盐加工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1310010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小麦粉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1310030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大米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指半碾或全碾的稻米，包括精米和碎米产品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1320010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饲料◇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饲料≥配合饲料+混合饲料。指配制的动物饲料（宠物除外）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1321720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其中：◇配合饲料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1321730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◇混合饲料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1331020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精制食用植物油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使用吸收过滤法、分馏法及任何其他物理或化学方法制取的油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1340010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成品糖</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1350010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鲜、冷藏肉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包括鲜肉和暂时冷藏的肉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bottom w:val="nil"/>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1350020</w:t>
            </w:r>
          </w:p>
        </w:tc>
        <w:tc>
          <w:tcPr>
            <w:tcW w:w="2315" w:type="dxa"/>
            <w:tcBorders>
              <w:left w:val="single" w:color="auto" w:sz="2" w:space="0"/>
              <w:bottom w:val="nil"/>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冻肉</w:t>
            </w:r>
          </w:p>
        </w:tc>
        <w:tc>
          <w:tcPr>
            <w:tcW w:w="824" w:type="dxa"/>
            <w:tcBorders>
              <w:left w:val="single" w:color="auto" w:sz="2" w:space="0"/>
              <w:bottom w:val="nil"/>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bottom w:val="nil"/>
            </w:tcBorders>
            <w:noWrap w:val="0"/>
            <w:vAlign w:val="top"/>
          </w:tcPr>
          <w:p>
            <w:pPr>
              <w:widowControl/>
              <w:snapToGrid w:val="0"/>
              <w:jc w:val="left"/>
              <w:rPr>
                <w:rFonts w:ascii="宋体" w:hAnsi="宋体" w:cs="宋体"/>
                <w:kern w:val="0"/>
                <w:sz w:val="18"/>
                <w:szCs w:val="18"/>
              </w:rPr>
            </w:pPr>
            <w:r>
              <w:rPr>
                <w:rFonts w:hint="eastAsia"/>
                <w:sz w:val="18"/>
                <w:szCs w:val="18"/>
              </w:rPr>
              <w:t>包括冻猪肉、冻牛肉、冻羊肉、冻杂畜肉、冻鸡肉、冻鸭肉、冻火鸡肉、冻鹅肉、冻珍珠鸡肉、冻兔肉、冻乳鸽肉和其他冻肉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bottom w:val="nil"/>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1353010</w:t>
            </w:r>
          </w:p>
        </w:tc>
        <w:tc>
          <w:tcPr>
            <w:tcW w:w="2315" w:type="dxa"/>
            <w:tcBorders>
              <w:left w:val="single" w:color="auto" w:sz="2" w:space="0"/>
              <w:bottom w:val="nil"/>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熟肉制品</w:t>
            </w:r>
          </w:p>
        </w:tc>
        <w:tc>
          <w:tcPr>
            <w:tcW w:w="824" w:type="dxa"/>
            <w:tcBorders>
              <w:left w:val="single" w:color="auto" w:sz="2" w:space="0"/>
              <w:bottom w:val="nil"/>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bottom w:val="nil"/>
            </w:tcBorders>
            <w:noWrap w:val="0"/>
            <w:vAlign w:val="top"/>
          </w:tcPr>
          <w:p>
            <w:pPr>
              <w:widowControl/>
              <w:snapToGrid w:val="0"/>
              <w:jc w:val="left"/>
              <w:rPr>
                <w:rFonts w:ascii="宋体" w:hAnsi="宋体" w:cs="宋体"/>
                <w:kern w:val="0"/>
                <w:sz w:val="18"/>
                <w:szCs w:val="18"/>
              </w:rPr>
            </w:pPr>
            <w:r>
              <w:rPr>
                <w:rFonts w:hint="eastAsia"/>
                <w:sz w:val="18"/>
                <w:szCs w:val="18"/>
              </w:rPr>
              <w:t>包括蒸煮香肠制品、熏肉制品、酱卤烧烤肉制品、腌腊肉制品、干炸肉制品和其他熟肉制品。不包括罐头制品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top w:val="nil"/>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1361010</w:t>
            </w:r>
          </w:p>
        </w:tc>
        <w:tc>
          <w:tcPr>
            <w:tcW w:w="2315" w:type="dxa"/>
            <w:tcBorders>
              <w:top w:val="nil"/>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冷冻水产品</w:t>
            </w:r>
          </w:p>
        </w:tc>
        <w:tc>
          <w:tcPr>
            <w:tcW w:w="824" w:type="dxa"/>
            <w:tcBorders>
              <w:top w:val="nil"/>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top w:val="nil"/>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1371010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冷冻蔬菜</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通常以工业速冻法制得，不包括蔬菜罐头食品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568"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1419020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膨化食品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指以谷物、薯类或豆类等为主要原料，经焙烤、油炸或挤压等方式膨化而制成的，具有一定膨化度的各类酥脆食品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581"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1419030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焙烤松脆食品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指用玉米面、薯粉、其他谷物面团加奶酪、味精及盐调味，然后用植物油烹炸，制成后可即供食用；包括锅巴、炸薯片等类似食品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1421010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糖果</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指不含巧克力的糖果</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1432000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速冻食品◇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速冻食品≥速冻米面食品。包括速冻米面食品和冷冻蔬菜半成品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1432010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其中：◇速冻米面食品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1439010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方便面</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即食或快熟面条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67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1440010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乳制品◆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乳制品=液体乳+固体及半固体乳制品。指以牛、羊乳为主要原料，经分级、净乳、杀菌、浓缩、干燥、发酵等加工制成的含天然乳的制品（包括液体乳）；不包括未经加工的生鲜乳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1440020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◆液体乳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液体乳包含灭菌乳、巴氏杀菌乳、酸牛乳、其他液体乳。指未浓缩的未加糖及加糖或其他甜物质的液体乳；不包括含乳饮料和植物蛋白饮料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1440030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w:t>
            </w:r>
            <w:r>
              <w:rPr>
                <w:rFonts w:hint="eastAsia"/>
                <w:spacing w:val="-8"/>
                <w:sz w:val="18"/>
                <w:szCs w:val="18"/>
              </w:rPr>
              <w:t>固体及半固体乳制品△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固体及半固体乳制品≥乳粉。固体及半固体乳制品包含乳粉、炼乳、奶油和干酪（奶酪）</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1440070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其中：△乳粉○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b/>
                <w:bCs/>
                <w:kern w:val="0"/>
                <w:sz w:val="18"/>
                <w:szCs w:val="18"/>
              </w:rPr>
            </w:pPr>
            <w:r>
              <w:rPr>
                <w:rFonts w:hint="eastAsia"/>
                <w:b/>
                <w:bCs/>
                <w:sz w:val="18"/>
                <w:szCs w:val="18"/>
              </w:rPr>
              <w:t>乳粉≥婴幼儿配方乳粉。经浓缩喷雾干燥的乳（包括未加糖及其他添加料的乳粉、加糖及其他添加料的乳粉）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50"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1440040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 xml:space="preserve">          其中：○婴幼儿配方乳粉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1125" w:hRule="atLeast"/>
          <w:jc w:val="center"/>
        </w:trPr>
        <w:tc>
          <w:tcPr>
            <w:tcW w:w="850" w:type="dxa"/>
            <w:tcBorders>
              <w:right w:val="single" w:color="auto" w:sz="2" w:space="0"/>
            </w:tcBorders>
            <w:noWrap/>
            <w:vAlign w:val="top"/>
          </w:tcPr>
          <w:p>
            <w:pPr>
              <w:widowControl/>
              <w:snapToGrid w:val="0"/>
              <w:jc w:val="left"/>
              <w:rPr>
                <w:rFonts w:ascii="宋体" w:hAnsi="宋体" w:cs="宋体"/>
                <w:kern w:val="0"/>
                <w:sz w:val="18"/>
                <w:szCs w:val="18"/>
              </w:rPr>
            </w:pPr>
            <w:r>
              <w:rPr>
                <w:rFonts w:hint="eastAsia"/>
                <w:sz w:val="18"/>
                <w:szCs w:val="18"/>
              </w:rPr>
              <w:t>1450010</w:t>
            </w:r>
          </w:p>
        </w:tc>
        <w:tc>
          <w:tcPr>
            <w:tcW w:w="2315" w:type="dxa"/>
            <w:tcBorders>
              <w:left w:val="single" w:color="auto" w:sz="2" w:space="0"/>
              <w:righ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罐头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ascii="宋体" w:hAnsi="宋体" w:cs="宋体"/>
                <w:kern w:val="0"/>
                <w:sz w:val="18"/>
                <w:szCs w:val="18"/>
              </w:rPr>
            </w:pPr>
            <w:r>
              <w:rPr>
                <w:rFonts w:hint="eastAsia"/>
                <w:sz w:val="18"/>
                <w:szCs w:val="18"/>
              </w:rPr>
              <w:t>指采用罐头生产工艺制成的，达到商业无菌要求，并可以在常温下储存的罐头食品；包括硬包装罐头（指用马口铁、镀锡薄钢板、铝合金板或玻璃容器等作为包装材料）、软包装罐头（指用铝箔或塑料复合、铝塑复合、纸塑复合等作为包装材料）；不包括果汁及果汁饮料类、蔬菜汁及蔬菜汁饮料类罐头，碳酸饮料类罐头，宠物饲料罐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20"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1461010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味精（谷氨酸钠）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包括加盐味精、增鲜味精等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20"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1462010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酱油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52"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1462030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食醋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9"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营养、保健食品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冷冻饮品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冷冻饮品包含冰淇淋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食用盐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1494020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非食用盐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食品添加剂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1495020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饲料添加剂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指动物饲料专用添加剂，也称“预配料”，一般说来，是由多种物质（有时称为添加剂）混合组成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1510010</w:t>
            </w:r>
          </w:p>
        </w:tc>
        <w:tc>
          <w:tcPr>
            <w:tcW w:w="2315" w:type="dxa"/>
            <w:tcBorders>
              <w:left w:val="single" w:color="auto" w:sz="2" w:space="0"/>
              <w:right w:val="single" w:color="auto" w:sz="2" w:space="0"/>
            </w:tcBorders>
            <w:noWrap w:val="0"/>
            <w:vAlign w:val="top"/>
          </w:tcPr>
          <w:p>
            <w:pPr>
              <w:widowControl/>
              <w:snapToGrid w:val="0"/>
              <w:jc w:val="left"/>
              <w:rPr>
                <w:rFonts w:hint="eastAsia"/>
                <w:spacing w:val="-6"/>
                <w:sz w:val="18"/>
                <w:szCs w:val="18"/>
              </w:rPr>
            </w:pPr>
            <w:r>
              <w:rPr>
                <w:rFonts w:hint="eastAsia"/>
                <w:spacing w:val="-6"/>
                <w:sz w:val="18"/>
                <w:szCs w:val="18"/>
              </w:rPr>
              <w:t>发酵酒精（折96度，商品量）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未改性酒精（乙醇），折96度，商品量；不包括改性乙醇（即:在酒精中掺有其他物质且非食用的酒精）[注:96度酒精重量单位换算为容量单位，换算系数0.80742，即:96度酒精的容量（千升）＝96度酒精重量（吨）／0.80742]</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饮料酒◇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饮料酒≥白酒（折65度，商品量）+啤酒+黄酒+葡萄酒+白兰地+果酒及配制酒</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其中：◇白酒（折65度，商品量）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折65度，商品量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◇啤酒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指以麦芽和水为主要原料，加啤酒花（包括酒花制品），经酵母发酵酿制而成的、含有二氧化碳的、起泡的低酒精度的发酵酒</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◇黄酒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◇葡萄酒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指以新鲜葡萄或葡萄汁为原料，经全部或部分发酵酿制而成的、含有一定酒精度的发酵酒</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1515020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◇白兰地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79"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1519010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◇果酒及配制酒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千升</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饮料◇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饮料≥碳酸饮料（汽水）+包装饮用水+果蔬汁类及其饮料+蛋白饮料。饮料包含碳酸饮料（汽水）、果蔬汁类及其饮料、蛋白饮料、包装饮用水、茶饮料、咖啡饮料和固体饮料。指经过定量包装的，供直接饮用或用水冲调饮用的，乙醇（酒精）含量≤质量分数为0.5%的制品；不包括饮用药品和液体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其中：◇碳酸饮料（汽水）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指在一定条件下充入二氧化碳气的饮料（不包括由发酵法自身产生的二氧化碳气的饮料）；包括果汁型、果味型、可乐型，以及其他型碳酸饮料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◇包装饮用水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指密封于容器中可直接饮用的水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◇果蔬汁类及其饮料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指用水果和（或）蔬菜（包括可食的根、茎、叶、花、果实）等为原料，经加工或发酵制成的饮料；包括果汁（浆）和蔬菜汁（浆）、浓缩果汁（浆）和浓缩蔬菜汁（浆）、果汁饮料和蔬菜汁饮料、果汁饮料浓浆和蔬菜汁饮料浓浆、复合果蔬汁（浆）及饮料、果肉饮料、发酵型果蔬汁饮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1524010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◇蛋白饮料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蛋白饮料包含含乳饮料和植物蛋白饮料。指以乳或乳制品、或有一定蛋白质含量的植物的果实、种子或种仁等为原料，经加工或发酵制成的饮料；包括含乳饮料、植物蛋白饮料、复合蛋白饮料，以及其他未列明的蛋白饮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1530010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精制茶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指对毛茶或半成品原料茶进行筛分、轧切、风选、干燥、匀堆、拼配等工序加工成的精茶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1620010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卷烟</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万支</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将烟叶等切成烟丝，用卷烟纸把烟丝卷制成供人们燃吸或以其他方式抽吸的烟草制品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纱=棉纱+棉混纺纱+化学纤维纱。指单独使用棉花或与其他天然纤维、棉型化学纤维混合，经棉纺生产设备（包括环锭纺、转杯纺、喷气纺等纺纱设备，不包括废纺和土纺设备）和工艺加工，使纤维有序排列并加捻，使之具有一定粗细和强度，符合国家规定质量标准的单根纱；包括彩色棉纺制的彩棉纱、染色棉纺制的色纺纱；不包括股线及缝纫线；不包括毛纱、绒线、麻纱、绢纱及各类长丝，也不包括粗纱；企业用外购纱加工成股线，只填报线产量；企业自纺纱再加工成股线的，分别填报纱和线产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◆棉纱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指全部使用棉花纤维为原料或掺用少量（15％及以下）非棉纤维（点缀或加固），经棉纺生产设备和工艺纺制的纱；包括棉与非棉纤维（15％及以下）纺制的棉包芯（或包缠）纱；包括彩色棉纺制的彩棉纱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◆棉混纺纱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棉与其他非棉纤维混合（纤维混合或条子混合）后，经棉纺生产设备和工艺纺制的纱；包括棉与非棉纤维纺制的包芯（或包缠）纱；棉混纺纱主要是指棉纤维与一种及以上化学纤维（如涤棉、棉粘、涤棉粘、维棉等）或其他非棉纤维混纺的纱；包括彩色棉纺制的彩棉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◆化学纤维纱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指全部使用化学纤维为原料，经棉纺生产设备和工艺纺制的纱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布=棉布+棉混纺布+化学纤维短纤布；布≥色织布（含牛仔布）。指用纱或股线在棉织机上（包括有梭织机、无梭织机）织造的机织布；布即指坯布（经有梭织机或无梭织机织造的下机布，未经染整加工、未漂白的坯布）；包括：色织布、牛仔布、未经染整加工的绒布类</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其中：◇色织布（含牛仔布）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色织布是指经、纬纱使用经过漂染加工的棉型染色纱（股线）或色纺纱（部分有色长丝）及股线经有梭织机或无梭织机织造的色织坯布，包括色织纱罗布。牛仔布是指经纱采用浆染联合机或球经染色上浆设备加工后，与本色纬纱按设计工艺组织通过有梭织机或无梭织机交织而成的有色坯布</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其中：★棉布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指经向、纬向全部使用棉纱或棉股线织造（或交织）的机织布；包括使用少量其他非棉纤维做点缀或加固的棉布（其他非棉纤维含量在5％及以下）；包括未经染整加工的棉绒布类</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1712040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★棉混纺布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指经向或纬向使用棉混纺纱及棉混纺股线织造（或交织）的机织布；指未经染整加工的棉混纺绒布类；包括经向或纬向是长丝的交织物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1712050</w:t>
            </w:r>
          </w:p>
        </w:tc>
        <w:tc>
          <w:tcPr>
            <w:tcW w:w="2315" w:type="dxa"/>
            <w:tcBorders>
              <w:left w:val="single" w:color="auto" w:sz="2" w:space="0"/>
              <w:right w:val="single" w:color="auto" w:sz="2" w:space="0"/>
            </w:tcBorders>
            <w:noWrap w:val="0"/>
            <w:vAlign w:val="top"/>
          </w:tcPr>
          <w:p>
            <w:pPr>
              <w:widowControl/>
              <w:snapToGrid w:val="0"/>
              <w:ind w:right="-105" w:rightChars="-50"/>
              <w:jc w:val="left"/>
              <w:rPr>
                <w:rFonts w:hint="eastAsia"/>
                <w:sz w:val="18"/>
                <w:szCs w:val="18"/>
              </w:rPr>
            </w:pPr>
            <w:r>
              <w:rPr>
                <w:rFonts w:hint="eastAsia"/>
                <w:sz w:val="18"/>
                <w:szCs w:val="18"/>
              </w:rPr>
              <w:t xml:space="preserve">        ★</w:t>
            </w:r>
            <w:r>
              <w:rPr>
                <w:rFonts w:hint="eastAsia"/>
                <w:spacing w:val="-6"/>
                <w:sz w:val="18"/>
                <w:szCs w:val="18"/>
              </w:rPr>
              <w:t>化学纤维短纤布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指经向、纬向全部使用化学纤维纱或化学纤维股线织造（或交织）的机织布；包括经向或纬向是长丝的交织物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1713010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印染布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印染布包含漂白布+染色布+印花布。印染布是指棉纺织厂生产的棉布、棉混纺布、化学纤维布的坯布经棉印染生产设备加工整理的漂白布、染色布、印花布的统称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毛条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1721020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绒线、毛纱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绒线俗称毛线，毛纱包括羊毛、羊绒、兔毛、驼毛等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1722030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毛机织物（呢绒）</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或称毛织品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亚麻纱（含亚麻≥50%）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指使用亚麻纤维（亚麻秆茎剥离出来的韧皮纤维）为主要原料以及亚麻纤维与化学纤维或其他天然纤维（如棉花等）等原料混合，经亚麻纺纱专业设备或其他纺纱设备及生产工艺过程加工生产且亚麻含量的产品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1732030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亚麻布（含亚麻≥50％）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指使用亚麻纱线经梭织织布机加工生产且亚麻含量≥50%的产品。亚麻布可以采用经纬向相同的亚麻纱，也可以是经纬向选用亚麻纱与其他类别的纱线交织的</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1732040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苎麻布（含苎麻≥50％）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指使用苎麻纱线经梭织织布机加工生产且亚麻含量≥50%的产品。苎麻布可以采用经纬向相同的苎麻纱，也可以是经纬向选用苎麻纱与其他类别的纱线交织的</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1741020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蚕丝◇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蚕丝≥绢纺丝。包括从蚕茧抽出来的长丝线和蚕丝短纤维纺成的丝纱线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1741030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其中：◇绢纺丝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1742020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蚕丝及交织机织物（含蚕丝≥30％）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包括纯蚕丝机织物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1751010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化纤长丝机织物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化纤长丝机织物包含合成纤维长丝机织物、人造纤维长丝机织物、其他化纤长丝机织物。指经向、纬向均为合成纤维长丝或再生纤维长丝在织机上（喷水织机、剑杆织机、喷气织机等）生产的长丝织物；包括白坯或有色长丝机织物；不同种类的化纤长丝或再生纤维长丝交织织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1771030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蚕丝被</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万条</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含蚕丝50％及以上</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1781010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非织造布（无纺布）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以化学纤维为基本原料（主要是涤纶、腈纶、维纶、丙纶、粘胶纤维，也可用棉、毛、麻天然纤维的下脚料或再生纤维以及高科技用的碳素纤维、硼素纤维等）经化学黏合、热熔黏合、针刺、水刺、缝编高频等工艺制作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1783010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帘子布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是指用强力股线作经，用中、细支单纱作纬，织制的轮胎用骨架织物。主要包括锦纶帘子布、粘胶帘子布和涤纶帘子布</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1800010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服装=梭织服装+针织服装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1811710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◆梭织服装△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梭织服装≥羽绒服装+西服套装+衬衫+运动服类服装。指非针织服装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1811730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其中：△羽绒服装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包括以棉、化纤，以及其他纺织材料为面料，以羽绒为填充物（含绒量不低于50％）制成的羽绒大衣、羽绒短上衣、羽绒背心、羽绒裤等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1811750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△西服套装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包括套裙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1811780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△衬衫</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穿在内外上衣之间，也可单独穿用的上衣，男衬衫通常胸前有口袋，袖口有袖头；包括儿童衬衫</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1811790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w:t>
            </w:r>
            <w:r>
              <w:rPr>
                <w:rFonts w:hint="eastAsia"/>
                <w:spacing w:val="-10"/>
                <w:sz w:val="18"/>
                <w:szCs w:val="18"/>
              </w:rPr>
              <w:t>运动服类服装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包括田径服、击剑服、跆拳道服、滑雪服及游泳服、舞裙、体操或练功紧身衣等类似服装；不包括戏装；包括非针织的体操用特种服装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1821710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◆针织服装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针织服装包含针织运动类服装。指使用包括棉、毛、麻、丝、化学纤维等为原料的针织面料（或称针织坯布），经裁剪、缝制、熨烫、定型的各种针织服装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皮革服装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1932010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天然毛皮服装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轻革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轻革指用无机鞣剂或合成鞣剂或植物鞣剂或结合几种鞣剂鞣制而成的皮革，出售时以面积计。包括鞋面革、服装革、包袋革、家具革、汽车革、手套革等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衣箱、提箱及类似容器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万个</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1922020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手提包（袋）、背包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万个</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不包括用各种材料制作的其他类似箱、包的容器(如望远镜盒、相机套、乐器盒、枪套及类似品，高尔夫球袋、网球拍提袋等运动包，工具包，刀叉餐具盒及类似容器)和通常置于口袋或手提包内的物品(如钱包、皮夹、钥匙包及类似物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1950010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万双</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鞋≥纺织面鞋+皮革鞋靴+塑料鞋+胶鞋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1951010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其中：◇纺织面鞋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万双</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指以纺织织物作为面料制作的鞋；包括纺织面单鞋、纺织面棉鞋、纺织面凉鞋、纺织面拖鞋、纺织面运动鞋、纺织面其他鞋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1952010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◇皮革鞋靴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万双</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指以天然皮革（头层、二层）、合成革、人造革和再生皮革作面的鞋靴；包括皮革面普通鞋靴、皮革面旅游（运动）鞋靴、皮革面凉鞋或拖鞋、皮革面劳保专用鞋靴等；不包括竞技用运动鞋靴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1953010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◇塑料鞋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万双</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1954010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◇胶鞋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万双</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人造板◇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人造板≥胶合板+纤维板+刨花板+细木工板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其中：◇胶合板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由单板构成的多层材料，通常按相邻单板的纹理方向大致垂直组坯胶合而成的板材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◇纤维板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将木材或其他植物纤维原料分离成纤维，利用纤维之间的交织及其自身固有的黏结物质，或者施加胶黏剂，在加热和（或）加压条件下，制成的厚度1.5mm或以上的板材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◇刨花板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也称碎料板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2029020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◇细木工板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指单板饰面板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2029710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人造板表面装饰板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指单板贴面板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2034740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实木木地板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木材经烘干，加工后形成的地面装饰材料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2034750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复合木地板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木材粉碎后，填加胶、防腐剂，添加剂后，经高温、高压处理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2041010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竹地板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包括竹地板和重组竹地板。竹地板是指把竹材加工成竹片后，再用胶黏剂胶合、加工成的长条企口地板。重组竹地板是指用重组竹为原料直接加工而成的地板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2100010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家具◇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家具≥木质家具+金属家具+软体家具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2110010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其中：◇木质家具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指以天然木材和木质人造板为主要材料制作的家具，包括木质普通家具和木质工艺家具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2130010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◇金属家具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指主要结构是金属的家具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2190010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◇软体家具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纸浆（原生浆及废纸浆）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纸浆（原生浆及废纸浆）包括废纸纸浆。指原生浆及废纸浆，包括木浆，非木材纤维纸浆[如苇（荻）浆、竹浆、蔗渣浆、麦草浆、稻草浆（禾草浆）、麻浆、棉短绒纸浆等]，废纸纸浆，化学溶解浆，以及其他原生纸浆；不包括纺织用化学浆粕</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机制纸及纸板（外购原纸加工除外）◇</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机制纸及纸板（外购原纸加工除外）≥未涂布印刷书写用纸+涂布类印刷用纸+卫生用纸原纸+包装用纸及纸板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其中：◇未涂布印刷书写用纸△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未涂布印刷书写用纸≥新闻纸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2221030</w:t>
            </w:r>
          </w:p>
        </w:tc>
        <w:tc>
          <w:tcPr>
            <w:tcW w:w="2315" w:type="dxa"/>
            <w:tcBorders>
              <w:left w:val="single" w:color="auto" w:sz="2" w:space="0"/>
              <w:right w:val="single" w:color="auto" w:sz="2" w:space="0"/>
            </w:tcBorders>
            <w:noWrap w:val="0"/>
            <w:vAlign w:val="top"/>
          </w:tcPr>
          <w:p>
            <w:pPr>
              <w:widowControl/>
              <w:snapToGrid w:val="0"/>
              <w:jc w:val="left"/>
              <w:rPr>
                <w:rFonts w:hint="eastAsia"/>
                <w:spacing w:val="-6"/>
                <w:sz w:val="18"/>
                <w:szCs w:val="18"/>
              </w:rPr>
            </w:pPr>
            <w:r>
              <w:rPr>
                <w:rFonts w:hint="eastAsia"/>
                <w:sz w:val="18"/>
                <w:szCs w:val="18"/>
              </w:rPr>
              <w:t xml:space="preserve">          </w:t>
            </w:r>
            <w:r>
              <w:rPr>
                <w:rFonts w:hint="eastAsia"/>
                <w:spacing w:val="-6"/>
                <w:sz w:val="18"/>
                <w:szCs w:val="18"/>
              </w:rPr>
              <w:t>其中：△新闻纸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2221040</w:t>
            </w:r>
          </w:p>
        </w:tc>
        <w:tc>
          <w:tcPr>
            <w:tcW w:w="2315" w:type="dxa"/>
            <w:tcBorders>
              <w:left w:val="single" w:color="auto" w:sz="2" w:space="0"/>
              <w:right w:val="single" w:color="auto" w:sz="2" w:space="0"/>
            </w:tcBorders>
            <w:noWrap w:val="0"/>
            <w:vAlign w:val="top"/>
          </w:tcPr>
          <w:p>
            <w:pPr>
              <w:widowControl/>
              <w:snapToGrid w:val="0"/>
              <w:ind w:right="-105" w:rightChars="-50"/>
              <w:jc w:val="left"/>
              <w:rPr>
                <w:rFonts w:hint="eastAsia"/>
                <w:sz w:val="18"/>
                <w:szCs w:val="18"/>
              </w:rPr>
            </w:pPr>
            <w:r>
              <w:rPr>
                <w:rFonts w:hint="eastAsia"/>
                <w:sz w:val="18"/>
                <w:szCs w:val="18"/>
              </w:rPr>
              <w:t xml:space="preserve">        ◇</w:t>
            </w:r>
            <w:r>
              <w:rPr>
                <w:rFonts w:hint="eastAsia"/>
                <w:spacing w:val="-6"/>
                <w:sz w:val="18"/>
                <w:szCs w:val="18"/>
              </w:rPr>
              <w:t>涂布类印刷用纸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涂布类印刷用纸包括铜版纸。指涂有高岭土或其他无机物质的纸和纸板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◇卫生用纸原纸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指成卷或成张的卫生纸、面巾纸、餐巾纸等卫生用纸的原纸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◇包装用纸及纸板△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包装用纸及纸板≥箱纸板+包装纸。无论是否涂布</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2221070</w:t>
            </w:r>
          </w:p>
        </w:tc>
        <w:tc>
          <w:tcPr>
            <w:tcW w:w="2315" w:type="dxa"/>
            <w:tcBorders>
              <w:left w:val="single" w:color="auto" w:sz="2" w:space="0"/>
              <w:right w:val="single" w:color="auto" w:sz="2" w:space="0"/>
            </w:tcBorders>
            <w:noWrap w:val="0"/>
            <w:vAlign w:val="top"/>
          </w:tcPr>
          <w:p>
            <w:pPr>
              <w:widowControl/>
              <w:snapToGrid w:val="0"/>
              <w:jc w:val="left"/>
              <w:rPr>
                <w:rFonts w:hint="eastAsia"/>
                <w:spacing w:val="-6"/>
                <w:sz w:val="18"/>
                <w:szCs w:val="18"/>
              </w:rPr>
            </w:pPr>
            <w:r>
              <w:rPr>
                <w:rFonts w:hint="eastAsia"/>
                <w:sz w:val="18"/>
                <w:szCs w:val="18"/>
              </w:rPr>
              <w:t xml:space="preserve">          </w:t>
            </w:r>
            <w:r>
              <w:rPr>
                <w:rFonts w:hint="eastAsia"/>
                <w:spacing w:val="-6"/>
                <w:sz w:val="18"/>
                <w:szCs w:val="18"/>
              </w:rPr>
              <w:t>其中：△箱纸板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包括涂布和未涂布</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2221080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△包装纸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包括本色或漂白包装纸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2230010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纸制品◇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纸制品≥瓦楞纸箱+卫生用纸制品。指用纸或纸板为原料进一步加工而成的纸的制品；包括纸和纸板容器，纸制文具及办公用品，纸浆模制品，用成卷或成张的卫生用纸原纸为原料进一步加工而成的卫生用纸制品，纸制壁纸、窗纸、铺地制品及类似品，纸浆制滤块、滤板及滤片，纸或纸板制标签；纸制筒管、卷轴、纡子及类似品，神纸及类似用品，纸扇以及未列明的其他纸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其中：◇瓦楞纸箱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包括瓦楞纸或纸板制的箱、盒、匣及类似品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2239010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◇卫生用纸制品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指用成卷或成张的卫生用纸原纸为原料，进一步加工而成的卫生用纸制品（如卫生纸、纸手帕及面巾纸、纸餐巾、纸台布等），包括一次性卫生制品（如纸卫生巾、止血塞、纸尿布等）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2310010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单色印刷品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令</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2310020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多色印刷品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对开色令</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2443010</w:t>
            </w:r>
          </w:p>
        </w:tc>
        <w:tc>
          <w:tcPr>
            <w:tcW w:w="2315" w:type="dxa"/>
            <w:tcBorders>
              <w:left w:val="single" w:color="auto" w:sz="2" w:space="0"/>
              <w:right w:val="single" w:color="auto" w:sz="2" w:space="0"/>
            </w:tcBorders>
            <w:noWrap w:val="0"/>
            <w:vAlign w:val="top"/>
          </w:tcPr>
          <w:p>
            <w:pPr>
              <w:widowControl/>
              <w:snapToGrid w:val="0"/>
              <w:jc w:val="left"/>
              <w:rPr>
                <w:sz w:val="18"/>
                <w:szCs w:val="18"/>
              </w:rPr>
            </w:pPr>
            <w:r>
              <w:rPr>
                <w:rFonts w:hint="eastAsia"/>
                <w:sz w:val="18"/>
                <w:szCs w:val="18"/>
              </w:rPr>
              <w:t>室内训练健身器材</w:t>
            </w:r>
            <w:r>
              <w:rPr>
                <w:sz w:val="18"/>
                <w:szCs w:val="18"/>
              </w:rPr>
              <w:t>*</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力量型训练器材（含专业训练健身器材、单站位配重训练器、多站位配重训练器、哑铃、小杠铃、臂力器、握力器、扩胸器等），力量型举重训练床，健身车，跑步机（含人力驱动和电力驱动跑步机），划船训练器，椭圆训练器材，踏步机、阶梯机、攀登机，带固定轮或无飞轮的健身车，一般体疗康复健身器材，以及其他室内训练健身器材。不包括运动用球、运动用球类器材及器械、体育器材及配件、室外健身器材、运动防护用具、钓鱼用品和器材、休闲运动器材和用品、旅游野营器材和用品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2541010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燃料乙醇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sz w:val="18"/>
                <w:szCs w:val="18"/>
              </w:rPr>
              <w:t>淀粉基、糖基原料制生物燃料乙醇以及纤维素原料制生物燃料乙醇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硫酸（折100％）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用各种含硫（或二氧化硫）原料（硫铁矿、硫磺、含硫气体等）经焙烧、净化、转化、吸收等工艺过程制得的硫酸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盐酸（氯化氢，含量31％）</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电解食盐所得氯气和氢气在合成炉中燃烧生成氯化氢气体，被水吸收而制得的盐酸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浓硝酸（折100％）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包括由稀硝酸浓缩法和由氨直接合成法所制得的浓硝酸；经检验符合根据标准（GB337</w:t>
            </w:r>
            <w:r>
              <w:rPr>
                <w:rFonts w:hint="eastAsia" w:ascii="宋体" w:hAnsi="宋体"/>
                <w:sz w:val="18"/>
                <w:szCs w:val="18"/>
              </w:rPr>
              <w:t>-</w:t>
            </w:r>
            <w:r>
              <w:rPr>
                <w:rFonts w:hint="eastAsia"/>
                <w:sz w:val="18"/>
                <w:szCs w:val="18"/>
              </w:rPr>
              <w:t>84）规定的，方可统计浓硝酸产量；浓硝酸产量应按标准中规定的硝酸含量折成100％计算产量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磷酸（含量85％）</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指正磷酸，不包括偏磷酸和焦磷酸；由萃取法生产的磷酸气含量低于85％，应按实际平均含量折合为85％计算产量；而热法生产的磷酸其含量高于85％的不必折算；按实物量计算产量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烧碱（折100％）◇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烧碱（折100％）≥离子膜法烧碱（折100％）。包括由盐水电解法或由纯碱（或天然碱）苛化法生产的固体和液体的氢氧化钠；也包括氢气干燥和本企业自用的合格烧碱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其中：◇离子膜法烧碱（折100％）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指用离子膜法（离子膜电解槽）生产的烧碱；离子膜法烧碱与传统隔膜法和水银法烧碱相比，具有能耗低（总能耗降低25％）、烧碱产品为高纯度以及无汞和石棉等污染的优点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纯碱（碳酸钠）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指氨碱法和联碱法及以天然碱为原料生产的无水碳酸钠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2613030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碳化钙（电石，折300升/千克）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用碳素原料和生石灰在高温电炉中化合而制得的碳化钙；是重要的基本化工原料，主要用于产生乙炔气；也用于有机合成、氧炔焊接等；能导电，纯度越高，导电越易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2613050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稀土化合物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包括稀土金属、钇、钪及其混合物的化合物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2613060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碳酸锂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以锂辉石、锂云母或卤水为原料制备得到的锂盐产品，按照终端用途和纯度不同碳酸锂主要分为工业级和电池级两类。电池级一般要求碳酸锂含量≥99.5%，工业级碳酸锂含量在98%－99%之间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乙烯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乙烯产品通常以液态形态在压力下储存于乙烯厂内，纯度可达到99.95％</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丙烯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丙烯产品根据下游加工的要求不同，分为聚合级丙烯和化学级丙烯，其间的差别主要是丙烯含量的不同；聚合级丙烯的丙烯含量为99.6%，化学级丙烯的丙烯含量为95％</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2614100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纯苯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包括由煤焦化回收的粗苯经精馏制得的纯苯，石油焦化重整生产的纯苯，也包括从裂解汽油中萃取或加氢脱烷基制取的纯苯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2614110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对二甲苯（PX）</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由分馏煤焦油的轻油部分或催化重整轻汽油经分馏而制取，也可由甲苯经歧化而制得。用于生产对苯二甲酸，进而生产对苯二甲酸乙二醇酯、丁二醇酯等聚酯树脂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2614200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甲醛</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又称福尔马林，易溶于水和乙醇；工业品通常是40％的水溶液，无色透明，具有窒息性臭味，呈中性及弱酸性反应，制法主要有甲醇氧化、天然气直接氧化法等；主要用作聚甲醛树脂、酚醛树脂等的原料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2614210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精甲醇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指由合成气单产或与氨联产的合成精甲醇，以及木材干馏副产的甲醇经精馏制成的精甲醇（含量在98％以上），不包括未精馏的粗甲醇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2614250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冰乙酸（冰醋酸）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冰醋酸亦称乙酸，目前主要是乙醛氧化法生产（包括乙炔水合法乙醛，酒精氧化法乙醛或乙烯液相氧化法乙醛），也包括轻油液相氧化法制得的合格乙酸；但不包括稀醋酸</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2614310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己二酸</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又称肥酸，是有机二元酸，能够发生成盐反应、酯化反应、酰胺化反应等，并能与二元胺或二元醇缩聚成高分子聚合物等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2619030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硫磺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易燃固体，外观为淡黄色脆性结晶或粉末，有特殊臭味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合成氨（无水氨）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合成氨的气态烃原料包括天然气、油田气、炼厂气、焦炉气等；液态烃原料包括重油、渣油；无烟煤、烟煤、褐煤也是生产合成氨的原料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2620020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农用氮、磷、钾化学肥料（折纯）◆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农用氮、磷、钾化学肥料（折纯）=氮肥（折含氮100％）+磷肥（折五氧化二磷100％）+钾肥（折氯化钾100％）。农用氮、磷、钾化学肥料总计（折纯）为农用氮、磷、钾化肥（折100%）的总和</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◆氮肥（折含氮100％）△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氮肥（折含氮100％）≥尿素（折含氮100％）。以氮为主要养分的肥料，肥效的大小决定于其氮含量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其中：△尿素（折含氮100％）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尿素是含氮量最高的氮肥，是由液氨和二氧化碳在高压和一定温度下反应生成；尿素除用作农业肥料还可用作化工原料或牛饲料添加剂；不论是否水溶液</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◆磷肥（折五氧化二磷100％）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是指以磷矿石为主要原料，用化学方法制成的含有作物营养元素磷的化肥</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◆钾肥（折氧化钾100％）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用天然钾盐矿经富集精加工制成的含有作物营养元素钾的化肥</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2624021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磷酸一铵（实物量）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用作肥料、木材、纸张、织物的防火剂，也用于制药物等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2624022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磷酸二铵（实物量）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用作肥料、木材、纸张、织物的防火剂，也用于医药、制糖等方面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化学农药原药（折有效成分100％）◇</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化学农药原药（折有效成分100％）≥杀虫剂（杀螨剂）原药+杀菌剂原药+除草剂原药。指经化学合成而生产的，未经过配制、稀释加工的化学农药原料药（原药）；化学农药（原药）包括用于防治农作物病虫草害的杀虫剂、杀菌剂、除草剂以及植物生长调节剂等；不包括未经化学合成过程的土农药、生物农药以及用外购农药原药生产的农药制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2631020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其中：◇杀虫剂（杀螨剂）原药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有机磷、氨基甲酸酯、除虫菊酯、有机氯类、杂环类、取代脲类等农药杀虫剂；按用途可分为杀虫、熏蒸、杀鼠、杀螨等杀虫剂；各企业生产的农药杀虫剂必须符合产品规定的质量标准，产量按产品的实际含量折100％计算</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2631030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◇杀菌剂原药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凡是能直接杀死或抑制病原菌，或能诱发植物的抗病性，使植物减轻或免受病害的化学物质称为杀菌剂；各企业生产的农药杀菌剂必须符合产品规定的质量标准，按原药统计产量并按产品的实际含量折100％计算；杀菌剂包括有机硫类杀菌剂、有机磷、砷类杀菌剂、取代苯类杀菌剂、杂环类杀菌剂、无机杀菌剂、杀线虫剂和其他类杀菌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2631040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◇除草剂原药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能够消灭农作物的杂草并抑制其生长，起着保护农作物作用的农药称为除草剂；除草剂只统计原药产量；包括有机磷除草剂、苯氧羟酸类除草剂、苯类除草剂、二苯醚除草剂、酰胺类除草剂、杂环类除草剂和其他类除草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2641010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涂料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涂料包含建筑涂料。指用油料、树脂、颜料、溶剂、催干剂以及其他辅料，经加工后制成的符合产品质量标准规定的喷涂覆盖材料；涂料（油漆）按主要成膜物质分为两类：即水性涂料和非水性涂料；按用途分为三类：即工业涂料、建筑涂料和涂料辅助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2645720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稀土发光材料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稀土元素被用作发光（荧光）材料的基质成分或被用作激活剂、共激活剂、敏化剂或掺杂剂所做成的发光材料，主要产品三基色荧光粉、LED荧光粉等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2659020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稀土磁性材料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将钐、钕混合稀土金属与过渡金属（如钴、铁等）组成的合金，用粉末冶金方法压型烧结，经磁场充磁后制得的一种磁性材料。稀土永磁分钐钴（SmCo）永磁体和钕铁硼（NdFeB）永磁体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初级形态塑料◇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初级形态塑料≥低密度聚乙烯树脂（LDPE）+高密度聚乙烯树脂（HDPE）+线型低密度聚乙烯树脂（LLDPE）+聚丙烯树脂+聚氯乙烯树脂+聚苯乙烯树脂+ABS树脂。即塑料树脂及共聚物；是指以合成树脂为基本成分，并含有辅助材料，如填料、增塑剂、颜料、稳定剂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2651021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其中：◇低密度聚乙烯树脂（LDPE）</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初级形状的聚乙烯，比重小于0.94</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2651022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◇高密度聚乙烯树脂（HDPE）</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初级形状的聚乙烯，比重在0.94及以上</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2651023</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◇线型低密度聚乙烯树脂（LLDPE）</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◇聚丙烯树脂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由丙烯聚合而成；聚丙烯是一种热塑性树脂，根据分子结构不同，有等规聚丙烯、无规聚丙烯和间规聚丙烯；按其生产方法，又可分为溶液法、连续本体法和间歇本体法生产的聚丙烯；也包括改性聚丙烯，但不包括纤维级聚丙烯树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◇聚氯乙烯树脂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指未掺其他物质的初级形状的聚氯乙烯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◇聚苯乙烯树脂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由苯乙烯聚合而成，是一种热塑性树脂；包括本体聚合与悬浮法生产的全部合格品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◇ABS树脂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包括初级形状丙烯腈–丁二烯–苯乙烯共聚物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聚碳酸酯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分子链中含有碳酸酯基的高分子聚合物</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2651090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硅橡胶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分子链中含有硅原子的合成橡胶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合成橡胶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是合成的高分子弹性体，又称人造橡胶；根据化学结构的不同，分为烯烃类、二烯烃类和元素有机类等；主要品种有：丁苯橡胶、丁腈橡胶、顺丁橡胶、丁基橡胶、氯丁橡胶、SBS热塑弹性体、乙丙橡胶、氯磺化聚乙烯、聚氨酯弹性体、聚硫橡胶、硅橡胶、氟橡胶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合成纤维单体◇</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合成纤维单体≥精对苯二甲酸（PTA）。合成纤维单体包含精对苯二甲酸（PTA）、丙烯腈、己内酰胺、乙二醇。一部分可直接生产合成纤维，一部分要聚合后生产合成纤维；主要有：己内酰胺、丙烯腈、精对苯二甲酸（PTA）、对苯二甲酸二甲酯（DMT）、纤维级聚丙烯、尼龙66盐、乙二醇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2653020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其中：◇精对苯二甲酸（PTA）</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以二甲苯为原料，用空气液相氧化得到对苯二甲酸，经结晶干燥、除去杂质制得精对苯二甲酸；PTA产量中只包括用于制造合成纤维的产品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2653030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乙二醇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乙烯为原料，采用纯氧氧化法或空气氧化法制得的乙二醇；或以环氧乙烷为原料用液碱中和后，经蒸馏、精馏、浓缩制得的乙二醇。主要用于制聚酯涤纶，聚酯树脂、吸湿剂，增塑剂，表面活性剂,合成纤维、化妆品和炸药，并用作染料、油墨等的溶剂、配制发动机的抗冻剂，气体脱水剂，制造树脂、也可用于玻璃纸、纤维、皮革、黏合剂的湿润剂。可生产合成树脂PET，纤维级PET即涤纶纤维，瓶片级PET用于制作矿泉水瓶等。还可生产醇酸树脂、乙二醛等，也用作防冻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2653060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合成纤维聚合物◇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合成纤维聚合物≥聚酯。包括聚酯（半消光涤纶切片）、聚乙烯醇、聚酰胺等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2653070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其中：◇聚酯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初级形状的聚对苯二甲酸乙二酯PET；以对苯二甲酸二甲酯和乙二醇为原料，采用酯交换缩聚法（又称DMT法）和以精对苯二甲酸和乙二醇为原料，采用直接缩聚法（又称PTA法）制得；产量中只包括用于合成纤维的聚酯，不包括聚酯树脂、聚酯橡胶和片基涤纶树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碳纤维及其复合材料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碳纤维及其复合材料是指碳纤维经深加工制成的材料制品，包括树脂基、陶瓷基、金属基。所采用的碳纤维是指含碳量在90%以上的无机高分子纤维，分为聚丙烯腈基、沥青基和粘胶基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2659060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石墨烯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一种由碳原子构成的单层片状结构的新材料，分为粉体和薄膜两类</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2661010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化学试剂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化学分析中为测定物质的成分或组成而使用的纯粹化学药品；化学试剂包括：通用试剂、高纯试剂及高纯物质、分析试剂、仪器分析用试剂及制品、生化试剂、临床诊断检查用试剂、稳定性同位素及其标记化合物、高纯气体、新兴工业用特种化学品、有机合成研究用试剂及其他化学试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2662010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表面活性剂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有机合成的化学品，具有润湿、渗透、乳化、分散作用，系合成洗涤剂的主体成分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2663010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活性炭</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有多孔结构和对气体、蒸汽或胶态固体有强大吸附本领的炭；木、竹、果壳、兽骨、兽血、泥煤、褐煤等都可作为制造活性炭的原料；可将炭质用过热蒸汽、氯、氨或空气共同加热至高温活化，或将未碳化原料用氯化锌、氯化铵、氯化钙、硫酸、磷等浸渍后在低温碳化，再灼烧活化而得</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2664010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单晶硅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指用多晶硅作原料生产的单晶硅棒，按生产工艺分为直拉单晶硅和区熔单晶硅；按用途分为集成电路级单晶硅、普通分立器件级单晶硅、电力电子器件级单晶硅、太阳能电池级单晶硅和探测级单晶硅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2664020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多晶硅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指用工业硅作原料，采用物理和化学等方法提取的高纯多晶硅，是单晶硅的原料，按用途分为直拉料多晶硅和区熔料多晶硅</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2681020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合成洗涤剂◇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合成洗涤剂≥合成洗衣粉+液体洗涤剂。以表面活性剂为主体，配制、成型的粉状、膏状、液体状产品；供家庭、工业及公共设施用清洁洗涤剂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2681030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其中：◇合成洗衣粉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包括家庭、服务业、工业用各种品种、性能，以清洁织物为主要用途的洗衣粉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2681040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◇液体洗涤剂</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含洗餐具、果蔬用，家用清洁卫生用液体清洁、洗涤剂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2710010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化学药品原药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2740010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中成药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2750010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兽用药品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包括宠物类动物用药品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2800010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化学纤维用浆粕</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用于生产化学纤维的纤维状聚集体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2800020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化学纤维◆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化学纤维=人造纤维（纤维素纤维）+合成纤维+高性能化学纤维+生物基化学纤维。不包括化学纤维加工丝</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◆人造纤维（纤维素纤维）△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人造纤维（纤维素纤维）≥粘胶短纤维+粘胶纤维长丝+醋酸纤维长丝。指传统的人造纤维，不包括生物基再生纤维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2812021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其中：△粘胶短纤维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指粘胶纤维短纤，未梳或未经其他纺前加工</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2812022</w:t>
            </w:r>
          </w:p>
        </w:tc>
        <w:tc>
          <w:tcPr>
            <w:tcW w:w="2315" w:type="dxa"/>
            <w:tcBorders>
              <w:left w:val="single" w:color="auto" w:sz="2" w:space="0"/>
              <w:right w:val="single" w:color="auto" w:sz="2" w:space="0"/>
            </w:tcBorders>
            <w:noWrap w:val="0"/>
            <w:vAlign w:val="top"/>
          </w:tcPr>
          <w:p>
            <w:pPr>
              <w:widowControl/>
              <w:snapToGrid w:val="0"/>
              <w:ind w:right="-105" w:rightChars="-50"/>
              <w:jc w:val="left"/>
              <w:rPr>
                <w:rFonts w:hint="eastAsia"/>
                <w:sz w:val="18"/>
                <w:szCs w:val="18"/>
              </w:rPr>
            </w:pPr>
            <w:r>
              <w:rPr>
                <w:rFonts w:hint="eastAsia"/>
                <w:sz w:val="18"/>
                <w:szCs w:val="18"/>
              </w:rPr>
              <w:t xml:space="preserve">          △粘胶纤维长丝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指粘胶纤维长丝单丝或复丝</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2812032</w:t>
            </w:r>
          </w:p>
        </w:tc>
        <w:tc>
          <w:tcPr>
            <w:tcW w:w="2315" w:type="dxa"/>
            <w:tcBorders>
              <w:left w:val="single" w:color="auto" w:sz="2" w:space="0"/>
              <w:right w:val="single" w:color="auto" w:sz="2" w:space="0"/>
            </w:tcBorders>
            <w:noWrap w:val="0"/>
            <w:vAlign w:val="top"/>
          </w:tcPr>
          <w:p>
            <w:pPr>
              <w:widowControl/>
              <w:snapToGrid w:val="0"/>
              <w:ind w:right="-105" w:rightChars="-50"/>
              <w:jc w:val="left"/>
              <w:rPr>
                <w:rFonts w:hint="eastAsia"/>
                <w:sz w:val="18"/>
                <w:szCs w:val="18"/>
              </w:rPr>
            </w:pPr>
            <w:r>
              <w:rPr>
                <w:rFonts w:hint="eastAsia"/>
                <w:sz w:val="18"/>
                <w:szCs w:val="18"/>
              </w:rPr>
              <w:t xml:space="preserve">          △醋酸纤维长丝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指纤维素醋酯纤维，包括纤维素二醋酯纤维和纤维素三醋酯纤维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◆合成纤维△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合成纤维≥锦纶纤维+涤纶纤维+腈纶纤维+维纶纤维+丙纶纤维+氨纶纤维。指传统的石油基合成纤维，不包括生物基合成纤维和高性能化学纤维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其中：△锦纶纤维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指聚酰胺纤维，俗称锦纶或尼龙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△涤纶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指聚对苯二甲酸乙二酯纤维，俗称涤纶。包含涤纶短纤维、涤纶长丝</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△腈纶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指聚丙烯腈纤维，俗称腈纶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△维纶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指聚乙烯醇纤维，俗称维纶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△丙纶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指聚丙烯纤维，俗称丙纶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2826010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△氨纶纤维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指聚氨基甲酸酯纤维，俗称氨纶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2828000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◆高性能化学纤维△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高性能化学纤维≥碳纤维。指本身的物理机械性能、热性能突出，或具有某些特殊性能的纤维，又称特种纤维。包括碳纤维、芳纶、超高分子量聚乙烯纤维、聚苯硫醚纤维、聚四氟乙烯纤维、聚酰亚胺纤维、连续玄武岩纤维、聚苯并双噁唑纤维、聚对苯并咪唑纤维、聚苯撑吡啶并二咪唑纤维、聚醚醚酮纤维、聚醚砜纤维、陶瓷纤维、硼纤维、碳化硅纤维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2828010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其中：△碳纤维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指含碳量在90%以上的高分子化学纤维</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2829000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◆生物基化学纤维</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生物质为原料或含有生物质来源单体的聚合物所制成的纤维。包括竹浆纤维、麻浆纤维、Lyocell纤维、低温碱/尿素法纤维、离子液体法、增塑纺丝法等生物基新型纤维素纤维，以及壳聚糖纤维、海藻酸盐纤维、蛋白质复合纤维、聚乳酸系列纤维、生物基聚酯纤维、生物基聚酰胺纤维、聚羟基丁酸戊酸共聚酯（PHBV）纤维、聚羟基脂肪酸酯（PHA）纤维、细菌纤维素纤维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摩托车充气橡胶轮胎外胎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用于摩托车上的充气轮胎外胎，按轮径一般可分为普通摩托车轮胎外胎和小轮径摩托车轮胎外胎，按国家质量标准统计产量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橡胶轮胎外胎≥乘用车橡胶轮胎外胎+载货汽车橡胶轮胎外胎+客车橡胶轮胎外胎+工程机械用橡胶轮胎外胎+农、林机械用橡胶轮胎外胎+航空器充气橡胶轮胎外胎；橡胶轮胎外胎≥子午线轮胎外胎；不包括摩托车充气橡胶轮胎外胎</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其中：◇乘用车橡胶轮胎外胎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◇载货汽车橡胶轮胎外胎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2911013</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◇客车橡胶轮胎外胎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2911014</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◇工程机械用橡胶轮胎外胎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2911015</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◇农、林机械用橡胶轮胎外胎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2911016</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◇航空器充气橡胶轮胎外胎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其中：☆子午线轮胎外胎</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条</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胎体帘线层的排列与胎周方向垂直正交，与径向成零度，像地球子午线的排布；子午胎具有很好的耐磨性、防刺性、缓冲性，在行驶中振动较少，节油，舒适；主要缺点是胎侧薄、刚性低，变形大，使用中侧向稳定性较差、爬坡性和制动性欠佳，成本较高</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塑料制品◇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塑料制品≥塑料薄膜+生物</w:t>
            </w:r>
            <w:r>
              <w:rPr>
                <w:b/>
                <w:bCs/>
                <w:sz w:val="18"/>
                <w:szCs w:val="18"/>
              </w:rPr>
              <w:t>降解颜料</w:t>
            </w:r>
            <w:r>
              <w:rPr>
                <w:rFonts w:hint="eastAsia"/>
                <w:b/>
                <w:bCs/>
                <w:sz w:val="18"/>
                <w:szCs w:val="18"/>
              </w:rPr>
              <w:t>+泡沫塑料+塑料人造革、合成革+日用塑料制品。包括非降解塑料制品和降解塑料制品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其中：◇塑料薄膜△</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塑料薄膜≥农用薄膜。指非泡沫塑料薄膜，包括塑料复合膜；不包括泡沫塑料膜，也不包括降解塑料薄膜</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2921020</w:t>
            </w:r>
          </w:p>
        </w:tc>
        <w:tc>
          <w:tcPr>
            <w:tcW w:w="2315" w:type="dxa"/>
            <w:tcBorders>
              <w:left w:val="single" w:color="auto" w:sz="2" w:space="0"/>
              <w:right w:val="single" w:color="auto" w:sz="2" w:space="0"/>
            </w:tcBorders>
            <w:noWrap w:val="0"/>
            <w:vAlign w:val="top"/>
          </w:tcPr>
          <w:p>
            <w:pPr>
              <w:widowControl/>
              <w:snapToGrid w:val="0"/>
              <w:jc w:val="left"/>
              <w:rPr>
                <w:rFonts w:hint="eastAsia"/>
                <w:spacing w:val="-12"/>
                <w:sz w:val="18"/>
                <w:szCs w:val="18"/>
              </w:rPr>
            </w:pPr>
            <w:r>
              <w:rPr>
                <w:rFonts w:hint="eastAsia"/>
                <w:sz w:val="18"/>
                <w:szCs w:val="18"/>
              </w:rPr>
              <w:t xml:space="preserve">          </w:t>
            </w:r>
            <w:r>
              <w:rPr>
                <w:rFonts w:hint="eastAsia"/>
                <w:spacing w:val="-12"/>
                <w:sz w:val="18"/>
                <w:szCs w:val="18"/>
              </w:rPr>
              <w:t>其中：△农用薄膜</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2922040</w:t>
            </w:r>
          </w:p>
        </w:tc>
        <w:tc>
          <w:tcPr>
            <w:tcW w:w="2315" w:type="dxa"/>
            <w:tcBorders>
              <w:left w:val="single" w:color="auto" w:sz="2" w:space="0"/>
              <w:right w:val="single" w:color="auto" w:sz="2" w:space="0"/>
            </w:tcBorders>
            <w:noWrap w:val="0"/>
            <w:vAlign w:val="top"/>
          </w:tcPr>
          <w:p>
            <w:pPr>
              <w:widowControl/>
              <w:snapToGrid w:val="0"/>
              <w:jc w:val="left"/>
              <w:rPr>
                <w:sz w:val="18"/>
                <w:szCs w:val="18"/>
              </w:rPr>
            </w:pPr>
            <w:r>
              <w:rPr>
                <w:rFonts w:hint="eastAsia"/>
                <w:sz w:val="18"/>
                <w:szCs w:val="18"/>
              </w:rPr>
              <w:t xml:space="preserve">        ◇生物降解塑料</w:t>
            </w:r>
            <w:r>
              <w:rPr>
                <w:sz w:val="18"/>
                <w:szCs w:val="18"/>
              </w:rPr>
              <w:t>*</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生物降解塑料又称生物分解塑料，指在自然界如土壤和/或沙土等条件下，和/或特定条件如堆肥化条件下或厌氧消化条件下或水性培养液中，由自然界存在的微生物作用引起降解，并最终完全降解变成二氧化碳（CO₂）或/和甲烷（CH₄）、水（H₂O）及其所含元素的矿化无机盐以及新的生物质的塑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◇泡沫塑料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不包括降解泡沫塑料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◇塑料人造革、合成革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包括箱包、服装、鞋、篷盖、灯箱、汽车、体育器材、家具等各种用途的塑料人造革、合成革；不包括塑料铺地制品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2927010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◇日用塑料制品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不包括降解塑料日用制品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硅酸盐水泥熟料◇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硅酸盐水泥熟料≥窑外分解窑水泥熟料。不包括外购商品水泥熟料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其中：◇窑外分解窑水泥熟料</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采用窑外分解窑生产工艺生产的水泥熟料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水泥◇</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水泥≥强度等级42.5水泥（含R型）+强度等级52.5水泥（含R型）。凡细磨成粉末状，加入适量水后，可成为塑性胶体，既能在空气中硬化，又能在水中硬化，并能把砂、石等材料牢固的胶结在一起的水硬性胶凝材料统称为水泥；水泥的种类很多，常用的是通用硅酸盐水泥</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3011140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其中：◇强度等级42.5水泥（含R型）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3011150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◇强度等级52.5水泥（含R型）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石灰≥生石灰。不同化学组成和物理形态的生石灰、消石灰、水硬性石灰与气硬性石灰的统称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3012040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其中：◇生石灰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以石灰石、白云石等为原料，经过高温煅烧后所得到的以氧化钙</w:t>
            </w:r>
            <w:r>
              <w:rPr>
                <w:rFonts w:hint="eastAsia"/>
                <w:sz w:val="18"/>
                <w:szCs w:val="18"/>
                <w:lang w:bidi="ar"/>
              </w:rPr>
              <w:t>（CaO）为主要</w:t>
            </w:r>
            <w:r>
              <w:rPr>
                <w:rFonts w:hint="eastAsia"/>
                <w:sz w:val="18"/>
                <w:szCs w:val="18"/>
              </w:rPr>
              <w:t>成分的产品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商品混凝土</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也称预拌混凝土，是指在混凝土搅拌厂（站）集中生产后以商品的形式供给工程使用的混凝土；混凝土是指用水泥作胶凝材料，砂、石作集料，与水（加或不加外加剂和掺合料）按一定比例配合，经搅拌、成型、养护而得的水泥混凝土，也称普通混凝土；它广泛应用于土木工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3021020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水泥混凝土排水管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水泥混凝土排水管包含钢筋混凝土排水管。又称下水管，用于建设排除污水、雨水的下水道，排水管在生产时夹入钢筋的称钢筋混凝土排水管，不夹钢筋的称无筋混凝土排水管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3021030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水泥混凝土压力管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pacing w:val="-6"/>
                <w:sz w:val="18"/>
                <w:szCs w:val="18"/>
              </w:rPr>
              <w:t>以钢筋混凝土为原料生产的，按照质量标准要求，可以承受一定的内压力，用于输送自来水、各种气体、石油的管道，按其生产时所用方法或原料不同，可分为预应力钢筋混凝土管和自应力钢筋混凝土管、普通钢筋混凝土管；包括水泥输水管、水泥输气管和水泥输油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3021040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水泥混凝土电杆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根</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按生产时配入钢筋的方法可分为预应力钢筋混凝土电杆和普通钢筋混凝土电杆以及薄壁轻型钢筋混凝土电杆，按其横截面形状可分为环形、矩形、工字型、双肢型等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3021050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预应力混凝土桩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为加强建筑物基础而打入地下的一种混凝土制品；包括预应力混凝土管桩、方桩等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3024010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石膏板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万平方米</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砖</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包含烧结黏土砖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3031070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以黏土、页岩和煤矸石、粉煤灰等工业废弃物为原料，通过焙烧或蒸压方法制成的建筑用瓦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3071710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瓷质砖</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指吸水率不超过0.5％的陶瓷砖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3071750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陶质砖</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指吸水率大于10％的陶瓷砖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3032710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天然大理石建筑板材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用大理石荒料经锯、切、研磨抛光后制成的建筑装饰板材，产品一般长300～900毫米，宽150～600毫米，厚20毫米；也有按设计要求生产的产品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3032720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天然花岗石建筑板材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花岗石荒料经锯、切、研磨、剁或刨或抛光后制成的建筑装饰板材；天然花岗石建筑板材根据用途和加工方法不同，可分为四种，即：剁斧板材、机刨板材、粗磨板材、磨光板材；天然花岗石建筑板材的规格大体与天然大理石建筑板材相同，花岗石的抗压强度和耐磨性都要优于大理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3033710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沥青和改性沥青防水卷材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3034710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隔热、隔音人造矿物材料及其制品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隔热、隔音人造矿物材料及其制品≥岩棉及其制品+玻璃棉及其制品+膨胀珍珠岩保温装饰复合板+硅酸铝纤维及其制品+泡沫玻璃+柔性泡沫橡塑+高性能酚醛泡沫板（AGPF）+石墨改性模塑聚苯乙烯泡沫塑料板+聚酯纤维吸音板，并且隔热、隔音人造矿物材料及其制品≥纳米孔气凝胶复合绝热制品+真空绝热板。指用于隔热、隔音、保温的岩石棉、矿渣棉、膨胀珍珠岩、膨胀蛭石等矿物绝缘材料及其制品，但不包括石棉隔热、隔音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3041010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平板玻璃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重量箱</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板状硅酸盐玻璃；主要用于建筑业、车船业、电子工业、太阳能工业、制镜业、现代农业等部门，是重要的建筑材料和工业技术玻璃的基础材料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3042010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太阳能工业用超白玻璃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3049010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钢化玻璃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经物理或化学处理之后的玻璃，其特点是在玻璃表面形成压应力层，机械强度和耐冲击强度等性能得到提高，物理方法处理之后的玻璃碎片状态达到特定要求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3051030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夹层玻璃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玻璃与玻璃、玻璃与塑料，用中间层材料通过处理使其粘结为一体的复合材料的统称；常见和大多数是玻璃与玻璃中间层用PVB膜，通过处理使其粘结为一体的玻璃组合构件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3051050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中空玻璃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pacing w:val="-4"/>
                <w:sz w:val="18"/>
                <w:szCs w:val="18"/>
              </w:rPr>
              <w:t>两片或多片玻璃用隔框（或间隔条）均匀隔开，周边用胶</w:t>
            </w:r>
            <w:r>
              <w:rPr>
                <w:rFonts w:hint="eastAsia"/>
                <w:sz w:val="18"/>
                <w:szCs w:val="18"/>
              </w:rPr>
              <w:t>黏</w:t>
            </w:r>
            <w:r>
              <w:rPr>
                <w:rFonts w:hint="eastAsia"/>
                <w:spacing w:val="-4"/>
                <w:sz w:val="18"/>
                <w:szCs w:val="18"/>
              </w:rPr>
              <w:t>结、密封，在玻璃层间可冲入有干燥气体的具有良好隔热、隔音效果的组件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3054010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日用玻璃制品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指供餐桌、厨房、盥洗室、办公室、室内装饰等用途的玻璃制品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3055010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玻璃包装容器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包括日用玻璃瓶、药用瓶（医药试剂用广口瓶、输液瓶、安瓿瓶、黄圆瓶、无色小药瓶、抗生素瓶、口服液瓶、农药用瓶）、其他玻璃瓶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3056010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玻璃保温容器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万个</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指带壳、带胆的成品保温容器；不包括保温容器用的瓶胆，保温瓶用的金属、塑料等制成的外壳，以及保温容器用的盖子、杯子等零配件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3061010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玻璃纤维纱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用石粉或玻璃球经高温熔化后用拉丝机拉丝和退、并、捻等工艺制成的；玻璃纤维按所使用石粉或玻璃球成分不同，可分为：中碱纱、无碱纱、特种纱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3061020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玻璃纤维布</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用玻璃纤维纱织成的，因用纱成分不同，可分为中碱布、无碱布、特种布等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3062010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纤维增强塑料制品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以纤维（玻璃纤维、玄武岩纤维、碳纤维、芳纶纤维及其他有机和无机纤维）或其制品为增强材料，合成树脂为基体的复合材料；广泛应用于建筑、石油化工、交通运输、能源电力、航空航天等领域</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3072710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卫生陶瓷制品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又称卫生洁具，由黏土或其他无机物质经混练、成型、高温烧制而成的用作卫生设施的有釉陶瓷制品，包括各种不同型号的大便器、小便器、洗面器、妇女洗涤器、高低水箱、洗涤槽、返水管、浴盆等；包括陶瓷、仿瓷、玻璃陶瓷、玻璃纤维增强塑料制卫生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3089010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耐火材料制品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3091010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石墨及碳素制品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以石油焦、天然石墨、煤沥青等富含碳元素的基材为主要原料，经特定工艺处理的人工制成品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3110010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生铁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高炉冶炼的合格生铁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3120010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粗钢</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指完成了冶炼过程、未经塑性加工的钢，其形态为液态或铸态固体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3391710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铸铁件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指无可锻性铸铁制品，包括灰铸铁、球墨铸铁、可锻铸铁、特种铸铁制品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3391720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铸钢件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指工业领域中各行业如汽车、机床、重型机械、工程机械、通用机械、轻工机械、纺织机械、石化机械、航天、航空、电站、造船机车车辆等行业用铸钢件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3130710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钢材=铁道用钢材+大型型钢+……+焊接钢管+其他钢材。钢材≥用外购钢材再加工生产钢材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3130711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◆铁道用钢材△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铁道用钢材≥轻轨+重轨。指铁道及电车道铺轨用钢铁材料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3130712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其中：△轻轨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单位长度的重量≤30kg／m的钢轨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3130713</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△重轨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单位长度的重量＞30kg／m的钢轨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3130714</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◆大型型钢</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产品的横截面如字母Ｉ、Ｕ、Ｌ、Ｚ、Ｔ等形状，其高度≥80mm（包括氧气瓶料）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3130715</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◆中小型型钢</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产品的横截面如字母Ｉ、Ｕ、Ｌ、Ｚ、Ｔ等形状，其高度＜80mm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3130716</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◆棒材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横截面为圆形、方形、六角形、八角形、扁形等简单断面并以直条交货的钢材；不包括混凝土用钢筋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3130717</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◆钢筋</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钢筋混凝土和预应力钢筋混凝土用的轧制产品，横截面通常为圆形或带有圆角的方形，包括光圆钢筋、带肋钢筋、扭转钢筋等；可以直条交货，也可以盘状交货；不包括线材轧机生产的产品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3130718</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◆线材（盘条）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经线材轧机热轧后卷成盘状交货的产品，其横截面通常为圆形、椭圆形、方形、矩形、六角形、八角形或其他形状，包括调出及企业自用于拔制钢丝的盘条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1"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3130719</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◆特厚板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厚度≥50mm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1"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◆厚钢板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20mm≤厚度＜50mm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1"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◆中板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3mm≤厚度＜20mm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1"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3130723</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◆热轧薄板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厚＜3mm（不含电工钢）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1"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3130724</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◆冷轧薄板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厚＜3mm（不含电工钢）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3130725</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◆中厚宽钢带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3mm≤厚度＜20mm、宽度≥600mm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3130726</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◆热轧薄宽钢带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厚度＜3mm、宽度≥600mm（不含电工钢）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3130727</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◆冷轧薄宽钢带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厚度＜3mm、宽度≥600mm（不含电工钢）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3130728</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◆热轧窄钢带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宽＜600mm（不含电工钢）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3130729</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◆冷轧窄钢带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宽＜600mm（不含电工钢）</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◆镀层板（带）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◆涂层板（带）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3130733</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◆电工钢板（带）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3130734</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◆无缝钢管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不包括铸铁管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3130735</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◆焊接钢管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3130736</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◆其他钢材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指除以上大品种以外的钢材；如钢铁企业锻钢车间生产的钢坯（包括锻锤机、精锻机、挤压机、液压机生产的钢坯，但不包括锻钢坯中的型材、棒材和无缝钢管）、冷弯型钢、减振复合钢板等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3130737</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其中：◇用外购钢材再加工生产钢材◆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用外购钢材再加工生产钢材=用外购国产钢材再加工生产钢材+用进口钢材再加工生产钢材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3130738</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◆用外购国产钢材再加工生产钢材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3130739</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◆用进口钢材再加工生产钢材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3130740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高温合金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高温合金是指以铁、镍、钴为基，能在600℃以上的高温及一定应力作用下长期工作的一类金属材料，具有优异的高温强度，良好的抗氧化和抗热腐蚀性能，良好的疲劳性能、断裂韧性等综合性能，主要应用于航空航天领域和能源领域</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3140710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铁合金◇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铁合金≥电炉硅铁（折合含硅75％）+锰硅合金（折合含锰硅量合计82％）+锰铁+铬铁。按折合标准含量的数量计算，无折标吨的品种按实物量计算汇总相加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3140730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其中：◇电炉硅铁（折合含硅75％）</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此类是电炉普通铁合金的其中项，均折合含硅量75％</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3140740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◇锰硅合金（折合含锰硅量合计82％）</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硅锰铁，折合含锰硅量合计82％</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3140750</w:t>
            </w:r>
          </w:p>
        </w:tc>
        <w:tc>
          <w:tcPr>
            <w:tcW w:w="2315" w:type="dxa"/>
            <w:tcBorders>
              <w:left w:val="single" w:color="auto" w:sz="2" w:space="0"/>
              <w:right w:val="single" w:color="auto" w:sz="2" w:space="0"/>
            </w:tcBorders>
            <w:noWrap w:val="0"/>
            <w:vAlign w:val="top"/>
          </w:tcPr>
          <w:p>
            <w:pPr>
              <w:widowControl/>
              <w:snapToGrid w:val="0"/>
              <w:ind w:firstLine="720" w:firstLineChars="400"/>
              <w:jc w:val="left"/>
              <w:rPr>
                <w:rFonts w:hint="eastAsia"/>
                <w:sz w:val="18"/>
                <w:szCs w:val="18"/>
              </w:rPr>
            </w:pPr>
            <w:r>
              <w:rPr>
                <w:rFonts w:hint="eastAsia"/>
                <w:sz w:val="18"/>
                <w:szCs w:val="18"/>
              </w:rPr>
              <w:t>◇锰铁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含锰量在</w:t>
            </w:r>
            <w:r>
              <w:rPr>
                <w:rFonts w:hint="eastAsia"/>
                <w:sz w:val="18"/>
                <w:szCs w:val="18"/>
                <w:lang w:bidi="ar"/>
              </w:rPr>
              <w:t>60％～93％范围内的铁和锰的合金</w:t>
            </w:r>
            <w:r>
              <w:rPr>
                <w:rFonts w:hint="eastAsia"/>
                <w:sz w:val="18"/>
                <w:szCs w:val="18"/>
              </w:rPr>
              <w:t>，高碳类折合含锰量</w:t>
            </w:r>
            <w:r>
              <w:rPr>
                <w:rFonts w:hint="eastAsia"/>
                <w:sz w:val="18"/>
                <w:szCs w:val="18"/>
                <w:lang w:bidi="ar"/>
              </w:rPr>
              <w:t>65％，其余折合含锰量78％</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3140760</w:t>
            </w:r>
          </w:p>
        </w:tc>
        <w:tc>
          <w:tcPr>
            <w:tcW w:w="2315" w:type="dxa"/>
            <w:tcBorders>
              <w:left w:val="single" w:color="auto" w:sz="2" w:space="0"/>
              <w:right w:val="single" w:color="auto" w:sz="2" w:space="0"/>
            </w:tcBorders>
            <w:noWrap w:val="0"/>
            <w:vAlign w:val="top"/>
          </w:tcPr>
          <w:p>
            <w:pPr>
              <w:widowControl/>
              <w:snapToGrid w:val="0"/>
              <w:ind w:firstLine="720" w:firstLineChars="400"/>
              <w:jc w:val="left"/>
              <w:rPr>
                <w:rFonts w:hint="eastAsia"/>
                <w:sz w:val="18"/>
                <w:szCs w:val="18"/>
              </w:rPr>
            </w:pPr>
            <w:r>
              <w:rPr>
                <w:rFonts w:hint="eastAsia"/>
                <w:sz w:val="18"/>
                <w:szCs w:val="18"/>
              </w:rPr>
              <w:t>◇铬铁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含铬量在</w:t>
            </w:r>
            <w:r>
              <w:rPr>
                <w:rFonts w:hint="eastAsia"/>
                <w:sz w:val="18"/>
                <w:szCs w:val="18"/>
                <w:lang w:bidi="ar"/>
              </w:rPr>
              <w:t>45％～95％范围内的铁和铬的合金</w:t>
            </w:r>
            <w:r>
              <w:rPr>
                <w:rFonts w:hint="eastAsia"/>
                <w:sz w:val="18"/>
                <w:szCs w:val="18"/>
              </w:rPr>
              <w:t>，均折合含铬量</w:t>
            </w:r>
            <w:r>
              <w:rPr>
                <w:rFonts w:hint="eastAsia"/>
                <w:sz w:val="18"/>
                <w:szCs w:val="18"/>
                <w:lang w:bidi="ar"/>
              </w:rPr>
              <w:t>50％</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3216010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氧化铝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tabs>
                <w:tab w:val="left" w:pos="788"/>
              </w:tabs>
              <w:snapToGrid w:val="0"/>
              <w:jc w:val="left"/>
              <w:rPr>
                <w:rFonts w:hint="eastAsia"/>
                <w:sz w:val="18"/>
                <w:szCs w:val="18"/>
              </w:rPr>
            </w:pPr>
            <w:r>
              <w:rPr>
                <w:rFonts w:hint="eastAsia"/>
                <w:sz w:val="18"/>
                <w:szCs w:val="18"/>
                <w:lang w:bidi="ar"/>
              </w:rPr>
              <w:t>包括冶金级，化学品级折合量，其他产品折合量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十种有色金属◆</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十种有色金属=精炼铜（电解铜）+铅+锌+镍+锡+锑品+原铝（电解铝）+镁+工业硅+海绵钛</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◆精炼铜（电解铜）</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指用铜精矿、外购粗铜及铜废碎料作原料经电解工序生产的精炼铜（阴极铜）</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指用铅精矿和铅废料为原料生产的电铅（铅锭，含一号铅至三号铅，含铅≥99％）、铅基合金（含铅≥99％）、铸造锡铅焊料折铅（不含用成品铅作原料铸造的焊锡料和铅基合金）、其他铅（含铅≥99％）</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◆锌</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指以锌精矿或锌废碎料作原料经粗炼和精炼工艺生产的锌产品（包括电锌、精锌、商品蒸馏锌和锌品）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◆镍</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指以镍精矿及镍废碎料等物料为原料，经冶炼生产的镍产品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指未煅轧锡，包括电锡、精锡、锡基合金折锡、铸造锡铅焊料折锡（不含用成品锡和成品铅作原料生产的铸造锡铅焊料折锡，也不包括供本单位或外单位进一步电解的焊锡折锡）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◆锑品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指以锑精矿为原料经冶炼工艺生产的锑产品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3216020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◆原铝（电解铝）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指以氧化铝为原料生产的电解铝及直接用铝液生产的铝合金、铝母线、铝板卷及铝导杆等产品，但要扣除铝合金中的其他金属元素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3217010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包括用白云石、菱镁矿等物料作原料生产的镁含量≥99.8％的镁锭，镁合金、镁环、镁粒，不含用镁锭作原料生产的镁合金、镁环、镁粒和用废杂镁作原料生产的镁（镁锭）</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3218010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◆工业硅</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硅冶炼产品,是硅的氧化物在电弧炉中被碳还原而成。一般含Si为90%</w:t>
            </w:r>
            <w:r>
              <w:rPr>
                <w:rFonts w:hint="eastAsia"/>
                <w:sz w:val="18"/>
                <w:szCs w:val="18"/>
                <w:lang w:bidi="ar"/>
              </w:rPr>
              <w:t>～</w:t>
            </w:r>
            <w:r>
              <w:rPr>
                <w:rFonts w:hint="eastAsia" w:ascii="宋体" w:hAnsi="宋体" w:cs="宋体"/>
                <w:kern w:val="0"/>
                <w:sz w:val="18"/>
                <w:szCs w:val="18"/>
              </w:rPr>
              <w:t>95%以上，高端产品可达99.8%以上</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3219010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◆海绵钛</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指从处理钛铁矿等物料开始；经富集</w:t>
            </w:r>
            <w:r>
              <w:rPr>
                <w:rFonts w:hint="eastAsia" w:ascii="宋体" w:hAnsi="宋体"/>
                <w:sz w:val="18"/>
                <w:szCs w:val="18"/>
              </w:rPr>
              <w:t>-</w:t>
            </w:r>
            <w:r>
              <w:rPr>
                <w:rFonts w:hint="eastAsia"/>
                <w:sz w:val="18"/>
                <w:szCs w:val="18"/>
              </w:rPr>
              <w:t>氯化</w:t>
            </w:r>
            <w:r>
              <w:rPr>
                <w:rFonts w:hint="eastAsia" w:ascii="宋体" w:hAnsi="宋体"/>
                <w:sz w:val="18"/>
                <w:szCs w:val="18"/>
              </w:rPr>
              <w:t>-</w:t>
            </w:r>
            <w:r>
              <w:rPr>
                <w:rFonts w:hint="eastAsia"/>
                <w:sz w:val="18"/>
                <w:szCs w:val="18"/>
              </w:rPr>
              <w:t>精制制取四氯化钛，再经还原、蒸馏、产品处理等工艺生产出的海绵钛</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黄金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指矿山成品金和冶炼产金（金锭），产品为一号、二号、三号金，含金≥99.9％</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白银（银锭）</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指用银精矿及废杂银（回收的再生银）作原料生产的银（银锭），产品含一号、二号、三号银，银≥99.9％</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3232010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单一稀土金属</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千克</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采用熔盐电解、金属热还原和火法提纯三种冶炼工艺生产的单一稀土金属产品；单一稀土金属有17种，分为铈组轻金属7种：镧、铈、镨、钕、钷、钐、铕；钇组重金属9种：钆、铽、镝、钬、铒、铥、镱、镥和钇；钪为另类稀土金属。本类均指经冶炼后的单一稀土金属，且该单一稀土金属含量≥99％</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3240020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铜合金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指以铜为基体，加入一种或几种其他有色金属元素所铸造的未锻轧的铜合金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3240030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铝合金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指以铝锭（铝液或再生铝）为基体，加入一种或几种其他有色金属元素所铸造的未锻轧的铝合金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3240040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锌合金</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指以锌为基体，加入一种或几种其他有色金属元素所铸造的未锻轧的锌合金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3251710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铜材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指以铜金属为基体，经熔铸、挤压或轧制加工生产的板材、带材、箔材、棒材、型材、线材、管材等铜材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3252790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铝材◇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铝材≥航空航天铝材。指以铝金属为基体，经熔铸、挤压或轧制加工生产的板材、带材、箔材、棒材、型材、线材、管材及排材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3252791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其中：◇航空航天铝材</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航空航天铝材是指飞行器制造所用的各类铝合金材料，通常具有良好的比强度、韧性、抗疲劳性和加工工艺性能。主要包括7000系、2000系、6000系、5000系等变形铝合金，以及少量铸造铝合金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钢结构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是指用钢板、型钢、钢管、钢绳、钢束等作为原料，通过用焊、铆、螺栓或胶等连接而成的钢结构体和钢铁结构体部件、钢铁结构体加工钢材</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金属门窗及类似制品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不包括塑钢门窗</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金属切削工具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金属集装箱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包括运输液体的集装箱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3332010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金属压力容器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指供运输或储存压缩或液化气体（例如，氦、氧、氩、氢、乙炔、二氧化碳或丁烷）用的容器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3333010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金属包装容器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容积不超过300L</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3340020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钢丝</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3340030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钢丝绳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3340040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钢绞线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包括预应力钢绞线、钢芯铝绞线、镀锌钢绞线、其他钢绞线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3380010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不锈钢日用制品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3393710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锻件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3393720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粉末冶金零件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3411010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电站锅炉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蒸发量吨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指输出介质压力＞3.9MP的锅炉，蒸发量在900t／h及以上的发电用锅炉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工业锅炉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蒸发量吨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3412020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发动机◇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发动机≥汽车用发动机+摩托车用发动机。发动机包含汽车用发动机、航空器用发动机、船舶用发动机、摩托车用发动机。也叫内燃机，指燃料在气缸内燃烧，发出热能，通过活塞作往复运动，使热能转变为机械功的机器。按使用燃料分为汽油机、柴油机和混合燃料发动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3412040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其中：◇汽车用发动机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汽车用发动机包含汽车用汽油发动机、汽车用柴油发动机、其他汽车用发动机。指配汽车用的发动机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3752010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w:t>
            </w:r>
            <w:r>
              <w:rPr>
                <w:rFonts w:hint="eastAsia"/>
                <w:spacing w:val="-10"/>
                <w:sz w:val="18"/>
                <w:szCs w:val="18"/>
              </w:rPr>
              <w:t>摩托车用发动机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指配摩托车用的发动机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3413020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电站用汽轮机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将蒸汽膨胀变热能为机械能，具有叶片旋转式动力的机械。汽轮机按用途参数可分为：1.凝汽式汽轮机，指蒸汽在汽轮机中膨胀做功后，排入凝汽器的汽轮机。2.背压式汽轮机，指排气压力高于大气压力的汽轮机。3.抽气式汽轮机，指具有调整蒸汽的汽轮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3413030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燃气轮机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是以空气为介质，靠高温燃气推动涡轮机械连续做功的大功率、高性能动力机械。包括电站用燃气轮机，专供工业用的燃气轮机设备，具有除为飞机提供动力之外的其他用途的涡轮喷气发动机、涡轮风扇发动机或涡轮螺桨发动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3414020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电站水轮机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指将水能转换为机械能的水利机械，驱动水轮电机产生电能。按机型可分为以下几种。1.混流式水轮机。2.轴流式水轮机。3.斜流式水轮机。4.贯流式水轮机。5.冲击式水轮机。6.水泵式水轮机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金属切削机床◇</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金属切削机床≥数控金属切削机床。包括：加工中心、车床、钻床、特种加工机床、镗床、铣床、磨床、刨床、齿轮加工机床、插床、锯床、组合机床、其他金属切削机床。包括数控机床</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3421070</w:t>
            </w:r>
          </w:p>
        </w:tc>
        <w:tc>
          <w:tcPr>
            <w:tcW w:w="2315" w:type="dxa"/>
            <w:tcBorders>
              <w:left w:val="single" w:color="auto" w:sz="2" w:space="0"/>
              <w:right w:val="single" w:color="auto" w:sz="2" w:space="0"/>
            </w:tcBorders>
            <w:noWrap w:val="0"/>
            <w:vAlign w:val="top"/>
          </w:tcPr>
          <w:p>
            <w:pPr>
              <w:widowControl/>
              <w:snapToGrid w:val="0"/>
              <w:ind w:right="-105" w:rightChars="-50"/>
              <w:jc w:val="left"/>
              <w:rPr>
                <w:rFonts w:hint="eastAsia"/>
                <w:sz w:val="18"/>
                <w:szCs w:val="18"/>
              </w:rPr>
            </w:pPr>
            <w:r>
              <w:rPr>
                <w:rFonts w:hint="eastAsia"/>
                <w:sz w:val="18"/>
                <w:szCs w:val="18"/>
              </w:rPr>
              <w:t xml:space="preserve">  其中：</w:t>
            </w:r>
            <w:r>
              <w:rPr>
                <w:rFonts w:hint="eastAsia"/>
                <w:spacing w:val="-6"/>
                <w:sz w:val="18"/>
                <w:szCs w:val="18"/>
              </w:rPr>
              <w:t>◇数控金属切削机床</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金属成形机床◇</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金属成形机床≥数控金属成形机床（数控锻压设备）。包括：自由锻锤、模锻锤、自由锻液压机、模锻压机、锻压锤、金属挤压机、金属滚压机、金属辊压机、液压机、机械压力机、气式压力机、折弯、折叠、矫直、矫平、矫正机、剪切机、冲床、冲孔机、开槽机、其他金属成形机床。包括数控机床</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3422060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其中：◇数控金属成形机床（数控锻压设备）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铸造机械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电焊机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包括电焊机及装置</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3429010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机床数控装置</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基于计算机硬件平台的以控制设备进行复杂加工的系统，其主控单元与伺服驱动单元间有严格的匹配要求</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3432100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起重机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起重机包含桥式起重机、门式起重机、装卸桥、塔式起重机、流动式起重机、悬臂起重机。指具有起升、变幅或回转、行走等主要工作机构，使悬挂在起重吊钩或其他取物装置上的重物，在空间垂直升降和水平移动的周期性装卸作业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3433280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电动车辆（电动叉车）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指采用货叉或其他取物装置，以高能蓄电池作动力，对成件货物进行装卸、堆垛、短距离搬运作业的无轨起升车辆，俗称电动叉车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3433290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内燃叉车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指采用货叉或其他属具、以内燃机作动力，对成件货物进行装卸、堆垛、短距离搬运作业的无轨高起升车辆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3434311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输送机械（输送机和提升机）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输送机械包含带式输送机、刮板输送机。指在同一方向上，连续或间断地沿预定的线路上输送散状物料和成件物品的搬运设备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3435010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电梯、自动扶梯及升降机◆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电梯、自动扶梯及升降机=电梯+连续运载乘客输送机+升降机。指主要用于建筑物或建筑工程中，沿导轨垂直升降或沿斜面及水平移动运送乘客和货物的机械设备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3435020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◆电梯</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电梯包含乘客电梯、载货电梯、住宅电梯、病床电梯、观光电梯。指靠电力拖动（或液压缸顶举），使轿厢沿垂直导轨升降，在规定的楼层间运送人和货物的固定提升设备；在电梯行业统计中，习惯上不包括杂货电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3435050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◆连续运载乘客输送机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连续运载乘客输送机包含自动扶梯、自动人行道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3435080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◆升降机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pacing w:val="-4"/>
                <w:sz w:val="18"/>
                <w:szCs w:val="18"/>
              </w:rPr>
            </w:pPr>
            <w:r>
              <w:rPr>
                <w:rFonts w:hint="eastAsia"/>
                <w:spacing w:val="-4"/>
                <w:sz w:val="18"/>
                <w:szCs w:val="18"/>
              </w:rPr>
              <w:t>升降机包含施工升降机。是指重物或取物装置只能沿导轨升降的设备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3439020</w:t>
            </w:r>
          </w:p>
        </w:tc>
        <w:tc>
          <w:tcPr>
            <w:tcW w:w="2315" w:type="dxa"/>
            <w:tcBorders>
              <w:left w:val="single" w:color="auto" w:sz="2" w:space="0"/>
              <w:right w:val="single" w:color="auto" w:sz="2" w:space="0"/>
            </w:tcBorders>
            <w:noWrap w:val="0"/>
            <w:vAlign w:val="top"/>
          </w:tcPr>
          <w:p>
            <w:pPr>
              <w:widowControl/>
              <w:snapToGrid w:val="0"/>
              <w:jc w:val="left"/>
              <w:rPr>
                <w:sz w:val="18"/>
                <w:szCs w:val="18"/>
              </w:rPr>
            </w:pPr>
            <w:r>
              <w:rPr>
                <w:rFonts w:hint="eastAsia"/>
                <w:sz w:val="18"/>
                <w:szCs w:val="18"/>
              </w:rPr>
              <w:t>机械式停车设备</w:t>
            </w:r>
            <w:r>
              <w:rPr>
                <w:sz w:val="18"/>
                <w:szCs w:val="18"/>
              </w:rPr>
              <w:t>*</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个泊位</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指用来存取储放车辆的机械或机械设备系统。包括升降横移类机械式停车设备、简易升降类机械式停车设备、垂直升降类机械式停车设备等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泵◇</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泵≥真空泵。不包括液压泵</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3441020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其中：◇真空泵</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真空泵是用来获得、改善和（或）维持真空的装置</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3441050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真空应用设备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真空应用设备包含真空镀膜设备、真空浸渍设备、真空干燥设备、真空炉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3442010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气体压缩机◆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气体压缩机=制冷设备用压缩机+非制冷设备用压缩机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3442020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◆制冷设备用压缩机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制冷设备用压缩机包含空调压缩机、冰箱压缩机、车用空调压缩机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◆非制冷设备用压缩机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非制冷设备用压缩机包含往复式压缩机、空气压缩机、工艺压缩机、离心式压缩机、轴流式压缩机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阀门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不包括液压阀</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液压元件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3444040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气动元件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指使用受压的空气作为介质来进行能量转换、传递、控制和分配的元件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滚动轴承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滚动轴承包含球轴承、滚子轴承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3453720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齿轮</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3459010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钢铁铰接链（工业链条）</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工业电炉</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包括工业或实验室用电炉及电烘箱等加热设备，但不包括冶炼用电炉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风机◇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风机≥鼓风机。风机包含离心式通风机+轴流式通风机+鼓风机。包括纺织专用风机、防爆风机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3462030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其中：◇鼓风机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3463020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气体分离及液化设备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气体分离及液化设备包含气体发生器、制氮设备、制氢设备、制氧设备、天然气液化设备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工商用制冷、空调设备◇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工商用制冷、空调设备≥工商用空调设备。工商用制冷、空调设备包含工商用制冷设备、工商用冷藏冷冻柜及类似设备、中央空调冷水／热泵机组、工商用空调设备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3464050</w:t>
            </w:r>
          </w:p>
        </w:tc>
        <w:tc>
          <w:tcPr>
            <w:tcW w:w="2315" w:type="dxa"/>
            <w:tcBorders>
              <w:left w:val="single" w:color="auto" w:sz="2" w:space="0"/>
              <w:right w:val="single" w:color="auto" w:sz="2" w:space="0"/>
            </w:tcBorders>
            <w:noWrap w:val="0"/>
            <w:vAlign w:val="top"/>
          </w:tcPr>
          <w:p>
            <w:pPr>
              <w:widowControl/>
              <w:snapToGrid w:val="0"/>
              <w:jc w:val="left"/>
              <w:rPr>
                <w:rFonts w:hint="eastAsia"/>
                <w:spacing w:val="-8"/>
                <w:sz w:val="18"/>
                <w:szCs w:val="18"/>
              </w:rPr>
            </w:pPr>
            <w:r>
              <w:rPr>
                <w:rFonts w:hint="eastAsia"/>
                <w:sz w:val="18"/>
                <w:szCs w:val="18"/>
              </w:rPr>
              <w:t xml:space="preserve">  </w:t>
            </w:r>
            <w:r>
              <w:rPr>
                <w:rFonts w:hint="eastAsia"/>
                <w:spacing w:val="-8"/>
                <w:sz w:val="18"/>
                <w:szCs w:val="18"/>
              </w:rPr>
              <w:t>其中：◇工商用空调设备△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工商用空调设备≥车用空调设备。工商用空调设备包含房间空调器（制冷量＞14000W）、车用空调设备。不包括制冷量≤14000W的家用和类似用途空调设备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3464070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其中：△车用空调设备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机动车辆上供人使用的空气调节设备，包括轿车用空调、中／大巴用空调、工程车用空调等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3465020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电动手提式工具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手提式电动液压开孔器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4050710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衡器（秤）</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指由秤体（承载器）、传力机构、显示器三部分组成的整体衡器（缺任一部分都只能统计为衡器部件）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3467710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包装专用设备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3472010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影像投影仪</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包括用于学校、课室等的幻灯机和其他静止影像投影仪</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3473010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照相机◇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照相机≥数码照相机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3473030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其中：◇数码照相机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指以数字方式存储图像的照相机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3474010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复印和胶版印制设备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复印和胶版印制设备包含静电复印设备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3475020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自动柜员机（ATM机）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指与自动数据处理机连用，不论是在线的还是离线的自动提款机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3481010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金属密封件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万件</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3482010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金属紧固件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金属紧固件包含钢铁制紧固件+铜制紧固件+铝制紧固件+其他金属紧固件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3483020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弹簧</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3453740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减变速机◇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包括增速机（器、箱），减变速机≥机器人减速器+微型减速器+风电用减变速机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3453741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 xml:space="preserve">  其中：◇机器人减速器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包括工业机器人、服务机器人（人型机器人）、特种机器人等关节用减速器，主要有摆线针轮减速器、谐波减速器、其他类型减速器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3453742</w:t>
            </w:r>
          </w:p>
        </w:tc>
        <w:tc>
          <w:tcPr>
            <w:tcW w:w="2315" w:type="dxa"/>
            <w:tcBorders>
              <w:left w:val="single" w:color="auto" w:sz="2" w:space="0"/>
              <w:right w:val="single" w:color="auto" w:sz="2" w:space="0"/>
            </w:tcBorders>
            <w:noWrap w:val="0"/>
            <w:vAlign w:val="top"/>
          </w:tcPr>
          <w:p>
            <w:pPr>
              <w:widowControl/>
              <w:snapToGrid w:val="0"/>
              <w:ind w:firstLine="720" w:firstLineChars="400"/>
              <w:jc w:val="left"/>
              <w:rPr>
                <w:rFonts w:hint="eastAsia"/>
                <w:sz w:val="18"/>
                <w:szCs w:val="18"/>
              </w:rPr>
            </w:pPr>
            <w:r>
              <w:rPr>
                <w:rFonts w:hint="eastAsia" w:ascii="宋体" w:hAnsi="宋体" w:cs="宋体"/>
                <w:kern w:val="0"/>
                <w:sz w:val="18"/>
                <w:szCs w:val="18"/>
              </w:rPr>
              <w:t>◇微型减速器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包括模数小于1mm的小模数齿轮且外形尺寸不大于50mm的减速器，有金属材料或非金属材料之分。主要应用于通信、机器人及虚拟现实等战略性新兴产业，以及汽车电子、医疗器械、工业控制，智能家电产品、扫地机器人等民生领域</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3453743</w:t>
            </w:r>
          </w:p>
        </w:tc>
        <w:tc>
          <w:tcPr>
            <w:tcW w:w="2315" w:type="dxa"/>
            <w:tcBorders>
              <w:left w:val="single" w:color="auto" w:sz="2" w:space="0"/>
              <w:right w:val="single" w:color="auto" w:sz="2" w:space="0"/>
            </w:tcBorders>
            <w:noWrap w:val="0"/>
            <w:vAlign w:val="top"/>
          </w:tcPr>
          <w:p>
            <w:pPr>
              <w:widowControl/>
              <w:snapToGrid w:val="0"/>
              <w:ind w:right="-105" w:rightChars="-50" w:firstLine="720" w:firstLineChars="400"/>
              <w:jc w:val="left"/>
              <w:rPr>
                <w:rFonts w:hint="eastAsia"/>
                <w:sz w:val="18"/>
                <w:szCs w:val="18"/>
              </w:rPr>
            </w:pPr>
            <w:r>
              <w:rPr>
                <w:rFonts w:hint="eastAsia" w:ascii="宋体" w:hAnsi="宋体" w:cs="宋体"/>
                <w:kern w:val="0"/>
                <w:sz w:val="18"/>
                <w:szCs w:val="18"/>
              </w:rPr>
              <w:t>◇</w:t>
            </w:r>
            <w:r>
              <w:rPr>
                <w:rFonts w:hint="eastAsia" w:ascii="宋体" w:hAnsi="宋体" w:cs="宋体"/>
                <w:spacing w:val="-4"/>
                <w:kern w:val="0"/>
                <w:sz w:val="18"/>
                <w:szCs w:val="18"/>
              </w:rPr>
              <w:t>风电用减变速器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ascii="宋体" w:hAnsi="宋体" w:cs="宋体"/>
                <w:kern w:val="0"/>
                <w:sz w:val="18"/>
                <w:szCs w:val="18"/>
              </w:rPr>
              <w:t>包括风电主齿轮箱及偏航变桨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矿山专用设备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矿山专用设备包含钻井机、凿岩机、矿用挖掘机、采煤机、矿物破碎机械、矿物筛分洗选设备。指用于各种固体矿物及石料的开采和选别的机械设备及其专门配套设备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3512010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石油钻井设备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3514700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建筑工程用机械◇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建筑工程用机械≥挖掘、铲土运输机械+压实机械。推土机、筑路机、平地机、铲运机等工程机械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3514710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其中：◇挖掘、铲土运输机械△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挖掘、铲土运输机械≥挖掘机+装载机。挖掘、铲土运输机械包含挖掘机、推土机、平地机、铲运机、装载机、路面开凿机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3514711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w:t>
            </w:r>
            <w:r>
              <w:rPr>
                <w:rFonts w:hint="eastAsia"/>
                <w:spacing w:val="-10"/>
                <w:sz w:val="18"/>
                <w:szCs w:val="18"/>
              </w:rPr>
              <w:t>△挖掘机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3514715</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w:t>
            </w:r>
            <w:r>
              <w:rPr>
                <w:rFonts w:hint="eastAsia"/>
                <w:spacing w:val="4"/>
                <w:sz w:val="18"/>
                <w:szCs w:val="18"/>
              </w:rPr>
              <w:t xml:space="preserve">       </w:t>
            </w:r>
            <w:r>
              <w:rPr>
                <w:rFonts w:hint="eastAsia"/>
                <w:spacing w:val="-12"/>
                <w:sz w:val="18"/>
                <w:szCs w:val="18"/>
              </w:rPr>
              <w:t>△装载机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指前铲装载机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3514717</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◇压实机械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压实机械包含机动压路机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3737710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海洋石油浮动工程结构物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座/艘</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主要指海洋资源的勘探、开发、加工、储运、管理、后勤服务等方面的大型工程装备和辅助装备，包括各类钻井装备、采油装备、海洋工程船和其他海洋工程装备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水泥专用设备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包括水泥生产的全套设备及散装水泥专用设备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3515040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混凝土机械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混凝土机械包含混凝土泵、混凝土泵车、混凝土搅拌车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3516020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金属冶炼设备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金属冶炼设备包含造块设备、炼焦设备、炼铁设备、炼钢设备、铁合金冶炼设备、有色金属冶炼设备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3516110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金属轧制设备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3521010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炼油、化工生产专用设备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指炼油、化学工业生产专用的设备，包括炼油主要设备和化工主要设备两大类；不包括包装机械、工业动力设备、电子计算机、机械手、工业机器人等通用设备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3521011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石油化工用加氢反应器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3523010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塑料加工专用设备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塑料加工专用设备包含注塑机、挤塑机、吹塑机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3525010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模具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模具包含金属铸造用型箱型模底板、金属硬质合金用模具、玻璃制品用模具、矿物材料用模具、塑料用模具、橡胶用模具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3531010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食品制造机械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包括糕点、米面食品、糖果、可可及巧克力、调味食品类加工专用机械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3532010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农产品加工专用设备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农产品加工专用设备包含制糖机械、屠宰及肉制品加工机械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3532050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农产品初加工机械◇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农产品初加工机械≥棉花加工机械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3577010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其中：◇棉花加工机械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3534010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饲料生产专用设备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3542020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印刷专用设备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印刷专用设备包含印前设备、印刷机设备、装订机械、印刷包装机械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3551010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纺织专用设备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3553010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服装、鞋帽加工机械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服装、鞋帽加工机械包含缝纫机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3562010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电子工业专用设备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电子工业专用设备包含空气净化设备、电子整机装联设备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3571020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大型拖拉机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配套动力大于等于73.5kW（100马力）</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3571030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中型拖拉机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配套动力为18.4</w:t>
            </w:r>
            <w:r>
              <w:rPr>
                <w:rFonts w:hint="eastAsia" w:ascii="宋体" w:hAnsi="宋体"/>
                <w:sz w:val="18"/>
                <w:szCs w:val="18"/>
              </w:rPr>
              <w:t>-</w:t>
            </w:r>
            <w:r>
              <w:rPr>
                <w:rFonts w:hint="eastAsia"/>
                <w:sz w:val="18"/>
                <w:szCs w:val="18"/>
              </w:rPr>
              <w:t>73.5 kW（25</w:t>
            </w:r>
            <w:r>
              <w:rPr>
                <w:rFonts w:hint="eastAsia" w:ascii="宋体" w:hAnsi="宋体"/>
                <w:sz w:val="18"/>
                <w:szCs w:val="18"/>
              </w:rPr>
              <w:t>-</w:t>
            </w:r>
            <w:r>
              <w:rPr>
                <w:rFonts w:hint="eastAsia"/>
                <w:sz w:val="18"/>
                <w:szCs w:val="18"/>
              </w:rPr>
              <w:t>100马力），不含73.5 kW（100马力）</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3571040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小型拖拉机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配套动力小于18.4 kW（25马力）</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3572000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机械化农业及园艺机具◇</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机械化农业及园艺机具≥土壤耕整机械+种植施肥机械+收获机械+收获后处理机械，机械化农业及园艺机具包含土壤耕整机械、种植施肥机械、田间管理机械、收获机械、收获后处理机械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其中：◇土壤耕整机械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土壤耕整机械包含耕地机械、整地机械。指开垦、翻土、耕地、犁地、松土等农用机械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3572020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◇种植施肥机械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种植施肥机械包含播种机械、栽植机械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◇收获机械△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收获机械≥谷物收获机械+玉米收获机械。收获机械包含谷物收获机械、玉米收获机械、棉麻作物收获机械、甘蔗收获机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3572041</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其中：△谷物收获机械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谷物收获机械包含自走轮式谷物联合收获机（全喂入）、自走履带式谷物联合收获机（全喂入）、背负式谷物联合收割机、半喂入联合收割机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3572042</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△玉米收获机械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包括背负式玉米收获机、牵引式玉米收获机、自走式摘穗玉米联合收获机、穗茎兼收玉米收获机、青贮饲料收获机、其他玉米收获机械等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3572060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◇收获后处理机械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3581010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医疗仪器设备及器械</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医疗仪器设备及器械包含医用X射线设备、医用αβγ射线应用设备、医用超声诊断治疗仪器及设备、医用激光诊断治疗仪器及设备、医用高频仪器设备、临床检验分析仪器及诊断系统</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rPr>
            </w:pPr>
            <w:r>
              <w:rPr>
                <w:rFonts w:hint="eastAsia"/>
                <w:sz w:val="18"/>
                <w:szCs w:val="18"/>
              </w:rPr>
              <w:t>3591010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环境污染防治专用设备◆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b/>
                <w:bCs/>
                <w:sz w:val="18"/>
                <w:szCs w:val="18"/>
              </w:rPr>
              <w:t>环境污染防治专用设备=大气污染防治设备+水质污染防治设备+固体废弃物处理设备+噪音与振动控制设备+放射性污染防治和处理设备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3591020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◆大气污染防治设备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3591040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◆水质污染防治设备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3591050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◆固体废弃物处理设备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3591060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◆噪音与振动控制设备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3591070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◆放射性污染防治和处理设备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3594010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自动售货机、售票机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3595010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灭火器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3599010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工业机器人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工业机器人是指在工业自动化中使用的，固定或移动的，可重复编程、多用途，自动控制的，可对三个或三个以上轴进行编程的操作机（ISO 8373标准）。目前我国统计的工业机器人包含无人搬运车（AGV）、上下料机器人、焊接和钎焊机器人、涂层与胶封机器人、加工机器人、装配及拆卸机器人、洁净室机器人等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3599050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服务机器人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套</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服务机器人的应用范围很广，主要从事工业领域外的维护保养、修理、运输、清洗、保安、救援、监护等工作。目前我国统计的服务机器人包含家用机器人（家务机器人、娱乐机器人、助老助残机器人）、专业机器人（户外作业机器人、专业洁净机器人、监测维护机器人、AGV机器人、医疗机器人、救援机器人、安防机器人、水下机器人）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汽车=基本型乘用车（轿车）+多功能乘用车（MPV）+运动型多用途乘用车（SUV）+交叉型乘用车+客车+载货汽车+半挂牵引车+汽车底盘。汽车≥新能源汽车。汽车指汽车整车和汽车非完整车辆，不包括改装汽车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◆基本型乘用车（轿车）▲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基本型乘用车（轿车）=轿车（排量≤1升）+轿车（1升＜排量≤1.6升）+轿车（1.6升＜排量≤2.0升）+轿车（2.0升＜排量≤2.5升）+轿车（排量＞2.5升）。包括出租汽车、运动车及赛车，活顶乘用车、高级乘用车、小型乘用车、敞篷车、仓背乘用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▲轿车（排量≤1升）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▲轿车（1升＜排量≤1.6升）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▲轿车（1.6升＜排量≤2.0升）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3610070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▲轿车（2.0升＜排量≤2.5升）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3610100</w:t>
            </w:r>
          </w:p>
        </w:tc>
        <w:tc>
          <w:tcPr>
            <w:tcW w:w="2315" w:type="dxa"/>
            <w:tcBorders>
              <w:left w:val="single" w:color="auto" w:sz="2" w:space="0"/>
              <w:right w:val="single" w:color="auto" w:sz="2" w:space="0"/>
            </w:tcBorders>
            <w:noWrap w:val="0"/>
            <w:vAlign w:val="top"/>
          </w:tcPr>
          <w:p>
            <w:pPr>
              <w:widowControl/>
              <w:snapToGrid w:val="0"/>
              <w:ind w:right="-210" w:rightChars="-100"/>
              <w:jc w:val="left"/>
              <w:rPr>
                <w:rFonts w:hint="eastAsia" w:ascii="宋体" w:hAnsi="宋体" w:cs="宋体"/>
                <w:spacing w:val="-6"/>
                <w:kern w:val="0"/>
                <w:sz w:val="18"/>
                <w:szCs w:val="18"/>
              </w:rPr>
            </w:pPr>
            <w:r>
              <w:rPr>
                <w:rFonts w:hint="eastAsia"/>
                <w:spacing w:val="-4"/>
                <w:sz w:val="18"/>
                <w:szCs w:val="18"/>
              </w:rPr>
              <w:t xml:space="preserve">      </w:t>
            </w:r>
            <w:r>
              <w:rPr>
                <w:rFonts w:hint="eastAsia"/>
                <w:spacing w:val="-6"/>
                <w:sz w:val="18"/>
                <w:szCs w:val="18"/>
              </w:rPr>
              <w:t>▲轿车（排量＞2.5升）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◆多功能乘用车（MPV）</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包括短头乘用车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◆运动型多用途乘用车（SUV）</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即越野车（包括4轮驱动和2轮驱动车型）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◆交叉型乘用车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◆客车▲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客车=大型客车（车长＞10米）+中型客车（7米＜车长≤10米）+轻型客车（车长≤7米）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▲大型客车（车长＞10米）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车长＞10m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▲中型客车（7米＜车长≤10米）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7m＜车长≤10m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▲轻型客车（车长≤7米）</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车长≤7m</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3610180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◆载货汽车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载货汽车包含重型载货车、中型载货车、轻型载货车、微型载货车。指货运机动车，包括平板式、油布篷式、封闭箱式等各种送货汽车、搬家具车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3610230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◆半挂牵引车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指装备有特殊装置用于牵引半挂车的商用车辆。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3610240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◆汽车底盘</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即不带车身的机动车辆，包括装有发动机、传动机构、转向机构及驱动桥（不论是否装有车轮），机动车辆用的底盘车架或底盘车身整体式车架。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3610400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其中：☆新能源汽车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新能源汽车是指采用新型动力系统，完全或主要依靠新型能源驱动的汽车，包括纯电动汽车、插电式混合动力汽车（含增强式）及燃料电池汽车。不包含改装的新能源汽车。其中：纯电动汽车是由电动机驱动的汽车。电动机的驱动电能来源于车载可充电蓄电池或其他能量存储装置；插电式混合动力汽车指具有可外接充电功能，并且有一定的纯电动续驶里程的混合动力汽车（混合动力汽车指能够至少从下述两类车载储存的能量中获得动力的汽车：可消耗的燃料、可再充电能/能量储存装置）；燃料电池汽车是以燃料电池系统作为单一动力源或者是以燃料电池系统与动力电池等储能装置组成的混合动力作为动力源的汽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3630710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改装汽车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改装汽车包含改装载货汽车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3640710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低速载货汽车◇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低速载货汽车≥三轮载货汽车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3640720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其中：◇三轮载货汽车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3711010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铁路机车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指配有各种动力装置（蒸汽机、柴油机、汽轮机、汽油机、气动机等），或由外部电源或蓄电池驱动的各种铁道机车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3711030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动车组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亦称多动力单元列车包括城间动车组车辆。按辆统计，每节动车或拖车均为一辆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3711050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铁路客车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3711060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铁路货车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包括各种非机动有篷及无篷货车，铁道运输用特种平车；不包括在矿区、建筑工地、工厂、仓库等处的轨道上运输货物的小型车辆或敞车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3720010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城市轨道车辆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是指采用专用轨道导向运行、为城市辖区内、提供客运服务的公共交通系统车辆。包括地铁、轻轨、单轨、现代有轨电车、市域快轨、磁浮交通及自动导向轨道系统车辆</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民用钢质船舶◆</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民用钢质船舶=钢质机动货船+钢质机动非货船+钢质非机动船。指为民用建造的用于运输、工程、工作的各种钢质船舶，包括远洋、近海或内陆河湖使用的钢质机动船和钢质非机动船，不包括海洋石油工程装备和修理船舶。钢质机动船包含钢质机动货船和钢质机动非货船。钢质非机动船包含钢质驳船、钢质趸船、没有自航动力的工程工作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◆钢质机动货船△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钢质机动货船≥散货船+全集装箱船+滚装船。指有自航能力的钢质货船，包括各类钢质散货船、原油船、成品油船、化学品船、集装箱船、滚装船、液化气船、杂货船、原木船等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其中：△散货船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包括木片船、原木船、小汽车／散货船、散货／集装箱船、大舱口多用途散货船、自卸散货船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△全集装箱船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不包括同时能装杂货或散货的集装箱船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△滚装船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含滚装／集装箱船、火车渡船</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◆钢质机动非货船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钢质机动非货船包含客船、渔船、工程（工作）船。指有自航能力的钢质非货船，包括各类钢质客船、渔船、工程船、工作船、交通船、巡逻船、缉私船等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3731100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◆钢质非机动船</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3741010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民用飞机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架</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3741020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民用直升机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架</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3749010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民用无人机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架</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无人驾驶、有动力、可重复使用并可携带任务载荷完成指定任务的非军事用途飞行器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3751010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摩托车整车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摩托车整车包含两轮摩托车、三轮摩托车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3761010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两轮脚踏自行车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两轮脚踏自行车包含折叠自行车、山地自行车。不包括助动自行车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3770010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平衡车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利用车体内部的陀螺仪和加速度传感器，来检测车体姿态的变化，并利用伺服控制系统，精确地驱动电机进行相应的调整，以保持系统平衡的电动代步车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3770710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电动自行车</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辆</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指以蓄电池作为辅助能源，具有两个车轮，能实现人力骑行、电动或电动助力功能的特种自行车</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3811050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发电机组（发电设备）◇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发电机组≥水轮发电机组+汽轮发电机组+风力发电机组+核发电机组。发电机组是指由发电机及其原动机组装成（或准备组装成）整套设备或装在同一底座上所组成的机械；不包括内燃发电机组</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3811070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其中：◇水轮发电机组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3811090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◇汽轮发电机组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3811091</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◇风力发电机组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spacing w:val="-6"/>
                <w:kern w:val="0"/>
                <w:sz w:val="18"/>
                <w:szCs w:val="18"/>
              </w:rPr>
            </w:pPr>
            <w:r>
              <w:rPr>
                <w:rFonts w:hint="eastAsia"/>
                <w:spacing w:val="-6"/>
                <w:sz w:val="18"/>
                <w:szCs w:val="18"/>
              </w:rPr>
              <w:t>包括并网型风力发电机组、离网型风力发电机组、其他风力发电机组</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3811100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◇核发电机组</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3812000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电动机≥直流电动机+交流电动机。电动机包含直流电动机、交流电动机、交直流两用电动机、小功率电动机、微电机。不包括数控机床用电动机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3812010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其中：◇直流电动机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包括轧机用直流电动机、机床用直流电动机、电梯用直流电动机等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3812020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◇交流电动机</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3821020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变压器◇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千伏安</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变压器≥电力变压器。变压器包含电力变压器、换流变压器、干式变压器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3821080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其中：◇电力变压器，额定容量≥8000kVA，电压≥500kV</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千伏安</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3821170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互感器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3822010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电力电容器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千乏</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50／60Hz电路用，P≥0.5千乏</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3823030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高压开关板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面</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3823050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低压开关板</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面</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3823060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高压开关设备（11万伏以上）</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高压开关设备（11万伏以上）包含全封闭组合电器（GIS）、六氟化硫断路器、敞开式组合电器、隔离开关、接地开关</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3823170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安全、自动化监控设备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指为了保证和实现电力系统安全稳定可靠运行，实施自动监视、调节、控制和操作的设备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3829010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充电桩</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指电动汽车充电桩（栓）</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3831020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通信及电子网络用电缆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对千米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耐压＞35kV</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3831030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电力电缆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耐压＞35kV</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3832010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光纤</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光纤是一种通信电缆，由两个或多个玻璃或塑料光纤芯组成，这些光纤芯位于保护性的覆层内，由塑料PVC外部套管覆盖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3832020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光缆</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芯千米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光缆是为了满足光学、机械或环境的性能规范而制造的，它是利用置于包覆护套中的一根或多根光纤作为传输媒质并可以单独或成组使用的通信线缆组件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3834710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绝缘制品</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3841060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锂离子电池△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千瓦时</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锂离子电池≥汽车用锂离子动力电池+储能用锂离子电池。</w:t>
            </w:r>
            <w:r>
              <w:rPr>
                <w:rFonts w:hint="eastAsia" w:ascii="宋体" w:hAnsi="宋体" w:cs="宋体"/>
                <w:kern w:val="0"/>
                <w:sz w:val="18"/>
                <w:szCs w:val="18"/>
              </w:rPr>
              <w:t>指通过锂离子在正负极之间循环脱嵌、实现充放电的二次电池。按正极材料划分，主要包括三元锂离子电池、磷酸铁锂锂离子电池、锰酸锂锂离子电池、钴酸锂锂离子电池等。按应用领域划分，主要包括消费型锂离子电池、动力型锂离子电池和储能型锂离子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jc w:val="left"/>
              <w:rPr>
                <w:rFonts w:hint="eastAsia"/>
              </w:rPr>
            </w:pPr>
            <w:r>
              <w:rPr>
                <w:rFonts w:hint="eastAsia"/>
                <w:sz w:val="18"/>
                <w:szCs w:val="18"/>
              </w:rPr>
              <w:t>3841070</w:t>
            </w:r>
          </w:p>
        </w:tc>
        <w:tc>
          <w:tcPr>
            <w:tcW w:w="2315" w:type="dxa"/>
            <w:tcBorders>
              <w:left w:val="single" w:color="auto" w:sz="2" w:space="0"/>
              <w:right w:val="single" w:color="auto" w:sz="2" w:space="0"/>
            </w:tcBorders>
            <w:noWrap w:val="0"/>
            <w:vAlign w:val="top"/>
          </w:tcPr>
          <w:p>
            <w:pPr>
              <w:widowControl/>
              <w:snapToGrid w:val="0"/>
              <w:ind w:firstLine="180" w:firstLineChars="100"/>
              <w:jc w:val="left"/>
              <w:rPr>
                <w:rFonts w:hint="eastAsia"/>
                <w:sz w:val="18"/>
                <w:szCs w:val="18"/>
              </w:rPr>
            </w:pPr>
            <w:r>
              <w:rPr>
                <w:rFonts w:hint="eastAsia"/>
                <w:sz w:val="18"/>
                <w:szCs w:val="18"/>
              </w:rPr>
              <w:t>其中：△汽车用锂离子动力电池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千瓦时</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ascii="宋体" w:hAnsi="宋体" w:cs="宋体"/>
                <w:kern w:val="0"/>
                <w:sz w:val="18"/>
                <w:szCs w:val="18"/>
              </w:rPr>
              <w:t>指为汽车动力系统提供能量的锂离子电池，包括磷酸铁锂电池、三元电池等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sz w:val="18"/>
                <w:szCs w:val="18"/>
              </w:rPr>
            </w:pPr>
            <w:r>
              <w:rPr>
                <w:rFonts w:hint="eastAsia"/>
                <w:sz w:val="18"/>
                <w:szCs w:val="18"/>
              </w:rPr>
              <w:t>3841080</w:t>
            </w:r>
          </w:p>
        </w:tc>
        <w:tc>
          <w:tcPr>
            <w:tcW w:w="2315" w:type="dxa"/>
            <w:tcBorders>
              <w:left w:val="single" w:color="auto" w:sz="2" w:space="0"/>
              <w:right w:val="single" w:color="auto" w:sz="2" w:space="0"/>
            </w:tcBorders>
            <w:noWrap w:val="0"/>
            <w:vAlign w:val="top"/>
          </w:tcPr>
          <w:p>
            <w:pPr>
              <w:widowControl/>
              <w:snapToGrid w:val="0"/>
              <w:jc w:val="left"/>
              <w:rPr>
                <w:rFonts w:hint="eastAsia"/>
                <w:sz w:val="18"/>
                <w:szCs w:val="18"/>
              </w:rPr>
            </w:pPr>
            <w:r>
              <w:rPr>
                <w:rFonts w:hint="eastAsia"/>
                <w:sz w:val="18"/>
                <w:szCs w:val="18"/>
              </w:rPr>
              <w:t xml:space="preserve">  </w:t>
            </w:r>
            <w:r>
              <w:rPr>
                <w:sz w:val="18"/>
                <w:szCs w:val="18"/>
              </w:rPr>
              <w:t xml:space="preserve">  </w:t>
            </w:r>
            <w:r>
              <w:rPr>
                <w:rFonts w:hint="eastAsia"/>
                <w:sz w:val="18"/>
                <w:szCs w:val="18"/>
              </w:rPr>
              <w:t xml:space="preserve">    △储能用锂离子电池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sz w:val="18"/>
                <w:szCs w:val="18"/>
              </w:rPr>
            </w:pPr>
            <w:r>
              <w:rPr>
                <w:rFonts w:hint="eastAsia"/>
                <w:sz w:val="18"/>
                <w:szCs w:val="18"/>
              </w:rPr>
              <w:t>千瓦时</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指应用于电力储能、通信储能、应急储能等领域的锂离子电池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3849010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铅酸蓄电池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千伏安时</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铅酸蓄电池包含用于启动活塞发动机铅酸蓄电池、电动自行车用铅酸蓄电池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3849040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碱性蓄电池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sz w:val="18"/>
                <w:szCs w:val="18"/>
              </w:rPr>
            </w:pPr>
            <w:r>
              <w:rPr>
                <w:rFonts w:hint="eastAsia"/>
                <w:sz w:val="18"/>
                <w:szCs w:val="18"/>
              </w:rPr>
              <w:t>只</w:t>
            </w:r>
          </w:p>
          <w:p>
            <w:pPr>
              <w:widowControl/>
              <w:snapToGrid w:val="0"/>
              <w:ind w:left="-105" w:leftChars="-50" w:right="-107" w:rightChars="-51"/>
              <w:jc w:val="center"/>
              <w:rPr>
                <w:rFonts w:hint="eastAsia" w:ascii="宋体" w:hAnsi="宋体" w:cs="宋体"/>
                <w:kern w:val="0"/>
                <w:sz w:val="18"/>
                <w:szCs w:val="18"/>
              </w:rPr>
            </w:pPr>
            <w:r>
              <w:rPr>
                <w:rFonts w:hint="eastAsia"/>
                <w:sz w:val="18"/>
                <w:szCs w:val="18"/>
              </w:rPr>
              <w:t>（自然只）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指可充电电池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3849070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spacing w:val="-6"/>
                <w:kern w:val="0"/>
                <w:sz w:val="18"/>
                <w:szCs w:val="18"/>
              </w:rPr>
            </w:pPr>
            <w:r>
              <w:rPr>
                <w:rFonts w:hint="eastAsia"/>
                <w:spacing w:val="-6"/>
                <w:sz w:val="18"/>
                <w:szCs w:val="18"/>
              </w:rPr>
              <w:t>原电池及原电池组（非扣式）</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原电池及原电池组包含碱性锌锰原电池（组）、锂原电池（组）。指非扣式的一次电池（原电池俗称干电池，是指具有一定公称电压和额定容量，其电介质不流动的化学电源），包括圆筒式、叠层式、组合式等原电池及原电池组；不包括扣式原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3849100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太阳能电池（光伏电池）</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千瓦</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指用于把太阳的光能直接转化为电能的电池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3851010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家用电冰箱（家用冷冻冷藏箱）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指冷藏－冷冻组合机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3851040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家用冷柜（家用冷冻箱）</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指家用和类似用途的卧式、立式及其他各式冷冻箱（冷柜），包括具有冷藏和冷冻转换功能的冷柜；不包括家用电冰箱和家用冷藏箱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3852010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房间空气调节器</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家用和类似用途的房间空气调节器（俗称空调机），包括整体式、分体式、一拖多式冷热或单冷的房间空气调节器，以及制冷量≤14000W的其他房间空气调节器；不包括家用房间空气清洁装置，未装有制冷装置的家用空气湿度调节装置或空气调节器，以及制冷量＞14000W的工商用房间空调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3852020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家用空气湿度调节装置</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3852030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家用房间空气清洁装置</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包括空气净化器、空气清洁器、负离子发生器和其他家用房间空气清洁装置</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3853010</w:t>
            </w:r>
          </w:p>
        </w:tc>
        <w:tc>
          <w:tcPr>
            <w:tcW w:w="2315" w:type="dxa"/>
            <w:tcBorders>
              <w:left w:val="single" w:color="auto" w:sz="2"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家用电风扇</w:t>
            </w:r>
          </w:p>
        </w:tc>
        <w:tc>
          <w:tcPr>
            <w:tcW w:w="824" w:type="dxa"/>
            <w:tcBorders>
              <w:left w:val="single" w:color="auto" w:sz="2" w:space="0"/>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指家用和类似用途的电风扇（5W＜功率≤125W），包括吊扇、落地扇、台扇、壁扇、塔式扇、箱式扇等；不包括房屋、设备、计算机等用的换气扇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ign w:val="top"/>
          </w:tcPr>
          <w:p>
            <w:pPr>
              <w:widowControl/>
              <w:snapToGrid w:val="0"/>
              <w:jc w:val="left"/>
              <w:rPr>
                <w:rFonts w:hint="eastAsia" w:ascii="宋体" w:hAnsi="宋体" w:cs="宋体"/>
                <w:kern w:val="0"/>
                <w:sz w:val="18"/>
                <w:szCs w:val="18"/>
              </w:rPr>
            </w:pPr>
            <w:r>
              <w:rPr>
                <w:rFonts w:hint="eastAsia"/>
                <w:sz w:val="18"/>
                <w:szCs w:val="18"/>
              </w:rPr>
              <w:t>3853050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家用吸排油烟机</w:t>
            </w:r>
          </w:p>
        </w:tc>
        <w:tc>
          <w:tcPr>
            <w:tcW w:w="824" w:type="dxa"/>
            <w:tcBorders>
              <w:left w:val="single" w:color="auto" w:sz="2" w:space="0"/>
              <w:bottom w:val="nil"/>
              <w:right w:val="single" w:color="auto" w:sz="2" w:space="0"/>
            </w:tcBorders>
            <w:noWrap/>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指家用和类似用途的吸排油烟机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3854020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电饭锅</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3854030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家用电热烘烤器具</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指家用和类似用途的电热烘烤器具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3854060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电冷热饮水机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3854080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微波炉</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3855010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家用洗衣机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ascii="宋体" w:hAnsi="宋体" w:cs="宋体"/>
                <w:kern w:val="0"/>
                <w:sz w:val="18"/>
                <w:szCs w:val="18"/>
              </w:rPr>
              <w:t>指干衣量≤20kg的家用洗衣机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3855060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家用电热水器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指以洗浴为主要用途的家用非饮用水加热电器及类似电器具；包括家用电淋浴器及类似电器具；不包括家用饮用水的电加热器具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3855070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家用吸尘器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3859010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家用电热取暖器具</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家用电热取暖器具包含电暖气</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3859030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家用电熨烫器具</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家用电熨烫器具包含电熨斗</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nil"/>
              <w:right w:val="single" w:color="auto" w:sz="4"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3861020</w:t>
            </w:r>
          </w:p>
        </w:tc>
        <w:tc>
          <w:tcPr>
            <w:tcW w:w="2315" w:type="dxa"/>
            <w:tcBorders>
              <w:left w:val="single" w:color="auto" w:sz="4" w:space="0"/>
              <w:bottom w:val="nil"/>
              <w:right w:val="single" w:color="auto" w:sz="4"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家用燃气灶具</w:t>
            </w:r>
          </w:p>
        </w:tc>
        <w:tc>
          <w:tcPr>
            <w:tcW w:w="824" w:type="dxa"/>
            <w:tcBorders>
              <w:left w:val="single" w:color="auto" w:sz="4" w:space="0"/>
              <w:bottom w:val="nil"/>
              <w:right w:val="single" w:color="auto" w:sz="4"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4" w:space="0"/>
              <w:bottom w:val="nil"/>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top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3861030</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家用燃气热水器</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top w:val="nil"/>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3861040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太阳能热水器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3871010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电光源◇</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电光源≥白炽灯泡+荧光灯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3871020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其中：◇白炽灯泡</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不包括卤钨灯、封闭式聚光灯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40"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3871030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◇荧光灯</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指热阴极荧光灯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3872010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灯具及照明装置</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套（台、个）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灯具及照明装置包含室内照明灯具、户外照明用灯具及装置</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电子计算机整机◇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电子计算机整机≥计算机工作站+微型计算机设备+服务器。指数字式自动数据处理设备；包括模拟式或混合式自动数据处理设备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其中：◇计算机工作站</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以个人计算机和分布式网络计算机为基础，面向专业领域而设计开发的高性能计算机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3911030</w:t>
            </w:r>
          </w:p>
        </w:tc>
        <w:tc>
          <w:tcPr>
            <w:tcW w:w="2315" w:type="dxa"/>
            <w:tcBorders>
              <w:left w:val="single" w:color="auto" w:sz="2" w:space="0"/>
              <w:bottom w:val="nil"/>
              <w:right w:val="single" w:color="auto" w:sz="2" w:space="0"/>
            </w:tcBorders>
            <w:noWrap w:val="0"/>
            <w:vAlign w:val="top"/>
          </w:tcPr>
          <w:p>
            <w:pPr>
              <w:widowControl/>
              <w:snapToGrid w:val="0"/>
              <w:ind w:right="-210" w:rightChars="-100"/>
              <w:jc w:val="left"/>
              <w:rPr>
                <w:rFonts w:hint="eastAsia" w:ascii="宋体" w:hAnsi="宋体" w:cs="宋体"/>
                <w:spacing w:val="-10"/>
                <w:kern w:val="0"/>
                <w:sz w:val="18"/>
                <w:szCs w:val="18"/>
              </w:rPr>
            </w:pPr>
            <w:r>
              <w:rPr>
                <w:rFonts w:hint="eastAsia"/>
                <w:sz w:val="18"/>
                <w:szCs w:val="18"/>
              </w:rPr>
              <w:t xml:space="preserve">        </w:t>
            </w:r>
            <w:r>
              <w:rPr>
                <w:rFonts w:hint="eastAsia"/>
                <w:spacing w:val="-10"/>
                <w:sz w:val="18"/>
                <w:szCs w:val="18"/>
              </w:rPr>
              <w:t>◇微型计算机设备△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微型计算机设备≥台式微型计算机+笔记本计算机+平板电脑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其中：△台式微型计算机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不包括货币专用设备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△笔记本计算机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又称便携式电脑、手提电脑</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3911060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△平板电脑</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一种小型、方便携带的个人电脑，以触摸屏作为基本的输入设备。它拥有的触摸屏允许用户通过触控笔或数字笔等来进行作业而不是传统的键盘或鼠标。用户可以通过内建的手写识别、屏幕上的软键盘、语音识别实现输入。包括IPAD</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3911090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◇服务器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专门向网络用户提供共享资源服务的设备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3913010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显示器◇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b/>
                <w:bCs/>
                <w:sz w:val="18"/>
                <w:szCs w:val="18"/>
              </w:rPr>
              <w:t>显示器≥平板显示器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3913040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其中：◇平板显示器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含液晶、PDP、LED等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28" w:hRule="atLeast"/>
          <w:jc w:val="center"/>
        </w:trPr>
        <w:tc>
          <w:tcPr>
            <w:tcW w:w="850" w:type="dxa"/>
            <w:tcBorders>
              <w:bottom w:val="single" w:color="auto" w:sz="4" w:space="0"/>
              <w:right w:val="single" w:color="auto" w:sz="2" w:space="0"/>
            </w:tcBorders>
            <w:noWrap w:val="0"/>
            <w:vAlign w:val="top"/>
          </w:tcPr>
          <w:p>
            <w:pPr>
              <w:widowControl/>
              <w:snapToGrid w:val="0"/>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3913060</w:t>
            </w:r>
          </w:p>
        </w:tc>
        <w:tc>
          <w:tcPr>
            <w:tcW w:w="2315" w:type="dxa"/>
            <w:tcBorders>
              <w:left w:val="single" w:color="auto" w:sz="2" w:space="0"/>
              <w:bottom w:val="single" w:color="auto" w:sz="4" w:space="0"/>
              <w:right w:val="single" w:color="auto" w:sz="2" w:space="0"/>
            </w:tcBorders>
            <w:noWrap w:val="0"/>
            <w:vAlign w:val="top"/>
          </w:tcPr>
          <w:p>
            <w:pPr>
              <w:widowControl/>
              <w:snapToGrid w:val="0"/>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打印机</w:t>
            </w:r>
          </w:p>
        </w:tc>
        <w:tc>
          <w:tcPr>
            <w:tcW w:w="824" w:type="dxa"/>
            <w:tcBorders>
              <w:left w:val="single" w:color="auto" w:sz="2" w:space="0"/>
              <w:bottom w:val="single" w:color="auto" w:sz="4" w:space="0"/>
              <w:right w:val="single" w:color="auto" w:sz="2" w:space="0"/>
            </w:tcBorders>
            <w:noWrap w:val="0"/>
            <w:vAlign w:val="top"/>
          </w:tcPr>
          <w:p>
            <w:pPr>
              <w:widowControl/>
              <w:snapToGrid w:val="0"/>
              <w:ind w:left="-105" w:leftChars="-50" w:right="-107" w:rightChars="-51"/>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台</w:t>
            </w:r>
          </w:p>
        </w:tc>
        <w:tc>
          <w:tcPr>
            <w:tcW w:w="5480" w:type="dxa"/>
            <w:tcBorders>
              <w:left w:val="single" w:color="auto" w:sz="2" w:space="0"/>
              <w:bottom w:val="single" w:color="auto" w:sz="4" w:space="0"/>
            </w:tcBorders>
            <w:noWrap w:val="0"/>
            <w:vAlign w:val="top"/>
          </w:tcPr>
          <w:p>
            <w:pPr>
              <w:widowControl/>
              <w:snapToGrid w:val="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激光打印机、喷墨打印机</w:t>
            </w:r>
          </w:p>
          <w:p>
            <w:pPr>
              <w:pStyle w:val="2"/>
              <w:ind w:left="0" w:leftChars="0" w:firstLine="0" w:firstLineChars="0"/>
              <w:rPr>
                <w:rFonts w:hint="eastAsia" w:asciiTheme="minorEastAsia" w:hAnsiTheme="minorEastAsia" w:eastAsiaTheme="minorEastAsia" w:cstheme="minor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single" w:color="auto" w:sz="4" w:space="0"/>
              <w:bottom w:val="nil"/>
              <w:right w:val="single" w:color="auto" w:sz="2" w:space="0"/>
            </w:tcBorders>
            <w:noWrap w:val="0"/>
            <w:vAlign w:val="top"/>
          </w:tcPr>
          <w:p>
            <w:pPr>
              <w:widowControl/>
              <w:snapToGrid w:val="0"/>
              <w:jc w:val="left"/>
              <w:rPr>
                <w:rFonts w:hint="eastAsia" w:eastAsia="宋体"/>
                <w:sz w:val="18"/>
                <w:szCs w:val="18"/>
              </w:rPr>
            </w:pPr>
            <w:r>
              <w:rPr>
                <w:rFonts w:hint="eastAsia" w:eastAsia="宋体"/>
                <w:sz w:val="18"/>
                <w:szCs w:val="18"/>
              </w:rPr>
              <w:t>3913080</w:t>
            </w:r>
          </w:p>
        </w:tc>
        <w:tc>
          <w:tcPr>
            <w:tcW w:w="2315" w:type="dxa"/>
            <w:tcBorders>
              <w:top w:val="single" w:color="auto" w:sz="4" w:space="0"/>
              <w:left w:val="single" w:color="auto" w:sz="2" w:space="0"/>
              <w:bottom w:val="nil"/>
              <w:right w:val="single" w:color="auto" w:sz="2" w:space="0"/>
            </w:tcBorders>
            <w:noWrap w:val="0"/>
            <w:vAlign w:val="top"/>
          </w:tcPr>
          <w:p>
            <w:pPr>
              <w:widowControl/>
              <w:snapToGrid w:val="0"/>
              <w:jc w:val="left"/>
              <w:rPr>
                <w:rFonts w:hint="eastAsia" w:eastAsia="宋体"/>
                <w:sz w:val="18"/>
                <w:szCs w:val="18"/>
              </w:rPr>
            </w:pPr>
            <w:r>
              <w:rPr>
                <w:rFonts w:hint="eastAsia" w:eastAsia="宋体"/>
                <w:sz w:val="18"/>
                <w:szCs w:val="18"/>
              </w:rPr>
              <w:t>3D打印设备</w:t>
            </w:r>
          </w:p>
        </w:tc>
        <w:tc>
          <w:tcPr>
            <w:tcW w:w="824" w:type="dxa"/>
            <w:tcBorders>
              <w:top w:val="single" w:color="auto" w:sz="4" w:space="0"/>
              <w:left w:val="single" w:color="auto" w:sz="2" w:space="0"/>
              <w:bottom w:val="nil"/>
              <w:right w:val="single" w:color="auto" w:sz="2" w:space="0"/>
            </w:tcBorders>
            <w:noWrap w:val="0"/>
            <w:vAlign w:val="top"/>
          </w:tcPr>
          <w:p>
            <w:pPr>
              <w:widowControl/>
              <w:snapToGrid w:val="0"/>
              <w:jc w:val="left"/>
              <w:rPr>
                <w:rFonts w:hint="eastAsia" w:eastAsia="宋体"/>
                <w:sz w:val="18"/>
                <w:szCs w:val="18"/>
              </w:rPr>
            </w:pPr>
            <w:r>
              <w:rPr>
                <w:rFonts w:hint="eastAsia" w:eastAsia="宋体"/>
                <w:sz w:val="18"/>
                <w:szCs w:val="18"/>
              </w:rPr>
              <w:t>台</w:t>
            </w:r>
          </w:p>
        </w:tc>
        <w:tc>
          <w:tcPr>
            <w:tcW w:w="5480" w:type="dxa"/>
            <w:tcBorders>
              <w:top w:val="single" w:color="auto" w:sz="4" w:space="0"/>
              <w:left w:val="single" w:color="auto" w:sz="2" w:space="0"/>
              <w:bottom w:val="nil"/>
            </w:tcBorders>
            <w:noWrap w:val="0"/>
            <w:vAlign w:val="top"/>
          </w:tcPr>
          <w:p>
            <w:pPr>
              <w:widowControl/>
              <w:snapToGrid w:val="0"/>
              <w:jc w:val="left"/>
              <w:rPr>
                <w:rFonts w:hint="eastAsia" w:eastAsia="宋体"/>
                <w:sz w:val="18"/>
                <w:szCs w:val="18"/>
              </w:rPr>
            </w:pPr>
            <w:r>
              <w:rPr>
                <w:rFonts w:hint="eastAsia" w:eastAsia="宋体"/>
                <w:sz w:val="18"/>
                <w:szCs w:val="18"/>
              </w:rPr>
              <w:t>是指基于一种数字模型文件，运用特殊蜡材、粉末状金属或塑料等可粘合材料，通过逐层打印的方式来构造物体、并快速成型的设备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3913110</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硬盘存储器</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top w:val="nil"/>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HDD传统硬盘、HHD混合硬盘</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3913140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半导体存储盘</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包括U盘、闪存、固态盘SSD</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3914010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工业控制计算机及系统</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是一种采用总线结构，对生产过程及机电设备、工艺装备进行检测与控制的工具总称；工控机具有重要的计算机属性和特征，如具有计算机 CPU、硬盘、内存、外设及接口，并有操作系统、控制网络和协议、计算能力、友好的人机界面；工控行业的产品和技术非常特殊，属于中间产品，是为其他各行业提供可靠、嵌入式、智能化的工业计算机制造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3919010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路由器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3921009</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程控交换机◇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线</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程控交换机≥数字程控交换机。不包括移动交换机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3921010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其中：◇数字程控交换机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线</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包括综合业务数字交换设备（ISDN交换机）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3921050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卫星导航定位接收机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指卫星导航定位接收设备、卫星通信地球站和卫星移动终端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3921080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微波终端机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微波通信收发设备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3921090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地面通信导航定向设备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为航空器提供地面引导和通讯，保障航空器正常飞行的关键设备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3922010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电话单机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部</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有线电话、电报设备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3922020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移动通信基站设备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射频模块</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3922040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移动通信手持机（手机）◇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bottom w:val="nil"/>
            </w:tcBorders>
            <w:noWrap w:val="0"/>
            <w:vAlign w:val="top"/>
          </w:tcPr>
          <w:p>
            <w:pPr>
              <w:widowControl/>
              <w:snapToGrid w:val="0"/>
              <w:jc w:val="left"/>
              <w:rPr>
                <w:rFonts w:hint="eastAsia" w:ascii="宋体" w:hAnsi="宋体" w:cs="宋体"/>
                <w:kern w:val="0"/>
                <w:sz w:val="18"/>
                <w:szCs w:val="18"/>
              </w:rPr>
            </w:pPr>
            <w:r>
              <w:rPr>
                <w:rFonts w:hint="eastAsia"/>
                <w:b/>
                <w:bCs/>
                <w:sz w:val="18"/>
                <w:szCs w:val="18"/>
              </w:rPr>
              <w:t>移动通信手持机（手机）≥智能手机。包括车载终端等终端</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3922050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其中：◇智能手机△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bottom w:val="nil"/>
            </w:tcBorders>
            <w:noWrap w:val="0"/>
            <w:vAlign w:val="top"/>
          </w:tcPr>
          <w:p>
            <w:pPr>
              <w:widowControl/>
              <w:snapToGrid w:val="0"/>
              <w:jc w:val="left"/>
              <w:rPr>
                <w:rFonts w:hint="eastAsia" w:ascii="宋体" w:hAnsi="宋体" w:cs="宋体"/>
                <w:b/>
                <w:bCs/>
                <w:kern w:val="0"/>
                <w:sz w:val="18"/>
                <w:szCs w:val="18"/>
              </w:rPr>
            </w:pPr>
            <w:r>
              <w:rPr>
                <w:rFonts w:hint="eastAsia"/>
                <w:sz w:val="18"/>
                <w:szCs w:val="18"/>
              </w:rPr>
              <w:t>智能手机≥5G智能手机。是指像个人电脑一样，具有独立的操作系统，独立的运行空间，可以由用户自行安装软件、游戏、导航等第三方服务商提供的程序，并可以通过移动通讯网络来实现无线网络接入手机类型的总称</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nil"/>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3922055</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其中：△5G智能手机</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top w:val="nil"/>
              <w:left w:val="single" w:color="auto" w:sz="2" w:space="0"/>
              <w:bottom w:val="nil"/>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3951010</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彩色电视机◇☆</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top w:val="nil"/>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彩色电视机≥液晶电视机。彩色电视机≥智能电视。即彩色电视接收机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3951030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其中：◇液晶电视机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包含液晶（LCD）电视机和液晶（LED）电视机</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3951060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其中：☆智能电视</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是指具有全开放式平台，搭载了操作系统，用户在欣赏普通电视内容的同时，可自行安装和卸载各类应用软件，持续对功能进行扩充和升级的新电视产品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3952040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组合音响</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由音源、控制、音频处理器、功率放大器等设备组成的音响设备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3952070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半导体存储器播放器（含MP3、MP4）</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含MP3、MP4播放器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3952080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智能音箱</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能播放音频，并内置存储和计算芯片，具有个性化定制、语音接收和分析、人机对话、连接网络等功能的音箱</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3953100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数字激光音、视盘机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通过激光光束将存储在光盘介质上的影音内容读出并转化为数字化的声音及视频信号进行播出的电子产品</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3953120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电视接收机顶盒</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指扩展电视接收机或电视显示器功能的一种设备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3972710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半导体分立器件</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指相对于集成电路，采用分立封装的二极管、三极管、晶体管等半导体器件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3972720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传感器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包括称重传感器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集成电路◇</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ascii="宋体" w:hAnsi="宋体" w:cs="宋体"/>
                <w:sz w:val="18"/>
                <w:szCs w:val="18"/>
              </w:rPr>
              <w:t>万块</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ascii="宋体" w:hAnsi="宋体" w:cs="宋体"/>
                <w:sz w:val="18"/>
                <w:szCs w:val="18"/>
              </w:rPr>
              <w:t>集成电路≥存储芯片+逻辑芯片+模拟芯片。集成电路成品（包括：逻辑电路、微处理器、模拟电路和存储器）等。指已切片、封装后的集成电路成品，不包括集成电路晶圆片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single" w:color="auto" w:sz="4"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3973711</w:t>
            </w:r>
          </w:p>
        </w:tc>
        <w:tc>
          <w:tcPr>
            <w:tcW w:w="2315" w:type="dxa"/>
            <w:tcBorders>
              <w:left w:val="single" w:color="auto" w:sz="2" w:space="0"/>
              <w:bottom w:val="single" w:color="auto" w:sz="4"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其中：◇存储芯片</w:t>
            </w:r>
          </w:p>
        </w:tc>
        <w:tc>
          <w:tcPr>
            <w:tcW w:w="824" w:type="dxa"/>
            <w:tcBorders>
              <w:left w:val="single" w:color="auto" w:sz="2" w:space="0"/>
              <w:bottom w:val="single" w:color="auto" w:sz="4" w:space="0"/>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万块</w:t>
            </w:r>
          </w:p>
        </w:tc>
        <w:tc>
          <w:tcPr>
            <w:tcW w:w="5480" w:type="dxa"/>
            <w:tcBorders>
              <w:left w:val="single" w:color="auto" w:sz="2" w:space="0"/>
              <w:bottom w:val="single" w:color="auto" w:sz="4"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single" w:color="auto" w:sz="4" w:space="0"/>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3973712</w:t>
            </w:r>
          </w:p>
        </w:tc>
        <w:tc>
          <w:tcPr>
            <w:tcW w:w="2315" w:type="dxa"/>
            <w:tcBorders>
              <w:top w:val="single" w:color="auto" w:sz="4" w:space="0"/>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◇逻辑芯片</w:t>
            </w:r>
          </w:p>
        </w:tc>
        <w:tc>
          <w:tcPr>
            <w:tcW w:w="824" w:type="dxa"/>
            <w:tcBorders>
              <w:top w:val="single" w:color="auto" w:sz="4" w:space="0"/>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万块</w:t>
            </w:r>
          </w:p>
        </w:tc>
        <w:tc>
          <w:tcPr>
            <w:tcW w:w="5480" w:type="dxa"/>
            <w:tcBorders>
              <w:top w:val="single" w:color="auto" w:sz="4" w:space="0"/>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3973713</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◇模拟芯片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集成电路圆片◇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集成电路圆片≥12英寸集成电路圆片+8英寸集成电路圆片+6英寸集成电路圆片+4英寸集成电路圆片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其中：◇12英寸集成电路圆片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3973731</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◇8英寸集成电路圆片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3973732</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◇6英寸集成电路圆片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3973733</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◇4英寸集成电路圆片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3974710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光电子器件◇</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b/>
                <w:bCs/>
                <w:sz w:val="18"/>
                <w:szCs w:val="18"/>
              </w:rPr>
              <w:t>光电子器件≥发光二极管（LED管）</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3974740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其中：◇发光二极管（LED管）</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是一种固态发光，利用半导体或类似结构把电能转换成光能的元件，属于低场下的注入式电致发光</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3974750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液晶显示屏</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万片</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液晶在外加光源照射下受控激励，供视觉感受信息的显示器件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3974760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液晶显示模组</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含主要配套材料</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3979020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智能手环</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b/>
                <w:bCs/>
                <w:kern w:val="0"/>
                <w:sz w:val="18"/>
                <w:szCs w:val="18"/>
              </w:rPr>
            </w:pPr>
            <w:r>
              <w:rPr>
                <w:rFonts w:hint="eastAsia"/>
                <w:sz w:val="18"/>
                <w:szCs w:val="18"/>
              </w:rPr>
              <w:t>支持活动、锻炼、睡眠等模式，可以记录营养情况，拥有智能闹钟、健康提醒等功能</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3979030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智能手表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可蓝牙同步手机打电话、收发短信、监测睡眠、监测心率、久坐提醒、跑步记步、远程拍照、音乐播放、录像、指南针、精准GPS定位、紧急呼救、心率监测、吃药提醒。多重定位、双向通话、SOS求救、远程监听、智能防丢、历史轨迹、计步器等功能</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3979040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虚拟现实设备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Virtual Reality设备，指以虚拟现实技术为基础的头戴式设备及其外围设备、相关应用电子设备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3979050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增强现实设备</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bottom w:val="nil"/>
            </w:tcBorders>
            <w:noWrap w:val="0"/>
            <w:vAlign w:val="top"/>
          </w:tcPr>
          <w:p>
            <w:pPr>
              <w:widowControl/>
              <w:snapToGrid w:val="0"/>
              <w:jc w:val="left"/>
              <w:rPr>
                <w:rFonts w:hint="eastAsia" w:ascii="宋体" w:hAnsi="宋体" w:cs="宋体"/>
                <w:kern w:val="0"/>
                <w:sz w:val="18"/>
                <w:szCs w:val="18"/>
              </w:rPr>
            </w:pPr>
            <w:r>
              <w:rPr>
                <w:rFonts w:hint="eastAsia"/>
                <w:sz w:val="18"/>
                <w:szCs w:val="18"/>
              </w:rPr>
              <w:t>Augmented Reality设备，指通过虚拟现实、空间定位等技术，将虚拟信息叠加融合在真实环境中的电子设备</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nil"/>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3981710</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电子元件◇</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top w:val="nil"/>
              <w:left w:val="single" w:color="auto" w:sz="2" w:space="0"/>
              <w:bottom w:val="nil"/>
            </w:tcBorders>
            <w:noWrap w:val="0"/>
            <w:vAlign w:val="top"/>
          </w:tcPr>
          <w:p>
            <w:pPr>
              <w:widowControl/>
              <w:snapToGrid w:val="0"/>
              <w:jc w:val="left"/>
              <w:rPr>
                <w:rFonts w:hint="eastAsia" w:ascii="宋体" w:hAnsi="宋体" w:cs="宋体"/>
                <w:kern w:val="0"/>
                <w:sz w:val="18"/>
                <w:szCs w:val="18"/>
              </w:rPr>
            </w:pPr>
            <w:r>
              <w:rPr>
                <w:rFonts w:hint="eastAsia"/>
                <w:b/>
                <w:bCs/>
                <w:sz w:val="18"/>
                <w:szCs w:val="18"/>
              </w:rPr>
              <w:t>电子元件≥电声器件+射频元器件。包括电子元件及组件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top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3981720</w:t>
            </w:r>
          </w:p>
        </w:tc>
        <w:tc>
          <w:tcPr>
            <w:tcW w:w="2315" w:type="dxa"/>
            <w:tcBorders>
              <w:top w:val="nil"/>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其中：◇电声器件</w:t>
            </w:r>
          </w:p>
        </w:tc>
        <w:tc>
          <w:tcPr>
            <w:tcW w:w="824" w:type="dxa"/>
            <w:tcBorders>
              <w:top w:val="nil"/>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top w:val="nil"/>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传声器、扬声器、耳机及类似装置</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3981730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 xml:space="preserve">        ◇射频元器件</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万只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指应用于射频通信中的可发生高频交流变化电磁波的元器件。主要包括功率放大器PA芯片、滤波器、射频开关、天线、谐振器、振荡器等器件及相关模块</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3982710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印制电路板</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平方米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是电子元器件的支撑体，是电子元器件电气连接的载体。包括刚性、挠性、刚挠、金属芯、齐平、碳膜印制电路板及其他印制电路板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3985010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工业特种气体</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立方米</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包括电子气体、医疗气体、标准气体、食品气体、消防气体等。气体计量单位按照标准状态下计算（即1个大气压、20摄氏度下）</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4011010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工业自动调节仪表与控制系统</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工业自动调节仪表与控制系统包含工业自动控制系统。指工业产品制造过程中进行自动控制的系统与仪表装置，机床数控除外</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4012010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电工仪器仪表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电工仪器仪表包含电能表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4014010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工业仪表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工业仪表包含温度测量仪表、压力测量仪表、流量测量仪表、物位液位测量仪表、显示仪表记录仪、执行器。指在工业产品制造过程中对流量、压力、物位、温度、比重、湿度等变化量进行测量的仪表和装置，以及相关显示、记录仪表</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4014090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分析仪器及装置</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台（套）</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利用物质的物理、化学、电学等性能对物质进行定性、定量分析和结构分析，以及湿度、黏度、质量、比重等性能测定所使用的仪器；用于对各种物体在温度、湿度、光照、辐射等环境变化后适应能力的实验装置；各种物体物化特性参数测量的仪器、实验装置及相关器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4015010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试验机</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指机械性能试验机械及器具；包括对各种材料（如金属、木材、混凝土、橡胶、塑料等）的硬度、弹性、抗张强度、可压缩性或其他机械性能的试验机械及器具</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4021010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环境监测专用仪器仪表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4022010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汽车仪器仪表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台</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4030010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钟表与计时仪器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ascii="宋体" w:hAnsi="宋体" w:cs="宋体"/>
                <w:kern w:val="0"/>
                <w:sz w:val="18"/>
                <w:szCs w:val="18"/>
              </w:rPr>
            </w:pPr>
            <w:r>
              <w:rPr>
                <w:rFonts w:hint="eastAsia"/>
                <w:sz w:val="18"/>
                <w:szCs w:val="18"/>
              </w:rPr>
              <w:t>只</w:t>
            </w:r>
          </w:p>
        </w:tc>
        <w:tc>
          <w:tcPr>
            <w:tcW w:w="5480" w:type="dxa"/>
            <w:tcBorders>
              <w:left w:val="single" w:color="auto" w:sz="2" w:space="0"/>
            </w:tcBorders>
            <w:noWrap w:val="0"/>
            <w:vAlign w:val="top"/>
          </w:tcPr>
          <w:p>
            <w:pPr>
              <w:widowControl/>
              <w:snapToGrid w:val="0"/>
              <w:jc w:val="left"/>
              <w:rPr>
                <w:rFonts w:hint="eastAsia" w:ascii="宋体" w:hAnsi="宋体" w:cs="宋体"/>
                <w:kern w:val="0"/>
                <w:sz w:val="18"/>
                <w:szCs w:val="18"/>
              </w:rPr>
            </w:pPr>
            <w:r>
              <w:rPr>
                <w:rFonts w:hint="eastAsia"/>
                <w:sz w:val="18"/>
                <w:szCs w:val="18"/>
              </w:rPr>
              <w:t>指各种钟、表、钟表机芯、时间记录装置、计时器的制造，还包括有钟表机芯或同步马达，用以测量、记录或指示时间间隔的装置、定时开关、卫星导航时间频率原子钟，以及钟表零配件的制造</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sz w:val="18"/>
                <w:szCs w:val="18"/>
              </w:rPr>
            </w:pPr>
            <w:r>
              <w:rPr>
                <w:rFonts w:hint="eastAsia"/>
                <w:sz w:val="18"/>
                <w:szCs w:val="18"/>
              </w:rPr>
              <w:t>4040710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sz w:val="18"/>
                <w:szCs w:val="18"/>
              </w:rPr>
            </w:pPr>
            <w:r>
              <w:rPr>
                <w:rFonts w:hint="eastAsia"/>
                <w:sz w:val="18"/>
                <w:szCs w:val="18"/>
              </w:rPr>
              <w:t>光学仪器</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sz w:val="18"/>
                <w:szCs w:val="18"/>
              </w:rPr>
            </w:pPr>
            <w:r>
              <w:rPr>
                <w:rFonts w:hint="eastAsia"/>
                <w:sz w:val="18"/>
                <w:szCs w:val="18"/>
              </w:rPr>
              <w:t>台（个）</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光学仪器包含光学望远镜、天文仪器、显微镜、望远镜瞄准具及类似器具、物镜、已装配光学元件、偏振材料制片及板</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sz w:val="18"/>
                <w:szCs w:val="18"/>
              </w:rPr>
            </w:pPr>
            <w:r>
              <w:rPr>
                <w:rFonts w:hint="eastAsia"/>
                <w:sz w:val="18"/>
                <w:szCs w:val="18"/>
              </w:rPr>
              <w:t>3587710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sz w:val="18"/>
                <w:szCs w:val="18"/>
              </w:rPr>
            </w:pPr>
            <w:r>
              <w:rPr>
                <w:rFonts w:hint="eastAsia"/>
                <w:sz w:val="18"/>
                <w:szCs w:val="18"/>
              </w:rPr>
              <w:t>眼镜成镜</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sz w:val="18"/>
                <w:szCs w:val="18"/>
              </w:rPr>
            </w:pPr>
            <w:r>
              <w:rPr>
                <w:rFonts w:hint="eastAsia"/>
                <w:sz w:val="18"/>
                <w:szCs w:val="18"/>
              </w:rPr>
              <w:t>副</w:t>
            </w:r>
          </w:p>
        </w:tc>
        <w:tc>
          <w:tcPr>
            <w:tcW w:w="5480" w:type="dxa"/>
            <w:tcBorders>
              <w:left w:val="single" w:color="auto" w:sz="2" w:space="0"/>
            </w:tcBorders>
            <w:noWrap w:val="0"/>
            <w:vAlign w:val="top"/>
          </w:tcPr>
          <w:p>
            <w:pPr>
              <w:widowControl/>
              <w:snapToGrid w:val="0"/>
              <w:jc w:val="left"/>
              <w:rPr>
                <w:rFonts w:hint="eastAsia"/>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right w:val="single" w:color="auto" w:sz="2" w:space="0"/>
            </w:tcBorders>
            <w:noWrap w:val="0"/>
            <w:vAlign w:val="top"/>
          </w:tcPr>
          <w:p>
            <w:pPr>
              <w:widowControl/>
              <w:snapToGrid w:val="0"/>
              <w:jc w:val="left"/>
              <w:rPr>
                <w:rFonts w:hint="eastAsia"/>
                <w:sz w:val="18"/>
                <w:szCs w:val="18"/>
              </w:rPr>
            </w:pPr>
            <w:r>
              <w:rPr>
                <w:rFonts w:hint="eastAsia"/>
                <w:sz w:val="18"/>
                <w:szCs w:val="18"/>
              </w:rPr>
              <w:t>4342010</w:t>
            </w:r>
          </w:p>
        </w:tc>
        <w:tc>
          <w:tcPr>
            <w:tcW w:w="2315" w:type="dxa"/>
            <w:tcBorders>
              <w:left w:val="single" w:color="auto" w:sz="2" w:space="0"/>
              <w:bottom w:val="nil"/>
              <w:right w:val="single" w:color="auto" w:sz="2" w:space="0"/>
            </w:tcBorders>
            <w:noWrap w:val="0"/>
            <w:vAlign w:val="top"/>
          </w:tcPr>
          <w:p>
            <w:pPr>
              <w:widowControl/>
              <w:snapToGrid w:val="0"/>
              <w:jc w:val="left"/>
              <w:rPr>
                <w:rFonts w:hint="eastAsia"/>
                <w:sz w:val="18"/>
                <w:szCs w:val="18"/>
              </w:rPr>
            </w:pPr>
            <w:r>
              <w:rPr>
                <w:rFonts w:hint="eastAsia"/>
                <w:sz w:val="18"/>
                <w:szCs w:val="18"/>
              </w:rPr>
              <w:t>船舶修理</w:t>
            </w:r>
          </w:p>
        </w:tc>
        <w:tc>
          <w:tcPr>
            <w:tcW w:w="824" w:type="dxa"/>
            <w:tcBorders>
              <w:left w:val="single" w:color="auto" w:sz="2" w:space="0"/>
              <w:bottom w:val="nil"/>
              <w:right w:val="single" w:color="auto" w:sz="2" w:space="0"/>
            </w:tcBorders>
            <w:noWrap w:val="0"/>
            <w:vAlign w:val="top"/>
          </w:tcPr>
          <w:p>
            <w:pPr>
              <w:widowControl/>
              <w:snapToGrid w:val="0"/>
              <w:ind w:left="-105" w:leftChars="-50" w:right="-107" w:rightChars="-51"/>
              <w:jc w:val="center"/>
              <w:rPr>
                <w:rFonts w:hint="eastAsia"/>
                <w:sz w:val="18"/>
                <w:szCs w:val="18"/>
              </w:rPr>
            </w:pPr>
            <w:r>
              <w:rPr>
                <w:rFonts w:hint="eastAsia"/>
                <w:sz w:val="18"/>
                <w:szCs w:val="18"/>
              </w:rPr>
              <w:t>载重吨</w:t>
            </w:r>
          </w:p>
        </w:tc>
        <w:tc>
          <w:tcPr>
            <w:tcW w:w="5480" w:type="dxa"/>
            <w:tcBorders>
              <w:left w:val="single" w:color="auto" w:sz="2" w:space="0"/>
            </w:tcBorders>
            <w:noWrap w:val="0"/>
            <w:vAlign w:val="top"/>
          </w:tcPr>
          <w:p>
            <w:pPr>
              <w:widowControl/>
              <w:snapToGrid w:val="0"/>
              <w:jc w:val="left"/>
              <w:rPr>
                <w:rFonts w:hint="eastAsia"/>
                <w:sz w:val="18"/>
                <w:szCs w:val="18"/>
              </w:rPr>
            </w:pPr>
            <w:r>
              <w:rPr>
                <w:rFonts w:hint="eastAsia"/>
                <w:sz w:val="18"/>
                <w:szCs w:val="18"/>
              </w:rPr>
              <w:t>船舶修理包括进厂、进坞修理的船舶，不包括航修船舶</w:t>
            </w:r>
          </w:p>
        </w:tc>
      </w:tr>
      <w:tr>
        <w:tblPrEx>
          <w:tblBorders>
            <w:top w:val="none" w:color="auto" w:sz="0" w:space="0"/>
            <w:left w:val="none" w:color="auto" w:sz="0" w:space="0"/>
            <w:bottom w:val="single" w:color="auto" w:sz="4"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75" w:hRule="atLeast"/>
          <w:jc w:val="center"/>
        </w:trPr>
        <w:tc>
          <w:tcPr>
            <w:tcW w:w="850" w:type="dxa"/>
            <w:tcBorders>
              <w:bottom w:val="single" w:color="auto" w:sz="8" w:space="0"/>
              <w:right w:val="single" w:color="auto" w:sz="2" w:space="0"/>
            </w:tcBorders>
            <w:noWrap w:val="0"/>
            <w:vAlign w:val="top"/>
          </w:tcPr>
          <w:p>
            <w:pPr>
              <w:widowControl/>
              <w:snapToGrid w:val="0"/>
              <w:jc w:val="left"/>
              <w:rPr>
                <w:rFonts w:hint="eastAsia"/>
                <w:sz w:val="18"/>
                <w:szCs w:val="18"/>
              </w:rPr>
            </w:pPr>
            <w:r>
              <w:rPr>
                <w:rFonts w:hint="eastAsia"/>
                <w:sz w:val="18"/>
                <w:szCs w:val="18"/>
              </w:rPr>
              <w:t>4610010</w:t>
            </w:r>
          </w:p>
        </w:tc>
        <w:tc>
          <w:tcPr>
            <w:tcW w:w="2315" w:type="dxa"/>
            <w:tcBorders>
              <w:left w:val="single" w:color="auto" w:sz="2" w:space="0"/>
              <w:bottom w:val="single" w:color="auto" w:sz="8" w:space="0"/>
              <w:right w:val="single" w:color="auto" w:sz="2" w:space="0"/>
            </w:tcBorders>
            <w:noWrap w:val="0"/>
            <w:vAlign w:val="top"/>
          </w:tcPr>
          <w:p>
            <w:pPr>
              <w:widowControl/>
              <w:snapToGrid w:val="0"/>
              <w:jc w:val="left"/>
              <w:rPr>
                <w:rFonts w:hint="eastAsia"/>
                <w:sz w:val="18"/>
                <w:szCs w:val="18"/>
              </w:rPr>
            </w:pPr>
            <w:r>
              <w:rPr>
                <w:rFonts w:hint="eastAsia"/>
                <w:sz w:val="18"/>
                <w:szCs w:val="18"/>
              </w:rPr>
              <w:t>自来水生产量</w:t>
            </w:r>
          </w:p>
        </w:tc>
        <w:tc>
          <w:tcPr>
            <w:tcW w:w="824" w:type="dxa"/>
            <w:tcBorders>
              <w:left w:val="single" w:color="auto" w:sz="2" w:space="0"/>
              <w:bottom w:val="single" w:color="auto" w:sz="8" w:space="0"/>
              <w:right w:val="single" w:color="auto" w:sz="2" w:space="0"/>
            </w:tcBorders>
            <w:noWrap w:val="0"/>
            <w:vAlign w:val="top"/>
          </w:tcPr>
          <w:p>
            <w:pPr>
              <w:widowControl/>
              <w:snapToGrid w:val="0"/>
              <w:ind w:left="-105" w:leftChars="-50" w:right="-107" w:rightChars="-51"/>
              <w:jc w:val="center"/>
              <w:rPr>
                <w:rFonts w:hint="eastAsia"/>
                <w:sz w:val="18"/>
                <w:szCs w:val="18"/>
              </w:rPr>
            </w:pPr>
            <w:r>
              <w:rPr>
                <w:rFonts w:hint="eastAsia"/>
                <w:sz w:val="18"/>
                <w:szCs w:val="18"/>
              </w:rPr>
              <w:t>万立方米</w:t>
            </w:r>
          </w:p>
        </w:tc>
        <w:tc>
          <w:tcPr>
            <w:tcW w:w="5480" w:type="dxa"/>
            <w:tcBorders>
              <w:left w:val="single" w:color="auto" w:sz="2" w:space="0"/>
              <w:bottom w:val="single" w:color="auto" w:sz="8" w:space="0"/>
            </w:tcBorders>
            <w:noWrap w:val="0"/>
            <w:vAlign w:val="top"/>
          </w:tcPr>
          <w:p>
            <w:pPr>
              <w:widowControl/>
              <w:snapToGrid w:val="0"/>
              <w:jc w:val="left"/>
              <w:rPr>
                <w:rFonts w:hint="eastAsia"/>
                <w:sz w:val="18"/>
                <w:szCs w:val="18"/>
              </w:rPr>
            </w:pPr>
            <w:r>
              <w:rPr>
                <w:sz w:val="20"/>
                <w:szCs w:val="20"/>
              </w:rPr>
              <w:t>　</w:t>
            </w:r>
          </w:p>
        </w:tc>
      </w:tr>
    </w:tbl>
    <w:p>
      <w:pPr>
        <w:tabs>
          <w:tab w:val="right" w:leader="middleDot" w:pos="9421"/>
        </w:tabs>
        <w:snapToGrid w:val="0"/>
        <w:ind w:firstLine="90" w:firstLineChars="50"/>
        <w:rPr>
          <w:rFonts w:ascii="宋体"/>
          <w:sz w:val="18"/>
          <w:szCs w:val="18"/>
        </w:rPr>
      </w:pPr>
      <w:r>
        <w:rPr>
          <w:rFonts w:hint="eastAsia" w:ascii="宋体" w:hAnsi="宋体"/>
          <w:sz w:val="18"/>
          <w:szCs w:val="18"/>
        </w:rPr>
        <w:t>注：</w:t>
      </w:r>
      <w:r>
        <w:rPr>
          <w:rFonts w:ascii="宋体" w:hAnsi="宋体"/>
          <w:sz w:val="18"/>
          <w:szCs w:val="18"/>
        </w:rPr>
        <w:t>*</w:t>
      </w:r>
      <w:r>
        <w:rPr>
          <w:rFonts w:hint="eastAsia" w:ascii="宋体" w:hAnsi="宋体"/>
          <w:sz w:val="18"/>
          <w:szCs w:val="18"/>
        </w:rPr>
        <w:t>为本年新增产品。</w:t>
      </w: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rPr>
          <w:rFonts w:hint="eastAsia"/>
        </w:rPr>
      </w:pPr>
    </w:p>
    <w:p>
      <w:pPr>
        <w:numPr>
          <w:ilvl w:val="0"/>
          <w:numId w:val="7"/>
        </w:numPr>
        <w:spacing w:line="360" w:lineRule="exact"/>
        <w:ind w:left="0" w:leftChars="0" w:firstLine="420" w:firstLineChars="0"/>
        <w:jc w:val="center"/>
        <w:outlineLvl w:val="1"/>
        <w:rPr>
          <w:rFonts w:hint="eastAsia" w:ascii="黑体" w:hAnsi="黑体" w:eastAsia="黑体" w:cs="黑体"/>
          <w:bCs/>
          <w:sz w:val="28"/>
          <w:szCs w:val="28"/>
        </w:rPr>
      </w:pPr>
      <w:bookmarkStart w:id="111" w:name="_Toc1090408470"/>
      <w:bookmarkStart w:id="112" w:name="_Toc241833608"/>
      <w:bookmarkStart w:id="113" w:name="_Toc12970526"/>
      <w:r>
        <w:rPr>
          <w:rFonts w:hint="eastAsia" w:ascii="黑体" w:hAnsi="黑体" w:eastAsia="黑体" w:cs="黑体"/>
          <w:bCs/>
          <w:sz w:val="28"/>
          <w:szCs w:val="28"/>
        </w:rPr>
        <w:t>指标解释</w:t>
      </w:r>
      <w:bookmarkEnd w:id="111"/>
      <w:bookmarkEnd w:id="112"/>
      <w:bookmarkEnd w:id="113"/>
    </w:p>
    <w:p>
      <w:pPr>
        <w:spacing w:line="360" w:lineRule="exact"/>
        <w:jc w:val="center"/>
        <w:rPr>
          <w:rFonts w:eastAsia="黑体"/>
          <w:sz w:val="28"/>
          <w:szCs w:val="28"/>
        </w:rPr>
      </w:pPr>
    </w:p>
    <w:p>
      <w:pPr>
        <w:tabs>
          <w:tab w:val="left" w:pos="8280"/>
        </w:tabs>
        <w:spacing w:line="360" w:lineRule="exact"/>
        <w:jc w:val="center"/>
        <w:outlineLvl w:val="9"/>
        <w:rPr>
          <w:b/>
          <w:bCs/>
          <w:sz w:val="30"/>
          <w:szCs w:val="30"/>
        </w:rPr>
      </w:pPr>
      <w:r>
        <w:rPr>
          <w:rFonts w:hint="eastAsia"/>
          <w:b/>
          <w:bCs/>
          <w:sz w:val="30"/>
          <w:szCs w:val="30"/>
          <w:lang w:eastAsia="zh-CN"/>
        </w:rPr>
        <w:t>一套表调查</w:t>
      </w:r>
      <w:r>
        <w:rPr>
          <w:b/>
          <w:bCs/>
          <w:sz w:val="30"/>
          <w:szCs w:val="30"/>
        </w:rPr>
        <w:t>单位基本情况</w:t>
      </w:r>
    </w:p>
    <w:p>
      <w:pPr>
        <w:pStyle w:val="15"/>
      </w:pPr>
    </w:p>
    <w:p>
      <w:pPr>
        <w:spacing w:line="360" w:lineRule="exact"/>
        <w:ind w:firstLine="420" w:firstLineChars="200"/>
        <w:rPr>
          <w:rFonts w:ascii="黑体" w:eastAsia="黑体"/>
        </w:rPr>
      </w:pPr>
      <w:r>
        <w:rPr>
          <w:rFonts w:hint="eastAsia" w:ascii="黑体" w:eastAsia="黑体"/>
        </w:rPr>
        <w:t>是否</w:t>
      </w:r>
      <w:r>
        <w:rPr>
          <w:rFonts w:ascii="黑体" w:eastAsia="黑体"/>
        </w:rPr>
        <w:t>为</w:t>
      </w:r>
      <w:r>
        <w:rPr>
          <w:rFonts w:hint="eastAsia" w:ascii="黑体" w:eastAsia="黑体"/>
        </w:rPr>
        <w:t>“视同</w:t>
      </w:r>
      <w:r>
        <w:rPr>
          <w:rFonts w:ascii="黑体" w:eastAsia="黑体"/>
        </w:rPr>
        <w:t>法人单位</w:t>
      </w:r>
      <w:r>
        <w:rPr>
          <w:rFonts w:hint="eastAsia" w:ascii="黑体" w:eastAsia="黑体"/>
        </w:rPr>
        <w:t>”？如是，</w:t>
      </w:r>
      <w:r>
        <w:rPr>
          <w:rFonts w:ascii="黑体" w:eastAsia="黑体"/>
        </w:rPr>
        <w:t>请勾选</w:t>
      </w:r>
      <w:r>
        <w:rPr>
          <w:rFonts w:hint="eastAsia" w:ascii="黑体" w:eastAsia="黑体"/>
        </w:rPr>
        <w:t xml:space="preserve"> </w:t>
      </w:r>
      <w:r>
        <w:rPr>
          <w:rFonts w:ascii="黑体" w:eastAsia="黑体"/>
        </w:rPr>
        <w:t xml:space="preserve"> </w:t>
      </w:r>
      <w:r>
        <w:rPr>
          <w:rFonts w:hint="eastAsia" w:ascii="宋体" w:hAnsi="宋体"/>
          <w:szCs w:val="21"/>
          <w:u w:val="single"/>
        </w:rPr>
        <w:t>填报单位免填</w:t>
      </w:r>
      <w:r>
        <w:rPr>
          <w:rFonts w:hint="eastAsia" w:ascii="宋体" w:hAnsi="宋体"/>
          <w:szCs w:val="21"/>
        </w:rPr>
        <w:t>，由所在地统计机构</w:t>
      </w:r>
      <w:r>
        <w:rPr>
          <w:rFonts w:hint="eastAsia" w:ascii="宋体"/>
          <w:kern w:val="0"/>
        </w:rPr>
        <w:t>按照统计单位划分有关规定，对各类视同法人单位统计的产业活动单位进行</w:t>
      </w:r>
      <w:r>
        <w:rPr>
          <w:rFonts w:ascii="宋体"/>
          <w:kern w:val="0"/>
        </w:rPr>
        <w:t>勾选</w:t>
      </w:r>
      <w:r>
        <w:rPr>
          <w:rFonts w:hint="eastAsia" w:ascii="宋体"/>
          <w:kern w:val="0"/>
        </w:rPr>
        <w:t>。</w:t>
      </w:r>
    </w:p>
    <w:p>
      <w:pPr>
        <w:spacing w:line="360" w:lineRule="exact"/>
        <w:ind w:firstLine="420" w:firstLineChars="200"/>
        <w:rPr>
          <w:rFonts w:ascii="宋体" w:hAnsi="宋体" w:cs="宋体"/>
          <w:szCs w:val="21"/>
        </w:rPr>
      </w:pPr>
      <w:r>
        <w:rPr>
          <w:rFonts w:ascii="宋体" w:hAnsi="宋体" w:eastAsia="黑体" w:cs="宋体"/>
          <w:szCs w:val="21"/>
        </w:rPr>
        <w:t xml:space="preserve">统一社会信用代码  </w:t>
      </w:r>
      <w:r>
        <w:rPr>
          <w:rFonts w:ascii="宋体" w:hAnsi="宋体" w:cs="宋体"/>
          <w:kern w:val="0"/>
          <w:szCs w:val="21"/>
        </w:rPr>
        <w:t>指按照《国务院关于批转发展改革委等部门法人和其他组织统一社会信用代码制度建设总体方案的通知》（国发〔2015〕33号）规定，由赋码主管部门给</w:t>
      </w:r>
      <w:r>
        <w:rPr>
          <w:rFonts w:ascii="宋体" w:hAnsi="宋体" w:cs="宋体"/>
          <w:szCs w:val="21"/>
        </w:rPr>
        <w:t>每一个法人单位和其他组织颁发的在全国范围内唯一的、终身不变的法定身份识别码。</w:t>
      </w:r>
      <w:r>
        <w:rPr>
          <w:rFonts w:hint="eastAsia"/>
          <w:u w:val="single"/>
        </w:rPr>
        <w:t>所</w:t>
      </w:r>
      <w:r>
        <w:rPr>
          <w:u w:val="single"/>
        </w:rPr>
        <w:t>有单位均填写本项。</w:t>
      </w:r>
    </w:p>
    <w:p>
      <w:pPr>
        <w:spacing w:line="360" w:lineRule="exact"/>
        <w:ind w:firstLine="420" w:firstLineChars="200"/>
        <w:rPr>
          <w:rFonts w:ascii="宋体" w:hAnsi="宋体" w:cs="宋体"/>
          <w:szCs w:val="21"/>
        </w:rPr>
      </w:pPr>
      <w:r>
        <w:rPr>
          <w:rFonts w:ascii="宋体" w:hAnsi="宋体" w:cs="宋体"/>
          <w:szCs w:val="21"/>
        </w:rPr>
        <w:t>已经领取了统一社会信用代码的单位必须填写统一社会信用代码。在填写时，要按照《营业执照》或其他证照上的统一社会信用代码填写。尚未领取统一社会信用代码的单位，由统计部门赋予统计用临时代码。</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单位详细名称  </w:t>
      </w:r>
      <w:r>
        <w:rPr>
          <w:rFonts w:ascii="宋体" w:hAnsi="宋体" w:cs="宋体"/>
          <w:szCs w:val="21"/>
        </w:rPr>
        <w:t>指经有关部门批准正式使用的单位全称。</w:t>
      </w:r>
      <w:r>
        <w:rPr>
          <w:rFonts w:hint="eastAsia"/>
          <w:u w:val="single"/>
        </w:rPr>
        <w:t>所</w:t>
      </w:r>
      <w:r>
        <w:rPr>
          <w:u w:val="single"/>
        </w:rPr>
        <w:t>有单位均填写本项。</w:t>
      </w:r>
    </w:p>
    <w:p>
      <w:pPr>
        <w:snapToGrid w:val="0"/>
        <w:spacing w:line="360" w:lineRule="exact"/>
        <w:ind w:firstLine="420" w:firstLineChars="200"/>
        <w:rPr>
          <w:rFonts w:ascii="宋体" w:hAnsi="宋体" w:cs="宋体"/>
          <w:i/>
          <w:iCs/>
          <w:szCs w:val="21"/>
          <w:u w:val="single"/>
        </w:rPr>
      </w:pPr>
      <w:r>
        <w:rPr>
          <w:rFonts w:ascii="宋体" w:hAnsi="宋体" w:cs="宋体"/>
          <w:szCs w:val="21"/>
        </w:rPr>
        <w:t>企业的详细名称按市场监管部门登记的名称填写；机关、事业单位的详细名称按编制部门登记、批准的名称填写；社会团体、民办非企业单位、基金会</w:t>
      </w:r>
      <w:r>
        <w:rPr>
          <w:rFonts w:hint="eastAsia" w:ascii="宋体" w:hAnsi="宋体" w:cs="宋体"/>
          <w:szCs w:val="21"/>
        </w:rPr>
        <w:t>、宗教活动场所法人</w:t>
      </w:r>
      <w:r>
        <w:rPr>
          <w:rFonts w:ascii="宋体" w:hAnsi="宋体" w:cs="宋体"/>
          <w:szCs w:val="21"/>
        </w:rPr>
        <w:t>和基层群众自治组织的详细名称按民政部门登记、批准的名称填写。其他单位按相关部门登记、批准的名称填写。填写时要求使用规范化</w:t>
      </w:r>
      <w:r>
        <w:rPr>
          <w:rFonts w:hint="eastAsia" w:ascii="宋体" w:hAnsi="宋体" w:cs="宋体"/>
          <w:szCs w:val="21"/>
        </w:rPr>
        <w:t>中文</w:t>
      </w:r>
      <w:r>
        <w:rPr>
          <w:rFonts w:ascii="宋体" w:hAnsi="宋体" w:cs="宋体"/>
          <w:szCs w:val="21"/>
        </w:rPr>
        <w:t>，并与单位公章所使用的名称完全一致，不得使用简称、缩写等。</w:t>
      </w:r>
    </w:p>
    <w:p>
      <w:pPr>
        <w:snapToGrid w:val="0"/>
        <w:spacing w:line="360" w:lineRule="exact"/>
        <w:ind w:firstLine="420" w:firstLineChars="200"/>
        <w:rPr>
          <w:rFonts w:ascii="宋体" w:hAnsi="宋体" w:cs="宋体"/>
          <w:szCs w:val="21"/>
        </w:rPr>
      </w:pPr>
      <w:r>
        <w:rPr>
          <w:rFonts w:ascii="宋体" w:hAnsi="宋体" w:cs="宋体"/>
          <w:szCs w:val="21"/>
        </w:rPr>
        <w:t>凡经登记主管机关核准或批准，具有两个或两个以上名称的单位，</w:t>
      </w:r>
      <w:r>
        <w:rPr>
          <w:rFonts w:hint="eastAsia" w:ascii="宋体" w:hAnsi="宋体" w:cs="宋体"/>
          <w:szCs w:val="21"/>
        </w:rPr>
        <w:t>应</w:t>
      </w:r>
      <w:r>
        <w:rPr>
          <w:rFonts w:ascii="宋体" w:hAnsi="宋体" w:cs="宋体"/>
          <w:szCs w:val="21"/>
        </w:rPr>
        <w:t>填写一个单位名称，同时用括号注明其余的单位名称。</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法定代表人（单位负责人）  </w:t>
      </w:r>
      <w:r>
        <w:rPr>
          <w:rFonts w:ascii="宋体" w:hAnsi="宋体" w:cs="宋体"/>
          <w:szCs w:val="21"/>
        </w:rPr>
        <w:t>指依照法律或者法人组织章程规定，代表法人行使职权的负责人。</w:t>
      </w:r>
      <w:r>
        <w:rPr>
          <w:rFonts w:hint="eastAsia"/>
          <w:u w:val="single"/>
        </w:rPr>
        <w:t>所</w:t>
      </w:r>
      <w:r>
        <w:rPr>
          <w:u w:val="single"/>
        </w:rPr>
        <w:t>有单位均填写本项。</w:t>
      </w:r>
    </w:p>
    <w:p>
      <w:pPr>
        <w:snapToGrid w:val="0"/>
        <w:spacing w:line="360" w:lineRule="exact"/>
        <w:ind w:firstLine="420" w:firstLineChars="200"/>
        <w:rPr>
          <w:rFonts w:ascii="宋体" w:hAnsi="宋体" w:cs="宋体"/>
          <w:szCs w:val="21"/>
        </w:rPr>
      </w:pPr>
      <w:r>
        <w:rPr>
          <w:rFonts w:ascii="宋体" w:hAnsi="宋体" w:cs="宋体"/>
          <w:szCs w:val="21"/>
        </w:rPr>
        <w:t>企业、事业单位、社会团体、民办非企业单位、基金会</w:t>
      </w:r>
      <w:r>
        <w:rPr>
          <w:rFonts w:hint="eastAsia" w:ascii="宋体" w:hAnsi="宋体" w:cs="宋体"/>
          <w:szCs w:val="21"/>
        </w:rPr>
        <w:t>、宗教活动场所</w:t>
      </w:r>
      <w:r>
        <w:rPr>
          <w:rFonts w:ascii="宋体" w:hAnsi="宋体" w:cs="宋体"/>
          <w:szCs w:val="21"/>
        </w:rPr>
        <w:t>和农民专业合作社法人的法定代表人分别按照《企业法人营业执照》（或新版《营业执照》）《事业单位法人证书》《社会团体法人登记证书》《民办非企业单位登记证书》《基金会法人登记证书》《宗教活动场所法人登记证书》《农民专业合作社法人营业执照》（或新版《营业执照》）填写，机关法定代表人填写单位主要负责人。产业活动单位填写本单位的主要负责人。</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成立时间  </w:t>
      </w:r>
      <w:r>
        <w:rPr>
          <w:rFonts w:ascii="宋体" w:hAnsi="宋体" w:cs="宋体"/>
          <w:szCs w:val="21"/>
        </w:rPr>
        <w:t>指单位登记注册成立或行政管理部门批准成立的具体年月。</w:t>
      </w:r>
      <w:r>
        <w:rPr>
          <w:rFonts w:hint="eastAsia"/>
          <w:u w:val="single"/>
        </w:rPr>
        <w:t>所</w:t>
      </w:r>
      <w:r>
        <w:rPr>
          <w:u w:val="single"/>
        </w:rPr>
        <w:t>有单位均填写本项。</w:t>
      </w:r>
    </w:p>
    <w:p>
      <w:pPr>
        <w:snapToGrid w:val="0"/>
        <w:spacing w:line="360" w:lineRule="exact"/>
        <w:ind w:firstLine="420" w:firstLineChars="200"/>
        <w:rPr>
          <w:rFonts w:ascii="宋体" w:hAnsi="宋体" w:cs="宋体"/>
          <w:szCs w:val="21"/>
        </w:rPr>
      </w:pPr>
      <w:r>
        <w:rPr>
          <w:rFonts w:ascii="宋体" w:hAnsi="宋体" w:cs="宋体"/>
          <w:szCs w:val="21"/>
        </w:rPr>
        <w:t>1.</w:t>
      </w:r>
      <w:r>
        <w:rPr>
          <w:rFonts w:hint="eastAsia" w:ascii="宋体" w:hAnsi="宋体" w:cs="宋体"/>
          <w:szCs w:val="21"/>
        </w:rPr>
        <w:t>中华人民共和国成立前</w:t>
      </w:r>
      <w:r>
        <w:rPr>
          <w:rFonts w:ascii="宋体" w:hAnsi="宋体" w:cs="宋体"/>
          <w:szCs w:val="21"/>
        </w:rPr>
        <w:t>成立的单位填写最早开工或成立的年月；</w:t>
      </w:r>
      <w:r>
        <w:rPr>
          <w:rFonts w:hint="eastAsia" w:ascii="宋体" w:hAnsi="宋体" w:cs="宋体"/>
          <w:szCs w:val="21"/>
        </w:rPr>
        <w:t>中华人民共和国成立</w:t>
      </w:r>
      <w:r>
        <w:rPr>
          <w:rFonts w:ascii="宋体" w:hAnsi="宋体" w:cs="宋体"/>
          <w:szCs w:val="21"/>
        </w:rPr>
        <w:t>后成立的单位填写批准成立或登记注册成立的时间，如实际开业时间早于注册成立时间，填写最早开业年月。</w:t>
      </w:r>
    </w:p>
    <w:p>
      <w:pPr>
        <w:snapToGrid w:val="0"/>
        <w:spacing w:line="360" w:lineRule="exact"/>
        <w:ind w:firstLine="420" w:firstLineChars="200"/>
        <w:rPr>
          <w:rFonts w:ascii="宋体" w:hAnsi="宋体" w:cs="宋体"/>
          <w:szCs w:val="21"/>
        </w:rPr>
      </w:pPr>
      <w:r>
        <w:rPr>
          <w:rFonts w:ascii="宋体" w:hAnsi="宋体" w:cs="宋体"/>
          <w:szCs w:val="21"/>
        </w:rPr>
        <w:t>2.机关、事业单位的成立时间分三种情况：（1）新设立的单位成立时间填新设立时间；（2）恢复设立的单位（指中间因某种原因停顿，后又恢复的单位）成立时间填以前设立的时间；（3）机构改革中，因合并或分立新设的单位，其成立时间填新设立时间，继续存在的单位，填原成立时间，改革后有些单位虽然名称有变化，但其基本职能未变，成立时间要填写最早成立时间。</w:t>
      </w:r>
    </w:p>
    <w:p>
      <w:pPr>
        <w:snapToGrid w:val="0"/>
        <w:spacing w:line="360" w:lineRule="exact"/>
        <w:ind w:firstLine="420" w:firstLineChars="200"/>
        <w:rPr>
          <w:rFonts w:ascii="宋体" w:hAnsi="宋体" w:cs="宋体"/>
          <w:szCs w:val="21"/>
        </w:rPr>
      </w:pPr>
      <w:r>
        <w:rPr>
          <w:rFonts w:ascii="宋体" w:hAnsi="宋体" w:cs="宋体"/>
          <w:szCs w:val="21"/>
        </w:rPr>
        <w:t>3.乡镇</w:t>
      </w:r>
      <w:r>
        <w:rPr>
          <w:rFonts w:hint="eastAsia" w:ascii="宋体" w:hAnsi="宋体" w:cs="宋体"/>
          <w:szCs w:val="21"/>
        </w:rPr>
        <w:t>人民政府</w:t>
      </w:r>
      <w:r>
        <w:rPr>
          <w:rFonts w:ascii="宋体" w:hAnsi="宋体" w:cs="宋体"/>
          <w:szCs w:val="21"/>
        </w:rPr>
        <w:t>、街道</w:t>
      </w:r>
      <w:r>
        <w:rPr>
          <w:rFonts w:hint="eastAsia" w:ascii="宋体" w:hAnsi="宋体" w:cs="宋体"/>
          <w:szCs w:val="21"/>
        </w:rPr>
        <w:t>办事处</w:t>
      </w:r>
      <w:r>
        <w:rPr>
          <w:rFonts w:ascii="宋体" w:hAnsi="宋体" w:cs="宋体"/>
          <w:szCs w:val="21"/>
        </w:rPr>
        <w:t>、村委会</w:t>
      </w:r>
      <w:r>
        <w:rPr>
          <w:rFonts w:hint="eastAsia" w:ascii="宋体" w:hAnsi="宋体" w:cs="宋体"/>
          <w:szCs w:val="21"/>
        </w:rPr>
        <w:t>、</w:t>
      </w:r>
      <w:r>
        <w:rPr>
          <w:rFonts w:ascii="宋体" w:hAnsi="宋体" w:cs="宋体"/>
          <w:szCs w:val="21"/>
        </w:rPr>
        <w:t>居委会，如管辖区域基本未改变，其成立时间按原成立时间填写；否则，按新成立时间填写。</w:t>
      </w:r>
    </w:p>
    <w:p>
      <w:pPr>
        <w:snapToGrid w:val="0"/>
        <w:spacing w:line="360" w:lineRule="exact"/>
        <w:ind w:firstLine="420" w:firstLineChars="200"/>
        <w:rPr>
          <w:rFonts w:ascii="宋体" w:hAnsi="宋体" w:cs="宋体"/>
          <w:szCs w:val="21"/>
        </w:rPr>
      </w:pPr>
      <w:r>
        <w:rPr>
          <w:rFonts w:ascii="宋体" w:hAnsi="宋体" w:cs="宋体"/>
          <w:szCs w:val="21"/>
        </w:rPr>
        <w:t>4.改制企业的成立时间按原成立时间填写。</w:t>
      </w:r>
    </w:p>
    <w:p>
      <w:pPr>
        <w:snapToGrid w:val="0"/>
        <w:spacing w:line="360" w:lineRule="exact"/>
        <w:ind w:firstLine="420" w:firstLineChars="200"/>
        <w:rPr>
          <w:rFonts w:ascii="宋体" w:hAnsi="宋体" w:cs="宋体"/>
          <w:szCs w:val="21"/>
        </w:rPr>
      </w:pPr>
      <w:r>
        <w:rPr>
          <w:rFonts w:ascii="宋体" w:hAnsi="宋体" w:cs="宋体"/>
          <w:szCs w:val="21"/>
        </w:rPr>
        <w:t>5.企业分立、合并分两种情况：一种是因合并或分立而新设的企业，其成立时间按市场监管部门重新登记后的成立时间填写；另一种是合并或分立后继续存在的企业，填写原企业的成立时间。</w:t>
      </w:r>
    </w:p>
    <w:p>
      <w:pPr>
        <w:snapToGrid w:val="0"/>
        <w:spacing w:line="360" w:lineRule="exact"/>
        <w:ind w:firstLine="420" w:firstLineChars="200"/>
        <w:rPr>
          <w:rFonts w:ascii="宋体" w:hAnsi="宋体" w:cs="宋体"/>
          <w:szCs w:val="21"/>
        </w:rPr>
      </w:pPr>
      <w:r>
        <w:rPr>
          <w:rFonts w:ascii="宋体" w:hAnsi="宋体" w:eastAsia="黑体" w:cs="宋体"/>
          <w:szCs w:val="21"/>
        </w:rPr>
        <w:t>开业时间</w:t>
      </w:r>
      <w:r>
        <w:rPr>
          <w:rFonts w:ascii="宋体" w:hAnsi="宋体" w:eastAsia="黑体" w:cs="宋体"/>
          <w:szCs w:val="21"/>
          <w:lang w:val="en"/>
        </w:rPr>
        <w:t xml:space="preserve"> </w:t>
      </w:r>
      <w:r>
        <w:rPr>
          <w:rFonts w:hint="eastAsia" w:ascii="宋体" w:hAnsi="宋体" w:eastAsia="黑体" w:cs="宋体"/>
          <w:szCs w:val="21"/>
        </w:rPr>
        <w:t xml:space="preserve"> </w:t>
      </w:r>
      <w:r>
        <w:rPr>
          <w:rFonts w:ascii="宋体" w:hAnsi="宋体" w:cs="宋体"/>
          <w:szCs w:val="21"/>
        </w:rPr>
        <w:t>指企业在市场监管部门登记注册后，经过一系列筹建工作，正式开始投入运营的具体年月。</w:t>
      </w:r>
      <w:r>
        <w:rPr>
          <w:rFonts w:hint="eastAsia" w:ascii="宋体" w:hAnsi="宋体" w:cs="宋体"/>
          <w:u w:val="single"/>
        </w:rPr>
        <w:t>除筹建企业外，所有企业均填写本项。</w:t>
      </w:r>
    </w:p>
    <w:p>
      <w:pPr>
        <w:snapToGrid w:val="0"/>
        <w:spacing w:line="360" w:lineRule="exact"/>
        <w:ind w:firstLine="420" w:firstLineChars="200"/>
        <w:rPr>
          <w:rFonts w:ascii="宋体" w:hAnsi="宋体"/>
          <w:szCs w:val="21"/>
        </w:rPr>
      </w:pPr>
      <w:r>
        <w:rPr>
          <w:rFonts w:ascii="宋体" w:hAnsi="宋体" w:eastAsia="黑体" w:cs="宋体"/>
          <w:szCs w:val="21"/>
        </w:rPr>
        <w:t xml:space="preserve">联系方式  </w:t>
      </w:r>
      <w:r>
        <w:rPr>
          <w:rFonts w:ascii="宋体" w:hAnsi="宋体" w:cs="宋体"/>
          <w:szCs w:val="21"/>
        </w:rPr>
        <w:t>包括固定电话、移动电话、传真电话和邮政编码等能够与单位取得联系的信息。</w:t>
      </w:r>
      <w:r>
        <w:rPr>
          <w:rFonts w:hint="eastAsia" w:ascii="宋体" w:hAnsi="宋体" w:cs="宋体"/>
          <w:u w:val="single"/>
        </w:rPr>
        <w:t>所有单位均填写本项。</w:t>
      </w:r>
    </w:p>
    <w:p>
      <w:pPr>
        <w:snapToGrid w:val="0"/>
        <w:spacing w:line="360" w:lineRule="exact"/>
        <w:ind w:firstLine="420" w:firstLineChars="200"/>
        <w:rPr>
          <w:rFonts w:ascii="宋体" w:hAnsi="宋体" w:eastAsia="黑体" w:cs="宋体"/>
          <w:szCs w:val="21"/>
        </w:rPr>
      </w:pPr>
      <w:r>
        <w:rPr>
          <w:rFonts w:ascii="宋体" w:hAnsi="宋体" w:cs="宋体"/>
          <w:szCs w:val="21"/>
        </w:rPr>
        <w:t>电话号码以填写固定电话号码为主，对于确实没有固定电话号码的单位，可以填写主要负责人的移动电话号码。</w:t>
      </w:r>
    </w:p>
    <w:p>
      <w:pPr>
        <w:snapToGrid w:val="0"/>
        <w:spacing w:line="360" w:lineRule="exact"/>
        <w:ind w:firstLine="420" w:firstLineChars="200"/>
        <w:rPr>
          <w:rFonts w:ascii="宋体"/>
        </w:rPr>
      </w:pPr>
      <w:r>
        <w:rPr>
          <w:rFonts w:hint="eastAsia" w:ascii="黑体" w:hAnsi="宋体" w:eastAsia="黑体" w:cs="黑体"/>
        </w:rPr>
        <w:t>单位所在地区划及</w:t>
      </w:r>
      <w:r>
        <w:rPr>
          <w:rFonts w:ascii="黑体" w:hAnsi="宋体" w:eastAsia="黑体" w:cs="黑体"/>
        </w:rPr>
        <w:t xml:space="preserve">详细地址  </w:t>
      </w:r>
      <w:r>
        <w:rPr>
          <w:rFonts w:hint="eastAsia" w:ascii="宋体" w:hAnsi="宋体" w:cs="宋体"/>
        </w:rPr>
        <w:t>指单位主要经营地所处的详细地址等。本栏分两部分填写：</w:t>
      </w:r>
    </w:p>
    <w:p>
      <w:pPr>
        <w:snapToGrid w:val="0"/>
        <w:spacing w:line="360" w:lineRule="exact"/>
        <w:ind w:firstLine="420" w:firstLineChars="200"/>
        <w:rPr>
          <w:rFonts w:ascii="宋体"/>
        </w:rPr>
      </w:pPr>
      <w:r>
        <w:rPr>
          <w:rFonts w:hint="eastAsia" w:ascii="宋体" w:hAnsi="宋体" w:cs="宋体"/>
        </w:rPr>
        <w:t>第一部分：单位主要</w:t>
      </w:r>
      <w:r>
        <w:rPr>
          <w:rFonts w:ascii="宋体" w:hAnsi="宋体" w:cs="宋体"/>
        </w:rPr>
        <w:t>经营地</w:t>
      </w:r>
      <w:r>
        <w:rPr>
          <w:rFonts w:hint="eastAsia" w:ascii="宋体" w:hAnsi="宋体" w:cs="宋体"/>
        </w:rPr>
        <w:t>所处的详细地址。要写明单位主要经营地所在的省</w:t>
      </w:r>
      <w:r>
        <w:rPr>
          <w:rFonts w:ascii="宋体" w:hAnsi="宋体" w:cs="宋体"/>
        </w:rPr>
        <w:t>（</w:t>
      </w:r>
      <w:r>
        <w:rPr>
          <w:rFonts w:hint="eastAsia" w:ascii="宋体" w:hAnsi="宋体" w:cs="宋体"/>
        </w:rPr>
        <w:t>自治区、直辖市</w:t>
      </w:r>
      <w:r>
        <w:rPr>
          <w:rFonts w:ascii="宋体" w:hAnsi="宋体" w:cs="宋体"/>
        </w:rPr>
        <w:t>）</w:t>
      </w:r>
      <w:r>
        <w:rPr>
          <w:rFonts w:hint="eastAsia" w:ascii="宋体" w:hAnsi="宋体" w:cs="宋体"/>
        </w:rPr>
        <w:t>、地</w:t>
      </w:r>
      <w:r>
        <w:rPr>
          <w:rFonts w:ascii="宋体" w:hAnsi="宋体" w:cs="宋体"/>
        </w:rPr>
        <w:t>（</w:t>
      </w:r>
      <w:r>
        <w:rPr>
          <w:rFonts w:hint="eastAsia" w:ascii="宋体" w:hAnsi="宋体" w:cs="宋体"/>
        </w:rPr>
        <w:t>市、州、盟</w:t>
      </w:r>
      <w:r>
        <w:rPr>
          <w:rFonts w:ascii="宋体" w:hAnsi="宋体" w:cs="宋体"/>
        </w:rPr>
        <w:t>）</w:t>
      </w:r>
      <w:r>
        <w:rPr>
          <w:rFonts w:hint="eastAsia" w:ascii="宋体" w:hAnsi="宋体" w:cs="宋体"/>
        </w:rPr>
        <w:t>、县</w:t>
      </w:r>
      <w:r>
        <w:rPr>
          <w:rFonts w:ascii="宋体" w:hAnsi="宋体" w:cs="宋体"/>
        </w:rPr>
        <w:t>（</w:t>
      </w:r>
      <w:r>
        <w:rPr>
          <w:rFonts w:hint="eastAsia" w:ascii="宋体" w:hAnsi="宋体" w:cs="宋体"/>
        </w:rPr>
        <w:t>市、区、旗</w:t>
      </w:r>
      <w:r>
        <w:rPr>
          <w:rFonts w:ascii="宋体" w:hAnsi="宋体" w:cs="宋体"/>
        </w:rPr>
        <w:t>）</w:t>
      </w:r>
      <w:r>
        <w:rPr>
          <w:rFonts w:hint="eastAsia" w:ascii="宋体" w:hAnsi="宋体" w:cs="宋体"/>
        </w:rPr>
        <w:t>、乡</w:t>
      </w:r>
      <w:r>
        <w:rPr>
          <w:rFonts w:ascii="宋体" w:hAnsi="宋体" w:cs="宋体"/>
        </w:rPr>
        <w:t>（</w:t>
      </w:r>
      <w:r>
        <w:rPr>
          <w:rFonts w:hint="eastAsia" w:ascii="宋体" w:hAnsi="宋体" w:cs="宋体"/>
        </w:rPr>
        <w:t>镇、街道</w:t>
      </w:r>
      <w:r>
        <w:rPr>
          <w:rFonts w:ascii="宋体" w:hAnsi="宋体" w:cs="宋体"/>
        </w:rPr>
        <w:t>）</w:t>
      </w:r>
      <w:r>
        <w:rPr>
          <w:rFonts w:hint="eastAsia" w:ascii="宋体" w:hAnsi="宋体" w:cs="宋体"/>
        </w:rPr>
        <w:t>、村（居）委会以及具体街（路）的名称和详细的门牌号码，不能填写通讯号码或通讯信箱号码。</w:t>
      </w:r>
    </w:p>
    <w:p>
      <w:pPr>
        <w:snapToGrid w:val="0"/>
        <w:spacing w:line="360" w:lineRule="exact"/>
        <w:ind w:firstLine="420" w:firstLineChars="200"/>
        <w:rPr>
          <w:rFonts w:ascii="宋体"/>
        </w:rPr>
      </w:pPr>
      <w:r>
        <w:rPr>
          <w:rFonts w:hint="eastAsia" w:ascii="宋体" w:hAnsi="宋体" w:cs="宋体"/>
        </w:rPr>
        <w:t>第二部分：区划代码和城乡代码，按2</w:t>
      </w:r>
      <w:r>
        <w:rPr>
          <w:rFonts w:ascii="宋体" w:hAnsi="宋体" w:cs="宋体"/>
        </w:rPr>
        <w:t>025</w:t>
      </w:r>
      <w:r>
        <w:rPr>
          <w:rFonts w:hint="eastAsia" w:ascii="宋体" w:hAnsi="宋体" w:cs="宋体"/>
        </w:rPr>
        <w:t>年《统计用</w:t>
      </w:r>
      <w:r>
        <w:rPr>
          <w:rFonts w:ascii="宋体" w:hAnsi="宋体" w:cs="宋体"/>
        </w:rPr>
        <w:t>区划代码</w:t>
      </w:r>
      <w:r>
        <w:rPr>
          <w:rFonts w:hint="eastAsia" w:ascii="宋体" w:hAnsi="宋体" w:cs="宋体"/>
        </w:rPr>
        <w:t>和</w:t>
      </w:r>
      <w:r>
        <w:rPr>
          <w:rFonts w:ascii="宋体" w:hAnsi="宋体" w:cs="宋体"/>
        </w:rPr>
        <w:t>城乡</w:t>
      </w:r>
      <w:r>
        <w:rPr>
          <w:rFonts w:hint="eastAsia" w:ascii="宋体" w:hAnsi="宋体" w:cs="宋体"/>
        </w:rPr>
        <w:t>划分</w:t>
      </w:r>
      <w:r>
        <w:rPr>
          <w:rFonts w:ascii="宋体" w:hAnsi="宋体" w:cs="宋体"/>
        </w:rPr>
        <w:t>代码》</w:t>
      </w:r>
      <w:r>
        <w:rPr>
          <w:rFonts w:hint="eastAsia" w:ascii="宋体" w:hAnsi="宋体" w:cs="宋体"/>
        </w:rPr>
        <w:t>填写，</w:t>
      </w:r>
      <w:r>
        <w:rPr>
          <w:rFonts w:hint="eastAsia" w:ascii="宋体" w:hAnsi="宋体" w:cs="宋体"/>
          <w:u w:val="single"/>
        </w:rPr>
        <w:t>由所在地统计机构统一填写，填报单位免填</w:t>
      </w:r>
      <w:r>
        <w:rPr>
          <w:rFonts w:hint="eastAsia" w:ascii="宋体" w:hAnsi="宋体" w:cs="宋体"/>
        </w:rPr>
        <w:t>。</w:t>
      </w:r>
    </w:p>
    <w:p>
      <w:pPr>
        <w:snapToGrid w:val="0"/>
        <w:spacing w:line="360" w:lineRule="exact"/>
        <w:ind w:firstLine="420" w:firstLineChars="200"/>
        <w:rPr>
          <w:rFonts w:ascii="宋体"/>
        </w:rPr>
      </w:pPr>
      <w:r>
        <w:rPr>
          <w:rFonts w:hint="eastAsia" w:ascii="黑体" w:hAnsi="宋体" w:eastAsia="黑体" w:cs="黑体"/>
        </w:rPr>
        <w:t>单位注册地址区划及</w:t>
      </w:r>
      <w:r>
        <w:rPr>
          <w:rFonts w:ascii="黑体" w:hAnsi="宋体" w:eastAsia="黑体" w:cs="黑体"/>
        </w:rPr>
        <w:t xml:space="preserve">详细地址  </w:t>
      </w:r>
      <w:r>
        <w:rPr>
          <w:rFonts w:hint="eastAsia" w:ascii="宋体" w:hAnsi="宋体" w:cs="宋体"/>
        </w:rPr>
        <w:t>指单位在审批登记部门登记注册的地址。本栏分为两部分填写：</w:t>
      </w:r>
    </w:p>
    <w:p>
      <w:pPr>
        <w:snapToGrid w:val="0"/>
        <w:spacing w:line="360" w:lineRule="exact"/>
        <w:ind w:firstLine="420" w:firstLineChars="200"/>
        <w:rPr>
          <w:rFonts w:ascii="宋体"/>
          <w:u w:val="single"/>
        </w:rPr>
      </w:pPr>
      <w:r>
        <w:rPr>
          <w:rFonts w:hint="eastAsia" w:ascii="宋体" w:hAnsi="宋体" w:cs="宋体"/>
        </w:rPr>
        <w:t>第一部分：单位注册的详细地址，</w:t>
      </w:r>
      <w:r>
        <w:rPr>
          <w:rFonts w:hint="eastAsia" w:ascii="宋体" w:hAnsi="宋体" w:cs="宋体"/>
          <w:u w:val="single"/>
        </w:rPr>
        <w:t>建筑业单位必须填写；</w:t>
      </w:r>
      <w:r>
        <w:rPr>
          <w:rFonts w:hint="eastAsia" w:ascii="宋体" w:hAnsi="宋体" w:cs="宋体"/>
        </w:rPr>
        <w:t>其他行业单位注册地与经营地不一致的需填写本项，地址相同的可免填。要写明单位注册地所在的省</w:t>
      </w:r>
      <w:r>
        <w:rPr>
          <w:rFonts w:ascii="宋体" w:hAnsi="宋体" w:cs="宋体"/>
        </w:rPr>
        <w:t>（</w:t>
      </w:r>
      <w:r>
        <w:rPr>
          <w:rFonts w:hint="eastAsia" w:ascii="宋体" w:hAnsi="宋体" w:cs="宋体"/>
        </w:rPr>
        <w:t>自治区、直辖市</w:t>
      </w:r>
      <w:r>
        <w:rPr>
          <w:rFonts w:ascii="宋体" w:hAnsi="宋体" w:cs="宋体"/>
        </w:rPr>
        <w:t>）</w:t>
      </w:r>
      <w:r>
        <w:rPr>
          <w:rFonts w:hint="eastAsia" w:ascii="宋体" w:hAnsi="宋体" w:cs="宋体"/>
        </w:rPr>
        <w:t>、地</w:t>
      </w:r>
      <w:r>
        <w:rPr>
          <w:rFonts w:ascii="宋体" w:hAnsi="宋体" w:cs="宋体"/>
        </w:rPr>
        <w:t>（</w:t>
      </w:r>
      <w:r>
        <w:rPr>
          <w:rFonts w:hint="eastAsia" w:ascii="宋体" w:hAnsi="宋体" w:cs="宋体"/>
        </w:rPr>
        <w:t>市、州、盟</w:t>
      </w:r>
      <w:r>
        <w:rPr>
          <w:rFonts w:ascii="宋体" w:hAnsi="宋体" w:cs="宋体"/>
        </w:rPr>
        <w:t>）</w:t>
      </w:r>
      <w:r>
        <w:rPr>
          <w:rFonts w:hint="eastAsia" w:ascii="宋体" w:hAnsi="宋体" w:cs="宋体"/>
        </w:rPr>
        <w:t>、县</w:t>
      </w:r>
      <w:r>
        <w:rPr>
          <w:rFonts w:ascii="宋体" w:hAnsi="宋体" w:cs="宋体"/>
        </w:rPr>
        <w:t>（</w:t>
      </w:r>
      <w:r>
        <w:rPr>
          <w:rFonts w:hint="eastAsia" w:ascii="宋体" w:hAnsi="宋体" w:cs="宋体"/>
        </w:rPr>
        <w:t>市、区、旗</w:t>
      </w:r>
      <w:r>
        <w:rPr>
          <w:rFonts w:ascii="宋体" w:hAnsi="宋体" w:cs="宋体"/>
        </w:rPr>
        <w:t>）</w:t>
      </w:r>
      <w:r>
        <w:rPr>
          <w:rFonts w:hint="eastAsia" w:ascii="宋体" w:hAnsi="宋体" w:cs="宋体"/>
        </w:rPr>
        <w:t>、乡</w:t>
      </w:r>
      <w:r>
        <w:rPr>
          <w:rFonts w:ascii="宋体" w:hAnsi="宋体" w:cs="宋体"/>
        </w:rPr>
        <w:t>（</w:t>
      </w:r>
      <w:r>
        <w:rPr>
          <w:rFonts w:hint="eastAsia" w:ascii="宋体" w:hAnsi="宋体" w:cs="宋体"/>
        </w:rPr>
        <w:t>镇、街道</w:t>
      </w:r>
      <w:r>
        <w:rPr>
          <w:rFonts w:ascii="宋体" w:hAnsi="宋体" w:cs="宋体"/>
        </w:rPr>
        <w:t>）</w:t>
      </w:r>
      <w:r>
        <w:rPr>
          <w:rFonts w:hint="eastAsia" w:ascii="宋体" w:hAnsi="宋体" w:cs="宋体"/>
        </w:rPr>
        <w:t>、村（居）委会以及具体街（路）的名称和详细的门牌号码，不能填写通讯号码或通讯信箱号码。</w:t>
      </w:r>
    </w:p>
    <w:p>
      <w:pPr>
        <w:snapToGrid w:val="0"/>
        <w:spacing w:line="360" w:lineRule="exact"/>
        <w:ind w:firstLine="420" w:firstLineChars="200"/>
        <w:rPr>
          <w:rFonts w:ascii="宋体"/>
        </w:rPr>
      </w:pPr>
      <w:r>
        <w:rPr>
          <w:rFonts w:hint="eastAsia" w:ascii="宋体" w:hAnsi="宋体" w:cs="宋体"/>
        </w:rPr>
        <w:t>第二部分：区划代码和城乡代码，按2</w:t>
      </w:r>
      <w:r>
        <w:rPr>
          <w:rFonts w:ascii="宋体" w:hAnsi="宋体" w:cs="宋体"/>
        </w:rPr>
        <w:t>025</w:t>
      </w:r>
      <w:r>
        <w:rPr>
          <w:rFonts w:hint="eastAsia" w:ascii="宋体" w:hAnsi="宋体" w:cs="宋体"/>
        </w:rPr>
        <w:t>年《统计用</w:t>
      </w:r>
      <w:r>
        <w:rPr>
          <w:rFonts w:ascii="宋体" w:hAnsi="宋体" w:cs="宋体"/>
        </w:rPr>
        <w:t>区划代码</w:t>
      </w:r>
      <w:r>
        <w:rPr>
          <w:rFonts w:hint="eastAsia" w:ascii="宋体" w:hAnsi="宋体" w:cs="宋体"/>
        </w:rPr>
        <w:t>和</w:t>
      </w:r>
      <w:r>
        <w:rPr>
          <w:rFonts w:ascii="宋体" w:hAnsi="宋体" w:cs="宋体"/>
        </w:rPr>
        <w:t>城乡</w:t>
      </w:r>
      <w:r>
        <w:rPr>
          <w:rFonts w:hint="eastAsia" w:ascii="宋体" w:hAnsi="宋体" w:cs="宋体"/>
        </w:rPr>
        <w:t>划分</w:t>
      </w:r>
      <w:r>
        <w:rPr>
          <w:rFonts w:ascii="宋体" w:hAnsi="宋体" w:cs="宋体"/>
        </w:rPr>
        <w:t>代码》</w:t>
      </w:r>
      <w:r>
        <w:rPr>
          <w:rFonts w:hint="eastAsia" w:ascii="宋体" w:hAnsi="宋体" w:cs="宋体"/>
        </w:rPr>
        <w:t>填写，</w:t>
      </w:r>
      <w:r>
        <w:rPr>
          <w:rFonts w:hint="eastAsia" w:ascii="宋体" w:hAnsi="宋体" w:cs="宋体"/>
          <w:u w:val="single"/>
        </w:rPr>
        <w:t>由所在地统计机构统一填写，填报单位免填</w:t>
      </w:r>
      <w:r>
        <w:rPr>
          <w:rFonts w:hint="eastAsia" w:ascii="宋体" w:hAnsi="宋体" w:cs="宋体"/>
        </w:rPr>
        <w:t>。</w:t>
      </w:r>
    </w:p>
    <w:p>
      <w:pPr>
        <w:snapToGrid w:val="0"/>
        <w:spacing w:line="360" w:lineRule="exact"/>
        <w:ind w:firstLine="420" w:firstLineChars="200"/>
        <w:rPr>
          <w:rFonts w:hint="eastAsia" w:ascii="宋体" w:hAnsi="宋体" w:eastAsia="黑体" w:cs="宋体"/>
          <w:szCs w:val="21"/>
        </w:rPr>
      </w:pPr>
      <w:r>
        <w:rPr>
          <w:rFonts w:hint="eastAsia" w:ascii="宋体" w:hAnsi="宋体" w:eastAsia="黑体" w:cs="宋体"/>
          <w:szCs w:val="21"/>
        </w:rPr>
        <w:t xml:space="preserve">单位所在园区详细名称  </w:t>
      </w:r>
      <w:r>
        <w:rPr>
          <w:rFonts w:hint="eastAsia" w:ascii="宋体" w:hAnsi="宋体" w:cs="宋体"/>
          <w:szCs w:val="21"/>
        </w:rPr>
        <w:t>指经有关部门批准正式使用的园区全称。园区是指依据国家经济社会的发展目标与任务分工，通过公共管理赋予的、集中统一规划且具有一定经济社会功能的区域。包括各级政府（部门）机构批准设立的具有相对固定管辖区域的开发区、保税区、工业园区、科技园区、物流园区、文化产业园区、农业示范区等各类园区。</w:t>
      </w:r>
      <w:r>
        <w:rPr>
          <w:rFonts w:hint="eastAsia" w:ascii="宋体" w:hAnsi="宋体" w:cs="宋体"/>
          <w:szCs w:val="21"/>
          <w:u w:val="single"/>
        </w:rPr>
        <w:t>本项由统计机构填写，调查单位免填。</w:t>
      </w:r>
    </w:p>
    <w:p>
      <w:pPr>
        <w:snapToGrid w:val="0"/>
        <w:spacing w:line="360" w:lineRule="exact"/>
        <w:ind w:firstLine="420" w:firstLineChars="200"/>
        <w:rPr>
          <w:rFonts w:ascii="宋体" w:hAnsi="宋体" w:eastAsia="黑体" w:cs="宋体"/>
          <w:szCs w:val="21"/>
        </w:rPr>
      </w:pPr>
      <w:r>
        <w:rPr>
          <w:rFonts w:hint="eastAsia" w:ascii="宋体" w:hAnsi="宋体" w:eastAsia="黑体" w:cs="宋体"/>
          <w:szCs w:val="21"/>
        </w:rPr>
        <w:t xml:space="preserve">所在园区代码  </w:t>
      </w:r>
      <w:r>
        <w:rPr>
          <w:rFonts w:hint="eastAsia" w:ascii="宋体" w:hAnsi="宋体" w:cs="宋体"/>
          <w:szCs w:val="21"/>
        </w:rPr>
        <w:t>指统计机构按照《园区代码编制规则（试行）》编写的代码。</w:t>
      </w:r>
      <w:r>
        <w:rPr>
          <w:rFonts w:hint="eastAsia" w:ascii="宋体" w:hAnsi="宋体" w:cs="宋体"/>
          <w:szCs w:val="21"/>
          <w:u w:val="single"/>
        </w:rPr>
        <w:t>本项由统计机构填写，调查单位免填。</w:t>
      </w:r>
    </w:p>
    <w:p>
      <w:pPr>
        <w:snapToGrid w:val="0"/>
        <w:spacing w:line="360" w:lineRule="exact"/>
        <w:ind w:firstLine="420" w:firstLineChars="200"/>
        <w:rPr>
          <w:rFonts w:ascii="宋体" w:hAnsi="宋体" w:cs="宋体"/>
          <w:szCs w:val="21"/>
          <w:u w:val="single"/>
        </w:rPr>
      </w:pPr>
      <w:r>
        <w:rPr>
          <w:rFonts w:ascii="宋体" w:hAnsi="宋体" w:eastAsia="黑体" w:cs="宋体"/>
          <w:szCs w:val="21"/>
        </w:rPr>
        <w:t xml:space="preserve">运营状态  </w:t>
      </w:r>
      <w:r>
        <w:rPr>
          <w:rFonts w:ascii="宋体" w:hAnsi="宋体" w:cs="宋体"/>
          <w:szCs w:val="21"/>
        </w:rPr>
        <w:t>指企业（单位）的经济活动状态。</w:t>
      </w:r>
      <w:r>
        <w:rPr>
          <w:rFonts w:hint="eastAsia" w:ascii="宋体" w:hAnsi="宋体" w:cs="宋体"/>
          <w:u w:val="single"/>
        </w:rPr>
        <w:t>所有单位均填写本项。</w:t>
      </w:r>
    </w:p>
    <w:p>
      <w:pPr>
        <w:snapToGrid w:val="0"/>
        <w:spacing w:line="360" w:lineRule="exact"/>
        <w:ind w:firstLine="420" w:firstLineChars="200"/>
        <w:rPr>
          <w:rFonts w:ascii="宋体" w:hAnsi="宋体" w:cs="宋体"/>
          <w:szCs w:val="21"/>
        </w:rPr>
      </w:pPr>
      <w:r>
        <w:rPr>
          <w:rFonts w:ascii="宋体" w:hAnsi="宋体" w:cs="宋体"/>
          <w:szCs w:val="21"/>
        </w:rPr>
        <w:t>1.正常运营：指正常运转的单位，全年正常开业的企业（单位）和季节性生产开工三个月以上的企业（单位）。包括部分投产的新建企业（单位），临时性停产和季节性停产的企业（单位）。</w:t>
      </w:r>
    </w:p>
    <w:p>
      <w:pPr>
        <w:snapToGrid w:val="0"/>
        <w:spacing w:line="360" w:lineRule="exact"/>
        <w:ind w:firstLine="420" w:firstLineChars="200"/>
        <w:rPr>
          <w:rFonts w:ascii="宋体" w:hAnsi="宋体" w:cs="宋体"/>
          <w:szCs w:val="21"/>
        </w:rPr>
      </w:pPr>
      <w:r>
        <w:rPr>
          <w:rFonts w:ascii="宋体" w:hAnsi="宋体" w:cs="宋体"/>
          <w:szCs w:val="21"/>
        </w:rPr>
        <w:t>2.停业（歇业）：指由于某种原因已处于停止经营或活动的状态，待条件改变后将恢复经营或活动的企业（单位）。</w:t>
      </w:r>
    </w:p>
    <w:p>
      <w:pPr>
        <w:snapToGrid w:val="0"/>
        <w:spacing w:line="360" w:lineRule="exact"/>
        <w:ind w:firstLine="420" w:firstLineChars="200"/>
        <w:rPr>
          <w:rFonts w:ascii="宋体" w:hAnsi="宋体" w:cs="宋体"/>
          <w:szCs w:val="21"/>
        </w:rPr>
      </w:pPr>
      <w:r>
        <w:rPr>
          <w:rFonts w:ascii="宋体" w:hAnsi="宋体" w:cs="宋体"/>
          <w:szCs w:val="21"/>
        </w:rPr>
        <w:t>3.筹建：指已经在行政登记管理部门注册登记，正在进行经营或活动前筹建工作的企业（单位）。如研究和论证建设、投产或经营方案，办理征地拆迁，订购设备材料，进行基建等。有些行业的企业，由于行业管理或其他政策性管理的需要必须经过一定时间的试营业才能正式开业，这些处于试营业状态的单位也属于筹建。</w:t>
      </w:r>
    </w:p>
    <w:p>
      <w:pPr>
        <w:snapToGrid w:val="0"/>
        <w:spacing w:line="360" w:lineRule="exact"/>
        <w:ind w:firstLine="420" w:firstLineChars="200"/>
        <w:rPr>
          <w:rFonts w:ascii="宋体" w:hAnsi="宋体" w:cs="宋体"/>
          <w:szCs w:val="21"/>
        </w:rPr>
      </w:pPr>
      <w:r>
        <w:rPr>
          <w:rFonts w:ascii="宋体" w:hAnsi="宋体" w:cs="宋体"/>
          <w:szCs w:val="21"/>
        </w:rPr>
        <w:t>4.当年关闭：指当年因某种原因终止经营或活动的企业（单位）。</w:t>
      </w:r>
    </w:p>
    <w:p>
      <w:pPr>
        <w:snapToGrid w:val="0"/>
        <w:spacing w:line="360" w:lineRule="exact"/>
        <w:ind w:firstLine="420" w:firstLineChars="200"/>
        <w:rPr>
          <w:rFonts w:ascii="宋体" w:hAnsi="宋体" w:cs="宋体"/>
          <w:szCs w:val="21"/>
        </w:rPr>
      </w:pPr>
      <w:r>
        <w:rPr>
          <w:rFonts w:ascii="宋体" w:hAnsi="宋体" w:cs="宋体"/>
          <w:szCs w:val="21"/>
        </w:rPr>
        <w:t>5.当年破产：指当年依照《</w:t>
      </w:r>
      <w:r>
        <w:rPr>
          <w:rFonts w:hint="eastAsia" w:ascii="宋体" w:hAnsi="宋体" w:cs="宋体"/>
          <w:szCs w:val="21"/>
        </w:rPr>
        <w:t>中华人民共和国企业</w:t>
      </w:r>
      <w:r>
        <w:rPr>
          <w:rFonts w:ascii="宋体" w:hAnsi="宋体" w:cs="宋体"/>
          <w:szCs w:val="21"/>
        </w:rPr>
        <w:t>破产法》或相关法律法规宣布破产的企业（单位）。</w:t>
      </w:r>
    </w:p>
    <w:p>
      <w:pPr>
        <w:snapToGrid w:val="0"/>
        <w:spacing w:line="360" w:lineRule="exact"/>
        <w:ind w:firstLine="420" w:firstLineChars="200"/>
        <w:rPr>
          <w:rFonts w:ascii="宋体" w:hAnsi="宋体" w:cs="宋体"/>
          <w:szCs w:val="21"/>
        </w:rPr>
      </w:pPr>
      <w:r>
        <w:rPr>
          <w:rFonts w:ascii="宋体" w:hAnsi="宋体" w:cs="宋体"/>
          <w:szCs w:val="21"/>
        </w:rPr>
        <w:t>6.当年注销：指当年因歇业、宣告破产、自行解散或因其他原因终止活动，在行政登记管理部门主动申请退出的企业（单位）。</w:t>
      </w:r>
    </w:p>
    <w:p>
      <w:pPr>
        <w:snapToGrid w:val="0"/>
        <w:spacing w:line="360" w:lineRule="exact"/>
        <w:ind w:firstLine="420" w:firstLineChars="200"/>
        <w:rPr>
          <w:rFonts w:ascii="宋体" w:hAnsi="宋体" w:cs="宋体"/>
          <w:szCs w:val="21"/>
        </w:rPr>
      </w:pPr>
      <w:r>
        <w:rPr>
          <w:rFonts w:ascii="宋体" w:hAnsi="宋体" w:cs="宋体"/>
          <w:szCs w:val="21"/>
        </w:rPr>
        <w:t>7.当年撤（吊）销：指当年被</w:t>
      </w:r>
      <w:r>
        <w:rPr>
          <w:rFonts w:ascii="宋体" w:hAnsi="宋体" w:cs="宋体"/>
          <w:color w:val="auto"/>
          <w:szCs w:val="21"/>
          <w:u w:val="none"/>
        </w:rPr>
        <w:t>行政登记管理部门</w:t>
      </w:r>
      <w:r>
        <w:rPr>
          <w:rFonts w:ascii="宋体" w:hAnsi="宋体" w:cs="宋体"/>
          <w:szCs w:val="21"/>
        </w:rPr>
        <w:t>根据国家相关法律法规，对其进行吊销营业执照（证书）行政处罚的企业（单位）或撤销登记的企业（单位）。</w:t>
      </w:r>
    </w:p>
    <w:p>
      <w:pPr>
        <w:snapToGrid w:val="0"/>
        <w:spacing w:line="360" w:lineRule="exact"/>
        <w:ind w:firstLine="420" w:firstLineChars="200"/>
        <w:rPr>
          <w:rFonts w:ascii="宋体" w:hAnsi="宋体" w:eastAsia="黑体" w:cs="宋体"/>
          <w:szCs w:val="21"/>
        </w:rPr>
      </w:pPr>
      <w:r>
        <w:rPr>
          <w:rFonts w:ascii="宋体" w:hAnsi="宋体" w:cs="宋体"/>
          <w:szCs w:val="21"/>
        </w:rPr>
        <w:t>8.其他：指上述情况以外的其他企业（单位）。</w:t>
      </w:r>
    </w:p>
    <w:p>
      <w:pPr>
        <w:snapToGrid w:val="0"/>
        <w:spacing w:line="360" w:lineRule="exact"/>
        <w:ind w:firstLine="420" w:firstLineChars="200"/>
        <w:rPr>
          <w:rFonts w:hint="eastAsia" w:ascii="宋体" w:hAnsi="宋体" w:cs="宋体"/>
          <w:szCs w:val="21"/>
        </w:rPr>
      </w:pPr>
      <w:r>
        <w:rPr>
          <w:rFonts w:ascii="宋体" w:hAnsi="宋体" w:eastAsia="黑体" w:cs="宋体"/>
          <w:szCs w:val="21"/>
        </w:rPr>
        <w:t xml:space="preserve">行业类别  </w:t>
      </w:r>
      <w:r>
        <w:rPr>
          <w:rFonts w:ascii="宋体" w:hAnsi="宋体" w:cs="宋体"/>
          <w:szCs w:val="21"/>
        </w:rPr>
        <w:t>指根据其从事的社会经济活动性质对各类单位进行的分类。本项分两部分填写</w:t>
      </w:r>
      <w:r>
        <w:rPr>
          <w:rFonts w:hint="eastAsia" w:ascii="宋体" w:hAnsi="宋体" w:cs="宋体"/>
          <w:szCs w:val="21"/>
        </w:rPr>
        <w:t>。</w:t>
      </w:r>
    </w:p>
    <w:p>
      <w:pPr>
        <w:snapToGrid w:val="0"/>
        <w:spacing w:line="360" w:lineRule="exact"/>
        <w:ind w:firstLine="420" w:firstLineChars="200"/>
        <w:rPr>
          <w:rFonts w:ascii="宋体" w:hAnsi="宋体" w:cs="宋体"/>
          <w:spacing w:val="4"/>
          <w:szCs w:val="21"/>
        </w:rPr>
      </w:pPr>
      <w:r>
        <w:rPr>
          <w:rFonts w:ascii="宋体" w:hAnsi="宋体" w:cs="宋体"/>
          <w:szCs w:val="21"/>
        </w:rPr>
        <w:t>1.</w:t>
      </w:r>
      <w:r>
        <w:rPr>
          <w:rFonts w:ascii="宋体" w:hAnsi="宋体" w:cs="宋体"/>
          <w:spacing w:val="4"/>
          <w:szCs w:val="21"/>
        </w:rPr>
        <w:t>主要业务活动：</w:t>
      </w:r>
      <w:r>
        <w:rPr>
          <w:rFonts w:hint="eastAsia" w:ascii="宋体" w:hAnsi="宋体" w:cs="宋体"/>
          <w:spacing w:val="4"/>
          <w:szCs w:val="21"/>
        </w:rPr>
        <w:t>指企业为完成经营目标而从事的日常业务活动中的主要活动。</w:t>
      </w:r>
      <w:r>
        <w:rPr>
          <w:rFonts w:hint="eastAsia" w:ascii="宋体" w:hAnsi="宋体" w:cs="宋体"/>
          <w:spacing w:val="4"/>
          <w:szCs w:val="21"/>
          <w:u w:val="single"/>
        </w:rPr>
        <w:t>所有单位均填写本项</w:t>
      </w:r>
      <w:r>
        <w:rPr>
          <w:rFonts w:hint="eastAsia" w:ascii="宋体" w:hAnsi="宋体" w:cs="宋体"/>
          <w:spacing w:val="4"/>
          <w:szCs w:val="21"/>
        </w:rPr>
        <w:t>。</w:t>
      </w:r>
    </w:p>
    <w:p>
      <w:pPr>
        <w:snapToGrid w:val="0"/>
        <w:spacing w:line="360" w:lineRule="exact"/>
        <w:ind w:firstLine="420" w:firstLineChars="200"/>
        <w:rPr>
          <w:rFonts w:ascii="宋体" w:hAnsi="宋体" w:cs="宋体"/>
          <w:szCs w:val="21"/>
        </w:rPr>
      </w:pPr>
      <w:r>
        <w:rPr>
          <w:rFonts w:ascii="宋体" w:hAnsi="宋体" w:cs="宋体"/>
          <w:szCs w:val="21"/>
        </w:rPr>
        <w:t>（1）主要业务活动的填报要求</w:t>
      </w:r>
      <w:r>
        <w:rPr>
          <w:rFonts w:hint="eastAsia" w:ascii="宋体" w:hAnsi="宋体" w:cs="宋体"/>
          <w:szCs w:val="21"/>
        </w:rPr>
        <w:t>。</w:t>
      </w:r>
    </w:p>
    <w:p>
      <w:pPr>
        <w:widowControl/>
        <w:snapToGrid w:val="0"/>
        <w:spacing w:line="360" w:lineRule="exact"/>
        <w:ind w:firstLine="420" w:firstLineChars="200"/>
        <w:jc w:val="left"/>
        <w:rPr>
          <w:rFonts w:ascii="宋体" w:hAnsi="宋体" w:cs="宋体"/>
          <w:szCs w:val="21"/>
        </w:rPr>
      </w:pPr>
      <w:r>
        <w:rPr>
          <w:rFonts w:ascii="宋体" w:hAnsi="宋体" w:cs="宋体"/>
          <w:szCs w:val="21"/>
        </w:rPr>
        <w:t>①</w:t>
      </w:r>
      <w:r>
        <w:rPr>
          <w:rFonts w:ascii="宋体" w:hAnsi="宋体" w:cs="宋体"/>
          <w:szCs w:val="21"/>
          <w:lang w:bidi="ar"/>
        </w:rPr>
        <w:t>在确定主要业务活动时</w:t>
      </w:r>
      <w:r>
        <w:rPr>
          <w:rFonts w:hint="eastAsia" w:ascii="宋体" w:hAnsi="宋体" w:cs="宋体"/>
          <w:szCs w:val="21"/>
          <w:lang w:bidi="ar"/>
        </w:rPr>
        <w:t>，应</w:t>
      </w:r>
      <w:r>
        <w:rPr>
          <w:rFonts w:ascii="宋体" w:hAnsi="宋体" w:cs="宋体"/>
          <w:szCs w:val="21"/>
          <w:lang w:bidi="ar"/>
        </w:rPr>
        <w:t>以入户登记的当时被调查对象实际从事的经济活动为依据。</w:t>
      </w:r>
    </w:p>
    <w:p>
      <w:pPr>
        <w:widowControl/>
        <w:snapToGrid w:val="0"/>
        <w:spacing w:line="360" w:lineRule="exact"/>
        <w:ind w:firstLine="420" w:firstLineChars="200"/>
        <w:jc w:val="left"/>
        <w:rPr>
          <w:rFonts w:ascii="宋体" w:hAnsi="宋体" w:cs="宋体"/>
          <w:szCs w:val="21"/>
        </w:rPr>
      </w:pPr>
      <w:r>
        <w:rPr>
          <w:rFonts w:ascii="宋体" w:hAnsi="宋体" w:cs="宋体"/>
          <w:szCs w:val="21"/>
        </w:rPr>
        <w:t>②</w:t>
      </w:r>
      <w:r>
        <w:rPr>
          <w:rFonts w:ascii="宋体" w:hAnsi="宋体" w:cs="宋体"/>
          <w:spacing w:val="4"/>
          <w:szCs w:val="21"/>
          <w:lang w:bidi="ar"/>
        </w:rPr>
        <w:t>当一个单位对外从事多项经济活动时，</w:t>
      </w:r>
      <w:r>
        <w:rPr>
          <w:rFonts w:ascii="宋体" w:hAnsi="宋体" w:cs="宋体"/>
          <w:spacing w:val="4"/>
          <w:szCs w:val="21"/>
        </w:rPr>
        <w:t>应考虑根据其经济活动的主要性和次要性，依次确定三项主要业务活动。理论上按照各项业务活动增加值大小依次确定。如果</w:t>
      </w:r>
      <w:r>
        <w:rPr>
          <w:rFonts w:ascii="宋体" w:hAnsi="宋体" w:cs="宋体"/>
          <w:spacing w:val="4"/>
          <w:szCs w:val="21"/>
          <w:lang w:bidi="ar"/>
        </w:rPr>
        <w:t>无法用增加值确定单位的主要活动，按照</w:t>
      </w:r>
      <w:r>
        <w:rPr>
          <w:rFonts w:ascii="宋体" w:hAnsi="宋体" w:cs="宋体"/>
          <w:spacing w:val="4"/>
          <w:szCs w:val="21"/>
        </w:rPr>
        <w:t>《国民经济行业分类》（GB/T 4754－2017）相关规定，依据销售收入、营业收入或从业人员来确定。</w:t>
      </w:r>
    </w:p>
    <w:p>
      <w:pPr>
        <w:snapToGrid w:val="0"/>
        <w:spacing w:line="360" w:lineRule="exact"/>
        <w:ind w:firstLine="420" w:firstLineChars="200"/>
        <w:rPr>
          <w:rFonts w:ascii="宋体" w:hAnsi="宋体" w:cs="宋体"/>
          <w:szCs w:val="21"/>
        </w:rPr>
      </w:pPr>
      <w:r>
        <w:rPr>
          <w:rFonts w:hint="eastAsia" w:ascii="宋体" w:hAnsi="宋体" w:cs="宋体"/>
          <w:szCs w:val="21"/>
        </w:rPr>
        <w:t>③</w:t>
      </w:r>
      <w:r>
        <w:rPr>
          <w:rFonts w:ascii="宋体" w:hAnsi="宋体" w:cs="宋体"/>
          <w:szCs w:val="21"/>
        </w:rPr>
        <w:t>筹建单位按建成投产（营业）后活动性质填写主要业务活动名称。</w:t>
      </w:r>
    </w:p>
    <w:p>
      <w:pPr>
        <w:widowControl/>
        <w:snapToGrid w:val="0"/>
        <w:spacing w:line="360" w:lineRule="exact"/>
        <w:ind w:firstLine="420" w:firstLineChars="200"/>
        <w:jc w:val="left"/>
        <w:rPr>
          <w:rFonts w:ascii="宋体" w:hAnsi="宋体" w:cs="宋体"/>
          <w:szCs w:val="21"/>
          <w:lang w:bidi="ar"/>
        </w:rPr>
      </w:pPr>
      <w:r>
        <w:rPr>
          <w:rFonts w:hint="eastAsia" w:ascii="宋体" w:hAnsi="宋体" w:cs="宋体"/>
          <w:szCs w:val="21"/>
          <w:lang w:bidi="ar"/>
        </w:rPr>
        <w:t>④</w:t>
      </w:r>
      <w:r>
        <w:rPr>
          <w:rFonts w:ascii="宋体" w:hAnsi="宋体" w:cs="宋体"/>
          <w:szCs w:val="21"/>
          <w:lang w:bidi="ar"/>
        </w:rPr>
        <w:t>主要业务活动</w:t>
      </w:r>
      <w:r>
        <w:rPr>
          <w:rFonts w:hint="eastAsia" w:ascii="宋体" w:hAnsi="宋体" w:cs="宋体"/>
          <w:szCs w:val="21"/>
          <w:lang w:bidi="ar"/>
        </w:rPr>
        <w:t>一般是</w:t>
      </w:r>
      <w:r>
        <w:rPr>
          <w:rFonts w:ascii="宋体" w:hAnsi="宋体" w:cs="宋体"/>
          <w:szCs w:val="21"/>
          <w:lang w:bidi="ar"/>
        </w:rPr>
        <w:t>对外提供产品或服务的活动，</w:t>
      </w:r>
      <w:r>
        <w:rPr>
          <w:rFonts w:hint="eastAsia" w:ascii="宋体" w:hAnsi="宋体" w:cs="宋体"/>
          <w:szCs w:val="21"/>
          <w:lang w:bidi="ar"/>
        </w:rPr>
        <w:t>诸如单位内部的计算机管理、财务管理等</w:t>
      </w:r>
      <w:r>
        <w:rPr>
          <w:rFonts w:ascii="宋体" w:hAnsi="宋体" w:cs="宋体"/>
          <w:szCs w:val="21"/>
          <w:lang w:bidi="ar"/>
        </w:rPr>
        <w:t>保障单位正常运转的辅助活动不是主要业务活动。</w:t>
      </w:r>
    </w:p>
    <w:p>
      <w:pPr>
        <w:widowControl/>
        <w:snapToGrid w:val="0"/>
        <w:spacing w:line="360" w:lineRule="exact"/>
        <w:ind w:firstLine="420" w:firstLineChars="200"/>
        <w:jc w:val="left"/>
        <w:rPr>
          <w:rFonts w:hint="eastAsia" w:ascii="宋体" w:hAnsi="宋体" w:cs="宋体"/>
          <w:szCs w:val="21"/>
          <w:lang w:bidi="ar"/>
        </w:rPr>
      </w:pPr>
      <w:r>
        <w:rPr>
          <w:rFonts w:hint="eastAsia" w:ascii="宋体" w:hAnsi="宋体" w:cs="宋体"/>
          <w:szCs w:val="21"/>
          <w:lang w:bidi="ar"/>
        </w:rPr>
        <w:t>⑤主要业务活动是一段文字描述，应根据不同类型的业务活动特点，分字段逐项填写完整和详细的主要业务活动文字信息。</w:t>
      </w:r>
      <w:r>
        <w:rPr>
          <w:rFonts w:hint="eastAsia" w:ascii="宋体" w:hAnsi="宋体" w:cs="宋体"/>
          <w:szCs w:val="21"/>
        </w:rPr>
        <w:t>一般</w:t>
      </w:r>
      <w:r>
        <w:rPr>
          <w:rFonts w:ascii="宋体" w:hAnsi="宋体" w:cs="宋体"/>
          <w:szCs w:val="21"/>
        </w:rPr>
        <w:t>按照“动词</w:t>
      </w:r>
      <w:r>
        <w:rPr>
          <w:rFonts w:hint="eastAsia" w:ascii="宋体" w:hAnsi="宋体" w:cs="宋体"/>
          <w:szCs w:val="21"/>
        </w:rPr>
        <w:t>＋</w:t>
      </w:r>
      <w:r>
        <w:rPr>
          <w:rFonts w:ascii="宋体" w:hAnsi="宋体" w:cs="宋体"/>
          <w:szCs w:val="21"/>
        </w:rPr>
        <w:t>（修饰性定语）名词”或“（修饰性定语）名词</w:t>
      </w:r>
      <w:r>
        <w:rPr>
          <w:rFonts w:hint="eastAsia" w:ascii="宋体" w:hAnsi="宋体" w:cs="宋体"/>
          <w:szCs w:val="21"/>
        </w:rPr>
        <w:t>＋</w:t>
      </w:r>
      <w:r>
        <w:rPr>
          <w:rFonts w:ascii="宋体" w:hAnsi="宋体" w:cs="宋体"/>
          <w:szCs w:val="21"/>
        </w:rPr>
        <w:t>动词”的形式填写，动词用于描述业务活动的类型，名词用于描述商品或服务的名称</w:t>
      </w:r>
      <w:r>
        <w:rPr>
          <w:rFonts w:hint="eastAsia" w:ascii="宋体" w:hAnsi="宋体" w:cs="宋体"/>
          <w:szCs w:val="21"/>
        </w:rPr>
        <w:t>。</w:t>
      </w:r>
    </w:p>
    <w:p>
      <w:pPr>
        <w:snapToGrid w:val="0"/>
        <w:spacing w:line="360" w:lineRule="exact"/>
        <w:ind w:firstLine="420" w:firstLineChars="200"/>
        <w:rPr>
          <w:rFonts w:ascii="宋体" w:hAnsi="宋体" w:cs="宋体"/>
          <w:szCs w:val="21"/>
        </w:rPr>
      </w:pPr>
      <w:r>
        <w:rPr>
          <w:rFonts w:hint="eastAsia" w:ascii="宋体" w:hAnsi="宋体" w:cs="宋体"/>
          <w:szCs w:val="21"/>
        </w:rPr>
        <w:t>（2）</w:t>
      </w:r>
      <w:r>
        <w:rPr>
          <w:rFonts w:ascii="宋体" w:hAnsi="宋体" w:cs="宋体"/>
          <w:szCs w:val="21"/>
        </w:rPr>
        <w:t>主要业务活动的填报规则</w:t>
      </w:r>
      <w:r>
        <w:rPr>
          <w:rFonts w:hint="eastAsia" w:ascii="宋体" w:hAnsi="宋体" w:cs="宋体"/>
          <w:szCs w:val="21"/>
        </w:rPr>
        <w:t>。</w:t>
      </w:r>
    </w:p>
    <w:p>
      <w:pPr>
        <w:snapToGrid w:val="0"/>
        <w:spacing w:line="360" w:lineRule="exact"/>
        <w:rPr>
          <w:rFonts w:ascii="宋体" w:hAnsi="宋体" w:cs="宋体"/>
          <w:szCs w:val="21"/>
        </w:rPr>
      </w:pPr>
      <w:r>
        <w:rPr>
          <w:rFonts w:hint="eastAsia" w:ascii="宋体" w:hAnsi="宋体" w:cs="宋体"/>
          <w:szCs w:val="21"/>
        </w:rPr>
        <w:t xml:space="preserve">    ①</w:t>
      </w:r>
      <w:r>
        <w:rPr>
          <w:rFonts w:ascii="宋体" w:hAnsi="宋体" w:cs="宋体"/>
          <w:szCs w:val="21"/>
        </w:rPr>
        <w:t>采矿业</w:t>
      </w:r>
    </w:p>
    <w:p>
      <w:pPr>
        <w:snapToGrid w:val="0"/>
        <w:spacing w:line="360" w:lineRule="exact"/>
        <w:ind w:firstLine="420" w:firstLineChars="200"/>
        <w:rPr>
          <w:rFonts w:hint="eastAsia" w:ascii="宋体" w:hAnsi="宋体" w:cs="宋体"/>
          <w:lang w:val="en"/>
        </w:rPr>
      </w:pPr>
      <w:r>
        <w:rPr>
          <w:rFonts w:hint="eastAsia" w:ascii="宋体" w:hAnsi="宋体" w:cs="宋体"/>
          <w:szCs w:val="21"/>
        </w:rPr>
        <w:t>主要包括采矿、采石、采掘，其</w:t>
      </w:r>
      <w:r>
        <w:rPr>
          <w:rFonts w:ascii="宋体" w:hAnsi="宋体" w:cs="宋体"/>
          <w:szCs w:val="21"/>
        </w:rPr>
        <w:t>主要业务活动描述由</w:t>
      </w:r>
      <w:r>
        <w:rPr>
          <w:rFonts w:hint="eastAsia" w:ascii="宋体" w:hAnsi="宋体" w:cs="宋体"/>
          <w:szCs w:val="21"/>
        </w:rPr>
        <w:t>两</w:t>
      </w:r>
      <w:r>
        <w:rPr>
          <w:rFonts w:ascii="宋体" w:hAnsi="宋体" w:cs="宋体"/>
          <w:szCs w:val="21"/>
        </w:rPr>
        <w:t>部分组成</w:t>
      </w:r>
      <w:r>
        <w:rPr>
          <w:rFonts w:hint="eastAsia" w:ascii="宋体" w:hAnsi="宋体" w:cs="宋体"/>
          <w:szCs w:val="21"/>
        </w:rPr>
        <w:t>，</w:t>
      </w:r>
      <w:r>
        <w:rPr>
          <w:rFonts w:ascii="宋体" w:hAnsi="宋体" w:cs="宋体"/>
          <w:szCs w:val="21"/>
        </w:rPr>
        <w:t>一般是“开采对象”+“开采”/“采掘”/“洗选”的格式。</w:t>
      </w:r>
      <w:r>
        <w:rPr>
          <w:rFonts w:hint="eastAsia" w:ascii="宋体" w:hAnsi="宋体" w:cs="宋体"/>
          <w:szCs w:val="21"/>
          <w:lang w:val="en"/>
        </w:rPr>
        <w:t>在第一部分填写明确的开采对象，第二部分填写动词关键字。如“铝矿采掘”，而不能填写“矿山采掘”。</w:t>
      </w:r>
    </w:p>
    <w:p>
      <w:pPr>
        <w:snapToGrid w:val="0"/>
        <w:spacing w:line="360" w:lineRule="exact"/>
        <w:ind w:firstLine="420" w:firstLineChars="200"/>
        <w:rPr>
          <w:rFonts w:ascii="宋体" w:hAnsi="宋体" w:cs="宋体"/>
          <w:szCs w:val="21"/>
        </w:rPr>
      </w:pPr>
      <w:r>
        <w:rPr>
          <w:rFonts w:ascii="宋体" w:hAnsi="宋体" w:cs="宋体"/>
          <w:szCs w:val="21"/>
        </w:rPr>
        <w:t>从事此类活动的被调查对象具有较强的地域特点，在个别省份比较多，有些省份可能很少或没有。</w:t>
      </w:r>
    </w:p>
    <w:p>
      <w:pPr>
        <w:snapToGrid w:val="0"/>
        <w:spacing w:line="360" w:lineRule="exact"/>
        <w:ind w:firstLine="420" w:firstLineChars="200"/>
        <w:rPr>
          <w:rFonts w:ascii="宋体" w:hAnsi="宋体" w:cs="宋体"/>
          <w:szCs w:val="21"/>
        </w:rPr>
      </w:pPr>
      <w:r>
        <w:rPr>
          <w:rFonts w:ascii="宋体" w:hAnsi="宋体" w:cs="宋体"/>
          <w:szCs w:val="21"/>
        </w:rPr>
        <w:t>开采过程中的排水、泵吸、试井、试钻、井架的建立修复和拆除、矿山开采过程中对掘进巷道的支撑搭建等辅助性服务活动，请在</w:t>
      </w:r>
      <w:r>
        <w:rPr>
          <w:rFonts w:hint="eastAsia" w:ascii="宋体" w:hAnsi="宋体" w:cs="宋体"/>
          <w:szCs w:val="21"/>
        </w:rPr>
        <w:t>第二部分</w:t>
      </w:r>
      <w:r>
        <w:rPr>
          <w:rFonts w:ascii="宋体" w:hAnsi="宋体" w:cs="宋体"/>
          <w:szCs w:val="21"/>
        </w:rPr>
        <w:t>填写“开采辅助性服务”。</w:t>
      </w:r>
    </w:p>
    <w:p>
      <w:pPr>
        <w:snapToGrid w:val="0"/>
        <w:spacing w:line="360" w:lineRule="exact"/>
        <w:ind w:firstLine="420" w:firstLineChars="200"/>
        <w:rPr>
          <w:rFonts w:ascii="宋体" w:hAnsi="宋体" w:cs="宋体"/>
          <w:szCs w:val="21"/>
        </w:rPr>
      </w:pPr>
      <w:r>
        <w:rPr>
          <w:rFonts w:hint="eastAsia" w:ascii="宋体" w:hAnsi="宋体" w:cs="宋体"/>
          <w:szCs w:val="21"/>
        </w:rPr>
        <w:t>②</w:t>
      </w:r>
      <w:r>
        <w:rPr>
          <w:rFonts w:ascii="宋体" w:hAnsi="宋体" w:cs="宋体"/>
          <w:szCs w:val="21"/>
        </w:rPr>
        <w:t>制造业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主要包括产品的制造和加工，其</w:t>
      </w:r>
      <w:r>
        <w:rPr>
          <w:rFonts w:ascii="宋体" w:hAnsi="宋体" w:cs="宋体"/>
          <w:szCs w:val="21"/>
        </w:rPr>
        <w:t>主要业务活动描述由</w:t>
      </w:r>
      <w:r>
        <w:rPr>
          <w:rFonts w:hint="eastAsia" w:ascii="宋体" w:hAnsi="宋体" w:cs="宋体"/>
          <w:szCs w:val="21"/>
        </w:rPr>
        <w:t>三</w:t>
      </w:r>
      <w:r>
        <w:rPr>
          <w:rFonts w:ascii="宋体" w:hAnsi="宋体" w:cs="宋体"/>
          <w:szCs w:val="21"/>
        </w:rPr>
        <w:t>部分组成，一般是“产品属性”+“产品名称”+“制造”/“加工”的格式。产品的属性信息要尽可能完备和丰富，以便于基层普查人员后期编制行业代码时综合参考。</w:t>
      </w:r>
      <w:r>
        <w:rPr>
          <w:rFonts w:hint="eastAsia" w:ascii="宋体" w:hAnsi="宋体" w:cs="宋体"/>
          <w:szCs w:val="21"/>
        </w:rPr>
        <w:t>如“机织背心服装加工”，而不能填写“服装加工”。</w:t>
      </w:r>
    </w:p>
    <w:p>
      <w:pPr>
        <w:snapToGrid w:val="0"/>
        <w:spacing w:line="360" w:lineRule="exact"/>
        <w:ind w:firstLine="420" w:firstLineChars="200"/>
        <w:rPr>
          <w:rFonts w:ascii="宋体" w:hAnsi="宋体" w:cs="宋体"/>
          <w:szCs w:val="21"/>
        </w:rPr>
      </w:pPr>
      <w:r>
        <w:rPr>
          <w:rFonts w:ascii="宋体" w:hAnsi="宋体" w:cs="宋体"/>
          <w:szCs w:val="21"/>
        </w:rPr>
        <w:t>填写产品名称请尽量使用正式中文产品名称，不要使用英文字母、字母缩写、阿拉伯数字等单位自定义的产品名称和代码。</w:t>
      </w:r>
    </w:p>
    <w:p>
      <w:pPr>
        <w:snapToGrid w:val="0"/>
        <w:spacing w:line="360" w:lineRule="exact"/>
        <w:ind w:firstLine="420" w:firstLineChars="200"/>
        <w:rPr>
          <w:rFonts w:ascii="宋体" w:hAnsi="宋体" w:cs="宋体"/>
          <w:szCs w:val="21"/>
        </w:rPr>
      </w:pPr>
      <w:r>
        <w:rPr>
          <w:rFonts w:ascii="宋体" w:hAnsi="宋体" w:cs="宋体"/>
          <w:szCs w:val="21"/>
        </w:rPr>
        <w:t>汽车制造，请写明是整车制造还是改装车制造，或是汽车车身制造，同时，请写明汽车使用的能源类型。</w:t>
      </w:r>
    </w:p>
    <w:p>
      <w:pPr>
        <w:snapToGrid w:val="0"/>
        <w:spacing w:line="360" w:lineRule="exact"/>
        <w:ind w:firstLine="420" w:firstLineChars="200"/>
        <w:rPr>
          <w:rFonts w:ascii="宋体" w:hAnsi="宋体" w:cs="宋体"/>
          <w:szCs w:val="21"/>
        </w:rPr>
      </w:pPr>
      <w:r>
        <w:rPr>
          <w:rFonts w:ascii="宋体" w:hAnsi="宋体" w:cs="宋体"/>
          <w:szCs w:val="21"/>
        </w:rPr>
        <w:t>机械设备制造、金属制品制造、塑料和橡胶制品制造，请写明产品的具体用途。</w:t>
      </w:r>
    </w:p>
    <w:p>
      <w:pPr>
        <w:snapToGrid w:val="0"/>
        <w:spacing w:line="360" w:lineRule="exact"/>
        <w:ind w:firstLine="420" w:firstLineChars="200"/>
        <w:rPr>
          <w:rFonts w:ascii="宋体" w:hAnsi="宋体" w:cs="宋体"/>
          <w:szCs w:val="21"/>
        </w:rPr>
      </w:pPr>
      <w:r>
        <w:rPr>
          <w:rFonts w:hint="eastAsia" w:ascii="宋体" w:hAnsi="宋体" w:cs="宋体"/>
          <w:szCs w:val="21"/>
        </w:rPr>
        <w:t>③</w:t>
      </w:r>
      <w:r>
        <w:rPr>
          <w:rFonts w:ascii="宋体" w:hAnsi="宋体" w:cs="宋体"/>
          <w:szCs w:val="21"/>
        </w:rPr>
        <w:t>建筑业</w:t>
      </w:r>
    </w:p>
    <w:p>
      <w:pPr>
        <w:snapToGrid w:val="0"/>
        <w:spacing w:line="360" w:lineRule="exact"/>
        <w:ind w:firstLine="420" w:firstLineChars="200"/>
        <w:rPr>
          <w:rFonts w:ascii="宋体" w:hAnsi="宋体" w:cs="宋体"/>
          <w:szCs w:val="21"/>
        </w:rPr>
      </w:pPr>
      <w:r>
        <w:rPr>
          <w:rFonts w:hint="eastAsia" w:ascii="宋体" w:hAnsi="宋体" w:cs="宋体"/>
          <w:szCs w:val="21"/>
        </w:rPr>
        <w:t>主要包括房屋建筑、土木工程、建筑装饰等，其</w:t>
      </w:r>
      <w:r>
        <w:rPr>
          <w:rFonts w:ascii="宋体" w:hAnsi="宋体" w:cs="宋体"/>
          <w:szCs w:val="21"/>
        </w:rPr>
        <w:t>主要业务活动描述由</w:t>
      </w:r>
      <w:r>
        <w:rPr>
          <w:rFonts w:hint="eastAsia" w:ascii="宋体" w:hAnsi="宋体" w:cs="宋体"/>
          <w:szCs w:val="21"/>
        </w:rPr>
        <w:t>两</w:t>
      </w:r>
      <w:r>
        <w:rPr>
          <w:rFonts w:ascii="宋体" w:hAnsi="宋体" w:cs="宋体"/>
          <w:szCs w:val="21"/>
        </w:rPr>
        <w:t>部分组成，一般是“建筑物类型”+“建筑”/“施工”/“安装”/“装修”的格式。</w:t>
      </w:r>
      <w:r>
        <w:rPr>
          <w:rFonts w:hint="eastAsia" w:ascii="宋体" w:hAnsi="宋体" w:cs="宋体"/>
          <w:szCs w:val="21"/>
        </w:rPr>
        <w:t>如“住宅装修”，而不能填写“装修装潢设计”。</w:t>
      </w:r>
    </w:p>
    <w:p>
      <w:pPr>
        <w:snapToGrid w:val="0"/>
        <w:spacing w:line="360" w:lineRule="exact"/>
        <w:ind w:firstLine="420" w:firstLineChars="200"/>
        <w:rPr>
          <w:rFonts w:ascii="宋体" w:hAnsi="宋体" w:cs="宋体"/>
          <w:szCs w:val="21"/>
        </w:rPr>
      </w:pPr>
      <w:r>
        <w:rPr>
          <w:rFonts w:ascii="宋体" w:hAnsi="宋体" w:cs="宋体"/>
          <w:szCs w:val="21"/>
        </w:rPr>
        <w:t>建筑物拆除、场地准备、施工设备提供等，请按实际情况填写。</w:t>
      </w:r>
    </w:p>
    <w:p>
      <w:pPr>
        <w:snapToGrid w:val="0"/>
        <w:spacing w:line="360" w:lineRule="exact"/>
        <w:ind w:firstLine="420" w:firstLineChars="200"/>
        <w:rPr>
          <w:rFonts w:ascii="宋体" w:hAnsi="宋体" w:cs="宋体"/>
          <w:szCs w:val="21"/>
        </w:rPr>
      </w:pPr>
      <w:r>
        <w:rPr>
          <w:rFonts w:hint="eastAsia" w:ascii="宋体" w:hAnsi="宋体" w:cs="宋体"/>
          <w:szCs w:val="21"/>
        </w:rPr>
        <w:t>④</w:t>
      </w:r>
      <w:r>
        <w:rPr>
          <w:rFonts w:ascii="宋体" w:hAnsi="宋体" w:cs="宋体"/>
          <w:szCs w:val="21"/>
        </w:rPr>
        <w:t>房地产</w:t>
      </w:r>
    </w:p>
    <w:p>
      <w:pPr>
        <w:snapToGrid w:val="0"/>
        <w:spacing w:line="360" w:lineRule="exact"/>
        <w:ind w:firstLine="420" w:firstLineChars="200"/>
        <w:rPr>
          <w:rFonts w:hint="eastAsia" w:ascii="宋体" w:hAnsi="宋体" w:cs="宋体"/>
          <w:szCs w:val="21"/>
        </w:rPr>
      </w:pPr>
      <w:r>
        <w:rPr>
          <w:rFonts w:hint="eastAsia" w:ascii="宋体" w:hAnsi="宋体" w:cs="宋体"/>
          <w:szCs w:val="21"/>
        </w:rPr>
        <w:t>主要包括房地产开发经营，其主要业务活动</w:t>
      </w:r>
      <w:r>
        <w:rPr>
          <w:rFonts w:ascii="宋体" w:hAnsi="宋体" w:cs="宋体"/>
          <w:szCs w:val="21"/>
        </w:rPr>
        <w:t>描述由</w:t>
      </w:r>
      <w:r>
        <w:rPr>
          <w:rFonts w:hint="eastAsia" w:ascii="宋体" w:hAnsi="宋体" w:cs="宋体"/>
          <w:szCs w:val="21"/>
        </w:rPr>
        <w:t>两</w:t>
      </w:r>
      <w:r>
        <w:rPr>
          <w:rFonts w:ascii="宋体" w:hAnsi="宋体" w:cs="宋体"/>
          <w:szCs w:val="21"/>
        </w:rPr>
        <w:t>部分组成，一般是</w:t>
      </w:r>
      <w:r>
        <w:rPr>
          <w:rFonts w:hint="eastAsia" w:ascii="宋体" w:hAnsi="宋体" w:cs="宋体"/>
          <w:szCs w:val="21"/>
        </w:rPr>
        <w:t>“</w:t>
      </w:r>
      <w:r>
        <w:rPr>
          <w:rFonts w:ascii="宋体" w:hAnsi="宋体" w:cs="宋体"/>
          <w:szCs w:val="21"/>
        </w:rPr>
        <w:t>房地产</w:t>
      </w:r>
      <w:r>
        <w:rPr>
          <w:rFonts w:hint="eastAsia" w:ascii="宋体" w:hAnsi="宋体" w:cs="宋体"/>
          <w:szCs w:val="21"/>
        </w:rPr>
        <w:t>”</w:t>
      </w:r>
      <w:r>
        <w:rPr>
          <w:rFonts w:ascii="宋体" w:hAnsi="宋体" w:cs="宋体"/>
          <w:szCs w:val="21"/>
        </w:rPr>
        <w:t>/“房屋（住宅、办公楼等）”+“开发”/“建设”/“销售”/“开发项目转让”/“开发经营”等的格式。</w:t>
      </w:r>
    </w:p>
    <w:p>
      <w:pPr>
        <w:snapToGrid w:val="0"/>
        <w:spacing w:line="360" w:lineRule="exact"/>
        <w:ind w:firstLine="420" w:firstLineChars="200"/>
        <w:rPr>
          <w:rFonts w:ascii="宋体" w:hAnsi="宋体" w:cs="宋体"/>
          <w:szCs w:val="21"/>
        </w:rPr>
      </w:pPr>
      <w:r>
        <w:rPr>
          <w:rFonts w:ascii="宋体" w:hAnsi="宋体" w:cs="宋体"/>
          <w:szCs w:val="21"/>
        </w:rPr>
        <w:t>应填写企业具体从事的活动，</w:t>
      </w:r>
      <w:r>
        <w:rPr>
          <w:rFonts w:hint="eastAsia" w:ascii="宋体" w:hAnsi="宋体" w:cs="宋体"/>
          <w:szCs w:val="21"/>
        </w:rPr>
        <w:t>如“房地产开发经营”“房地产中介服务”，而</w:t>
      </w:r>
      <w:r>
        <w:rPr>
          <w:rFonts w:ascii="宋体" w:hAnsi="宋体" w:cs="宋体"/>
          <w:szCs w:val="21"/>
        </w:rPr>
        <w:t>不能仅填“房地产”。</w:t>
      </w:r>
    </w:p>
    <w:p>
      <w:pPr>
        <w:snapToGrid w:val="0"/>
        <w:spacing w:line="360" w:lineRule="exact"/>
        <w:ind w:firstLine="420" w:firstLineChars="200"/>
        <w:rPr>
          <w:rFonts w:ascii="宋体" w:hAnsi="宋体" w:cs="宋体"/>
          <w:szCs w:val="21"/>
        </w:rPr>
      </w:pPr>
      <w:r>
        <w:rPr>
          <w:rFonts w:ascii="宋体" w:hAnsi="宋体" w:cs="宋体"/>
          <w:szCs w:val="21"/>
        </w:rPr>
        <w:t>企业进行的房屋开发，以及转让房地产开发项目或者销售房屋等活动，可填写“房地产开发”“房地产建设”“房地产销售”“房地产开发项目转让”“房地产开发经营”或“房屋（住宅、办公楼等）开发”。</w:t>
      </w:r>
    </w:p>
    <w:p>
      <w:pPr>
        <w:snapToGrid w:val="0"/>
        <w:spacing w:line="360" w:lineRule="exact"/>
        <w:ind w:firstLine="420" w:firstLineChars="200"/>
        <w:rPr>
          <w:rFonts w:ascii="宋体" w:hAnsi="宋体" w:cs="宋体"/>
          <w:szCs w:val="21"/>
        </w:rPr>
      </w:pPr>
      <w:r>
        <w:rPr>
          <w:rFonts w:ascii="宋体" w:hAnsi="宋体" w:cs="宋体"/>
          <w:szCs w:val="21"/>
        </w:rPr>
        <w:t>房地产销售仅指销售本企业开发的房屋，不包括房地产中介活动。</w:t>
      </w:r>
    </w:p>
    <w:p>
      <w:pPr>
        <w:snapToGrid w:val="0"/>
        <w:spacing w:line="360" w:lineRule="exact"/>
        <w:ind w:firstLine="420" w:firstLineChars="200"/>
        <w:rPr>
          <w:rFonts w:ascii="宋体" w:hAnsi="宋体" w:cs="宋体"/>
          <w:szCs w:val="21"/>
        </w:rPr>
      </w:pPr>
      <w:r>
        <w:rPr>
          <w:rFonts w:ascii="宋体" w:hAnsi="宋体" w:cs="宋体"/>
          <w:szCs w:val="21"/>
        </w:rPr>
        <w:t>房地产开发经营不包括房地产物业、中介、租赁、投资、维修（护）、咨询、评估、经纪、出租、管理等活动。</w:t>
      </w:r>
    </w:p>
    <w:p>
      <w:pPr>
        <w:snapToGrid w:val="0"/>
        <w:spacing w:line="360" w:lineRule="exact"/>
        <w:ind w:firstLine="420" w:firstLineChars="200"/>
        <w:rPr>
          <w:rFonts w:ascii="宋体" w:hAnsi="宋体" w:cs="宋体"/>
          <w:szCs w:val="21"/>
        </w:rPr>
      </w:pPr>
      <w:r>
        <w:rPr>
          <w:rFonts w:hint="eastAsia" w:ascii="宋体" w:hAnsi="宋体" w:cs="宋体"/>
          <w:szCs w:val="21"/>
        </w:rPr>
        <w:t>⑤</w:t>
      </w:r>
      <w:r>
        <w:rPr>
          <w:rFonts w:ascii="宋体" w:hAnsi="宋体" w:cs="宋体"/>
          <w:szCs w:val="21"/>
        </w:rPr>
        <w:t>修理活动</w:t>
      </w:r>
    </w:p>
    <w:p>
      <w:pPr>
        <w:snapToGrid w:val="0"/>
        <w:spacing w:line="360" w:lineRule="exact"/>
        <w:ind w:firstLine="420" w:firstLineChars="200"/>
        <w:rPr>
          <w:rFonts w:ascii="宋体" w:hAnsi="宋体" w:cs="宋体"/>
          <w:szCs w:val="21"/>
        </w:rPr>
      </w:pPr>
      <w:r>
        <w:rPr>
          <w:rFonts w:ascii="宋体" w:hAnsi="宋体" w:cs="宋体"/>
          <w:szCs w:val="21"/>
        </w:rPr>
        <w:t>当被调查对象从事修理活动，要写明修理的对象，例如：</w:t>
      </w:r>
      <w:r>
        <w:rPr>
          <w:rFonts w:hint="eastAsia" w:ascii="宋体" w:hAnsi="宋体" w:cs="宋体"/>
          <w:szCs w:val="21"/>
        </w:rPr>
        <w:t>“</w:t>
      </w:r>
      <w:r>
        <w:rPr>
          <w:rFonts w:ascii="宋体" w:hAnsi="宋体" w:cs="宋体"/>
          <w:szCs w:val="21"/>
        </w:rPr>
        <w:t>通用设备修理</w:t>
      </w:r>
      <w:r>
        <w:rPr>
          <w:rFonts w:hint="eastAsia" w:ascii="宋体" w:hAnsi="宋体" w:cs="宋体"/>
          <w:szCs w:val="21"/>
        </w:rPr>
        <w:t>”</w:t>
      </w:r>
      <w:r>
        <w:rPr>
          <w:rFonts w:ascii="宋体" w:hAnsi="宋体" w:cs="宋体"/>
          <w:szCs w:val="21"/>
        </w:rPr>
        <w:t>等。</w:t>
      </w:r>
    </w:p>
    <w:p>
      <w:pPr>
        <w:snapToGrid w:val="0"/>
        <w:spacing w:line="360" w:lineRule="exact"/>
        <w:ind w:firstLine="420" w:firstLineChars="200"/>
        <w:rPr>
          <w:rFonts w:ascii="宋体" w:hAnsi="宋体" w:cs="宋体"/>
          <w:szCs w:val="21"/>
        </w:rPr>
      </w:pPr>
      <w:r>
        <w:rPr>
          <w:rFonts w:ascii="宋体" w:hAnsi="宋体" w:cs="宋体"/>
          <w:szCs w:val="21"/>
        </w:rPr>
        <w:t>汽车零售和修理一体化活动（汽车4S店)，应写明“汽车修理和零售”。</w:t>
      </w:r>
    </w:p>
    <w:p>
      <w:pPr>
        <w:snapToGrid w:val="0"/>
        <w:spacing w:line="360" w:lineRule="exact"/>
        <w:ind w:firstLine="420" w:firstLineChars="200"/>
        <w:rPr>
          <w:rFonts w:ascii="宋体" w:hAnsi="宋体" w:cs="宋体"/>
          <w:szCs w:val="21"/>
        </w:rPr>
      </w:pPr>
      <w:r>
        <w:rPr>
          <w:rFonts w:ascii="宋体" w:hAnsi="宋体" w:cs="宋体"/>
          <w:szCs w:val="21"/>
        </w:rPr>
        <w:t>日常修理活动，应写明修理的具体对象，例如计算机修理、电子产品修理等。</w:t>
      </w:r>
    </w:p>
    <w:p>
      <w:pPr>
        <w:snapToGrid w:val="0"/>
        <w:spacing w:line="360" w:lineRule="exact"/>
        <w:ind w:firstLine="420" w:firstLineChars="200"/>
        <w:rPr>
          <w:rFonts w:ascii="宋体" w:hAnsi="宋体" w:cs="宋体"/>
          <w:szCs w:val="21"/>
        </w:rPr>
      </w:pPr>
      <w:r>
        <w:rPr>
          <w:rFonts w:hint="eastAsia" w:ascii="宋体" w:hAnsi="宋体" w:cs="宋体"/>
          <w:szCs w:val="21"/>
        </w:rPr>
        <w:t>⑥</w:t>
      </w:r>
      <w:r>
        <w:rPr>
          <w:rFonts w:ascii="宋体" w:hAnsi="宋体" w:cs="宋体"/>
          <w:szCs w:val="21"/>
        </w:rPr>
        <w:t>电力、热力、燃气和水生产与供应</w:t>
      </w:r>
    </w:p>
    <w:p>
      <w:pPr>
        <w:snapToGrid w:val="0"/>
        <w:spacing w:line="360" w:lineRule="exact"/>
        <w:ind w:firstLine="420" w:firstLineChars="200"/>
        <w:rPr>
          <w:rFonts w:hint="eastAsia" w:ascii="宋体" w:hAnsi="宋体" w:cs="宋体"/>
          <w:szCs w:val="21"/>
        </w:rPr>
      </w:pPr>
      <w:r>
        <w:rPr>
          <w:rFonts w:ascii="宋体" w:hAnsi="宋体" w:cs="宋体"/>
          <w:szCs w:val="21"/>
        </w:rPr>
        <w:t>电力、热力、燃气和水生产与供应相关业务活动，要写明能源类型，包括火力、水力、核力、太阳能等，还要写明是“生产”还是“供应”、或者是“生产供应”。</w:t>
      </w:r>
      <w:r>
        <w:rPr>
          <w:rFonts w:hint="eastAsia" w:ascii="宋体" w:hAnsi="宋体" w:cs="宋体"/>
          <w:szCs w:val="21"/>
        </w:rPr>
        <w:t>如“天然气生产供应”。</w:t>
      </w:r>
    </w:p>
    <w:p>
      <w:pPr>
        <w:snapToGrid w:val="0"/>
        <w:spacing w:line="360" w:lineRule="exact"/>
        <w:ind w:firstLine="420" w:firstLineChars="200"/>
        <w:rPr>
          <w:rFonts w:ascii="宋体" w:hAnsi="宋体" w:cs="宋体"/>
          <w:szCs w:val="21"/>
        </w:rPr>
      </w:pPr>
      <w:r>
        <w:rPr>
          <w:rFonts w:hint="eastAsia" w:ascii="宋体" w:hAnsi="宋体" w:cs="宋体"/>
          <w:szCs w:val="21"/>
        </w:rPr>
        <w:t>⑦</w:t>
      </w:r>
      <w:r>
        <w:rPr>
          <w:rFonts w:ascii="宋体" w:hAnsi="宋体" w:cs="宋体"/>
          <w:szCs w:val="21"/>
        </w:rPr>
        <w:t>批发和零售</w:t>
      </w:r>
    </w:p>
    <w:p>
      <w:pPr>
        <w:snapToGrid w:val="0"/>
        <w:spacing w:line="360" w:lineRule="exact"/>
        <w:ind w:firstLine="420" w:firstLineChars="200"/>
        <w:rPr>
          <w:rFonts w:ascii="宋体" w:hAnsi="宋体" w:cs="宋体"/>
          <w:szCs w:val="21"/>
        </w:rPr>
      </w:pPr>
      <w:r>
        <w:rPr>
          <w:rFonts w:ascii="宋体" w:hAnsi="宋体" w:cs="宋体"/>
          <w:szCs w:val="21"/>
        </w:rPr>
        <w:t>主要业务活动描述由</w:t>
      </w:r>
      <w:r>
        <w:rPr>
          <w:rFonts w:hint="eastAsia" w:ascii="宋体" w:hAnsi="宋体" w:cs="宋体"/>
          <w:szCs w:val="21"/>
        </w:rPr>
        <w:t>两</w:t>
      </w:r>
      <w:r>
        <w:rPr>
          <w:rFonts w:ascii="宋体" w:hAnsi="宋体" w:cs="宋体"/>
          <w:szCs w:val="21"/>
        </w:rPr>
        <w:t>部分组成，一般是“销售商品的名称”+“活动类型”。</w:t>
      </w:r>
      <w:r>
        <w:rPr>
          <w:rFonts w:hint="eastAsia" w:ascii="宋体" w:hAnsi="宋体" w:cs="宋体"/>
          <w:szCs w:val="21"/>
        </w:rPr>
        <w:t>要确定活动类型，即判断贸易活动是批发还是零售。如“五金制品批发”，不能填写“综合销售”。</w:t>
      </w:r>
    </w:p>
    <w:p>
      <w:pPr>
        <w:snapToGrid w:val="0"/>
        <w:spacing w:line="360" w:lineRule="exact"/>
        <w:ind w:firstLine="420" w:firstLineChars="200"/>
        <w:rPr>
          <w:rFonts w:ascii="宋体" w:hAnsi="宋体" w:cs="宋体"/>
          <w:szCs w:val="21"/>
        </w:rPr>
      </w:pPr>
      <w:r>
        <w:rPr>
          <w:rFonts w:ascii="宋体" w:hAnsi="宋体" w:cs="宋体"/>
          <w:szCs w:val="21"/>
        </w:rPr>
        <w:t>自己不生产，通过下订单将生产活动外包</w:t>
      </w:r>
      <w:r>
        <w:rPr>
          <w:rFonts w:hint="eastAsia" w:ascii="宋体" w:hAnsi="宋体" w:cs="宋体"/>
          <w:szCs w:val="21"/>
        </w:rPr>
        <w:t>（不提供原材料）</w:t>
      </w:r>
      <w:r>
        <w:rPr>
          <w:rFonts w:ascii="宋体" w:hAnsi="宋体" w:cs="宋体"/>
          <w:szCs w:val="21"/>
        </w:rPr>
        <w:t>，自己只负责销售的被调查对象，活动类型填写“批发”。</w:t>
      </w:r>
    </w:p>
    <w:p>
      <w:pPr>
        <w:snapToGrid w:val="0"/>
        <w:spacing w:line="360" w:lineRule="exact"/>
        <w:ind w:firstLine="420" w:firstLineChars="200"/>
        <w:rPr>
          <w:rFonts w:ascii="宋体" w:hAnsi="宋体" w:cs="宋体"/>
          <w:szCs w:val="21"/>
        </w:rPr>
      </w:pPr>
      <w:r>
        <w:rPr>
          <w:rFonts w:ascii="宋体" w:hAnsi="宋体" w:cs="宋体"/>
          <w:szCs w:val="21"/>
        </w:rPr>
        <w:t>零售可现成食用的餐饮品等，活动类型填写“零售”。</w:t>
      </w:r>
    </w:p>
    <w:p>
      <w:pPr>
        <w:snapToGrid w:val="0"/>
        <w:spacing w:line="360" w:lineRule="exact"/>
        <w:ind w:firstLine="420" w:firstLineChars="200"/>
        <w:rPr>
          <w:rFonts w:ascii="宋体" w:hAnsi="宋体" w:cs="宋体"/>
          <w:szCs w:val="21"/>
        </w:rPr>
      </w:pPr>
      <w:r>
        <w:rPr>
          <w:rFonts w:ascii="宋体" w:hAnsi="宋体" w:cs="宋体"/>
          <w:szCs w:val="21"/>
        </w:rPr>
        <w:t>零售多种商品时，请填写包含“百货商场、超市或便利店”字样的描述。</w:t>
      </w:r>
    </w:p>
    <w:p>
      <w:pPr>
        <w:snapToGrid w:val="0"/>
        <w:spacing w:line="360" w:lineRule="exact"/>
        <w:ind w:firstLine="420" w:firstLineChars="200"/>
        <w:rPr>
          <w:rFonts w:ascii="宋体" w:hAnsi="宋体" w:cs="宋体"/>
          <w:szCs w:val="21"/>
        </w:rPr>
      </w:pPr>
      <w:r>
        <w:rPr>
          <w:rFonts w:hint="eastAsia" w:ascii="宋体" w:hAnsi="宋体" w:cs="宋体"/>
          <w:szCs w:val="21"/>
        </w:rPr>
        <w:t>⑧</w:t>
      </w:r>
      <w:r>
        <w:rPr>
          <w:rFonts w:ascii="宋体" w:hAnsi="宋体" w:cs="宋体"/>
          <w:szCs w:val="21"/>
        </w:rPr>
        <w:t>住宿和餐饮</w:t>
      </w:r>
    </w:p>
    <w:p>
      <w:pPr>
        <w:snapToGrid w:val="0"/>
        <w:spacing w:line="360" w:lineRule="exact"/>
        <w:ind w:firstLine="420" w:firstLineChars="200"/>
        <w:rPr>
          <w:rFonts w:ascii="宋体" w:hAnsi="宋体" w:cs="宋体"/>
          <w:szCs w:val="21"/>
        </w:rPr>
      </w:pPr>
      <w:r>
        <w:rPr>
          <w:rFonts w:ascii="宋体" w:hAnsi="宋体" w:cs="宋体"/>
          <w:szCs w:val="21"/>
        </w:rPr>
        <w:t>主要业务活动由</w:t>
      </w:r>
      <w:r>
        <w:rPr>
          <w:rFonts w:hint="eastAsia" w:ascii="宋体" w:hAnsi="宋体" w:cs="宋体"/>
          <w:szCs w:val="21"/>
        </w:rPr>
        <w:t>两</w:t>
      </w:r>
      <w:r>
        <w:rPr>
          <w:rFonts w:ascii="宋体" w:hAnsi="宋体" w:cs="宋体"/>
          <w:szCs w:val="21"/>
        </w:rPr>
        <w:t>部分组成，一般是“业务内容”+“经营”。</w:t>
      </w:r>
      <w:r>
        <w:rPr>
          <w:rFonts w:hint="eastAsia" w:ascii="宋体" w:hAnsi="宋体" w:cs="宋体"/>
          <w:szCs w:val="21"/>
        </w:rPr>
        <w:t>如“连锁酒店经营”。</w:t>
      </w:r>
    </w:p>
    <w:p>
      <w:pPr>
        <w:snapToGrid w:val="0"/>
        <w:spacing w:line="360" w:lineRule="exact"/>
        <w:ind w:firstLine="420" w:firstLineChars="200"/>
        <w:rPr>
          <w:rFonts w:ascii="宋体" w:hAnsi="宋体" w:cs="宋体"/>
          <w:szCs w:val="21"/>
        </w:rPr>
      </w:pPr>
      <w:r>
        <w:rPr>
          <w:rFonts w:ascii="宋体" w:hAnsi="宋体" w:cs="宋体"/>
          <w:szCs w:val="21"/>
        </w:rPr>
        <w:t>提供餐饮品制作，并将餐饮品送至顾客处（无现场就餐地点），</w:t>
      </w:r>
      <w:r>
        <w:rPr>
          <w:rFonts w:hint="eastAsia" w:ascii="宋体" w:hAnsi="宋体" w:cs="宋体"/>
          <w:szCs w:val="21"/>
        </w:rPr>
        <w:t>“业务内容”</w:t>
      </w:r>
      <w:r>
        <w:rPr>
          <w:rFonts w:ascii="宋体" w:hAnsi="宋体" w:cs="宋体"/>
          <w:szCs w:val="21"/>
        </w:rPr>
        <w:t>填写为“</w:t>
      </w:r>
      <w:r>
        <w:rPr>
          <w:rFonts w:hint="eastAsia" w:ascii="宋体" w:hAnsi="宋体" w:cs="宋体"/>
          <w:szCs w:val="21"/>
        </w:rPr>
        <w:t>某某</w:t>
      </w:r>
      <w:r>
        <w:rPr>
          <w:rFonts w:ascii="宋体" w:hAnsi="宋体" w:cs="宋体"/>
          <w:szCs w:val="21"/>
        </w:rPr>
        <w:t>外卖”。</w:t>
      </w:r>
    </w:p>
    <w:p>
      <w:pPr>
        <w:snapToGrid w:val="0"/>
        <w:spacing w:line="360" w:lineRule="exact"/>
        <w:ind w:firstLine="420" w:firstLineChars="200"/>
        <w:rPr>
          <w:rFonts w:ascii="宋体" w:hAnsi="宋体" w:cs="宋体"/>
          <w:szCs w:val="21"/>
        </w:rPr>
      </w:pPr>
      <w:r>
        <w:rPr>
          <w:rFonts w:ascii="宋体" w:hAnsi="宋体" w:cs="宋体"/>
          <w:szCs w:val="21"/>
        </w:rPr>
        <w:t>提供餐饮品制作，可现场就餐也可将餐饮品送至顾客处，</w:t>
      </w:r>
      <w:r>
        <w:rPr>
          <w:rFonts w:hint="eastAsia" w:ascii="宋体" w:hAnsi="宋体" w:cs="宋体"/>
          <w:szCs w:val="21"/>
        </w:rPr>
        <w:t>“业务内容”</w:t>
      </w:r>
      <w:r>
        <w:rPr>
          <w:rFonts w:ascii="宋体" w:hAnsi="宋体" w:cs="宋体"/>
          <w:szCs w:val="21"/>
        </w:rPr>
        <w:t>填写为“正餐”或“快餐”。</w:t>
      </w:r>
    </w:p>
    <w:p>
      <w:pPr>
        <w:snapToGrid w:val="0"/>
        <w:spacing w:line="360" w:lineRule="exact"/>
        <w:ind w:firstLine="420" w:firstLineChars="200"/>
        <w:rPr>
          <w:rFonts w:ascii="宋体" w:hAnsi="宋体" w:cs="宋体"/>
          <w:szCs w:val="21"/>
        </w:rPr>
      </w:pPr>
      <w:r>
        <w:rPr>
          <w:rFonts w:ascii="宋体" w:hAnsi="宋体" w:cs="宋体"/>
          <w:szCs w:val="21"/>
        </w:rPr>
        <w:t>销售可现成食用的食品、餐品、饮品等，如没有现场就餐地点的，不属于餐饮业范围，归入零售业范围。</w:t>
      </w:r>
    </w:p>
    <w:p>
      <w:pPr>
        <w:snapToGrid w:val="0"/>
        <w:spacing w:line="360" w:lineRule="exact"/>
        <w:ind w:firstLine="420" w:firstLineChars="200"/>
        <w:rPr>
          <w:rFonts w:ascii="宋体" w:hAnsi="宋体" w:cs="宋体"/>
          <w:szCs w:val="21"/>
        </w:rPr>
      </w:pPr>
      <w:r>
        <w:rPr>
          <w:rFonts w:hint="eastAsia" w:ascii="宋体" w:hAnsi="宋体" w:cs="宋体"/>
          <w:szCs w:val="21"/>
        </w:rPr>
        <w:t>⑨</w:t>
      </w:r>
      <w:r>
        <w:rPr>
          <w:rFonts w:ascii="宋体" w:hAnsi="宋体" w:cs="宋体"/>
          <w:szCs w:val="21"/>
        </w:rPr>
        <w:t>交通运输、仓储</w:t>
      </w:r>
    </w:p>
    <w:p>
      <w:pPr>
        <w:snapToGrid w:val="0"/>
        <w:spacing w:line="360" w:lineRule="exact"/>
        <w:ind w:firstLine="420" w:firstLineChars="200"/>
        <w:rPr>
          <w:rFonts w:ascii="宋体" w:hAnsi="宋体" w:cs="宋体"/>
          <w:szCs w:val="21"/>
        </w:rPr>
      </w:pPr>
      <w:r>
        <w:rPr>
          <w:rFonts w:hint="eastAsia" w:ascii="宋体" w:hAnsi="宋体" w:cs="宋体"/>
          <w:szCs w:val="21"/>
        </w:rPr>
        <w:t>主要包括</w:t>
      </w:r>
      <w:r>
        <w:rPr>
          <w:rFonts w:ascii="宋体" w:hAnsi="宋体" w:cs="宋体"/>
          <w:szCs w:val="21"/>
        </w:rPr>
        <w:t>运输活动、仓储活动</w:t>
      </w:r>
      <w:r>
        <w:rPr>
          <w:rFonts w:hint="eastAsia" w:ascii="宋体" w:hAnsi="宋体" w:cs="宋体"/>
          <w:szCs w:val="21"/>
        </w:rPr>
        <w:t>，其</w:t>
      </w:r>
      <w:r>
        <w:rPr>
          <w:rFonts w:ascii="宋体" w:hAnsi="宋体" w:cs="宋体"/>
          <w:szCs w:val="21"/>
        </w:rPr>
        <w:t>主要业务活动描述由</w:t>
      </w:r>
      <w:r>
        <w:rPr>
          <w:rFonts w:hint="eastAsia" w:ascii="宋体" w:hAnsi="宋体" w:cs="宋体"/>
          <w:szCs w:val="21"/>
        </w:rPr>
        <w:t>三</w:t>
      </w:r>
      <w:r>
        <w:rPr>
          <w:rFonts w:ascii="宋体" w:hAnsi="宋体" w:cs="宋体"/>
          <w:szCs w:val="21"/>
        </w:rPr>
        <w:t>部分组成，一般是“运输对象”+“运输途径”+“运输”。</w:t>
      </w:r>
      <w:r>
        <w:rPr>
          <w:rFonts w:hint="eastAsia" w:ascii="宋体" w:hAnsi="宋体" w:cs="宋体"/>
          <w:szCs w:val="21"/>
        </w:rPr>
        <w:t>如“旅客公路运输”，而不能填写“蔬菜运输”。</w:t>
      </w:r>
    </w:p>
    <w:p>
      <w:pPr>
        <w:snapToGrid w:val="0"/>
        <w:spacing w:line="360" w:lineRule="exact"/>
        <w:ind w:firstLine="420" w:firstLineChars="200"/>
        <w:rPr>
          <w:rFonts w:ascii="宋体" w:hAnsi="宋体" w:cs="宋体"/>
          <w:szCs w:val="21"/>
        </w:rPr>
      </w:pPr>
      <w:r>
        <w:rPr>
          <w:rFonts w:ascii="宋体" w:hAnsi="宋体" w:cs="宋体"/>
          <w:szCs w:val="21"/>
        </w:rPr>
        <w:t>货物运输代理、旅客票务代理请填写实际业务活动。</w:t>
      </w:r>
    </w:p>
    <w:p>
      <w:pPr>
        <w:snapToGrid w:val="0"/>
        <w:spacing w:line="360" w:lineRule="exact"/>
        <w:ind w:firstLine="420" w:firstLineChars="200"/>
        <w:rPr>
          <w:rFonts w:ascii="宋体" w:hAnsi="宋体" w:cs="宋体"/>
          <w:szCs w:val="21"/>
        </w:rPr>
      </w:pPr>
      <w:r>
        <w:rPr>
          <w:rFonts w:ascii="宋体" w:hAnsi="宋体" w:cs="宋体"/>
          <w:szCs w:val="21"/>
        </w:rPr>
        <w:t>码头辅助服务活动、机场辅助服务活动、各类客运车站业务活动请按实际情况填写。</w:t>
      </w:r>
    </w:p>
    <w:p>
      <w:pPr>
        <w:snapToGrid w:val="0"/>
        <w:spacing w:line="360" w:lineRule="exact"/>
        <w:ind w:firstLine="420" w:firstLineChars="200"/>
        <w:rPr>
          <w:rFonts w:ascii="宋体" w:hAnsi="宋体" w:cs="宋体"/>
          <w:szCs w:val="21"/>
        </w:rPr>
      </w:pPr>
      <w:r>
        <w:rPr>
          <w:rFonts w:ascii="宋体" w:hAnsi="宋体" w:cs="宋体"/>
          <w:szCs w:val="21"/>
        </w:rPr>
        <w:t>仓储服务请填写仓储物品的具体名称：油气、危险化学品、谷物、棉花、中药材等，再注明“仓储”字样。</w:t>
      </w:r>
    </w:p>
    <w:p>
      <w:pPr>
        <w:snapToGrid w:val="0"/>
        <w:spacing w:line="360" w:lineRule="exact"/>
        <w:ind w:firstLine="420" w:firstLineChars="200"/>
        <w:rPr>
          <w:rFonts w:ascii="宋体" w:hAnsi="宋体" w:cs="宋体"/>
          <w:szCs w:val="21"/>
        </w:rPr>
      </w:pPr>
      <w:r>
        <w:rPr>
          <w:rFonts w:ascii="宋体" w:hAnsi="宋体" w:cs="宋体"/>
          <w:szCs w:val="21"/>
        </w:rPr>
        <w:t>城市配送中心请按实际情况填写。</w:t>
      </w:r>
    </w:p>
    <w:p>
      <w:pPr>
        <w:snapToGrid w:val="0"/>
        <w:spacing w:line="360" w:lineRule="exact"/>
        <w:ind w:firstLine="420" w:firstLineChars="200"/>
        <w:rPr>
          <w:rFonts w:ascii="宋体" w:hAnsi="宋体" w:cs="宋体"/>
          <w:szCs w:val="21"/>
        </w:rPr>
      </w:pPr>
      <w:r>
        <w:rPr>
          <w:rFonts w:ascii="宋体" w:hAnsi="宋体" w:cs="宋体"/>
          <w:szCs w:val="21"/>
        </w:rPr>
        <w:t>采用有两种以上的运输方式</w:t>
      </w:r>
      <w:r>
        <w:rPr>
          <w:rFonts w:hint="eastAsia" w:ascii="宋体" w:hAnsi="宋体" w:cs="宋体"/>
          <w:szCs w:val="21"/>
        </w:rPr>
        <w:t>并</w:t>
      </w:r>
      <w:r>
        <w:rPr>
          <w:rFonts w:ascii="宋体" w:hAnsi="宋体" w:cs="宋体"/>
          <w:szCs w:val="21"/>
        </w:rPr>
        <w:t>运输同一对象，请填写多式联运。</w:t>
      </w:r>
    </w:p>
    <w:p>
      <w:pPr>
        <w:snapToGrid w:val="0"/>
        <w:spacing w:line="360" w:lineRule="exact"/>
        <w:ind w:firstLine="420" w:firstLineChars="200"/>
        <w:rPr>
          <w:rFonts w:ascii="宋体" w:hAnsi="宋体" w:cs="宋体"/>
          <w:szCs w:val="21"/>
        </w:rPr>
      </w:pPr>
      <w:r>
        <w:rPr>
          <w:rFonts w:hint="eastAsia" w:ascii="宋体" w:hAnsi="宋体" w:cs="宋体"/>
          <w:szCs w:val="21"/>
        </w:rPr>
        <w:t>⑩</w:t>
      </w:r>
      <w:r>
        <w:rPr>
          <w:rFonts w:ascii="宋体" w:hAnsi="宋体" w:cs="宋体"/>
          <w:szCs w:val="21"/>
        </w:rPr>
        <w:t>软件、信息技术和互联网相关活动</w:t>
      </w:r>
    </w:p>
    <w:p>
      <w:pPr>
        <w:snapToGrid w:val="0"/>
        <w:spacing w:line="360" w:lineRule="exact"/>
        <w:ind w:firstLine="420" w:firstLineChars="200"/>
        <w:rPr>
          <w:rFonts w:ascii="宋体" w:hAnsi="宋体" w:cs="宋体"/>
          <w:szCs w:val="21"/>
        </w:rPr>
      </w:pPr>
      <w:r>
        <w:rPr>
          <w:rFonts w:ascii="宋体" w:hAnsi="宋体" w:cs="宋体"/>
          <w:szCs w:val="21"/>
        </w:rPr>
        <w:t>软件开发活动，要写明开发的软件类型：应包含“基础软件”“支撑软件”“应用软件”等字样</w:t>
      </w:r>
      <w:r>
        <w:rPr>
          <w:rFonts w:hint="eastAsia" w:ascii="宋体" w:hAnsi="宋体" w:cs="宋体"/>
          <w:szCs w:val="21"/>
        </w:rPr>
        <w:t>，而不能仅填写“软件开发”</w:t>
      </w:r>
      <w:r>
        <w:rPr>
          <w:rFonts w:ascii="宋体" w:hAnsi="宋体" w:cs="宋体"/>
          <w:szCs w:val="21"/>
        </w:rPr>
        <w:t>。</w:t>
      </w:r>
    </w:p>
    <w:p>
      <w:pPr>
        <w:snapToGrid w:val="0"/>
        <w:spacing w:line="360" w:lineRule="exact"/>
        <w:ind w:firstLine="420" w:firstLineChars="200"/>
        <w:rPr>
          <w:rFonts w:ascii="宋体" w:hAnsi="宋体" w:cs="宋体"/>
          <w:szCs w:val="21"/>
        </w:rPr>
      </w:pPr>
      <w:r>
        <w:rPr>
          <w:rFonts w:ascii="宋体" w:hAnsi="宋体" w:cs="宋体"/>
          <w:szCs w:val="21"/>
        </w:rPr>
        <w:t>互联网相关活动是新兴的经济活动，请尽可能详细填写活动具体内容，例如，</w:t>
      </w:r>
      <w:r>
        <w:rPr>
          <w:rFonts w:hint="eastAsia" w:ascii="宋体" w:hAnsi="宋体" w:cs="宋体"/>
          <w:szCs w:val="21"/>
        </w:rPr>
        <w:t>“</w:t>
      </w:r>
      <w:r>
        <w:rPr>
          <w:rFonts w:ascii="宋体" w:hAnsi="宋体" w:cs="宋体"/>
          <w:szCs w:val="21"/>
        </w:rPr>
        <w:t>互联网游戏平台服务</w:t>
      </w:r>
      <w:r>
        <w:rPr>
          <w:rFonts w:hint="eastAsia" w:ascii="宋体" w:hAnsi="宋体" w:cs="宋体"/>
          <w:szCs w:val="21"/>
        </w:rPr>
        <w:t>”“</w:t>
      </w:r>
      <w:r>
        <w:rPr>
          <w:rFonts w:ascii="宋体" w:hAnsi="宋体" w:cs="宋体"/>
          <w:szCs w:val="21"/>
        </w:rPr>
        <w:t>互联网搜索服务</w:t>
      </w:r>
      <w:r>
        <w:rPr>
          <w:rFonts w:hint="eastAsia" w:ascii="宋体" w:hAnsi="宋体" w:cs="宋体"/>
          <w:szCs w:val="21"/>
        </w:rPr>
        <w:t>”“</w:t>
      </w:r>
      <w:r>
        <w:rPr>
          <w:rFonts w:ascii="宋体" w:hAnsi="宋体" w:cs="宋体"/>
          <w:szCs w:val="21"/>
        </w:rPr>
        <w:t>数字化技术加工处理服务</w:t>
      </w:r>
      <w:r>
        <w:rPr>
          <w:rFonts w:hint="eastAsia" w:ascii="宋体" w:hAnsi="宋体" w:cs="宋体"/>
          <w:szCs w:val="21"/>
        </w:rPr>
        <w:t>”</w:t>
      </w:r>
      <w:r>
        <w:rPr>
          <w:rFonts w:ascii="宋体" w:hAnsi="宋体" w:cs="宋体"/>
          <w:szCs w:val="21"/>
        </w:rPr>
        <w:t>等。</w:t>
      </w:r>
    </w:p>
    <w:p>
      <w:pPr>
        <w:snapToGrid w:val="0"/>
        <w:spacing w:line="360" w:lineRule="exact"/>
        <w:ind w:firstLine="420" w:firstLineChars="200"/>
        <w:rPr>
          <w:rFonts w:hint="eastAsia" w:ascii="宋体" w:hAnsi="宋体" w:cs="宋体"/>
          <w:szCs w:val="21"/>
        </w:rPr>
      </w:pPr>
      <w:r>
        <w:rPr>
          <w:rFonts w:ascii="Cambria Math" w:hAnsi="Cambria Math" w:eastAsia="仿宋" w:cs="Cambria Math"/>
          <w:szCs w:val="21"/>
        </w:rPr>
        <w:t>⑪</w:t>
      </w:r>
      <w:r>
        <w:rPr>
          <w:rFonts w:ascii="宋体" w:hAnsi="宋体" w:cs="宋体"/>
          <w:szCs w:val="21"/>
        </w:rPr>
        <w:t>商务活动</w:t>
      </w:r>
    </w:p>
    <w:p>
      <w:pPr>
        <w:snapToGrid w:val="0"/>
        <w:spacing w:line="360" w:lineRule="exact"/>
        <w:ind w:firstLine="420" w:firstLineChars="200"/>
        <w:rPr>
          <w:rFonts w:ascii="宋体" w:hAnsi="宋体" w:cs="宋体"/>
          <w:szCs w:val="21"/>
        </w:rPr>
      </w:pPr>
      <w:r>
        <w:rPr>
          <w:rFonts w:ascii="宋体" w:hAnsi="宋体" w:cs="宋体"/>
          <w:szCs w:val="21"/>
        </w:rPr>
        <w:t>会展、展览服务应写明会展和展览的具体内容。</w:t>
      </w:r>
    </w:p>
    <w:p>
      <w:pPr>
        <w:snapToGrid w:val="0"/>
        <w:spacing w:line="360" w:lineRule="exact"/>
        <w:ind w:firstLine="420" w:firstLineChars="200"/>
        <w:rPr>
          <w:rFonts w:ascii="宋体" w:hAnsi="宋体" w:cs="宋体"/>
          <w:szCs w:val="21"/>
        </w:rPr>
      </w:pPr>
      <w:r>
        <w:rPr>
          <w:rFonts w:ascii="宋体" w:hAnsi="宋体" w:cs="宋体"/>
          <w:szCs w:val="21"/>
        </w:rPr>
        <w:t>人力资源服务应写明就业服务、职业中介、劳务派遣、创业指导等具体内容。</w:t>
      </w:r>
    </w:p>
    <w:p>
      <w:pPr>
        <w:snapToGrid w:val="0"/>
        <w:spacing w:line="360" w:lineRule="exact"/>
        <w:ind w:firstLine="420" w:firstLineChars="200"/>
        <w:rPr>
          <w:rFonts w:ascii="宋体" w:hAnsi="宋体" w:cs="宋体"/>
          <w:szCs w:val="21"/>
        </w:rPr>
      </w:pPr>
      <w:r>
        <w:rPr>
          <w:rFonts w:ascii="宋体" w:hAnsi="宋体" w:cs="宋体"/>
          <w:szCs w:val="21"/>
        </w:rPr>
        <w:t>票务代理服务应写明代理票务的类型，应不包含交通运输业的旅客票务代理服务。</w:t>
      </w:r>
    </w:p>
    <w:p>
      <w:pPr>
        <w:snapToGrid w:val="0"/>
        <w:spacing w:line="360" w:lineRule="exact"/>
        <w:ind w:firstLine="420" w:firstLineChars="200"/>
        <w:rPr>
          <w:rFonts w:ascii="宋体" w:hAnsi="宋体" w:cs="宋体"/>
          <w:szCs w:val="21"/>
        </w:rPr>
      </w:pPr>
      <w:r>
        <w:rPr>
          <w:rFonts w:ascii="宋体" w:hAnsi="宋体" w:cs="宋体"/>
          <w:szCs w:val="21"/>
        </w:rPr>
        <w:t>咨询、调查活动，应写明针对的领域，包含“会计”“审计”“税务”“市场调查”“健康”“体育”“环保”等字样。</w:t>
      </w:r>
    </w:p>
    <w:p>
      <w:pPr>
        <w:snapToGrid w:val="0"/>
        <w:spacing w:line="360" w:lineRule="exact"/>
        <w:ind w:firstLine="420" w:firstLineChars="200"/>
        <w:rPr>
          <w:rFonts w:ascii="宋体" w:hAnsi="宋体" w:cs="宋体"/>
          <w:szCs w:val="21"/>
        </w:rPr>
      </w:pPr>
      <w:r>
        <w:rPr>
          <w:rFonts w:ascii="宋体" w:hAnsi="宋体" w:cs="宋体"/>
          <w:szCs w:val="21"/>
        </w:rPr>
        <w:t>广告设计服务应包含“互联网广告”或“非互联网广告”字样。</w:t>
      </w:r>
    </w:p>
    <w:p>
      <w:pPr>
        <w:snapToGrid w:val="0"/>
        <w:spacing w:line="360" w:lineRule="exact"/>
        <w:ind w:firstLine="420" w:firstLineChars="200"/>
        <w:rPr>
          <w:rFonts w:ascii="宋体" w:hAnsi="宋体" w:cs="宋体"/>
          <w:szCs w:val="21"/>
        </w:rPr>
      </w:pPr>
      <w:r>
        <w:rPr>
          <w:rFonts w:ascii="Cambria Math" w:hAnsi="Cambria Math" w:eastAsia="华文宋体" w:cs="Cambria Math"/>
          <w:szCs w:val="21"/>
        </w:rPr>
        <w:t>⑫</w:t>
      </w:r>
      <w:r>
        <w:rPr>
          <w:rFonts w:ascii="宋体" w:hAnsi="宋体" w:cs="宋体"/>
          <w:szCs w:val="21"/>
        </w:rPr>
        <w:t>科学研究、专业技术</w:t>
      </w:r>
    </w:p>
    <w:p>
      <w:pPr>
        <w:snapToGrid w:val="0"/>
        <w:spacing w:line="360" w:lineRule="exact"/>
        <w:ind w:firstLine="420" w:firstLineChars="200"/>
        <w:rPr>
          <w:rFonts w:ascii="宋体" w:hAnsi="宋体" w:cs="宋体"/>
          <w:szCs w:val="21"/>
        </w:rPr>
      </w:pPr>
      <w:r>
        <w:rPr>
          <w:rFonts w:ascii="宋体" w:hAnsi="宋体" w:cs="宋体"/>
          <w:szCs w:val="21"/>
        </w:rPr>
        <w:t>设计类活动应详细描述设计的具体内容，需要包含“工程设计”“软件设计”“集成电路设计”“工业设计”“建筑设计”等字样。</w:t>
      </w:r>
    </w:p>
    <w:p>
      <w:pPr>
        <w:snapToGrid w:val="0"/>
        <w:spacing w:line="360" w:lineRule="exact"/>
        <w:ind w:firstLine="420" w:firstLineChars="200"/>
        <w:rPr>
          <w:rFonts w:ascii="宋体" w:hAnsi="宋体" w:cs="宋体"/>
          <w:szCs w:val="21"/>
        </w:rPr>
      </w:pPr>
      <w:r>
        <w:rPr>
          <w:rFonts w:ascii="Cambria Math" w:hAnsi="Cambria Math" w:eastAsia="华文宋体" w:cs="Cambria Math"/>
          <w:szCs w:val="21"/>
        </w:rPr>
        <w:t>⑬</w:t>
      </w:r>
      <w:r>
        <w:rPr>
          <w:rFonts w:ascii="宋体" w:hAnsi="宋体" w:cs="宋体"/>
          <w:szCs w:val="21"/>
        </w:rPr>
        <w:t>居民服务</w:t>
      </w:r>
    </w:p>
    <w:p>
      <w:pPr>
        <w:snapToGrid w:val="0"/>
        <w:spacing w:line="360" w:lineRule="exact"/>
        <w:ind w:firstLine="420" w:firstLineChars="200"/>
        <w:rPr>
          <w:rFonts w:ascii="宋体" w:hAnsi="宋体" w:cs="宋体"/>
          <w:szCs w:val="21"/>
        </w:rPr>
      </w:pPr>
      <w:r>
        <w:rPr>
          <w:rFonts w:ascii="宋体" w:hAnsi="宋体" w:cs="宋体"/>
          <w:szCs w:val="21"/>
        </w:rPr>
        <w:t>清洁服务，应写明清洁的具体对象，例如</w:t>
      </w:r>
      <w:r>
        <w:rPr>
          <w:rFonts w:hint="eastAsia" w:ascii="宋体" w:hAnsi="宋体" w:cs="宋体"/>
          <w:szCs w:val="21"/>
        </w:rPr>
        <w:t>“</w:t>
      </w:r>
      <w:r>
        <w:rPr>
          <w:rFonts w:ascii="宋体" w:hAnsi="宋体" w:cs="宋体"/>
          <w:szCs w:val="21"/>
        </w:rPr>
        <w:t>建筑物外墙清洁</w:t>
      </w:r>
      <w:r>
        <w:rPr>
          <w:rFonts w:hint="eastAsia" w:ascii="宋体" w:hAnsi="宋体" w:cs="宋体"/>
          <w:szCs w:val="21"/>
        </w:rPr>
        <w:t>”“</w:t>
      </w:r>
      <w:r>
        <w:rPr>
          <w:rFonts w:ascii="宋体" w:hAnsi="宋体" w:cs="宋体"/>
          <w:szCs w:val="21"/>
        </w:rPr>
        <w:t>写字楼清洁</w:t>
      </w:r>
      <w:r>
        <w:rPr>
          <w:rFonts w:hint="eastAsia" w:ascii="宋体" w:hAnsi="宋体" w:cs="宋体"/>
          <w:szCs w:val="21"/>
        </w:rPr>
        <w:t>”</w:t>
      </w:r>
      <w:r>
        <w:rPr>
          <w:rFonts w:ascii="宋体" w:hAnsi="宋体" w:cs="宋体"/>
          <w:szCs w:val="21"/>
        </w:rPr>
        <w:t>等。</w:t>
      </w:r>
    </w:p>
    <w:p>
      <w:pPr>
        <w:snapToGrid w:val="0"/>
        <w:spacing w:line="360" w:lineRule="exact"/>
        <w:ind w:firstLine="420" w:firstLineChars="200"/>
        <w:rPr>
          <w:rFonts w:ascii="宋体" w:hAnsi="宋体" w:cs="宋体"/>
          <w:szCs w:val="21"/>
        </w:rPr>
      </w:pPr>
      <w:r>
        <w:rPr>
          <w:rFonts w:ascii="Cambria Math" w:hAnsi="Cambria Math" w:eastAsia="华文宋体" w:cs="Cambria Math"/>
          <w:szCs w:val="21"/>
        </w:rPr>
        <w:t>⑭</w:t>
      </w:r>
      <w:r>
        <w:rPr>
          <w:rFonts w:ascii="宋体" w:hAnsi="宋体" w:cs="宋体"/>
          <w:szCs w:val="21"/>
        </w:rPr>
        <w:t>卫生、教育、邮政、博物馆和宗教相关的主要业务活动以部门提供的行政记录资料名录中的信息为准。</w:t>
      </w:r>
    </w:p>
    <w:p>
      <w:pPr>
        <w:snapToGrid w:val="0"/>
        <w:spacing w:line="360" w:lineRule="exact"/>
        <w:ind w:firstLine="420" w:firstLineChars="200"/>
        <w:rPr>
          <w:rFonts w:ascii="宋体" w:hAnsi="宋体" w:cs="宋体"/>
          <w:szCs w:val="21"/>
        </w:rPr>
      </w:pPr>
      <w:r>
        <w:rPr>
          <w:rFonts w:hint="eastAsia" w:ascii="宋体" w:hAnsi="宋体" w:cs="宋体"/>
          <w:szCs w:val="21"/>
        </w:rPr>
        <w:t>2.</w:t>
      </w:r>
      <w:r>
        <w:rPr>
          <w:rFonts w:ascii="宋体" w:hAnsi="宋体" w:cs="宋体"/>
          <w:szCs w:val="21"/>
        </w:rPr>
        <w:t>行业代码</w:t>
      </w:r>
      <w:r>
        <w:rPr>
          <w:rFonts w:hint="eastAsia" w:ascii="宋体" w:hAnsi="宋体" w:cs="宋体"/>
          <w:szCs w:val="21"/>
        </w:rPr>
        <w:t>：</w:t>
      </w:r>
      <w:r>
        <w:rPr>
          <w:rFonts w:hint="eastAsia" w:ascii="宋体" w:hAnsi="宋体" w:cs="宋体"/>
          <w:szCs w:val="21"/>
          <w:u w:val="single"/>
        </w:rPr>
        <w:t>调查</w:t>
      </w:r>
      <w:r>
        <w:rPr>
          <w:rFonts w:ascii="宋体" w:hAnsi="宋体" w:cs="宋体"/>
          <w:szCs w:val="21"/>
          <w:u w:val="single"/>
        </w:rPr>
        <w:t>单位免填。</w:t>
      </w:r>
      <w:r>
        <w:rPr>
          <w:rFonts w:ascii="宋体" w:hAnsi="宋体" w:cs="宋体"/>
          <w:szCs w:val="21"/>
        </w:rPr>
        <w:t>由所在地</w:t>
      </w:r>
      <w:r>
        <w:rPr>
          <w:rFonts w:hint="eastAsia" w:ascii="宋体" w:hAnsi="宋体" w:cs="宋体"/>
          <w:szCs w:val="21"/>
        </w:rPr>
        <w:t>统计机构</w:t>
      </w:r>
      <w:r>
        <w:rPr>
          <w:rFonts w:ascii="宋体" w:hAnsi="宋体" w:cs="宋体"/>
          <w:szCs w:val="21"/>
        </w:rPr>
        <w:t>根据各单位填写的主要业务活动，对照《国民经济行业分类》（GB/T 4754－2017）填写行业代码</w:t>
      </w:r>
      <w:r>
        <w:rPr>
          <w:rFonts w:hint="eastAsia" w:ascii="宋体" w:hAnsi="宋体" w:cs="宋体"/>
          <w:szCs w:val="21"/>
        </w:rPr>
        <w:t>（未做特殊规定的填写行业小类代码，下同）</w:t>
      </w:r>
      <w:r>
        <w:rPr>
          <w:rFonts w:ascii="宋体" w:hAnsi="宋体" w:cs="宋体"/>
          <w:szCs w:val="21"/>
        </w:rPr>
        <w:t>。</w:t>
      </w:r>
    </w:p>
    <w:p>
      <w:pPr>
        <w:snapToGrid w:val="0"/>
        <w:spacing w:line="360" w:lineRule="exact"/>
        <w:ind w:firstLine="420" w:firstLineChars="200"/>
        <w:rPr>
          <w:rFonts w:ascii="宋体" w:hAnsi="宋体" w:cs="宋体"/>
          <w:szCs w:val="21"/>
        </w:rPr>
      </w:pPr>
      <w:r>
        <w:rPr>
          <w:rFonts w:ascii="宋体" w:hAnsi="宋体" w:cs="宋体"/>
          <w:szCs w:val="21"/>
        </w:rPr>
        <w:t>筹建单位按建成投产（营业）后的活动性质填写行业代码。</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报表类别 </w:t>
      </w:r>
      <w:r>
        <w:rPr>
          <w:rFonts w:ascii="宋体" w:hAnsi="宋体" w:cs="宋体"/>
          <w:szCs w:val="21"/>
        </w:rPr>
        <w:t xml:space="preserve"> 指调查单位需要填报某一行业报表的类别，包括农业、规模以上工业、规模以下工业、建筑业、批发和零售业、住宿和餐饮业、房地产开发经营业、规模以上服务业、投资和其他。调查单位通过报表类别来确定需要填报的报表内容。</w:t>
      </w:r>
      <w:r>
        <w:rPr>
          <w:rFonts w:hint="eastAsia" w:ascii="宋体" w:hAnsi="宋体"/>
          <w:szCs w:val="21"/>
          <w:u w:val="single"/>
        </w:rPr>
        <w:t>由国</w:t>
      </w:r>
      <w:r>
        <w:rPr>
          <w:rFonts w:ascii="宋体" w:hAnsi="宋体"/>
          <w:szCs w:val="21"/>
          <w:u w:val="single"/>
        </w:rPr>
        <w:t>家</w:t>
      </w:r>
      <w:r>
        <w:rPr>
          <w:rFonts w:hint="eastAsia" w:ascii="宋体" w:hAnsi="宋体"/>
          <w:szCs w:val="21"/>
          <w:u w:val="single"/>
        </w:rPr>
        <w:t>统计机构统一填写，填报单位免填。</w:t>
      </w:r>
    </w:p>
    <w:p>
      <w:pPr>
        <w:snapToGrid w:val="0"/>
        <w:spacing w:line="360" w:lineRule="exact"/>
        <w:ind w:firstLine="420" w:firstLineChars="200"/>
        <w:rPr>
          <w:rFonts w:ascii="宋体" w:hAnsi="宋体" w:cs="宋体"/>
          <w:szCs w:val="21"/>
          <w:u w:val="single"/>
        </w:rPr>
      </w:pPr>
      <w:r>
        <w:rPr>
          <w:rFonts w:ascii="宋体" w:hAnsi="宋体" w:eastAsia="黑体" w:cs="宋体"/>
          <w:szCs w:val="21"/>
        </w:rPr>
        <w:t xml:space="preserve">单位规模 </w:t>
      </w:r>
      <w:r>
        <w:rPr>
          <w:rFonts w:ascii="宋体" w:hAnsi="宋体" w:cs="宋体"/>
          <w:szCs w:val="21"/>
        </w:rPr>
        <w:t xml:space="preserve"> 根据《统计上大中小微型企业划分办法（2017）》规定，依据从业人员、营业收入、资产总额等指标或替代指标将单位划分为大型、中型、小型和微型。</w:t>
      </w:r>
      <w:r>
        <w:rPr>
          <w:rFonts w:hint="eastAsia" w:ascii="宋体" w:hAnsi="宋体" w:cs="宋体"/>
          <w:szCs w:val="21"/>
          <w:u w:val="single"/>
        </w:rPr>
        <w:t>本项</w:t>
      </w:r>
      <w:r>
        <w:rPr>
          <w:rFonts w:ascii="宋体" w:hAnsi="宋体" w:cs="宋体"/>
          <w:szCs w:val="21"/>
          <w:u w:val="single"/>
        </w:rPr>
        <w:t>为计算指标，</w:t>
      </w:r>
      <w:r>
        <w:rPr>
          <w:rFonts w:hint="eastAsia" w:ascii="宋体" w:hAnsi="宋体" w:cs="宋体"/>
          <w:szCs w:val="21"/>
          <w:u w:val="single"/>
        </w:rPr>
        <w:t>调查</w:t>
      </w:r>
      <w:r>
        <w:rPr>
          <w:rFonts w:ascii="宋体" w:hAnsi="宋体" w:cs="宋体"/>
          <w:szCs w:val="21"/>
          <w:u w:val="single"/>
        </w:rPr>
        <w:t>单位免填。</w:t>
      </w:r>
    </w:p>
    <w:p>
      <w:pPr>
        <w:spacing w:line="360" w:lineRule="exact"/>
        <w:ind w:firstLine="420" w:firstLineChars="200"/>
        <w:rPr>
          <w:rFonts w:ascii="宋体" w:hAnsi="宋体" w:cs="宋体"/>
          <w:szCs w:val="21"/>
        </w:rPr>
      </w:pPr>
      <w:r>
        <w:rPr>
          <w:rFonts w:ascii="宋体" w:hAnsi="宋体" w:eastAsia="黑体" w:cs="宋体"/>
          <w:szCs w:val="21"/>
        </w:rPr>
        <w:t xml:space="preserve">从业人员期末人数  </w:t>
      </w:r>
      <w:r>
        <w:rPr>
          <w:rFonts w:ascii="宋体" w:hAnsi="宋体" w:cs="宋体"/>
          <w:szCs w:val="21"/>
        </w:rPr>
        <w:t>指年度最后一日在本单位工作，并取得工资或其他形式劳动报酬的人员数。该指标为时点指标，不包括最后一日当天及以前已经与单位解除劳动合同关系的人员，是在岗职工、劳务派遣人员及其他从业人员之和。其中不包括离开本单位仍保留劳动关系，并定期领取生活费的人员和在单位实习的各类在校学生。</w:t>
      </w:r>
      <w:r>
        <w:rPr>
          <w:rFonts w:hint="eastAsia" w:ascii="宋体" w:hAnsi="宋体" w:cs="宋体"/>
          <w:u w:val="single"/>
        </w:rPr>
        <w:t>此</w:t>
      </w:r>
      <w:r>
        <w:rPr>
          <w:rFonts w:ascii="宋体" w:hAnsi="宋体" w:cs="宋体"/>
          <w:u w:val="single"/>
        </w:rPr>
        <w:t>指标为</w:t>
      </w:r>
      <w:r>
        <w:rPr>
          <w:rFonts w:hint="eastAsia" w:ascii="宋体" w:hAnsi="宋体" w:cs="宋体"/>
          <w:u w:val="single"/>
        </w:rPr>
        <w:t>从</w:t>
      </w:r>
      <w:r>
        <w:rPr>
          <w:rFonts w:ascii="宋体" w:hAnsi="宋体" w:cs="宋体"/>
          <w:u w:val="single"/>
        </w:rPr>
        <w:t>后续表摘抄指标，调查单位</w:t>
      </w:r>
      <w:r>
        <w:rPr>
          <w:rFonts w:hint="eastAsia" w:ascii="宋体" w:hAnsi="宋体" w:cs="宋体"/>
          <w:u w:val="single"/>
        </w:rPr>
        <w:t>免</w:t>
      </w:r>
      <w:r>
        <w:rPr>
          <w:rFonts w:ascii="宋体" w:hAnsi="宋体" w:cs="宋体"/>
          <w:u w:val="single"/>
        </w:rPr>
        <w:t>填。</w:t>
      </w:r>
    </w:p>
    <w:p>
      <w:pPr>
        <w:snapToGrid w:val="0"/>
        <w:spacing w:line="360" w:lineRule="exact"/>
        <w:ind w:firstLine="420" w:firstLineChars="200"/>
        <w:rPr>
          <w:rFonts w:ascii="宋体" w:hAnsi="宋体" w:cs="宋体"/>
          <w:szCs w:val="21"/>
        </w:rPr>
      </w:pPr>
      <w:r>
        <w:rPr>
          <w:rFonts w:ascii="宋体" w:hAnsi="宋体" w:eastAsia="黑体" w:cs="宋体"/>
          <w:szCs w:val="21"/>
        </w:rPr>
        <w:t>营业收入</w:t>
      </w:r>
      <w:r>
        <w:rPr>
          <w:rFonts w:ascii="宋体" w:hAnsi="宋体" w:cs="宋体"/>
          <w:szCs w:val="21"/>
        </w:rPr>
        <w:t xml:space="preserve">  指企业从事销售商品、提供劳务和让渡资产使用权等生产经营活动形成的经济利益流入。包括“主营业务收入”和“其他业务收入”。根据会计“利润表”中“营业收入”项目的本年累计数填报。</w:t>
      </w:r>
      <w:r>
        <w:rPr>
          <w:rFonts w:hint="eastAsia" w:ascii="宋体" w:hAnsi="宋体" w:cs="宋体"/>
          <w:u w:val="single"/>
        </w:rPr>
        <w:t>此</w:t>
      </w:r>
      <w:r>
        <w:rPr>
          <w:rFonts w:ascii="宋体" w:hAnsi="宋体" w:cs="宋体"/>
          <w:u w:val="single"/>
        </w:rPr>
        <w:t>指标为</w:t>
      </w:r>
      <w:r>
        <w:rPr>
          <w:rFonts w:hint="eastAsia" w:ascii="宋体" w:hAnsi="宋体" w:cs="宋体"/>
          <w:u w:val="single"/>
        </w:rPr>
        <w:t>从</w:t>
      </w:r>
      <w:r>
        <w:rPr>
          <w:rFonts w:ascii="宋体" w:hAnsi="宋体" w:cs="宋体"/>
          <w:u w:val="single"/>
        </w:rPr>
        <w:t>后续表摘抄指标，调查单位</w:t>
      </w:r>
      <w:r>
        <w:rPr>
          <w:rFonts w:hint="eastAsia" w:ascii="宋体" w:hAnsi="宋体" w:cs="宋体"/>
          <w:u w:val="single"/>
        </w:rPr>
        <w:t>免</w:t>
      </w:r>
      <w:r>
        <w:rPr>
          <w:rFonts w:ascii="宋体" w:hAnsi="宋体" w:cs="宋体"/>
          <w:u w:val="single"/>
        </w:rPr>
        <w:t>填。</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主营业务收入 </w:t>
      </w:r>
      <w:r>
        <w:rPr>
          <w:rFonts w:ascii="宋体" w:hAnsi="宋体" w:cs="宋体"/>
          <w:szCs w:val="21"/>
        </w:rPr>
        <w:t xml:space="preserve"> 指企业经营主要业务所实现的收入。如果会计“利润表”列示“主营业务收入”项目，则根据其本年累计数填报；或者，根据会计“主营业务收入”科目的本年各月贷方余额（结转前）之和填报，如未设置该科目，以“营业收入”代替填报。</w:t>
      </w:r>
      <w:r>
        <w:rPr>
          <w:rFonts w:hint="eastAsia" w:ascii="宋体" w:hAnsi="宋体" w:cs="宋体"/>
          <w:u w:val="single"/>
        </w:rPr>
        <w:t>此</w:t>
      </w:r>
      <w:r>
        <w:rPr>
          <w:rFonts w:ascii="宋体" w:hAnsi="宋体" w:cs="宋体"/>
          <w:u w:val="single"/>
        </w:rPr>
        <w:t>指标为</w:t>
      </w:r>
      <w:r>
        <w:rPr>
          <w:rFonts w:hint="eastAsia" w:ascii="宋体" w:hAnsi="宋体" w:cs="宋体"/>
          <w:u w:val="single"/>
        </w:rPr>
        <w:t>从</w:t>
      </w:r>
      <w:r>
        <w:rPr>
          <w:rFonts w:ascii="宋体" w:hAnsi="宋体" w:cs="宋体"/>
          <w:u w:val="single"/>
        </w:rPr>
        <w:t>后续表摘抄指标，调查单位</w:t>
      </w:r>
      <w:r>
        <w:rPr>
          <w:rFonts w:hint="eastAsia" w:ascii="宋体" w:hAnsi="宋体" w:cs="宋体"/>
          <w:u w:val="single"/>
        </w:rPr>
        <w:t>免</w:t>
      </w:r>
      <w:r>
        <w:rPr>
          <w:rFonts w:ascii="宋体" w:hAnsi="宋体" w:cs="宋体"/>
          <w:u w:val="single"/>
        </w:rPr>
        <w:t>填。</w:t>
      </w:r>
    </w:p>
    <w:p>
      <w:pPr>
        <w:snapToGrid w:val="0"/>
        <w:spacing w:line="360" w:lineRule="exact"/>
        <w:ind w:firstLine="420" w:firstLineChars="200"/>
        <w:rPr>
          <w:rFonts w:ascii="宋体" w:hAnsi="宋体" w:cs="宋体"/>
          <w:szCs w:val="21"/>
        </w:rPr>
      </w:pPr>
      <w:r>
        <w:rPr>
          <w:rFonts w:ascii="宋体" w:hAnsi="宋体" w:eastAsia="黑体" w:cs="宋体"/>
          <w:szCs w:val="21"/>
        </w:rPr>
        <w:t>资产总计</w:t>
      </w:r>
      <w:r>
        <w:rPr>
          <w:rFonts w:ascii="宋体" w:hAnsi="宋体" w:cs="宋体"/>
          <w:szCs w:val="21"/>
        </w:rPr>
        <w:t xml:space="preserve">  指企业过去的交易或者事项形成的、由企业拥有或者控制的、预期会给企业带来经济利益的资源。包括企业拥有的土地、办公楼、厂房、机器、运输工具、存货等实物资产和现金、存款、应收账款和预付账款等金融资产。资产一般按流动性（资产的变现或耗用时间长短）分为流动资产和非流动资产。其中流动资产可分为货币资金、交易性金融资产、应收票据、应收账款、预付款项、其他应收款、存货等；非流动资产可分为长期股权投资、固定资产、无形资产及其他非流动资产等。根据会计“资产负债表”中“资产总计”项目的期末余额数填报。</w:t>
      </w:r>
      <w:r>
        <w:rPr>
          <w:rFonts w:hint="eastAsia" w:ascii="宋体" w:hAnsi="宋体" w:cs="宋体"/>
          <w:u w:val="single"/>
        </w:rPr>
        <w:t>此</w:t>
      </w:r>
      <w:r>
        <w:rPr>
          <w:rFonts w:ascii="宋体" w:hAnsi="宋体" w:cs="宋体"/>
          <w:u w:val="single"/>
        </w:rPr>
        <w:t>指标为</w:t>
      </w:r>
      <w:r>
        <w:rPr>
          <w:rFonts w:hint="eastAsia" w:ascii="宋体" w:hAnsi="宋体" w:cs="宋体"/>
          <w:u w:val="single"/>
        </w:rPr>
        <w:t>从</w:t>
      </w:r>
      <w:r>
        <w:rPr>
          <w:rFonts w:ascii="宋体" w:hAnsi="宋体" w:cs="宋体"/>
          <w:u w:val="single"/>
        </w:rPr>
        <w:t>后续表摘抄指标，调查单位</w:t>
      </w:r>
      <w:r>
        <w:rPr>
          <w:rFonts w:hint="eastAsia" w:ascii="宋体" w:hAnsi="宋体" w:cs="宋体"/>
          <w:u w:val="single"/>
        </w:rPr>
        <w:t>免</w:t>
      </w:r>
      <w:r>
        <w:rPr>
          <w:rFonts w:ascii="宋体" w:hAnsi="宋体" w:cs="宋体"/>
          <w:u w:val="single"/>
        </w:rPr>
        <w:t>填。</w:t>
      </w:r>
    </w:p>
    <w:p>
      <w:pPr>
        <w:snapToGrid w:val="0"/>
        <w:spacing w:line="360" w:lineRule="exact"/>
        <w:ind w:firstLine="420" w:firstLineChars="200"/>
        <w:rPr>
          <w:rFonts w:ascii="宋体" w:hAnsi="宋体" w:cs="宋体"/>
          <w:szCs w:val="21"/>
        </w:rPr>
      </w:pPr>
      <w:r>
        <w:rPr>
          <w:rFonts w:hint="eastAsia" w:ascii="黑体" w:hAnsi="宋体" w:eastAsia="黑体" w:cs="黑体"/>
          <w:szCs w:val="21"/>
        </w:rPr>
        <w:t>利润总额</w:t>
      </w:r>
      <w:r>
        <w:rPr>
          <w:rFonts w:ascii="宋体" w:hAnsi="宋体" w:cs="宋体"/>
          <w:szCs w:val="21"/>
        </w:rPr>
        <w:t xml:space="preserve">  </w:t>
      </w:r>
      <w:r>
        <w:rPr>
          <w:rFonts w:hint="eastAsia" w:ascii="宋体" w:hAnsi="宋体" w:cs="宋体"/>
          <w:szCs w:val="21"/>
        </w:rPr>
        <w:t>指企业在一定会计期间的经营成果，是生产经营过程中各种收入扣除各种耗费后的盈余，反映企业在报告期内实现的盈亏总额。利润总额为营业利润加上营业外收入，减去营业外支出后的金额，根据会计“利润表”中“利润总额”项目的本年累计数填报。</w:t>
      </w:r>
      <w:r>
        <w:rPr>
          <w:rFonts w:hint="eastAsia" w:ascii="宋体" w:hAnsi="宋体" w:cs="宋体"/>
          <w:u w:val="single"/>
        </w:rPr>
        <w:t>此</w:t>
      </w:r>
      <w:r>
        <w:rPr>
          <w:rFonts w:ascii="宋体" w:hAnsi="宋体" w:cs="宋体"/>
          <w:u w:val="single"/>
        </w:rPr>
        <w:t>指标为</w:t>
      </w:r>
      <w:r>
        <w:rPr>
          <w:rFonts w:hint="eastAsia" w:ascii="宋体" w:hAnsi="宋体" w:cs="宋体"/>
          <w:u w:val="single"/>
        </w:rPr>
        <w:t>从</w:t>
      </w:r>
      <w:r>
        <w:rPr>
          <w:rFonts w:ascii="宋体" w:hAnsi="宋体" w:cs="宋体"/>
          <w:u w:val="single"/>
        </w:rPr>
        <w:t>后续表摘抄指标，调查单位</w:t>
      </w:r>
      <w:r>
        <w:rPr>
          <w:rFonts w:hint="eastAsia" w:ascii="宋体" w:hAnsi="宋体" w:cs="宋体"/>
          <w:u w:val="single"/>
        </w:rPr>
        <w:t>免</w:t>
      </w:r>
      <w:r>
        <w:rPr>
          <w:rFonts w:ascii="宋体" w:hAnsi="宋体" w:cs="宋体"/>
          <w:u w:val="single"/>
        </w:rPr>
        <w:t>填。</w:t>
      </w:r>
    </w:p>
    <w:p>
      <w:pPr>
        <w:spacing w:line="360" w:lineRule="exact"/>
        <w:ind w:firstLine="420" w:firstLineChars="200"/>
        <w:rPr>
          <w:rFonts w:ascii="黑体" w:eastAsia="黑体"/>
        </w:rPr>
      </w:pPr>
      <w:r>
        <w:rPr>
          <w:rFonts w:hint="eastAsia" w:ascii="黑体" w:eastAsia="黑体"/>
        </w:rPr>
        <w:t>是否</w:t>
      </w:r>
      <w:r>
        <w:rPr>
          <w:rFonts w:ascii="黑体" w:eastAsia="黑体"/>
        </w:rPr>
        <w:t>为</w:t>
      </w:r>
      <w:r>
        <w:rPr>
          <w:rFonts w:hint="eastAsia" w:ascii="黑体" w:eastAsia="黑体"/>
        </w:rPr>
        <w:t>“视同</w:t>
      </w:r>
      <w:r>
        <w:rPr>
          <w:rFonts w:ascii="黑体" w:eastAsia="黑体"/>
        </w:rPr>
        <w:t>法人单位</w:t>
      </w:r>
      <w:r>
        <w:rPr>
          <w:rFonts w:hint="eastAsia" w:ascii="黑体" w:eastAsia="黑体"/>
        </w:rPr>
        <w:t>”？如是，</w:t>
      </w:r>
      <w:r>
        <w:rPr>
          <w:rFonts w:ascii="黑体" w:eastAsia="黑体"/>
        </w:rPr>
        <w:t>请勾选</w:t>
      </w:r>
      <w:r>
        <w:rPr>
          <w:rFonts w:hint="eastAsia" w:ascii="黑体" w:eastAsia="黑体"/>
        </w:rPr>
        <w:t xml:space="preserve"> </w:t>
      </w:r>
      <w:r>
        <w:rPr>
          <w:rFonts w:ascii="黑体" w:eastAsia="黑体"/>
        </w:rPr>
        <w:t xml:space="preserve"> </w:t>
      </w:r>
      <w:r>
        <w:rPr>
          <w:rFonts w:hint="eastAsia" w:ascii="宋体" w:hAnsi="宋体"/>
          <w:szCs w:val="21"/>
          <w:u w:val="single"/>
        </w:rPr>
        <w:t>填报单位免填</w:t>
      </w:r>
      <w:r>
        <w:rPr>
          <w:rFonts w:hint="eastAsia" w:ascii="宋体" w:hAnsi="宋体"/>
          <w:szCs w:val="21"/>
        </w:rPr>
        <w:t>，由所在地统计机构</w:t>
      </w:r>
      <w:r>
        <w:rPr>
          <w:rFonts w:hint="eastAsia" w:ascii="宋体"/>
          <w:kern w:val="0"/>
        </w:rPr>
        <w:t>按照统计单位划分有关规定，对各类视同法人单位统计的产业活动单位进行</w:t>
      </w:r>
      <w:r>
        <w:rPr>
          <w:rFonts w:ascii="宋体"/>
          <w:kern w:val="0"/>
        </w:rPr>
        <w:t>勾选</w:t>
      </w:r>
      <w:r>
        <w:rPr>
          <w:rFonts w:hint="eastAsia" w:ascii="宋体"/>
          <w:kern w:val="0"/>
        </w:rPr>
        <w:t>。</w:t>
      </w:r>
    </w:p>
    <w:p>
      <w:pPr>
        <w:snapToGrid w:val="0"/>
        <w:spacing w:line="360" w:lineRule="exact"/>
        <w:ind w:firstLine="420" w:firstLineChars="200"/>
        <w:rPr>
          <w:rFonts w:ascii="宋体" w:hAnsi="宋体" w:eastAsia="黑体" w:cs="宋体"/>
          <w:szCs w:val="21"/>
        </w:rPr>
      </w:pPr>
      <w:r>
        <w:rPr>
          <w:rFonts w:ascii="宋体" w:hAnsi="宋体" w:eastAsia="黑体" w:cs="宋体"/>
          <w:szCs w:val="21"/>
        </w:rPr>
        <w:t xml:space="preserve">机构类型  </w:t>
      </w:r>
      <w:r>
        <w:rPr>
          <w:rFonts w:ascii="宋体" w:hAnsi="宋体" w:cs="宋体"/>
          <w:szCs w:val="21"/>
        </w:rPr>
        <w:t>分为企业、事业单位、机关、社会团体、民办非企业单位、基金会、居委会、村委会、农民专业合作社、农村集体经济组织和其他组织机构。</w:t>
      </w:r>
      <w:r>
        <w:rPr>
          <w:rFonts w:hint="eastAsia" w:ascii="宋体" w:hAnsi="宋体"/>
          <w:szCs w:val="21"/>
          <w:u w:val="single"/>
        </w:rPr>
        <w:t>所有</w:t>
      </w:r>
      <w:r>
        <w:rPr>
          <w:rFonts w:ascii="宋体" w:hAnsi="宋体"/>
          <w:szCs w:val="21"/>
          <w:u w:val="single"/>
        </w:rPr>
        <w:t>单位均填写本项。</w:t>
      </w:r>
    </w:p>
    <w:p>
      <w:pPr>
        <w:snapToGrid w:val="0"/>
        <w:spacing w:line="360" w:lineRule="exact"/>
        <w:ind w:firstLine="420" w:firstLineChars="200"/>
        <w:rPr>
          <w:rFonts w:ascii="宋体" w:hAnsi="宋体" w:cs="宋体"/>
          <w:szCs w:val="21"/>
        </w:rPr>
      </w:pPr>
      <w:r>
        <w:rPr>
          <w:rFonts w:ascii="宋体" w:hAnsi="宋体" w:cs="宋体"/>
          <w:szCs w:val="21"/>
        </w:rPr>
        <w:t>1.企业：包括（1）领取《企业法人营业执照》（或新版《营业执照》）的各类企业法人；（2）个人独资企业、合伙企业；（3）领取《营业执照》的企业法人分支机构或经营单位，个人独资企业和合伙企业的分支机构；（4）未经有关部门批准但实际从事生产经营活动、且符合产业活动单位条件的企业法人的组成部分。</w:t>
      </w:r>
    </w:p>
    <w:p>
      <w:pPr>
        <w:snapToGrid w:val="0"/>
        <w:spacing w:line="360" w:lineRule="exact"/>
        <w:ind w:firstLine="420" w:firstLineChars="200"/>
        <w:rPr>
          <w:rFonts w:ascii="宋体" w:hAnsi="宋体" w:cs="宋体"/>
          <w:szCs w:val="21"/>
        </w:rPr>
      </w:pPr>
      <w:r>
        <w:rPr>
          <w:rFonts w:ascii="宋体" w:hAnsi="宋体" w:cs="宋体"/>
          <w:szCs w:val="21"/>
        </w:rPr>
        <w:t>2.事业单位：包括（1）经机构编制部门批准成立和登记或备案，领取《事业单位法人证书》，取得法人资格的单位；（2）事业法人单位的本部及分支机构或派出机构。</w:t>
      </w:r>
    </w:p>
    <w:p>
      <w:pPr>
        <w:snapToGrid w:val="0"/>
        <w:spacing w:line="360" w:lineRule="exact"/>
        <w:ind w:firstLine="420" w:firstLineChars="200"/>
        <w:rPr>
          <w:rFonts w:ascii="宋体" w:hAnsi="宋体" w:cs="宋体"/>
          <w:szCs w:val="21"/>
        </w:rPr>
      </w:pPr>
      <w:r>
        <w:rPr>
          <w:rFonts w:ascii="宋体" w:hAnsi="宋体" w:cs="宋体"/>
          <w:szCs w:val="21"/>
        </w:rPr>
        <w:t>3.机关：包括国家权力机关、国家行政机关、国家监察机关、司法机关、政党机关、政协组织和其他机关法人；机关法人单位的本部，以及国家权力机关分支机构、国家行政机关分支或派出机构、监察机关分支机构、人民法院分支机构、人民检察院分支机构等。</w:t>
      </w:r>
    </w:p>
    <w:p>
      <w:pPr>
        <w:snapToGrid w:val="0"/>
        <w:spacing w:line="360" w:lineRule="exact"/>
        <w:ind w:firstLine="420" w:firstLineChars="200"/>
        <w:rPr>
          <w:rFonts w:ascii="宋体" w:hAnsi="宋体" w:cs="宋体"/>
          <w:szCs w:val="21"/>
        </w:rPr>
      </w:pPr>
      <w:r>
        <w:rPr>
          <w:rFonts w:ascii="宋体" w:hAnsi="宋体" w:cs="宋体"/>
          <w:szCs w:val="21"/>
        </w:rPr>
        <w:t>（1）国家权力机关：指全国人民代表大会及其常务委员会、地方各级人民代表大会及其常务委员会和办事机构。</w:t>
      </w:r>
    </w:p>
    <w:p>
      <w:pPr>
        <w:snapToGrid w:val="0"/>
        <w:spacing w:line="360" w:lineRule="exact"/>
        <w:ind w:firstLine="420" w:firstLineChars="200"/>
        <w:rPr>
          <w:rFonts w:ascii="宋体" w:hAnsi="宋体" w:cs="宋体"/>
          <w:szCs w:val="21"/>
        </w:rPr>
      </w:pPr>
      <w:r>
        <w:rPr>
          <w:rFonts w:ascii="宋体" w:hAnsi="宋体" w:cs="宋体"/>
          <w:szCs w:val="21"/>
        </w:rPr>
        <w:t>（2）国家行政机关：指国务院和地方各级人民政府及其工作部门，以及地区行政行署。</w:t>
      </w:r>
    </w:p>
    <w:p>
      <w:pPr>
        <w:snapToGrid w:val="0"/>
        <w:spacing w:line="360" w:lineRule="exact"/>
        <w:ind w:firstLine="420" w:firstLineChars="200"/>
        <w:rPr>
          <w:rFonts w:ascii="宋体" w:hAnsi="宋体" w:cs="宋体"/>
          <w:szCs w:val="21"/>
        </w:rPr>
      </w:pPr>
      <w:r>
        <w:rPr>
          <w:rFonts w:ascii="宋体" w:hAnsi="宋体" w:cs="宋体"/>
          <w:szCs w:val="21"/>
        </w:rPr>
        <w:t>（3）国家监察机关：指行使监察职能的机关。</w:t>
      </w:r>
    </w:p>
    <w:p>
      <w:pPr>
        <w:snapToGrid w:val="0"/>
        <w:spacing w:line="360" w:lineRule="exact"/>
        <w:ind w:firstLine="420" w:firstLineChars="200"/>
        <w:rPr>
          <w:rFonts w:ascii="宋体" w:hAnsi="宋体" w:cs="宋体"/>
          <w:szCs w:val="21"/>
        </w:rPr>
      </w:pPr>
      <w:r>
        <w:rPr>
          <w:rFonts w:ascii="宋体" w:hAnsi="宋体" w:cs="宋体"/>
          <w:szCs w:val="21"/>
        </w:rPr>
        <w:t>（4）国家司法机关：指国家审判机关和检察机关。</w:t>
      </w:r>
    </w:p>
    <w:p>
      <w:pPr>
        <w:snapToGrid w:val="0"/>
        <w:spacing w:line="360" w:lineRule="exact"/>
        <w:ind w:firstLine="420" w:firstLineChars="200"/>
        <w:rPr>
          <w:rFonts w:ascii="宋体" w:hAnsi="宋体" w:cs="宋体"/>
          <w:szCs w:val="21"/>
        </w:rPr>
      </w:pPr>
      <w:r>
        <w:rPr>
          <w:rFonts w:ascii="宋体" w:hAnsi="宋体" w:cs="宋体"/>
          <w:szCs w:val="21"/>
        </w:rPr>
        <w:t>（5）政党机关：指中国共产党各级机关和所属办事机构、各民主党派各级机关和办事机构。</w:t>
      </w:r>
    </w:p>
    <w:p>
      <w:pPr>
        <w:snapToGrid w:val="0"/>
        <w:spacing w:line="360" w:lineRule="exact"/>
        <w:ind w:firstLine="420" w:firstLineChars="200"/>
        <w:rPr>
          <w:rFonts w:ascii="宋体" w:hAnsi="宋体" w:cs="宋体"/>
          <w:szCs w:val="21"/>
        </w:rPr>
      </w:pPr>
      <w:r>
        <w:rPr>
          <w:rFonts w:ascii="宋体" w:hAnsi="宋体" w:cs="宋体"/>
          <w:szCs w:val="21"/>
        </w:rPr>
        <w:t>（6）政协组织：指中国人民政治协商会议全国委员会和地方各级委员会及其办事机构。</w:t>
      </w:r>
    </w:p>
    <w:p>
      <w:pPr>
        <w:snapToGrid w:val="0"/>
        <w:spacing w:line="360" w:lineRule="exact"/>
        <w:ind w:firstLine="420" w:firstLineChars="200"/>
        <w:rPr>
          <w:rFonts w:ascii="宋体" w:hAnsi="宋体" w:cs="宋体"/>
          <w:szCs w:val="21"/>
        </w:rPr>
      </w:pPr>
      <w:r>
        <w:rPr>
          <w:rFonts w:ascii="宋体" w:hAnsi="宋体" w:cs="宋体"/>
          <w:szCs w:val="21"/>
        </w:rPr>
        <w:t>4.社会团体：指中国公民自愿组成，为实现会员共同意愿，按照其章程开展活动的非营利性社会组织。包括（1）经各级民政部门核准登记，领取《社会团体法人登记证书》的各类社会团体；（2）由各级机构编制管理部门直接管理其机构编制的群众团体；（3）经国务院批准可以免于登记的社会团体。</w:t>
      </w:r>
    </w:p>
    <w:p>
      <w:pPr>
        <w:snapToGrid w:val="0"/>
        <w:spacing w:line="360" w:lineRule="exact"/>
        <w:ind w:firstLine="420" w:firstLineChars="200"/>
        <w:rPr>
          <w:rFonts w:ascii="宋体" w:hAnsi="宋体" w:cs="宋体"/>
          <w:szCs w:val="21"/>
        </w:rPr>
      </w:pPr>
      <w:r>
        <w:rPr>
          <w:rFonts w:ascii="宋体" w:hAnsi="宋体" w:cs="宋体"/>
          <w:szCs w:val="21"/>
        </w:rPr>
        <w:t>5.民办非企业单位：指企业单位、事业单位、社会团体和其他社会力量以及公民个人利用非国有资产举办的，从事非营利性社会服务的社会组织。民办非企业法人指经各级民政部门核准登记，领取《民办非企业单位登记证书》的民办非企业单位。</w:t>
      </w:r>
    </w:p>
    <w:p>
      <w:pPr>
        <w:snapToGrid w:val="0"/>
        <w:spacing w:line="360" w:lineRule="exact"/>
        <w:ind w:firstLine="420" w:firstLineChars="200"/>
        <w:rPr>
          <w:rFonts w:ascii="宋体" w:hAnsi="宋体" w:cs="宋体"/>
          <w:szCs w:val="21"/>
        </w:rPr>
      </w:pPr>
      <w:r>
        <w:rPr>
          <w:rFonts w:ascii="宋体" w:hAnsi="宋体" w:cs="宋体"/>
          <w:szCs w:val="21"/>
        </w:rPr>
        <w:t>6.基金会：指民政部门核准登记的，颁发《基金会法人登记证书》的基金会。</w:t>
      </w:r>
    </w:p>
    <w:p>
      <w:pPr>
        <w:snapToGrid w:val="0"/>
        <w:spacing w:line="360" w:lineRule="exact"/>
        <w:ind w:firstLine="420" w:firstLineChars="200"/>
        <w:rPr>
          <w:rFonts w:ascii="宋体" w:hAnsi="宋体" w:cs="宋体"/>
          <w:szCs w:val="21"/>
        </w:rPr>
      </w:pPr>
      <w:r>
        <w:rPr>
          <w:rFonts w:ascii="宋体" w:hAnsi="宋体" w:cs="宋体"/>
          <w:szCs w:val="21"/>
        </w:rPr>
        <w:t>7.居民委员会：由不设区的市、市辖区的人民政府决定设立的社区（居委会）。</w:t>
      </w:r>
    </w:p>
    <w:p>
      <w:pPr>
        <w:snapToGrid w:val="0"/>
        <w:spacing w:line="360" w:lineRule="exact"/>
        <w:ind w:firstLine="420" w:firstLineChars="200"/>
        <w:rPr>
          <w:rFonts w:ascii="宋体" w:hAnsi="宋体" w:cs="宋体"/>
          <w:szCs w:val="21"/>
        </w:rPr>
      </w:pPr>
      <w:r>
        <w:rPr>
          <w:rFonts w:ascii="宋体" w:hAnsi="宋体" w:cs="宋体"/>
          <w:szCs w:val="21"/>
        </w:rPr>
        <w:t>8.村民委员会：由乡、民族乡、镇的人民政府提出，经村民会议讨论同意后，报县级人民政府批准，设立的村民委员会。</w:t>
      </w:r>
    </w:p>
    <w:p>
      <w:pPr>
        <w:snapToGrid w:val="0"/>
        <w:spacing w:line="360" w:lineRule="exact"/>
        <w:ind w:firstLine="420" w:firstLineChars="200"/>
        <w:rPr>
          <w:rFonts w:ascii="宋体" w:hAnsi="宋体" w:cs="宋体"/>
          <w:szCs w:val="21"/>
        </w:rPr>
      </w:pPr>
      <w:r>
        <w:rPr>
          <w:rFonts w:ascii="宋体" w:hAnsi="宋体" w:cs="宋体"/>
          <w:szCs w:val="21"/>
        </w:rPr>
        <w:t>9.农民专业合作社：指以农村</w:t>
      </w:r>
      <w:r>
        <w:rPr>
          <w:rFonts w:ascii="宋体" w:hAnsi="宋体" w:cs="宋体"/>
          <w:color w:val="auto"/>
          <w:szCs w:val="21"/>
          <w:u w:val="none"/>
        </w:rPr>
        <w:t>家庭承包经营</w:t>
      </w:r>
      <w:r>
        <w:rPr>
          <w:rFonts w:ascii="宋体" w:hAnsi="宋体" w:cs="宋体"/>
          <w:szCs w:val="21"/>
        </w:rPr>
        <w:t>为基础，通过提供农产品的销售、加工、运输、</w:t>
      </w:r>
      <w:r>
        <w:rPr>
          <w:rFonts w:ascii="宋体" w:hAnsi="宋体" w:cs="宋体"/>
          <w:color w:val="auto"/>
          <w:szCs w:val="21"/>
          <w:u w:val="none"/>
        </w:rPr>
        <w:t>贮藏</w:t>
      </w:r>
      <w:r>
        <w:rPr>
          <w:rFonts w:ascii="宋体" w:hAnsi="宋体" w:cs="宋体"/>
          <w:szCs w:val="21"/>
        </w:rPr>
        <w:t>以及与农业生产经营有关的技术、信息等服务来实现成员互助目的的组织。包括（1）经各级市场监管部门核准登记，领取《农民专业合作社法人营业执照》或新版《营业执照》的农民专业合作社法人，领取新版《营业执照》的农民专业合作社联合社法人；（2）经各级市场监管部门核准登记的农民专业合作社（或农民专业合作社联合社）分支机构。</w:t>
      </w:r>
    </w:p>
    <w:p>
      <w:pPr>
        <w:snapToGrid w:val="0"/>
        <w:spacing w:line="360" w:lineRule="exact"/>
        <w:ind w:firstLine="420" w:firstLineChars="200"/>
        <w:rPr>
          <w:rFonts w:ascii="宋体" w:hAnsi="宋体" w:cs="宋体"/>
          <w:szCs w:val="21"/>
        </w:rPr>
      </w:pPr>
      <w:r>
        <w:rPr>
          <w:rFonts w:ascii="宋体" w:hAnsi="宋体" w:cs="宋体"/>
          <w:szCs w:val="21"/>
        </w:rPr>
        <w:t>10.农村集体经济组织：在农村双层经营体制下，耕地、河道、灌溉设施等生产资料集体所有，合作经营、民主管理、服务村民的经济组织，主要是由原人民公社（现乡、镇）、生产大队（现村）、生产队（现村民组）建制经过改革、改造、改组形成的合作经济组织，包括经济联合总社、经济联合社、经济合作社、股份合作经济联合总社、股份合作经济联合社、股份合作社等。农村集体经济组织的设立需经县级及以上农业行政主管部门审核，颁发登记证书或证明书。</w:t>
      </w:r>
    </w:p>
    <w:p>
      <w:pPr>
        <w:snapToGrid w:val="0"/>
        <w:spacing w:line="360" w:lineRule="exact"/>
        <w:ind w:firstLine="420" w:firstLineChars="200"/>
        <w:rPr>
          <w:rFonts w:ascii="宋体" w:hAnsi="宋体" w:cs="宋体"/>
          <w:szCs w:val="21"/>
        </w:rPr>
      </w:pPr>
      <w:r>
        <w:rPr>
          <w:rFonts w:ascii="宋体" w:hAnsi="宋体" w:cs="宋体"/>
          <w:szCs w:val="21"/>
        </w:rPr>
        <w:t>11.其他组织机构：指除企业、事业单位、机关、社会团体、民办非企业单位、基金会、居民委员会、村民委员会、农民专业合作社和农村集体经济组织以外的其他符合法人和产业活动单位条件的机构。包括：律师事务所</w:t>
      </w:r>
      <w:r>
        <w:rPr>
          <w:rFonts w:hint="eastAsia" w:ascii="宋体" w:hAnsi="宋体" w:cs="宋体"/>
          <w:szCs w:val="21"/>
        </w:rPr>
        <w:t>、基层法律服务机构</w:t>
      </w:r>
      <w:r>
        <w:rPr>
          <w:rFonts w:ascii="宋体" w:hAnsi="宋体" w:cs="宋体"/>
          <w:szCs w:val="21"/>
        </w:rPr>
        <w:t>和各类</w:t>
      </w:r>
      <w:r>
        <w:rPr>
          <w:rFonts w:hint="eastAsia" w:ascii="宋体" w:hAnsi="宋体" w:cs="宋体"/>
          <w:szCs w:val="21"/>
        </w:rPr>
        <w:t>宗教活动场所</w:t>
      </w:r>
      <w:r>
        <w:rPr>
          <w:rFonts w:ascii="宋体" w:hAnsi="宋体" w:cs="宋体"/>
          <w:szCs w:val="21"/>
        </w:rPr>
        <w:t>等。</w:t>
      </w:r>
    </w:p>
    <w:p>
      <w:pPr>
        <w:snapToGrid w:val="0"/>
        <w:spacing w:line="360" w:lineRule="exact"/>
        <w:ind w:firstLine="420" w:firstLineChars="200"/>
        <w:rPr>
          <w:rFonts w:ascii="宋体"/>
        </w:rPr>
      </w:pPr>
      <w:r>
        <w:rPr>
          <w:rFonts w:hint="eastAsia" w:ascii="宋体" w:hAnsi="宋体" w:eastAsia="黑体" w:cs="宋体"/>
          <w:szCs w:val="21"/>
        </w:rPr>
        <w:t>登记注册统计类别</w:t>
      </w:r>
      <w:r>
        <w:rPr>
          <w:rFonts w:ascii="宋体" w:hAnsi="宋体" w:eastAsia="黑体" w:cs="宋体"/>
          <w:szCs w:val="21"/>
        </w:rPr>
        <w:t xml:space="preserve">  </w:t>
      </w:r>
      <w:r>
        <w:rPr>
          <w:rFonts w:hint="eastAsia" w:ascii="宋体" w:hAnsi="宋体" w:cs="宋体"/>
        </w:rPr>
        <w:t>企业单位的登记注册统计类别，依据《关于市场主体统计分类的划分规定》填写。机关、事业单位和社会团体及其他组织的登记注册统计类别，依据主要经费来源和管理方式，根据实际情况，比照《关于市场主体统计分类的划分规定》确定。</w:t>
      </w:r>
    </w:p>
    <w:p>
      <w:pPr>
        <w:snapToGrid w:val="0"/>
        <w:spacing w:line="360" w:lineRule="exact"/>
        <w:ind w:firstLine="420" w:firstLineChars="200"/>
        <w:rPr>
          <w:rFonts w:ascii="宋体"/>
        </w:rPr>
      </w:pPr>
      <w:r>
        <w:rPr>
          <w:rFonts w:hint="eastAsia" w:ascii="宋体" w:hAnsi="宋体" w:cs="宋体"/>
        </w:rPr>
        <w:t>在具体填报时应注意：</w:t>
      </w:r>
    </w:p>
    <w:p>
      <w:pPr>
        <w:snapToGrid w:val="0"/>
        <w:spacing w:line="360" w:lineRule="exact"/>
        <w:ind w:firstLine="420" w:firstLineChars="200"/>
        <w:rPr>
          <w:rFonts w:hint="eastAsia" w:ascii="宋体" w:hAnsi="宋体" w:cs="宋体"/>
          <w:szCs w:val="21"/>
        </w:rPr>
      </w:pPr>
      <w:r>
        <w:rPr>
          <w:rFonts w:hint="eastAsia" w:ascii="宋体" w:hAnsi="宋体" w:cs="宋体"/>
          <w:szCs w:val="21"/>
        </w:rPr>
        <w:t>（1）企业参照《营业执照》中的“类型”“公司类型”“合伙企业类型”“经营范围及方式”等填写，无法直接根据登记事项填写的，需根据投资人情况填写。</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登记注册为“有限责任公司（国有独资）”“有限责任公司分公司（国有独资）”，选填“111国有独资公司”。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有限责任公司（自然人投资或控股）”“有限责任公司（自然人独资）”“有限责任公司（自然人投资或控股的法人独资）”“有限责任公司分公司（自然人投资或控股）”“有限责任公司分公司（自然人独资）”“有限责任公司分公司（自然人投资或控股的法人独资）”，选填“112私营有限责任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有限责任公司（外商投资企业投资）”“有限责任公司（国有控股）”“有限责任公司（非自然人投资或控股的法人独资）”“其他有限责任公司”“有限责任公司分公司（外商投资企业投资）”“有限责任分公司（国有控股）”“有限责任分公司（非自然人投资或控股的法人独资）”“其他有限责任公司分公司”，选填“119其他有限责任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有限公司（上市、自然人投资或控股）”“股份有限公司（非上市、自然人投资或控股）”“股份有限公司分公司（上市、自然人投资或控股）”“股份有限公司分公司（非上市、自然人投资或控股）”，选填“121私营股份有限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有限公司（上市、外商投资企业投资）”“股份有限公司（上市、国有控股）”“其他股份有限公司（上市）”“股份有限公司（非上市、外商投资企业投资）”“股份有限公司（非上市、国有控股）”“其他股份有限公司（非上市）”“股份有限公司分公司（上市、外商投资企业投资）”“股份有限公司分公司（上市、国有控股）”“其他股份有限公司分公司（上市）”“股份有限公司分公司（非上市、外商投资企业投资）”“股份有限公司分公司（非上市、国有控股）”“其他股份有限公司分公司（非上市）”，选填“129其他股份有限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登记注册为“全民所有制”“国有事业单位营业”“国有社团法人营业”“全民所有制分支机构（非法人）”“国有经营单位（非法人）”，选填“131全民所有制企业（国有企业）”。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登记注册为“集体所有制”“集体事业单位营业”“集体社团法人营业”“集体分支机构（非法人）”“集体经营单位（非法人）”，选填“132集体所有制企业（集体企业）”。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登记注册为“股份合作制”“股份合作制分支机构”，选填“133股份合作企业”。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登记注册为“联营”，选填“134联营企业”。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登记注册为“个人独资企业”“个人独资企业分支机构”，选填“140个人独资企业”。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登记注册为“股份制”“股份制分支机构”“股份制企业（非法人）”，选填“190其他内资企业”。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有限责任公司(港澳台与境内合资)”“有限责任公司(港澳台与境内合作)”“有限责任公司(港澳台合资)”“有限责任公司(港澳台自然人独资)”“有限责任公司(港澳台法人独资)”“有限责任公司(港澳台非法人经济组织独资)”“有限责任公司(港澳台与外国投资者合资)”“有限责任公司(港澳台投资、非独资)”，选填“210港澳台投资有限责任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有限公司(港澳台与境内合资、未上市)”“股份有限公司(港澳台与境内合资、上市)”“股份有限公司(港澳台合资、未上市)”“股份有限公司(港澳台合资、上市)”“股份有限公司(港澳台与外国投资者合资、未上市)”“股份有限公司(港澳台与外国投资者合资、上市)”“股份有限公司(港澳台投资、未上市)”“股份有限公司(港澳台投资、上市)”，选填“220港澳台投资股份有限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登记注册为“非公司港、澳、台企业(港澳台与境内合作)”“非公司港、澳、台企业(港澳台合资)”“非公司港、澳、台投资企业分支机构”，选填“290其他港澳台投资企业”。</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有限责任公司(中外合资)”“有限责任公司(中外合作)”“有限责任公司(外商合资)”“有限责任公司(外国自然人独资)”“有限责任公司(外国法人独资)”“有限责任公司(外国非法人经济组织独资)”“有限责任公司(外商投资、非独资)”“外国(地区)有限责任公司分支机构”，选填“310外商投资有限责任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股份有限公司(中外合资、未上市)”“股份有限公司(中外合资、上市)”“股份有限公司(外商合资、未上市)”“股份有限公司(外商合资、上市)”“股份有限公司(外商投资、未上市)”“股份有限公司(外商投资、上市)”“外国(地区)股份有限责任公司分支机构”，选填“320外商投资股份有限公司”。</w:t>
      </w:r>
    </w:p>
    <w:p>
      <w:pPr>
        <w:snapToGrid w:val="0"/>
        <w:spacing w:line="360" w:lineRule="exact"/>
        <w:ind w:firstLine="420" w:firstLineChars="200"/>
        <w:rPr>
          <w:rFonts w:hint="eastAsia" w:ascii="宋体" w:hAnsi="宋体" w:cs="宋体"/>
          <w:szCs w:val="21"/>
        </w:rPr>
      </w:pPr>
      <w:r>
        <w:rPr>
          <w:rFonts w:hint="eastAsia" w:ascii="宋体" w:hAnsi="宋体" w:cs="宋体"/>
          <w:szCs w:val="21"/>
        </w:rPr>
        <w:t>登记注册为“非公司外商投资企业(中外合作)”“非公司外商投资企业(外商合资)”“非公司外商投资企业分支机构”“外国(地区)无限责任公司分支机构”“外国(地区)其他形式公司分支机构”“外国(地区)企业常驻代表机构”，选填“390其他外商投资企业”。</w:t>
      </w:r>
    </w:p>
    <w:p>
      <w:pPr>
        <w:numPr>
          <w:ilvl w:val="0"/>
          <w:numId w:val="12"/>
        </w:numPr>
        <w:snapToGrid w:val="0"/>
        <w:spacing w:line="360" w:lineRule="exact"/>
        <w:ind w:firstLine="420" w:firstLineChars="200"/>
        <w:rPr>
          <w:rFonts w:hint="eastAsia" w:ascii="宋体" w:hAnsi="宋体" w:cs="宋体"/>
        </w:rPr>
      </w:pPr>
      <w:r>
        <w:rPr>
          <w:rFonts w:hint="eastAsia" w:ascii="宋体" w:hAnsi="宋体" w:cs="宋体"/>
        </w:rPr>
        <w:t>机关、事业单位、机构编制部门管理的群众团体，应选填“131全民所有制企业（国有企业）”；</w:t>
      </w:r>
    </w:p>
    <w:p>
      <w:pPr>
        <w:numPr>
          <w:ilvl w:val="0"/>
          <w:numId w:val="12"/>
        </w:numPr>
        <w:snapToGrid w:val="0"/>
        <w:spacing w:line="360" w:lineRule="exact"/>
        <w:ind w:firstLine="420" w:firstLineChars="200"/>
        <w:rPr>
          <w:rFonts w:hint="eastAsia" w:ascii="宋体" w:hAnsi="宋体" w:cs="宋体"/>
        </w:rPr>
      </w:pPr>
      <w:r>
        <w:rPr>
          <w:rFonts w:hint="eastAsia" w:ascii="宋体" w:hAnsi="宋体" w:cs="宋体"/>
          <w:szCs w:val="21"/>
        </w:rPr>
        <w:t>登记注册为“农民专业合作社”“农民专业合作社分支机构”，选填“400农民专业合作社（联合社）”。</w:t>
      </w:r>
    </w:p>
    <w:p>
      <w:pPr>
        <w:snapToGrid w:val="0"/>
        <w:spacing w:line="360" w:lineRule="exact"/>
        <w:ind w:firstLine="420" w:firstLineChars="200"/>
        <w:rPr>
          <w:rFonts w:hint="eastAsia" w:ascii="宋体" w:hAnsi="宋体" w:cs="宋体"/>
        </w:rPr>
      </w:pPr>
      <w:r>
        <w:rPr>
          <w:rFonts w:hint="eastAsia" w:ascii="宋体" w:hAnsi="宋体" w:cs="宋体"/>
        </w:rPr>
        <w:t>（4）农村</w:t>
      </w:r>
      <w:r>
        <w:rPr>
          <w:rFonts w:ascii="宋体" w:hAnsi="宋体" w:cs="宋体"/>
        </w:rPr>
        <w:t>集体经济组织</w:t>
      </w:r>
      <w:r>
        <w:rPr>
          <w:rFonts w:hint="eastAsia" w:ascii="宋体" w:hAnsi="宋体" w:cs="宋体"/>
        </w:rPr>
        <w:t>、社区（居委会）、村委会应选填</w:t>
      </w:r>
      <w:r>
        <w:rPr>
          <w:rFonts w:ascii="宋体" w:hAnsi="宋体" w:cs="宋体"/>
        </w:rPr>
        <w:t>“</w:t>
      </w:r>
      <w:r>
        <w:rPr>
          <w:rFonts w:hint="eastAsia" w:ascii="宋体" w:hAnsi="宋体" w:cs="宋体"/>
        </w:rPr>
        <w:t>132集体所有制企业（集体企业）</w:t>
      </w:r>
      <w:r>
        <w:rPr>
          <w:rFonts w:ascii="宋体" w:hAnsi="宋体" w:cs="宋体"/>
        </w:rPr>
        <w:t>”</w:t>
      </w:r>
      <w:r>
        <w:rPr>
          <w:rFonts w:hint="eastAsia" w:ascii="宋体" w:hAnsi="宋体" w:cs="宋体"/>
        </w:rPr>
        <w:t>；</w:t>
      </w:r>
    </w:p>
    <w:p>
      <w:pPr>
        <w:snapToGrid w:val="0"/>
        <w:spacing w:line="360" w:lineRule="exact"/>
        <w:ind w:firstLine="420" w:firstLineChars="200"/>
        <w:rPr>
          <w:rFonts w:ascii="宋体"/>
        </w:rPr>
      </w:pPr>
      <w:r>
        <w:rPr>
          <w:rFonts w:hint="eastAsia" w:ascii="宋体" w:hAnsi="宋体" w:cs="宋体"/>
        </w:rPr>
        <w:t>（5）其他非企业单位根据主要经费来源和管理方式填写；</w:t>
      </w:r>
      <w:r>
        <w:rPr>
          <w:rFonts w:hint="eastAsia" w:ascii="宋体" w:hAnsi="宋体" w:cs="宋体"/>
          <w:szCs w:val="21"/>
        </w:rPr>
        <w:t>国家负担经费或管理的，应选填“131全民所有制企业（国有企业）”；集体负担经费或管理的，应选填“132集体所有制企业（集体企业）”；个人负担经费或管理的，应选填“140个人独资企业”；合伙负担经费或管理的，应选填“150合伙企业”；无法识别经费来源或管理方的，应选填“900其他市场主体”。</w:t>
      </w:r>
    </w:p>
    <w:p>
      <w:pPr>
        <w:snapToGrid w:val="0"/>
        <w:spacing w:line="360" w:lineRule="exact"/>
        <w:ind w:firstLine="420" w:firstLineChars="200"/>
        <w:rPr>
          <w:rFonts w:ascii="宋体"/>
        </w:rPr>
      </w:pPr>
      <w:r>
        <w:rPr>
          <w:rFonts w:hint="eastAsia" w:ascii="宋体" w:hAnsi="宋体" w:cs="宋体"/>
        </w:rPr>
        <w:t>（6）如单位登记注册统计类别改变，但未重新办理变更登记，应按原登记注册统计类别填写。</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港澳台商投资情况  </w:t>
      </w:r>
      <w:r>
        <w:rPr>
          <w:rFonts w:ascii="宋体" w:hAnsi="宋体" w:cs="宋体"/>
          <w:szCs w:val="21"/>
        </w:rPr>
        <w:t>港商投资、澳商投资和台商投资分别指香港</w:t>
      </w:r>
      <w:r>
        <w:rPr>
          <w:rFonts w:hint="eastAsia" w:ascii="宋体" w:hAnsi="宋体" w:cs="宋体"/>
          <w:szCs w:val="21"/>
        </w:rPr>
        <w:t>特别行政区</w:t>
      </w:r>
      <w:r>
        <w:rPr>
          <w:rFonts w:ascii="宋体" w:hAnsi="宋体" w:cs="宋体"/>
          <w:szCs w:val="21"/>
        </w:rPr>
        <w:t>、澳门</w:t>
      </w:r>
      <w:r>
        <w:rPr>
          <w:rFonts w:hint="eastAsia" w:ascii="宋体" w:hAnsi="宋体" w:cs="宋体"/>
          <w:szCs w:val="21"/>
        </w:rPr>
        <w:t>特别行政区</w:t>
      </w:r>
      <w:r>
        <w:rPr>
          <w:rFonts w:ascii="宋体" w:hAnsi="宋体" w:cs="宋体"/>
          <w:szCs w:val="21"/>
        </w:rPr>
        <w:t>和台湾</w:t>
      </w:r>
      <w:r>
        <w:rPr>
          <w:rFonts w:hint="eastAsia" w:ascii="宋体" w:hAnsi="宋体" w:cs="宋体"/>
          <w:szCs w:val="21"/>
        </w:rPr>
        <w:t>省</w:t>
      </w:r>
      <w:r>
        <w:rPr>
          <w:rFonts w:ascii="宋体" w:hAnsi="宋体" w:cs="宋体"/>
          <w:szCs w:val="21"/>
        </w:rPr>
        <w:t>投资者依照相关法律规定在中国内地进行各种直接投资的形式。</w:t>
      </w:r>
      <w:r>
        <w:rPr>
          <w:rFonts w:ascii="宋体" w:hAnsi="宋体" w:cs="宋体"/>
          <w:szCs w:val="21"/>
          <w:u w:val="single"/>
        </w:rPr>
        <w:t>限全部港澳台投资企业填写。</w:t>
      </w:r>
    </w:p>
    <w:p>
      <w:pPr>
        <w:snapToGrid w:val="0"/>
        <w:spacing w:line="360" w:lineRule="exact"/>
        <w:ind w:firstLine="420" w:firstLineChars="200"/>
        <w:rPr>
          <w:rFonts w:ascii="宋体" w:hAnsi="宋体" w:cs="宋体"/>
          <w:szCs w:val="21"/>
        </w:rPr>
      </w:pPr>
      <w:r>
        <w:rPr>
          <w:rFonts w:ascii="宋体" w:hAnsi="宋体" w:cs="宋体"/>
          <w:szCs w:val="21"/>
        </w:rPr>
        <w:t>暂未投资，是指单位在市场监管部门登记注册的类型是港澳台商投资单位，但是尚未有港、澳、台商的资金投入。</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企业控股情况  </w:t>
      </w:r>
      <w:r>
        <w:rPr>
          <w:rFonts w:ascii="宋体" w:hAnsi="宋体" w:cs="宋体"/>
          <w:szCs w:val="21"/>
        </w:rPr>
        <w:t>根据企业实收资本中某种经济成分的出资人的实际投资情况，或出资人对企业资产的实际控制、支配程度进行分类。具体分为国有控股、集体控股、私人控股、港澳台商控股、外商控股和其他六类。</w:t>
      </w:r>
      <w:r>
        <w:rPr>
          <w:rFonts w:ascii="宋体" w:hAnsi="宋体"/>
          <w:szCs w:val="21"/>
          <w:u w:val="single"/>
        </w:rPr>
        <w:t>限企业法人</w:t>
      </w:r>
      <w:r>
        <w:rPr>
          <w:rFonts w:hint="eastAsia" w:ascii="宋体" w:hAnsi="宋体"/>
          <w:szCs w:val="21"/>
          <w:u w:val="single"/>
        </w:rPr>
        <w:t>单位填</w:t>
      </w:r>
      <w:r>
        <w:rPr>
          <w:rFonts w:ascii="宋体" w:hAnsi="宋体"/>
          <w:szCs w:val="21"/>
          <w:u w:val="single"/>
        </w:rPr>
        <w:t>写。</w:t>
      </w:r>
    </w:p>
    <w:p>
      <w:pPr>
        <w:snapToGrid w:val="0"/>
        <w:spacing w:line="360" w:lineRule="exact"/>
        <w:ind w:firstLine="420" w:firstLineChars="200"/>
        <w:rPr>
          <w:rFonts w:ascii="宋体" w:hAnsi="宋体" w:cs="宋体"/>
          <w:szCs w:val="21"/>
        </w:rPr>
      </w:pPr>
      <w:r>
        <w:rPr>
          <w:rFonts w:ascii="宋体" w:hAnsi="宋体" w:cs="宋体"/>
          <w:szCs w:val="21"/>
        </w:rPr>
        <w:t>1.国有控股：包括（1）在企业的全部实收资本中，国有经济成分的出资人拥有的实收资本（股本）所占企业全部实收资本（股本）的比例大于50%的国有绝对控股；（2）在企业的全部实收资本中，国有经济成分的出资人拥有的实收资本（股本）所占比例虽未大于50%，但相对大于其他任何一方经济成分的出资人所占比例的国有相对控股；或者虽不大于其他经济成分，但根据协议规定拥有企业实际控制权的国有协议控股。（3）投资双方各占50%，且未明确由谁绝对控股的企业，若其中一方为国有经济成分的，一律按国有控股处理。</w:t>
      </w:r>
    </w:p>
    <w:p>
      <w:pPr>
        <w:snapToGrid w:val="0"/>
        <w:spacing w:line="360" w:lineRule="exact"/>
        <w:ind w:firstLine="420" w:firstLineChars="200"/>
        <w:rPr>
          <w:rFonts w:ascii="宋体" w:hAnsi="宋体" w:cs="宋体"/>
          <w:szCs w:val="21"/>
        </w:rPr>
      </w:pPr>
      <w:r>
        <w:rPr>
          <w:rFonts w:ascii="宋体" w:hAnsi="宋体" w:cs="宋体"/>
          <w:szCs w:val="21"/>
        </w:rPr>
        <w:t>2.集体控股：包括（1）在企业的全部实收资本中，集体经济成分的出资人拥有的实收资本（股本）所占企业全部实收资本（股本）的比例大于50%的集体绝对控股；（2）在企业的全部实收资本中，集体经济成分的出资人拥有的实收资本（股本）所占比例虽未大于50%，但相对大于其他任何一方经济成分的出资人所占比例的集体相对控股；或者虽不大于其他经济成分，但根据协议规定拥有企业实际控制权的集体协议控股。</w:t>
      </w:r>
    </w:p>
    <w:p>
      <w:pPr>
        <w:snapToGrid w:val="0"/>
        <w:spacing w:line="360" w:lineRule="exact"/>
        <w:ind w:firstLine="420" w:firstLineChars="200"/>
        <w:rPr>
          <w:rFonts w:ascii="宋体" w:hAnsi="宋体" w:cs="宋体"/>
          <w:szCs w:val="21"/>
        </w:rPr>
      </w:pPr>
      <w:r>
        <w:rPr>
          <w:rFonts w:ascii="宋体" w:hAnsi="宋体" w:cs="宋体"/>
          <w:szCs w:val="21"/>
        </w:rPr>
        <w:t>3.私人控股：包括（1）在企业的全部实收资本中，私人经济成分的出资人拥有的实收资本（股本）所占企业全部实收资本（股本）的比例大于50%的私人绝对控股；（2）在企业的全部实收资本中，私人经济成分的出资人拥有的实收资本（股本）所占比例虽未大于50%，但相对大于其他任何一方经济成分的出资人所占比例的私人相对控股；或者虽不大于其他经济成分，但根据协议规定拥有企业实际控制权的私人协议控股。</w:t>
      </w:r>
    </w:p>
    <w:p>
      <w:pPr>
        <w:snapToGrid w:val="0"/>
        <w:spacing w:line="360" w:lineRule="exact"/>
        <w:ind w:firstLine="420" w:firstLineChars="200"/>
        <w:rPr>
          <w:rFonts w:ascii="宋体" w:hAnsi="宋体" w:cs="宋体"/>
          <w:szCs w:val="21"/>
        </w:rPr>
      </w:pPr>
      <w:r>
        <w:rPr>
          <w:rFonts w:ascii="宋体" w:hAnsi="宋体" w:cs="宋体"/>
          <w:szCs w:val="21"/>
        </w:rPr>
        <w:t>4.港澳台商控股：包括（1）在企业的全部实收资本中，港澳台商经济成分的出资人拥有的实收资本（股本）所占企业全部实收资本（股本）的比例大于50%的港澳台商绝对控股；（2）在企业的全部实收资本中，港澳台商经济成分的出资人拥有的实收资本（股本）所占比例虽未大于50%，但相对大于其他任何一方经济成分的出资人所占比例的港澳台商相对控股；或者虽不大于其他经济成分，但根据协议规定拥有企业实际控制权的港澳台商协议控股。</w:t>
      </w:r>
    </w:p>
    <w:p>
      <w:pPr>
        <w:snapToGrid w:val="0"/>
        <w:spacing w:line="360" w:lineRule="exact"/>
        <w:ind w:firstLine="420" w:firstLineChars="200"/>
        <w:rPr>
          <w:rFonts w:ascii="宋体" w:hAnsi="宋体" w:cs="宋体"/>
          <w:szCs w:val="21"/>
        </w:rPr>
      </w:pPr>
      <w:r>
        <w:rPr>
          <w:rFonts w:ascii="宋体" w:hAnsi="宋体" w:cs="宋体"/>
          <w:szCs w:val="21"/>
        </w:rPr>
        <w:t>5.外商控股：包括（1）在企业的全部实收资本中，外商经济成分的出资人拥有的实收资本（股本）所占企业全部实收资本（股本）的比例大于50%的外商绝对控股；（2）在企业的全部实收资本中，外商经济成分的出资人拥有的实收资本（股本）所占比例虽未大于50%，但相对大于其他任何一方经济成分的出资人所占比例的外商相对控股；或者虽不大于其他经济成分，但根据协议规定拥有企业实际控制权的外商协议控股。</w:t>
      </w:r>
    </w:p>
    <w:p>
      <w:pPr>
        <w:snapToGrid w:val="0"/>
        <w:spacing w:line="360" w:lineRule="exact"/>
        <w:ind w:firstLine="420" w:firstLineChars="200"/>
        <w:rPr>
          <w:rFonts w:ascii="宋体" w:hAnsi="宋体" w:cs="宋体"/>
          <w:szCs w:val="21"/>
        </w:rPr>
      </w:pPr>
      <w:r>
        <w:rPr>
          <w:rFonts w:ascii="宋体" w:hAnsi="宋体" w:cs="宋体"/>
          <w:szCs w:val="21"/>
        </w:rPr>
        <w:t>6.其他：除上述五类以外的企业控股情况。</w:t>
      </w:r>
    </w:p>
    <w:p>
      <w:pPr>
        <w:snapToGrid w:val="0"/>
        <w:spacing w:line="360" w:lineRule="exact"/>
        <w:ind w:firstLine="420" w:firstLineChars="200"/>
        <w:rPr>
          <w:rFonts w:ascii="宋体" w:hAnsi="宋体" w:eastAsia="黑体" w:cs="宋体"/>
          <w:szCs w:val="21"/>
        </w:rPr>
      </w:pPr>
      <w:r>
        <w:rPr>
          <w:rFonts w:hint="eastAsia" w:ascii="宋体" w:hAnsi="宋体" w:eastAsia="黑体" w:cs="宋体"/>
          <w:szCs w:val="21"/>
        </w:rPr>
        <w:t xml:space="preserve">隶属关系  </w:t>
      </w:r>
      <w:r>
        <w:rPr>
          <w:rFonts w:hint="eastAsia" w:ascii="宋体" w:hAnsi="宋体" w:cs="宋体"/>
        </w:rPr>
        <w:t>指本单位隶属于哪一级行政管理单位，</w:t>
      </w:r>
      <w:r>
        <w:rPr>
          <w:rFonts w:hint="eastAsia" w:ascii="宋体" w:hAnsi="宋体"/>
        </w:rPr>
        <w:t>分为中央和地方。</w:t>
      </w:r>
      <w:r>
        <w:rPr>
          <w:rFonts w:hint="eastAsia" w:ascii="宋体" w:hAnsi="宋体" w:cs="宋体"/>
        </w:rPr>
        <w:t>中央与地方双重领导的单位，以领导为主的一方来划分隶属中央或地方。限国有控股企业法人单位填写</w:t>
      </w:r>
      <w:r>
        <w:rPr>
          <w:rFonts w:ascii="宋体" w:hAnsi="宋体"/>
        </w:rPr>
        <w:t>。</w:t>
      </w:r>
    </w:p>
    <w:p>
      <w:pPr>
        <w:snapToGrid w:val="0"/>
        <w:spacing w:line="360" w:lineRule="exact"/>
        <w:ind w:firstLine="420" w:firstLineChars="200"/>
        <w:rPr>
          <w:rFonts w:ascii="宋体" w:hAnsi="宋体" w:cs="宋体"/>
          <w:szCs w:val="21"/>
          <w:u w:val="single"/>
        </w:rPr>
      </w:pPr>
      <w:r>
        <w:rPr>
          <w:rFonts w:ascii="宋体" w:hAnsi="宋体" w:eastAsia="黑体" w:cs="宋体"/>
          <w:szCs w:val="21"/>
        </w:rPr>
        <w:t xml:space="preserve">执行会计标准类别  </w:t>
      </w:r>
      <w:r>
        <w:rPr>
          <w:rFonts w:ascii="宋体" w:hAnsi="宋体" w:cs="宋体"/>
          <w:szCs w:val="21"/>
        </w:rPr>
        <w:t>分为执行企业会计准则制度、政府会计准则制度、民间非营利组织会计制度和其他四种情况。</w:t>
      </w:r>
      <w:r>
        <w:rPr>
          <w:rFonts w:hint="eastAsia" w:ascii="宋体" w:hAnsi="宋体"/>
          <w:szCs w:val="21"/>
          <w:u w:val="single"/>
        </w:rPr>
        <w:t>所有单位均</w:t>
      </w:r>
      <w:r>
        <w:rPr>
          <w:rFonts w:ascii="宋体" w:hAnsi="宋体"/>
          <w:szCs w:val="21"/>
          <w:u w:val="single"/>
        </w:rPr>
        <w:t>填</w:t>
      </w:r>
      <w:r>
        <w:rPr>
          <w:rFonts w:hint="eastAsia" w:ascii="宋体" w:hAnsi="宋体"/>
          <w:szCs w:val="21"/>
          <w:u w:val="single"/>
        </w:rPr>
        <w:t>写本项。</w:t>
      </w:r>
    </w:p>
    <w:p>
      <w:pPr>
        <w:snapToGrid w:val="0"/>
        <w:spacing w:line="360" w:lineRule="exact"/>
        <w:ind w:firstLine="420" w:firstLineChars="200"/>
        <w:rPr>
          <w:rFonts w:ascii="宋体" w:hAnsi="宋体" w:cs="宋体"/>
          <w:szCs w:val="21"/>
        </w:rPr>
      </w:pPr>
      <w:r>
        <w:rPr>
          <w:rFonts w:ascii="宋体" w:hAnsi="宋体" w:cs="宋体"/>
          <w:szCs w:val="21"/>
        </w:rPr>
        <w:t>1.企业会计准则制度：执行企业会计准则、小企业会计准则和企业会计制度的企业选填此项。包括已纳入企业财务管理体系的单位。</w:t>
      </w:r>
    </w:p>
    <w:p>
      <w:pPr>
        <w:snapToGrid w:val="0"/>
        <w:spacing w:line="360" w:lineRule="exact"/>
        <w:ind w:firstLine="420" w:firstLineChars="200"/>
        <w:rPr>
          <w:rFonts w:ascii="宋体" w:hAnsi="宋体" w:cs="宋体"/>
          <w:szCs w:val="21"/>
        </w:rPr>
      </w:pPr>
      <w:r>
        <w:rPr>
          <w:rFonts w:ascii="宋体" w:hAnsi="宋体" w:cs="宋体"/>
          <w:szCs w:val="21"/>
        </w:rPr>
        <w:t>2.政府会计准则制度：执行政府会计准则的单位填报此项。包括与本级政府财政部门直接或者间接发生预算拨款关系的国家机关、政党组织、社会团体、事业单位和其他单位。不包括已纳入企业财务管理体系的单位。</w:t>
      </w:r>
    </w:p>
    <w:p>
      <w:pPr>
        <w:snapToGrid w:val="0"/>
        <w:spacing w:line="360" w:lineRule="exact"/>
        <w:ind w:firstLine="420" w:firstLineChars="200"/>
        <w:rPr>
          <w:rFonts w:ascii="宋体" w:hAnsi="宋体" w:cs="宋体"/>
          <w:szCs w:val="21"/>
        </w:rPr>
      </w:pPr>
      <w:r>
        <w:rPr>
          <w:rFonts w:ascii="宋体" w:hAnsi="宋体" w:cs="宋体"/>
          <w:szCs w:val="21"/>
        </w:rPr>
        <w:t>3.民间非营利组织会计制度：执行民间非营利组织会计制度的单位选填此项。包括执行民间非营利组织会计制度的社会团体、基金会、民办非企业单位和寺院、宫、观、清真寺、教堂等。</w:t>
      </w:r>
    </w:p>
    <w:p>
      <w:pPr>
        <w:snapToGrid w:val="0"/>
        <w:spacing w:line="360" w:lineRule="exact"/>
        <w:ind w:firstLine="420" w:firstLineChars="200"/>
        <w:rPr>
          <w:rFonts w:ascii="宋体" w:hAnsi="宋体" w:cs="宋体"/>
          <w:szCs w:val="21"/>
        </w:rPr>
      </w:pPr>
      <w:r>
        <w:rPr>
          <w:rFonts w:ascii="宋体" w:hAnsi="宋体" w:cs="宋体"/>
          <w:szCs w:val="21"/>
        </w:rPr>
        <w:t>4.其他：不执行以上三类会计制度的单位选填此项。</w:t>
      </w:r>
    </w:p>
    <w:p>
      <w:pPr>
        <w:spacing w:line="360" w:lineRule="exact"/>
        <w:ind w:firstLine="359" w:firstLineChars="171"/>
        <w:rPr>
          <w:rFonts w:ascii="宋体" w:hAnsi="宋体" w:cs="宋体"/>
          <w:szCs w:val="21"/>
        </w:rPr>
      </w:pPr>
      <w:r>
        <w:rPr>
          <w:rFonts w:ascii="宋体" w:hAnsi="宋体" w:eastAsia="黑体" w:cs="宋体"/>
          <w:szCs w:val="21"/>
        </w:rPr>
        <w:t>执行企业会计准则</w:t>
      </w:r>
      <w:r>
        <w:rPr>
          <w:rFonts w:hint="eastAsia" w:ascii="宋体" w:hAnsi="宋体" w:eastAsia="黑体" w:cs="宋体"/>
          <w:szCs w:val="21"/>
        </w:rPr>
        <w:t>制度</w:t>
      </w:r>
      <w:r>
        <w:rPr>
          <w:rFonts w:ascii="宋体" w:hAnsi="宋体" w:eastAsia="黑体" w:cs="宋体"/>
          <w:szCs w:val="21"/>
        </w:rPr>
        <w:t xml:space="preserve">情况  </w:t>
      </w:r>
      <w:r>
        <w:rPr>
          <w:rFonts w:hint="eastAsia" w:ascii="宋体" w:hAnsi="宋体"/>
          <w:szCs w:val="21"/>
          <w:u w:val="single"/>
        </w:rPr>
        <w:t>限执行企业会计准则制度的法人单位填写。</w:t>
      </w:r>
      <w:r>
        <w:rPr>
          <w:rFonts w:ascii="宋体" w:hAnsi="宋体" w:cs="宋体"/>
          <w:szCs w:val="21"/>
        </w:rPr>
        <w:t>执行企业会计准则制度的法人单位按相应分类填写代码，具体的分类及代码是：</w:t>
      </w:r>
    </w:p>
    <w:p>
      <w:pPr>
        <w:spacing w:line="360" w:lineRule="exact"/>
        <w:ind w:firstLine="359" w:firstLineChars="171"/>
        <w:rPr>
          <w:rFonts w:hint="eastAsia" w:ascii="宋体" w:hAnsi="宋体" w:cs="宋体"/>
          <w:szCs w:val="21"/>
        </w:rPr>
      </w:pPr>
      <w:r>
        <w:rPr>
          <w:rFonts w:ascii="宋体" w:hAnsi="宋体" w:cs="宋体"/>
          <w:szCs w:val="21"/>
        </w:rPr>
        <w:t>1.执行《企业会计准则》</w:t>
      </w:r>
      <w:r>
        <w:rPr>
          <w:rFonts w:hint="eastAsia" w:ascii="宋体" w:hAnsi="宋体" w:cs="宋体"/>
          <w:szCs w:val="21"/>
        </w:rPr>
        <w:t>（《企业会计准则--基本准则》见财政部第76号令，各项具体准则、准则解释等见财政部有关财会字文件）；</w:t>
      </w:r>
    </w:p>
    <w:p>
      <w:pPr>
        <w:spacing w:line="360" w:lineRule="exact"/>
        <w:ind w:firstLine="359" w:firstLineChars="171"/>
        <w:rPr>
          <w:rFonts w:hint="eastAsia" w:ascii="宋体" w:hAnsi="宋体" w:cs="宋体"/>
          <w:szCs w:val="21"/>
        </w:rPr>
      </w:pPr>
      <w:r>
        <w:rPr>
          <w:rFonts w:ascii="宋体" w:hAnsi="宋体" w:cs="宋体"/>
          <w:szCs w:val="21"/>
        </w:rPr>
        <w:t>2.执行《小企业会计准则》（见财政部财会</w:t>
      </w:r>
      <w:r>
        <w:rPr>
          <w:rFonts w:hint="eastAsia" w:ascii="宋体" w:hAnsi="宋体" w:cs="宋体"/>
          <w:szCs w:val="21"/>
        </w:rPr>
        <w:t>〔</w:t>
      </w:r>
      <w:r>
        <w:rPr>
          <w:rFonts w:ascii="宋体" w:hAnsi="宋体" w:cs="宋体"/>
          <w:szCs w:val="21"/>
        </w:rPr>
        <w:t>20</w:t>
      </w:r>
      <w:r>
        <w:rPr>
          <w:rFonts w:hint="eastAsia" w:ascii="宋体" w:hAnsi="宋体" w:cs="宋体"/>
          <w:szCs w:val="21"/>
        </w:rPr>
        <w:t>1</w:t>
      </w:r>
      <w:r>
        <w:rPr>
          <w:rFonts w:ascii="宋体" w:hAnsi="宋体" w:cs="宋体"/>
          <w:szCs w:val="21"/>
        </w:rPr>
        <w:t>1</w:t>
      </w:r>
      <w:r>
        <w:rPr>
          <w:rFonts w:hint="eastAsia" w:ascii="宋体" w:hAnsi="宋体" w:cs="宋体"/>
          <w:szCs w:val="21"/>
        </w:rPr>
        <w:t>〕</w:t>
      </w:r>
      <w:r>
        <w:rPr>
          <w:rFonts w:ascii="宋体" w:hAnsi="宋体" w:cs="宋体"/>
          <w:szCs w:val="21"/>
        </w:rPr>
        <w:t>17号文）</w:t>
      </w:r>
      <w:r>
        <w:rPr>
          <w:rFonts w:hint="eastAsia" w:ascii="宋体" w:hAnsi="宋体" w:cs="宋体"/>
          <w:szCs w:val="21"/>
        </w:rPr>
        <w:t>；</w:t>
      </w:r>
    </w:p>
    <w:p>
      <w:pPr>
        <w:spacing w:line="360" w:lineRule="exact"/>
        <w:ind w:firstLine="359" w:firstLineChars="171"/>
        <w:rPr>
          <w:rFonts w:hint="eastAsia" w:ascii="宋体" w:hAnsi="宋体" w:cs="宋体"/>
          <w:szCs w:val="21"/>
        </w:rPr>
      </w:pPr>
      <w:r>
        <w:rPr>
          <w:rFonts w:hint="eastAsia" w:ascii="宋体" w:hAnsi="宋体" w:cs="宋体"/>
          <w:szCs w:val="21"/>
        </w:rPr>
        <w:t>3</w:t>
      </w:r>
      <w:r>
        <w:rPr>
          <w:rFonts w:ascii="宋体" w:hAnsi="宋体" w:cs="宋体"/>
          <w:szCs w:val="21"/>
        </w:rPr>
        <w:t>.执行</w:t>
      </w:r>
      <w:r>
        <w:rPr>
          <w:rFonts w:hint="eastAsia" w:ascii="宋体" w:hAnsi="宋体" w:cs="宋体"/>
          <w:szCs w:val="21"/>
        </w:rPr>
        <w:t>《</w:t>
      </w:r>
      <w:r>
        <w:rPr>
          <w:rFonts w:ascii="宋体" w:hAnsi="宋体" w:cs="宋体"/>
          <w:szCs w:val="21"/>
        </w:rPr>
        <w:t>企业会计制度</w:t>
      </w:r>
      <w:r>
        <w:rPr>
          <w:rFonts w:hint="eastAsia" w:ascii="宋体" w:hAnsi="宋体" w:cs="宋体"/>
          <w:szCs w:val="21"/>
        </w:rPr>
        <w:t>》（见财政部财会〔</w:t>
      </w:r>
      <w:r>
        <w:rPr>
          <w:rFonts w:ascii="宋体" w:hAnsi="宋体" w:cs="宋体"/>
          <w:szCs w:val="21"/>
        </w:rPr>
        <w:t>20</w:t>
      </w:r>
      <w:r>
        <w:rPr>
          <w:rFonts w:hint="eastAsia" w:ascii="宋体" w:hAnsi="宋体" w:cs="宋体"/>
          <w:szCs w:val="21"/>
        </w:rPr>
        <w:t>00〕25</w:t>
      </w:r>
      <w:r>
        <w:rPr>
          <w:rFonts w:ascii="宋体" w:hAnsi="宋体" w:cs="宋体"/>
          <w:szCs w:val="21"/>
        </w:rPr>
        <w:t>号文</w:t>
      </w:r>
      <w:r>
        <w:rPr>
          <w:rFonts w:hint="eastAsia" w:ascii="宋体" w:hAnsi="宋体" w:cs="宋体"/>
          <w:szCs w:val="21"/>
        </w:rPr>
        <w:t>）。</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企业集团情况  </w:t>
      </w:r>
      <w:r>
        <w:rPr>
          <w:rFonts w:hint="eastAsia" w:ascii="宋体" w:hAnsi="宋体"/>
          <w:szCs w:val="21"/>
          <w:u w:val="single"/>
        </w:rPr>
        <w:t>限企业集团母公司及成员企业填写。</w:t>
      </w:r>
      <w:r>
        <w:rPr>
          <w:rFonts w:ascii="宋体" w:hAnsi="宋体" w:cs="宋体"/>
          <w:szCs w:val="21"/>
        </w:rPr>
        <w:t>企业集团是指以资本为主要联结纽带的母子公司为主体，以集团章程为共同行为规范的母公司、子公司、参股公司及其他成员企业或机构共同组成的具有一定规模的企业法人联合体。企业集团不具有企业法人资格。母公司应当是依法登记注册，取得企业法人资格的控股企业；子公司应当是母公司对其拥有全部股权或者控制权的企业法人；</w:t>
      </w:r>
      <w:r>
        <w:rPr>
          <w:rFonts w:ascii="宋体" w:hAnsi="宋体" w:cs="宋体"/>
          <w:szCs w:val="21"/>
          <w:shd w:val="clear" w:color="auto" w:fill="FFFFFF"/>
        </w:rPr>
        <w:t>企业集团的其他成员应当是母公司对其参股或者与母、子公司形成生产经营、协作联系的其他企业法人、事业单位法人或者社会团体法人。</w:t>
      </w:r>
    </w:p>
    <w:p>
      <w:pPr>
        <w:snapToGrid w:val="0"/>
        <w:spacing w:line="360" w:lineRule="exact"/>
        <w:ind w:firstLine="420" w:firstLineChars="200"/>
        <w:rPr>
          <w:rFonts w:ascii="宋体" w:hAnsi="宋体" w:cs="宋体"/>
          <w:szCs w:val="21"/>
        </w:rPr>
      </w:pPr>
      <w:r>
        <w:rPr>
          <w:rFonts w:ascii="宋体" w:hAnsi="宋体" w:cs="宋体"/>
          <w:szCs w:val="21"/>
        </w:rPr>
        <w:t>本</w:t>
      </w:r>
      <w:r>
        <w:rPr>
          <w:rFonts w:hint="eastAsia" w:ascii="宋体" w:hAnsi="宋体" w:cs="宋体"/>
          <w:szCs w:val="21"/>
        </w:rPr>
        <w:t>方案</w:t>
      </w:r>
      <w:r>
        <w:rPr>
          <w:rFonts w:ascii="宋体" w:hAnsi="宋体" w:cs="宋体"/>
          <w:szCs w:val="21"/>
        </w:rPr>
        <w:t>所指企业集团包括：一是中央管理的企业集团；二是由国务院批准的国家试点企业集团；三是由国务院主管部门批准的企业集团；四是由省、自治区、直辖市人民政府批准的企业集团；五是企业集团的母公司注册资本在5000万元人民币以上，并至少拥有5家子公司。母公司和其子公司的注册资本总和在1亿元人民币以上，集团成员单位均具有法人资格。</w:t>
      </w:r>
    </w:p>
    <w:p>
      <w:pPr>
        <w:snapToGrid w:val="0"/>
        <w:spacing w:line="360" w:lineRule="exact"/>
        <w:ind w:firstLine="420" w:firstLineChars="200"/>
        <w:rPr>
          <w:rFonts w:ascii="宋体" w:hAnsi="宋体" w:eastAsia="黑体" w:cs="宋体"/>
          <w:szCs w:val="21"/>
        </w:rPr>
      </w:pPr>
      <w:r>
        <w:rPr>
          <w:rFonts w:ascii="宋体" w:hAnsi="宋体" w:eastAsia="黑体" w:cs="宋体"/>
          <w:szCs w:val="21"/>
        </w:rPr>
        <w:t xml:space="preserve">建筑业企业资质等级编码 </w:t>
      </w:r>
      <w:r>
        <w:rPr>
          <w:rFonts w:hint="eastAsia" w:ascii="宋体" w:hAnsi="宋体" w:eastAsia="黑体" w:cs="宋体"/>
          <w:szCs w:val="21"/>
        </w:rPr>
        <w:t xml:space="preserve"> </w:t>
      </w:r>
      <w:r>
        <w:rPr>
          <w:rFonts w:hint="eastAsia" w:ascii="宋体" w:hAnsi="宋体" w:cs="宋体"/>
          <w:szCs w:val="21"/>
          <w:u w:val="single"/>
        </w:rPr>
        <w:t>限</w:t>
      </w:r>
      <w:r>
        <w:rPr>
          <w:rFonts w:ascii="宋体" w:hAnsi="宋体" w:cs="宋体"/>
          <w:szCs w:val="21"/>
          <w:u w:val="single"/>
        </w:rPr>
        <w:t>建筑业企业填写。</w:t>
      </w:r>
      <w:r>
        <w:rPr>
          <w:rFonts w:ascii="宋体" w:hAnsi="宋体" w:cs="宋体"/>
          <w:szCs w:val="21"/>
        </w:rPr>
        <w:t>根据企业的人员素质、管理水平、资金数量、承包能力和建设业绩进行综合评价划分的等级。依据《建筑业企业资质管理规定》（中华人民共和国住房和城乡建设部令2015年第22号）和《建筑业企业资质标准》（建市</w:t>
      </w:r>
      <w:r>
        <w:rPr>
          <w:rFonts w:hint="eastAsia" w:ascii="宋体" w:hAnsi="宋体" w:cs="宋体"/>
          <w:szCs w:val="21"/>
        </w:rPr>
        <w:t>〔</w:t>
      </w:r>
      <w:r>
        <w:rPr>
          <w:rFonts w:ascii="宋体" w:hAnsi="宋体" w:cs="宋体"/>
          <w:szCs w:val="21"/>
        </w:rPr>
        <w:t>2014</w:t>
      </w:r>
      <w:r>
        <w:rPr>
          <w:rFonts w:hint="eastAsia" w:ascii="宋体" w:hAnsi="宋体" w:cs="宋体"/>
          <w:szCs w:val="21"/>
        </w:rPr>
        <w:t>〕</w:t>
      </w:r>
      <w:r>
        <w:rPr>
          <w:rFonts w:ascii="宋体" w:hAnsi="宋体" w:cs="宋体"/>
          <w:szCs w:val="21"/>
        </w:rPr>
        <w:t>159号）已领取新版《建筑业企业资质证书》的企业，需根据新版证书的主项资质等级项中的文字，暂仍对照《建筑业企业资质等级标准》（建建</w:t>
      </w:r>
      <w:r>
        <w:rPr>
          <w:rFonts w:hint="eastAsia" w:ascii="宋体" w:hAnsi="宋体" w:cs="宋体"/>
          <w:szCs w:val="21"/>
        </w:rPr>
        <w:t>〔</w:t>
      </w:r>
      <w:r>
        <w:rPr>
          <w:rFonts w:ascii="宋体" w:hAnsi="宋体" w:cs="宋体"/>
          <w:szCs w:val="21"/>
        </w:rPr>
        <w:t>2001</w:t>
      </w:r>
      <w:r>
        <w:rPr>
          <w:rFonts w:hint="eastAsia" w:ascii="宋体" w:hAnsi="宋体" w:cs="宋体"/>
          <w:szCs w:val="21"/>
        </w:rPr>
        <w:t>〕</w:t>
      </w:r>
      <w:r>
        <w:rPr>
          <w:rFonts w:ascii="宋体" w:hAnsi="宋体" w:cs="宋体"/>
          <w:szCs w:val="21"/>
        </w:rPr>
        <w:t>82号）的资质等级填列4位资质等级编码（劳务资质证书的劳务分包建筑业企业填报C990）。</w:t>
      </w:r>
    </w:p>
    <w:p>
      <w:pPr>
        <w:spacing w:line="360" w:lineRule="exact"/>
        <w:ind w:firstLine="424" w:firstLineChars="202"/>
        <w:rPr>
          <w:rFonts w:ascii="宋体" w:hAnsi="宋体" w:cs="宋体"/>
          <w:szCs w:val="21"/>
        </w:rPr>
      </w:pPr>
      <w:r>
        <w:rPr>
          <w:rFonts w:ascii="宋体" w:hAnsi="宋体" w:eastAsia="黑体" w:cs="宋体"/>
          <w:szCs w:val="21"/>
        </w:rPr>
        <w:t>房地产开发经营业企业资质等级</w:t>
      </w:r>
      <w:r>
        <w:rPr>
          <w:rFonts w:ascii="宋体" w:hAnsi="宋体" w:cs="宋体"/>
          <w:szCs w:val="21"/>
        </w:rPr>
        <w:t xml:space="preserve"> </w:t>
      </w:r>
      <w:r>
        <w:rPr>
          <w:rFonts w:hint="eastAsia" w:ascii="宋体" w:hAnsi="宋体" w:cs="宋体"/>
          <w:szCs w:val="21"/>
        </w:rPr>
        <w:t xml:space="preserve"> </w:t>
      </w:r>
      <w:r>
        <w:rPr>
          <w:rFonts w:hint="eastAsia" w:ascii="宋体" w:hAnsi="宋体"/>
          <w:szCs w:val="21"/>
          <w:u w:val="single"/>
        </w:rPr>
        <w:t>限</w:t>
      </w:r>
      <w:r>
        <w:rPr>
          <w:rFonts w:ascii="宋体" w:hAnsi="宋体"/>
          <w:szCs w:val="21"/>
          <w:u w:val="single"/>
        </w:rPr>
        <w:t>房地产开发经营企业填写。</w:t>
      </w:r>
      <w:r>
        <w:rPr>
          <w:rFonts w:ascii="宋体" w:hAnsi="宋体" w:cs="宋体"/>
          <w:szCs w:val="21"/>
        </w:rPr>
        <w:t>根据企业的人员素质、管理水平、资金数量、承包能力和建设业绩进行综合评价划分的等级。依据建设部《房地产开发企业资质管理规定》（中华人民共和国建设部令</w:t>
      </w:r>
      <w:r>
        <w:rPr>
          <w:rFonts w:hint="eastAsia" w:ascii="宋体" w:hAnsi="宋体" w:cs="宋体"/>
          <w:szCs w:val="21"/>
        </w:rPr>
        <w:t>〔</w:t>
      </w:r>
      <w:r>
        <w:rPr>
          <w:rFonts w:ascii="宋体" w:hAnsi="宋体" w:cs="宋体"/>
          <w:szCs w:val="21"/>
        </w:rPr>
        <w:t>200</w:t>
      </w:r>
      <w:r>
        <w:rPr>
          <w:rFonts w:hint="eastAsia" w:ascii="宋体" w:hAnsi="宋体" w:cs="宋体"/>
          <w:szCs w:val="21"/>
        </w:rPr>
        <w:t>0〕</w:t>
      </w:r>
      <w:r>
        <w:rPr>
          <w:rFonts w:ascii="宋体" w:hAnsi="宋体" w:cs="宋体"/>
          <w:szCs w:val="21"/>
        </w:rPr>
        <w:t>77号）划分为一级、二级、三级、四级、暂定级，没有级别的填写“9其他”。</w:t>
      </w:r>
    </w:p>
    <w:p>
      <w:pPr>
        <w:snapToGrid w:val="0"/>
        <w:spacing w:line="360" w:lineRule="exact"/>
        <w:ind w:firstLine="420" w:firstLineChars="200"/>
        <w:rPr>
          <w:rFonts w:ascii="宋体" w:hAnsi="宋体" w:cs="宋体"/>
          <w:szCs w:val="21"/>
        </w:rPr>
      </w:pPr>
      <w:r>
        <w:rPr>
          <w:rFonts w:ascii="宋体" w:hAnsi="宋体" w:eastAsia="黑体" w:cs="宋体"/>
          <w:szCs w:val="21"/>
        </w:rPr>
        <w:t>批发和零售业、住宿和餐饮业单位经营形式</w:t>
      </w:r>
      <w:r>
        <w:rPr>
          <w:rFonts w:ascii="宋体" w:hAnsi="宋体" w:eastAsia="仿宋_GB2312" w:cs="宋体"/>
          <w:szCs w:val="21"/>
        </w:rPr>
        <w:t xml:space="preserve">  </w:t>
      </w:r>
      <w:r>
        <w:rPr>
          <w:rFonts w:hint="eastAsia" w:ascii="宋体" w:hAnsi="宋体"/>
          <w:szCs w:val="21"/>
          <w:u w:val="single"/>
        </w:rPr>
        <w:t>限批发和零售业、住宿和餐饮业单位</w:t>
      </w:r>
      <w:r>
        <w:rPr>
          <w:rFonts w:ascii="宋体" w:hAnsi="宋体"/>
          <w:szCs w:val="21"/>
          <w:u w:val="single"/>
        </w:rPr>
        <w:t>填写。</w:t>
      </w:r>
      <w:r>
        <w:rPr>
          <w:rFonts w:ascii="宋体" w:hAnsi="宋体" w:cs="宋体"/>
          <w:szCs w:val="21"/>
        </w:rPr>
        <w:t>批发和零售业、住宿和餐饮业单位经营的基本形式，包括：</w:t>
      </w:r>
    </w:p>
    <w:p>
      <w:pPr>
        <w:spacing w:line="360" w:lineRule="exact"/>
        <w:ind w:firstLine="420" w:firstLineChars="200"/>
        <w:rPr>
          <w:rFonts w:ascii="宋体" w:hAnsi="宋体" w:cs="宋体"/>
          <w:szCs w:val="21"/>
        </w:rPr>
      </w:pPr>
      <w:r>
        <w:rPr>
          <w:rFonts w:ascii="宋体" w:hAnsi="宋体" w:cs="宋体"/>
          <w:szCs w:val="21"/>
        </w:rPr>
        <w:t>1.独立门店：以相对独立的店铺形式，单独组织批发和零售业、住宿和餐饮业经营活动的企业。</w:t>
      </w:r>
    </w:p>
    <w:p>
      <w:pPr>
        <w:spacing w:line="360" w:lineRule="exact"/>
        <w:ind w:firstLine="420" w:firstLineChars="200"/>
        <w:rPr>
          <w:rFonts w:ascii="宋体" w:hAnsi="宋体" w:cs="宋体"/>
          <w:szCs w:val="21"/>
        </w:rPr>
      </w:pPr>
      <w:r>
        <w:rPr>
          <w:rFonts w:ascii="宋体" w:hAnsi="宋体" w:cs="宋体"/>
          <w:szCs w:val="21"/>
        </w:rPr>
        <w:t>2.连锁总店（总部）：负责连锁企业资源（如商号、商誉、经营模式、服务标准、管理模式等）的开发、配置、控制或使用等功能的企业核心管理机构。连锁经营是指经营同类商品或服务，使用统一商号的若干店铺，在同一总店（总部）的管理下，采取统一采购或特许经营等方式，实现规模效益的组织形式，包括直营连锁、特许连锁和自愿连锁三种形式。</w:t>
      </w:r>
    </w:p>
    <w:p>
      <w:pPr>
        <w:spacing w:line="360" w:lineRule="exact"/>
        <w:ind w:firstLine="420" w:firstLineChars="200"/>
        <w:rPr>
          <w:rFonts w:ascii="宋体" w:hAnsi="宋体" w:cs="宋体"/>
          <w:szCs w:val="21"/>
        </w:rPr>
      </w:pPr>
      <w:r>
        <w:rPr>
          <w:rFonts w:ascii="宋体" w:hAnsi="宋体" w:cs="宋体"/>
          <w:szCs w:val="21"/>
        </w:rPr>
        <w:t>3.连锁直营店：由连锁企业总部投资开设，按连锁经营管理模式，由总店（总部）统一管理，按照总店（总部）的指示和服务规范要求，承担日常销售业务的店铺。</w:t>
      </w:r>
    </w:p>
    <w:p>
      <w:pPr>
        <w:spacing w:line="360" w:lineRule="exact"/>
        <w:ind w:firstLine="420" w:firstLineChars="200"/>
        <w:rPr>
          <w:rFonts w:ascii="宋体" w:hAnsi="宋体" w:cs="宋体"/>
          <w:szCs w:val="21"/>
        </w:rPr>
      </w:pPr>
      <w:r>
        <w:rPr>
          <w:rFonts w:ascii="宋体" w:hAnsi="宋体" w:cs="宋体"/>
          <w:szCs w:val="21"/>
        </w:rPr>
        <w:t>4.连锁加盟店：在特许连锁中，被特许人获得特许人授权后，使用其商标、商号、经营模式、专利和专有技术等经营资源建立的，按照总店（总部）的指示和服务规范要求，承担日常销售业务的店铺，也包括自愿连锁的成员店。</w:t>
      </w:r>
    </w:p>
    <w:p>
      <w:pPr>
        <w:snapToGrid w:val="0"/>
        <w:spacing w:line="360" w:lineRule="exact"/>
        <w:ind w:firstLine="420" w:firstLineChars="200"/>
        <w:rPr>
          <w:rFonts w:ascii="宋体" w:hAnsi="宋体" w:eastAsia="黑体" w:cs="宋体"/>
        </w:rPr>
      </w:pPr>
      <w:r>
        <w:rPr>
          <w:rFonts w:ascii="宋体" w:hAnsi="宋体" w:cs="宋体"/>
          <w:szCs w:val="21"/>
        </w:rPr>
        <w:t>5.其他方式：指不属于上述经营形式的企业，如摊位。</w:t>
      </w:r>
    </w:p>
    <w:p>
      <w:pPr>
        <w:snapToGrid w:val="0"/>
        <w:spacing w:line="360" w:lineRule="exact"/>
        <w:ind w:firstLine="420" w:firstLineChars="200"/>
        <w:rPr>
          <w:rFonts w:ascii="宋体" w:hAnsi="宋体" w:cs="宋体"/>
        </w:rPr>
      </w:pPr>
      <w:r>
        <w:rPr>
          <w:rFonts w:ascii="宋体" w:hAnsi="宋体" w:eastAsia="黑体" w:cs="宋体"/>
        </w:rPr>
        <w:t>连锁品牌（商标或商号名称）　</w:t>
      </w:r>
      <w:r>
        <w:rPr>
          <w:rFonts w:hint="eastAsia" w:cs="Courier New"/>
          <w:u w:val="single"/>
        </w:rPr>
        <w:t>限连锁</w:t>
      </w:r>
      <w:r>
        <w:rPr>
          <w:rFonts w:cs="Courier New"/>
          <w:u w:val="single"/>
        </w:rPr>
        <w:t>总</w:t>
      </w:r>
      <w:r>
        <w:rPr>
          <w:rFonts w:hint="eastAsia" w:cs="Courier New"/>
          <w:u w:val="single"/>
        </w:rPr>
        <w:t>店</w:t>
      </w:r>
      <w:r>
        <w:rPr>
          <w:rFonts w:hint="eastAsia" w:ascii="宋体" w:hAnsi="宋体"/>
          <w:szCs w:val="21"/>
        </w:rPr>
        <w:t>（总部）</w:t>
      </w:r>
      <w:r>
        <w:rPr>
          <w:rFonts w:cs="Courier New"/>
          <w:u w:val="single"/>
        </w:rPr>
        <w:t>、连锁直营店、连锁加盟店填写。</w:t>
      </w:r>
      <w:r>
        <w:rPr>
          <w:rFonts w:ascii="宋体" w:hAnsi="宋体" w:cs="宋体"/>
        </w:rPr>
        <w:t>指连锁经营使用的统一的商号或商标名称，如“国美电器”“麦当劳”“汉庭酒店”等，拥有多个品牌的连锁总店应填写所属全部品牌。</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零售业态  </w:t>
      </w:r>
      <w:r>
        <w:rPr>
          <w:rFonts w:hint="eastAsia" w:cs="Courier New"/>
          <w:u w:val="single"/>
        </w:rPr>
        <w:t>限零售企业</w:t>
      </w:r>
      <w:r>
        <w:rPr>
          <w:rFonts w:cs="Courier New"/>
          <w:u w:val="single"/>
        </w:rPr>
        <w:t>填写。</w:t>
      </w:r>
      <w:r>
        <w:rPr>
          <w:rFonts w:ascii="宋体" w:hAnsi="宋体" w:cs="宋体"/>
          <w:szCs w:val="21"/>
        </w:rPr>
        <w:t>指零售企业（单位）为满足不同的消费需求进行相应的要素组合而形成的不同经营形态；分类原则是，零售业态按零售店铺的结构特点，根据其经营方式、商品结构、服务功能，以及选址、商圈、规模、店堂设施、目标顾客和有无固定营业场所进行分类。</w:t>
      </w:r>
    </w:p>
    <w:p>
      <w:pPr>
        <w:snapToGrid w:val="0"/>
        <w:spacing w:line="360" w:lineRule="exact"/>
        <w:ind w:firstLine="420" w:firstLineChars="200"/>
        <w:rPr>
          <w:rFonts w:ascii="宋体" w:hAnsi="宋体" w:cs="宋体"/>
          <w:szCs w:val="21"/>
        </w:rPr>
      </w:pPr>
      <w:r>
        <w:rPr>
          <w:rFonts w:ascii="宋体" w:hAnsi="宋体" w:cs="宋体"/>
          <w:szCs w:val="21"/>
        </w:rPr>
        <w:t>零售业态从总体上可以分为有店铺零售业态和无店铺零售业态两类。有店铺零售业态分为便利店、超市、折扣店、仓储会员店、百货店、购物中心、专业店、品牌专卖店、集合店、无人值守商店等；无店铺零售业态分为网络零售、电视/广播零售、邮寄零售、无人售货设备零售、电话零售、直销、流动货摊零售、其他等。</w:t>
      </w:r>
    </w:p>
    <w:p>
      <w:pPr>
        <w:snapToGrid w:val="0"/>
        <w:spacing w:line="360" w:lineRule="exact"/>
        <w:ind w:firstLine="420" w:firstLineChars="200"/>
        <w:rPr>
          <w:rFonts w:ascii="宋体" w:hAnsi="宋体"/>
          <w:szCs w:val="21"/>
        </w:rPr>
      </w:pPr>
      <w:r>
        <w:rPr>
          <w:rFonts w:hint="eastAsia" w:ascii="宋体" w:hAnsi="宋体" w:cs="宋体"/>
          <w:szCs w:val="21"/>
        </w:rPr>
        <w:t>有店铺零售  有相对固定的、进行商品陈列、展示和销售的场所和设施，并且消费者的购买行为主要在这一场所内完成的零售活动。</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便利店：以销售即食商品为主，满足顾客即时性、服务性等便利需求为主要目的的小型综合零售形式的业态。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超市：以销售食品、日用品为主，满足消费者日常生活需要的零售业态。通常采取开架销售，也可同时采取在线销售。门店内可提供食品现场加工服务及现场就餐服务。</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折扣店：店铺装修简单、提供有限服务、商品价格低廉的一种小型超市业态，通常拥有不到2000个单品，自有品牌商品数量高于普通超市的自有品牌商品数量。</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仓储会员店：以会员为目标顾客，实行储销一体、批零兼营，以提供基本服务、优惠价格和大包装商品为主要特征的零售业态。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百货店：以经营品牌服装服饰、化妆品、家居用品、箱包、鞋品、珠宝、钟表等为主，统一经营，满足顾客对品质商品多样化需求的零售业态。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购物中心：由不同类型的零售、餐饮、休闲娱乐及提供其他服务的商铺按照统一规划，在一个相对固定的建筑空间或区域内，统一运营的商业集合体。</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专业店：经营某一类或相关品类商品及服务的零售业态。如办公用品专业店（office supply）、家电专业店（home appliance）、药品专业店（drug store）、服饰店（apparel shop）、体育用品专业店（sporting goods store）和家居建材商店（home center）等。</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品牌专卖店：经营或被授权经营某一品牌商品的零售业态。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集合店：汇集多个品牌及多个系列的商品，可涵盖服饰、鞋、包、文具、电子产品、食品等多种品类的零售店。</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无人值守商店：在营业现场无人工服务的情况下，自助完成商品销售或服务的零售店。</w:t>
      </w:r>
    </w:p>
    <w:p>
      <w:pPr>
        <w:adjustRightInd w:val="0"/>
        <w:snapToGrid w:val="0"/>
        <w:spacing w:line="360" w:lineRule="exact"/>
        <w:ind w:firstLine="420" w:firstLineChars="200"/>
        <w:textAlignment w:val="baseline"/>
        <w:rPr>
          <w:rFonts w:ascii="宋体" w:hAnsi="宋体"/>
          <w:szCs w:val="21"/>
        </w:rPr>
      </w:pPr>
      <w:r>
        <w:rPr>
          <w:rFonts w:hint="eastAsia" w:ascii="宋体" w:hAnsi="宋体" w:cs="宋体"/>
          <w:szCs w:val="21"/>
        </w:rPr>
        <w:t>无店铺零售  通过互联网、电视/广播、邮寄、无人售货设备、流动售货车或直销等，将自营或合作经营的商品，通过物流配送、或消费者自提、或面对面销售等方式送达消费者的零售活动。</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网络零售：通过电子商务平台、物联网设备等开展商品零售的活动。</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电视/广播零售：以电视、广播作为商品展示、推介渠道，提供使用效果、方法等推介内容并取得订单的零售业态。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邮寄零售：以邮寄商品目录为主，向消费者进行商品展示、推介，并通过邮寄等方式将商品送达给消费者的零售业态。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无人售货设备零售：通过售货设备、智能货柜或贴有支付码的货架等进行商品售卖的零售业态。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电话零售：通过电话完成销售的零售业态。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直销：在固定营业场所之外，直销企业招募的直销员直接向最终消费者推销产品的零售业态。</w:t>
      </w:r>
    </w:p>
    <w:p>
      <w:pPr>
        <w:numPr>
          <w:ilvl w:val="1"/>
          <w:numId w:val="13"/>
        </w:numPr>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流动货摊销售：通过移动售货车或其他展示、陈列工具销售食品、饮料、服饰、鞋帽等日常消费品的零售形式。</w:t>
      </w:r>
    </w:p>
    <w:p>
      <w:pPr>
        <w:numPr>
          <w:ilvl w:val="1"/>
          <w:numId w:val="14"/>
        </w:numPr>
        <w:tabs>
          <w:tab w:val="left" w:pos="902"/>
        </w:tabs>
        <w:adjustRightInd w:val="0"/>
        <w:snapToGrid w:val="0"/>
        <w:spacing w:line="360" w:lineRule="exact"/>
        <w:ind w:firstLine="420" w:firstLineChars="200"/>
        <w:textAlignment w:val="baseline"/>
        <w:rPr>
          <w:rFonts w:hint="eastAsia" w:ascii="宋体" w:hAnsi="宋体" w:cs="宋体"/>
          <w:szCs w:val="21"/>
        </w:rPr>
      </w:pPr>
      <w:r>
        <w:rPr>
          <w:rFonts w:hint="eastAsia" w:ascii="宋体" w:hAnsi="宋体" w:cs="宋体"/>
          <w:szCs w:val="21"/>
        </w:rPr>
        <w:t>其他：以上未提及的无店铺零售业态。</w:t>
      </w:r>
    </w:p>
    <w:p>
      <w:pPr>
        <w:spacing w:line="360" w:lineRule="exact"/>
        <w:ind w:firstLine="420" w:firstLineChars="200"/>
        <w:rPr>
          <w:rFonts w:ascii="宋体" w:hAnsi="宋体" w:cs="宋体"/>
          <w:szCs w:val="21"/>
        </w:rPr>
      </w:pPr>
      <w:r>
        <w:rPr>
          <w:rFonts w:ascii="宋体" w:hAnsi="宋体" w:eastAsia="黑体" w:cs="宋体"/>
          <w:szCs w:val="21"/>
        </w:rPr>
        <w:t xml:space="preserve">住宿业单位星级评定情况  </w:t>
      </w:r>
      <w:r>
        <w:rPr>
          <w:rFonts w:hint="eastAsia" w:cs="Courier New"/>
          <w:u w:val="single"/>
        </w:rPr>
        <w:t>限住宿业企业</w:t>
      </w:r>
      <w:r>
        <w:rPr>
          <w:rFonts w:cs="Courier New"/>
          <w:u w:val="single"/>
        </w:rPr>
        <w:t>填写。</w:t>
      </w:r>
      <w:r>
        <w:rPr>
          <w:rFonts w:ascii="宋体" w:hAnsi="宋体" w:cs="宋体"/>
          <w:szCs w:val="21"/>
        </w:rPr>
        <w:t>星级等级指根据《旅游饭店星级的划分与评定》（GB/T14308-2010）标准，经过有关旅游管理权威部门评定（验收）后授予的“星级”称号填写，分为一星级到五星级5个标准。没有星级等级的填写“9其他”。</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单位组织结构情况 </w:t>
      </w:r>
      <w:r>
        <w:rPr>
          <w:rFonts w:hint="eastAsia" w:ascii="宋体" w:hAnsi="宋体" w:eastAsia="黑体" w:cs="宋体"/>
          <w:szCs w:val="21"/>
        </w:rPr>
        <w:t xml:space="preserve"> </w:t>
      </w:r>
      <w:r>
        <w:rPr>
          <w:rFonts w:ascii="宋体" w:hAnsi="宋体" w:cs="宋体"/>
          <w:szCs w:val="21"/>
        </w:rPr>
        <w:t>反映法人单位的上一级法人单位基本情况和是否有所属产业活动单位。</w:t>
      </w:r>
      <w:r>
        <w:rPr>
          <w:rFonts w:hint="eastAsia" w:ascii="宋体" w:hAnsi="宋体" w:cs="宋体"/>
          <w:spacing w:val="4"/>
          <w:kern w:val="0"/>
          <w:szCs w:val="21"/>
          <w:u w:val="single"/>
        </w:rPr>
        <w:t>所有单位均填写本项。</w:t>
      </w:r>
    </w:p>
    <w:p>
      <w:pPr>
        <w:snapToGrid w:val="0"/>
        <w:spacing w:line="360" w:lineRule="exact"/>
        <w:ind w:firstLine="420" w:firstLineChars="200"/>
        <w:rPr>
          <w:rFonts w:ascii="宋体" w:hAnsi="宋体" w:cs="宋体"/>
          <w:szCs w:val="21"/>
        </w:rPr>
      </w:pPr>
      <w:r>
        <w:rPr>
          <w:rFonts w:ascii="宋体" w:hAnsi="宋体" w:cs="宋体"/>
          <w:szCs w:val="21"/>
        </w:rPr>
        <w:t>企业的上一级法人单位指根据本企业实收资本中出资人的实际投资情况，或根据出资人对企业资产的实际控制、支配程度情况，对企业进行绝对控股和相对控股的法人单位。非企业单位的上一级法人单位指本单位的直接上级行政管理单位。如本单位上一级为视同法人的产业活动单位，则上一级法人单位情况填写该视同法人情况。具体填报上一级法人统一社会信用代码、单位名称。</w:t>
      </w:r>
    </w:p>
    <w:p>
      <w:pPr>
        <w:snapToGrid w:val="0"/>
        <w:spacing w:line="360" w:lineRule="exact"/>
        <w:ind w:firstLine="420" w:firstLineChars="200"/>
        <w:rPr>
          <w:rFonts w:ascii="宋体" w:hAnsi="宋体" w:cs="宋体"/>
          <w:b/>
          <w:bCs/>
          <w:szCs w:val="21"/>
        </w:rPr>
      </w:pPr>
      <w:r>
        <w:rPr>
          <w:rFonts w:ascii="宋体" w:hAnsi="宋体" w:eastAsia="黑体" w:cs="宋体"/>
          <w:szCs w:val="21"/>
        </w:rPr>
        <w:t xml:space="preserve">法人单位所属产业活动单位情况 </w:t>
      </w:r>
      <w:r>
        <w:rPr>
          <w:rFonts w:ascii="宋体" w:hAnsi="宋体" w:cs="宋体"/>
          <w:szCs w:val="21"/>
        </w:rPr>
        <w:t xml:space="preserve"> </w:t>
      </w:r>
      <w:r>
        <w:rPr>
          <w:rFonts w:hint="eastAsia" w:ascii="宋体" w:hAnsi="宋体" w:cs="宋体"/>
          <w:kern w:val="0"/>
          <w:szCs w:val="21"/>
          <w:u w:val="single"/>
        </w:rPr>
        <w:t>有所属产业活动单位的法人单位填写本表。</w:t>
      </w:r>
      <w:r>
        <w:rPr>
          <w:rFonts w:ascii="宋体" w:hAnsi="宋体" w:cs="宋体"/>
          <w:szCs w:val="21"/>
        </w:rPr>
        <w:t>具体包括法人单位所属产业活动单位（包括在外省、自治区、直辖市开办的产业活动单位）的个数，法人单位所属产业活动单位的单位类别、统一社会信用代码、单位详细名称、详细地址、区划代码、联系电话、主要业务活动、行业代码（小类）、从业人员期末人数、经营性单位收入或非经营性单位支出。若所属产业活动单位已作为视同法人单位，则该视同法人单位不再属于此法人单位所属的产业活动单位</w:t>
      </w:r>
      <w:r>
        <w:rPr>
          <w:rFonts w:hint="eastAsia" w:ascii="宋体" w:hAnsi="宋体" w:cs="宋体"/>
          <w:szCs w:val="21"/>
        </w:rPr>
        <w:t>填报</w:t>
      </w:r>
      <w:r>
        <w:rPr>
          <w:rFonts w:ascii="宋体" w:hAnsi="宋体" w:cs="宋体"/>
          <w:szCs w:val="21"/>
        </w:rPr>
        <w:t>。</w:t>
      </w:r>
    </w:p>
    <w:p>
      <w:pPr>
        <w:spacing w:line="360" w:lineRule="exact"/>
        <w:ind w:firstLine="420" w:firstLineChars="200"/>
        <w:rPr>
          <w:rFonts w:hint="eastAsia" w:ascii="宋体" w:hAnsi="宋体" w:cs="宋体"/>
          <w:szCs w:val="21"/>
        </w:rPr>
      </w:pPr>
      <w:r>
        <w:rPr>
          <w:rFonts w:hint="eastAsia" w:ascii="宋体" w:hAnsi="宋体" w:eastAsia="黑体" w:cs="宋体"/>
          <w:szCs w:val="21"/>
        </w:rPr>
        <w:t xml:space="preserve">单位类别  </w:t>
      </w:r>
      <w:r>
        <w:rPr>
          <w:rFonts w:hint="eastAsia" w:ascii="宋体" w:hAnsi="宋体" w:cs="宋体"/>
          <w:szCs w:val="21"/>
        </w:rPr>
        <w:t>产业活动单位分为法人单位本部和分支机构。</w:t>
      </w:r>
      <w:r>
        <w:rPr>
          <w:rFonts w:hint="eastAsia" w:ascii="宋体" w:hAnsi="宋体" w:cs="宋体"/>
          <w:kern w:val="0"/>
          <w:szCs w:val="21"/>
          <w:u w:val="single"/>
        </w:rPr>
        <w:t>所有产业活动单位均填写本项。</w:t>
      </w:r>
    </w:p>
    <w:p>
      <w:pPr>
        <w:spacing w:line="360" w:lineRule="exact"/>
        <w:ind w:firstLine="420" w:firstLineChars="200"/>
        <w:rPr>
          <w:rFonts w:hint="eastAsia" w:ascii="宋体" w:hAnsi="宋体" w:cs="宋体"/>
          <w:szCs w:val="21"/>
        </w:rPr>
      </w:pPr>
      <w:r>
        <w:rPr>
          <w:rFonts w:hint="eastAsia" w:ascii="宋体" w:hAnsi="宋体" w:cs="宋体"/>
          <w:szCs w:val="21"/>
        </w:rPr>
        <w:t>1.法人单位本部（总部、本店、本所等）：指法人单位中起领导和核心作用的产业活动单位。</w:t>
      </w:r>
    </w:p>
    <w:p>
      <w:pPr>
        <w:spacing w:line="360" w:lineRule="exact"/>
        <w:ind w:firstLine="420" w:firstLineChars="200"/>
        <w:rPr>
          <w:rFonts w:ascii="宋体" w:hAnsi="宋体" w:eastAsia="黑体" w:cs="宋体"/>
          <w:szCs w:val="21"/>
        </w:rPr>
      </w:pPr>
      <w:r>
        <w:rPr>
          <w:rFonts w:hint="eastAsia" w:ascii="宋体" w:hAnsi="宋体" w:cs="宋体"/>
          <w:szCs w:val="21"/>
        </w:rPr>
        <w:t>2.法人单位分支机构（分部、分厂、分店、支所等）：指法人单位中符合产业活动单位条件的除本部以外的其他产业活动单位。</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经营性单位收入  </w:t>
      </w:r>
      <w:r>
        <w:rPr>
          <w:rFonts w:ascii="宋体" w:hAnsi="宋体" w:cs="宋体"/>
          <w:szCs w:val="21"/>
        </w:rPr>
        <w:t>指经营性产业活动单位在全年生产经营活动中取得的收入。</w:t>
      </w:r>
      <w:r>
        <w:rPr>
          <w:rFonts w:hint="eastAsia" w:ascii="宋体" w:hAnsi="宋体"/>
          <w:szCs w:val="21"/>
          <w:u w:val="single"/>
        </w:rPr>
        <w:t>限经营性产业活动单位填写本项。</w:t>
      </w:r>
    </w:p>
    <w:p>
      <w:pPr>
        <w:snapToGrid w:val="0"/>
        <w:spacing w:line="360" w:lineRule="exact"/>
        <w:ind w:firstLine="420" w:firstLineChars="200"/>
        <w:rPr>
          <w:rFonts w:ascii="宋体" w:hAnsi="宋体" w:cs="宋体"/>
          <w:szCs w:val="21"/>
        </w:rPr>
      </w:pPr>
      <w:r>
        <w:rPr>
          <w:rFonts w:ascii="宋体" w:hAnsi="宋体" w:eastAsia="黑体" w:cs="宋体"/>
          <w:szCs w:val="21"/>
        </w:rPr>
        <w:t xml:space="preserve">非经营性单位支出（费用）  </w:t>
      </w:r>
      <w:r>
        <w:rPr>
          <w:rFonts w:hint="eastAsia" w:ascii="宋体" w:hAnsi="宋体"/>
          <w:szCs w:val="21"/>
          <w:u w:val="single"/>
        </w:rPr>
        <w:t>限事业、机关、居村委会等</w:t>
      </w:r>
      <w:r>
        <w:rPr>
          <w:rFonts w:ascii="宋体" w:hAnsi="宋体"/>
          <w:szCs w:val="21"/>
          <w:u w:val="single"/>
        </w:rPr>
        <w:t>非经营性</w:t>
      </w:r>
      <w:r>
        <w:rPr>
          <w:rFonts w:hint="eastAsia" w:ascii="宋体" w:hAnsi="宋体"/>
          <w:szCs w:val="21"/>
          <w:u w:val="single"/>
        </w:rPr>
        <w:t>产业活动单位填写本项。</w:t>
      </w:r>
      <w:r>
        <w:rPr>
          <w:rFonts w:ascii="宋体" w:hAnsi="宋体" w:cs="宋体"/>
          <w:szCs w:val="21"/>
        </w:rPr>
        <w:t>其中具有行政事业性质的产业活动单位填报日常业务支出，包括除固定资产购置以外的所有经常性业务支出；其他产业活动单位填报各种费用合计，包括业务活动成本、管理费用、筹资费用和其他费用。</w:t>
      </w:r>
    </w:p>
    <w:p>
      <w:pPr>
        <w:spacing w:line="360" w:lineRule="exact"/>
        <w:ind w:firstLine="420" w:firstLineChars="200"/>
        <w:rPr>
          <w:rFonts w:ascii="宋体" w:hAnsi="宋体" w:cs="宋体"/>
          <w:szCs w:val="21"/>
        </w:rPr>
      </w:pPr>
      <w:r>
        <w:rPr>
          <w:rFonts w:ascii="宋体" w:hAnsi="宋体" w:eastAsia="黑体" w:cs="宋体"/>
          <w:szCs w:val="21"/>
        </w:rPr>
        <w:t xml:space="preserve">单位负责人  </w:t>
      </w:r>
      <w:r>
        <w:rPr>
          <w:rFonts w:hint="eastAsia" w:ascii="宋体" w:hAnsi="宋体" w:cs="宋体"/>
          <w:szCs w:val="21"/>
        </w:rPr>
        <w:t>本项应</w:t>
      </w:r>
      <w:r>
        <w:rPr>
          <w:rFonts w:ascii="宋体" w:hAnsi="宋体" w:cs="宋体"/>
          <w:szCs w:val="21"/>
        </w:rPr>
        <w:t>在单位负责人对本表填报内容进行确认后填写。电子调查表</w:t>
      </w:r>
      <w:r>
        <w:rPr>
          <w:rFonts w:hint="eastAsia" w:ascii="宋体" w:hAnsi="宋体" w:cs="宋体"/>
          <w:szCs w:val="21"/>
        </w:rPr>
        <w:t>应</w:t>
      </w:r>
      <w:r>
        <w:rPr>
          <w:rFonts w:ascii="宋体" w:hAnsi="宋体" w:cs="宋体"/>
          <w:szCs w:val="21"/>
        </w:rPr>
        <w:t>经单位负责人确认后，在指标中填写单位负责人姓名。</w:t>
      </w:r>
      <w:r>
        <w:rPr>
          <w:rFonts w:ascii="宋体" w:hAnsi="宋体" w:cs="宋体"/>
          <w:szCs w:val="21"/>
          <w:u w:val="single"/>
        </w:rPr>
        <w:t>所有单位均填写本项。</w:t>
      </w:r>
    </w:p>
    <w:p>
      <w:pPr>
        <w:spacing w:line="360" w:lineRule="exact"/>
        <w:ind w:firstLine="420" w:firstLineChars="200"/>
        <w:rPr>
          <w:rFonts w:ascii="宋体" w:hAnsi="宋体" w:cs="宋体"/>
          <w:szCs w:val="21"/>
        </w:rPr>
      </w:pPr>
      <w:r>
        <w:rPr>
          <w:rFonts w:ascii="宋体" w:hAnsi="宋体" w:eastAsia="黑体" w:cs="宋体"/>
          <w:szCs w:val="21"/>
        </w:rPr>
        <w:t xml:space="preserve">统计负责人  </w:t>
      </w:r>
      <w:r>
        <w:rPr>
          <w:rFonts w:hint="eastAsia" w:ascii="宋体" w:hAnsi="宋体" w:cs="宋体"/>
          <w:szCs w:val="21"/>
        </w:rPr>
        <w:t>本项</w:t>
      </w:r>
      <w:r>
        <w:rPr>
          <w:rFonts w:ascii="宋体" w:hAnsi="宋体" w:cs="宋体"/>
          <w:szCs w:val="21"/>
        </w:rPr>
        <w:t>需在专职统计人员对本表填报内容进行确认后填写。纸质调查表需由专职统计人员签字；电子调查表需经专职统计人员确认后，在指标中填写专职统计人员姓名。</w:t>
      </w:r>
      <w:r>
        <w:rPr>
          <w:rFonts w:ascii="宋体" w:hAnsi="宋体" w:cs="宋体"/>
          <w:szCs w:val="21"/>
          <w:u w:val="single"/>
        </w:rPr>
        <w:t>设立专职统计人员的单位填写本项。</w:t>
      </w:r>
    </w:p>
    <w:p>
      <w:pPr>
        <w:spacing w:line="360" w:lineRule="exact"/>
        <w:ind w:firstLine="420" w:firstLineChars="200"/>
        <w:rPr>
          <w:rFonts w:ascii="宋体" w:hAnsi="宋体" w:cs="宋体"/>
          <w:szCs w:val="21"/>
        </w:rPr>
      </w:pPr>
      <w:r>
        <w:rPr>
          <w:rFonts w:ascii="宋体" w:hAnsi="宋体" w:eastAsia="黑体" w:cs="宋体"/>
          <w:szCs w:val="21"/>
        </w:rPr>
        <w:t xml:space="preserve">填表人  </w:t>
      </w:r>
      <w:r>
        <w:rPr>
          <w:rFonts w:ascii="宋体" w:hAnsi="宋体" w:cs="宋体"/>
          <w:szCs w:val="21"/>
        </w:rPr>
        <w:t>填写具体负责填报本调查表的人员姓名。</w:t>
      </w:r>
      <w:r>
        <w:rPr>
          <w:rFonts w:ascii="宋体" w:hAnsi="宋体" w:cs="宋体"/>
          <w:szCs w:val="21"/>
          <w:u w:val="single"/>
        </w:rPr>
        <w:t>所有单位均填写本项。</w:t>
      </w:r>
    </w:p>
    <w:p>
      <w:pPr>
        <w:spacing w:line="360" w:lineRule="exact"/>
        <w:ind w:firstLine="420" w:firstLineChars="200"/>
        <w:rPr>
          <w:rFonts w:ascii="宋体" w:hAnsi="宋体" w:cs="宋体"/>
          <w:szCs w:val="21"/>
        </w:rPr>
      </w:pPr>
      <w:r>
        <w:rPr>
          <w:rFonts w:ascii="宋体" w:hAnsi="宋体" w:eastAsia="黑体" w:cs="宋体"/>
          <w:szCs w:val="21"/>
        </w:rPr>
        <w:t xml:space="preserve">联系电话  </w:t>
      </w:r>
      <w:r>
        <w:rPr>
          <w:rFonts w:ascii="宋体" w:hAnsi="宋体" w:cs="宋体"/>
          <w:szCs w:val="21"/>
        </w:rPr>
        <w:t>以填写填表人移动电话为主，对于无移动电话的，可以填写填表人固定电话号码。</w:t>
      </w:r>
      <w:r>
        <w:rPr>
          <w:rFonts w:ascii="宋体" w:hAnsi="宋体" w:cs="宋体"/>
          <w:szCs w:val="21"/>
          <w:u w:val="single"/>
        </w:rPr>
        <w:t>所有单位均填写本项。</w:t>
      </w:r>
    </w:p>
    <w:p>
      <w:pPr>
        <w:pStyle w:val="15"/>
        <w:rPr>
          <w:rFonts w:hint="eastAsia" w:ascii="宋体" w:hAnsi="宋体" w:cs="宋体"/>
          <w:u w:val="single"/>
        </w:rPr>
      </w:pPr>
      <w:r>
        <w:rPr>
          <w:rFonts w:hint="eastAsia" w:ascii="宋体" w:hAnsi="宋体" w:eastAsia="黑体" w:cs="宋体"/>
          <w:szCs w:val="21"/>
        </w:rPr>
        <w:t>报出</w:t>
      </w:r>
      <w:r>
        <w:rPr>
          <w:rFonts w:ascii="宋体" w:hAnsi="宋体" w:eastAsia="黑体" w:cs="宋体"/>
          <w:szCs w:val="21"/>
        </w:rPr>
        <w:t xml:space="preserve">日期  </w:t>
      </w:r>
      <w:r>
        <w:rPr>
          <w:rFonts w:hint="eastAsia" w:ascii="宋体" w:hAnsi="宋体" w:cs="宋体"/>
          <w:u w:val="single"/>
        </w:rPr>
        <w:t>由系统自动生成，无需填写此项。</w:t>
      </w:r>
    </w:p>
    <w:p>
      <w:pPr>
        <w:pStyle w:val="15"/>
        <w:rPr>
          <w:rFonts w:hint="eastAsia" w:ascii="宋体" w:hAnsi="宋体" w:cs="宋体"/>
          <w:u w:val="single"/>
        </w:rPr>
      </w:pPr>
    </w:p>
    <w:p>
      <w:pPr>
        <w:pStyle w:val="15"/>
        <w:rPr>
          <w:rFonts w:hint="eastAsia" w:ascii="宋体" w:hAnsi="宋体" w:cs="宋体"/>
          <w:u w:val="single"/>
        </w:rPr>
      </w:pPr>
    </w:p>
    <w:p>
      <w:pPr>
        <w:tabs>
          <w:tab w:val="left" w:pos="8280"/>
        </w:tabs>
        <w:spacing w:line="360" w:lineRule="exact"/>
        <w:jc w:val="center"/>
        <w:outlineLvl w:val="9"/>
        <w:rPr>
          <w:b/>
          <w:sz w:val="30"/>
          <w:szCs w:val="30"/>
        </w:rPr>
      </w:pPr>
      <w:r>
        <w:rPr>
          <w:b/>
          <w:sz w:val="30"/>
          <w:szCs w:val="30"/>
        </w:rPr>
        <w:t>从业人员及工资总额</w:t>
      </w:r>
    </w:p>
    <w:p>
      <w:pPr>
        <w:pStyle w:val="15"/>
      </w:pPr>
    </w:p>
    <w:p>
      <w:pPr>
        <w:spacing w:line="360" w:lineRule="exact"/>
        <w:ind w:firstLine="420" w:firstLineChars="200"/>
        <w:rPr>
          <w:rFonts w:hint="eastAsia" w:ascii="宋体" w:hAnsi="宋体"/>
          <w:color w:val="000000"/>
          <w:szCs w:val="21"/>
        </w:rPr>
      </w:pPr>
      <w:r>
        <w:rPr>
          <w:rFonts w:hint="eastAsia" w:ascii="黑体" w:eastAsia="黑体"/>
          <w:szCs w:val="21"/>
        </w:rPr>
        <w:t xml:space="preserve">从业人员期末人数 </w:t>
      </w:r>
      <w:r>
        <w:rPr>
          <w:rFonts w:hint="eastAsia" w:ascii="黑体" w:eastAsia="黑体"/>
          <w:color w:val="000000"/>
          <w:szCs w:val="21"/>
        </w:rPr>
        <w:t xml:space="preserve"> </w:t>
      </w:r>
      <w:r>
        <w:rPr>
          <w:rFonts w:hint="eastAsia" w:ascii="宋体" w:hAnsi="宋体"/>
          <w:color w:val="000000"/>
          <w:szCs w:val="21"/>
        </w:rPr>
        <w:t>指月度或年度最后一日在本单位工作，并取得工资或其他形式劳动报酬的人员数。该指标为时点指标，不包括最后一日当天及以前已经与单位解除劳动合同关系的人员，是在岗职工、劳务派遣人员及其他从业人员之和。其中不包括离开本单位仍保留劳动关系，并定期领取生活费的人员和在单位实习的各类在校学生。</w:t>
      </w:r>
    </w:p>
    <w:p>
      <w:pPr>
        <w:spacing w:line="360" w:lineRule="exact"/>
        <w:ind w:firstLine="420" w:firstLineChars="200"/>
        <w:rPr>
          <w:rFonts w:ascii="宋体" w:hAnsi="宋体"/>
          <w:color w:val="000000"/>
          <w:szCs w:val="21"/>
        </w:rPr>
      </w:pPr>
      <w:r>
        <w:rPr>
          <w:rFonts w:hint="eastAsia" w:ascii="黑体" w:hAnsi="宋体" w:eastAsia="黑体"/>
          <w:color w:val="000000"/>
          <w:szCs w:val="21"/>
        </w:rPr>
        <w:t>在岗职工</w:t>
      </w:r>
      <w:r>
        <w:rPr>
          <w:rFonts w:hint="eastAsia" w:ascii="仿宋_GB2312" w:eastAsia="仿宋_GB2312"/>
          <w:color w:val="000000"/>
          <w:szCs w:val="21"/>
        </w:rPr>
        <w:t xml:space="preserve"> </w:t>
      </w:r>
      <w:r>
        <w:rPr>
          <w:rFonts w:hint="eastAsia" w:ascii="宋体" w:hAnsi="宋体"/>
          <w:color w:val="000000"/>
          <w:szCs w:val="21"/>
        </w:rPr>
        <w:t>指在本单位工作且与本单位签订劳动合同，并由单位支付各项工资和社会保险、住房公积金的人员，以及上述人员中由于学习、病伤、产假等原因暂未工作仍由单位支付工资的人员。在岗职工还包括：</w:t>
      </w:r>
    </w:p>
    <w:p>
      <w:pPr>
        <w:spacing w:line="360" w:lineRule="exact"/>
        <w:ind w:firstLine="420" w:firstLineChars="200"/>
        <w:rPr>
          <w:rFonts w:ascii="宋体" w:hAnsi="宋体"/>
          <w:color w:val="000000"/>
          <w:szCs w:val="21"/>
        </w:rPr>
      </w:pPr>
      <w:r>
        <w:rPr>
          <w:rFonts w:hint="eastAsia" w:ascii="宋体" w:hAnsi="宋体"/>
          <w:color w:val="000000"/>
          <w:szCs w:val="21"/>
        </w:rPr>
        <w:t>1.应订立劳动合同而未订立劳动合同人员；</w:t>
      </w:r>
    </w:p>
    <w:p>
      <w:pPr>
        <w:spacing w:line="360" w:lineRule="exact"/>
        <w:ind w:firstLine="420" w:firstLineChars="200"/>
        <w:rPr>
          <w:rFonts w:ascii="宋体" w:hAnsi="宋体"/>
          <w:color w:val="000000"/>
          <w:szCs w:val="21"/>
        </w:rPr>
      </w:pPr>
      <w:r>
        <w:rPr>
          <w:rFonts w:hint="eastAsia" w:ascii="宋体" w:hAnsi="宋体"/>
          <w:color w:val="000000"/>
          <w:szCs w:val="21"/>
        </w:rPr>
        <w:t>2.处于试用期人员；</w:t>
      </w:r>
    </w:p>
    <w:p>
      <w:pPr>
        <w:spacing w:line="360" w:lineRule="exact"/>
        <w:ind w:firstLine="420" w:firstLineChars="200"/>
        <w:rPr>
          <w:rFonts w:ascii="宋体" w:hAnsi="宋体"/>
          <w:color w:val="000000"/>
          <w:szCs w:val="21"/>
        </w:rPr>
      </w:pPr>
      <w:r>
        <w:rPr>
          <w:rFonts w:hint="eastAsia" w:ascii="宋体" w:hAnsi="宋体"/>
          <w:color w:val="000000"/>
          <w:szCs w:val="21"/>
        </w:rPr>
        <w:t>3.编制外招用的人员，如临时人员；</w:t>
      </w:r>
    </w:p>
    <w:p>
      <w:pPr>
        <w:spacing w:line="360" w:lineRule="exact"/>
        <w:ind w:firstLine="420" w:firstLineChars="200"/>
        <w:rPr>
          <w:rFonts w:ascii="宋体" w:hAnsi="宋体"/>
          <w:color w:val="000000"/>
          <w:szCs w:val="21"/>
        </w:rPr>
      </w:pPr>
      <w:r>
        <w:rPr>
          <w:rFonts w:hint="eastAsia" w:ascii="宋体" w:hAnsi="宋体"/>
          <w:color w:val="000000"/>
          <w:szCs w:val="21"/>
        </w:rPr>
        <w:t>4.派往外单位工作，但工资或其他形式劳动报酬仍由本单位发放的人员</w:t>
      </w:r>
      <w:r>
        <w:rPr>
          <w:rFonts w:hint="eastAsia" w:ascii="宋体" w:hAnsi="宋体"/>
          <w:bCs/>
          <w:color w:val="000000"/>
          <w:szCs w:val="21"/>
        </w:rPr>
        <w:t>（如挂职锻炼、外派工作等情况）</w:t>
      </w:r>
      <w:r>
        <w:rPr>
          <w:rFonts w:hint="eastAsia" w:ascii="宋体" w:hAnsi="宋体"/>
          <w:color w:val="000000"/>
          <w:szCs w:val="21"/>
        </w:rPr>
        <w:t>。</w:t>
      </w:r>
    </w:p>
    <w:p>
      <w:pPr>
        <w:spacing w:line="360" w:lineRule="exact"/>
        <w:ind w:firstLine="420" w:firstLineChars="200"/>
        <w:rPr>
          <w:rFonts w:ascii="宋体" w:hAnsi="宋体"/>
          <w:color w:val="000000"/>
          <w:szCs w:val="21"/>
        </w:rPr>
      </w:pPr>
      <w:r>
        <w:rPr>
          <w:rFonts w:hint="eastAsia" w:ascii="黑体" w:hAnsi="宋体" w:eastAsia="黑体"/>
          <w:color w:val="000000"/>
          <w:szCs w:val="21"/>
        </w:rPr>
        <w:t>劳务派遣人员</w:t>
      </w:r>
      <w:r>
        <w:rPr>
          <w:rFonts w:hint="eastAsia" w:ascii="仿宋_GB2312" w:eastAsia="仿宋_GB2312"/>
          <w:color w:val="000000"/>
          <w:szCs w:val="21"/>
        </w:rPr>
        <w:t xml:space="preserve">  </w:t>
      </w:r>
      <w:r>
        <w:rPr>
          <w:rFonts w:hint="eastAsia" w:ascii="宋体" w:hAnsi="宋体"/>
          <w:color w:val="000000"/>
          <w:szCs w:val="21"/>
        </w:rPr>
        <w:t>根据《中华人民共和国劳动合同法》规定，指与劳务派遣单位签订劳动合同，并被劳务派遣单位派遣到实际用工单位工作，且劳务派遣单位与实际用工单位签订《劳务派遣协议》的人员。</w:t>
      </w:r>
    </w:p>
    <w:p>
      <w:pPr>
        <w:spacing w:line="360" w:lineRule="exact"/>
        <w:ind w:firstLine="421" w:firstLineChars="200"/>
        <w:rPr>
          <w:rFonts w:hint="eastAsia" w:ascii="宋体" w:hAnsi="宋体"/>
          <w:b/>
          <w:bCs/>
          <w:color w:val="000000"/>
          <w:szCs w:val="21"/>
        </w:rPr>
      </w:pPr>
      <w:r>
        <w:rPr>
          <w:rFonts w:hint="eastAsia" w:ascii="宋体" w:hAnsi="宋体"/>
          <w:b/>
          <w:bCs/>
          <w:color w:val="000000"/>
          <w:szCs w:val="21"/>
        </w:rPr>
        <w:t>注意：</w:t>
      </w:r>
    </w:p>
    <w:p>
      <w:pPr>
        <w:spacing w:line="360" w:lineRule="exact"/>
        <w:ind w:firstLine="420" w:firstLineChars="200"/>
        <w:rPr>
          <w:rFonts w:hint="eastAsia" w:ascii="宋体" w:hAnsi="宋体"/>
          <w:color w:val="000000"/>
          <w:szCs w:val="21"/>
        </w:rPr>
      </w:pPr>
      <w:r>
        <w:rPr>
          <w:rFonts w:hint="eastAsia" w:ascii="宋体" w:hAnsi="宋体"/>
          <w:color w:val="000000"/>
          <w:szCs w:val="21"/>
        </w:rPr>
        <w:t>1.劳务派遣人员由实际用工单位统计为劳务派遣人员，劳务派遣单位（派出单位）不进行统计。</w:t>
      </w:r>
    </w:p>
    <w:p>
      <w:pPr>
        <w:spacing w:line="360" w:lineRule="exact"/>
        <w:ind w:firstLine="420" w:firstLineChars="200"/>
        <w:rPr>
          <w:rFonts w:hint="eastAsia" w:ascii="宋体" w:hAnsi="宋体"/>
          <w:color w:val="000000"/>
          <w:szCs w:val="21"/>
        </w:rPr>
      </w:pPr>
      <w:r>
        <w:rPr>
          <w:rFonts w:hint="eastAsia" w:ascii="宋体" w:hAnsi="宋体"/>
          <w:color w:val="000000"/>
          <w:szCs w:val="21"/>
        </w:rPr>
        <w:t>2.劳务外包人员由承包劳务的法人单位统计为在岗职工，实际用工单位不进行统计。如承包劳务的是个体经营户或自然人，均不包括在本制度统计范围内。</w:t>
      </w:r>
    </w:p>
    <w:p>
      <w:pPr>
        <w:spacing w:line="360" w:lineRule="exact"/>
        <w:ind w:firstLine="420" w:firstLineChars="200"/>
        <w:rPr>
          <w:rFonts w:hint="eastAsia" w:ascii="宋体" w:hAnsi="宋体"/>
          <w:color w:val="000000"/>
          <w:szCs w:val="21"/>
        </w:rPr>
      </w:pPr>
      <w:r>
        <w:rPr>
          <w:rFonts w:hint="eastAsia" w:ascii="黑体" w:hAnsi="宋体" w:eastAsia="黑体"/>
          <w:color w:val="000000"/>
          <w:szCs w:val="21"/>
        </w:rPr>
        <w:t xml:space="preserve">其他从业人员  </w:t>
      </w:r>
      <w:r>
        <w:rPr>
          <w:rFonts w:hint="eastAsia" w:ascii="宋体" w:hAnsi="宋体"/>
          <w:color w:val="000000"/>
          <w:szCs w:val="21"/>
        </w:rPr>
        <w:t>指在本单位工作，不能归入在岗职工、劳务派遣人员中的人员。此类人员是实际参加本单位生产或工作并从本单位取得劳动报酬的人员。具体包括：非全日制人员、聘用的正式离退休人员、兼职人员（包括利用课余时间打工的在校学生）以及在本单位中工作的外籍和港澳台方人员。</w:t>
      </w:r>
    </w:p>
    <w:p>
      <w:pPr>
        <w:spacing w:line="360" w:lineRule="exact"/>
        <w:ind w:firstLine="420" w:firstLineChars="200"/>
        <w:rPr>
          <w:rFonts w:ascii="宋体" w:hAnsi="宋体"/>
          <w:color w:val="000000"/>
          <w:szCs w:val="21"/>
        </w:rPr>
      </w:pPr>
      <w:r>
        <w:rPr>
          <w:rFonts w:hint="eastAsia" w:ascii="黑体" w:hAnsi="宋体" w:eastAsia="黑体"/>
          <w:color w:val="000000"/>
          <w:szCs w:val="21"/>
        </w:rPr>
        <w:t>中层及以上管理人员</w:t>
      </w:r>
      <w:r>
        <w:rPr>
          <w:rFonts w:hint="eastAsia" w:ascii="宋体" w:hAnsi="宋体"/>
          <w:color w:val="000000"/>
          <w:szCs w:val="21"/>
        </w:rPr>
        <w:t xml:space="preserve">  指在单位及其职能部门中担任领导职务并具有决策、管理权的人员。包括单位主要负责人或高级管理人员（包含同级别及副职）、单位内的一级部门或内设机构的负责人（包含同级别及副职），特大型单位可以包括一级部门内设的管理机构的负责人（包含副职）。具体包括中国共产党机关负责人、国家机关负责人、民主党派和工商联负责人、人民</w:t>
      </w:r>
      <w:r>
        <w:rPr>
          <w:rFonts w:ascii="宋体" w:hAnsi="宋体"/>
          <w:color w:val="000000"/>
          <w:szCs w:val="21"/>
        </w:rPr>
        <w:t>团体</w:t>
      </w:r>
      <w:r>
        <w:rPr>
          <w:rFonts w:hint="eastAsia" w:ascii="宋体" w:hAnsi="宋体"/>
          <w:color w:val="000000"/>
          <w:szCs w:val="21"/>
        </w:rPr>
        <w:t>和</w:t>
      </w:r>
      <w:r>
        <w:rPr>
          <w:rFonts w:ascii="宋体" w:hAnsi="宋体"/>
          <w:color w:val="000000"/>
          <w:szCs w:val="21"/>
        </w:rPr>
        <w:t>群众团体、社会组织及其他成员组织负责人、</w:t>
      </w:r>
      <w:r>
        <w:rPr>
          <w:rFonts w:hint="eastAsia" w:ascii="宋体" w:hAnsi="宋体"/>
          <w:color w:val="000000"/>
          <w:szCs w:val="21"/>
        </w:rPr>
        <w:t>基层群众</w:t>
      </w:r>
      <w:r>
        <w:rPr>
          <w:rFonts w:ascii="宋体" w:hAnsi="宋体"/>
          <w:color w:val="000000"/>
          <w:szCs w:val="21"/>
        </w:rPr>
        <w:t>自治组织</w:t>
      </w:r>
      <w:r>
        <w:rPr>
          <w:rFonts w:hint="eastAsia" w:ascii="宋体" w:hAnsi="宋体"/>
          <w:color w:val="000000"/>
          <w:szCs w:val="21"/>
        </w:rPr>
        <w:t>负责人、企事业单位负责人。</w:t>
      </w:r>
    </w:p>
    <w:p>
      <w:pPr>
        <w:spacing w:line="360" w:lineRule="exact"/>
        <w:ind w:firstLine="420" w:firstLineChars="200"/>
        <w:rPr>
          <w:rFonts w:ascii="宋体" w:hAnsi="宋体"/>
          <w:color w:val="000000"/>
          <w:szCs w:val="21"/>
        </w:rPr>
      </w:pPr>
      <w:r>
        <w:rPr>
          <w:rFonts w:hint="eastAsia" w:ascii="黑体" w:hAnsi="宋体" w:eastAsia="黑体"/>
          <w:color w:val="000000"/>
          <w:szCs w:val="21"/>
        </w:rPr>
        <w:t>专业技术人员</w:t>
      </w:r>
      <w:r>
        <w:rPr>
          <w:rFonts w:hint="eastAsia" w:ascii="宋体" w:hAnsi="宋体"/>
          <w:color w:val="000000"/>
          <w:szCs w:val="21"/>
        </w:rPr>
        <w:t xml:space="preserve">  指专门从事各种科学研究和专业技术工作的人员。从事本类职业工作的人员，一般都要求接受过系统的专业教育，具备相应的专业理论知识，并且按规定的标准条件评聘专业技术职务，以及未聘任专业技术职务，但在专业技术岗位上工作的人员。具体包括科学研究人员、工程技术人员、农业技术人员、飞机和船舶技术人员、卫生专业技术人员、经济和金融</w:t>
      </w:r>
      <w:r>
        <w:rPr>
          <w:rFonts w:ascii="宋体" w:hAnsi="宋体"/>
          <w:color w:val="000000"/>
          <w:szCs w:val="21"/>
        </w:rPr>
        <w:t>专业</w:t>
      </w:r>
      <w:r>
        <w:rPr>
          <w:rFonts w:hint="eastAsia" w:ascii="宋体" w:hAnsi="宋体"/>
          <w:color w:val="000000"/>
          <w:szCs w:val="21"/>
        </w:rPr>
        <w:t>人员、监察、法律、</w:t>
      </w:r>
      <w:r>
        <w:rPr>
          <w:rFonts w:ascii="宋体" w:hAnsi="宋体"/>
          <w:color w:val="000000"/>
          <w:szCs w:val="21"/>
        </w:rPr>
        <w:t>社会和宗教</w:t>
      </w:r>
      <w:r>
        <w:rPr>
          <w:rFonts w:hint="eastAsia" w:ascii="宋体" w:hAnsi="宋体"/>
          <w:color w:val="000000"/>
          <w:szCs w:val="21"/>
        </w:rPr>
        <w:t>专业人员、教学人员、文学艺术、</w:t>
      </w:r>
      <w:r>
        <w:rPr>
          <w:rFonts w:ascii="宋体" w:hAnsi="宋体"/>
          <w:color w:val="000000"/>
          <w:szCs w:val="21"/>
        </w:rPr>
        <w:t>体育</w:t>
      </w:r>
      <w:r>
        <w:rPr>
          <w:rFonts w:hint="eastAsia" w:ascii="宋体" w:hAnsi="宋体"/>
          <w:color w:val="000000"/>
          <w:szCs w:val="21"/>
        </w:rPr>
        <w:t>专业人员、新闻出版、文化专业人员、其他专业技术人员。</w:t>
      </w:r>
    </w:p>
    <w:p>
      <w:pPr>
        <w:spacing w:line="360" w:lineRule="exact"/>
        <w:ind w:firstLine="420" w:firstLineChars="200"/>
        <w:rPr>
          <w:rFonts w:ascii="宋体" w:hAnsi="宋体"/>
          <w:color w:val="000000"/>
          <w:spacing w:val="2"/>
          <w:szCs w:val="21"/>
        </w:rPr>
      </w:pPr>
      <w:r>
        <w:rPr>
          <w:rFonts w:hint="eastAsia" w:ascii="黑体" w:hAnsi="宋体" w:eastAsia="黑体"/>
          <w:color w:val="000000"/>
          <w:szCs w:val="21"/>
        </w:rPr>
        <w:t>办事人员和有关人员</w:t>
      </w:r>
      <w:r>
        <w:rPr>
          <w:rFonts w:hint="eastAsia" w:ascii="宋体" w:hAnsi="宋体"/>
          <w:color w:val="000000"/>
          <w:szCs w:val="21"/>
        </w:rPr>
        <w:t xml:space="preserve">  </w:t>
      </w:r>
      <w:r>
        <w:rPr>
          <w:rFonts w:hint="eastAsia" w:ascii="宋体" w:hAnsi="宋体"/>
          <w:color w:val="000000"/>
          <w:spacing w:val="2"/>
          <w:szCs w:val="21"/>
        </w:rPr>
        <w:t>指在国家机关、党群组织、企业、事业单位中从事行政业务、行政事务、行政执法和仲裁、安全保卫、消防和应急救援等工作的人员。具体包括办事人员、安全和消防人员、其他办事人员和有关人员。</w:t>
      </w:r>
    </w:p>
    <w:p>
      <w:pPr>
        <w:spacing w:line="360" w:lineRule="exact"/>
        <w:ind w:firstLine="420" w:firstLineChars="200"/>
        <w:rPr>
          <w:rFonts w:ascii="宋体" w:hAnsi="宋体"/>
          <w:color w:val="000000"/>
          <w:szCs w:val="21"/>
        </w:rPr>
      </w:pPr>
      <w:r>
        <w:rPr>
          <w:rFonts w:hint="eastAsia" w:ascii="黑体" w:hAnsi="宋体" w:eastAsia="黑体"/>
          <w:color w:val="000000"/>
          <w:szCs w:val="21"/>
        </w:rPr>
        <w:t>社会生产服务和生活服务人员</w:t>
      </w:r>
      <w:r>
        <w:rPr>
          <w:rFonts w:hint="eastAsia" w:ascii="宋体" w:hAnsi="宋体"/>
          <w:color w:val="000000"/>
          <w:szCs w:val="21"/>
        </w:rPr>
        <w:t xml:space="preserve">  指从事商品批发零售、交通运输、仓储、邮政和快递、住宿和餐饮、信息传输、软件和信息技术以及金融、房地产、租赁和商务、技术辅助、生态保护、文化、体育和娱乐等社会生产服务与生活服务工作的人员。具体包括批发与零售</w:t>
      </w:r>
      <w:r>
        <w:rPr>
          <w:rFonts w:ascii="宋体" w:hAnsi="宋体"/>
          <w:color w:val="000000"/>
          <w:szCs w:val="21"/>
        </w:rPr>
        <w:t>服务人员、</w:t>
      </w:r>
      <w:r>
        <w:rPr>
          <w:rFonts w:hint="eastAsia" w:ascii="宋体" w:hAnsi="宋体"/>
          <w:color w:val="000000"/>
          <w:szCs w:val="21"/>
        </w:rPr>
        <w:t>交通运输</w:t>
      </w:r>
      <w:r>
        <w:rPr>
          <w:rFonts w:ascii="宋体" w:hAnsi="宋体"/>
          <w:color w:val="000000"/>
          <w:szCs w:val="21"/>
        </w:rPr>
        <w:t>、仓储和邮政业服务人员、</w:t>
      </w:r>
      <w:r>
        <w:rPr>
          <w:rFonts w:hint="eastAsia" w:ascii="宋体" w:hAnsi="宋体"/>
          <w:color w:val="000000"/>
          <w:szCs w:val="21"/>
        </w:rPr>
        <w:t>住宿和餐饮服务人员、信息传输</w:t>
      </w:r>
      <w:r>
        <w:rPr>
          <w:rFonts w:ascii="宋体" w:hAnsi="宋体"/>
          <w:color w:val="000000"/>
          <w:szCs w:val="21"/>
        </w:rPr>
        <w:t>、软件和信息技术服务人员、金融服务人员、房地产服务人员</w:t>
      </w:r>
      <w:r>
        <w:rPr>
          <w:rFonts w:hint="eastAsia" w:ascii="宋体" w:hAnsi="宋体"/>
          <w:color w:val="000000"/>
          <w:szCs w:val="21"/>
        </w:rPr>
        <w:t>、</w:t>
      </w:r>
      <w:r>
        <w:rPr>
          <w:rFonts w:ascii="宋体" w:hAnsi="宋体"/>
          <w:color w:val="000000"/>
          <w:szCs w:val="21"/>
        </w:rPr>
        <w:t>租赁和商务服务人员</w:t>
      </w:r>
      <w:r>
        <w:rPr>
          <w:rFonts w:hint="eastAsia" w:ascii="宋体" w:hAnsi="宋体"/>
          <w:color w:val="000000"/>
          <w:szCs w:val="21"/>
        </w:rPr>
        <w:t>、技术</w:t>
      </w:r>
      <w:r>
        <w:rPr>
          <w:rFonts w:ascii="宋体" w:hAnsi="宋体"/>
          <w:color w:val="000000"/>
          <w:szCs w:val="21"/>
        </w:rPr>
        <w:t>辅助服务人员</w:t>
      </w:r>
      <w:r>
        <w:rPr>
          <w:rFonts w:hint="eastAsia" w:ascii="宋体" w:hAnsi="宋体"/>
          <w:color w:val="000000"/>
          <w:szCs w:val="21"/>
        </w:rPr>
        <w:t>、</w:t>
      </w:r>
      <w:r>
        <w:rPr>
          <w:rFonts w:ascii="宋体" w:hAnsi="宋体"/>
          <w:color w:val="000000"/>
          <w:szCs w:val="21"/>
        </w:rPr>
        <w:t>水利、环境和公共设施</w:t>
      </w:r>
      <w:r>
        <w:rPr>
          <w:rFonts w:hint="eastAsia" w:ascii="宋体" w:hAnsi="宋体"/>
          <w:color w:val="000000"/>
          <w:szCs w:val="21"/>
        </w:rPr>
        <w:t>管理</w:t>
      </w:r>
      <w:r>
        <w:rPr>
          <w:rFonts w:ascii="宋体" w:hAnsi="宋体"/>
          <w:color w:val="000000"/>
          <w:szCs w:val="21"/>
        </w:rPr>
        <w:t>服务人员</w:t>
      </w:r>
      <w:r>
        <w:rPr>
          <w:rFonts w:hint="eastAsia" w:ascii="宋体" w:hAnsi="宋体"/>
          <w:color w:val="000000"/>
          <w:szCs w:val="21"/>
        </w:rPr>
        <w:t>、居民服务人员、电力</w:t>
      </w:r>
      <w:r>
        <w:rPr>
          <w:rFonts w:ascii="宋体" w:hAnsi="宋体"/>
          <w:color w:val="000000"/>
          <w:szCs w:val="21"/>
        </w:rPr>
        <w:t>、燃气及水供应服务人员</w:t>
      </w:r>
      <w:r>
        <w:rPr>
          <w:rFonts w:hint="eastAsia" w:ascii="宋体" w:hAnsi="宋体"/>
          <w:color w:val="000000"/>
          <w:szCs w:val="21"/>
        </w:rPr>
        <w:t>、</w:t>
      </w:r>
      <w:r>
        <w:rPr>
          <w:rFonts w:ascii="宋体" w:hAnsi="宋体"/>
          <w:color w:val="000000"/>
          <w:szCs w:val="21"/>
        </w:rPr>
        <w:t>修理及制作服务人员</w:t>
      </w:r>
      <w:r>
        <w:rPr>
          <w:rFonts w:hint="eastAsia" w:ascii="宋体" w:hAnsi="宋体"/>
          <w:color w:val="000000"/>
          <w:szCs w:val="21"/>
        </w:rPr>
        <w:t>、文化和教育服务人员</w:t>
      </w:r>
      <w:r>
        <w:rPr>
          <w:rFonts w:ascii="宋体" w:hAnsi="宋体"/>
          <w:color w:val="000000"/>
          <w:szCs w:val="21"/>
        </w:rPr>
        <w:t>、</w:t>
      </w:r>
      <w:r>
        <w:rPr>
          <w:rFonts w:hint="eastAsia" w:ascii="宋体" w:hAnsi="宋体"/>
          <w:color w:val="000000"/>
          <w:szCs w:val="21"/>
        </w:rPr>
        <w:t>健康、</w:t>
      </w:r>
      <w:r>
        <w:rPr>
          <w:rFonts w:ascii="宋体" w:hAnsi="宋体"/>
          <w:color w:val="000000"/>
          <w:szCs w:val="21"/>
        </w:rPr>
        <w:t>体育和</w:t>
      </w:r>
      <w:r>
        <w:rPr>
          <w:rFonts w:hint="eastAsia" w:ascii="宋体" w:hAnsi="宋体"/>
          <w:color w:val="000000"/>
          <w:szCs w:val="21"/>
        </w:rPr>
        <w:t>休闲</w:t>
      </w:r>
      <w:r>
        <w:rPr>
          <w:rFonts w:ascii="宋体" w:hAnsi="宋体"/>
          <w:color w:val="000000"/>
          <w:szCs w:val="21"/>
        </w:rPr>
        <w:t>服务人员</w:t>
      </w:r>
      <w:r>
        <w:rPr>
          <w:rFonts w:hint="eastAsia" w:ascii="宋体" w:hAnsi="宋体"/>
          <w:color w:val="000000"/>
          <w:szCs w:val="21"/>
        </w:rPr>
        <w:t>、其他社会生产服务</w:t>
      </w:r>
      <w:r>
        <w:rPr>
          <w:rFonts w:ascii="宋体" w:hAnsi="宋体"/>
          <w:color w:val="000000"/>
          <w:szCs w:val="21"/>
        </w:rPr>
        <w:t>和生活服务人员</w:t>
      </w:r>
      <w:r>
        <w:rPr>
          <w:rFonts w:hint="eastAsia" w:ascii="宋体" w:hAnsi="宋体"/>
          <w:color w:val="000000"/>
          <w:szCs w:val="21"/>
        </w:rPr>
        <w:t>。</w:t>
      </w:r>
    </w:p>
    <w:p>
      <w:pPr>
        <w:snapToGrid w:val="0"/>
        <w:spacing w:line="360" w:lineRule="exact"/>
        <w:ind w:firstLine="420" w:firstLineChars="200"/>
        <w:rPr>
          <w:rFonts w:ascii="宋体" w:hAnsi="宋体"/>
          <w:color w:val="000000"/>
          <w:szCs w:val="21"/>
        </w:rPr>
      </w:pPr>
      <w:r>
        <w:rPr>
          <w:rFonts w:hint="eastAsia" w:ascii="黑体" w:hAnsi="宋体" w:eastAsia="黑体"/>
          <w:color w:val="000000"/>
          <w:szCs w:val="21"/>
        </w:rPr>
        <w:t xml:space="preserve">生产制造及有关人员  </w:t>
      </w:r>
      <w:r>
        <w:rPr>
          <w:rFonts w:hint="eastAsia" w:ascii="宋体" w:hAnsi="宋体"/>
          <w:color w:val="000000"/>
          <w:szCs w:val="21"/>
        </w:rPr>
        <w:t>指从事产品生产及设备制造、矿产开采、工程施工和运输设备操作的人员及有关人员。具体包括农业生产人员、林业生产人员、畜牧业生产人员、渔业生产人员、农、林、牧、渔业生产辅助人员、其他农、林、牧、渔业生产及辅助人员、农副产品</w:t>
      </w:r>
      <w:r>
        <w:rPr>
          <w:rFonts w:ascii="宋体" w:hAnsi="宋体"/>
          <w:color w:val="000000"/>
          <w:szCs w:val="21"/>
        </w:rPr>
        <w:t>加工人员</w:t>
      </w:r>
      <w:r>
        <w:rPr>
          <w:rFonts w:hint="eastAsia" w:ascii="宋体" w:hAnsi="宋体"/>
          <w:color w:val="000000"/>
          <w:szCs w:val="21"/>
        </w:rPr>
        <w:t>、</w:t>
      </w:r>
      <w:r>
        <w:rPr>
          <w:rFonts w:ascii="宋体" w:hAnsi="宋体"/>
          <w:color w:val="000000"/>
          <w:szCs w:val="21"/>
        </w:rPr>
        <w:t>食品、饮料</w:t>
      </w:r>
      <w:r>
        <w:rPr>
          <w:rFonts w:hint="eastAsia" w:ascii="宋体" w:hAnsi="宋体"/>
          <w:color w:val="000000"/>
          <w:szCs w:val="21"/>
        </w:rPr>
        <w:t>生产</w:t>
      </w:r>
      <w:r>
        <w:rPr>
          <w:rFonts w:ascii="宋体" w:hAnsi="宋体"/>
          <w:color w:val="000000"/>
          <w:szCs w:val="21"/>
        </w:rPr>
        <w:t>加工人员、</w:t>
      </w:r>
      <w:r>
        <w:rPr>
          <w:rFonts w:hint="eastAsia" w:ascii="宋体" w:hAnsi="宋体"/>
          <w:color w:val="000000"/>
          <w:szCs w:val="21"/>
        </w:rPr>
        <w:t>烟草</w:t>
      </w:r>
      <w:r>
        <w:rPr>
          <w:rFonts w:ascii="宋体" w:hAnsi="宋体"/>
          <w:color w:val="000000"/>
          <w:szCs w:val="21"/>
        </w:rPr>
        <w:t>及其制品加工人员</w:t>
      </w:r>
      <w:r>
        <w:rPr>
          <w:rFonts w:hint="eastAsia" w:ascii="宋体" w:hAnsi="宋体"/>
          <w:color w:val="000000"/>
          <w:szCs w:val="21"/>
        </w:rPr>
        <w:t>、</w:t>
      </w:r>
      <w:r>
        <w:rPr>
          <w:rFonts w:ascii="宋体" w:hAnsi="宋体"/>
          <w:color w:val="000000"/>
          <w:szCs w:val="21"/>
        </w:rPr>
        <w:t>纺织、针织、</w:t>
      </w:r>
      <w:r>
        <w:rPr>
          <w:rFonts w:hint="eastAsia" w:ascii="宋体" w:hAnsi="宋体"/>
          <w:color w:val="000000"/>
          <w:szCs w:val="21"/>
        </w:rPr>
        <w:t>印染</w:t>
      </w:r>
      <w:r>
        <w:rPr>
          <w:rFonts w:ascii="宋体" w:hAnsi="宋体"/>
          <w:color w:val="000000"/>
          <w:szCs w:val="21"/>
        </w:rPr>
        <w:t>人员、纺织品、服装和皮革、毛皮制品加工制作人员</w:t>
      </w:r>
      <w:r>
        <w:rPr>
          <w:rFonts w:hint="eastAsia" w:ascii="宋体" w:hAnsi="宋体"/>
          <w:color w:val="000000"/>
          <w:szCs w:val="21"/>
        </w:rPr>
        <w:t>、</w:t>
      </w:r>
      <w:r>
        <w:rPr>
          <w:rFonts w:ascii="宋体" w:hAnsi="宋体"/>
          <w:color w:val="000000"/>
          <w:szCs w:val="21"/>
        </w:rPr>
        <w:t>木材加工、家具与木制品制作人员</w:t>
      </w:r>
      <w:r>
        <w:rPr>
          <w:rFonts w:hint="eastAsia" w:ascii="宋体" w:hAnsi="宋体"/>
          <w:color w:val="000000"/>
          <w:szCs w:val="21"/>
        </w:rPr>
        <w:t>、</w:t>
      </w:r>
      <w:r>
        <w:rPr>
          <w:rFonts w:ascii="宋体" w:hAnsi="宋体"/>
          <w:color w:val="000000"/>
          <w:szCs w:val="21"/>
        </w:rPr>
        <w:t>纸及纸制品生产加工人员</w:t>
      </w:r>
      <w:r>
        <w:rPr>
          <w:rFonts w:hint="eastAsia" w:ascii="宋体" w:hAnsi="宋体"/>
          <w:color w:val="000000"/>
          <w:szCs w:val="21"/>
        </w:rPr>
        <w:t>、</w:t>
      </w:r>
      <w:r>
        <w:rPr>
          <w:rFonts w:ascii="宋体" w:hAnsi="宋体"/>
          <w:color w:val="000000"/>
          <w:szCs w:val="21"/>
        </w:rPr>
        <w:t>印刷和记录媒介</w:t>
      </w:r>
      <w:r>
        <w:rPr>
          <w:rFonts w:hint="eastAsia" w:ascii="宋体" w:hAnsi="宋体"/>
          <w:color w:val="000000"/>
          <w:szCs w:val="21"/>
        </w:rPr>
        <w:t>复制</w:t>
      </w:r>
      <w:r>
        <w:rPr>
          <w:rFonts w:ascii="宋体" w:hAnsi="宋体"/>
          <w:color w:val="000000"/>
          <w:szCs w:val="21"/>
        </w:rPr>
        <w:t>人员、文教、工美、体育和娱乐用品制造人员</w:t>
      </w:r>
      <w:r>
        <w:rPr>
          <w:rFonts w:hint="eastAsia" w:ascii="宋体" w:hAnsi="宋体"/>
          <w:color w:val="000000"/>
          <w:szCs w:val="21"/>
        </w:rPr>
        <w:t>、石油</w:t>
      </w:r>
      <w:r>
        <w:rPr>
          <w:rFonts w:ascii="宋体" w:hAnsi="宋体"/>
          <w:color w:val="000000"/>
          <w:szCs w:val="21"/>
        </w:rPr>
        <w:t>加工</w:t>
      </w:r>
      <w:r>
        <w:rPr>
          <w:rFonts w:hint="eastAsia" w:ascii="宋体" w:hAnsi="宋体"/>
          <w:color w:val="000000"/>
          <w:szCs w:val="21"/>
        </w:rPr>
        <w:t>和</w:t>
      </w:r>
      <w:r>
        <w:rPr>
          <w:rFonts w:ascii="宋体" w:hAnsi="宋体"/>
          <w:color w:val="000000"/>
          <w:szCs w:val="21"/>
        </w:rPr>
        <w:t>炼焦、煤化工生产人员</w:t>
      </w:r>
      <w:r>
        <w:rPr>
          <w:rFonts w:hint="eastAsia" w:ascii="宋体" w:hAnsi="宋体"/>
          <w:color w:val="000000"/>
          <w:szCs w:val="21"/>
        </w:rPr>
        <w:t>、</w:t>
      </w:r>
      <w:r>
        <w:rPr>
          <w:rFonts w:ascii="宋体" w:hAnsi="宋体"/>
          <w:color w:val="000000"/>
          <w:szCs w:val="21"/>
        </w:rPr>
        <w:t>化学原料</w:t>
      </w:r>
      <w:r>
        <w:rPr>
          <w:rFonts w:hint="eastAsia" w:ascii="宋体" w:hAnsi="宋体"/>
          <w:color w:val="000000"/>
          <w:szCs w:val="21"/>
        </w:rPr>
        <w:t>和</w:t>
      </w:r>
      <w:r>
        <w:rPr>
          <w:rFonts w:ascii="宋体" w:hAnsi="宋体"/>
          <w:color w:val="000000"/>
          <w:szCs w:val="21"/>
        </w:rPr>
        <w:t>化学制品制造人员、医药制造人员</w:t>
      </w:r>
      <w:r>
        <w:rPr>
          <w:rFonts w:hint="eastAsia" w:ascii="宋体" w:hAnsi="宋体"/>
          <w:color w:val="000000"/>
          <w:szCs w:val="21"/>
        </w:rPr>
        <w:t>、</w:t>
      </w:r>
      <w:r>
        <w:rPr>
          <w:rFonts w:ascii="宋体" w:hAnsi="宋体"/>
          <w:color w:val="000000"/>
          <w:szCs w:val="21"/>
        </w:rPr>
        <w:t>化学纤维制造人员</w:t>
      </w:r>
      <w:r>
        <w:rPr>
          <w:rFonts w:hint="eastAsia" w:ascii="宋体" w:hAnsi="宋体"/>
          <w:color w:val="000000"/>
          <w:szCs w:val="21"/>
        </w:rPr>
        <w:t>、</w:t>
      </w:r>
      <w:r>
        <w:rPr>
          <w:rFonts w:ascii="宋体" w:hAnsi="宋体"/>
          <w:color w:val="000000"/>
          <w:szCs w:val="21"/>
        </w:rPr>
        <w:t>橡胶和塑料制品制造人员</w:t>
      </w:r>
      <w:r>
        <w:rPr>
          <w:rFonts w:hint="eastAsia" w:ascii="宋体" w:hAnsi="宋体"/>
          <w:color w:val="000000"/>
          <w:szCs w:val="21"/>
        </w:rPr>
        <w:t>、</w:t>
      </w:r>
      <w:r>
        <w:rPr>
          <w:rFonts w:ascii="宋体" w:hAnsi="宋体"/>
          <w:color w:val="000000"/>
          <w:szCs w:val="21"/>
        </w:rPr>
        <w:t>非</w:t>
      </w:r>
      <w:r>
        <w:rPr>
          <w:rFonts w:hint="eastAsia" w:ascii="宋体" w:hAnsi="宋体"/>
          <w:color w:val="000000"/>
          <w:szCs w:val="21"/>
        </w:rPr>
        <w:t>金属</w:t>
      </w:r>
      <w:r>
        <w:rPr>
          <w:rFonts w:ascii="宋体" w:hAnsi="宋体"/>
          <w:color w:val="000000"/>
          <w:szCs w:val="21"/>
        </w:rPr>
        <w:t>矿物制品制造人员、采矿人员</w:t>
      </w:r>
      <w:r>
        <w:rPr>
          <w:rFonts w:hint="eastAsia" w:ascii="宋体" w:hAnsi="宋体"/>
          <w:color w:val="000000"/>
          <w:szCs w:val="21"/>
        </w:rPr>
        <w:t>、</w:t>
      </w:r>
      <w:r>
        <w:rPr>
          <w:rFonts w:ascii="宋体" w:hAnsi="宋体"/>
          <w:color w:val="000000"/>
          <w:szCs w:val="21"/>
        </w:rPr>
        <w:t>金属冶炼和压延加工人员</w:t>
      </w:r>
      <w:r>
        <w:rPr>
          <w:rFonts w:hint="eastAsia" w:ascii="宋体" w:hAnsi="宋体"/>
          <w:color w:val="000000"/>
          <w:szCs w:val="21"/>
        </w:rPr>
        <w:t>、</w:t>
      </w:r>
      <w:r>
        <w:rPr>
          <w:rFonts w:ascii="宋体" w:hAnsi="宋体"/>
          <w:color w:val="000000"/>
          <w:szCs w:val="21"/>
        </w:rPr>
        <w:t>机械制造基础加工人员</w:t>
      </w:r>
      <w:r>
        <w:rPr>
          <w:rFonts w:hint="eastAsia" w:ascii="宋体" w:hAnsi="宋体"/>
          <w:color w:val="000000"/>
          <w:szCs w:val="21"/>
        </w:rPr>
        <w:t>、</w:t>
      </w:r>
      <w:r>
        <w:rPr>
          <w:rFonts w:ascii="宋体" w:hAnsi="宋体"/>
          <w:color w:val="000000"/>
          <w:szCs w:val="21"/>
        </w:rPr>
        <w:t>金属制品制造人员</w:t>
      </w:r>
      <w:r>
        <w:rPr>
          <w:rFonts w:hint="eastAsia" w:ascii="宋体" w:hAnsi="宋体"/>
          <w:color w:val="000000"/>
          <w:szCs w:val="21"/>
        </w:rPr>
        <w:t>、</w:t>
      </w:r>
      <w:r>
        <w:rPr>
          <w:rFonts w:ascii="宋体" w:hAnsi="宋体"/>
          <w:color w:val="000000"/>
          <w:szCs w:val="21"/>
        </w:rPr>
        <w:t>通用设备制造人员</w:t>
      </w:r>
      <w:r>
        <w:rPr>
          <w:rFonts w:hint="eastAsia" w:ascii="宋体" w:hAnsi="宋体"/>
          <w:color w:val="000000"/>
          <w:szCs w:val="21"/>
        </w:rPr>
        <w:t>、专</w:t>
      </w:r>
      <w:r>
        <w:rPr>
          <w:rFonts w:ascii="宋体" w:hAnsi="宋体"/>
          <w:color w:val="000000"/>
          <w:szCs w:val="21"/>
        </w:rPr>
        <w:t>用设备制造人员</w:t>
      </w:r>
      <w:r>
        <w:rPr>
          <w:rFonts w:hint="eastAsia" w:ascii="宋体" w:hAnsi="宋体"/>
          <w:color w:val="000000"/>
          <w:szCs w:val="21"/>
        </w:rPr>
        <w:t>、汽车</w:t>
      </w:r>
      <w:r>
        <w:rPr>
          <w:rFonts w:ascii="宋体" w:hAnsi="宋体"/>
          <w:color w:val="000000"/>
          <w:szCs w:val="21"/>
        </w:rPr>
        <w:t>制造人员</w:t>
      </w:r>
      <w:r>
        <w:rPr>
          <w:rFonts w:hint="eastAsia" w:ascii="宋体" w:hAnsi="宋体"/>
          <w:color w:val="000000"/>
          <w:szCs w:val="21"/>
        </w:rPr>
        <w:t>、</w:t>
      </w:r>
      <w:r>
        <w:rPr>
          <w:rFonts w:ascii="宋体" w:hAnsi="宋体"/>
          <w:color w:val="000000"/>
          <w:szCs w:val="21"/>
        </w:rPr>
        <w:t>铁路、船舶、航空</w:t>
      </w:r>
      <w:r>
        <w:rPr>
          <w:rFonts w:hint="eastAsia" w:ascii="宋体" w:hAnsi="宋体"/>
          <w:color w:val="000000"/>
          <w:szCs w:val="21"/>
        </w:rPr>
        <w:t>航天</w:t>
      </w:r>
      <w:r>
        <w:rPr>
          <w:rFonts w:ascii="宋体" w:hAnsi="宋体"/>
          <w:color w:val="000000"/>
          <w:szCs w:val="21"/>
        </w:rPr>
        <w:t>设备制造人员</w:t>
      </w:r>
      <w:r>
        <w:rPr>
          <w:rFonts w:hint="eastAsia" w:ascii="宋体" w:hAnsi="宋体"/>
          <w:color w:val="000000"/>
          <w:szCs w:val="21"/>
        </w:rPr>
        <w:t>、</w:t>
      </w:r>
      <w:r>
        <w:rPr>
          <w:rFonts w:ascii="宋体" w:hAnsi="宋体"/>
          <w:color w:val="000000"/>
          <w:szCs w:val="21"/>
        </w:rPr>
        <w:t>电</w:t>
      </w:r>
      <w:r>
        <w:rPr>
          <w:rFonts w:hint="eastAsia" w:ascii="宋体" w:hAnsi="宋体"/>
          <w:color w:val="000000"/>
          <w:szCs w:val="21"/>
        </w:rPr>
        <w:t>气</w:t>
      </w:r>
      <w:r>
        <w:rPr>
          <w:rFonts w:ascii="宋体" w:hAnsi="宋体"/>
          <w:color w:val="000000"/>
          <w:szCs w:val="21"/>
        </w:rPr>
        <w:t>机械和器材制造人员</w:t>
      </w:r>
      <w:r>
        <w:rPr>
          <w:rFonts w:hint="eastAsia" w:ascii="宋体" w:hAnsi="宋体"/>
          <w:color w:val="000000"/>
          <w:szCs w:val="21"/>
        </w:rPr>
        <w:t>、</w:t>
      </w:r>
      <w:r>
        <w:rPr>
          <w:rFonts w:ascii="宋体" w:hAnsi="宋体"/>
          <w:color w:val="000000"/>
          <w:szCs w:val="21"/>
        </w:rPr>
        <w:t>计算机、通信和其他电子设备</w:t>
      </w:r>
      <w:r>
        <w:rPr>
          <w:rFonts w:hint="eastAsia" w:ascii="宋体" w:hAnsi="宋体"/>
          <w:color w:val="000000"/>
          <w:szCs w:val="21"/>
        </w:rPr>
        <w:t>制造</w:t>
      </w:r>
      <w:r>
        <w:rPr>
          <w:rFonts w:ascii="宋体" w:hAnsi="宋体"/>
          <w:color w:val="000000"/>
          <w:szCs w:val="21"/>
        </w:rPr>
        <w:t>人员</w:t>
      </w:r>
      <w:r>
        <w:rPr>
          <w:rFonts w:hint="eastAsia" w:ascii="宋体" w:hAnsi="宋体"/>
          <w:color w:val="000000"/>
          <w:szCs w:val="21"/>
        </w:rPr>
        <w:t>、</w:t>
      </w:r>
      <w:r>
        <w:rPr>
          <w:rFonts w:ascii="宋体" w:hAnsi="宋体"/>
          <w:color w:val="000000"/>
          <w:szCs w:val="21"/>
        </w:rPr>
        <w:t>仪器仪表制造人员、</w:t>
      </w:r>
      <w:r>
        <w:rPr>
          <w:rFonts w:hint="eastAsia" w:ascii="宋体" w:hAnsi="宋体"/>
          <w:color w:val="000000"/>
          <w:szCs w:val="21"/>
        </w:rPr>
        <w:t>再生</w:t>
      </w:r>
      <w:r>
        <w:rPr>
          <w:rFonts w:ascii="宋体" w:hAnsi="宋体"/>
          <w:color w:val="000000"/>
          <w:szCs w:val="21"/>
        </w:rPr>
        <w:t>资源综合利用人员</w:t>
      </w:r>
      <w:r>
        <w:rPr>
          <w:rFonts w:hint="eastAsia" w:ascii="宋体" w:hAnsi="宋体"/>
          <w:color w:val="000000"/>
          <w:szCs w:val="21"/>
        </w:rPr>
        <w:t>、</w:t>
      </w:r>
      <w:r>
        <w:rPr>
          <w:rFonts w:ascii="宋体" w:hAnsi="宋体"/>
          <w:color w:val="000000"/>
          <w:szCs w:val="21"/>
        </w:rPr>
        <w:t>电力、热力、气体、水生产和输</w:t>
      </w:r>
      <w:r>
        <w:rPr>
          <w:rFonts w:hint="eastAsia" w:ascii="宋体" w:hAnsi="宋体"/>
          <w:color w:val="000000"/>
          <w:szCs w:val="21"/>
        </w:rPr>
        <w:t>配</w:t>
      </w:r>
      <w:r>
        <w:rPr>
          <w:rFonts w:ascii="宋体" w:hAnsi="宋体"/>
          <w:color w:val="000000"/>
          <w:szCs w:val="21"/>
        </w:rPr>
        <w:t>人员</w:t>
      </w:r>
      <w:r>
        <w:rPr>
          <w:rFonts w:hint="eastAsia" w:ascii="宋体" w:hAnsi="宋体"/>
          <w:color w:val="000000"/>
          <w:szCs w:val="21"/>
        </w:rPr>
        <w:t>、</w:t>
      </w:r>
      <w:r>
        <w:rPr>
          <w:rFonts w:ascii="宋体" w:hAnsi="宋体"/>
          <w:color w:val="000000"/>
          <w:szCs w:val="21"/>
        </w:rPr>
        <w:t>建筑施工人员</w:t>
      </w:r>
      <w:r>
        <w:rPr>
          <w:rFonts w:hint="eastAsia" w:ascii="宋体" w:hAnsi="宋体"/>
          <w:color w:val="000000"/>
          <w:szCs w:val="21"/>
        </w:rPr>
        <w:t>、</w:t>
      </w:r>
      <w:r>
        <w:rPr>
          <w:rFonts w:ascii="宋体" w:hAnsi="宋体"/>
          <w:color w:val="000000"/>
          <w:szCs w:val="21"/>
        </w:rPr>
        <w:t>运输设备和通用工程机械操作人员及有关人员、生产辅助人员、其他生产制造及有关人员</w:t>
      </w:r>
      <w:r>
        <w:rPr>
          <w:rFonts w:hint="eastAsia" w:ascii="宋体" w:hAnsi="宋体"/>
          <w:color w:val="000000"/>
          <w:szCs w:val="21"/>
        </w:rPr>
        <w:t>。</w:t>
      </w:r>
    </w:p>
    <w:p>
      <w:pPr>
        <w:spacing w:line="360" w:lineRule="exact"/>
        <w:ind w:firstLine="420" w:firstLineChars="200"/>
        <w:rPr>
          <w:rFonts w:hint="eastAsia" w:ascii="宋体" w:hAnsi="宋体"/>
          <w:color w:val="000000"/>
          <w:szCs w:val="21"/>
        </w:rPr>
      </w:pPr>
      <w:r>
        <w:rPr>
          <w:rFonts w:hint="eastAsia" w:ascii="黑体" w:hAnsi="宋体" w:eastAsia="黑体"/>
          <w:color w:val="000000"/>
          <w:szCs w:val="21"/>
        </w:rPr>
        <w:t xml:space="preserve">从业人员平均人数  </w:t>
      </w:r>
      <w:r>
        <w:rPr>
          <w:rFonts w:hint="eastAsia" w:ascii="宋体" w:hAnsi="宋体"/>
          <w:color w:val="000000"/>
          <w:szCs w:val="21"/>
        </w:rPr>
        <w:t>指月度或年度平均拥有的从业人员数。年度平均人数按单位实际月平均人数计算得到，不得用期末人数替代。</w:t>
      </w:r>
    </w:p>
    <w:p>
      <w:pPr>
        <w:spacing w:line="360" w:lineRule="exact"/>
        <w:ind w:left="420"/>
        <w:rPr>
          <w:rFonts w:ascii="宋体" w:hAnsi="宋体"/>
          <w:color w:val="000000"/>
          <w:szCs w:val="21"/>
        </w:rPr>
      </w:pPr>
      <w:r>
        <w:rPr>
          <w:rFonts w:hint="eastAsia"/>
          <w:color w:val="000000"/>
        </w:rPr>
        <w:t>1</w:t>
      </w:r>
      <w:r>
        <w:rPr>
          <w:rFonts w:hint="eastAsia" w:ascii="宋体" w:hAnsi="宋体"/>
          <w:color w:val="000000"/>
          <w:szCs w:val="21"/>
        </w:rPr>
        <w:t>.</w:t>
      </w:r>
      <w:r>
        <w:rPr>
          <w:rFonts w:hint="eastAsia"/>
          <w:color w:val="000000"/>
        </w:rPr>
        <w:t>月平</w:t>
      </w:r>
      <w:r>
        <w:rPr>
          <w:rFonts w:hint="eastAsia" w:ascii="宋体" w:hAnsi="宋体"/>
          <w:color w:val="000000"/>
          <w:szCs w:val="21"/>
        </w:rPr>
        <w:t>均人数是以报告月内每天实有的全部人数之和，除以报告月的日历日数。计算公式为：</w:t>
      </w:r>
    </w:p>
    <w:p>
      <w:pPr>
        <w:spacing w:line="360" w:lineRule="exact"/>
        <w:ind w:left="420"/>
        <w:rPr>
          <w:rFonts w:hint="eastAsia" w:ascii="宋体" w:hAnsi="宋体"/>
          <w:color w:val="000000"/>
          <w:szCs w:val="21"/>
        </w:rPr>
      </w:pPr>
      <w:r>
        <w:rPr>
          <w:rFonts w:hint="eastAsia" w:ascii="宋体" w:hAnsi="宋体"/>
          <w:color w:val="000000"/>
          <w:szCs w:val="21"/>
        </w:rPr>
        <w:t>月平均人数=报告月内每天实有的全部人数之和</w:t>
      </w:r>
      <w:r>
        <w:rPr>
          <w:rFonts w:ascii="宋体" w:hAnsi="宋体"/>
          <w:color w:val="000000"/>
          <w:szCs w:val="21"/>
        </w:rPr>
        <w:t>/</w:t>
      </w:r>
      <w:r>
        <w:rPr>
          <w:rFonts w:hint="eastAsia" w:ascii="宋体" w:hAnsi="宋体"/>
          <w:color w:val="000000"/>
          <w:szCs w:val="21"/>
        </w:rPr>
        <w:t>报告月的日历日数</w:t>
      </w:r>
    </w:p>
    <w:p>
      <w:pPr>
        <w:snapToGrid w:val="0"/>
        <w:spacing w:line="360" w:lineRule="exact"/>
        <w:ind w:firstLine="420" w:firstLineChars="200"/>
        <w:rPr>
          <w:rFonts w:hint="eastAsia" w:ascii="宋体" w:hAnsi="宋体"/>
          <w:color w:val="000000"/>
          <w:szCs w:val="21"/>
        </w:rPr>
      </w:pPr>
      <w:r>
        <w:rPr>
          <w:rFonts w:hint="eastAsia" w:ascii="宋体" w:hAnsi="宋体"/>
          <w:color w:val="000000"/>
          <w:szCs w:val="21"/>
        </w:rPr>
        <w:t>对人员增减变动很小的单位，其月平均人数也可以用月初人数与月末人数之和除以2求得。计算公式为：</w:t>
      </w:r>
    </w:p>
    <w:p>
      <w:pPr>
        <w:snapToGrid w:val="0"/>
        <w:spacing w:line="360" w:lineRule="exact"/>
        <w:ind w:firstLine="420" w:firstLineChars="200"/>
        <w:rPr>
          <w:rFonts w:hint="eastAsia" w:ascii="宋体" w:hAnsi="宋体"/>
          <w:color w:val="000000"/>
          <w:szCs w:val="21"/>
        </w:rPr>
      </w:pPr>
      <w:r>
        <w:rPr>
          <w:rFonts w:hint="eastAsia"/>
          <w:color w:val="000000"/>
        </w:rPr>
        <w:t xml:space="preserve">月平均人数= </w:t>
      </w:r>
      <w:r>
        <w:rPr>
          <w:color w:val="000000"/>
        </w:rPr>
        <w:t>(</w:t>
      </w:r>
      <w:r>
        <w:rPr>
          <w:rFonts w:hint="eastAsia"/>
          <w:color w:val="000000"/>
        </w:rPr>
        <w:t>月初人数+月末人数</w:t>
      </w:r>
      <w:r>
        <w:rPr>
          <w:color w:val="000000"/>
        </w:rPr>
        <w:t>)</w:t>
      </w:r>
      <w:r>
        <w:rPr>
          <w:rFonts w:hint="eastAsia"/>
          <w:color w:val="000000"/>
        </w:rPr>
        <w:t xml:space="preserve"> </w:t>
      </w:r>
      <w:r>
        <w:rPr>
          <w:color w:val="000000"/>
        </w:rPr>
        <w:t>/</w:t>
      </w:r>
      <w:r>
        <w:rPr>
          <w:rFonts w:hint="eastAsia"/>
          <w:color w:val="000000"/>
        </w:rPr>
        <w:t xml:space="preserve"> </w:t>
      </w:r>
      <w:r>
        <w:rPr>
          <w:color w:val="000000"/>
        </w:rPr>
        <w:t>2</w:t>
      </w:r>
    </w:p>
    <w:p>
      <w:pPr>
        <w:spacing w:line="360" w:lineRule="exact"/>
        <w:ind w:firstLine="420" w:firstLineChars="200"/>
        <w:rPr>
          <w:rFonts w:hint="eastAsia" w:ascii="宋体" w:hAnsi="宋体"/>
          <w:color w:val="000000"/>
          <w:szCs w:val="21"/>
        </w:rPr>
      </w:pPr>
      <w:r>
        <w:rPr>
          <w:rFonts w:hint="eastAsia" w:ascii="宋体" w:hAnsi="宋体"/>
          <w:color w:val="000000"/>
          <w:szCs w:val="21"/>
        </w:rPr>
        <w:t>在计算月平均人数时应注意：</w:t>
      </w:r>
    </w:p>
    <w:p>
      <w:pPr>
        <w:spacing w:line="360" w:lineRule="exact"/>
        <w:ind w:firstLine="420" w:firstLineChars="200"/>
        <w:rPr>
          <w:rFonts w:hint="eastAsia" w:ascii="宋体" w:hAnsi="宋体"/>
          <w:color w:val="000000"/>
          <w:szCs w:val="21"/>
        </w:rPr>
      </w:pPr>
      <w:r>
        <w:rPr>
          <w:rFonts w:hint="eastAsia" w:ascii="宋体" w:hAnsi="宋体"/>
          <w:color w:val="000000"/>
          <w:szCs w:val="21"/>
        </w:rPr>
        <w:t>（1）公休日与节假日的人数应按放假前最后一个工作日的人数计算。</w:t>
      </w:r>
    </w:p>
    <w:p>
      <w:pPr>
        <w:spacing w:line="360" w:lineRule="exact"/>
        <w:ind w:firstLine="420" w:firstLineChars="200"/>
        <w:rPr>
          <w:rFonts w:hint="eastAsia" w:ascii="宋体" w:hAnsi="宋体"/>
          <w:color w:val="000000"/>
          <w:szCs w:val="21"/>
        </w:rPr>
      </w:pPr>
      <w:r>
        <w:rPr>
          <w:rFonts w:hint="eastAsia" w:ascii="宋体" w:hAnsi="宋体"/>
          <w:color w:val="000000"/>
          <w:szCs w:val="21"/>
        </w:rPr>
        <w:t>（2）对新建立不满整月的单位（月中或月末建立），在计算报告月的平均人数时，应以其建立后各天实有人数之和，除以整月天数求得，而不能除以该单位建立的天数。</w:t>
      </w:r>
    </w:p>
    <w:p>
      <w:pPr>
        <w:spacing w:line="360" w:lineRule="atLeast"/>
        <w:ind w:firstLine="420" w:firstLineChars="200"/>
        <w:rPr>
          <w:rFonts w:ascii="宋体" w:hAnsi="宋体"/>
          <w:color w:val="000000"/>
          <w:szCs w:val="21"/>
        </w:rPr>
      </w:pPr>
      <w:r>
        <w:rPr>
          <w:rFonts w:hint="eastAsia" w:ascii="宋体" w:hAnsi="宋体"/>
          <w:color w:val="000000"/>
          <w:szCs w:val="21"/>
        </w:rPr>
        <w:t>2.年平均人数是以12个月的平均人数之和除以12求得。计算公式为：</w:t>
      </w:r>
    </w:p>
    <w:p>
      <w:pPr>
        <w:spacing w:line="360" w:lineRule="atLeast"/>
        <w:rPr>
          <w:rFonts w:hint="eastAsia" w:ascii="宋体" w:hAnsi="宋体"/>
          <w:color w:val="000000"/>
          <w:szCs w:val="21"/>
        </w:rPr>
      </w:pPr>
      <w:r>
        <w:rPr>
          <w:rFonts w:hint="eastAsia" w:ascii="宋体" w:hAnsi="宋体"/>
          <w:color w:val="000000"/>
          <w:szCs w:val="21"/>
        </w:rPr>
        <w:t xml:space="preserve">    年平均人数=报告年内12个月平均人数之和</w:t>
      </w:r>
      <w:r>
        <w:rPr>
          <w:rFonts w:ascii="宋体" w:hAnsi="宋体"/>
          <w:color w:val="000000"/>
          <w:szCs w:val="21"/>
        </w:rPr>
        <w:t>/12</w:t>
      </w:r>
    </w:p>
    <w:p>
      <w:pPr>
        <w:spacing w:line="360" w:lineRule="atLeast"/>
        <w:ind w:firstLine="420" w:firstLineChars="200"/>
        <w:rPr>
          <w:rFonts w:ascii="宋体" w:hAnsi="宋体"/>
          <w:color w:val="000000"/>
          <w:szCs w:val="21"/>
        </w:rPr>
      </w:pPr>
      <w:r>
        <w:rPr>
          <w:rFonts w:hint="eastAsia" w:ascii="宋体" w:hAnsi="宋体"/>
          <w:color w:val="000000"/>
          <w:szCs w:val="21"/>
        </w:rPr>
        <w:t>在年内新成立的单位年平均人数计算方法为：从实际开工之月起到年底的月平均人数相加除以12个月。计算公式为：</w:t>
      </w:r>
    </w:p>
    <w:p>
      <w:pPr>
        <w:spacing w:line="360" w:lineRule="atLeast"/>
        <w:ind w:firstLine="420" w:firstLineChars="200"/>
        <w:rPr>
          <w:rFonts w:hint="eastAsia" w:ascii="宋体" w:hAnsi="宋体"/>
          <w:color w:val="000000"/>
          <w:szCs w:val="21"/>
        </w:rPr>
      </w:pPr>
      <w:r>
        <w:rPr>
          <w:rFonts w:hint="eastAsia" w:ascii="宋体" w:hAnsi="宋体"/>
          <w:color w:val="000000"/>
          <w:szCs w:val="21"/>
        </w:rPr>
        <w:t>年平均人数=(开工之月平均人数+</w:t>
      </w:r>
      <w:r>
        <w:rPr>
          <w:rFonts w:ascii="宋体" w:hAnsi="宋体"/>
          <w:color w:val="000000"/>
          <w:szCs w:val="21"/>
        </w:rPr>
        <w:t>…+</w:t>
      </w:r>
      <w:r>
        <w:rPr>
          <w:rFonts w:hint="eastAsia" w:ascii="宋体" w:hAnsi="宋体"/>
          <w:color w:val="000000"/>
          <w:szCs w:val="21"/>
        </w:rPr>
        <w:t>12月平均人数)/12</w:t>
      </w:r>
    </w:p>
    <w:p>
      <w:pPr>
        <w:spacing w:line="360" w:lineRule="exact"/>
        <w:ind w:firstLine="420" w:firstLineChars="200"/>
        <w:rPr>
          <w:rFonts w:ascii="宋体" w:hAnsi="宋体"/>
          <w:color w:val="000000"/>
          <w:spacing w:val="8"/>
          <w:szCs w:val="21"/>
        </w:rPr>
      </w:pPr>
      <w:r>
        <w:rPr>
          <w:rFonts w:hint="eastAsia" w:ascii="黑体" w:eastAsia="黑体"/>
          <w:color w:val="000000"/>
          <w:szCs w:val="21"/>
        </w:rPr>
        <w:t xml:space="preserve">从业人员工资总额  </w:t>
      </w:r>
      <w:r>
        <w:rPr>
          <w:rFonts w:hint="eastAsia" w:ascii="宋体" w:hAnsi="宋体"/>
          <w:color w:val="000000"/>
          <w:spacing w:val="8"/>
          <w:szCs w:val="21"/>
        </w:rPr>
        <w:t>指本单位在月度或年度直接支付给本单位全部从业人员的劳动报酬总额。</w:t>
      </w:r>
      <w:r>
        <w:rPr>
          <w:rFonts w:hint="eastAsia" w:hAnsi="宋体"/>
          <w:color w:val="000000"/>
          <w:szCs w:val="21"/>
        </w:rPr>
        <w:t>不论是计入成本的还是不计入成本的，不论是以货币形式支付的还是以实物形式支付的，均应列入工资总额的计算范围。需要明确</w:t>
      </w:r>
      <w:r>
        <w:rPr>
          <w:rFonts w:hAnsi="宋体"/>
          <w:color w:val="000000"/>
          <w:szCs w:val="21"/>
        </w:rPr>
        <w:t>的是</w:t>
      </w:r>
      <w:r>
        <w:rPr>
          <w:rFonts w:hint="eastAsia" w:hAnsi="宋体"/>
          <w:color w:val="000000"/>
          <w:szCs w:val="21"/>
        </w:rPr>
        <w:t>，</w:t>
      </w:r>
      <w:r>
        <w:rPr>
          <w:rFonts w:hint="eastAsia" w:ascii="宋体" w:hAnsi="宋体"/>
          <w:color w:val="000000"/>
          <w:spacing w:val="8"/>
          <w:szCs w:val="21"/>
        </w:rPr>
        <w:t>工资总额是税前工资，包括单位从个人工资中直接为其代扣或代缴的个人所得税、社会保险基金和住房公积金等个人缴纳部分以及房费、水电费等，但</w:t>
      </w:r>
      <w:r>
        <w:rPr>
          <w:rFonts w:hAnsi="宋体"/>
          <w:color w:val="000000"/>
          <w:szCs w:val="21"/>
        </w:rPr>
        <w:t>不包括</w:t>
      </w:r>
      <w:r>
        <w:rPr>
          <w:rFonts w:hint="eastAsia" w:hAnsi="宋体"/>
          <w:color w:val="000000"/>
          <w:szCs w:val="21"/>
        </w:rPr>
        <w:t>从</w:t>
      </w:r>
      <w:r>
        <w:rPr>
          <w:rFonts w:hAnsi="宋体"/>
          <w:color w:val="000000"/>
          <w:szCs w:val="21"/>
        </w:rPr>
        <w:t>单位工会</w:t>
      </w:r>
      <w:r>
        <w:rPr>
          <w:rFonts w:hint="eastAsia" w:hAnsi="宋体"/>
          <w:color w:val="000000"/>
          <w:szCs w:val="21"/>
        </w:rPr>
        <w:t>经费或工</w:t>
      </w:r>
      <w:r>
        <w:rPr>
          <w:rFonts w:hAnsi="宋体"/>
          <w:color w:val="000000"/>
          <w:szCs w:val="21"/>
        </w:rPr>
        <w:t>会账户</w:t>
      </w:r>
      <w:r>
        <w:rPr>
          <w:rFonts w:hint="eastAsia" w:hAnsi="宋体"/>
          <w:color w:val="000000"/>
          <w:szCs w:val="21"/>
        </w:rPr>
        <w:t>中发放</w:t>
      </w:r>
      <w:r>
        <w:rPr>
          <w:rFonts w:hAnsi="宋体"/>
          <w:color w:val="000000"/>
          <w:szCs w:val="21"/>
        </w:rPr>
        <w:t>的</w:t>
      </w:r>
      <w:r>
        <w:rPr>
          <w:rFonts w:hint="eastAsia" w:hAnsi="宋体"/>
          <w:color w:val="000000"/>
          <w:szCs w:val="21"/>
        </w:rPr>
        <w:t>现金或</w:t>
      </w:r>
      <w:r>
        <w:rPr>
          <w:rFonts w:hAnsi="宋体"/>
          <w:color w:val="000000"/>
          <w:szCs w:val="21"/>
        </w:rPr>
        <w:t>实物</w:t>
      </w:r>
      <w:r>
        <w:rPr>
          <w:rFonts w:hint="eastAsia" w:hAnsi="宋体"/>
          <w:color w:val="000000"/>
          <w:szCs w:val="21"/>
        </w:rPr>
        <w:t>，入股分红、股权激励兑现的收益和各种资本性收益等</w:t>
      </w:r>
      <w:r>
        <w:rPr>
          <w:rFonts w:hint="eastAsia" w:hAnsi="宋体"/>
          <w:szCs w:val="21"/>
        </w:rPr>
        <w:t>。</w:t>
      </w:r>
      <w:r>
        <w:rPr>
          <w:rFonts w:hint="eastAsia" w:ascii="宋体" w:hAnsi="宋体"/>
          <w:color w:val="000000"/>
          <w:spacing w:val="8"/>
          <w:szCs w:val="21"/>
        </w:rPr>
        <w:t>工资总额具体包括:</w:t>
      </w:r>
      <w:r>
        <w:rPr>
          <w:rFonts w:ascii="宋体" w:hAnsi="宋体"/>
          <w:color w:val="000000"/>
          <w:spacing w:val="8"/>
          <w:szCs w:val="21"/>
        </w:rPr>
        <w:t xml:space="preserve"> </w:t>
      </w:r>
    </w:p>
    <w:p>
      <w:pPr>
        <w:pStyle w:val="10"/>
        <w:spacing w:line="360" w:lineRule="exact"/>
        <w:ind w:firstLine="420" w:firstLineChars="200"/>
        <w:rPr>
          <w:rFonts w:hAnsi="宋体"/>
          <w:color w:val="000000"/>
          <w:szCs w:val="21"/>
        </w:rPr>
      </w:pPr>
      <w:r>
        <w:rPr>
          <w:rFonts w:hint="eastAsia" w:hAnsi="宋体"/>
          <w:color w:val="000000"/>
          <w:szCs w:val="21"/>
        </w:rPr>
        <w:t>1.工资，包括基本工资和绩效工资。基本工资指本单位支付给本单位从业人员的按照法定工作时间提供正常工作的劳动报酬，各单位给个人确定的底薪可作为基本工资；绩效工资指根据本单位利润增长和工作业绩定期支付给本单位从业人员的奖励性工资。</w:t>
      </w:r>
    </w:p>
    <w:p>
      <w:pPr>
        <w:pStyle w:val="10"/>
        <w:spacing w:line="360" w:lineRule="exact"/>
        <w:ind w:firstLine="420" w:firstLineChars="200"/>
        <w:rPr>
          <w:rFonts w:hAnsi="宋体"/>
          <w:color w:val="000000"/>
          <w:szCs w:val="21"/>
        </w:rPr>
      </w:pPr>
      <w:r>
        <w:rPr>
          <w:rFonts w:hint="eastAsia" w:hAnsi="宋体"/>
          <w:color w:val="000000"/>
          <w:szCs w:val="21"/>
        </w:rPr>
        <w:t>2.奖金，指支付给本单位从业人员的超额劳动报酬和增收节支的劳动报酬。具体包括：年终奖、全勤奖、生产奖、节约奖、劳动竞赛奖和其他名目的奖金以及某工作事项完成后的提成工资、年底双薪等。</w:t>
      </w:r>
    </w:p>
    <w:p>
      <w:pPr>
        <w:pStyle w:val="10"/>
        <w:spacing w:line="360" w:lineRule="exact"/>
        <w:ind w:firstLine="420" w:firstLineChars="200"/>
        <w:rPr>
          <w:rFonts w:hAnsi="宋体"/>
          <w:color w:val="000000"/>
          <w:szCs w:val="21"/>
        </w:rPr>
      </w:pPr>
      <w:r>
        <w:rPr>
          <w:rFonts w:hint="eastAsia" w:hAnsi="宋体"/>
          <w:color w:val="000000"/>
          <w:szCs w:val="21"/>
        </w:rPr>
        <w:t>3.津贴和补贴，指本单位制定的员工相关工资政策中，为补偿本单位从业人员特殊或额外的劳动消耗和因其他特殊原因支付的津贴，以及为保证其工资水平不受物价影响而支付的物价补贴。具体包括：补偿特殊或额外劳动消耗的津贴及岗位性津贴、保健性津贴、技术性津贴、地区津贴和其他津贴。如：过节费、通讯补贴、交通补贴、公车改革补贴、取暖补贴、物业补贴、不休假补贴、无食堂补贴、单位发的可自行支配的住房补贴以及为员工缴纳的各种商业性保险等。</w:t>
      </w:r>
    </w:p>
    <w:p>
      <w:pPr>
        <w:pStyle w:val="10"/>
        <w:spacing w:line="360" w:lineRule="exact"/>
        <w:ind w:firstLine="420" w:firstLineChars="200"/>
        <w:rPr>
          <w:rFonts w:hAnsi="宋体"/>
          <w:color w:val="000000"/>
          <w:szCs w:val="21"/>
        </w:rPr>
      </w:pPr>
      <w:r>
        <w:rPr>
          <w:rFonts w:hint="eastAsia" w:hAnsi="宋体"/>
          <w:color w:val="000000"/>
          <w:szCs w:val="21"/>
        </w:rPr>
        <w:t>4.其他工资，指单位发放给从业人员除工资、奖金、津贴和补贴外的劳动报酬。如补发上一年度的工资等。</w:t>
      </w:r>
    </w:p>
    <w:p>
      <w:pPr>
        <w:pStyle w:val="10"/>
        <w:spacing w:line="360" w:lineRule="exact"/>
        <w:ind w:firstLine="420" w:firstLineChars="200"/>
        <w:rPr>
          <w:rFonts w:hint="eastAsia" w:hAnsi="宋体"/>
          <w:color w:val="000000"/>
          <w:szCs w:val="21"/>
        </w:rPr>
      </w:pPr>
      <w:r>
        <w:rPr>
          <w:rFonts w:hint="eastAsia" w:ascii="黑体" w:hAnsi="宋体" w:eastAsia="黑体"/>
          <w:color w:val="000000"/>
          <w:szCs w:val="21"/>
        </w:rPr>
        <w:t xml:space="preserve">在岗职工工资总额  </w:t>
      </w:r>
      <w:r>
        <w:rPr>
          <w:rFonts w:hint="eastAsia" w:hAnsi="宋体"/>
          <w:color w:val="000000"/>
          <w:szCs w:val="21"/>
        </w:rPr>
        <w:t>指本单位直接支付给本单位全部在岗职工的劳动报酬总额。</w:t>
      </w:r>
    </w:p>
    <w:p>
      <w:pPr>
        <w:spacing w:line="360" w:lineRule="exact"/>
        <w:ind w:firstLine="420" w:firstLineChars="200"/>
        <w:rPr>
          <w:rFonts w:ascii="宋体" w:hAnsi="宋体"/>
          <w:color w:val="000000"/>
          <w:szCs w:val="21"/>
        </w:rPr>
      </w:pPr>
      <w:r>
        <w:rPr>
          <w:rFonts w:hint="eastAsia" w:ascii="黑体" w:eastAsia="黑体"/>
          <w:color w:val="000000"/>
          <w:szCs w:val="21"/>
        </w:rPr>
        <w:t xml:space="preserve">劳务派遣人员工资总额  </w:t>
      </w:r>
      <w:r>
        <w:rPr>
          <w:rFonts w:hint="eastAsia" w:ascii="宋体" w:hAnsi="宋体"/>
          <w:color w:val="000000"/>
          <w:szCs w:val="21"/>
        </w:rPr>
        <w:t>指实际用工单位（派遣人员的使用方）在一定时期内为使用劳务派遣人员而付出的劳动报酬总额，但不包括因使用派遣人员而支付的管理费用和其他用工成本。</w:t>
      </w:r>
    </w:p>
    <w:p>
      <w:pPr>
        <w:pStyle w:val="10"/>
        <w:spacing w:line="360" w:lineRule="atLeast"/>
        <w:ind w:firstLine="420" w:firstLineChars="200"/>
        <w:rPr>
          <w:rFonts w:hint="eastAsia"/>
          <w:color w:val="000000"/>
          <w:szCs w:val="21"/>
        </w:rPr>
      </w:pPr>
      <w:r>
        <w:rPr>
          <w:rFonts w:hint="eastAsia" w:ascii="黑体" w:eastAsia="黑体"/>
          <w:color w:val="000000"/>
          <w:szCs w:val="21"/>
        </w:rPr>
        <w:t xml:space="preserve">其他从业人员工资总额  </w:t>
      </w:r>
      <w:r>
        <w:rPr>
          <w:rFonts w:hint="eastAsia"/>
          <w:color w:val="000000"/>
          <w:szCs w:val="21"/>
        </w:rPr>
        <w:t>指本单位直接支付给本单位其他从业人员的全部劳动报酬。</w:t>
      </w:r>
    </w:p>
    <w:p>
      <w:pPr>
        <w:pStyle w:val="10"/>
        <w:spacing w:line="360" w:lineRule="atLeast"/>
        <w:ind w:firstLine="420" w:firstLineChars="200"/>
        <w:rPr>
          <w:rFonts w:hint="eastAsia"/>
          <w:color w:val="000000"/>
          <w:szCs w:val="21"/>
        </w:rPr>
      </w:pPr>
      <w:r>
        <w:rPr>
          <w:rFonts w:hint="eastAsia" w:ascii="黑体" w:eastAsia="黑体"/>
          <w:color w:val="000000"/>
          <w:szCs w:val="21"/>
        </w:rPr>
        <w:t>正常工资</w:t>
      </w:r>
      <w:r>
        <w:rPr>
          <w:color w:val="000000"/>
          <w:szCs w:val="21"/>
          <w:lang w:val="en"/>
        </w:rPr>
        <w:t xml:space="preserve">  </w:t>
      </w:r>
      <w:r>
        <w:rPr>
          <w:rFonts w:hint="eastAsia"/>
          <w:color w:val="000000"/>
          <w:szCs w:val="21"/>
        </w:rPr>
        <w:t>按月规律性发放的工资部分，包括月度基本工资和绩效工资，月度奖金、月度津贴和补贴等。本年内因拖欠工资而造成的延迟或错月补发的正常工资应填在本项。</w:t>
      </w:r>
    </w:p>
    <w:p>
      <w:pPr>
        <w:pStyle w:val="10"/>
        <w:spacing w:line="360" w:lineRule="atLeast"/>
        <w:ind w:firstLine="420" w:firstLineChars="200"/>
        <w:rPr>
          <w:rFonts w:hint="eastAsia"/>
          <w:color w:val="000000"/>
          <w:szCs w:val="21"/>
        </w:rPr>
      </w:pPr>
      <w:r>
        <w:rPr>
          <w:rFonts w:hint="eastAsia" w:ascii="黑体" w:eastAsia="黑体"/>
          <w:color w:val="000000"/>
          <w:szCs w:val="21"/>
        </w:rPr>
        <w:t>不定期奖金</w:t>
      </w:r>
      <w:r>
        <w:rPr>
          <w:color w:val="000000"/>
          <w:szCs w:val="21"/>
          <w:lang w:val="en"/>
        </w:rPr>
        <w:t xml:space="preserve">  </w:t>
      </w:r>
      <w:r>
        <w:rPr>
          <w:rFonts w:hint="eastAsia"/>
          <w:color w:val="000000"/>
          <w:szCs w:val="21"/>
        </w:rPr>
        <w:t>非按月度规律发放的奖金，包括年终一次性奖金或经过一段时间（季度或半年度等）积累而发放的奖金、非定期发放的专项奖金等。</w:t>
      </w:r>
      <w:bookmarkStart w:id="117" w:name="_GoBack"/>
      <w:bookmarkEnd w:id="117"/>
    </w:p>
    <w:p>
      <w:pPr>
        <w:pStyle w:val="10"/>
        <w:spacing w:line="360" w:lineRule="atLeast"/>
        <w:ind w:firstLine="420" w:firstLineChars="200"/>
        <w:rPr>
          <w:rFonts w:hint="eastAsia"/>
          <w:color w:val="000000"/>
          <w:szCs w:val="21"/>
        </w:rPr>
      </w:pPr>
      <w:r>
        <w:rPr>
          <w:rFonts w:hint="eastAsia" w:ascii="黑体" w:eastAsia="黑体"/>
          <w:color w:val="000000"/>
          <w:szCs w:val="21"/>
        </w:rPr>
        <w:t>其他（工资）</w:t>
      </w:r>
      <w:r>
        <w:rPr>
          <w:rFonts w:hint="eastAsia" w:ascii="黑体" w:eastAsia="黑体"/>
          <w:color w:val="000000"/>
          <w:szCs w:val="21"/>
          <w:lang w:val="en"/>
        </w:rPr>
        <w:t xml:space="preserve"> </w:t>
      </w:r>
      <w:r>
        <w:rPr>
          <w:color w:val="000000"/>
          <w:szCs w:val="21"/>
          <w:lang w:val="en"/>
        </w:rPr>
        <w:t xml:space="preserve"> </w:t>
      </w:r>
      <w:r>
        <w:rPr>
          <w:rFonts w:hint="eastAsia"/>
          <w:color w:val="000000"/>
          <w:szCs w:val="21"/>
        </w:rPr>
        <w:t>指正常工资和不定期奖金以外的其他工资部分，包括因当年调整工资（或补贴）标准而补发的上年度工资或补贴，以及因拖欠而补发的上年度应发奖金等。</w:t>
      </w:r>
    </w:p>
    <w:p>
      <w:pPr>
        <w:pStyle w:val="10"/>
        <w:spacing w:line="360" w:lineRule="atLeast"/>
        <w:ind w:firstLine="420" w:firstLineChars="200"/>
        <w:rPr>
          <w:rFonts w:hAnsi="宋体"/>
          <w:color w:val="000000"/>
          <w:szCs w:val="21"/>
        </w:rPr>
      </w:pPr>
      <w:r>
        <w:rPr>
          <w:rFonts w:hint="eastAsia" w:ascii="黑体" w:eastAsia="黑体"/>
          <w:color w:val="000000"/>
        </w:rPr>
        <w:t>从业人员平均工资</w:t>
      </w:r>
      <w:r>
        <w:rPr>
          <w:rFonts w:hint="eastAsia"/>
          <w:color w:val="000000"/>
        </w:rPr>
        <w:t xml:space="preserve">  </w:t>
      </w:r>
      <w:r>
        <w:rPr>
          <w:rFonts w:hint="eastAsia" w:hAnsi="宋体"/>
          <w:color w:val="000000"/>
        </w:rPr>
        <w:t>指本单位</w:t>
      </w:r>
      <w:r>
        <w:rPr>
          <w:rFonts w:hint="eastAsia" w:hAnsi="宋体"/>
          <w:color w:val="000000"/>
          <w:szCs w:val="21"/>
        </w:rPr>
        <w:t>从业人员平均每人所得的工资额。计算公式为：</w:t>
      </w:r>
    </w:p>
    <w:p>
      <w:pPr>
        <w:pStyle w:val="10"/>
        <w:spacing w:line="360" w:lineRule="atLeast"/>
        <w:ind w:firstLine="420" w:firstLineChars="200"/>
        <w:rPr>
          <w:rFonts w:hint="eastAsia" w:hAnsi="宋体"/>
          <w:color w:val="000000"/>
          <w:szCs w:val="21"/>
        </w:rPr>
      </w:pPr>
      <w:r>
        <w:rPr>
          <w:rFonts w:hint="eastAsia" w:hAnsi="宋体"/>
          <w:color w:val="000000"/>
          <w:szCs w:val="21"/>
        </w:rPr>
        <w:t>从业人员平均工资 = 从业人员工资总额/从业人员平均人数</w:t>
      </w:r>
    </w:p>
    <w:p>
      <w:pPr>
        <w:pStyle w:val="10"/>
        <w:spacing w:line="360" w:lineRule="atLeast"/>
        <w:ind w:firstLine="420" w:firstLineChars="200"/>
        <w:rPr>
          <w:rFonts w:hAnsi="宋体" w:cs="宋体"/>
          <w:bCs/>
          <w:color w:val="000000"/>
          <w:kern w:val="0"/>
          <w:szCs w:val="21"/>
        </w:rPr>
      </w:pPr>
      <w:r>
        <w:rPr>
          <w:rFonts w:hint="eastAsia" w:ascii="黑体" w:hAnsi="宋体" w:eastAsia="黑体" w:cs="宋体"/>
          <w:bCs/>
          <w:color w:val="000000"/>
          <w:kern w:val="0"/>
          <w:szCs w:val="21"/>
        </w:rPr>
        <w:t>在岗职工平均工资</w:t>
      </w:r>
      <w:r>
        <w:rPr>
          <w:rFonts w:hint="eastAsia" w:hAnsi="宋体" w:cs="宋体"/>
          <w:bCs/>
          <w:color w:val="000000"/>
          <w:kern w:val="0"/>
          <w:szCs w:val="21"/>
        </w:rPr>
        <w:t xml:space="preserve">  指本单位在岗职工</w:t>
      </w:r>
      <w:r>
        <w:rPr>
          <w:rFonts w:hint="eastAsia" w:hAnsi="宋体"/>
          <w:color w:val="000000"/>
          <w:szCs w:val="21"/>
        </w:rPr>
        <w:t>平均每人所得的工资额</w:t>
      </w:r>
      <w:r>
        <w:rPr>
          <w:rFonts w:hint="eastAsia" w:hAnsi="宋体" w:cs="宋体"/>
          <w:bCs/>
          <w:color w:val="000000"/>
          <w:kern w:val="0"/>
          <w:szCs w:val="21"/>
        </w:rPr>
        <w:t>。计算公式为：</w:t>
      </w:r>
    </w:p>
    <w:p>
      <w:pPr>
        <w:pStyle w:val="10"/>
        <w:spacing w:line="360" w:lineRule="atLeast"/>
        <w:ind w:firstLine="420" w:firstLineChars="200"/>
        <w:rPr>
          <w:rFonts w:hAnsi="宋体"/>
          <w:color w:val="000000"/>
          <w:szCs w:val="21"/>
        </w:rPr>
      </w:pPr>
      <w:r>
        <w:rPr>
          <w:rFonts w:hint="eastAsia" w:hAnsi="宋体"/>
          <w:color w:val="000000"/>
          <w:szCs w:val="21"/>
        </w:rPr>
        <w:t>在岗职工平均工资 = 在岗职工工资总额/在岗职工平均人数</w:t>
      </w:r>
    </w:p>
    <w:p>
      <w:pPr>
        <w:pStyle w:val="10"/>
        <w:spacing w:line="360" w:lineRule="atLeast"/>
        <w:ind w:firstLine="420" w:firstLineChars="200"/>
        <w:rPr>
          <w:rFonts w:hAnsi="宋体"/>
          <w:color w:val="000000"/>
          <w:szCs w:val="21"/>
        </w:rPr>
      </w:pPr>
      <w:r>
        <w:rPr>
          <w:rFonts w:hint="eastAsia" w:ascii="黑体" w:hAnsi="宋体" w:eastAsia="黑体"/>
          <w:color w:val="000000"/>
          <w:szCs w:val="21"/>
        </w:rPr>
        <w:t xml:space="preserve">劳务派遣人员平均工资  </w:t>
      </w:r>
      <w:r>
        <w:rPr>
          <w:rFonts w:hint="eastAsia" w:hAnsi="宋体"/>
          <w:color w:val="000000"/>
          <w:szCs w:val="21"/>
        </w:rPr>
        <w:t>指本单位劳务派遣人员平均每人所得的工资额。计算公式为：</w:t>
      </w:r>
    </w:p>
    <w:p>
      <w:pPr>
        <w:pStyle w:val="10"/>
        <w:spacing w:line="360" w:lineRule="atLeast"/>
        <w:ind w:firstLine="420" w:firstLineChars="200"/>
        <w:rPr>
          <w:rFonts w:hAnsi="宋体"/>
          <w:color w:val="000000"/>
          <w:szCs w:val="21"/>
        </w:rPr>
      </w:pPr>
      <w:r>
        <w:rPr>
          <w:rFonts w:hint="eastAsia" w:hAnsi="宋体"/>
          <w:color w:val="000000"/>
          <w:szCs w:val="21"/>
        </w:rPr>
        <w:t>劳务派遣人员平均工资 = 劳务派遣人员工资总额/劳务派遣人员平均人数</w:t>
      </w:r>
    </w:p>
    <w:p>
      <w:pPr>
        <w:pStyle w:val="10"/>
        <w:spacing w:line="360" w:lineRule="exact"/>
        <w:ind w:firstLine="420" w:firstLineChars="200"/>
        <w:rPr>
          <w:rFonts w:hAnsi="宋体"/>
          <w:color w:val="000000"/>
          <w:szCs w:val="21"/>
        </w:rPr>
      </w:pPr>
      <w:r>
        <w:rPr>
          <w:rFonts w:hint="eastAsia" w:ascii="黑体" w:hAnsi="宋体" w:eastAsia="黑体"/>
          <w:color w:val="000000"/>
          <w:szCs w:val="21"/>
        </w:rPr>
        <w:t xml:space="preserve">其他从业人员平均工资  </w:t>
      </w:r>
      <w:r>
        <w:rPr>
          <w:rFonts w:hint="eastAsia" w:hAnsi="宋体"/>
          <w:color w:val="000000"/>
          <w:szCs w:val="21"/>
        </w:rPr>
        <w:t>指本单位其他从业人员平均每人所得的工资额。计算公式为：</w:t>
      </w:r>
    </w:p>
    <w:p>
      <w:pPr>
        <w:pStyle w:val="10"/>
        <w:spacing w:line="360" w:lineRule="exact"/>
        <w:ind w:firstLine="420" w:firstLineChars="200"/>
        <w:rPr>
          <w:rFonts w:hint="eastAsia" w:hAnsi="宋体"/>
          <w:color w:val="000000"/>
          <w:szCs w:val="21"/>
        </w:rPr>
      </w:pPr>
      <w:r>
        <w:rPr>
          <w:rFonts w:hint="eastAsia" w:hAnsi="宋体"/>
          <w:color w:val="000000"/>
          <w:szCs w:val="21"/>
        </w:rPr>
        <w:t xml:space="preserve">其他从业人员平均工资 = 其他从业人员工资总额/其他从业人员平均人数   </w:t>
      </w:r>
    </w:p>
    <w:p>
      <w:pPr>
        <w:keepNext w:val="0"/>
        <w:keepLines w:val="0"/>
        <w:pageBreakBefore w:val="0"/>
        <w:widowControl w:val="0"/>
        <w:kinsoku/>
        <w:wordWrap/>
        <w:overflowPunct/>
        <w:topLinePunct w:val="0"/>
        <w:autoSpaceDE/>
        <w:autoSpaceDN/>
        <w:bidi w:val="0"/>
        <w:adjustRightInd/>
        <w:snapToGrid/>
        <w:spacing w:before="144" w:beforeLines="50" w:line="360" w:lineRule="exact"/>
        <w:ind w:firstLine="420" w:firstLineChars="200"/>
        <w:textAlignment w:val="auto"/>
        <w:outlineLvl w:val="9"/>
        <w:rPr>
          <w:rFonts w:hint="eastAsia" w:ascii="黑体" w:eastAsia="黑体"/>
          <w:szCs w:val="21"/>
        </w:rPr>
      </w:pPr>
    </w:p>
    <w:p>
      <w:pPr>
        <w:pStyle w:val="15"/>
        <w:rPr>
          <w:rFonts w:hint="eastAsia" w:ascii="黑体" w:eastAsia="黑体"/>
          <w:szCs w:val="21"/>
        </w:rPr>
      </w:pPr>
    </w:p>
    <w:p>
      <w:pPr>
        <w:pStyle w:val="15"/>
        <w:rPr>
          <w:rFonts w:hint="eastAsia" w:ascii="黑体" w:eastAsia="黑体"/>
          <w:szCs w:val="21"/>
        </w:rPr>
      </w:pPr>
    </w:p>
    <w:p>
      <w:pPr>
        <w:tabs>
          <w:tab w:val="left" w:pos="8280"/>
        </w:tabs>
        <w:spacing w:line="360" w:lineRule="exact"/>
        <w:jc w:val="center"/>
        <w:outlineLvl w:val="9"/>
        <w:rPr>
          <w:b/>
          <w:bCs/>
          <w:sz w:val="30"/>
          <w:szCs w:val="30"/>
        </w:rPr>
      </w:pPr>
      <w:r>
        <w:rPr>
          <w:b/>
          <w:bCs/>
          <w:sz w:val="30"/>
          <w:szCs w:val="30"/>
        </w:rPr>
        <w:t>财务状况</w:t>
      </w:r>
    </w:p>
    <w:p>
      <w:pPr>
        <w:snapToGrid w:val="0"/>
        <w:spacing w:before="480" w:beforeLines="200" w:after="240" w:afterLines="100" w:line="360" w:lineRule="exact"/>
        <w:ind w:firstLine="420" w:firstLineChars="200"/>
        <w:rPr>
          <w:rFonts w:ascii="宋体" w:cs="宋体"/>
        </w:rPr>
      </w:pPr>
      <w:r>
        <w:rPr>
          <w:rFonts w:hint="eastAsia" w:ascii="宋体" w:hAnsi="宋体" w:cs="宋体"/>
          <w:lang w:val="en-US" w:eastAsia="zh-CN"/>
        </w:rPr>
        <w:t xml:space="preserve">    </w:t>
      </w:r>
      <w:r>
        <w:rPr>
          <w:rFonts w:hint="eastAsia" w:ascii="宋体" w:hAnsi="宋体" w:cs="宋体"/>
        </w:rPr>
        <w:t>本部分所涉及的财务指标的含义及核算方法应符合《企业会计准则》或《小企业会计准则》的规定（指标解释中另有说明的除外）。执行《企业会计准则》或《小企业会计准则》的企业应按照指标解释根据会计报表、会计科目直接填报。执行《企业会计制度》的企业，个别指标与《企业会计准则》或《小企业会计准则》不符的，应按照指标解释作出调整后填报。</w:t>
      </w:r>
    </w:p>
    <w:p>
      <w:pPr>
        <w:snapToGrid w:val="0"/>
        <w:spacing w:before="480" w:beforeLines="200" w:after="240" w:afterLines="100"/>
        <w:ind w:firstLine="560" w:firstLineChars="200"/>
        <w:jc w:val="left"/>
        <w:outlineLvl w:val="9"/>
        <w:rPr>
          <w:rFonts w:ascii="宋体"/>
          <w:sz w:val="28"/>
          <w:szCs w:val="28"/>
        </w:rPr>
      </w:pPr>
      <w:r>
        <w:rPr>
          <w:rFonts w:ascii="宋体" w:hAnsi="宋体"/>
          <w:sz w:val="28"/>
          <w:szCs w:val="28"/>
        </w:rPr>
        <w:t>1.</w:t>
      </w:r>
      <w:r>
        <w:rPr>
          <w:rFonts w:hint="eastAsia" w:ascii="宋体" w:hAnsi="宋体"/>
          <w:sz w:val="28"/>
          <w:szCs w:val="28"/>
        </w:rPr>
        <w:t>资产负债</w:t>
      </w:r>
    </w:p>
    <w:p>
      <w:pPr>
        <w:spacing w:line="360" w:lineRule="exact"/>
        <w:ind w:firstLine="420" w:firstLineChars="200"/>
        <w:rPr>
          <w:rFonts w:ascii="宋体" w:cs="宋体"/>
          <w:szCs w:val="21"/>
        </w:rPr>
      </w:pPr>
      <w:r>
        <w:rPr>
          <w:rFonts w:hint="eastAsia" w:ascii="黑体" w:hAnsi="宋体" w:eastAsia="黑体" w:cs="黑体"/>
          <w:szCs w:val="21"/>
        </w:rPr>
        <w:t>资产总计</w:t>
      </w:r>
      <w:r>
        <w:rPr>
          <w:rFonts w:ascii="宋体" w:hAnsi="宋体" w:cs="宋体"/>
          <w:szCs w:val="21"/>
        </w:rPr>
        <w:t xml:space="preserve">  </w:t>
      </w:r>
      <w:r>
        <w:rPr>
          <w:rFonts w:hint="eastAsia" w:ascii="宋体" w:hAnsi="宋体" w:cs="宋体"/>
          <w:szCs w:val="21"/>
        </w:rPr>
        <w:t>指企业过去的交易或者事项形成的、由企业拥有或者控制的、预期会给企业带来经济利益的资源。包括企业拥有的土地、办公楼、厂房、机器、运输工具、存货等实物资产和现金、存款、应收账款和预付账款等金融资产。资产一般按流动性（资产的变现或耗用时间长短）分为流动资产和非流动资产。其中流动资产可分为货币资金、交易性金融资产、应收票据、应收账款、预付款项、其他应收款、存货等；非流动资产可分为长期股权投资、固定资产、无形资产及其他非流动资产等。根据会计“资产负债表”中“资产总计”项目的期末余额数填报。</w:t>
      </w:r>
    </w:p>
    <w:p>
      <w:pPr>
        <w:snapToGrid w:val="0"/>
        <w:spacing w:line="360" w:lineRule="exact"/>
        <w:ind w:firstLine="420" w:firstLineChars="200"/>
        <w:rPr>
          <w:rFonts w:ascii="宋体" w:cs="宋体"/>
          <w:szCs w:val="21"/>
        </w:rPr>
      </w:pPr>
      <w:r>
        <w:rPr>
          <w:rFonts w:hint="eastAsia" w:ascii="黑体" w:hAnsi="宋体" w:eastAsia="黑体" w:cs="黑体"/>
          <w:szCs w:val="21"/>
        </w:rPr>
        <w:t>流动资产合计</w:t>
      </w:r>
      <w:r>
        <w:rPr>
          <w:rFonts w:ascii="仿宋_GB2312" w:hAnsi="宋体" w:eastAsia="仿宋_GB2312" w:cs="仿宋_GB2312"/>
          <w:szCs w:val="21"/>
        </w:rPr>
        <w:t xml:space="preserve">  </w:t>
      </w:r>
      <w:r>
        <w:rPr>
          <w:rFonts w:hint="eastAsia" w:ascii="宋体" w:hAnsi="宋体" w:cs="宋体"/>
          <w:szCs w:val="21"/>
        </w:rPr>
        <w:t>资产满足以下条件之一应归为流动资产：（</w:t>
      </w:r>
      <w:r>
        <w:rPr>
          <w:rFonts w:ascii="宋体" w:hAnsi="宋体" w:cs="宋体"/>
          <w:szCs w:val="21"/>
        </w:rPr>
        <w:t>1</w:t>
      </w:r>
      <w:r>
        <w:rPr>
          <w:rFonts w:hint="eastAsia" w:ascii="宋体" w:hAnsi="宋体" w:cs="宋体"/>
          <w:szCs w:val="21"/>
        </w:rPr>
        <w:t>）预计在一个正常营业周期中变现、出售或耗用，主要包括存货、应收账款等；（</w:t>
      </w:r>
      <w:r>
        <w:rPr>
          <w:rFonts w:ascii="宋体" w:hAnsi="宋体" w:cs="宋体"/>
          <w:szCs w:val="21"/>
        </w:rPr>
        <w:t>2</w:t>
      </w:r>
      <w:r>
        <w:rPr>
          <w:rFonts w:hint="eastAsia" w:ascii="宋体" w:hAnsi="宋体" w:cs="宋体"/>
          <w:szCs w:val="21"/>
        </w:rPr>
        <w:t>）主要为交易目的而持有；（</w:t>
      </w:r>
      <w:r>
        <w:rPr>
          <w:rFonts w:ascii="宋体" w:hAnsi="宋体" w:cs="宋体"/>
          <w:szCs w:val="21"/>
        </w:rPr>
        <w:t>3</w:t>
      </w:r>
      <w:r>
        <w:rPr>
          <w:rFonts w:hint="eastAsia" w:ascii="宋体" w:hAnsi="宋体" w:cs="宋体"/>
          <w:szCs w:val="21"/>
        </w:rPr>
        <w:t>）预计在资产负债表日起一年内（含一年）变现；（</w:t>
      </w:r>
      <w:r>
        <w:rPr>
          <w:rFonts w:ascii="宋体" w:hAnsi="宋体" w:cs="宋体"/>
          <w:szCs w:val="21"/>
        </w:rPr>
        <w:t>4</w:t>
      </w:r>
      <w:r>
        <w:rPr>
          <w:rFonts w:hint="eastAsia" w:ascii="宋体" w:hAnsi="宋体" w:cs="宋体"/>
          <w:szCs w:val="21"/>
        </w:rPr>
        <w:t>）自资产负债表日起一年内，交换其他资产或清偿负债的能力不受限制的现金或现金等价物。包括货币资金、应收票据、应收账款、存货等项目。根据会计“资产负债表”中“流动资产合计”项目的期末余额数填报。</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应收账款</w:t>
      </w:r>
      <w:r>
        <w:rPr>
          <w:rFonts w:ascii="仿宋_GB2312" w:hAnsi="宋体" w:eastAsia="仿宋_GB2312" w:cs="仿宋_GB2312"/>
          <w:szCs w:val="21"/>
        </w:rPr>
        <w:t xml:space="preserve">  </w:t>
      </w:r>
      <w:r>
        <w:rPr>
          <w:rFonts w:hint="eastAsia" w:ascii="宋体" w:hAnsi="宋体" w:cs="宋体"/>
          <w:szCs w:val="21"/>
        </w:rPr>
        <w:t>指资产负债表日以摊余成本计量的，企业因销售商品、提供服务等经营活动应收取的款项。根据会计“资产负债表”中“应收账款”项目的期末余额数填报。</w:t>
      </w:r>
    </w:p>
    <w:p>
      <w:pPr>
        <w:snapToGrid w:val="0"/>
        <w:spacing w:line="360" w:lineRule="exact"/>
        <w:ind w:firstLine="420" w:firstLineChars="200"/>
        <w:rPr>
          <w:rFonts w:ascii="黑体" w:hAnsi="宋体" w:eastAsia="黑体"/>
          <w:szCs w:val="21"/>
        </w:rPr>
      </w:pPr>
      <w:r>
        <w:rPr>
          <w:rFonts w:hint="eastAsia" w:ascii="黑体" w:hAnsi="宋体" w:eastAsia="黑体" w:cs="黑体"/>
          <w:szCs w:val="21"/>
        </w:rPr>
        <w:t>存货</w:t>
      </w:r>
      <w:r>
        <w:rPr>
          <w:rFonts w:ascii="黑体" w:hAnsi="宋体" w:eastAsia="黑体" w:cs="黑体"/>
          <w:szCs w:val="21"/>
        </w:rPr>
        <w:t xml:space="preserve">  </w:t>
      </w:r>
      <w:r>
        <w:rPr>
          <w:rFonts w:hint="eastAsia" w:ascii="宋体" w:hAnsi="宋体" w:cs="宋体"/>
          <w:szCs w:val="21"/>
        </w:rPr>
        <w:t>指企业在日常活动中持有以备出售的产成品或商品、处在生产过程中的在产品、在生产过程或提供劳务过程中耗用的材料或物料等，通常包括原材料、在产品、半成品、产成品、商品以及周转材料等。根据会计“资产负债表”中“存货”项目的期末余额数填报。其中：“年初存货”根据会计“资产负债表”中“存货”项目的年初余额数填报。注意：“存货”具有实物形态，不属于无形资产，由于企业持有存货的最终目的是为了出售，所以房地产开发企业（单位）购置的土地、尚未销售的商品房等均计入“存货”。</w:t>
      </w:r>
    </w:p>
    <w:p>
      <w:pPr>
        <w:snapToGrid w:val="0"/>
        <w:spacing w:line="360" w:lineRule="exact"/>
        <w:ind w:firstLine="420" w:firstLineChars="200"/>
        <w:rPr>
          <w:rFonts w:ascii="宋体" w:cs="宋体"/>
          <w:szCs w:val="21"/>
        </w:rPr>
      </w:pPr>
      <w:r>
        <w:rPr>
          <w:rFonts w:hint="eastAsia" w:ascii="黑体" w:hAnsi="宋体" w:eastAsia="黑体" w:cs="黑体"/>
          <w:szCs w:val="21"/>
        </w:rPr>
        <w:t>产成品</w:t>
      </w:r>
      <w:r>
        <w:rPr>
          <w:rFonts w:ascii="宋体" w:hAnsi="宋体" w:cs="宋体"/>
          <w:szCs w:val="21"/>
        </w:rPr>
        <w:t xml:space="preserve">  </w:t>
      </w:r>
      <w:r>
        <w:rPr>
          <w:rFonts w:hint="eastAsia" w:ascii="宋体" w:hAnsi="宋体" w:cs="宋体"/>
          <w:szCs w:val="21"/>
        </w:rPr>
        <w:t>指企业已经完成全部生产过程并验收入库，可以按照合同规定的条件送交订货单位，或者可以作为商品对外销售的产品；以及外购或委托加工完成验收入库用于销售的各种商品。如果会计“资产负债表”列示“产成品”或“库存商品”项目，则根据其期末余额填报；或者，根据会计“产成品”或“库存商品”科目的期末借方余额，减去为“产成品”或“库存商品”计提的存货跌价准备等填报。</w:t>
      </w:r>
    </w:p>
    <w:p>
      <w:pPr>
        <w:spacing w:line="360" w:lineRule="exact"/>
        <w:ind w:firstLine="420" w:firstLineChars="200"/>
        <w:rPr>
          <w:rFonts w:ascii="宋体"/>
          <w:szCs w:val="21"/>
        </w:rPr>
      </w:pPr>
      <w:r>
        <w:rPr>
          <w:rFonts w:hint="eastAsia" w:ascii="黑体" w:hAnsi="黑体" w:eastAsia="黑体"/>
          <w:szCs w:val="21"/>
        </w:rPr>
        <w:t>长期股权投资</w:t>
      </w:r>
      <w:r>
        <w:rPr>
          <w:rFonts w:ascii="黑体" w:hAnsi="黑体" w:eastAsia="黑体"/>
          <w:szCs w:val="21"/>
        </w:rPr>
        <w:t xml:space="preserve">  </w:t>
      </w:r>
      <w:r>
        <w:rPr>
          <w:rFonts w:hint="eastAsia" w:ascii="宋体" w:hAnsi="宋体"/>
          <w:szCs w:val="21"/>
        </w:rPr>
        <w:t>通常指企业长期持有，不准备随时出售，作为被投资企业的股东，按所持股份比例享有被投资企业权益并承担相应责任的投资。根据会计“资产负债表”中“长期股权投资”项目期末余额填报。</w:t>
      </w:r>
    </w:p>
    <w:p>
      <w:pPr>
        <w:snapToGrid w:val="0"/>
        <w:spacing w:line="360" w:lineRule="exact"/>
        <w:ind w:firstLine="415" w:firstLineChars="198"/>
        <w:rPr>
          <w:rFonts w:ascii="宋体" w:cs="宋体"/>
          <w:szCs w:val="21"/>
        </w:rPr>
      </w:pPr>
      <w:r>
        <w:rPr>
          <w:rFonts w:hint="eastAsia" w:ascii="黑体" w:hAnsi="宋体" w:eastAsia="黑体" w:cs="黑体"/>
          <w:szCs w:val="21"/>
        </w:rPr>
        <w:t>固定资产原价</w:t>
      </w:r>
      <w:r>
        <w:rPr>
          <w:rFonts w:ascii="宋体" w:hAnsi="宋体" w:cs="宋体"/>
          <w:szCs w:val="21"/>
        </w:rPr>
        <w:t xml:space="preserve">  </w:t>
      </w:r>
      <w:r>
        <w:rPr>
          <w:rFonts w:hint="eastAsia" w:ascii="宋体" w:hAnsi="宋体" w:cs="宋体"/>
          <w:szCs w:val="21"/>
        </w:rPr>
        <w:t>指固定资产的成本，包括企业在购置、自行建造、安装、改建、扩建、技术改造某项固定资产时所发生的全部支出总额。根据会计“固定资产”科目的期末借方余额填报。</w:t>
      </w:r>
    </w:p>
    <w:p>
      <w:pPr>
        <w:widowControl/>
        <w:spacing w:line="360" w:lineRule="exact"/>
        <w:ind w:firstLine="420" w:firstLineChars="200"/>
        <w:rPr>
          <w:rFonts w:ascii="仿宋_GB2312" w:eastAsia="仿宋_GB2312"/>
          <w:szCs w:val="21"/>
        </w:rPr>
      </w:pPr>
      <w:r>
        <w:rPr>
          <w:rFonts w:hint="eastAsia" w:ascii="黑体" w:hAnsi="宋体" w:eastAsia="黑体" w:cs="黑体"/>
          <w:szCs w:val="21"/>
        </w:rPr>
        <w:t>房屋和构筑物</w:t>
      </w:r>
      <w:r>
        <w:rPr>
          <w:rFonts w:ascii="黑体" w:hAnsi="宋体" w:eastAsia="黑体" w:cs="黑体"/>
          <w:szCs w:val="21"/>
        </w:rPr>
        <w:t xml:space="preserve">  </w:t>
      </w:r>
      <w:r>
        <w:rPr>
          <w:rFonts w:hint="eastAsia" w:ascii="宋体" w:hAnsi="宋体"/>
          <w:szCs w:val="21"/>
        </w:rPr>
        <w:t>指产权属于本企业的所有房屋和构筑物，包括办公楼、仓库、宿舍等。根据会计核算中“固定资产原价”有关二级科目的期末余额数归并填报。</w:t>
      </w:r>
    </w:p>
    <w:p>
      <w:pPr>
        <w:spacing w:line="360" w:lineRule="exact"/>
        <w:ind w:firstLine="420" w:firstLineChars="200"/>
        <w:rPr>
          <w:rFonts w:ascii="宋体" w:cs="宋体"/>
          <w:szCs w:val="21"/>
        </w:rPr>
      </w:pPr>
      <w:r>
        <w:rPr>
          <w:rFonts w:hint="eastAsia" w:ascii="黑体" w:hAnsi="宋体" w:eastAsia="黑体" w:cs="黑体"/>
          <w:szCs w:val="21"/>
        </w:rPr>
        <w:t>机器设备</w:t>
      </w:r>
      <w:r>
        <w:rPr>
          <w:rFonts w:ascii="黑体" w:hAnsi="宋体" w:eastAsia="黑体" w:cs="黑体"/>
          <w:szCs w:val="21"/>
        </w:rPr>
        <w:t xml:space="preserve">  </w:t>
      </w:r>
      <w:r>
        <w:rPr>
          <w:rFonts w:hint="eastAsia" w:ascii="宋体" w:hAnsi="宋体" w:cs="宋体"/>
          <w:szCs w:val="21"/>
        </w:rPr>
        <w:t>指为生产商品、提供劳务、出租或经营管理持有的各种机器、设备。根据会计核算中“固定资产原价”有关二级科目的期末余额数归并填报。</w:t>
      </w:r>
    </w:p>
    <w:p>
      <w:pPr>
        <w:snapToGrid w:val="0"/>
        <w:spacing w:line="360" w:lineRule="exact"/>
        <w:ind w:firstLine="420" w:firstLineChars="200"/>
        <w:rPr>
          <w:rFonts w:ascii="宋体" w:cs="宋体"/>
          <w:szCs w:val="21"/>
        </w:rPr>
      </w:pPr>
      <w:r>
        <w:rPr>
          <w:rFonts w:hint="eastAsia" w:ascii="黑体" w:hAnsi="宋体" w:eastAsia="黑体" w:cs="黑体"/>
          <w:szCs w:val="21"/>
        </w:rPr>
        <w:t>累计折旧</w:t>
      </w:r>
      <w:r>
        <w:rPr>
          <w:rFonts w:ascii="宋体" w:hAnsi="宋体" w:cs="宋体"/>
          <w:szCs w:val="21"/>
        </w:rPr>
        <w:t xml:space="preserve">  </w:t>
      </w:r>
      <w:r>
        <w:rPr>
          <w:rFonts w:hint="eastAsia" w:ascii="宋体" w:hAnsi="宋体" w:cs="宋体"/>
          <w:szCs w:val="21"/>
        </w:rPr>
        <w:t>指企业在报告期末提取的历年固定资产折旧累计数。</w:t>
      </w:r>
      <w:r>
        <w:rPr>
          <w:rFonts w:hint="eastAsia" w:cs="宋体"/>
          <w:szCs w:val="21"/>
        </w:rPr>
        <w:t>包括房屋、建筑物和机器设备等的折旧费。</w:t>
      </w:r>
      <w:r>
        <w:rPr>
          <w:rFonts w:hint="eastAsia" w:ascii="宋体" w:hAnsi="宋体" w:cs="宋体"/>
          <w:szCs w:val="21"/>
        </w:rPr>
        <w:t>根据会计“累计折旧”科目的期末贷方余额填报。</w:t>
      </w:r>
    </w:p>
    <w:p>
      <w:pPr>
        <w:snapToGrid w:val="0"/>
        <w:spacing w:line="360" w:lineRule="exact"/>
        <w:ind w:firstLine="420" w:firstLineChars="200"/>
        <w:rPr>
          <w:rFonts w:cs="宋体"/>
          <w:szCs w:val="21"/>
        </w:rPr>
      </w:pPr>
      <w:r>
        <w:rPr>
          <w:rFonts w:hint="eastAsia" w:ascii="黑体" w:hAnsi="宋体" w:eastAsia="黑体" w:cs="黑体"/>
          <w:szCs w:val="21"/>
        </w:rPr>
        <w:t>本年折旧</w:t>
      </w:r>
      <w:r>
        <w:rPr>
          <w:rFonts w:ascii="宋体" w:hAnsi="宋体" w:cs="宋体"/>
          <w:szCs w:val="21"/>
        </w:rPr>
        <w:t xml:space="preserve">  </w:t>
      </w:r>
      <w:r>
        <w:rPr>
          <w:rFonts w:hint="eastAsia" w:cs="宋体"/>
          <w:szCs w:val="21"/>
        </w:rPr>
        <w:t>指企业在报告期内提取的固定资产折旧合计数。可根据会计“累计折旧”科目的本期贷方累计发生额填报；或者，可根据会计“财务状况变动表”中“固定资产折旧”项的数值填报。若企业执行</w:t>
      </w:r>
      <w:r>
        <w:rPr>
          <w:szCs w:val="21"/>
        </w:rPr>
        <w:t>2001</w:t>
      </w:r>
      <w:r>
        <w:rPr>
          <w:rFonts w:hint="eastAsia" w:cs="宋体"/>
          <w:szCs w:val="21"/>
        </w:rPr>
        <w:t>年《企业会计制度》，可以根据会计核算中《资产减值准备、投资及固定资产情况表》内“当年计提的固定资产折旧总额”项本年增加数填报。</w:t>
      </w:r>
    </w:p>
    <w:p>
      <w:pPr>
        <w:spacing w:line="360" w:lineRule="exact"/>
        <w:ind w:firstLine="420" w:firstLineChars="200"/>
        <w:rPr>
          <w:rFonts w:ascii="宋体"/>
          <w:szCs w:val="21"/>
        </w:rPr>
      </w:pPr>
      <w:r>
        <w:rPr>
          <w:rFonts w:hint="eastAsia" w:ascii="黑体" w:hAnsi="宋体" w:eastAsia="黑体" w:cs="黑体"/>
          <w:szCs w:val="21"/>
        </w:rPr>
        <w:t>固定资产净额</w:t>
      </w:r>
      <w:r>
        <w:rPr>
          <w:rFonts w:ascii="黑体" w:hAnsi="宋体" w:eastAsia="黑体" w:cs="黑体"/>
          <w:szCs w:val="21"/>
        </w:rPr>
        <w:t xml:space="preserve">  </w:t>
      </w:r>
      <w:r>
        <w:rPr>
          <w:rFonts w:hint="eastAsia" w:ascii="宋体" w:hAnsi="宋体"/>
          <w:szCs w:val="21"/>
        </w:rPr>
        <w:t>指固定资产原价减去累计折旧、固定资产减值准备后的金额。</w:t>
      </w:r>
      <w:r>
        <w:rPr>
          <w:rFonts w:hint="eastAsia" w:ascii="宋体" w:hAnsi="宋体" w:cs="宋体"/>
          <w:szCs w:val="21"/>
        </w:rPr>
        <w:t>根据会计“资产负债表”中“固定资产”或“固定资产净额”项目的期末余额填报。</w:t>
      </w:r>
    </w:p>
    <w:p>
      <w:pPr>
        <w:spacing w:line="360" w:lineRule="exact"/>
        <w:ind w:firstLine="420" w:firstLineChars="200"/>
        <w:rPr>
          <w:rFonts w:ascii="宋体"/>
          <w:szCs w:val="21"/>
        </w:rPr>
      </w:pPr>
      <w:r>
        <w:rPr>
          <w:rFonts w:hint="eastAsia" w:ascii="黑体" w:hAnsi="黑体" w:eastAsia="黑体"/>
          <w:szCs w:val="21"/>
        </w:rPr>
        <w:t>在建工程</w:t>
      </w:r>
      <w:r>
        <w:rPr>
          <w:rFonts w:ascii="宋体" w:hAnsi="宋体"/>
          <w:szCs w:val="21"/>
        </w:rPr>
        <w:t xml:space="preserve">  </w:t>
      </w:r>
      <w:r>
        <w:rPr>
          <w:rFonts w:hint="eastAsia" w:ascii="宋体" w:hAnsi="宋体"/>
          <w:szCs w:val="21"/>
        </w:rPr>
        <w:t>指企业用于新建、改建、扩建，或技术改造、设备更新和大修理工程等尚未完工的工程支出。</w:t>
      </w:r>
      <w:r>
        <w:rPr>
          <w:rFonts w:hint="eastAsia" w:ascii="宋体" w:hAnsi="宋体" w:cs="宋体"/>
          <w:szCs w:val="21"/>
        </w:rPr>
        <w:t>根据会计“资产负债表”中“在建工程”项目的期末余额填报</w:t>
      </w:r>
      <w:r>
        <w:rPr>
          <w:rFonts w:hint="eastAsia" w:ascii="宋体" w:hAnsi="宋体"/>
          <w:szCs w:val="21"/>
        </w:rPr>
        <w:t>；或者，根据会计“在建工程”科目的期末借方余额填报。</w:t>
      </w:r>
    </w:p>
    <w:p>
      <w:pPr>
        <w:spacing w:line="360" w:lineRule="exact"/>
        <w:ind w:firstLine="420" w:firstLineChars="200"/>
        <w:rPr>
          <w:rFonts w:ascii="宋体"/>
          <w:szCs w:val="21"/>
        </w:rPr>
      </w:pPr>
      <w:r>
        <w:rPr>
          <w:rFonts w:hint="eastAsia" w:ascii="黑体" w:hAnsi="黑体" w:eastAsia="黑体"/>
          <w:szCs w:val="21"/>
        </w:rPr>
        <w:t>无形资产</w:t>
      </w:r>
      <w:r>
        <w:rPr>
          <w:rFonts w:ascii="宋体" w:hAnsi="宋体"/>
          <w:szCs w:val="21"/>
        </w:rPr>
        <w:t xml:space="preserve">  </w:t>
      </w:r>
      <w:r>
        <w:rPr>
          <w:rFonts w:hint="eastAsia" w:ascii="宋体" w:hAnsi="宋体"/>
          <w:szCs w:val="21"/>
        </w:rPr>
        <w:t>指调查单位拥有或者控制的没有实物形态的可辨认非货币性资产，无形资产通常包括专利权、非专利技术、商标权、著作权、特许权、土地使用权等。根据会计“资产负债表”中“无形资产”项目的期末余额填报。</w:t>
      </w:r>
    </w:p>
    <w:p>
      <w:pPr>
        <w:spacing w:line="360" w:lineRule="exact"/>
        <w:ind w:firstLine="420" w:firstLineChars="200"/>
        <w:rPr>
          <w:rFonts w:ascii="宋体"/>
          <w:szCs w:val="21"/>
        </w:rPr>
      </w:pPr>
      <w:r>
        <w:rPr>
          <w:rFonts w:hint="eastAsia" w:ascii="黑体" w:hAnsi="黑体" w:eastAsia="黑体"/>
          <w:szCs w:val="21"/>
        </w:rPr>
        <w:t>土地使用权</w:t>
      </w:r>
      <w:r>
        <w:rPr>
          <w:rFonts w:ascii="黑体" w:hAnsi="黑体" w:eastAsia="黑体"/>
          <w:szCs w:val="21"/>
        </w:rPr>
        <w:t xml:space="preserve">  </w:t>
      </w:r>
      <w:r>
        <w:rPr>
          <w:rFonts w:hint="eastAsia" w:ascii="宋体" w:hAnsi="宋体"/>
          <w:szCs w:val="21"/>
        </w:rPr>
        <w:t>指国家准许某企业在一定期间内对国有土地享有开发、利用、经营的权利。根据会计“无形资产”科目计算填报。</w:t>
      </w:r>
    </w:p>
    <w:p>
      <w:pPr>
        <w:spacing w:line="360" w:lineRule="exact"/>
        <w:ind w:firstLine="420" w:firstLineChars="200"/>
        <w:rPr>
          <w:rFonts w:hint="eastAsia" w:ascii="宋体" w:hAnsi="宋体" w:cs="宋体"/>
          <w:szCs w:val="21"/>
        </w:rPr>
      </w:pPr>
      <w:r>
        <w:rPr>
          <w:rFonts w:hint="eastAsia" w:ascii="黑体" w:hAnsi="宋体" w:eastAsia="黑体" w:cs="黑体"/>
          <w:szCs w:val="21"/>
        </w:rPr>
        <w:t>负债合计</w:t>
      </w:r>
      <w:r>
        <w:rPr>
          <w:rFonts w:ascii="宋体" w:hAnsi="宋体" w:cs="宋体"/>
          <w:szCs w:val="21"/>
        </w:rPr>
        <w:t xml:space="preserve">  </w:t>
      </w:r>
      <w:r>
        <w:rPr>
          <w:rFonts w:hint="eastAsia" w:ascii="宋体" w:hAnsi="宋体" w:cs="宋体"/>
          <w:szCs w:val="21"/>
        </w:rPr>
        <w:t>指企业过去的交易或者事项形成的，预期会导致经济利益流出企业的现时义务。包括银行贷款、借款、应付账款、应付职工工资、应付职工福利费、应交税金等企业负有偿还责任的债务。根据会计“资产负债表”中“负债合计”项目的期末余额数填报。</w:t>
      </w:r>
    </w:p>
    <w:p>
      <w:pPr>
        <w:spacing w:line="360" w:lineRule="exact"/>
        <w:ind w:firstLine="420" w:firstLineChars="200"/>
        <w:rPr>
          <w:rFonts w:hint="eastAsia" w:ascii="宋体" w:hAnsi="宋体" w:cs="宋体"/>
          <w:szCs w:val="21"/>
        </w:rPr>
      </w:pPr>
      <w:r>
        <w:rPr>
          <w:rFonts w:hint="eastAsia" w:ascii="宋体" w:hAnsi="宋体" w:cs="宋体"/>
          <w:szCs w:val="21"/>
        </w:rPr>
        <w:t>负债一般按偿还期长短分为流动负债和非流动负债。执行《企业会计准则》或《小企业会计准则》的企业：负债合计=流动负债合计+非流动负债合计；执行《企业会计制度》的企业负债包括流动负债和长期负债。</w:t>
      </w:r>
    </w:p>
    <w:p>
      <w:pPr>
        <w:snapToGrid w:val="0"/>
        <w:spacing w:line="360" w:lineRule="exact"/>
        <w:ind w:firstLine="420"/>
        <w:rPr>
          <w:rFonts w:ascii="宋体" w:cs="宋体"/>
          <w:szCs w:val="21"/>
        </w:rPr>
      </w:pPr>
      <w:r>
        <w:rPr>
          <w:rFonts w:hint="eastAsia" w:ascii="黑体" w:hAnsi="宋体" w:eastAsia="黑体" w:cs="黑体"/>
          <w:szCs w:val="21"/>
        </w:rPr>
        <w:t>流动负债合计</w:t>
      </w:r>
      <w:r>
        <w:rPr>
          <w:rFonts w:ascii="宋体" w:hAnsi="宋体" w:cs="宋体"/>
          <w:szCs w:val="21"/>
        </w:rPr>
        <w:t xml:space="preserve">  </w:t>
      </w:r>
      <w:r>
        <w:rPr>
          <w:rFonts w:hint="eastAsia" w:ascii="宋体" w:hAnsi="宋体" w:cs="宋体"/>
          <w:szCs w:val="21"/>
        </w:rPr>
        <w:t>负债满足下列条件之一的应归为流动负债：（</w:t>
      </w:r>
      <w:r>
        <w:rPr>
          <w:rFonts w:ascii="宋体" w:hAnsi="宋体" w:cs="宋体"/>
          <w:szCs w:val="21"/>
        </w:rPr>
        <w:t>1</w:t>
      </w:r>
      <w:r>
        <w:rPr>
          <w:rFonts w:hint="eastAsia" w:ascii="宋体" w:hAnsi="宋体" w:cs="宋体"/>
          <w:szCs w:val="21"/>
        </w:rPr>
        <w:t>）预计在一个正常营业周期中清偿；（</w:t>
      </w:r>
      <w:r>
        <w:rPr>
          <w:rFonts w:ascii="宋体" w:hAnsi="宋体" w:cs="宋体"/>
          <w:szCs w:val="21"/>
        </w:rPr>
        <w:t>2</w:t>
      </w:r>
      <w:r>
        <w:rPr>
          <w:rFonts w:hint="eastAsia" w:ascii="宋体" w:hAnsi="宋体" w:cs="宋体"/>
          <w:szCs w:val="21"/>
        </w:rPr>
        <w:t>）主要为交易目的而持有；（</w:t>
      </w:r>
      <w:r>
        <w:rPr>
          <w:rFonts w:ascii="宋体" w:hAnsi="宋体" w:cs="宋体"/>
          <w:szCs w:val="21"/>
        </w:rPr>
        <w:t>3</w:t>
      </w:r>
      <w:r>
        <w:rPr>
          <w:rFonts w:hint="eastAsia" w:ascii="宋体" w:hAnsi="宋体" w:cs="宋体"/>
          <w:szCs w:val="21"/>
        </w:rPr>
        <w:t>）自资产负债表日起一年内到期应予清偿；（</w:t>
      </w:r>
      <w:r>
        <w:rPr>
          <w:rFonts w:ascii="宋体" w:hAnsi="宋体" w:cs="宋体"/>
          <w:szCs w:val="21"/>
        </w:rPr>
        <w:t>4</w:t>
      </w:r>
      <w:r>
        <w:rPr>
          <w:rFonts w:hint="eastAsia" w:ascii="宋体" w:hAnsi="宋体" w:cs="宋体"/>
          <w:szCs w:val="21"/>
        </w:rPr>
        <w:t>）企业无权自主地将清偿推迟至资产负债表日后一年以上。包括短期借款、应付票据、应付账款、应付职工薪酬、应交税费等项目。根据会计“资产负债表”中“流动负债合计”项目的期末余额数填报。</w:t>
      </w:r>
    </w:p>
    <w:p>
      <w:pPr>
        <w:snapToGrid w:val="0"/>
        <w:spacing w:line="360" w:lineRule="exact"/>
        <w:ind w:firstLine="420" w:firstLineChars="200"/>
        <w:rPr>
          <w:rFonts w:ascii="宋体" w:cs="宋体"/>
          <w:szCs w:val="21"/>
        </w:rPr>
      </w:pPr>
      <w:r>
        <w:rPr>
          <w:rFonts w:hint="eastAsia" w:ascii="黑体" w:hAnsi="宋体" w:eastAsia="黑体" w:cs="黑体"/>
          <w:szCs w:val="21"/>
        </w:rPr>
        <w:t>应付账款</w:t>
      </w:r>
      <w:r>
        <w:rPr>
          <w:rFonts w:ascii="宋体" w:hAnsi="宋体" w:cs="宋体"/>
          <w:szCs w:val="21"/>
        </w:rPr>
        <w:t xml:space="preserve">  </w:t>
      </w:r>
      <w:r>
        <w:rPr>
          <w:rFonts w:hint="eastAsia" w:ascii="宋体" w:hAnsi="宋体" w:cs="宋体"/>
          <w:szCs w:val="21"/>
        </w:rPr>
        <w:t>指企业因购买材料、商品和接受劳务供应等经营活动应支付的款项。根据会计“资产负债表”中“应付账款”项目的期末余额数填报。</w:t>
      </w:r>
    </w:p>
    <w:p>
      <w:pPr>
        <w:snapToGrid w:val="0"/>
        <w:spacing w:line="360" w:lineRule="exact"/>
        <w:ind w:firstLine="420" w:firstLineChars="200"/>
        <w:rPr>
          <w:rFonts w:cs="宋体"/>
          <w:szCs w:val="21"/>
        </w:rPr>
      </w:pPr>
      <w:r>
        <w:rPr>
          <w:rFonts w:hint="eastAsia" w:ascii="黑体" w:hAnsi="宋体" w:eastAsia="黑体" w:cs="黑体"/>
          <w:szCs w:val="21"/>
        </w:rPr>
        <w:t>所有者权益合计</w:t>
      </w:r>
      <w:r>
        <w:rPr>
          <w:rFonts w:ascii="宋体" w:hAnsi="宋体" w:cs="宋体"/>
          <w:szCs w:val="21"/>
        </w:rPr>
        <w:t xml:space="preserve">  </w:t>
      </w:r>
      <w:r>
        <w:rPr>
          <w:rFonts w:hint="eastAsia" w:ascii="宋体" w:hAnsi="宋体" w:cs="宋体"/>
          <w:szCs w:val="21"/>
        </w:rPr>
        <w:t>指企业资产扣除负债后由所有者享有的剩余权益。公司的所有者权益又称股东权益。包括实收资本、资本公积、盈余公积、未分配利润等。根据会计“资产负债表”中“所有者权益合计”项目的期末余额数填报。</w:t>
      </w:r>
    </w:p>
    <w:p>
      <w:pPr>
        <w:snapToGrid w:val="0"/>
        <w:spacing w:line="360" w:lineRule="exact"/>
        <w:ind w:firstLine="420" w:firstLineChars="200"/>
        <w:rPr>
          <w:rFonts w:ascii="宋体" w:cs="宋体"/>
          <w:szCs w:val="21"/>
        </w:rPr>
      </w:pPr>
      <w:r>
        <w:rPr>
          <w:rFonts w:hint="eastAsia" w:ascii="黑体" w:hAnsi="宋体" w:eastAsia="黑体" w:cs="黑体"/>
          <w:szCs w:val="21"/>
        </w:rPr>
        <w:t>实收资本</w:t>
      </w:r>
      <w:r>
        <w:rPr>
          <w:rFonts w:ascii="宋体" w:hAnsi="宋体" w:cs="宋体"/>
          <w:szCs w:val="21"/>
        </w:rPr>
        <w:t xml:space="preserve">  </w:t>
      </w:r>
      <w:r>
        <w:rPr>
          <w:rFonts w:hint="eastAsia" w:ascii="宋体" w:hAnsi="宋体" w:cs="宋体"/>
          <w:szCs w:val="21"/>
        </w:rPr>
        <w:t>指企业各投资者实际投入的资本（或股本）总额，包括货币、实物、无形资产等各种形式的投入。实收资本按投资主体可分为国家资本、集体资本、法人资本、个人资本、港澳台资本和外商资本。根据会计“资产负债表”中“所有者权益”项下“实收资本”的期末余额数填报。</w:t>
      </w:r>
    </w:p>
    <w:p>
      <w:pPr>
        <w:snapToGrid w:val="0"/>
        <w:spacing w:line="360" w:lineRule="exact"/>
        <w:ind w:firstLine="420" w:firstLineChars="200"/>
        <w:rPr>
          <w:rFonts w:ascii="宋体" w:cs="宋体"/>
          <w:szCs w:val="21"/>
        </w:rPr>
      </w:pPr>
      <w:r>
        <w:rPr>
          <w:rFonts w:hint="eastAsia" w:ascii="黑体" w:hAnsi="宋体" w:eastAsia="黑体" w:cs="黑体"/>
          <w:szCs w:val="21"/>
        </w:rPr>
        <w:t>国家资本</w:t>
      </w:r>
      <w:r>
        <w:rPr>
          <w:rFonts w:ascii="宋体" w:hAnsi="宋体" w:cs="宋体"/>
          <w:szCs w:val="21"/>
        </w:rPr>
        <w:t xml:space="preserve">  </w:t>
      </w:r>
      <w:r>
        <w:rPr>
          <w:rFonts w:hint="eastAsia" w:ascii="宋体" w:hAnsi="宋体" w:cs="宋体"/>
          <w:szCs w:val="21"/>
        </w:rPr>
        <w:t>指有权代表国家投资的政府部门或机构、直属事业单位对企业形成的资本金。根据会计“实收资本”科目计算填报。</w:t>
      </w:r>
    </w:p>
    <w:p>
      <w:pPr>
        <w:snapToGrid w:val="0"/>
        <w:spacing w:line="360" w:lineRule="exact"/>
        <w:ind w:firstLine="420" w:firstLineChars="200"/>
        <w:rPr>
          <w:rFonts w:ascii="宋体" w:cs="宋体"/>
          <w:szCs w:val="21"/>
        </w:rPr>
      </w:pPr>
      <w:r>
        <w:rPr>
          <w:rFonts w:hint="eastAsia" w:ascii="黑体" w:hAnsi="宋体" w:eastAsia="黑体" w:cs="黑体"/>
          <w:szCs w:val="21"/>
        </w:rPr>
        <w:t>集体资本</w:t>
      </w:r>
      <w:r>
        <w:rPr>
          <w:rFonts w:ascii="宋体" w:hAnsi="宋体" w:cs="宋体"/>
          <w:szCs w:val="21"/>
        </w:rPr>
        <w:t xml:space="preserve">  </w:t>
      </w:r>
      <w:r>
        <w:rPr>
          <w:rFonts w:hint="eastAsia" w:ascii="宋体" w:hAnsi="宋体" w:cs="宋体"/>
          <w:szCs w:val="21"/>
        </w:rPr>
        <w:t>指由本企业职工等自然人集体投资或各种机构对企业进行扶持形成的集体性质的资本金。根据会计“实收资本”科目计算填报。</w:t>
      </w:r>
    </w:p>
    <w:p>
      <w:pPr>
        <w:snapToGrid w:val="0"/>
        <w:spacing w:line="360" w:lineRule="exact"/>
        <w:ind w:firstLine="420" w:firstLineChars="200"/>
        <w:rPr>
          <w:rFonts w:ascii="宋体" w:cs="宋体"/>
          <w:szCs w:val="21"/>
        </w:rPr>
      </w:pPr>
      <w:r>
        <w:rPr>
          <w:rFonts w:hint="eastAsia" w:ascii="黑体" w:hAnsi="宋体" w:eastAsia="黑体" w:cs="黑体"/>
          <w:szCs w:val="21"/>
        </w:rPr>
        <w:t>法人资本</w:t>
      </w:r>
      <w:r>
        <w:rPr>
          <w:rFonts w:ascii="宋体" w:hAnsi="宋体" w:cs="宋体"/>
          <w:szCs w:val="21"/>
        </w:rPr>
        <w:t xml:space="preserve">  </w:t>
      </w:r>
      <w:r>
        <w:rPr>
          <w:rFonts w:hint="eastAsia" w:ascii="宋体" w:hAnsi="宋体" w:cs="宋体"/>
          <w:szCs w:val="21"/>
        </w:rPr>
        <w:t>指其他法人单位以其依法可支配的资产投入企业形成的资本金。根据会计“实收资本”科目计算填报。</w:t>
      </w:r>
    </w:p>
    <w:p>
      <w:pPr>
        <w:snapToGrid w:val="0"/>
        <w:spacing w:line="360" w:lineRule="exact"/>
        <w:ind w:firstLine="420" w:firstLineChars="200"/>
        <w:rPr>
          <w:rFonts w:ascii="仿宋_GB2312" w:hAnsi="宋体" w:eastAsia="仿宋_GB2312"/>
          <w:szCs w:val="21"/>
        </w:rPr>
      </w:pPr>
      <w:r>
        <w:rPr>
          <w:rFonts w:hint="eastAsia" w:ascii="黑体" w:hAnsi="宋体" w:eastAsia="黑体" w:cs="黑体"/>
          <w:szCs w:val="21"/>
        </w:rPr>
        <w:t>个人资本</w:t>
      </w:r>
      <w:r>
        <w:rPr>
          <w:rFonts w:ascii="宋体" w:hAnsi="宋体" w:cs="宋体"/>
          <w:szCs w:val="21"/>
        </w:rPr>
        <w:t xml:space="preserve">  </w:t>
      </w:r>
      <w:r>
        <w:rPr>
          <w:rFonts w:hint="eastAsia" w:ascii="宋体" w:hAnsi="宋体" w:cs="宋体"/>
          <w:szCs w:val="21"/>
        </w:rPr>
        <w:t>指自然人实际投入企业的资本金。根据会计“实收资本”科目计算填报。</w:t>
      </w:r>
    </w:p>
    <w:p>
      <w:pPr>
        <w:snapToGrid w:val="0"/>
        <w:spacing w:line="360" w:lineRule="exact"/>
        <w:ind w:firstLine="420" w:firstLineChars="200"/>
        <w:rPr>
          <w:rFonts w:ascii="宋体" w:cs="宋体"/>
          <w:szCs w:val="21"/>
        </w:rPr>
      </w:pPr>
      <w:r>
        <w:rPr>
          <w:rFonts w:hint="eastAsia" w:ascii="黑体" w:hAnsi="宋体" w:eastAsia="黑体" w:cs="黑体"/>
          <w:szCs w:val="21"/>
        </w:rPr>
        <w:t>港澳台资本</w:t>
      </w:r>
      <w:r>
        <w:rPr>
          <w:rFonts w:ascii="宋体" w:hAnsi="宋体" w:cs="宋体"/>
          <w:szCs w:val="21"/>
        </w:rPr>
        <w:t xml:space="preserve">  </w:t>
      </w:r>
      <w:r>
        <w:rPr>
          <w:rFonts w:hint="eastAsia" w:ascii="宋体" w:hAnsi="宋体" w:cs="宋体"/>
          <w:szCs w:val="21"/>
        </w:rPr>
        <w:t>指我国香港、澳门和台湾省投资者实际投入企业的资本金。根据会计“实收资本”科目计算填报。</w:t>
      </w:r>
    </w:p>
    <w:p>
      <w:pPr>
        <w:snapToGrid w:val="0"/>
        <w:spacing w:line="360" w:lineRule="exact"/>
        <w:ind w:firstLine="420" w:firstLineChars="200"/>
        <w:rPr>
          <w:rFonts w:ascii="宋体" w:cs="宋体"/>
          <w:szCs w:val="21"/>
        </w:rPr>
      </w:pPr>
      <w:r>
        <w:rPr>
          <w:rFonts w:hint="eastAsia" w:ascii="黑体" w:hAnsi="宋体" w:eastAsia="黑体" w:cs="黑体"/>
          <w:szCs w:val="21"/>
        </w:rPr>
        <w:t>外商资本</w:t>
      </w:r>
      <w:r>
        <w:rPr>
          <w:rFonts w:ascii="宋体" w:hAnsi="宋体" w:cs="宋体"/>
          <w:szCs w:val="21"/>
        </w:rPr>
        <w:t xml:space="preserve">  </w:t>
      </w:r>
      <w:r>
        <w:rPr>
          <w:rFonts w:hint="eastAsia" w:ascii="宋体" w:hAnsi="宋体" w:cs="宋体"/>
          <w:szCs w:val="21"/>
        </w:rPr>
        <w:t>指外国投资者实际投入企业的资本金。根据会计“实收资本”科目计算填报。</w:t>
      </w:r>
    </w:p>
    <w:p>
      <w:pPr>
        <w:snapToGrid w:val="0"/>
        <w:spacing w:before="480" w:beforeLines="200" w:after="240" w:afterLines="100"/>
        <w:ind w:firstLine="560" w:firstLineChars="200"/>
        <w:jc w:val="left"/>
        <w:outlineLvl w:val="9"/>
        <w:rPr>
          <w:rFonts w:ascii="宋体"/>
          <w:sz w:val="28"/>
          <w:szCs w:val="28"/>
        </w:rPr>
      </w:pPr>
      <w:r>
        <w:rPr>
          <w:rFonts w:ascii="宋体" w:hAnsi="宋体"/>
          <w:sz w:val="28"/>
          <w:szCs w:val="28"/>
        </w:rPr>
        <w:t>2.</w:t>
      </w:r>
      <w:r>
        <w:rPr>
          <w:rFonts w:hint="eastAsia" w:ascii="宋体" w:hAnsi="宋体"/>
          <w:sz w:val="28"/>
          <w:szCs w:val="28"/>
        </w:rPr>
        <w:t>损益</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营业收入</w:t>
      </w:r>
      <w:r>
        <w:rPr>
          <w:rFonts w:ascii="黑体" w:hAnsi="宋体" w:eastAsia="黑体" w:cs="黑体"/>
          <w:szCs w:val="21"/>
        </w:rPr>
        <w:t xml:space="preserve">  </w:t>
      </w:r>
      <w:r>
        <w:rPr>
          <w:rFonts w:hint="eastAsia" w:ascii="宋体" w:hAnsi="宋体" w:cs="宋体"/>
          <w:szCs w:val="21"/>
        </w:rPr>
        <w:t>指企业从事销售商品、提供劳务和让渡资产使用权等生产经营活动形成的经济利益流入。包括“主营业务收入”和“其他业务收入”。根据会计“利润表”中“营业收入”项目的本年累计数填报。</w:t>
      </w:r>
    </w:p>
    <w:p>
      <w:pPr>
        <w:snapToGrid w:val="0"/>
        <w:spacing w:line="360" w:lineRule="exact"/>
        <w:ind w:firstLine="420" w:firstLineChars="200"/>
        <w:rPr>
          <w:rFonts w:ascii="宋体" w:cs="宋体"/>
          <w:szCs w:val="21"/>
        </w:rPr>
      </w:pPr>
      <w:r>
        <w:rPr>
          <w:rFonts w:hint="eastAsia" w:ascii="黑体" w:hAnsi="宋体" w:eastAsia="黑体" w:cs="黑体"/>
          <w:szCs w:val="21"/>
        </w:rPr>
        <w:t>主营业务收入</w:t>
      </w:r>
      <w:r>
        <w:rPr>
          <w:rFonts w:ascii="宋体" w:hAnsi="宋体" w:cs="宋体"/>
          <w:szCs w:val="21"/>
        </w:rPr>
        <w:t xml:space="preserve">  </w:t>
      </w:r>
      <w:r>
        <w:rPr>
          <w:rFonts w:hint="eastAsia" w:ascii="宋体" w:hAnsi="宋体" w:cs="宋体"/>
          <w:szCs w:val="21"/>
        </w:rPr>
        <w:t>指企业经营主要业务所实现的收入。如果会计“利润表”列示“主营业务收入”项目，则根据其本年累计数填报；或者，根据会计“主营业务收入”科目的</w:t>
      </w:r>
      <w:r>
        <w:rPr>
          <w:rFonts w:hint="eastAsia" w:ascii="宋体" w:hAnsi="Calibri" w:cs="宋体"/>
          <w:szCs w:val="21"/>
        </w:rPr>
        <w:t>本年各月贷方余额（结转前）之和</w:t>
      </w:r>
      <w:r>
        <w:rPr>
          <w:rFonts w:hint="eastAsia" w:ascii="宋体" w:hAnsi="宋体" w:cs="宋体"/>
          <w:szCs w:val="21"/>
        </w:rPr>
        <w:t>填报，如未设置该科目，以“营业收入”代替填报。</w:t>
      </w:r>
    </w:p>
    <w:p>
      <w:pPr>
        <w:snapToGrid w:val="0"/>
        <w:spacing w:line="360" w:lineRule="exact"/>
        <w:ind w:firstLine="420" w:firstLineChars="200"/>
        <w:rPr>
          <w:rFonts w:ascii="黑体" w:hAnsi="宋体" w:eastAsia="黑体"/>
          <w:szCs w:val="21"/>
        </w:rPr>
      </w:pPr>
      <w:r>
        <w:rPr>
          <w:rFonts w:hint="eastAsia" w:ascii="黑体" w:hAnsi="宋体" w:eastAsia="黑体" w:cs="黑体"/>
          <w:szCs w:val="21"/>
        </w:rPr>
        <w:t>营业成本</w:t>
      </w:r>
      <w:r>
        <w:rPr>
          <w:rFonts w:ascii="黑体" w:hAnsi="宋体" w:eastAsia="黑体" w:cs="黑体"/>
          <w:szCs w:val="21"/>
        </w:rPr>
        <w:t xml:space="preserve">  </w:t>
      </w:r>
      <w:r>
        <w:rPr>
          <w:rFonts w:hint="eastAsia" w:ascii="宋体" w:hAnsi="宋体" w:cs="宋体"/>
          <w:szCs w:val="21"/>
        </w:rPr>
        <w:t>指企业从事销售商品、提供劳务和让渡资产使用权等生产经营活动发生的实际成本。“营业成本”应当与“营业收入”进行配比。包括“主营业务成本”和“其他业务成本”。根据会计“利润表”中“营业成本”项目的本年累计数填报。</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税金及附加</w:t>
      </w:r>
      <w:r>
        <w:rPr>
          <w:rFonts w:ascii="仿宋_GB2312" w:hAnsi="宋体" w:eastAsia="仿宋_GB2312" w:cs="仿宋_GB2312"/>
          <w:szCs w:val="21"/>
        </w:rPr>
        <w:t xml:space="preserve">  </w:t>
      </w:r>
      <w:r>
        <w:rPr>
          <w:rFonts w:hint="eastAsia" w:ascii="宋体" w:hAnsi="宋体" w:cs="宋体"/>
          <w:szCs w:val="21"/>
        </w:rPr>
        <w:t>指企业因从事生产经营活动按税法规定应缴纳的消费税、城市维护建设税、资源税、环境保护税、教育费附加、房产税、城镇土地使用税、车船税、印花税等相关税费。根据会计“利润表”中“税金及附加”项目的本年累计数填报。</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销售费用</w:t>
      </w:r>
      <w:r>
        <w:rPr>
          <w:rFonts w:ascii="黑体" w:hAnsi="宋体" w:eastAsia="黑体" w:cs="黑体"/>
          <w:szCs w:val="21"/>
        </w:rPr>
        <w:t xml:space="preserve">  </w:t>
      </w:r>
      <w:r>
        <w:rPr>
          <w:rFonts w:hint="eastAsia" w:ascii="宋体" w:hAnsi="宋体" w:cs="宋体"/>
          <w:szCs w:val="21"/>
        </w:rPr>
        <w:t>指企业在销售商品和材料、提供劳务的过程中发生的各种费用，包括保险费、包装费、展览费和广告费、商品维修费、预计产品质量保证损失、运输费、装卸费等以及为销售本企业商品而专设的销售机构（含销售网点、售后服务网点等）的职工薪酬、业务费、折旧费等经营费用。建筑业企业销售费用指企业从事施工生产活动过程中发生的各项费用，包括应由企业负担的运输费、装卸费、包装费、保险费、维修费、展览费、差旅费、广告费和其他经费。房地产企业销售费用指企业在从事主要经营业务过程中所发生的各项销售费用，包括转让、销售、结算和出租开发产品等。执行《企业会计准则》或《小企业会计准则》的企业，根据会计</w:t>
      </w:r>
      <w:r>
        <w:rPr>
          <w:rFonts w:hint="eastAsia" w:ascii="宋体" w:cs="宋体"/>
          <w:szCs w:val="21"/>
        </w:rPr>
        <w:t>“</w:t>
      </w:r>
      <w:r>
        <w:rPr>
          <w:rFonts w:hint="eastAsia" w:ascii="宋体" w:hAnsi="宋体" w:cs="宋体"/>
          <w:szCs w:val="21"/>
        </w:rPr>
        <w:t>利润表</w:t>
      </w:r>
      <w:r>
        <w:rPr>
          <w:rFonts w:hint="eastAsia" w:ascii="宋体" w:cs="宋体"/>
          <w:szCs w:val="21"/>
        </w:rPr>
        <w:t>”</w:t>
      </w:r>
      <w:r>
        <w:rPr>
          <w:rFonts w:hint="eastAsia" w:ascii="宋体" w:hAnsi="宋体" w:cs="宋体"/>
          <w:szCs w:val="21"/>
        </w:rPr>
        <w:t>中</w:t>
      </w:r>
      <w:r>
        <w:rPr>
          <w:rFonts w:hint="eastAsia" w:ascii="宋体" w:cs="宋体"/>
          <w:szCs w:val="21"/>
        </w:rPr>
        <w:t>“</w:t>
      </w:r>
      <w:r>
        <w:rPr>
          <w:rFonts w:hint="eastAsia" w:ascii="宋体" w:hAnsi="宋体" w:cs="宋体"/>
          <w:szCs w:val="21"/>
        </w:rPr>
        <w:t>销售费用</w:t>
      </w:r>
      <w:r>
        <w:rPr>
          <w:rFonts w:hint="eastAsia" w:ascii="宋体" w:cs="宋体"/>
          <w:szCs w:val="21"/>
        </w:rPr>
        <w:t>”</w:t>
      </w:r>
      <w:r>
        <w:rPr>
          <w:rFonts w:hint="eastAsia" w:ascii="宋体" w:hAnsi="宋体" w:cs="宋体"/>
          <w:szCs w:val="21"/>
        </w:rPr>
        <w:t>项目的本年累计数填报。执行《企业会计制度》的企业，根据会计“利润表”中“营业费用（或经营费用）”项目的本年累计数填报</w:t>
      </w:r>
      <w:r>
        <w:rPr>
          <w:rFonts w:hint="eastAsia" w:ascii="宋体" w:hAnsi="宋体" w:cs="宋体"/>
          <w:kern w:val="0"/>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管理费用</w:t>
      </w:r>
      <w:r>
        <w:rPr>
          <w:rFonts w:ascii="仿宋_GB2312" w:hAnsi="宋体" w:eastAsia="仿宋_GB2312" w:cs="仿宋_GB2312"/>
          <w:szCs w:val="21"/>
        </w:rPr>
        <w:t xml:space="preserve">  </w:t>
      </w:r>
      <w:r>
        <w:rPr>
          <w:rFonts w:hint="eastAsia" w:ascii="宋体" w:hAnsi="宋体" w:cs="宋体"/>
          <w:szCs w:val="21"/>
        </w:rPr>
        <w:t>指企业为组织和管理企业生产经营所发生的费用，包括企业在筹建期间内发生的开办费、董事会和行政管理部门在企业经营管理中发生的，或者应当由企业统一负担的公司经费等。为了与财政部《关于修订印发</w:t>
      </w:r>
      <w:r>
        <w:rPr>
          <w:rFonts w:ascii="宋体" w:hAnsi="宋体" w:cs="宋体"/>
          <w:szCs w:val="21"/>
        </w:rPr>
        <w:t>2019</w:t>
      </w:r>
      <w:r>
        <w:rPr>
          <w:rFonts w:hint="eastAsia" w:ascii="宋体" w:hAnsi="宋体" w:cs="宋体"/>
          <w:szCs w:val="21"/>
        </w:rPr>
        <w:t>年度一般企业财务报表格式的通知》（财会〔</w:t>
      </w:r>
      <w:r>
        <w:rPr>
          <w:rFonts w:ascii="宋体" w:hAnsi="宋体" w:cs="宋体"/>
          <w:szCs w:val="21"/>
        </w:rPr>
        <w:t>2019</w:t>
      </w:r>
      <w:r>
        <w:rPr>
          <w:rFonts w:hint="eastAsia" w:ascii="宋体" w:hAnsi="宋体" w:cs="宋体"/>
          <w:szCs w:val="21"/>
        </w:rPr>
        <w:t>〕</w:t>
      </w:r>
      <w:r>
        <w:rPr>
          <w:rFonts w:ascii="宋体" w:hAnsi="宋体" w:cs="宋体"/>
          <w:szCs w:val="21"/>
        </w:rPr>
        <w:t>6</w:t>
      </w:r>
      <w:r>
        <w:rPr>
          <w:rFonts w:hint="eastAsia" w:ascii="宋体" w:hAnsi="宋体" w:cs="宋体"/>
          <w:szCs w:val="21"/>
        </w:rPr>
        <w:t>号）保持一致，“管理费用</w:t>
      </w:r>
      <w:r>
        <w:rPr>
          <w:rFonts w:hint="eastAsia" w:ascii="宋体" w:cs="宋体"/>
          <w:szCs w:val="21"/>
        </w:rPr>
        <w:t>”</w:t>
      </w:r>
      <w:r>
        <w:rPr>
          <w:rFonts w:hint="eastAsia" w:ascii="宋体" w:hAnsi="宋体" w:cs="宋体"/>
          <w:szCs w:val="21"/>
        </w:rPr>
        <w:t>不包含</w:t>
      </w:r>
      <w:r>
        <w:rPr>
          <w:rFonts w:hint="eastAsia" w:ascii="宋体" w:cs="宋体"/>
          <w:szCs w:val="21"/>
        </w:rPr>
        <w:t>“</w:t>
      </w:r>
      <w:r>
        <w:rPr>
          <w:rFonts w:hint="eastAsia" w:ascii="宋体" w:hAnsi="宋体" w:cs="宋体"/>
          <w:szCs w:val="21"/>
        </w:rPr>
        <w:t>研发费用</w:t>
      </w:r>
      <w:r>
        <w:rPr>
          <w:rFonts w:hint="eastAsia" w:ascii="宋体" w:cs="宋体"/>
          <w:szCs w:val="21"/>
        </w:rPr>
        <w:t>”</w:t>
      </w:r>
      <w:r>
        <w:rPr>
          <w:rFonts w:hint="eastAsia" w:ascii="宋体" w:hAnsi="宋体" w:cs="宋体"/>
          <w:szCs w:val="21"/>
        </w:rPr>
        <w:t>。执行《企业会计准则》的企业，根据会计</w:t>
      </w:r>
      <w:r>
        <w:rPr>
          <w:rFonts w:hint="eastAsia" w:ascii="宋体" w:cs="宋体"/>
          <w:szCs w:val="21"/>
        </w:rPr>
        <w:t>“</w:t>
      </w:r>
      <w:r>
        <w:rPr>
          <w:rFonts w:hint="eastAsia" w:ascii="宋体" w:hAnsi="宋体" w:cs="宋体"/>
          <w:szCs w:val="21"/>
        </w:rPr>
        <w:t>利润表</w:t>
      </w:r>
      <w:r>
        <w:rPr>
          <w:rFonts w:hint="eastAsia" w:ascii="宋体" w:cs="宋体"/>
          <w:szCs w:val="21"/>
        </w:rPr>
        <w:t>”</w:t>
      </w:r>
      <w:r>
        <w:rPr>
          <w:rFonts w:hint="eastAsia" w:ascii="宋体" w:hAnsi="宋体" w:cs="宋体"/>
          <w:szCs w:val="21"/>
        </w:rPr>
        <w:t>中</w:t>
      </w:r>
      <w:r>
        <w:rPr>
          <w:rFonts w:hint="eastAsia" w:ascii="宋体" w:cs="宋体"/>
          <w:szCs w:val="21"/>
        </w:rPr>
        <w:t>“</w:t>
      </w:r>
      <w:r>
        <w:rPr>
          <w:rFonts w:hint="eastAsia" w:ascii="宋体" w:hAnsi="宋体" w:cs="宋体"/>
          <w:szCs w:val="21"/>
        </w:rPr>
        <w:t>管理费用”项目的本年累计数填报。执行《小企业会计准则》的企业，应将会计“利润表”中“管理费用”项目本年累计数减“研究费用”项目本年累计数后填报。执行《企业会计制度》的企业以及未执行财政部《关于修订印发</w:t>
      </w:r>
      <w:r>
        <w:rPr>
          <w:rFonts w:ascii="宋体" w:hAnsi="宋体" w:cs="宋体"/>
          <w:szCs w:val="21"/>
        </w:rPr>
        <w:t>2019</w:t>
      </w:r>
      <w:r>
        <w:rPr>
          <w:rFonts w:hint="eastAsia" w:ascii="宋体" w:hAnsi="宋体" w:cs="宋体"/>
          <w:szCs w:val="21"/>
        </w:rPr>
        <w:t>年度一般企业财务报表格式的通知》（财会〔</w:t>
      </w:r>
      <w:r>
        <w:rPr>
          <w:rFonts w:ascii="宋体" w:hAnsi="宋体" w:cs="宋体"/>
          <w:szCs w:val="21"/>
        </w:rPr>
        <w:t>2019</w:t>
      </w:r>
      <w:r>
        <w:rPr>
          <w:rFonts w:hint="eastAsia" w:ascii="宋体" w:hAnsi="宋体" w:cs="宋体"/>
          <w:szCs w:val="21"/>
        </w:rPr>
        <w:t>〕</w:t>
      </w:r>
      <w:r>
        <w:rPr>
          <w:rFonts w:ascii="宋体" w:hAnsi="宋体" w:cs="宋体"/>
          <w:szCs w:val="21"/>
        </w:rPr>
        <w:t>6</w:t>
      </w:r>
      <w:r>
        <w:rPr>
          <w:rFonts w:hint="eastAsia" w:ascii="宋体" w:hAnsi="宋体" w:cs="宋体"/>
          <w:szCs w:val="21"/>
        </w:rPr>
        <w:t>号）的企业，在会计“利润表”中“管理费用”项目的本年累计数的基础上，根据会计“管理费用”科目下的“研究费用”相关明细科目，将“研发费用”剔除后填报。</w:t>
      </w:r>
    </w:p>
    <w:p>
      <w:pPr>
        <w:autoSpaceDE w:val="0"/>
        <w:autoSpaceDN w:val="0"/>
        <w:adjustRightInd w:val="0"/>
        <w:snapToGrid w:val="0"/>
        <w:spacing w:line="360" w:lineRule="exact"/>
        <w:ind w:firstLine="420" w:firstLineChars="200"/>
        <w:jc w:val="left"/>
        <w:rPr>
          <w:rFonts w:ascii="黑体" w:eastAsia="黑体"/>
          <w:kern w:val="0"/>
          <w:szCs w:val="21"/>
          <w:u w:val="single"/>
        </w:rPr>
      </w:pPr>
      <w:r>
        <w:rPr>
          <w:rFonts w:hint="eastAsia" w:ascii="黑体" w:eastAsia="黑体" w:cs="黑体"/>
          <w:kern w:val="0"/>
          <w:szCs w:val="21"/>
          <w:u w:val="single"/>
        </w:rPr>
        <w:t>管理费用中的：</w:t>
      </w:r>
    </w:p>
    <w:p>
      <w:pPr>
        <w:autoSpaceDE w:val="0"/>
        <w:autoSpaceDN w:val="0"/>
        <w:adjustRightInd w:val="0"/>
        <w:snapToGrid w:val="0"/>
        <w:spacing w:line="360" w:lineRule="exact"/>
        <w:ind w:firstLine="420" w:firstLineChars="200"/>
        <w:jc w:val="left"/>
        <w:rPr>
          <w:rFonts w:ascii="宋体"/>
          <w:kern w:val="0"/>
          <w:szCs w:val="21"/>
        </w:rPr>
      </w:pPr>
      <w:r>
        <w:rPr>
          <w:rFonts w:hint="eastAsia" w:ascii="黑体" w:eastAsia="黑体" w:cs="黑体"/>
          <w:kern w:val="0"/>
          <w:szCs w:val="21"/>
        </w:rPr>
        <w:t>上交管理费</w:t>
      </w:r>
      <w:r>
        <w:rPr>
          <w:rFonts w:ascii="黑体" w:eastAsia="黑体" w:cs="黑体"/>
          <w:kern w:val="0"/>
          <w:szCs w:val="21"/>
        </w:rPr>
        <w:t xml:space="preserve">  </w:t>
      </w:r>
      <w:r>
        <w:rPr>
          <w:rFonts w:hint="eastAsia" w:ascii="宋体" w:cs="宋体"/>
          <w:kern w:val="0"/>
          <w:szCs w:val="21"/>
        </w:rPr>
        <w:t>指企业上交给上级单位的管理费。</w:t>
      </w:r>
    </w:p>
    <w:p>
      <w:pPr>
        <w:snapToGrid w:val="0"/>
        <w:spacing w:line="360" w:lineRule="exact"/>
        <w:ind w:firstLine="420" w:firstLineChars="200"/>
        <w:rPr>
          <w:rFonts w:hint="eastAsia" w:ascii="宋体" w:cs="宋体"/>
          <w:kern w:val="0"/>
          <w:szCs w:val="21"/>
        </w:rPr>
      </w:pPr>
      <w:r>
        <w:rPr>
          <w:rFonts w:hint="eastAsia" w:ascii="黑体" w:eastAsia="黑体" w:cs="黑体"/>
          <w:kern w:val="0"/>
          <w:szCs w:val="21"/>
        </w:rPr>
        <w:t>董事会费</w:t>
      </w:r>
      <w:r>
        <w:rPr>
          <w:rFonts w:ascii="黑体" w:eastAsia="黑体" w:cs="黑体"/>
          <w:kern w:val="0"/>
          <w:szCs w:val="21"/>
        </w:rPr>
        <w:t xml:space="preserve">  </w:t>
      </w:r>
      <w:r>
        <w:rPr>
          <w:rFonts w:hint="eastAsia" w:ascii="宋体" w:cs="宋体"/>
          <w:kern w:val="0"/>
          <w:szCs w:val="21"/>
        </w:rPr>
        <w:t>指企业董事会或最高权力机构及其成员为执行职权而发生的各项费用，包括成员津贴、差旅费、会议费等。</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研发费用</w:t>
      </w:r>
      <w:r>
        <w:rPr>
          <w:rFonts w:ascii="仿宋_GB2312" w:hAnsi="宋体" w:eastAsia="仿宋_GB2312" w:cs="仿宋_GB2312"/>
          <w:szCs w:val="21"/>
        </w:rPr>
        <w:t xml:space="preserve">  </w:t>
      </w:r>
      <w:r>
        <w:rPr>
          <w:rFonts w:hint="eastAsia" w:ascii="宋体" w:hAnsi="宋体" w:cs="宋体"/>
          <w:szCs w:val="21"/>
        </w:rPr>
        <w:t>指企业在新知识、新技术、新产品、新工艺等的研究与开发过程中发生的费用化支出，以及计入“管理费用”会计科目的企业自行开发无形资产的摊销。费用化支出主要包括研发活动的人工费用、直接投入费用、用于研发活动的仪器、设备的折旧费、用于研发活动的软件、专利权、非专利技术的摊销费用、新产品设计费、新工艺规程制定费以及其他研发活动相关费用。执行《企业会计准则》的企业，根据会计</w:t>
      </w:r>
      <w:r>
        <w:rPr>
          <w:rFonts w:hint="eastAsia" w:ascii="宋体" w:cs="宋体"/>
          <w:szCs w:val="21"/>
        </w:rPr>
        <w:t>“</w:t>
      </w:r>
      <w:r>
        <w:rPr>
          <w:rFonts w:hint="eastAsia" w:ascii="宋体" w:hAnsi="宋体" w:cs="宋体"/>
          <w:szCs w:val="21"/>
        </w:rPr>
        <w:t>利润表</w:t>
      </w:r>
      <w:r>
        <w:rPr>
          <w:rFonts w:hint="eastAsia" w:ascii="宋体" w:cs="宋体"/>
          <w:szCs w:val="21"/>
        </w:rPr>
        <w:t>”</w:t>
      </w:r>
      <w:r>
        <w:rPr>
          <w:rFonts w:hint="eastAsia" w:ascii="宋体" w:hAnsi="宋体" w:cs="宋体"/>
          <w:szCs w:val="21"/>
        </w:rPr>
        <w:t>中</w:t>
      </w:r>
      <w:r>
        <w:rPr>
          <w:rFonts w:hint="eastAsia" w:ascii="宋体" w:cs="宋体"/>
          <w:szCs w:val="21"/>
        </w:rPr>
        <w:t>“</w:t>
      </w:r>
      <w:r>
        <w:rPr>
          <w:rFonts w:hint="eastAsia" w:ascii="宋体" w:hAnsi="宋体" w:cs="宋体"/>
          <w:szCs w:val="21"/>
        </w:rPr>
        <w:t>研发费用”项目的本年累计数填报。执行《小企业会计准则》的企业，根据会计</w:t>
      </w:r>
      <w:r>
        <w:rPr>
          <w:rFonts w:hint="eastAsia" w:ascii="宋体" w:cs="宋体"/>
          <w:szCs w:val="21"/>
        </w:rPr>
        <w:t>“</w:t>
      </w:r>
      <w:r>
        <w:rPr>
          <w:rFonts w:hint="eastAsia" w:ascii="宋体" w:hAnsi="宋体" w:cs="宋体"/>
          <w:szCs w:val="21"/>
        </w:rPr>
        <w:t>利润表</w:t>
      </w:r>
      <w:r>
        <w:rPr>
          <w:rFonts w:hint="eastAsia" w:ascii="宋体" w:cs="宋体"/>
          <w:szCs w:val="21"/>
        </w:rPr>
        <w:t>”</w:t>
      </w:r>
      <w:r>
        <w:rPr>
          <w:rFonts w:hint="eastAsia" w:ascii="宋体" w:hAnsi="宋体" w:cs="宋体"/>
          <w:szCs w:val="21"/>
        </w:rPr>
        <w:t>中</w:t>
      </w:r>
      <w:r>
        <w:rPr>
          <w:rFonts w:hint="eastAsia" w:ascii="宋体" w:cs="宋体"/>
          <w:szCs w:val="21"/>
        </w:rPr>
        <w:t>“</w:t>
      </w:r>
      <w:r>
        <w:rPr>
          <w:rFonts w:hint="eastAsia" w:ascii="宋体" w:hAnsi="宋体" w:cs="宋体"/>
          <w:szCs w:val="21"/>
        </w:rPr>
        <w:t>研究费用”项目的本年累计数填报。执行《企业会计制度》的企业以及会计“利润表”未列示“研发费用”或“研究费用”的企业，根据会计</w:t>
      </w:r>
      <w:r>
        <w:rPr>
          <w:rFonts w:hint="eastAsia" w:ascii="Calibri" w:hAnsi="Calibri" w:cs="宋体"/>
          <w:szCs w:val="21"/>
        </w:rPr>
        <w:t>“管理费用”科目下“研究费用”明细科目的本期发生额，以及“管理费用”科目下“无形资产摊销”明细科目的本期发生额分析填报。</w:t>
      </w:r>
    </w:p>
    <w:p>
      <w:pPr>
        <w:snapToGrid w:val="0"/>
        <w:spacing w:line="360" w:lineRule="exact"/>
        <w:ind w:firstLine="420" w:firstLineChars="200"/>
        <w:rPr>
          <w:rFonts w:ascii="宋体" w:cs="宋体"/>
          <w:szCs w:val="21"/>
        </w:rPr>
      </w:pPr>
      <w:r>
        <w:rPr>
          <w:rFonts w:hint="eastAsia" w:ascii="黑体" w:hAnsi="宋体" w:eastAsia="黑体" w:cs="黑体"/>
          <w:szCs w:val="21"/>
        </w:rPr>
        <w:t>财务费用</w:t>
      </w:r>
      <w:r>
        <w:rPr>
          <w:rFonts w:ascii="仿宋_GB2312" w:hAnsi="宋体" w:eastAsia="仿宋_GB2312" w:cs="仿宋_GB2312"/>
          <w:szCs w:val="21"/>
        </w:rPr>
        <w:t xml:space="preserve">  </w:t>
      </w:r>
      <w:r>
        <w:rPr>
          <w:rFonts w:hint="eastAsia" w:ascii="宋体" w:hAnsi="宋体" w:cs="宋体"/>
          <w:szCs w:val="21"/>
        </w:rPr>
        <w:t>指企业为筹集生产经营所需资金等而发生的筹资费用，包括企业生产经营期间发生的利息支出（减利息收入）、汇兑损失（减汇兑收益）以及相关的手续费等。根据会计“利润表”中“财务费用”项目的本年累计数填报。</w:t>
      </w:r>
    </w:p>
    <w:p>
      <w:pPr>
        <w:snapToGrid w:val="0"/>
        <w:spacing w:line="360" w:lineRule="exact"/>
        <w:ind w:firstLine="420" w:firstLineChars="200"/>
        <w:rPr>
          <w:rFonts w:ascii="宋体" w:cs="宋体"/>
          <w:szCs w:val="21"/>
        </w:rPr>
      </w:pPr>
      <w:r>
        <w:rPr>
          <w:rFonts w:hint="eastAsia" w:ascii="黑体" w:hAnsi="宋体" w:eastAsia="黑体" w:cs="黑体"/>
          <w:szCs w:val="21"/>
        </w:rPr>
        <w:t>利息费用</w:t>
      </w:r>
      <w:r>
        <w:rPr>
          <w:rFonts w:ascii="宋体" w:hAnsi="宋体" w:cs="宋体"/>
          <w:szCs w:val="21"/>
        </w:rPr>
        <w:t xml:space="preserve">  </w:t>
      </w:r>
      <w:r>
        <w:rPr>
          <w:rFonts w:hint="eastAsia" w:ascii="宋体" w:hAnsi="宋体" w:cs="宋体"/>
          <w:szCs w:val="21"/>
        </w:rPr>
        <w:t>指企业为筹集生产经营所需资金等而发生的应予费用化的利息支出。包括短期借款利息、长期借款利息、应付票据利息、票据贴现利息、应付债券利息、长期应付引进国外设备款利息等。执行《企业会计准则》或《小企业会计准则》的企业，根据会计“利润表”中“利息费用”项目的本年累计数填报。执行《企业会计制度》的企业，根据会计“财务费用”科目下“利息支出”明细科目的本期发生额填报，如果企业没有单独设立“利息收入”明细科目，应填报利息支出减利息收入后的净额。</w:t>
      </w:r>
    </w:p>
    <w:p>
      <w:pPr>
        <w:snapToGrid w:val="0"/>
        <w:spacing w:line="360" w:lineRule="exact"/>
        <w:ind w:firstLine="420" w:firstLineChars="200"/>
        <w:rPr>
          <w:rFonts w:ascii="宋体" w:cs="宋体"/>
          <w:szCs w:val="21"/>
        </w:rPr>
      </w:pPr>
      <w:r>
        <w:rPr>
          <w:rFonts w:hint="eastAsia" w:ascii="黑体" w:hAnsi="宋体" w:eastAsia="黑体" w:cs="黑体"/>
          <w:szCs w:val="21"/>
        </w:rPr>
        <w:t>利息收入</w:t>
      </w:r>
      <w:r>
        <w:rPr>
          <w:rFonts w:ascii="宋体" w:hAnsi="宋体" w:cs="宋体"/>
          <w:szCs w:val="21"/>
        </w:rPr>
        <w:t xml:space="preserve">  </w:t>
      </w:r>
      <w:r>
        <w:rPr>
          <w:rFonts w:hint="eastAsia" w:ascii="宋体" w:hAnsi="宋体" w:cs="宋体"/>
          <w:szCs w:val="21"/>
        </w:rPr>
        <w:t>指企业按照相关会计准则确认的应冲减财务费用的利息金额。包括非金融企业存款业务所确认的利息等。执行《企业会计准则》的企业，根据会计“利润表”中“利息收入”项目的本年累计数填报。执行《小企业会计准则》的企业，填</w:t>
      </w:r>
      <w:r>
        <w:rPr>
          <w:rFonts w:ascii="宋体" w:cs="宋体"/>
          <w:szCs w:val="21"/>
        </w:rPr>
        <w:t>0</w:t>
      </w:r>
      <w:r>
        <w:rPr>
          <w:rFonts w:hint="eastAsia" w:ascii="宋体" w:hAnsi="宋体" w:cs="宋体"/>
          <w:szCs w:val="21"/>
        </w:rPr>
        <w:t>。执行《企业会计制度》的企业，根据会计</w:t>
      </w:r>
      <w:r>
        <w:rPr>
          <w:rFonts w:hint="eastAsia" w:ascii="宋体" w:cs="宋体"/>
          <w:szCs w:val="21"/>
        </w:rPr>
        <w:t>“</w:t>
      </w:r>
      <w:r>
        <w:rPr>
          <w:rFonts w:hint="eastAsia" w:ascii="宋体" w:hAnsi="宋体" w:cs="宋体"/>
          <w:szCs w:val="21"/>
        </w:rPr>
        <w:t>财务费用</w:t>
      </w:r>
      <w:r>
        <w:rPr>
          <w:rFonts w:hint="eastAsia" w:ascii="宋体" w:cs="宋体"/>
          <w:szCs w:val="21"/>
        </w:rPr>
        <w:t>”</w:t>
      </w:r>
      <w:r>
        <w:rPr>
          <w:rFonts w:hint="eastAsia" w:ascii="宋体" w:hAnsi="宋体" w:cs="宋体"/>
          <w:szCs w:val="21"/>
        </w:rPr>
        <w:t>科目下</w:t>
      </w:r>
      <w:r>
        <w:rPr>
          <w:rFonts w:hint="eastAsia" w:ascii="宋体" w:cs="宋体"/>
          <w:szCs w:val="21"/>
        </w:rPr>
        <w:t>“</w:t>
      </w:r>
      <w:r>
        <w:rPr>
          <w:rFonts w:hint="eastAsia" w:ascii="宋体" w:hAnsi="宋体" w:cs="宋体"/>
          <w:szCs w:val="21"/>
        </w:rPr>
        <w:t>利息收入</w:t>
      </w:r>
      <w:r>
        <w:rPr>
          <w:rFonts w:hint="eastAsia" w:ascii="宋体" w:cs="宋体"/>
          <w:szCs w:val="21"/>
        </w:rPr>
        <w:t>”</w:t>
      </w:r>
      <w:r>
        <w:rPr>
          <w:rFonts w:hint="eastAsia" w:ascii="宋体" w:hAnsi="宋体" w:cs="宋体"/>
          <w:szCs w:val="21"/>
        </w:rPr>
        <w:t>明细科目的本期发生额以正数填报，如果未设置该科目，填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资产减值损失</w:t>
      </w:r>
      <w:r>
        <w:rPr>
          <w:rFonts w:ascii="仿宋_GB2312" w:hAnsi="宋体" w:eastAsia="仿宋_GB2312" w:cs="仿宋_GB2312"/>
          <w:szCs w:val="21"/>
        </w:rPr>
        <w:t xml:space="preserve">  </w:t>
      </w:r>
      <w:r>
        <w:rPr>
          <w:rFonts w:hint="eastAsia" w:ascii="宋体" w:hAnsi="宋体" w:cs="宋体"/>
          <w:szCs w:val="21"/>
        </w:rPr>
        <w:t>指企业计提各项资产减值准备所形成的损失。根据会计“利润表”中“资产减值损失”项目的本年累计数填报。如果会计“利润表”未设置该项目，</w:t>
      </w:r>
      <w:r>
        <w:rPr>
          <w:rFonts w:hint="eastAsia" w:ascii="宋体" w:hAnsi="宋体" w:cs="宋体"/>
          <w:kern w:val="0"/>
          <w:szCs w:val="21"/>
        </w:rPr>
        <w:t>填</w:t>
      </w:r>
      <w:r>
        <w:rPr>
          <w:rFonts w:ascii="宋体" w:cs="宋体"/>
          <w:kern w:val="0"/>
          <w:szCs w:val="21"/>
        </w:rPr>
        <w:t>0</w:t>
      </w:r>
      <w:r>
        <w:rPr>
          <w:rFonts w:hint="eastAsia" w:ascii="宋体" w:hAnsi="宋体" w:cs="宋体"/>
          <w:kern w:val="0"/>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信用减值损失</w:t>
      </w:r>
      <w:r>
        <w:rPr>
          <w:rFonts w:ascii="仿宋_GB2312" w:hAnsi="宋体" w:eastAsia="仿宋_GB2312" w:cs="仿宋_GB2312"/>
          <w:szCs w:val="21"/>
        </w:rPr>
        <w:t xml:space="preserve">  </w:t>
      </w:r>
      <w:r>
        <w:rPr>
          <w:rFonts w:hint="eastAsia" w:ascii="宋体" w:hAnsi="宋体" w:cs="宋体"/>
          <w:szCs w:val="21"/>
        </w:rPr>
        <w:t>指企业计提的各项金融工具减值准备所形成的预期信用损失。根据会计“利润表”中“信用减值损失”项目的本年累计数填报。如果会计“利润表”未设置该项目，填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净敞口套期收益</w:t>
      </w:r>
      <w:r>
        <w:rPr>
          <w:rFonts w:ascii="宋体" w:hAnsi="宋体" w:cs="宋体"/>
          <w:szCs w:val="21"/>
        </w:rPr>
        <w:t xml:space="preserve">  </w:t>
      </w:r>
      <w:r>
        <w:rPr>
          <w:rFonts w:hint="eastAsia" w:ascii="宋体" w:hAnsi="宋体" w:cs="宋体"/>
          <w:szCs w:val="21"/>
        </w:rPr>
        <w:t>指净敞口套期下被套期项目累计公允价值变动转入当期损益的金额或现金流量套期储备转入当期损益的金额。根据会计“利润表”中“净敞口套期收益”项目的本年累计数填报。如果会计“利润表”未设置该项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kern w:val="0"/>
          <w:szCs w:val="21"/>
        </w:rPr>
      </w:pPr>
      <w:r>
        <w:rPr>
          <w:rFonts w:hint="eastAsia" w:ascii="黑体" w:hAnsi="宋体" w:eastAsia="黑体" w:cs="黑体"/>
          <w:szCs w:val="21"/>
        </w:rPr>
        <w:t>公允价值变动收益</w:t>
      </w:r>
      <w:r>
        <w:rPr>
          <w:rFonts w:ascii="宋体" w:hAnsi="宋体" w:cs="宋体"/>
          <w:szCs w:val="21"/>
        </w:rPr>
        <w:t xml:space="preserve">  </w:t>
      </w:r>
      <w:r>
        <w:rPr>
          <w:rFonts w:hint="eastAsia" w:ascii="宋体" w:hAnsi="宋体" w:cs="宋体"/>
          <w:szCs w:val="21"/>
        </w:rPr>
        <w:t>指企业的交易性金融资产、交易性金融负债，以及采用公允价值模式计量的投资性房地产、衍生工具、套期保值业务等公允价值变动形成的应计入当期损益的利得或损失。根据会计“利润表”中“公允价值变动收益”项目的本年累计数填报，如果会计“利润表”未设置该项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资产处置收益</w:t>
      </w:r>
      <w:r>
        <w:rPr>
          <w:rFonts w:ascii="宋体" w:hAnsi="宋体" w:cs="宋体"/>
          <w:szCs w:val="21"/>
        </w:rPr>
        <w:t xml:space="preserve">  </w:t>
      </w:r>
      <w:r>
        <w:rPr>
          <w:rFonts w:hint="eastAsia" w:ascii="宋体" w:hAnsi="宋体" w:cs="宋体"/>
          <w:szCs w:val="21"/>
        </w:rPr>
        <w:t>指企业出售划分为持有待售的非流动资产（金融工具、长期股权投资和投资性房地产除外）或处置组时确认的处置利得或损失，以及处置未划分为持有待售的固定资产、在建工程、生产性生物资产及无形资产而产生的处置利得或损失。债务重组中因处置非流动资产产生的利得或损失和非货币性资产交换产生的利得或损失也包括在本项目内。根据会计“利润表”中“资产处置收益”项目的本年累计数填报。如果“利润表”未设置该项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投资收益</w:t>
      </w:r>
      <w:r>
        <w:rPr>
          <w:rFonts w:ascii="宋体" w:hAnsi="宋体" w:cs="宋体"/>
          <w:szCs w:val="21"/>
        </w:rPr>
        <w:t xml:space="preserve">  </w:t>
      </w:r>
      <w:r>
        <w:rPr>
          <w:rFonts w:hint="eastAsia" w:ascii="宋体" w:hAnsi="宋体" w:cs="宋体"/>
          <w:szCs w:val="21"/>
        </w:rPr>
        <w:t>指企业确认的投资收益或投资损失，反映企业以各种方式对外投资所取得的收益。根据会计“利润表”中“投资收益”项目的本年累计数填报。如为投资损失以“</w:t>
      </w:r>
      <w:r>
        <w:rPr>
          <w:rFonts w:ascii="宋体" w:hAnsi="宋体" w:cs="宋体"/>
          <w:szCs w:val="21"/>
        </w:rPr>
        <w:t>-</w:t>
      </w:r>
      <w:r>
        <w:rPr>
          <w:rFonts w:hint="eastAsia" w:ascii="宋体" w:hAnsi="宋体" w:cs="宋体"/>
          <w:szCs w:val="21"/>
        </w:rPr>
        <w:t>”号记。</w:t>
      </w:r>
    </w:p>
    <w:p>
      <w:pPr>
        <w:snapToGrid w:val="0"/>
        <w:spacing w:line="360" w:lineRule="exact"/>
        <w:ind w:firstLine="420" w:firstLineChars="200"/>
        <w:rPr>
          <w:rFonts w:ascii="宋体" w:cs="宋体"/>
          <w:szCs w:val="21"/>
        </w:rPr>
      </w:pPr>
      <w:r>
        <w:rPr>
          <w:rFonts w:hint="eastAsia" w:ascii="黑体" w:hAnsi="黑体" w:eastAsia="黑体" w:cs="宋体"/>
          <w:szCs w:val="21"/>
        </w:rPr>
        <w:t>其他收益</w:t>
      </w:r>
      <w:r>
        <w:rPr>
          <w:rFonts w:ascii="宋体" w:hAnsi="宋体" w:cs="宋体"/>
          <w:szCs w:val="21"/>
        </w:rPr>
        <w:t xml:space="preserve">  </w:t>
      </w:r>
      <w:r>
        <w:rPr>
          <w:rFonts w:hint="eastAsia" w:ascii="宋体" w:hAnsi="宋体" w:cs="宋体"/>
          <w:szCs w:val="21"/>
        </w:rPr>
        <w:t>指计入其他收益的政府补助，以及其他与日常活动相关且计入其他收益的项目。根据会计“利润表”中“其他收益”项目的本年累计数填报。如果会计“利润表”未设置该项目，填</w:t>
      </w:r>
      <w:r>
        <w:rPr>
          <w:rFonts w:ascii="宋体" w:cs="宋体"/>
          <w:szCs w:val="21"/>
        </w:rPr>
        <w:t>0</w:t>
      </w:r>
      <w:r>
        <w:rPr>
          <w:rFonts w:hint="eastAsia" w:ascii="宋体" w:hAnsi="宋体" w:cs="宋体"/>
          <w:szCs w:val="21"/>
        </w:rPr>
        <w:t>。</w:t>
      </w:r>
    </w:p>
    <w:p>
      <w:pPr>
        <w:snapToGrid w:val="0"/>
        <w:spacing w:line="360" w:lineRule="exact"/>
        <w:ind w:firstLine="420" w:firstLineChars="200"/>
        <w:rPr>
          <w:rFonts w:ascii="宋体" w:cs="宋体"/>
          <w:szCs w:val="21"/>
        </w:rPr>
      </w:pPr>
      <w:r>
        <w:rPr>
          <w:rFonts w:hint="eastAsia" w:ascii="黑体" w:hAnsi="宋体" w:eastAsia="黑体" w:cs="黑体"/>
          <w:szCs w:val="21"/>
        </w:rPr>
        <w:t>营业利润</w:t>
      </w:r>
      <w:r>
        <w:rPr>
          <w:rFonts w:ascii="宋体" w:hAnsi="宋体" w:cs="宋体"/>
          <w:szCs w:val="21"/>
        </w:rPr>
        <w:t xml:space="preserve">  </w:t>
      </w:r>
      <w:r>
        <w:rPr>
          <w:rFonts w:hint="eastAsia" w:ascii="宋体" w:hAnsi="宋体" w:cs="宋体"/>
          <w:szCs w:val="21"/>
        </w:rPr>
        <w:t>指企业从事生产经营活动所取得的利润。执行《企业会计准则》或《小企业会计准则》的企业，根据会计“利润表”中“营业利润”项目的本年累计数填报；执行《企业会计制度》的企业，根据会计“损益表”中“营业利润”项目、“投资收益”项目的本年累计数之和填报。</w:t>
      </w:r>
    </w:p>
    <w:p>
      <w:pPr>
        <w:snapToGrid w:val="0"/>
        <w:spacing w:line="360" w:lineRule="exact"/>
        <w:ind w:firstLine="420" w:firstLineChars="200"/>
        <w:rPr>
          <w:rFonts w:ascii="宋体" w:cs="宋体"/>
          <w:szCs w:val="21"/>
        </w:rPr>
      </w:pPr>
      <w:r>
        <w:rPr>
          <w:rFonts w:hint="eastAsia" w:ascii="黑体" w:hAnsi="宋体" w:eastAsia="黑体" w:cs="黑体"/>
          <w:szCs w:val="21"/>
        </w:rPr>
        <w:t>营业外收入</w:t>
      </w:r>
      <w:r>
        <w:rPr>
          <w:rFonts w:ascii="宋体" w:hAnsi="宋体" w:cs="宋体"/>
          <w:szCs w:val="21"/>
        </w:rPr>
        <w:t xml:space="preserve">  </w:t>
      </w:r>
      <w:r>
        <w:rPr>
          <w:rFonts w:hint="eastAsia" w:ascii="宋体" w:hAnsi="宋体" w:cs="宋体"/>
          <w:szCs w:val="21"/>
        </w:rPr>
        <w:t>指企业发生的除营业利润以外的收益，主要包括与企业日常活动无关的政府补助、盘盈利得、捐赠利得等。执行《企业会计准则》或《小企业会计准则》的企业，根据会计“利润表”中“营业外收入”项目的本年累计数填报；执行《企业会计制度》的企业，根据会计“损益表”中“营业外收入”项目、“补贴收入</w:t>
      </w:r>
      <w:r>
        <w:rPr>
          <w:rFonts w:hint="eastAsia" w:ascii="宋体" w:cs="宋体"/>
          <w:szCs w:val="21"/>
        </w:rPr>
        <w:t>”</w:t>
      </w:r>
      <w:r>
        <w:rPr>
          <w:rFonts w:hint="eastAsia" w:ascii="宋体" w:hAnsi="宋体" w:cs="宋体"/>
          <w:szCs w:val="21"/>
        </w:rPr>
        <w:t>项目的本年累计数之和填报。</w:t>
      </w:r>
    </w:p>
    <w:p>
      <w:pPr>
        <w:snapToGrid w:val="0"/>
        <w:spacing w:line="360" w:lineRule="exact"/>
        <w:ind w:firstLine="420" w:firstLineChars="200"/>
        <w:rPr>
          <w:rFonts w:ascii="宋体" w:hAnsi="Calibri" w:cs="宋体"/>
          <w:szCs w:val="21"/>
        </w:rPr>
      </w:pPr>
      <w:r>
        <w:rPr>
          <w:rFonts w:hint="eastAsia" w:ascii="黑体" w:hAnsi="宋体" w:eastAsia="黑体" w:cs="黑体"/>
          <w:szCs w:val="21"/>
        </w:rPr>
        <w:t>营业外支出</w:t>
      </w:r>
      <w:r>
        <w:rPr>
          <w:rFonts w:ascii="宋体" w:hAnsi="宋体" w:cs="宋体"/>
          <w:szCs w:val="21"/>
        </w:rPr>
        <w:t xml:space="preserve">  </w:t>
      </w:r>
      <w:r>
        <w:rPr>
          <w:rFonts w:hint="eastAsia" w:ascii="宋体" w:hAnsi="宋体" w:cs="宋体"/>
          <w:szCs w:val="21"/>
        </w:rPr>
        <w:t>指企业发生的除营业利润以外的支出，主要包括公益性捐赠支出、非常损失、盘亏损失、非流动资产毁损报废损失等。根据会计“利润表”中“营业外支出”项目的本年累计数填报。</w:t>
      </w:r>
    </w:p>
    <w:p>
      <w:pPr>
        <w:snapToGrid w:val="0"/>
        <w:spacing w:line="360" w:lineRule="exact"/>
        <w:ind w:firstLine="396" w:firstLineChars="189"/>
        <w:rPr>
          <w:rFonts w:ascii="宋体" w:hAnsi="Calibri" w:cs="宋体"/>
          <w:szCs w:val="21"/>
        </w:rPr>
      </w:pPr>
      <w:r>
        <w:rPr>
          <w:rFonts w:hint="eastAsia" w:ascii="黑体" w:hAnsi="宋体" w:eastAsia="黑体" w:cs="黑体"/>
          <w:szCs w:val="21"/>
        </w:rPr>
        <w:t>利润总额</w:t>
      </w:r>
      <w:r>
        <w:rPr>
          <w:rFonts w:ascii="宋体" w:hAnsi="宋体" w:cs="宋体"/>
          <w:szCs w:val="21"/>
        </w:rPr>
        <w:t xml:space="preserve">  </w:t>
      </w:r>
      <w:r>
        <w:rPr>
          <w:rFonts w:hint="eastAsia" w:ascii="宋体" w:hAnsi="宋体" w:cs="宋体"/>
          <w:szCs w:val="21"/>
        </w:rPr>
        <w:t>指企业在一定会计期间的经营成果，是生产经营过程中各种收入扣除各种耗费后的盈余，反映企业在报告期内实现的盈亏总额。利润总额为营业利润加上营业外收入，减去营业外支出后的金额，根据会计“利润表”中“利润总额”项目的本年累计数填报。</w:t>
      </w:r>
    </w:p>
    <w:p>
      <w:pPr>
        <w:snapToGrid w:val="0"/>
        <w:spacing w:line="360" w:lineRule="exact"/>
        <w:ind w:firstLine="420" w:firstLineChars="200"/>
        <w:rPr>
          <w:rFonts w:ascii="宋体" w:cs="宋体"/>
          <w:kern w:val="0"/>
          <w:szCs w:val="21"/>
        </w:rPr>
      </w:pPr>
      <w:r>
        <w:rPr>
          <w:rFonts w:hint="eastAsia" w:ascii="黑体" w:hAnsi="宋体" w:eastAsia="黑体" w:cs="黑体"/>
          <w:szCs w:val="21"/>
        </w:rPr>
        <w:t>所得税费用</w:t>
      </w:r>
      <w:r>
        <w:rPr>
          <w:rFonts w:ascii="宋体" w:hAnsi="宋体" w:cs="宋体"/>
          <w:szCs w:val="21"/>
        </w:rPr>
        <w:t xml:space="preserve">  </w:t>
      </w:r>
      <w:r>
        <w:rPr>
          <w:rFonts w:hint="eastAsia" w:ascii="宋体" w:hAnsi="宋体" w:cs="宋体"/>
          <w:szCs w:val="21"/>
        </w:rPr>
        <w:t>所得税费用由两部分组成：当期所得税和递延所得税。当期所得税是指企业按照税法规定计算确定的针对当期发生的交易和事项，应交纳给税务部门的所得税金额，即应交所得税。递延所得税是指按照所得税准则规定应予确认的递延所得税资产和递延所得税负债应有的金额相对于原已确认金额之间的差异。执行《企业会计准则》或《小企业会计准则》的企业，根据会计“利润表”中“所得税费用”项目的本年累计数填报；执行《企业会计制度》的企业，根据会计“损益表”中“所得税”项目的本年累计数填报</w:t>
      </w:r>
      <w:r>
        <w:rPr>
          <w:rFonts w:hint="eastAsia" w:ascii="宋体" w:hAnsi="宋体" w:cs="宋体"/>
          <w:kern w:val="0"/>
          <w:szCs w:val="21"/>
        </w:rPr>
        <w:t>。</w:t>
      </w:r>
    </w:p>
    <w:p>
      <w:pPr>
        <w:snapToGrid w:val="0"/>
        <w:spacing w:before="480" w:beforeLines="200" w:after="240" w:afterLines="100"/>
        <w:ind w:firstLine="560" w:firstLineChars="200"/>
        <w:jc w:val="left"/>
        <w:outlineLvl w:val="9"/>
        <w:rPr>
          <w:rFonts w:hint="eastAsia" w:ascii="宋体"/>
          <w:sz w:val="28"/>
          <w:szCs w:val="28"/>
        </w:rPr>
      </w:pPr>
      <w:r>
        <w:rPr>
          <w:rFonts w:ascii="宋体" w:hAnsi="宋体"/>
          <w:sz w:val="28"/>
          <w:szCs w:val="28"/>
        </w:rPr>
        <w:t>3.</w:t>
      </w:r>
      <w:r>
        <w:rPr>
          <w:rFonts w:hint="eastAsia" w:ascii="宋体" w:hAnsi="宋体"/>
          <w:sz w:val="28"/>
          <w:szCs w:val="28"/>
        </w:rPr>
        <w:t>制造成本</w:t>
      </w:r>
    </w:p>
    <w:p>
      <w:pPr>
        <w:autoSpaceDE w:val="0"/>
        <w:autoSpaceDN w:val="0"/>
        <w:adjustRightInd w:val="0"/>
        <w:snapToGrid w:val="0"/>
        <w:spacing w:line="360" w:lineRule="exact"/>
        <w:ind w:firstLine="420" w:firstLineChars="200"/>
        <w:jc w:val="left"/>
        <w:rPr>
          <w:rFonts w:ascii="宋体" w:cs="宋体"/>
          <w:szCs w:val="21"/>
        </w:rPr>
      </w:pPr>
      <w:r>
        <w:rPr>
          <w:rFonts w:hint="eastAsia" w:ascii="黑体" w:hAnsi="宋体" w:eastAsia="黑体" w:cs="黑体"/>
          <w:szCs w:val="21"/>
        </w:rPr>
        <w:t>制造成本</w:t>
      </w:r>
      <w:r>
        <w:rPr>
          <w:rFonts w:ascii="宋体" w:hAnsi="宋体" w:cs="宋体"/>
          <w:szCs w:val="21"/>
        </w:rPr>
        <w:t xml:space="preserve">  </w:t>
      </w:r>
      <w:r>
        <w:rPr>
          <w:rFonts w:hint="eastAsia" w:ascii="宋体" w:hAnsi="宋体" w:cs="宋体"/>
          <w:szCs w:val="21"/>
        </w:rPr>
        <w:t>指企业在生产过程中实际消耗的直接材料、直接人工和制造费用等。根据“生产成本”会计科目本年借方累计发生额，并按“产品制造成本跟着产值走”原则调整后填报，详见“财务状况（成本费用）”表填报原则和说明。</w:t>
      </w:r>
    </w:p>
    <w:p>
      <w:pPr>
        <w:snapToGrid w:val="0"/>
        <w:spacing w:line="360" w:lineRule="exact"/>
        <w:ind w:firstLine="420" w:firstLineChars="200"/>
        <w:rPr>
          <w:rFonts w:ascii="黑体" w:eastAsia="黑体"/>
          <w:kern w:val="0"/>
          <w:szCs w:val="21"/>
          <w:u w:val="single"/>
        </w:rPr>
      </w:pPr>
      <w:r>
        <w:rPr>
          <w:rFonts w:hint="eastAsia" w:ascii="黑体" w:eastAsia="黑体" w:cs="黑体"/>
          <w:kern w:val="0"/>
          <w:szCs w:val="21"/>
          <w:u w:val="single"/>
        </w:rPr>
        <w:t>制造成本中的：</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直接材料消耗</w:t>
      </w:r>
      <w:r>
        <w:rPr>
          <w:rFonts w:ascii="宋体" w:hAnsi="宋体" w:cs="宋体"/>
          <w:szCs w:val="21"/>
        </w:rPr>
        <w:t xml:space="preserve">  </w:t>
      </w:r>
      <w:r>
        <w:rPr>
          <w:rFonts w:hint="eastAsia" w:ascii="宋体" w:cs="宋体"/>
          <w:kern w:val="0"/>
          <w:szCs w:val="21"/>
        </w:rPr>
        <w:t>指企业在生产产品过程中所消耗的、直接用于产品生产并构成产品实体的原料及主要原材料、燃料和动力、包装物、外购半成品、修理用备件（备品配件）和其他直接材料。直接材料消耗价值量按不含进项税的购进价格计算。购进价格由下列各项组成：买价；运杂费（包括运输费、装卸费、保险费、包装费、仓库费等）；运输途中的合理损耗；入库前的整理挑选费用（包括整理挑选中发生工、费支出和必要的损耗，并扣除回收的下脚废料价值）；购入材料负担的税金（指进项税以外的其他应负担的税金）；外汇价差和其他费用。</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生产部门人员薪酬</w:t>
      </w:r>
      <w:r>
        <w:rPr>
          <w:rFonts w:ascii="宋体" w:hAnsi="宋体" w:cs="宋体"/>
          <w:szCs w:val="21"/>
        </w:rPr>
        <w:t xml:space="preserve">  </w:t>
      </w:r>
      <w:r>
        <w:rPr>
          <w:rFonts w:hint="eastAsia" w:ascii="宋体" w:cs="宋体"/>
          <w:kern w:val="0"/>
          <w:szCs w:val="21"/>
        </w:rPr>
        <w:t>指</w:t>
      </w:r>
      <w:r>
        <w:rPr>
          <w:rFonts w:ascii="宋体" w:cs="宋体"/>
          <w:kern w:val="0"/>
          <w:szCs w:val="21"/>
        </w:rPr>
        <w:t>企业生产制造部门</w:t>
      </w:r>
      <w:r>
        <w:rPr>
          <w:rFonts w:hint="eastAsia" w:ascii="宋体" w:cs="宋体"/>
          <w:kern w:val="0"/>
          <w:szCs w:val="21"/>
        </w:rPr>
        <w:t>因生产产品或提供劳务而发生</w:t>
      </w:r>
      <w:r>
        <w:rPr>
          <w:rFonts w:ascii="宋体" w:cs="宋体"/>
          <w:kern w:val="0"/>
          <w:szCs w:val="21"/>
        </w:rPr>
        <w:t>的与劳动者报酬相关的费用支出</w:t>
      </w:r>
      <w:r>
        <w:rPr>
          <w:rFonts w:hint="eastAsia" w:ascii="宋体" w:cs="宋体"/>
          <w:kern w:val="0"/>
          <w:szCs w:val="21"/>
        </w:rPr>
        <w:t>，包括生产部门人员（包括直接从事产品生产的工人及生产车间管理人员，含劳务派遣人员）工资、奖金、津贴和补贴，福利费，社保费，住房公积金等。</w:t>
      </w:r>
      <w:r>
        <w:rPr>
          <w:rFonts w:hint="eastAsia" w:ascii="宋体" w:hAnsi="宋体" w:cs="宋体"/>
          <w:szCs w:val="21"/>
        </w:rPr>
        <w:t>根据“生产成本”会计科目劳动者报酬相关明细科目本年借方累计发生额分析填报。如果本指标的上级指标“制造成本”已按“产品制造成本跟着产值走”原则进行调整，且调整内容与劳动者报酬有关，则本指标也相应调整。</w:t>
      </w:r>
    </w:p>
    <w:p>
      <w:pPr>
        <w:snapToGrid w:val="0"/>
        <w:spacing w:before="480" w:beforeLines="200" w:after="240" w:afterLines="100"/>
        <w:ind w:firstLine="560" w:firstLineChars="200"/>
        <w:jc w:val="left"/>
        <w:outlineLvl w:val="9"/>
        <w:rPr>
          <w:rFonts w:ascii="宋体"/>
          <w:sz w:val="28"/>
          <w:szCs w:val="28"/>
        </w:rPr>
      </w:pPr>
      <w:r>
        <w:rPr>
          <w:rFonts w:ascii="宋体" w:hAnsi="宋体"/>
          <w:sz w:val="28"/>
          <w:szCs w:val="28"/>
        </w:rPr>
        <w:t>4</w:t>
      </w:r>
      <w:r>
        <w:rPr>
          <w:rFonts w:ascii="宋体"/>
          <w:sz w:val="28"/>
          <w:szCs w:val="28"/>
        </w:rPr>
        <w:t>.</w:t>
      </w:r>
      <w:r>
        <w:rPr>
          <w:rFonts w:hint="eastAsia" w:ascii="宋体" w:hAnsi="宋体"/>
          <w:sz w:val="28"/>
          <w:szCs w:val="28"/>
        </w:rPr>
        <w:t>人工成本、其他费用及增值税</w:t>
      </w:r>
    </w:p>
    <w:p>
      <w:pPr>
        <w:snapToGrid w:val="0"/>
        <w:spacing w:line="360" w:lineRule="exact"/>
        <w:ind w:firstLine="420" w:firstLineChars="200"/>
        <w:rPr>
          <w:rFonts w:ascii="宋体" w:cs="宋体"/>
          <w:kern w:val="0"/>
          <w:szCs w:val="21"/>
        </w:rPr>
      </w:pPr>
      <w:r>
        <w:rPr>
          <w:rFonts w:hint="eastAsia" w:ascii="黑体" w:hAnsi="宋体" w:eastAsia="黑体" w:cs="黑体"/>
          <w:szCs w:val="21"/>
        </w:rPr>
        <w:t>应付职工薪酬（本年贷方累计发生额）</w:t>
      </w:r>
      <w:r>
        <w:rPr>
          <w:rFonts w:ascii="黑体" w:hAnsi="宋体" w:eastAsia="黑体" w:cs="黑体"/>
          <w:szCs w:val="21"/>
        </w:rPr>
        <w:t xml:space="preserve">  </w:t>
      </w:r>
      <w:r>
        <w:rPr>
          <w:rFonts w:hint="eastAsia" w:ascii="宋体" w:cs="宋体"/>
          <w:kern w:val="0"/>
          <w:szCs w:val="21"/>
        </w:rPr>
        <w:t>指企业为获得职工提供的服务或解除劳动关系而给予的各种形式的报酬或补偿。包括职工工资、奖金、津贴和补贴，职工福利费，医疗保险费、养老保险费、失业保险费、工伤保险费和生育保险费等社会保险费，住房公积金，工会经费和职工教育经费，带薪缺勤，利润分享计划，非货币性福利，辞退福利和其他为获得职工提供的服务而给予的报酬或补偿。</w:t>
      </w:r>
    </w:p>
    <w:p>
      <w:pPr>
        <w:snapToGrid w:val="0"/>
        <w:spacing w:line="360" w:lineRule="exact"/>
        <w:ind w:firstLine="420" w:firstLineChars="200"/>
        <w:rPr>
          <w:rFonts w:hint="eastAsia" w:ascii="宋体" w:cs="宋体"/>
          <w:kern w:val="0"/>
          <w:szCs w:val="21"/>
        </w:rPr>
      </w:pPr>
      <w:r>
        <w:rPr>
          <w:rFonts w:hint="eastAsia" w:ascii="宋体" w:cs="宋体"/>
          <w:kern w:val="0"/>
          <w:szCs w:val="21"/>
        </w:rPr>
        <w:t>“应付职工薪酬”应包含“劳务派遣人员薪酬”。如果企业没有劳务派遣人员或“应付职工薪酬”会计科目核算范围已包含“劳务派遣人员薪酬”，但不设置明细科目单独核算，而是按类别拆分，分别计入“应付职工薪酬”会计科目下的工资、奖金、津贴和补贴、福利费等明细科目，执行《企业会计准则》或《小企业会计准则》的企业，根据财务报告“应付职工薪酬列示”合计项本期增加额，或会计“应付职工薪酬”科目本期贷方累计发生额填报；执行</w:t>
      </w:r>
      <w:r>
        <w:rPr>
          <w:rFonts w:hint="eastAsia" w:ascii="宋体" w:hAnsi="宋体" w:cs="宋体"/>
          <w:szCs w:val="21"/>
        </w:rPr>
        <w:t>《企业会计制度》</w:t>
      </w:r>
      <w:r>
        <w:rPr>
          <w:rFonts w:hint="eastAsia" w:ascii="宋体" w:cs="宋体"/>
          <w:kern w:val="0"/>
          <w:szCs w:val="21"/>
        </w:rPr>
        <w:t>的企业或“应付职工薪酬”科目内容与统计口径不一致的，需按统计口径归并填报。如果企业“应付职工薪酬”会计科目的核算范围不包含“劳务派遣人员薪酬”，则应加“劳务派遣人员薪酬”后填报“应付职工薪酬”统计指标。“劳务派遣人员薪酬”不含因使用劳务派遣人员而支付的管理费用和其他用工成本。</w:t>
      </w:r>
    </w:p>
    <w:p>
      <w:pPr>
        <w:snapToGrid w:val="0"/>
        <w:spacing w:line="360" w:lineRule="exact"/>
        <w:ind w:firstLine="420" w:firstLineChars="200"/>
        <w:rPr>
          <w:rFonts w:hint="eastAsia" w:ascii="宋体" w:cs="宋体"/>
          <w:kern w:val="0"/>
          <w:szCs w:val="21"/>
        </w:rPr>
      </w:pPr>
      <w:r>
        <w:rPr>
          <w:rFonts w:hint="eastAsia" w:ascii="宋体" w:cs="宋体"/>
          <w:kern w:val="0"/>
          <w:szCs w:val="21"/>
        </w:rPr>
        <w:t>无论用工单位是否直接支付劳动报酬，“劳务派遣人员薪酬”均由实际用工法人单位（派遣人员使用方）填报，而劳务派遣单位（派遣人员派出方）不填报。劳务外包人员薪酬由劳务承包法人单位（外包人员派出方）填报，劳务发包法人单位（外包人员使用方）不填报。</w:t>
      </w:r>
    </w:p>
    <w:p>
      <w:pPr>
        <w:adjustRightInd w:val="0"/>
        <w:snapToGrid w:val="0"/>
        <w:spacing w:line="360" w:lineRule="exact"/>
        <w:ind w:firstLine="420" w:firstLineChars="200"/>
        <w:rPr>
          <w:rFonts w:hint="eastAsia" w:ascii="黑体" w:cs="黑体"/>
          <w:kern w:val="0"/>
          <w:szCs w:val="21"/>
        </w:rPr>
      </w:pPr>
      <w:r>
        <w:rPr>
          <w:rFonts w:hint="eastAsia" w:ascii="黑体" w:eastAsia="黑体" w:cs="黑体"/>
          <w:kern w:val="0"/>
          <w:szCs w:val="21"/>
        </w:rPr>
        <w:t>工资、奖金、津贴和补贴</w:t>
      </w:r>
      <w:r>
        <w:rPr>
          <w:rFonts w:ascii="宋体" w:cs="宋体"/>
          <w:kern w:val="0"/>
          <w:szCs w:val="21"/>
        </w:rPr>
        <w:t xml:space="preserve">  </w:t>
      </w:r>
      <w:r>
        <w:rPr>
          <w:rFonts w:hint="eastAsia" w:ascii="宋体" w:cs="宋体"/>
          <w:kern w:val="0"/>
          <w:szCs w:val="21"/>
        </w:rPr>
        <w:t>指企业支付给职工的计时工资、计件工资、超额劳动报酬，为了补偿职工特殊或额外的劳动消耗和因其他特殊原因而支付给职工的津贴，以及为了保证职工工资水平不受物价影响而支付给职工的物价补贴等。如果企业财务报告附注中包含“应付职工薪酬”项目，则根据其“短期薪酬列示”部分的“工资、奖金、津贴和补贴”项目的本期增加额填报；或者，根据会计“应付职工薪酬”科目相关明细科目填报。</w:t>
      </w:r>
    </w:p>
    <w:p>
      <w:pPr>
        <w:adjustRightInd w:val="0"/>
        <w:snapToGrid w:val="0"/>
        <w:spacing w:line="360" w:lineRule="exact"/>
        <w:ind w:firstLine="420" w:firstLineChars="200"/>
        <w:rPr>
          <w:rFonts w:ascii="宋体"/>
          <w:kern w:val="0"/>
          <w:szCs w:val="21"/>
        </w:rPr>
      </w:pPr>
      <w:r>
        <w:rPr>
          <w:rFonts w:hint="eastAsia" w:ascii="黑体" w:eastAsia="黑体" w:cs="黑体"/>
          <w:kern w:val="0"/>
          <w:szCs w:val="21"/>
        </w:rPr>
        <w:t>福利费</w:t>
      </w:r>
      <w:r>
        <w:rPr>
          <w:rFonts w:ascii="宋体"/>
          <w:kern w:val="0"/>
          <w:szCs w:val="21"/>
        </w:rPr>
        <w:t xml:space="preserve">  </w:t>
      </w:r>
      <w:r>
        <w:rPr>
          <w:rFonts w:hint="eastAsia" w:ascii="宋体"/>
          <w:kern w:val="0"/>
          <w:szCs w:val="21"/>
        </w:rPr>
        <w:t>指企业向职工提供的生活困难补助、丧葬补助费、抚恤费、职工异地安家费、防暑降温费等职工福利支出。</w:t>
      </w:r>
      <w:r>
        <w:rPr>
          <w:rFonts w:hint="eastAsia" w:ascii="宋体" w:cs="宋体"/>
          <w:kern w:val="0"/>
          <w:szCs w:val="21"/>
        </w:rPr>
        <w:t>如果企业财务报告附注中包含“应付职工薪酬”项目，则根据其“短期薪酬列示”部分的“职工福利费”项目的本期增加额填报；或者，根据会计“应付职工薪酬”科目相关明细科目填报。</w:t>
      </w:r>
    </w:p>
    <w:p>
      <w:pPr>
        <w:adjustRightInd w:val="0"/>
        <w:snapToGrid w:val="0"/>
        <w:spacing w:line="360" w:lineRule="exact"/>
        <w:ind w:firstLine="420" w:firstLineChars="200"/>
        <w:rPr>
          <w:rFonts w:ascii="黑体" w:cs="黑体"/>
          <w:kern w:val="0"/>
          <w:szCs w:val="21"/>
        </w:rPr>
      </w:pPr>
      <w:r>
        <w:rPr>
          <w:rFonts w:hint="eastAsia" w:ascii="黑体" w:eastAsia="黑体" w:cs="黑体"/>
          <w:kern w:val="0"/>
          <w:szCs w:val="21"/>
        </w:rPr>
        <w:t>社保费</w:t>
      </w:r>
      <w:r>
        <w:rPr>
          <w:rFonts w:ascii="黑体" w:eastAsia="黑体" w:cs="黑体"/>
          <w:kern w:val="0"/>
          <w:szCs w:val="21"/>
        </w:rPr>
        <w:t xml:space="preserve">  </w:t>
      </w:r>
      <w:r>
        <w:rPr>
          <w:rFonts w:hint="eastAsia" w:ascii="宋体" w:cs="宋体"/>
          <w:kern w:val="0"/>
          <w:szCs w:val="21"/>
        </w:rPr>
        <w:t>指企业按照国家规定的基准和比例计算，向社会保险经办机构缴存的医疗保险费、养老保险费、失业保险费、工伤保险费和生育保险费等社会保险费。如果企业财务报告附注中包含“应付职工薪酬”项目，则根据其“短期薪酬列示”部分的“社会保险费”项目的本期增加额，加“设定提存计划列示”部分的“基本养老保险费”“失业保险费”项目的本期增加额后填报；或者，根据会计“应付职工薪酬”科目相关明细科目填报。本指标填报企业缴纳的社保费；个人负担的社保费已包含在企业的“工资、奖金、津贴和补贴”会计报表项目及会计科目中，并体现在相应指标中。</w:t>
      </w:r>
    </w:p>
    <w:p>
      <w:pPr>
        <w:adjustRightInd w:val="0"/>
        <w:snapToGrid w:val="0"/>
        <w:spacing w:line="360" w:lineRule="exact"/>
        <w:ind w:firstLine="420" w:firstLineChars="200"/>
        <w:rPr>
          <w:rFonts w:ascii="宋体"/>
          <w:kern w:val="0"/>
          <w:szCs w:val="21"/>
        </w:rPr>
      </w:pPr>
      <w:r>
        <w:rPr>
          <w:rFonts w:hint="eastAsia" w:ascii="黑体" w:eastAsia="黑体" w:cs="黑体"/>
          <w:kern w:val="0"/>
          <w:szCs w:val="21"/>
        </w:rPr>
        <w:t>住房公积金</w:t>
      </w:r>
      <w:r>
        <w:rPr>
          <w:rFonts w:ascii="黑体" w:eastAsia="黑体" w:cs="黑体"/>
          <w:kern w:val="0"/>
          <w:szCs w:val="21"/>
        </w:rPr>
        <w:t xml:space="preserve">  </w:t>
      </w:r>
      <w:r>
        <w:rPr>
          <w:rFonts w:hint="eastAsia" w:ascii="宋体"/>
          <w:kern w:val="0"/>
          <w:szCs w:val="21"/>
        </w:rPr>
        <w:t>指企业按照国家规定的基准和比例计算，向住房公积金管理机构缴存的住房公积金</w:t>
      </w:r>
      <w:r>
        <w:rPr>
          <w:rFonts w:hint="eastAsia" w:ascii="宋体" w:cs="宋体"/>
          <w:kern w:val="0"/>
          <w:szCs w:val="21"/>
        </w:rPr>
        <w:t>。如果企业财务报告附注中包含“应付职工薪酬”项目，则根据其“短期薪酬列示”部分的“住房公积金”项目的本期增加额填报；或者，根据会计“应付职工薪酬”科目相关明细科目填报。本指标填报企业缴纳的住房公积金；个人负担的住房公积金已包含在企业的“工资、奖金、津贴和补贴”会计报表项目及会计科目中，并体现在相应指标中。</w:t>
      </w:r>
    </w:p>
    <w:p>
      <w:pPr>
        <w:autoSpaceDE w:val="0"/>
        <w:autoSpaceDN w:val="0"/>
        <w:adjustRightInd w:val="0"/>
        <w:snapToGrid w:val="0"/>
        <w:spacing w:line="360" w:lineRule="exact"/>
        <w:ind w:firstLine="420" w:firstLineChars="200"/>
        <w:jc w:val="left"/>
        <w:rPr>
          <w:rFonts w:hint="eastAsia" w:ascii="宋体" w:hAnsi="宋体" w:cs="宋体"/>
          <w:szCs w:val="21"/>
        </w:rPr>
      </w:pPr>
      <w:r>
        <w:rPr>
          <w:rFonts w:hint="eastAsia" w:ascii="黑体" w:eastAsia="黑体" w:cs="黑体"/>
          <w:kern w:val="0"/>
          <w:szCs w:val="21"/>
        </w:rPr>
        <w:t>工会经费</w:t>
      </w:r>
      <w:r>
        <w:rPr>
          <w:rFonts w:ascii="黑体" w:eastAsia="黑体" w:cs="黑体"/>
          <w:kern w:val="0"/>
          <w:szCs w:val="21"/>
        </w:rPr>
        <w:t xml:space="preserve">  </w:t>
      </w:r>
      <w:r>
        <w:rPr>
          <w:rFonts w:hint="eastAsia" w:ascii="宋体" w:hAnsi="宋体" w:cs="宋体"/>
          <w:kern w:val="0"/>
          <w:szCs w:val="21"/>
        </w:rPr>
        <w:t>指企业按职工工资总额（扣除按规定标准发放的住房补贴，下同）的2%计提并拨交给工会使用的经费。根据会计“应付职工薪酬”科目相关明细科目分析填报；或者，</w:t>
      </w:r>
      <w:r>
        <w:rPr>
          <w:rFonts w:hint="eastAsia" w:ascii="宋体" w:hAnsi="宋体" w:cs="宋体"/>
          <w:szCs w:val="21"/>
        </w:rPr>
        <w:t>根据会计“管理费用——工会经费”相关科目分析填报。</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职工教育经费</w:t>
      </w:r>
      <w:r>
        <w:rPr>
          <w:rFonts w:ascii="黑体" w:eastAsia="黑体" w:cs="黑体"/>
          <w:kern w:val="0"/>
          <w:szCs w:val="21"/>
        </w:rPr>
        <w:t xml:space="preserve">  </w:t>
      </w:r>
      <w:r>
        <w:rPr>
          <w:rFonts w:hint="eastAsia" w:ascii="宋体" w:cs="宋体"/>
          <w:kern w:val="0"/>
          <w:szCs w:val="21"/>
        </w:rPr>
        <w:t>指企业按职工工资总额的一定比例提取的，用于职工学习先进技术和提高文化水平的费用。根据会计“应付职工薪酬”科目相关明细科目</w:t>
      </w:r>
      <w:r>
        <w:rPr>
          <w:rFonts w:hint="eastAsia" w:ascii="宋体" w:hAnsi="宋体" w:cs="宋体"/>
          <w:szCs w:val="21"/>
        </w:rPr>
        <w:t>分析</w:t>
      </w:r>
      <w:r>
        <w:rPr>
          <w:rFonts w:hint="eastAsia" w:ascii="宋体" w:cs="宋体"/>
          <w:kern w:val="0"/>
          <w:szCs w:val="21"/>
        </w:rPr>
        <w:t>填报；或者，</w:t>
      </w:r>
      <w:r>
        <w:rPr>
          <w:rFonts w:hint="eastAsia" w:cs="宋体"/>
          <w:szCs w:val="21"/>
        </w:rPr>
        <w:t>根据会计“管理费用”相关明细科目</w:t>
      </w:r>
      <w:r>
        <w:rPr>
          <w:rFonts w:hint="eastAsia" w:ascii="宋体" w:hAnsi="宋体" w:cs="宋体"/>
          <w:szCs w:val="21"/>
        </w:rPr>
        <w:t>分析填报</w:t>
      </w:r>
      <w:r>
        <w:rPr>
          <w:rFonts w:hint="eastAsia" w:cs="宋体"/>
          <w:szCs w:val="21"/>
        </w:rPr>
        <w:t>。</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劳务派遣人员薪酬</w:t>
      </w:r>
      <w:r>
        <w:rPr>
          <w:rFonts w:ascii="宋体"/>
          <w:kern w:val="0"/>
          <w:szCs w:val="21"/>
        </w:rPr>
        <w:t xml:space="preserve">  </w:t>
      </w:r>
      <w:r>
        <w:rPr>
          <w:rFonts w:hint="eastAsia" w:ascii="宋体"/>
          <w:kern w:val="0"/>
          <w:szCs w:val="21"/>
        </w:rPr>
        <w:t>指企业（实际用工单位）在一定时期内直接或通过劳务派遣公司支付给劳务派遣人员的劳动报酬总额。包括工资、奖金、津贴和补贴、福利费、社保费、住房公积金等，但不包括因使用劳务派遣人员而支付的管理费用和其他用工成本。</w:t>
      </w:r>
      <w:r>
        <w:rPr>
          <w:rFonts w:hint="eastAsia" w:ascii="宋体" w:cs="宋体"/>
          <w:kern w:val="0"/>
          <w:szCs w:val="21"/>
        </w:rPr>
        <w:t>如果“劳务派遣人员薪酬”已按类别拆分并分别计入“应付职工薪酬”会计科目下的工资、奖金、津贴和补贴、福利费等明细科目，则本指标填</w:t>
      </w:r>
      <w:r>
        <w:rPr>
          <w:rFonts w:ascii="宋体" w:cs="宋体"/>
          <w:kern w:val="0"/>
          <w:szCs w:val="21"/>
        </w:rPr>
        <w:t>0</w:t>
      </w:r>
      <w:r>
        <w:rPr>
          <w:rFonts w:hint="eastAsia" w:ascii="宋体" w:cs="宋体"/>
          <w:kern w:val="0"/>
          <w:szCs w:val="21"/>
        </w:rPr>
        <w:t>，避免与其他职工薪酬项目重复。</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其他职工薪酬</w:t>
      </w:r>
      <w:r>
        <w:rPr>
          <w:rFonts w:ascii="宋体" w:cs="宋体"/>
          <w:kern w:val="0"/>
          <w:szCs w:val="21"/>
        </w:rPr>
        <w:t xml:space="preserve">  </w:t>
      </w:r>
      <w:r>
        <w:rPr>
          <w:rFonts w:hint="eastAsia" w:ascii="宋体" w:cs="宋体"/>
          <w:kern w:val="0"/>
          <w:szCs w:val="21"/>
        </w:rPr>
        <w:t>指“应付职工薪酬”中，除工资、奖金、津贴和补贴、福利费、社保费、住房公积金、工会经费、职工教育经费、劳务派遣人员薪酬以外的部分。</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其他属于劳动者报酬的部分</w:t>
      </w:r>
      <w:r>
        <w:rPr>
          <w:rFonts w:ascii="宋体" w:cs="宋体"/>
          <w:kern w:val="0"/>
          <w:szCs w:val="21"/>
        </w:rPr>
        <w:t xml:space="preserve">  </w:t>
      </w:r>
      <w:r>
        <w:rPr>
          <w:rFonts w:hint="eastAsia" w:ascii="宋体" w:cs="宋体"/>
          <w:kern w:val="0"/>
          <w:szCs w:val="21"/>
        </w:rPr>
        <w:t>指“应付职工薪酬”以外的，企业劳动者从事生产经营活动应获得的报酬，既包括货币形式的报酬，也包括实物形式的报酬。包括企业为员工提供的以权益结算的股份支付（如股票期权、限制性股票）、企业零星发生的劳务费等。已计入“应付职工薪酬”的劳动者报酬，不应计入本指标。</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上交政府的各项非税费用</w:t>
      </w:r>
      <w:r>
        <w:rPr>
          <w:rFonts w:ascii="黑体" w:eastAsia="黑体" w:cs="黑体"/>
          <w:kern w:val="0"/>
          <w:szCs w:val="21"/>
        </w:rPr>
        <w:t xml:space="preserve">  </w:t>
      </w:r>
      <w:r>
        <w:rPr>
          <w:rFonts w:hint="eastAsia" w:ascii="宋体" w:cs="宋体"/>
          <w:kern w:val="0"/>
          <w:szCs w:val="21"/>
        </w:rPr>
        <w:t>指企业上交政府部门的税金以外的部分政府性基金。包括</w:t>
      </w:r>
      <w:r>
        <w:rPr>
          <w:rFonts w:hint="eastAsia" w:ascii="宋体"/>
          <w:kern w:val="0"/>
          <w:szCs w:val="21"/>
        </w:rPr>
        <w:t>城市基础设施配套费、</w:t>
      </w:r>
      <w:r>
        <w:rPr>
          <w:rFonts w:hint="eastAsia" w:ascii="宋体" w:cs="宋体"/>
          <w:kern w:val="0"/>
          <w:szCs w:val="21"/>
        </w:rPr>
        <w:t>残疾人就业保障金、森林植被恢复费、废弃电器电子产品处理基金等</w:t>
      </w:r>
      <w:r>
        <w:rPr>
          <w:rFonts w:hint="eastAsia" w:ascii="宋体"/>
          <w:kern w:val="0"/>
          <w:szCs w:val="21"/>
        </w:rPr>
        <w:t>。不包括计入“税金及附加”及电价、水价的</w:t>
      </w:r>
      <w:r>
        <w:rPr>
          <w:rFonts w:hint="eastAsia" w:ascii="宋体" w:cs="宋体"/>
          <w:kern w:val="0"/>
          <w:szCs w:val="21"/>
        </w:rPr>
        <w:t>政府性基金</w:t>
      </w:r>
      <w:r>
        <w:rPr>
          <w:rFonts w:hint="eastAsia" w:ascii="宋体"/>
          <w:kern w:val="0"/>
          <w:szCs w:val="21"/>
        </w:rPr>
        <w:t>。不包括社会保险费。</w:t>
      </w:r>
    </w:p>
    <w:p>
      <w:pPr>
        <w:autoSpaceDE w:val="0"/>
        <w:autoSpaceDN w:val="0"/>
        <w:adjustRightInd w:val="0"/>
        <w:snapToGrid w:val="0"/>
        <w:spacing w:line="360" w:lineRule="exact"/>
        <w:ind w:firstLine="420" w:firstLineChars="200"/>
        <w:jc w:val="left"/>
        <w:rPr>
          <w:rFonts w:ascii="宋体"/>
          <w:kern w:val="0"/>
          <w:szCs w:val="21"/>
        </w:rPr>
      </w:pPr>
      <w:r>
        <w:rPr>
          <w:rFonts w:hint="eastAsia" w:ascii="黑体" w:eastAsia="黑体" w:cs="黑体"/>
          <w:kern w:val="0"/>
          <w:szCs w:val="21"/>
        </w:rPr>
        <w:t>水电费</w:t>
      </w:r>
      <w:r>
        <w:rPr>
          <w:rFonts w:ascii="黑体" w:eastAsia="黑体" w:cs="黑体"/>
          <w:kern w:val="0"/>
          <w:szCs w:val="21"/>
        </w:rPr>
        <w:t xml:space="preserve">  </w:t>
      </w:r>
      <w:r>
        <w:rPr>
          <w:rFonts w:hint="eastAsia" w:ascii="宋体" w:cs="宋体"/>
          <w:kern w:val="0"/>
          <w:szCs w:val="21"/>
        </w:rPr>
        <w:t>指企业支付的用于外购的水费和电费。</w:t>
      </w:r>
    </w:p>
    <w:p>
      <w:pPr>
        <w:autoSpaceDE w:val="0"/>
        <w:autoSpaceDN w:val="0"/>
        <w:adjustRightInd w:val="0"/>
        <w:snapToGrid w:val="0"/>
        <w:spacing w:line="360" w:lineRule="exact"/>
        <w:ind w:firstLine="420" w:firstLineChars="200"/>
        <w:jc w:val="left"/>
        <w:rPr>
          <w:rFonts w:ascii="宋体" w:cs="宋体"/>
          <w:kern w:val="0"/>
          <w:szCs w:val="21"/>
        </w:rPr>
      </w:pPr>
      <w:r>
        <w:rPr>
          <w:rFonts w:hint="eastAsia" w:ascii="黑体" w:eastAsia="黑体" w:cs="黑体"/>
          <w:kern w:val="0"/>
          <w:szCs w:val="21"/>
        </w:rPr>
        <w:t>水电费中上缴的各项税费</w:t>
      </w:r>
      <w:r>
        <w:rPr>
          <w:rFonts w:ascii="黑体" w:eastAsia="黑体" w:cs="黑体"/>
          <w:kern w:val="0"/>
          <w:szCs w:val="21"/>
        </w:rPr>
        <w:t xml:space="preserve">  </w:t>
      </w:r>
      <w:r>
        <w:rPr>
          <w:rFonts w:hint="eastAsia" w:ascii="宋体" w:cs="宋体"/>
          <w:kern w:val="0"/>
          <w:szCs w:val="21"/>
        </w:rPr>
        <w:t>指企业的水电费中包含的代政府部门征收的各种税费，具体包括水费中的水资源费、污水处理费等，电费中的国家重大水利工程建设基金、农网还贷资金、中央水库移民扶持基金、地方水库移民扶持基金等。</w:t>
      </w:r>
    </w:p>
    <w:p>
      <w:pPr>
        <w:autoSpaceDE w:val="0"/>
        <w:autoSpaceDN w:val="0"/>
        <w:adjustRightInd w:val="0"/>
        <w:snapToGrid w:val="0"/>
        <w:spacing w:line="360" w:lineRule="exact"/>
        <w:ind w:firstLine="420" w:firstLineChars="200"/>
        <w:jc w:val="left"/>
        <w:rPr>
          <w:rFonts w:ascii="宋体" w:hAnsi="Calibri"/>
          <w:kern w:val="0"/>
          <w:szCs w:val="21"/>
        </w:rPr>
      </w:pPr>
      <w:r>
        <w:rPr>
          <w:rFonts w:hint="eastAsia" w:ascii="黑体" w:eastAsia="黑体" w:cs="黑体"/>
          <w:kern w:val="0"/>
          <w:szCs w:val="21"/>
        </w:rPr>
        <w:t>差旅费</w:t>
      </w:r>
      <w:r>
        <w:rPr>
          <w:rFonts w:ascii="黑体" w:eastAsia="黑体" w:cs="黑体"/>
          <w:kern w:val="0"/>
          <w:szCs w:val="21"/>
        </w:rPr>
        <w:t xml:space="preserve">  </w:t>
      </w:r>
      <w:r>
        <w:rPr>
          <w:rFonts w:hint="eastAsia" w:ascii="宋体" w:cs="宋体"/>
          <w:kern w:val="0"/>
          <w:szCs w:val="21"/>
        </w:rPr>
        <w:t>指企业各部门发生的差旅费。包括市内公出的交通费和外地出差的差旅费。</w:t>
      </w:r>
      <w:r>
        <w:rPr>
          <w:rFonts w:hint="eastAsia" w:cs="宋体"/>
          <w:szCs w:val="21"/>
        </w:rPr>
        <w:t>根据生产成本、期间费用等会计科目的相关明细科目汇总填报。</w:t>
      </w:r>
    </w:p>
    <w:p>
      <w:pPr>
        <w:spacing w:line="360" w:lineRule="exact"/>
        <w:ind w:firstLine="420" w:firstLineChars="200"/>
        <w:rPr>
          <w:rFonts w:hint="eastAsia" w:ascii="宋体" w:cs="宋体"/>
          <w:kern w:val="0"/>
          <w:szCs w:val="21"/>
        </w:rPr>
      </w:pPr>
      <w:r>
        <w:rPr>
          <w:rFonts w:hint="eastAsia" w:ascii="黑体" w:hAnsi="宋体" w:eastAsia="黑体" w:cs="黑体"/>
          <w:szCs w:val="21"/>
        </w:rPr>
        <w:t>应交增值税（本年累计发生额）</w:t>
      </w:r>
      <w:r>
        <w:rPr>
          <w:rFonts w:ascii="宋体" w:hAnsi="Calibri" w:cs="宋体"/>
          <w:kern w:val="0"/>
          <w:szCs w:val="21"/>
        </w:rPr>
        <w:t xml:space="preserve">  </w:t>
      </w:r>
      <w:r>
        <w:rPr>
          <w:rFonts w:hint="eastAsia" w:ascii="宋体" w:cs="宋体"/>
          <w:kern w:val="0"/>
          <w:szCs w:val="21"/>
        </w:rPr>
        <w:t>按照税法规定，以销售货物、服务、无形资产、不动产或提供加工、修理修配劳务的增值额和货物进口金额为计税依据而课征的一种流转税。填报本指标时，应按权责发生制核算企业本期应负担的增值税，有两种计算方法，可选其一，一旦确定，原则上不得更改。</w:t>
      </w:r>
    </w:p>
    <w:p>
      <w:pPr>
        <w:spacing w:line="360" w:lineRule="exact"/>
        <w:ind w:firstLine="420" w:firstLineChars="200"/>
        <w:rPr>
          <w:rFonts w:hint="eastAsia" w:ascii="宋体" w:cs="宋体"/>
          <w:kern w:val="0"/>
          <w:szCs w:val="21"/>
        </w:rPr>
      </w:pPr>
      <w:r>
        <w:rPr>
          <w:rFonts w:hint="eastAsia" w:ascii="黑体" w:hAnsi="宋体" w:eastAsia="黑体" w:cs="黑体"/>
          <w:szCs w:val="21"/>
        </w:rPr>
        <w:t>方法一：</w:t>
      </w:r>
      <w:r>
        <w:rPr>
          <w:rFonts w:hint="eastAsia" w:ascii="宋体" w:cs="宋体"/>
          <w:kern w:val="0"/>
          <w:szCs w:val="21"/>
        </w:rPr>
        <w:t>根据本期会计科目“销项税额”“进项税额转出”“出口退税”“简易计税”年初至期末贷方累计发生额，“进项税额”“出口抵减内销产品应纳税额”“减免税款”年初至期末借方累计发生额</w:t>
      </w:r>
      <w:r>
        <w:rPr>
          <w:rFonts w:ascii="宋体" w:cs="宋体"/>
          <w:kern w:val="0"/>
          <w:szCs w:val="21"/>
          <w:lang w:val="en"/>
        </w:rPr>
        <w:t>，</w:t>
      </w:r>
      <w:r>
        <w:rPr>
          <w:rFonts w:hint="eastAsia" w:ascii="宋体" w:cs="宋体"/>
          <w:kern w:val="0"/>
          <w:szCs w:val="21"/>
        </w:rPr>
        <w:t>取值后按照下述公式计算填报：</w:t>
      </w:r>
    </w:p>
    <w:p>
      <w:pPr>
        <w:spacing w:line="360" w:lineRule="exact"/>
        <w:ind w:firstLine="420" w:firstLineChars="200"/>
        <w:rPr>
          <w:rFonts w:ascii="宋体" w:cs="宋体"/>
          <w:kern w:val="0"/>
          <w:szCs w:val="21"/>
        </w:rPr>
      </w:pPr>
      <w:r>
        <w:rPr>
          <w:rFonts w:ascii="宋体" w:cs="宋体"/>
          <w:kern w:val="0"/>
          <w:szCs w:val="21"/>
          <w:lang w:val="en"/>
        </w:rPr>
        <w:t>应交</w:t>
      </w:r>
      <w:r>
        <w:rPr>
          <w:rFonts w:hint="eastAsia" w:ascii="宋体" w:cs="宋体"/>
          <w:kern w:val="0"/>
          <w:szCs w:val="21"/>
          <w:lang w:val="en"/>
        </w:rPr>
        <w:t>增值税（本年累计发生额）</w:t>
      </w:r>
      <w:r>
        <w:rPr>
          <w:rFonts w:ascii="宋体" w:cs="宋体"/>
          <w:kern w:val="0"/>
          <w:szCs w:val="21"/>
        </w:rPr>
        <w:t>=</w:t>
      </w:r>
      <w:r>
        <w:rPr>
          <w:rFonts w:hint="eastAsia" w:ascii="宋体" w:cs="宋体"/>
          <w:kern w:val="0"/>
          <w:szCs w:val="21"/>
        </w:rPr>
        <w:t>销项税额－（进项税额－进项税额转出）－出口抵减内销产品应纳税额－减免税款</w:t>
      </w:r>
      <w:r>
        <w:rPr>
          <w:rFonts w:ascii="宋体" w:cs="宋体"/>
          <w:kern w:val="0"/>
          <w:szCs w:val="21"/>
        </w:rPr>
        <w:t>+</w:t>
      </w:r>
      <w:r>
        <w:rPr>
          <w:rFonts w:hint="eastAsia" w:ascii="宋体" w:cs="宋体"/>
          <w:kern w:val="0"/>
          <w:szCs w:val="21"/>
        </w:rPr>
        <w:t>出口退税+简易计税</w:t>
      </w:r>
    </w:p>
    <w:p>
      <w:pPr>
        <w:spacing w:line="360" w:lineRule="exact"/>
        <w:ind w:firstLine="420" w:firstLineChars="200"/>
        <w:rPr>
          <w:rFonts w:hint="eastAsia" w:ascii="宋体" w:cs="宋体"/>
          <w:kern w:val="0"/>
          <w:szCs w:val="21"/>
        </w:rPr>
      </w:pPr>
      <w:r>
        <w:rPr>
          <w:rFonts w:hint="eastAsia" w:ascii="黑体" w:hAnsi="宋体" w:eastAsia="黑体" w:cs="黑体"/>
          <w:szCs w:val="21"/>
        </w:rPr>
        <w:t>方法二：</w:t>
      </w:r>
      <w:r>
        <w:rPr>
          <w:rFonts w:hint="eastAsia" w:ascii="宋体" w:cs="宋体"/>
          <w:kern w:val="0"/>
          <w:szCs w:val="21"/>
        </w:rPr>
        <w:t>根据本期《增值税及附加税费申报表（一般纳税人适用）》（以“国家税务总局公告2021年第20号”版式为例）主表“销项税额”（第11栏）、“进项税额”（第12栏）、“进项税额转出”（第14栏）、“免、抵、退应退税额”（第15栏）、“简易计税办法计算的应纳税额”（第21栏）、“按简易计税办法计算的纳税检查应补缴税额”（第22栏）、“应纳税额减征额”（第23栏）栏目“一般项目”列中“本年累计”列，各期附表4“税额抵减情况表”（第6行第2列减第3列）“本期发生额”</w:t>
      </w:r>
      <w:r>
        <w:rPr>
          <w:rFonts w:hint="eastAsia" w:ascii="宋体" w:hAnsi="宋体" w:cs="宋体"/>
          <w:kern w:val="0"/>
          <w:szCs w:val="21"/>
        </w:rPr>
        <w:t>-</w:t>
      </w:r>
      <w:r>
        <w:rPr>
          <w:rFonts w:hint="eastAsia" w:ascii="宋体" w:cs="宋体"/>
          <w:kern w:val="0"/>
          <w:szCs w:val="21"/>
        </w:rPr>
        <w:t>“本期调减额”的本期累计数（政策有效期内，符合加计抵减条件的企业填报），按照下述公式计算填报：</w:t>
      </w:r>
    </w:p>
    <w:p>
      <w:pPr>
        <w:spacing w:line="360" w:lineRule="exact"/>
        <w:ind w:firstLine="404" w:firstLineChars="200"/>
        <w:rPr>
          <w:rFonts w:hint="eastAsia" w:ascii="宋体" w:cs="宋体"/>
          <w:spacing w:val="-4"/>
          <w:kern w:val="0"/>
          <w:szCs w:val="21"/>
        </w:rPr>
      </w:pPr>
      <w:r>
        <w:rPr>
          <w:rFonts w:ascii="宋体" w:cs="宋体"/>
          <w:spacing w:val="-4"/>
          <w:kern w:val="0"/>
          <w:szCs w:val="21"/>
          <w:lang w:val="en"/>
        </w:rPr>
        <w:t>应交</w:t>
      </w:r>
      <w:r>
        <w:rPr>
          <w:rFonts w:hint="eastAsia" w:ascii="宋体" w:cs="宋体"/>
          <w:spacing w:val="-4"/>
          <w:kern w:val="0"/>
          <w:szCs w:val="21"/>
          <w:lang w:val="en"/>
        </w:rPr>
        <w:t>增值税（本年累计发生额）</w:t>
      </w:r>
      <w:r>
        <w:rPr>
          <w:rFonts w:ascii="宋体" w:cs="宋体"/>
          <w:spacing w:val="-4"/>
          <w:kern w:val="0"/>
          <w:szCs w:val="21"/>
        </w:rPr>
        <w:t>=</w:t>
      </w:r>
      <w:r>
        <w:rPr>
          <w:rFonts w:hint="eastAsia" w:ascii="宋体" w:cs="宋体"/>
          <w:spacing w:val="-4"/>
          <w:kern w:val="0"/>
          <w:szCs w:val="21"/>
        </w:rPr>
        <w:t>销项税额－（进项税额－进项税额转出－免、抵、退应退税额）</w:t>
      </w:r>
      <w:r>
        <w:rPr>
          <w:rFonts w:ascii="宋体" w:cs="宋体"/>
          <w:spacing w:val="-4"/>
          <w:kern w:val="0"/>
          <w:szCs w:val="21"/>
        </w:rPr>
        <w:t>+</w:t>
      </w:r>
      <w:r>
        <w:rPr>
          <w:rFonts w:hint="eastAsia" w:ascii="宋体" w:cs="宋体"/>
          <w:spacing w:val="-4"/>
          <w:kern w:val="0"/>
          <w:szCs w:val="21"/>
        </w:rPr>
        <w:t>简易计税办法计算的应纳税额</w:t>
      </w:r>
      <w:r>
        <w:rPr>
          <w:rFonts w:ascii="宋体" w:cs="宋体"/>
          <w:spacing w:val="-4"/>
          <w:kern w:val="0"/>
          <w:szCs w:val="21"/>
        </w:rPr>
        <w:t>+</w:t>
      </w:r>
      <w:r>
        <w:rPr>
          <w:rFonts w:hint="eastAsia" w:ascii="宋体" w:cs="宋体"/>
          <w:spacing w:val="-4"/>
          <w:kern w:val="0"/>
          <w:szCs w:val="21"/>
        </w:rPr>
        <w:t>按简易计税办法计算的纳税检查应补缴税额－应纳税额减征额</w:t>
      </w:r>
      <w:r>
        <w:rPr>
          <w:rFonts w:hint="eastAsia" w:ascii="宋体" w:hAnsi="宋体" w:cs="宋体"/>
          <w:spacing w:val="-4"/>
          <w:kern w:val="0"/>
          <w:szCs w:val="21"/>
        </w:rPr>
        <w:t>-</w:t>
      </w:r>
      <w:r>
        <w:rPr>
          <w:rFonts w:hint="eastAsia" w:ascii="宋体" w:cs="宋体"/>
          <w:spacing w:val="-4"/>
          <w:kern w:val="0"/>
          <w:szCs w:val="21"/>
        </w:rPr>
        <w:t>加计抵减额</w:t>
      </w:r>
    </w:p>
    <w:p>
      <w:pPr>
        <w:spacing w:line="360" w:lineRule="exact"/>
        <w:ind w:firstLine="420" w:firstLineChars="200"/>
        <w:rPr>
          <w:rFonts w:hint="eastAsia" w:ascii="宋体" w:cs="宋体"/>
          <w:kern w:val="0"/>
          <w:szCs w:val="21"/>
        </w:rPr>
      </w:pPr>
      <w:r>
        <w:rPr>
          <w:rFonts w:hint="eastAsia" w:ascii="宋体" w:cs="宋体"/>
          <w:kern w:val="0"/>
          <w:szCs w:val="21"/>
        </w:rPr>
        <w:t>计算方法说明及填报要求：</w:t>
      </w:r>
    </w:p>
    <w:p>
      <w:pPr>
        <w:spacing w:line="360" w:lineRule="exact"/>
        <w:ind w:firstLine="420" w:firstLineChars="200"/>
        <w:rPr>
          <w:rFonts w:hint="eastAsia" w:ascii="宋体" w:cs="宋体"/>
          <w:kern w:val="0"/>
          <w:szCs w:val="21"/>
        </w:rPr>
      </w:pPr>
      <w:r>
        <w:rPr>
          <w:rFonts w:hint="eastAsia" w:ascii="宋体" w:cs="宋体"/>
          <w:kern w:val="0"/>
          <w:szCs w:val="21"/>
        </w:rPr>
        <w:t>（1）计算公式均体现权责发生制，本期发生的进项税额全部参与计算，相当于不设置留抵，同时也不抵扣会计账簿或增值税纳税申报表中上年年末留抵的进项税额，公式计算结果可以为负数。</w:t>
      </w:r>
    </w:p>
    <w:p>
      <w:pPr>
        <w:spacing w:line="360" w:lineRule="exact"/>
        <w:ind w:firstLine="420" w:firstLineChars="200"/>
        <w:rPr>
          <w:rFonts w:ascii="宋体" w:hAnsi="Calibri" w:cs="宋体"/>
          <w:kern w:val="0"/>
          <w:szCs w:val="21"/>
        </w:rPr>
      </w:pPr>
      <w:r>
        <w:rPr>
          <w:rFonts w:hint="eastAsia" w:ascii="宋体" w:cs="宋体"/>
          <w:kern w:val="0"/>
          <w:szCs w:val="21"/>
        </w:rPr>
        <w:t>（2）按照公式计算本指标后，不应再加增值税减免税额，因为这部分价值不再形成企业缴纳义务。</w:t>
      </w:r>
    </w:p>
    <w:p>
      <w:pPr>
        <w:spacing w:line="360" w:lineRule="exact"/>
        <w:ind w:firstLine="420" w:firstLineChars="200"/>
        <w:rPr>
          <w:rFonts w:ascii="宋体" w:cs="宋体"/>
          <w:spacing w:val="4"/>
          <w:kern w:val="0"/>
          <w:szCs w:val="21"/>
        </w:rPr>
      </w:pPr>
      <w:r>
        <w:rPr>
          <w:rFonts w:hint="eastAsia" w:ascii="黑体" w:hAnsi="黑体" w:eastAsia="黑体" w:cs="宋体"/>
          <w:kern w:val="0"/>
          <w:szCs w:val="21"/>
        </w:rPr>
        <w:t>进项税额</w:t>
      </w:r>
      <w:r>
        <w:rPr>
          <w:rFonts w:ascii="黑体" w:hAnsi="黑体" w:eastAsia="黑体" w:cs="宋体"/>
          <w:kern w:val="0"/>
          <w:szCs w:val="21"/>
        </w:rPr>
        <w:t xml:space="preserve">  </w:t>
      </w:r>
      <w:r>
        <w:rPr>
          <w:rFonts w:hint="eastAsia" w:ascii="宋体" w:hAnsi="宋体" w:cs="宋体"/>
          <w:spacing w:val="4"/>
          <w:kern w:val="0"/>
          <w:szCs w:val="21"/>
        </w:rPr>
        <w:t>指企业在报告期内购入货物或接受应税劳务而支付的、准予从销项税额中抵扣的增值税额。</w:t>
      </w:r>
    </w:p>
    <w:p>
      <w:pPr>
        <w:spacing w:line="360" w:lineRule="exact"/>
        <w:ind w:firstLine="420" w:firstLineChars="200"/>
        <w:rPr>
          <w:rFonts w:ascii="黑体" w:hAnsi="黑体" w:eastAsia="黑体" w:cs="宋体"/>
          <w:kern w:val="0"/>
          <w:szCs w:val="21"/>
        </w:rPr>
      </w:pPr>
      <w:r>
        <w:rPr>
          <w:rFonts w:hint="eastAsia" w:ascii="黑体" w:hAnsi="黑体" w:eastAsia="黑体" w:cs="宋体"/>
          <w:kern w:val="0"/>
          <w:szCs w:val="21"/>
        </w:rPr>
        <w:t>销项税额</w:t>
      </w:r>
      <w:r>
        <w:rPr>
          <w:rFonts w:ascii="黑体" w:hAnsi="黑体" w:eastAsia="黑体" w:cs="宋体"/>
          <w:kern w:val="0"/>
          <w:szCs w:val="21"/>
        </w:rPr>
        <w:t xml:space="preserve">  </w:t>
      </w:r>
      <w:r>
        <w:rPr>
          <w:rFonts w:hint="eastAsia" w:ascii="宋体" w:hAnsi="宋体" w:cs="宋体"/>
          <w:kern w:val="0"/>
          <w:szCs w:val="21"/>
        </w:rPr>
        <w:t>指企业在报告期内销售货物或提供应税劳务应收取的增值税额。</w:t>
      </w:r>
    </w:p>
    <w:p>
      <w:pPr>
        <w:spacing w:line="360" w:lineRule="exact"/>
        <w:ind w:firstLine="420" w:firstLineChars="200"/>
        <w:rPr>
          <w:rFonts w:ascii="宋体"/>
          <w:szCs w:val="21"/>
        </w:rPr>
      </w:pPr>
      <w:r>
        <w:rPr>
          <w:rFonts w:hint="eastAsia" w:ascii="黑体" w:hAnsi="Calibri" w:eastAsia="黑体" w:cs="黑体"/>
          <w:kern w:val="0"/>
          <w:szCs w:val="21"/>
        </w:rPr>
        <w:t>期末用工人数</w:t>
      </w:r>
      <w:r>
        <w:rPr>
          <w:rFonts w:ascii="宋体" w:hAnsi="宋体"/>
          <w:b/>
          <w:szCs w:val="21"/>
        </w:rPr>
        <w:t xml:space="preserve">  </w:t>
      </w:r>
      <w:r>
        <w:rPr>
          <w:rFonts w:hint="eastAsia" w:ascii="宋体" w:hAnsi="宋体"/>
          <w:szCs w:val="21"/>
        </w:rPr>
        <w:t>指报告期最后一日</w:t>
      </w:r>
      <w:r>
        <w:rPr>
          <w:rFonts w:ascii="宋体" w:hAnsi="宋体"/>
          <w:szCs w:val="21"/>
        </w:rPr>
        <w:t>24</w:t>
      </w:r>
      <w:r>
        <w:rPr>
          <w:rFonts w:hint="eastAsia" w:ascii="宋体" w:hAnsi="宋体"/>
          <w:szCs w:val="21"/>
        </w:rPr>
        <w:t>时企业实际拥有的、参与本企业生产经营活动的人员数，无论是否从本企业领取劳动报酬均视为用工人数。该指标为时点指标，不包括最后一日当天及以前已经不再参与本企业生产经营活动的人员。</w:t>
      </w:r>
    </w:p>
    <w:p>
      <w:pPr>
        <w:spacing w:line="360" w:lineRule="exact"/>
        <w:ind w:firstLine="420" w:firstLineChars="200"/>
        <w:rPr>
          <w:rFonts w:ascii="宋体"/>
          <w:szCs w:val="21"/>
        </w:rPr>
      </w:pPr>
      <w:r>
        <w:rPr>
          <w:rFonts w:hint="eastAsia" w:ascii="宋体" w:hAnsi="宋体"/>
          <w:szCs w:val="21"/>
        </w:rPr>
        <w:t>包括企业的正式人员、劳务派遣人员和其他临时人员。具体包括直接参与加工、组装、维修、保养等本企业生产活动的人员；包括企业管理人员；包括对外安装本企业产品、保管、清洁、销售等与生产行为直接相关活动的人员；对于未参与本企业生产经营活动，但主要为本企业生产经营活动提供服务的人员，也视为参与生产经营活动人员，如利用本单位的车辆、仓储等设施进行运输、仓储活动的人员。不包括在本企业领取工资、股息、红利但未参加本企业生产经营活动的人员；不包括医疗、教育等为企业提供社会性服务活动的人员；不包括参加本企业建筑施工但所从事的工作与生产经营活动无关的人员，如参与企业厂房建筑施工的人员。</w:t>
      </w:r>
    </w:p>
    <w:p>
      <w:pPr>
        <w:snapToGrid w:val="0"/>
        <w:spacing w:line="360" w:lineRule="exact"/>
        <w:ind w:firstLine="420" w:firstLineChars="200"/>
        <w:jc w:val="left"/>
        <w:rPr>
          <w:rFonts w:ascii="宋体"/>
          <w:szCs w:val="21"/>
        </w:rPr>
      </w:pPr>
      <w:r>
        <w:rPr>
          <w:rFonts w:hint="eastAsia" w:ascii="黑体" w:hAnsi="Calibri" w:eastAsia="黑体" w:cs="黑体"/>
          <w:kern w:val="0"/>
          <w:szCs w:val="21"/>
        </w:rPr>
        <w:t>平均用工人数</w:t>
      </w:r>
      <w:r>
        <w:rPr>
          <w:rFonts w:ascii="黑体" w:hAnsi="Calibri" w:eastAsia="黑体" w:cs="黑体"/>
          <w:kern w:val="0"/>
          <w:szCs w:val="21"/>
        </w:rPr>
        <w:t xml:space="preserve">  </w:t>
      </w:r>
      <w:r>
        <w:rPr>
          <w:rFonts w:hint="eastAsia" w:ascii="宋体" w:hAnsi="宋体"/>
          <w:szCs w:val="21"/>
        </w:rPr>
        <w:t>指报告期企业平均实际拥有的、参与本企业生产经营活动的人员数。具体计算方法参见指标解释从业人员及工资总额中从业人员平均人数的计算。</w:t>
      </w:r>
    </w:p>
    <w:p>
      <w:pPr>
        <w:snapToGrid w:val="0"/>
        <w:spacing w:before="480" w:beforeLines="200" w:after="240" w:afterLines="100"/>
        <w:ind w:firstLine="560" w:firstLineChars="200"/>
        <w:jc w:val="left"/>
        <w:outlineLvl w:val="9"/>
        <w:rPr>
          <w:rFonts w:ascii="宋体"/>
          <w:sz w:val="28"/>
          <w:szCs w:val="28"/>
        </w:rPr>
      </w:pPr>
      <w:r>
        <w:rPr>
          <w:rFonts w:ascii="宋体" w:hAnsi="宋体"/>
          <w:sz w:val="28"/>
          <w:szCs w:val="28"/>
        </w:rPr>
        <w:t>5.</w:t>
      </w:r>
      <w:r>
        <w:rPr>
          <w:rFonts w:hint="eastAsia" w:ascii="宋体" w:hAnsi="宋体"/>
          <w:sz w:val="28"/>
          <w:szCs w:val="28"/>
        </w:rPr>
        <w:t>“财务状况（成本费用）</w:t>
      </w:r>
      <w:r>
        <w:rPr>
          <w:rFonts w:hint="eastAsia" w:ascii="宋体"/>
          <w:sz w:val="28"/>
          <w:szCs w:val="28"/>
        </w:rPr>
        <w:t>”</w:t>
      </w:r>
      <w:r>
        <w:rPr>
          <w:rFonts w:hint="eastAsia" w:ascii="宋体" w:hAnsi="宋体"/>
          <w:sz w:val="28"/>
          <w:szCs w:val="28"/>
        </w:rPr>
        <w:t>表填报原则和说明</w:t>
      </w:r>
    </w:p>
    <w:p>
      <w:pPr>
        <w:spacing w:line="360" w:lineRule="exact"/>
        <w:ind w:firstLine="420" w:firstLineChars="200"/>
        <w:rPr>
          <w:rFonts w:ascii="黑体" w:hAnsi="宋体" w:eastAsia="黑体"/>
          <w:bCs/>
          <w:szCs w:val="21"/>
        </w:rPr>
      </w:pPr>
      <w:r>
        <w:rPr>
          <w:rFonts w:hint="eastAsia" w:ascii="黑体" w:hAnsi="宋体" w:eastAsia="黑体"/>
          <w:bCs/>
          <w:szCs w:val="21"/>
        </w:rPr>
        <w:t>（</w:t>
      </w:r>
      <w:r>
        <w:rPr>
          <w:rFonts w:ascii="黑体" w:hAnsi="宋体" w:eastAsia="黑体"/>
          <w:bCs/>
          <w:szCs w:val="21"/>
        </w:rPr>
        <w:t>1</w:t>
      </w:r>
      <w:r>
        <w:rPr>
          <w:rFonts w:hint="eastAsia" w:ascii="黑体" w:hAnsi="宋体" w:eastAsia="黑体"/>
          <w:bCs/>
          <w:szCs w:val="21"/>
        </w:rPr>
        <w:t>）填报原则</w:t>
      </w:r>
    </w:p>
    <w:p>
      <w:pPr>
        <w:spacing w:line="360" w:lineRule="exact"/>
        <w:ind w:firstLine="420" w:firstLineChars="200"/>
        <w:rPr>
          <w:rFonts w:ascii="黑体" w:hAnsi="宋体" w:eastAsia="黑体"/>
          <w:bCs/>
          <w:szCs w:val="21"/>
        </w:rPr>
      </w:pPr>
      <w:r>
        <w:rPr>
          <w:rFonts w:hint="eastAsia" w:ascii="宋体" w:hAnsi="宋体"/>
          <w:szCs w:val="21"/>
        </w:rPr>
        <w:t>①</w:t>
      </w:r>
      <w:r>
        <w:rPr>
          <w:rFonts w:hint="eastAsia" w:ascii="黑体" w:hAnsi="宋体" w:eastAsia="黑体"/>
          <w:bCs/>
          <w:szCs w:val="21"/>
        </w:rPr>
        <w:t>“产品制造成本跟着产值走”原则</w:t>
      </w:r>
    </w:p>
    <w:p>
      <w:pPr>
        <w:spacing w:line="360" w:lineRule="exact"/>
        <w:ind w:firstLine="420" w:firstLineChars="200"/>
        <w:rPr>
          <w:rFonts w:ascii="宋体"/>
          <w:szCs w:val="21"/>
        </w:rPr>
      </w:pPr>
      <w:r>
        <w:rPr>
          <w:rFonts w:hint="eastAsia" w:ascii="宋体" w:hAnsi="宋体"/>
          <w:szCs w:val="21"/>
        </w:rPr>
        <w:t>只要计算工业总产值，就要计算相应的产品制造成本。只要不计算工业总产值，就不计算相应的产品制造成本。</w:t>
      </w:r>
      <w:r>
        <w:rPr>
          <w:rFonts w:hint="eastAsia" w:ascii="宋体" w:cs="宋体"/>
          <w:kern w:val="0"/>
          <w:szCs w:val="21"/>
        </w:rPr>
        <w:t>例如，如果通过“生产成本”会计科目归集的部分原材料被企业转卖，未形成产成品入库，从而不计算工业总产值，则这部分原材料价值不计入“制造成本”指标及其中项；如果企业在产品生产过程中使用了自产自耗产品，并且这些自产自耗产品完工转入“产成品”会计科目后，再加工时又转回“生产成本”会计科目继续核算，则这部分产成品价值不计入“制造成本”指标及其中项，避免与第一次核算重复；如果企业存在入库并计算工业总产值的产品，但其生产过程未通过“生产成本”会计科目核算，则应将这部分产品对应的成本加入“制造成本”指标及其中项；如果没有类似上述特殊情况，则直接根据“生产成本”会计科目本年借方累计发生额填报“制造成本”指标。</w:t>
      </w:r>
    </w:p>
    <w:p>
      <w:pPr>
        <w:spacing w:line="360" w:lineRule="exact"/>
        <w:ind w:firstLine="420" w:firstLineChars="200"/>
        <w:rPr>
          <w:rFonts w:ascii="黑体" w:hAnsi="宋体" w:eastAsia="黑体"/>
          <w:bCs/>
          <w:szCs w:val="21"/>
        </w:rPr>
      </w:pPr>
      <w:r>
        <w:rPr>
          <w:rFonts w:hint="eastAsia" w:ascii="宋体" w:hAnsi="宋体"/>
          <w:szCs w:val="21"/>
        </w:rPr>
        <w:t>②</w:t>
      </w:r>
      <w:r>
        <w:rPr>
          <w:rFonts w:hint="eastAsia" w:ascii="黑体" w:hAnsi="宋体" w:eastAsia="黑体"/>
          <w:bCs/>
          <w:szCs w:val="21"/>
        </w:rPr>
        <w:t>“不重不漏”原则</w:t>
      </w:r>
    </w:p>
    <w:p>
      <w:pPr>
        <w:spacing w:line="360" w:lineRule="exact"/>
        <w:ind w:firstLine="420" w:firstLineChars="200"/>
        <w:rPr>
          <w:rFonts w:ascii="宋体"/>
          <w:szCs w:val="21"/>
        </w:rPr>
      </w:pPr>
      <w:r>
        <w:rPr>
          <w:rFonts w:hint="eastAsia" w:ascii="宋体" w:hAnsi="宋体"/>
          <w:szCs w:val="21"/>
        </w:rPr>
        <w:t>包括两层含义，一是不重复，二是不遗漏。</w:t>
      </w:r>
    </w:p>
    <w:p>
      <w:pPr>
        <w:spacing w:line="360" w:lineRule="exact"/>
        <w:ind w:firstLine="420" w:firstLineChars="200"/>
        <w:rPr>
          <w:rFonts w:ascii="宋体"/>
          <w:szCs w:val="21"/>
        </w:rPr>
      </w:pPr>
      <w:r>
        <w:rPr>
          <w:rFonts w:hint="eastAsia" w:ascii="宋体" w:hAnsi="宋体"/>
          <w:szCs w:val="21"/>
        </w:rPr>
        <w:t>“应付职工薪酬”与“其他属于劳动者报酬的部分”包含的内容不应重复。</w:t>
      </w:r>
    </w:p>
    <w:p>
      <w:pPr>
        <w:spacing w:line="360" w:lineRule="exact"/>
        <w:ind w:firstLine="420" w:firstLineChars="200"/>
        <w:rPr>
          <w:rFonts w:ascii="宋体"/>
          <w:szCs w:val="21"/>
        </w:rPr>
      </w:pPr>
      <w:r>
        <w:rPr>
          <w:rFonts w:hint="eastAsia" w:ascii="宋体" w:hAnsi="宋体"/>
          <w:szCs w:val="21"/>
        </w:rPr>
        <w:t>“应付职工薪酬”项下的“工资、奖金、津贴和补贴”“福利费”“社保费”等</w:t>
      </w:r>
      <w:r>
        <w:rPr>
          <w:rFonts w:ascii="宋体" w:hAnsi="宋体"/>
          <w:szCs w:val="21"/>
        </w:rPr>
        <w:t>8</w:t>
      </w:r>
      <w:r>
        <w:rPr>
          <w:rFonts w:hint="eastAsia" w:ascii="宋体" w:hAnsi="宋体"/>
          <w:szCs w:val="21"/>
        </w:rPr>
        <w:t>个指标包含的内容不应重复。</w:t>
      </w:r>
      <w:r>
        <w:rPr>
          <w:rFonts w:hint="eastAsia" w:ascii="宋体"/>
          <w:szCs w:val="21"/>
        </w:rPr>
        <w:t>“</w:t>
      </w:r>
      <w:r>
        <w:rPr>
          <w:rFonts w:hint="eastAsia" w:ascii="宋体" w:hAnsi="宋体"/>
          <w:szCs w:val="21"/>
        </w:rPr>
        <w:t>应付职工薪酬</w:t>
      </w:r>
      <w:r>
        <w:rPr>
          <w:rFonts w:hint="eastAsia" w:ascii="宋体"/>
          <w:szCs w:val="21"/>
        </w:rPr>
        <w:t>”</w:t>
      </w:r>
      <w:r>
        <w:rPr>
          <w:rFonts w:hint="eastAsia" w:ascii="宋体" w:hAnsi="宋体"/>
          <w:szCs w:val="21"/>
        </w:rPr>
        <w:t>应等于这</w:t>
      </w:r>
      <w:r>
        <w:rPr>
          <w:rFonts w:ascii="宋体" w:hAnsi="宋体"/>
          <w:szCs w:val="21"/>
        </w:rPr>
        <w:t>8</w:t>
      </w:r>
      <w:r>
        <w:rPr>
          <w:rFonts w:hint="eastAsia" w:ascii="宋体" w:hAnsi="宋体"/>
          <w:szCs w:val="21"/>
        </w:rPr>
        <w:t>个指标之和。</w:t>
      </w:r>
    </w:p>
    <w:p>
      <w:pPr>
        <w:spacing w:line="360" w:lineRule="exact"/>
        <w:ind w:firstLine="420" w:firstLineChars="200"/>
        <w:rPr>
          <w:rFonts w:ascii="宋体"/>
          <w:szCs w:val="21"/>
        </w:rPr>
      </w:pPr>
      <w:r>
        <w:rPr>
          <w:rFonts w:hint="eastAsia" w:ascii="宋体" w:hAnsi="宋体"/>
          <w:szCs w:val="21"/>
        </w:rPr>
        <w:t>因企业记账方式不同，“劳务派遣人员薪酬”有</w:t>
      </w:r>
      <w:r>
        <w:rPr>
          <w:rFonts w:ascii="宋体" w:hAnsi="宋体"/>
          <w:szCs w:val="21"/>
        </w:rPr>
        <w:t>2</w:t>
      </w:r>
      <w:r>
        <w:rPr>
          <w:rFonts w:hint="eastAsia" w:ascii="宋体" w:hAnsi="宋体"/>
          <w:szCs w:val="21"/>
        </w:rPr>
        <w:t>种填报方法：（</w:t>
      </w:r>
      <w:r>
        <w:rPr>
          <w:rFonts w:ascii="宋体" w:hAnsi="宋体"/>
          <w:szCs w:val="21"/>
        </w:rPr>
        <w:t>1</w:t>
      </w:r>
      <w:r>
        <w:rPr>
          <w:rFonts w:hint="eastAsia" w:ascii="宋体" w:hAnsi="宋体"/>
          <w:szCs w:val="21"/>
        </w:rPr>
        <w:t>）显式填报。</w:t>
      </w:r>
      <w:r>
        <w:rPr>
          <w:rFonts w:hint="eastAsia" w:ascii="宋体"/>
          <w:szCs w:val="21"/>
        </w:rPr>
        <w:t>“</w:t>
      </w:r>
      <w:r>
        <w:rPr>
          <w:rFonts w:hint="eastAsia" w:ascii="宋体" w:hAnsi="宋体"/>
          <w:szCs w:val="21"/>
        </w:rPr>
        <w:t>劳务派遣人员薪酬</w:t>
      </w:r>
      <w:r>
        <w:rPr>
          <w:rFonts w:hint="eastAsia" w:ascii="宋体"/>
          <w:szCs w:val="21"/>
        </w:rPr>
        <w:t>”</w:t>
      </w:r>
      <w:r>
        <w:rPr>
          <w:rFonts w:hint="eastAsia" w:ascii="宋体" w:hAnsi="宋体"/>
          <w:szCs w:val="21"/>
        </w:rPr>
        <w:t>填报大于</w:t>
      </w:r>
      <w:r>
        <w:rPr>
          <w:rFonts w:ascii="宋体"/>
          <w:szCs w:val="21"/>
        </w:rPr>
        <w:t>0</w:t>
      </w:r>
      <w:r>
        <w:rPr>
          <w:rFonts w:hint="eastAsia" w:ascii="宋体" w:hAnsi="宋体"/>
          <w:szCs w:val="21"/>
        </w:rPr>
        <w:t>的数值，同时，</w:t>
      </w:r>
      <w:r>
        <w:rPr>
          <w:rFonts w:hint="eastAsia" w:ascii="宋体"/>
          <w:szCs w:val="21"/>
        </w:rPr>
        <w:t>“</w:t>
      </w:r>
      <w:r>
        <w:rPr>
          <w:rFonts w:hint="eastAsia" w:ascii="宋体" w:hAnsi="宋体"/>
          <w:szCs w:val="21"/>
        </w:rPr>
        <w:t>应付职工薪酬</w:t>
      </w:r>
      <w:r>
        <w:rPr>
          <w:rFonts w:hint="eastAsia" w:ascii="宋体"/>
          <w:szCs w:val="21"/>
        </w:rPr>
        <w:t>”</w:t>
      </w:r>
      <w:r>
        <w:rPr>
          <w:rFonts w:hint="eastAsia" w:ascii="宋体" w:hAnsi="宋体"/>
          <w:szCs w:val="21"/>
        </w:rPr>
        <w:t>项下其余指标均不含</w:t>
      </w:r>
      <w:r>
        <w:rPr>
          <w:rFonts w:hint="eastAsia" w:ascii="宋体"/>
          <w:szCs w:val="21"/>
        </w:rPr>
        <w:t>“</w:t>
      </w:r>
      <w:r>
        <w:rPr>
          <w:rFonts w:hint="eastAsia" w:ascii="宋体" w:hAnsi="宋体"/>
          <w:szCs w:val="21"/>
        </w:rPr>
        <w:t>劳务派遣人员薪酬</w:t>
      </w:r>
      <w:r>
        <w:rPr>
          <w:rFonts w:hint="eastAsia" w:ascii="宋体"/>
          <w:szCs w:val="21"/>
        </w:rPr>
        <w:t>”</w:t>
      </w:r>
      <w:r>
        <w:rPr>
          <w:rFonts w:hint="eastAsia" w:ascii="宋体" w:hAnsi="宋体"/>
          <w:szCs w:val="21"/>
        </w:rPr>
        <w:t>。（</w:t>
      </w:r>
      <w:r>
        <w:rPr>
          <w:rFonts w:ascii="宋体" w:hAnsi="宋体"/>
          <w:szCs w:val="21"/>
        </w:rPr>
        <w:t>2</w:t>
      </w:r>
      <w:r>
        <w:rPr>
          <w:rFonts w:hint="eastAsia" w:ascii="宋体" w:hAnsi="宋体"/>
          <w:szCs w:val="21"/>
        </w:rPr>
        <w:t>）隐式填报。</w:t>
      </w:r>
      <w:r>
        <w:rPr>
          <w:rFonts w:hint="eastAsia" w:ascii="宋体"/>
          <w:szCs w:val="21"/>
        </w:rPr>
        <w:t>“</w:t>
      </w:r>
      <w:r>
        <w:rPr>
          <w:rFonts w:hint="eastAsia" w:ascii="宋体" w:hAnsi="宋体"/>
          <w:szCs w:val="21"/>
        </w:rPr>
        <w:t>劳务派遣人员薪酬</w:t>
      </w:r>
      <w:r>
        <w:rPr>
          <w:rFonts w:hint="eastAsia" w:ascii="宋体"/>
          <w:szCs w:val="21"/>
        </w:rPr>
        <w:t>”</w:t>
      </w:r>
      <w:r>
        <w:rPr>
          <w:rFonts w:hint="eastAsia" w:ascii="宋体" w:hAnsi="宋体"/>
          <w:szCs w:val="21"/>
        </w:rPr>
        <w:t>填</w:t>
      </w:r>
      <w:r>
        <w:rPr>
          <w:rFonts w:ascii="宋体"/>
          <w:szCs w:val="21"/>
        </w:rPr>
        <w:t>0</w:t>
      </w:r>
      <w:r>
        <w:rPr>
          <w:rFonts w:hint="eastAsia" w:ascii="宋体" w:hAnsi="宋体"/>
          <w:szCs w:val="21"/>
        </w:rPr>
        <w:t>，但</w:t>
      </w:r>
      <w:r>
        <w:rPr>
          <w:rFonts w:hint="eastAsia" w:ascii="宋体"/>
          <w:szCs w:val="21"/>
        </w:rPr>
        <w:t>“</w:t>
      </w:r>
      <w:r>
        <w:rPr>
          <w:rFonts w:hint="eastAsia" w:ascii="宋体" w:hAnsi="宋体"/>
          <w:szCs w:val="21"/>
        </w:rPr>
        <w:t>应付职工薪酬</w:t>
      </w:r>
      <w:r>
        <w:rPr>
          <w:rFonts w:hint="eastAsia" w:ascii="宋体"/>
          <w:szCs w:val="21"/>
        </w:rPr>
        <w:t>”</w:t>
      </w:r>
      <w:r>
        <w:rPr>
          <w:rFonts w:hint="eastAsia" w:ascii="宋体" w:hAnsi="宋体"/>
          <w:szCs w:val="21"/>
        </w:rPr>
        <w:t>项下其他指标包含</w:t>
      </w:r>
      <w:r>
        <w:rPr>
          <w:rFonts w:hint="eastAsia" w:ascii="宋体"/>
          <w:szCs w:val="21"/>
        </w:rPr>
        <w:t>“</w:t>
      </w:r>
      <w:r>
        <w:rPr>
          <w:rFonts w:hint="eastAsia" w:ascii="宋体" w:hAnsi="宋体"/>
          <w:szCs w:val="21"/>
        </w:rPr>
        <w:t>劳务派遣人员薪酬</w:t>
      </w:r>
      <w:r>
        <w:rPr>
          <w:rFonts w:hint="eastAsia" w:ascii="宋体"/>
          <w:szCs w:val="21"/>
        </w:rPr>
        <w:t>”</w:t>
      </w:r>
      <w:r>
        <w:rPr>
          <w:rFonts w:hint="eastAsia" w:ascii="宋体" w:hAnsi="宋体"/>
          <w:szCs w:val="21"/>
        </w:rPr>
        <w:t>。</w:t>
      </w:r>
    </w:p>
    <w:p>
      <w:pPr>
        <w:spacing w:line="360" w:lineRule="exact"/>
        <w:ind w:firstLine="420" w:firstLineChars="200"/>
        <w:rPr>
          <w:rFonts w:ascii="宋体"/>
          <w:szCs w:val="21"/>
        </w:rPr>
      </w:pPr>
      <w:r>
        <w:rPr>
          <w:rFonts w:hint="eastAsia" w:ascii="宋体" w:hAnsi="宋体"/>
          <w:szCs w:val="21"/>
        </w:rPr>
        <w:t>③</w:t>
      </w:r>
      <w:r>
        <w:rPr>
          <w:rFonts w:hint="eastAsia" w:ascii="黑体" w:hAnsi="宋体" w:eastAsia="黑体"/>
          <w:szCs w:val="21"/>
        </w:rPr>
        <w:t>凡是企业发生的与生产经营有关的费用没有在本表所列的指标范围核算，但费用含义与本表所列的指标相同，则企业要进行调整填报。</w:t>
      </w:r>
      <w:r>
        <w:rPr>
          <w:rFonts w:hint="eastAsia" w:ascii="宋体" w:hAnsi="宋体"/>
          <w:szCs w:val="21"/>
        </w:rPr>
        <w:t>例如，石油天然气开采企业的“采油采气成本”计入制造费用，“勘探费用”计入管理费用，“油气资产本年折耗”计入本年折旧。企业出现其他类似特殊情况也按这一原则处理。</w:t>
      </w:r>
    </w:p>
    <w:p>
      <w:pPr>
        <w:spacing w:line="360" w:lineRule="exact"/>
        <w:ind w:firstLine="420" w:firstLineChars="200"/>
        <w:rPr>
          <w:rFonts w:ascii="黑体" w:hAnsi="宋体" w:eastAsia="黑体"/>
          <w:szCs w:val="21"/>
        </w:rPr>
      </w:pPr>
      <w:r>
        <w:rPr>
          <w:rFonts w:hint="eastAsia" w:ascii="宋体" w:hAnsi="宋体"/>
          <w:szCs w:val="21"/>
        </w:rPr>
        <w:t>④</w:t>
      </w:r>
      <w:r>
        <w:rPr>
          <w:rFonts w:hint="eastAsia" w:ascii="宋体" w:hAnsi="宋体"/>
        </w:rPr>
        <w:t>对于执行《小企业会计准则》的小型企业，如果将</w:t>
      </w:r>
      <w:r>
        <w:rPr>
          <w:rFonts w:hint="eastAsia" w:ascii="宋体"/>
        </w:rPr>
        <w:t>“</w:t>
      </w:r>
      <w:r>
        <w:rPr>
          <w:rFonts w:hint="eastAsia" w:ascii="宋体" w:hAnsi="宋体"/>
        </w:rPr>
        <w:t>原材料</w:t>
      </w:r>
      <w:r>
        <w:rPr>
          <w:rFonts w:hint="eastAsia" w:ascii="宋体"/>
          <w:szCs w:val="21"/>
        </w:rPr>
        <w:t>”“</w:t>
      </w:r>
      <w:r>
        <w:rPr>
          <w:rFonts w:hint="eastAsia" w:ascii="宋体" w:hAnsi="宋体"/>
        </w:rPr>
        <w:t>包装物</w:t>
      </w:r>
      <w:r>
        <w:rPr>
          <w:rFonts w:hint="eastAsia" w:ascii="宋体"/>
          <w:szCs w:val="21"/>
        </w:rPr>
        <w:t>”“</w:t>
      </w:r>
      <w:r>
        <w:rPr>
          <w:rFonts w:hint="eastAsia" w:ascii="宋体" w:hAnsi="宋体"/>
        </w:rPr>
        <w:t>自制半成品</w:t>
      </w:r>
      <w:r>
        <w:rPr>
          <w:rFonts w:hint="eastAsia" w:ascii="宋体"/>
        </w:rPr>
        <w:t>”</w:t>
      </w:r>
      <w:r>
        <w:rPr>
          <w:rFonts w:hint="eastAsia" w:ascii="宋体" w:hAnsi="宋体"/>
        </w:rPr>
        <w:t>等科目合并，只设置</w:t>
      </w:r>
      <w:r>
        <w:rPr>
          <w:rFonts w:hint="eastAsia" w:ascii="宋体"/>
        </w:rPr>
        <w:t>“</w:t>
      </w:r>
      <w:r>
        <w:rPr>
          <w:rFonts w:hint="eastAsia" w:ascii="宋体" w:hAnsi="宋体"/>
        </w:rPr>
        <w:t>材料</w:t>
      </w:r>
      <w:r>
        <w:rPr>
          <w:rFonts w:hint="eastAsia" w:ascii="宋体"/>
        </w:rPr>
        <w:t>”</w:t>
      </w:r>
      <w:r>
        <w:rPr>
          <w:rFonts w:hint="eastAsia" w:ascii="宋体" w:hAnsi="宋体"/>
        </w:rPr>
        <w:t>科目，则将“材料</w:t>
      </w:r>
      <w:r>
        <w:rPr>
          <w:rFonts w:hint="eastAsia" w:ascii="宋体"/>
        </w:rPr>
        <w:t>”</w:t>
      </w:r>
      <w:r>
        <w:rPr>
          <w:rFonts w:hint="eastAsia" w:ascii="宋体" w:hAnsi="宋体"/>
        </w:rPr>
        <w:t>消耗填在</w:t>
      </w:r>
      <w:r>
        <w:rPr>
          <w:rFonts w:hint="eastAsia" w:ascii="宋体"/>
        </w:rPr>
        <w:t>“</w:t>
      </w:r>
      <w:r>
        <w:rPr>
          <w:rFonts w:hint="eastAsia" w:ascii="宋体" w:hAnsi="宋体"/>
        </w:rPr>
        <w:t>直接材料消耗</w:t>
      </w:r>
      <w:r>
        <w:rPr>
          <w:rFonts w:hint="eastAsia" w:ascii="宋体"/>
        </w:rPr>
        <w:t>”</w:t>
      </w:r>
      <w:r>
        <w:rPr>
          <w:rFonts w:hint="eastAsia" w:ascii="宋体" w:hAnsi="宋体"/>
        </w:rPr>
        <w:t>中。</w:t>
      </w:r>
    </w:p>
    <w:p>
      <w:pPr>
        <w:spacing w:line="360" w:lineRule="exact"/>
        <w:ind w:firstLine="420" w:firstLineChars="200"/>
        <w:rPr>
          <w:rFonts w:ascii="宋体"/>
          <w:szCs w:val="21"/>
        </w:rPr>
      </w:pPr>
      <w:r>
        <w:rPr>
          <w:rFonts w:hint="eastAsia" w:ascii="宋体" w:hAnsi="宋体"/>
          <w:szCs w:val="21"/>
        </w:rPr>
        <w:t>⑤</w:t>
      </w:r>
      <w:r>
        <w:rPr>
          <w:rFonts w:hint="eastAsia" w:ascii="黑体" w:hAnsi="宋体" w:eastAsia="黑体"/>
          <w:szCs w:val="21"/>
        </w:rPr>
        <w:t>当企业工业生产口径与期间费用口径不一致时，不能对期间费用进行调整。</w:t>
      </w:r>
      <w:r>
        <w:rPr>
          <w:rFonts w:hint="eastAsia" w:ascii="宋体" w:hAnsi="宋体"/>
          <w:szCs w:val="21"/>
        </w:rPr>
        <w:t>包含两种情况：一是企业进行非工业活动，二是企业的管理与核算模式包含了下属企业的一些期间费用。由于这两种情况难以做到费用分开核算，强行分劈会导致数据失真，因此，在填报时不要求企业调整期间费用的数据。</w:t>
      </w:r>
    </w:p>
    <w:p>
      <w:pPr>
        <w:spacing w:line="360" w:lineRule="exact"/>
        <w:ind w:firstLine="420" w:firstLineChars="200"/>
        <w:rPr>
          <w:rFonts w:ascii="黑体" w:eastAsia="黑体"/>
          <w:szCs w:val="21"/>
        </w:rPr>
      </w:pPr>
      <w:r>
        <w:rPr>
          <w:rFonts w:hint="eastAsia" w:ascii="黑体" w:hAnsi="宋体" w:eastAsia="黑体"/>
          <w:szCs w:val="21"/>
        </w:rPr>
        <w:t>（</w:t>
      </w:r>
      <w:r>
        <w:rPr>
          <w:rFonts w:ascii="黑体" w:hAnsi="宋体" w:eastAsia="黑体"/>
          <w:szCs w:val="21"/>
        </w:rPr>
        <w:t>2</w:t>
      </w:r>
      <w:r>
        <w:rPr>
          <w:rFonts w:hint="eastAsia" w:ascii="黑体" w:hAnsi="宋体" w:eastAsia="黑体"/>
          <w:szCs w:val="21"/>
        </w:rPr>
        <w:t>）填报中需要强调的几点</w:t>
      </w:r>
    </w:p>
    <w:p>
      <w:pPr>
        <w:spacing w:line="360" w:lineRule="exact"/>
        <w:ind w:firstLine="420" w:firstLineChars="200"/>
        <w:rPr>
          <w:rFonts w:ascii="黑体" w:eastAsia="黑体"/>
          <w:szCs w:val="21"/>
        </w:rPr>
      </w:pPr>
      <w:r>
        <w:rPr>
          <w:rFonts w:hint="eastAsia" w:ascii="宋体" w:hAnsi="宋体"/>
          <w:szCs w:val="21"/>
        </w:rPr>
        <w:t>①</w:t>
      </w:r>
      <w:r>
        <w:rPr>
          <w:rFonts w:hint="eastAsia" w:ascii="黑体" w:hAnsi="宋体" w:eastAsia="黑体"/>
          <w:szCs w:val="21"/>
        </w:rPr>
        <w:t>关于“资产减值损失”“信用减值损失”“其他收益”“净敞口套期收益”“公允价值变动收益”“资产处置收益”</w:t>
      </w:r>
    </w:p>
    <w:p>
      <w:pPr>
        <w:spacing w:line="360" w:lineRule="exact"/>
        <w:ind w:firstLine="420" w:firstLineChars="200"/>
        <w:rPr>
          <w:rFonts w:ascii="宋体"/>
          <w:szCs w:val="21"/>
        </w:rPr>
      </w:pPr>
      <w:r>
        <w:rPr>
          <w:rFonts w:hint="eastAsia" w:ascii="宋体" w:hAnsi="宋体"/>
          <w:szCs w:val="21"/>
        </w:rPr>
        <w:t>这几项指标由执行《企业会计准则》的企业填报，非执行《企业会计准则》的企业不填报。</w:t>
      </w:r>
    </w:p>
    <w:p>
      <w:pPr>
        <w:spacing w:line="360" w:lineRule="exact"/>
        <w:ind w:firstLine="420" w:firstLineChars="200"/>
        <w:rPr>
          <w:rFonts w:ascii="宋体"/>
          <w:szCs w:val="21"/>
        </w:rPr>
      </w:pPr>
      <w:r>
        <w:rPr>
          <w:rFonts w:hint="eastAsia" w:ascii="宋体" w:hAnsi="宋体"/>
          <w:szCs w:val="21"/>
        </w:rPr>
        <w:t>②</w:t>
      </w:r>
      <w:r>
        <w:rPr>
          <w:rFonts w:hint="eastAsia" w:ascii="黑体" w:eastAsia="黑体"/>
          <w:szCs w:val="21"/>
        </w:rPr>
        <w:t>关于“营业利润”“投资收益”</w:t>
      </w:r>
    </w:p>
    <w:p>
      <w:pPr>
        <w:spacing w:line="360" w:lineRule="exact"/>
        <w:ind w:firstLine="428" w:firstLineChars="200"/>
        <w:rPr>
          <w:rFonts w:ascii="宋体"/>
          <w:spacing w:val="2"/>
          <w:szCs w:val="21"/>
        </w:rPr>
      </w:pPr>
      <w:r>
        <w:rPr>
          <w:rFonts w:hint="eastAsia" w:ascii="宋体" w:hAnsi="宋体"/>
          <w:spacing w:val="2"/>
          <w:szCs w:val="21"/>
        </w:rPr>
        <w:t>未执行《企业会计准则》和《小企业会计准则》的企业，需按照《企业会计准则》口径调整</w:t>
      </w:r>
      <w:r>
        <w:rPr>
          <w:rFonts w:hint="eastAsia" w:ascii="宋体"/>
          <w:spacing w:val="2"/>
          <w:szCs w:val="21"/>
        </w:rPr>
        <w:t>“</w:t>
      </w:r>
      <w:r>
        <w:rPr>
          <w:rFonts w:hint="eastAsia" w:ascii="宋体" w:hAnsi="宋体"/>
          <w:spacing w:val="2"/>
          <w:szCs w:val="21"/>
        </w:rPr>
        <w:t>营业利润</w:t>
      </w:r>
      <w:r>
        <w:rPr>
          <w:rFonts w:hint="eastAsia" w:ascii="宋体"/>
          <w:spacing w:val="2"/>
          <w:szCs w:val="21"/>
        </w:rPr>
        <w:t>”</w:t>
      </w:r>
      <w:r>
        <w:rPr>
          <w:rFonts w:hint="eastAsia" w:ascii="宋体" w:hAnsi="宋体"/>
          <w:spacing w:val="2"/>
          <w:szCs w:val="21"/>
        </w:rPr>
        <w:t>指标，使用“损益表</w:t>
      </w:r>
      <w:r>
        <w:rPr>
          <w:rFonts w:hint="eastAsia" w:ascii="宋体"/>
          <w:spacing w:val="2"/>
          <w:szCs w:val="21"/>
        </w:rPr>
        <w:t>”</w:t>
      </w:r>
      <w:r>
        <w:rPr>
          <w:rFonts w:hint="eastAsia" w:ascii="宋体" w:hAnsi="宋体"/>
          <w:spacing w:val="2"/>
          <w:szCs w:val="21"/>
        </w:rPr>
        <w:t>中</w:t>
      </w:r>
      <w:r>
        <w:rPr>
          <w:rFonts w:hint="eastAsia" w:ascii="宋体"/>
          <w:spacing w:val="2"/>
          <w:szCs w:val="21"/>
        </w:rPr>
        <w:t>“</w:t>
      </w:r>
      <w:r>
        <w:rPr>
          <w:rFonts w:hint="eastAsia" w:ascii="宋体" w:hAnsi="宋体"/>
          <w:spacing w:val="2"/>
          <w:szCs w:val="21"/>
        </w:rPr>
        <w:t>营业利润</w:t>
      </w:r>
      <w:r>
        <w:rPr>
          <w:rFonts w:hint="eastAsia" w:ascii="宋体"/>
          <w:spacing w:val="2"/>
          <w:szCs w:val="21"/>
        </w:rPr>
        <w:t>”“</w:t>
      </w:r>
      <w:r>
        <w:rPr>
          <w:rFonts w:hint="eastAsia" w:ascii="宋体" w:hAnsi="宋体"/>
          <w:spacing w:val="2"/>
          <w:szCs w:val="21"/>
        </w:rPr>
        <w:t>投资收益</w:t>
      </w:r>
      <w:r>
        <w:rPr>
          <w:rFonts w:hint="eastAsia" w:ascii="宋体"/>
          <w:spacing w:val="2"/>
          <w:szCs w:val="21"/>
        </w:rPr>
        <w:t>”</w:t>
      </w:r>
      <w:r>
        <w:rPr>
          <w:rFonts w:hint="eastAsia" w:ascii="宋体" w:hAnsi="宋体"/>
          <w:spacing w:val="2"/>
          <w:szCs w:val="21"/>
        </w:rPr>
        <w:t>之和填报，即调整后的</w:t>
      </w:r>
      <w:r>
        <w:rPr>
          <w:rFonts w:hint="eastAsia" w:ascii="宋体"/>
          <w:spacing w:val="2"/>
          <w:szCs w:val="21"/>
        </w:rPr>
        <w:t>“</w:t>
      </w:r>
      <w:r>
        <w:rPr>
          <w:rFonts w:hint="eastAsia" w:ascii="宋体" w:hAnsi="宋体"/>
          <w:spacing w:val="2"/>
          <w:szCs w:val="21"/>
        </w:rPr>
        <w:t>营业利润</w:t>
      </w:r>
      <w:r>
        <w:rPr>
          <w:rFonts w:hint="eastAsia" w:ascii="宋体"/>
          <w:spacing w:val="2"/>
          <w:szCs w:val="21"/>
        </w:rPr>
        <w:t>”</w:t>
      </w:r>
      <w:r>
        <w:rPr>
          <w:rFonts w:hint="eastAsia" w:ascii="宋体" w:hAnsi="宋体"/>
          <w:spacing w:val="2"/>
          <w:szCs w:val="21"/>
        </w:rPr>
        <w:t>应包含</w:t>
      </w:r>
      <w:r>
        <w:rPr>
          <w:rFonts w:hint="eastAsia" w:ascii="宋体"/>
          <w:spacing w:val="2"/>
          <w:szCs w:val="21"/>
        </w:rPr>
        <w:t>“</w:t>
      </w:r>
      <w:r>
        <w:rPr>
          <w:rFonts w:hint="eastAsia" w:ascii="宋体" w:hAnsi="宋体"/>
          <w:spacing w:val="2"/>
          <w:szCs w:val="21"/>
        </w:rPr>
        <w:t>投资收益</w:t>
      </w:r>
      <w:r>
        <w:rPr>
          <w:rFonts w:hint="eastAsia" w:ascii="宋体"/>
          <w:spacing w:val="2"/>
          <w:szCs w:val="21"/>
        </w:rPr>
        <w:t>”</w:t>
      </w:r>
      <w:r>
        <w:rPr>
          <w:rFonts w:hint="eastAsia" w:ascii="宋体" w:hAnsi="宋体"/>
          <w:spacing w:val="2"/>
          <w:szCs w:val="21"/>
        </w:rPr>
        <w:t>。</w:t>
      </w:r>
    </w:p>
    <w:p>
      <w:pPr>
        <w:spacing w:line="360" w:lineRule="exact"/>
        <w:ind w:firstLine="420" w:firstLineChars="200"/>
        <w:rPr>
          <w:rFonts w:ascii="黑体" w:hAnsi="宋体" w:eastAsia="黑体"/>
          <w:szCs w:val="21"/>
        </w:rPr>
      </w:pPr>
      <w:r>
        <w:rPr>
          <w:rFonts w:hint="eastAsia" w:ascii="黑体" w:hAnsi="宋体" w:eastAsia="黑体"/>
          <w:szCs w:val="21"/>
        </w:rPr>
        <w:t>（</w:t>
      </w:r>
      <w:r>
        <w:rPr>
          <w:rFonts w:ascii="黑体" w:hAnsi="宋体" w:eastAsia="黑体"/>
          <w:szCs w:val="21"/>
        </w:rPr>
        <w:t>3</w:t>
      </w:r>
      <w:r>
        <w:rPr>
          <w:rFonts w:hint="eastAsia" w:ascii="黑体" w:hAnsi="宋体" w:eastAsia="黑体"/>
          <w:szCs w:val="21"/>
        </w:rPr>
        <w:t>）电力企业填报的特殊规定</w:t>
      </w:r>
    </w:p>
    <w:p>
      <w:pPr>
        <w:spacing w:line="360" w:lineRule="exact"/>
        <w:ind w:firstLine="420" w:firstLineChars="200"/>
        <w:rPr>
          <w:rFonts w:ascii="宋体"/>
          <w:szCs w:val="21"/>
        </w:rPr>
      </w:pPr>
      <w:r>
        <w:rPr>
          <w:rFonts w:hint="eastAsia" w:ascii="宋体" w:hAnsi="宋体"/>
          <w:szCs w:val="21"/>
        </w:rPr>
        <w:t>由于电力企业执行完全成本核算方法，其会计科目和指标列示不同于一般工业企业，为保证规模以上工业企业</w:t>
      </w:r>
      <w:r>
        <w:rPr>
          <w:rFonts w:ascii="宋体" w:hAnsi="宋体"/>
          <w:szCs w:val="21"/>
        </w:rPr>
        <w:t>B103</w:t>
      </w:r>
      <w:r>
        <w:rPr>
          <w:rFonts w:hint="eastAsia" w:ascii="宋体" w:hAnsi="宋体"/>
          <w:szCs w:val="21"/>
        </w:rPr>
        <w:t>表式的统一完整，规定电力企业也按同一表式填报成本费用指标，但对其具体填报方法特做如下规定：</w:t>
      </w:r>
    </w:p>
    <w:p>
      <w:pPr>
        <w:spacing w:line="360" w:lineRule="exact"/>
        <w:ind w:firstLine="420" w:firstLineChars="200"/>
        <w:rPr>
          <w:rFonts w:ascii="黑体" w:hAnsi="宋体" w:eastAsia="黑体"/>
          <w:szCs w:val="21"/>
        </w:rPr>
      </w:pPr>
      <w:r>
        <w:rPr>
          <w:rFonts w:hint="eastAsia" w:ascii="宋体" w:hAnsi="宋体"/>
          <w:szCs w:val="21"/>
        </w:rPr>
        <w:t>①</w:t>
      </w:r>
      <w:r>
        <w:rPr>
          <w:rFonts w:hint="eastAsia" w:ascii="黑体" w:hAnsi="宋体" w:eastAsia="黑体"/>
          <w:szCs w:val="21"/>
        </w:rPr>
        <w:t>发电企业的填报方法</w:t>
      </w:r>
    </w:p>
    <w:p>
      <w:pPr>
        <w:spacing w:line="360" w:lineRule="exact"/>
        <w:ind w:firstLine="420" w:firstLineChars="200"/>
        <w:rPr>
          <w:rFonts w:hint="eastAsia" w:ascii="宋体" w:hAnsi="宋体"/>
          <w:szCs w:val="21"/>
        </w:rPr>
      </w:pPr>
      <w:r>
        <w:rPr>
          <w:rFonts w:hint="eastAsia" w:ascii="宋体" w:hAnsi="宋体"/>
          <w:szCs w:val="21"/>
        </w:rPr>
        <w:t>发电企业的“</w:t>
      </w:r>
      <w:r>
        <w:rPr>
          <w:rFonts w:hint="eastAsia" w:ascii="宋体" w:hAnsi="宋体" w:cs="宋体"/>
          <w:kern w:val="0"/>
          <w:szCs w:val="21"/>
        </w:rPr>
        <w:t>变动成本＋固定成本”</w:t>
      </w:r>
      <w:r>
        <w:rPr>
          <w:rFonts w:hint="eastAsia" w:ascii="宋体" w:hAnsi="宋体"/>
          <w:szCs w:val="21"/>
        </w:rPr>
        <w:t>作为</w:t>
      </w:r>
      <w:r>
        <w:rPr>
          <w:rFonts w:ascii="宋体" w:hAnsi="宋体"/>
          <w:szCs w:val="21"/>
        </w:rPr>
        <w:t>B103</w:t>
      </w:r>
      <w:r>
        <w:rPr>
          <w:rFonts w:hint="eastAsia" w:ascii="宋体" w:hAnsi="宋体"/>
          <w:szCs w:val="21"/>
        </w:rPr>
        <w:t>表中</w:t>
      </w:r>
      <w:r>
        <w:rPr>
          <w:rFonts w:hint="eastAsia" w:ascii="宋体"/>
          <w:szCs w:val="21"/>
        </w:rPr>
        <w:t>“</w:t>
      </w:r>
      <w:r>
        <w:rPr>
          <w:rFonts w:hint="eastAsia" w:ascii="宋体" w:hAnsi="宋体"/>
          <w:szCs w:val="21"/>
        </w:rPr>
        <w:t>制造成本</w:t>
      </w:r>
      <w:r>
        <w:rPr>
          <w:rFonts w:hint="eastAsia" w:ascii="宋体"/>
          <w:szCs w:val="21"/>
        </w:rPr>
        <w:t>”</w:t>
      </w:r>
      <w:r>
        <w:rPr>
          <w:rFonts w:hint="eastAsia" w:ascii="宋体" w:hAnsi="宋体"/>
          <w:szCs w:val="21"/>
        </w:rPr>
        <w:t>填报，</w:t>
      </w:r>
      <w:r>
        <w:rPr>
          <w:rFonts w:hint="eastAsia" w:ascii="宋体"/>
          <w:szCs w:val="21"/>
        </w:rPr>
        <w:t>“</w:t>
      </w:r>
      <w:r>
        <w:rPr>
          <w:rFonts w:hint="eastAsia" w:ascii="宋体" w:hAnsi="宋体" w:cs="宋体"/>
          <w:kern w:val="0"/>
          <w:szCs w:val="21"/>
        </w:rPr>
        <w:t>变动成本＋固定成本”</w:t>
      </w:r>
      <w:r>
        <w:rPr>
          <w:rFonts w:hint="eastAsia" w:ascii="宋体" w:hAnsi="宋体"/>
          <w:szCs w:val="21"/>
        </w:rPr>
        <w:t>以外的各种费用的合计数对应填报在</w:t>
      </w:r>
      <w:r>
        <w:rPr>
          <w:rFonts w:ascii="宋体" w:hAnsi="宋体"/>
          <w:szCs w:val="21"/>
        </w:rPr>
        <w:t>B103</w:t>
      </w:r>
      <w:r>
        <w:rPr>
          <w:rFonts w:hint="eastAsia" w:ascii="宋体" w:hAnsi="宋体"/>
          <w:szCs w:val="21"/>
        </w:rPr>
        <w:t>表“管理费用”栏。“</w:t>
      </w:r>
      <w:r>
        <w:rPr>
          <w:rFonts w:hint="eastAsia" w:ascii="宋体" w:hAnsi="宋体" w:cs="宋体"/>
          <w:kern w:val="0"/>
          <w:szCs w:val="21"/>
        </w:rPr>
        <w:t>变动成本＋固定成本”</w:t>
      </w:r>
      <w:r>
        <w:rPr>
          <w:rFonts w:hint="eastAsia" w:ascii="宋体" w:hAnsi="宋体"/>
          <w:szCs w:val="21"/>
        </w:rPr>
        <w:t>与“制造成本”明细项目的对应关系列表如下：</w:t>
      </w:r>
    </w:p>
    <w:tbl>
      <w:tblPr>
        <w:tblStyle w:val="17"/>
        <w:tblW w:w="9469" w:type="dxa"/>
        <w:jc w:val="center"/>
        <w:tblBorders>
          <w:top w:val="single" w:color="auto" w:sz="8" w:space="0"/>
          <w:left w:val="none" w:color="auto" w:sz="0" w:space="0"/>
          <w:bottom w:val="single" w:color="auto" w:sz="8"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4594"/>
        <w:gridCol w:w="4875"/>
      </w:tblGrid>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25" w:hRule="atLeast"/>
          <w:jc w:val="center"/>
        </w:trPr>
        <w:tc>
          <w:tcPr>
            <w:tcW w:w="2426" w:type="pct"/>
            <w:tcBorders>
              <w:bottom w:val="single" w:color="auto" w:sz="2" w:space="0"/>
              <w:right w:val="single" w:color="auto" w:sz="2" w:space="0"/>
            </w:tcBorders>
            <w:noWrap w:val="0"/>
            <w:vAlign w:val="center"/>
          </w:tcPr>
          <w:p>
            <w:pPr>
              <w:jc w:val="center"/>
              <w:rPr>
                <w:rFonts w:ascii="宋体"/>
                <w:b/>
                <w:sz w:val="18"/>
                <w:szCs w:val="18"/>
              </w:rPr>
            </w:pPr>
            <w:r>
              <w:rPr>
                <w:rFonts w:ascii="宋体" w:hAnsi="宋体"/>
                <w:b/>
                <w:sz w:val="18"/>
                <w:szCs w:val="18"/>
              </w:rPr>
              <w:t>B103</w:t>
            </w:r>
            <w:r>
              <w:rPr>
                <w:rFonts w:hint="eastAsia" w:ascii="宋体" w:hAnsi="宋体"/>
                <w:b/>
                <w:sz w:val="18"/>
                <w:szCs w:val="18"/>
              </w:rPr>
              <w:t>表指标</w:t>
            </w:r>
          </w:p>
        </w:tc>
        <w:tc>
          <w:tcPr>
            <w:tcW w:w="2574" w:type="pct"/>
            <w:tcBorders>
              <w:left w:val="single" w:color="auto" w:sz="2" w:space="0"/>
              <w:bottom w:val="single" w:color="auto" w:sz="2" w:space="0"/>
            </w:tcBorders>
            <w:noWrap w:val="0"/>
            <w:vAlign w:val="center"/>
          </w:tcPr>
          <w:p>
            <w:pPr>
              <w:pBdr>
                <w:left w:val="single" w:color="auto" w:sz="4" w:space="4"/>
              </w:pBdr>
              <w:jc w:val="center"/>
              <w:rPr>
                <w:rFonts w:ascii="宋体"/>
                <w:b/>
                <w:sz w:val="18"/>
                <w:szCs w:val="18"/>
              </w:rPr>
            </w:pPr>
            <w:r>
              <w:rPr>
                <w:rFonts w:hint="eastAsia" w:ascii="宋体" w:hAnsi="宋体"/>
                <w:b/>
                <w:sz w:val="18"/>
                <w:szCs w:val="18"/>
              </w:rPr>
              <w:t>发电企业生产成本</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26" w:hRule="atLeast"/>
          <w:jc w:val="center"/>
        </w:trPr>
        <w:tc>
          <w:tcPr>
            <w:tcW w:w="2426" w:type="pct"/>
            <w:tcBorders>
              <w:top w:val="single" w:color="auto" w:sz="2" w:space="0"/>
              <w:bottom w:val="single" w:color="auto" w:sz="2" w:space="0"/>
              <w:right w:val="single" w:color="auto" w:sz="2" w:space="0"/>
            </w:tcBorders>
            <w:noWrap w:val="0"/>
            <w:vAlign w:val="center"/>
          </w:tcPr>
          <w:p>
            <w:pPr>
              <w:widowControl/>
              <w:spacing w:line="320" w:lineRule="exact"/>
              <w:jc w:val="left"/>
              <w:rPr>
                <w:rFonts w:ascii="宋体" w:cs="宋体"/>
                <w:kern w:val="0"/>
                <w:sz w:val="18"/>
                <w:szCs w:val="18"/>
              </w:rPr>
            </w:pPr>
            <w:r>
              <w:rPr>
                <w:rFonts w:hint="eastAsia" w:ascii="宋体" w:hAnsi="宋体"/>
                <w:sz w:val="18"/>
                <w:szCs w:val="18"/>
              </w:rPr>
              <w:t>一、制造成本</w:t>
            </w:r>
          </w:p>
        </w:tc>
        <w:tc>
          <w:tcPr>
            <w:tcW w:w="2574" w:type="pct"/>
            <w:tcBorders>
              <w:top w:val="single" w:color="auto" w:sz="2" w:space="0"/>
              <w:left w:val="single" w:color="auto" w:sz="2" w:space="0"/>
              <w:bottom w:val="single" w:color="auto" w:sz="2" w:space="0"/>
            </w:tcBorders>
            <w:noWrap w:val="0"/>
            <w:vAlign w:val="center"/>
          </w:tcPr>
          <w:p>
            <w:pPr>
              <w:widowControl/>
              <w:spacing w:line="320" w:lineRule="exact"/>
              <w:jc w:val="left"/>
              <w:rPr>
                <w:rFonts w:ascii="宋体" w:cs="宋体"/>
                <w:kern w:val="0"/>
                <w:sz w:val="18"/>
                <w:szCs w:val="18"/>
              </w:rPr>
            </w:pPr>
            <w:r>
              <w:rPr>
                <w:rFonts w:hint="eastAsia" w:ascii="宋体" w:hAnsi="宋体" w:cs="宋体"/>
                <w:kern w:val="0"/>
                <w:sz w:val="18"/>
                <w:szCs w:val="18"/>
              </w:rPr>
              <w:t>变动成本</w:t>
            </w:r>
            <w:r>
              <w:rPr>
                <w:rFonts w:ascii="宋体" w:hAnsi="宋体" w:cs="宋体"/>
                <w:kern w:val="0"/>
                <w:sz w:val="18"/>
                <w:szCs w:val="18"/>
              </w:rPr>
              <w:t>+</w:t>
            </w:r>
            <w:r>
              <w:rPr>
                <w:rFonts w:hint="eastAsia" w:ascii="宋体" w:hAnsi="宋体" w:cs="宋体"/>
                <w:kern w:val="0"/>
                <w:sz w:val="18"/>
                <w:szCs w:val="18"/>
              </w:rPr>
              <w:t>固定成本</w:t>
            </w:r>
          </w:p>
        </w:tc>
      </w:tr>
      <w:tr>
        <w:tblPrEx>
          <w:tblBorders>
            <w:top w:val="single" w:color="auto" w:sz="8" w:space="0"/>
            <w:left w:val="none" w:color="auto" w:sz="0" w:space="0"/>
            <w:bottom w:val="single" w:color="auto" w:sz="8"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1749" w:hRule="atLeast"/>
          <w:jc w:val="center"/>
        </w:trPr>
        <w:tc>
          <w:tcPr>
            <w:tcW w:w="2426" w:type="pct"/>
            <w:tcBorders>
              <w:top w:val="single" w:color="auto" w:sz="2" w:space="0"/>
              <w:right w:val="single" w:color="auto" w:sz="2" w:space="0"/>
            </w:tcBorders>
            <w:noWrap w:val="0"/>
            <w:vAlign w:val="top"/>
          </w:tcPr>
          <w:p>
            <w:pPr>
              <w:spacing w:line="320" w:lineRule="exact"/>
              <w:rPr>
                <w:rFonts w:ascii="宋体"/>
                <w:sz w:val="18"/>
                <w:szCs w:val="18"/>
              </w:rPr>
            </w:pPr>
            <w:r>
              <w:rPr>
                <w:rFonts w:ascii="宋体" w:hAnsi="宋体"/>
                <w:sz w:val="18"/>
                <w:szCs w:val="18"/>
              </w:rPr>
              <w:t>1.</w:t>
            </w:r>
            <w:r>
              <w:rPr>
                <w:rFonts w:hint="eastAsia" w:ascii="宋体" w:hAnsi="宋体"/>
                <w:sz w:val="18"/>
                <w:szCs w:val="18"/>
              </w:rPr>
              <w:t>直接材料消耗</w:t>
            </w:r>
          </w:p>
          <w:p>
            <w:pPr>
              <w:spacing w:line="320" w:lineRule="exact"/>
              <w:rPr>
                <w:rFonts w:ascii="宋体"/>
                <w:sz w:val="18"/>
                <w:szCs w:val="18"/>
              </w:rPr>
            </w:pPr>
            <w:r>
              <w:rPr>
                <w:rFonts w:ascii="宋体" w:hAnsi="宋体"/>
                <w:sz w:val="18"/>
                <w:szCs w:val="18"/>
              </w:rPr>
              <w:t xml:space="preserve">  (1)</w:t>
            </w:r>
            <w:r>
              <w:rPr>
                <w:rFonts w:hint="eastAsia" w:ascii="宋体" w:hAnsi="宋体"/>
                <w:sz w:val="18"/>
                <w:szCs w:val="18"/>
              </w:rPr>
              <w:t>原材料</w:t>
            </w:r>
          </w:p>
          <w:p>
            <w:pPr>
              <w:spacing w:line="320" w:lineRule="exact"/>
              <w:rPr>
                <w:rFonts w:ascii="宋体"/>
                <w:sz w:val="18"/>
                <w:szCs w:val="18"/>
              </w:rPr>
            </w:pPr>
            <w:r>
              <w:rPr>
                <w:rFonts w:ascii="宋体" w:hAnsi="宋体"/>
                <w:sz w:val="18"/>
                <w:szCs w:val="18"/>
              </w:rPr>
              <w:t xml:space="preserve">  (2)</w:t>
            </w:r>
            <w:r>
              <w:rPr>
                <w:rFonts w:hint="eastAsia" w:ascii="宋体" w:hAnsi="宋体"/>
                <w:sz w:val="18"/>
                <w:szCs w:val="18"/>
              </w:rPr>
              <w:t>燃料</w:t>
            </w:r>
          </w:p>
          <w:p>
            <w:pPr>
              <w:spacing w:line="320" w:lineRule="exact"/>
              <w:rPr>
                <w:rFonts w:ascii="宋体"/>
                <w:sz w:val="18"/>
                <w:szCs w:val="18"/>
              </w:rPr>
            </w:pPr>
            <w:r>
              <w:rPr>
                <w:rFonts w:ascii="宋体" w:hAnsi="宋体"/>
                <w:sz w:val="18"/>
                <w:szCs w:val="18"/>
              </w:rPr>
              <w:t xml:space="preserve">  (3)</w:t>
            </w:r>
            <w:r>
              <w:rPr>
                <w:rFonts w:hint="eastAsia" w:ascii="宋体" w:hAnsi="宋体"/>
                <w:sz w:val="18"/>
                <w:szCs w:val="18"/>
              </w:rPr>
              <w:t>动力</w:t>
            </w:r>
          </w:p>
          <w:p>
            <w:pPr>
              <w:spacing w:line="320" w:lineRule="exact"/>
              <w:rPr>
                <w:rFonts w:ascii="宋体" w:cs="宋体"/>
                <w:kern w:val="0"/>
                <w:sz w:val="18"/>
                <w:szCs w:val="18"/>
              </w:rPr>
            </w:pPr>
            <w:r>
              <w:rPr>
                <w:rFonts w:ascii="宋体" w:hAnsi="宋体"/>
                <w:sz w:val="18"/>
                <w:szCs w:val="18"/>
              </w:rPr>
              <w:t>2.生产部门</w:t>
            </w:r>
            <w:r>
              <w:rPr>
                <w:rFonts w:hint="eastAsia" w:ascii="宋体" w:hAnsi="宋体"/>
                <w:sz w:val="18"/>
                <w:szCs w:val="18"/>
              </w:rPr>
              <w:t>人员薪酬</w:t>
            </w:r>
          </w:p>
        </w:tc>
        <w:tc>
          <w:tcPr>
            <w:tcW w:w="2574" w:type="pct"/>
            <w:tcBorders>
              <w:top w:val="single" w:color="auto" w:sz="2" w:space="0"/>
              <w:left w:val="single" w:color="auto" w:sz="2" w:space="0"/>
            </w:tcBorders>
            <w:noWrap w:val="0"/>
            <w:vAlign w:val="top"/>
          </w:tcPr>
          <w:p>
            <w:pPr>
              <w:widowControl/>
              <w:spacing w:line="320" w:lineRule="exact"/>
              <w:rPr>
                <w:rFonts w:ascii="宋体" w:hAnsi="宋体" w:cs="宋体"/>
                <w:kern w:val="0"/>
                <w:sz w:val="18"/>
                <w:szCs w:val="18"/>
              </w:rPr>
            </w:pPr>
            <w:r>
              <w:rPr>
                <w:rFonts w:ascii="宋体" w:hAnsi="宋体" w:cs="宋体"/>
                <w:kern w:val="0"/>
                <w:sz w:val="18"/>
                <w:szCs w:val="18"/>
              </w:rPr>
              <w:t>1+2+3</w:t>
            </w:r>
          </w:p>
          <w:p>
            <w:pPr>
              <w:widowControl/>
              <w:spacing w:line="320" w:lineRule="exact"/>
              <w:ind w:firstLine="180" w:firstLineChars="100"/>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材料费</w:t>
            </w:r>
          </w:p>
          <w:p>
            <w:pPr>
              <w:widowControl/>
              <w:spacing w:line="320" w:lineRule="exact"/>
              <w:ind w:firstLine="180" w:firstLineChars="100"/>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燃料费</w:t>
            </w:r>
          </w:p>
          <w:p>
            <w:pPr>
              <w:widowControl/>
              <w:spacing w:line="320" w:lineRule="exact"/>
              <w:ind w:firstLine="180" w:firstLineChars="100"/>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购入电力费</w:t>
            </w:r>
          </w:p>
          <w:p>
            <w:pPr>
              <w:widowControl/>
              <w:spacing w:line="320" w:lineRule="exact"/>
              <w:ind w:firstLine="180" w:firstLineChars="100"/>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工资</w:t>
            </w:r>
            <w:r>
              <w:rPr>
                <w:rFonts w:ascii="宋体" w:hAnsi="宋体" w:cs="宋体"/>
                <w:kern w:val="0"/>
                <w:sz w:val="18"/>
                <w:szCs w:val="18"/>
              </w:rPr>
              <w:t>+</w:t>
            </w:r>
            <w:r>
              <w:rPr>
                <w:rFonts w:hint="eastAsia" w:ascii="宋体" w:hAnsi="宋体" w:cs="宋体"/>
                <w:kern w:val="0"/>
                <w:sz w:val="18"/>
                <w:szCs w:val="18"/>
              </w:rPr>
              <w:t>工资附加费</w:t>
            </w:r>
          </w:p>
        </w:tc>
      </w:tr>
    </w:tbl>
    <w:p>
      <w:pPr>
        <w:snapToGrid w:val="0"/>
        <w:spacing w:line="360" w:lineRule="exact"/>
        <w:ind w:firstLine="105" w:firstLineChars="50"/>
        <w:rPr>
          <w:rFonts w:ascii="黑体" w:hAnsi="宋体" w:eastAsia="黑体"/>
          <w:szCs w:val="21"/>
        </w:rPr>
      </w:pPr>
      <w:r>
        <w:rPr>
          <w:rFonts w:ascii="黑体" w:hAnsi="黑体" w:eastAsia="黑体"/>
          <w:szCs w:val="21"/>
        </w:rPr>
        <w:t xml:space="preserve">   </w:t>
      </w:r>
      <w:r>
        <w:rPr>
          <w:rFonts w:hint="eastAsia" w:ascii="黑体" w:eastAsia="黑体"/>
          <w:szCs w:val="21"/>
        </w:rPr>
        <w:t>②</w:t>
      </w:r>
      <w:r>
        <w:rPr>
          <w:rFonts w:hint="eastAsia" w:ascii="黑体" w:hAnsi="宋体" w:eastAsia="黑体"/>
          <w:szCs w:val="21"/>
        </w:rPr>
        <w:t>供电企业的填报方法</w:t>
      </w:r>
    </w:p>
    <w:p>
      <w:pPr>
        <w:snapToGrid w:val="0"/>
        <w:spacing w:line="360" w:lineRule="exact"/>
        <w:ind w:firstLine="420" w:firstLineChars="200"/>
        <w:rPr>
          <w:rFonts w:ascii="宋体"/>
          <w:szCs w:val="21"/>
        </w:rPr>
      </w:pPr>
      <w:r>
        <w:rPr>
          <w:rFonts w:hint="eastAsia" w:ascii="宋体" w:hAnsi="宋体"/>
          <w:szCs w:val="21"/>
        </w:rPr>
        <w:t>供电企业的“生产成本”作为</w:t>
      </w:r>
      <w:r>
        <w:rPr>
          <w:rFonts w:ascii="宋体" w:hAnsi="宋体"/>
          <w:szCs w:val="21"/>
        </w:rPr>
        <w:t>B103</w:t>
      </w:r>
      <w:r>
        <w:rPr>
          <w:rFonts w:hint="eastAsia" w:ascii="宋体" w:hAnsi="宋体"/>
          <w:szCs w:val="21"/>
        </w:rPr>
        <w:t>表中</w:t>
      </w:r>
      <w:r>
        <w:rPr>
          <w:rFonts w:hint="eastAsia" w:ascii="宋体"/>
          <w:szCs w:val="21"/>
        </w:rPr>
        <w:t>“</w:t>
      </w:r>
      <w:r>
        <w:rPr>
          <w:rFonts w:hint="eastAsia" w:ascii="宋体" w:hAnsi="宋体"/>
          <w:szCs w:val="21"/>
        </w:rPr>
        <w:t>制造成本</w:t>
      </w:r>
      <w:r>
        <w:rPr>
          <w:rFonts w:hint="eastAsia" w:ascii="宋体"/>
          <w:szCs w:val="21"/>
        </w:rPr>
        <w:t>”</w:t>
      </w:r>
      <w:r>
        <w:rPr>
          <w:rFonts w:hint="eastAsia" w:ascii="宋体" w:hAnsi="宋体"/>
          <w:szCs w:val="21"/>
        </w:rPr>
        <w:t>填报，</w:t>
      </w:r>
      <w:r>
        <w:rPr>
          <w:rFonts w:hint="eastAsia" w:ascii="宋体"/>
          <w:szCs w:val="21"/>
        </w:rPr>
        <w:t>“</w:t>
      </w:r>
      <w:r>
        <w:rPr>
          <w:rFonts w:hint="eastAsia" w:ascii="宋体" w:hAnsi="宋体"/>
          <w:szCs w:val="21"/>
        </w:rPr>
        <w:t>生产成本</w:t>
      </w:r>
      <w:r>
        <w:rPr>
          <w:rFonts w:hint="eastAsia" w:ascii="宋体"/>
          <w:szCs w:val="21"/>
        </w:rPr>
        <w:t>”</w:t>
      </w:r>
      <w:r>
        <w:rPr>
          <w:rFonts w:hint="eastAsia" w:ascii="宋体" w:hAnsi="宋体"/>
          <w:szCs w:val="21"/>
        </w:rPr>
        <w:t>以外的各种费用的合计数对应填报在“管理费用”栏。“生产成本”与“制造成本”明细项目的对应关系列表如下：</w:t>
      </w:r>
    </w:p>
    <w:p>
      <w:pPr>
        <w:snapToGrid w:val="0"/>
        <w:spacing w:line="360" w:lineRule="exact"/>
        <w:ind w:firstLine="420" w:firstLineChars="200"/>
        <w:rPr>
          <w:rFonts w:ascii="宋体"/>
          <w:szCs w:val="21"/>
        </w:rPr>
      </w:pPr>
    </w:p>
    <w:tbl>
      <w:tblPr>
        <w:tblStyle w:val="17"/>
        <w:tblW w:w="9469" w:type="dxa"/>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90"/>
        <w:gridCol w:w="1890"/>
        <w:gridCol w:w="1890"/>
        <w:gridCol w:w="1891"/>
        <w:gridCol w:w="1908"/>
      </w:tblGrid>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998" w:type="pct"/>
            <w:tcBorders>
              <w:top w:val="single" w:color="auto" w:sz="8" w:space="0"/>
              <w:bottom w:val="single" w:color="auto" w:sz="2" w:space="0"/>
              <w:right w:val="single" w:color="auto" w:sz="2" w:space="0"/>
            </w:tcBorders>
            <w:noWrap w:val="0"/>
            <w:vAlign w:val="center"/>
          </w:tcPr>
          <w:p>
            <w:pPr>
              <w:jc w:val="center"/>
              <w:rPr>
                <w:rFonts w:ascii="宋体"/>
                <w:b/>
                <w:sz w:val="18"/>
                <w:szCs w:val="18"/>
              </w:rPr>
            </w:pPr>
            <w:r>
              <w:rPr>
                <w:rFonts w:ascii="宋体" w:hAnsi="宋体"/>
                <w:b/>
                <w:sz w:val="18"/>
                <w:szCs w:val="18"/>
              </w:rPr>
              <w:t>B</w:t>
            </w:r>
            <w:r>
              <w:rPr>
                <w:rFonts w:hint="eastAsia" w:ascii="宋体" w:hAnsi="宋体"/>
                <w:b/>
                <w:sz w:val="18"/>
                <w:szCs w:val="18"/>
              </w:rPr>
              <w:t>1</w:t>
            </w:r>
            <w:r>
              <w:rPr>
                <w:rFonts w:ascii="宋体" w:hAnsi="宋体"/>
                <w:b/>
                <w:sz w:val="18"/>
                <w:szCs w:val="18"/>
              </w:rPr>
              <w:t>03</w:t>
            </w:r>
            <w:r>
              <w:rPr>
                <w:rFonts w:hint="eastAsia" w:ascii="宋体" w:hAnsi="宋体"/>
                <w:b/>
                <w:sz w:val="18"/>
                <w:szCs w:val="18"/>
              </w:rPr>
              <w:t>表指标</w:t>
            </w:r>
          </w:p>
        </w:tc>
        <w:tc>
          <w:tcPr>
            <w:tcW w:w="4001" w:type="pct"/>
            <w:gridSpan w:val="4"/>
            <w:tcBorders>
              <w:top w:val="single" w:color="auto" w:sz="8" w:space="0"/>
              <w:left w:val="single" w:color="auto" w:sz="2" w:space="0"/>
              <w:bottom w:val="single" w:color="auto" w:sz="2" w:space="0"/>
            </w:tcBorders>
            <w:noWrap w:val="0"/>
            <w:vAlign w:val="center"/>
          </w:tcPr>
          <w:p>
            <w:pPr>
              <w:jc w:val="center"/>
              <w:rPr>
                <w:rFonts w:ascii="宋体"/>
                <w:b/>
                <w:sz w:val="18"/>
                <w:szCs w:val="18"/>
              </w:rPr>
            </w:pPr>
            <w:r>
              <w:rPr>
                <w:rFonts w:hint="eastAsia" w:ascii="宋体" w:hAnsi="宋体"/>
                <w:b/>
                <w:sz w:val="18"/>
                <w:szCs w:val="18"/>
              </w:rPr>
              <w:t>供电企业生产成本</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98" w:type="pct"/>
            <w:tcBorders>
              <w:top w:val="single" w:color="auto" w:sz="2" w:space="0"/>
              <w:bottom w:val="single" w:color="auto" w:sz="2" w:space="0"/>
              <w:right w:val="single" w:color="auto" w:sz="2" w:space="0"/>
            </w:tcBorders>
            <w:noWrap w:val="0"/>
            <w:vAlign w:val="center"/>
          </w:tcPr>
          <w:p>
            <w:pPr>
              <w:jc w:val="center"/>
              <w:rPr>
                <w:rFonts w:ascii="宋体"/>
                <w:sz w:val="18"/>
                <w:szCs w:val="18"/>
              </w:rPr>
            </w:pPr>
            <w:r>
              <w:rPr>
                <w:rFonts w:hint="eastAsia" w:ascii="宋体" w:hAnsi="宋体"/>
                <w:sz w:val="18"/>
                <w:szCs w:val="18"/>
              </w:rPr>
              <w:t>一、制造成本</w:t>
            </w:r>
          </w:p>
        </w:tc>
        <w:tc>
          <w:tcPr>
            <w:tcW w:w="998" w:type="pct"/>
            <w:tcBorders>
              <w:top w:val="single" w:color="auto" w:sz="2" w:space="0"/>
              <w:left w:val="single" w:color="auto" w:sz="2" w:space="0"/>
              <w:bottom w:val="single" w:color="auto" w:sz="2" w:space="0"/>
              <w:right w:val="single" w:color="auto" w:sz="2" w:space="0"/>
            </w:tcBorders>
            <w:noWrap w:val="0"/>
            <w:vAlign w:val="center"/>
          </w:tcPr>
          <w:p>
            <w:pPr>
              <w:jc w:val="center"/>
              <w:rPr>
                <w:rFonts w:ascii="宋体"/>
                <w:sz w:val="18"/>
                <w:szCs w:val="18"/>
              </w:rPr>
            </w:pPr>
            <w:r>
              <w:rPr>
                <w:rFonts w:hint="eastAsia" w:ascii="宋体" w:hAnsi="宋体"/>
                <w:sz w:val="18"/>
                <w:szCs w:val="18"/>
              </w:rPr>
              <w:t>发电成本</w:t>
            </w:r>
          </w:p>
        </w:tc>
        <w:tc>
          <w:tcPr>
            <w:tcW w:w="998" w:type="pct"/>
            <w:tcBorders>
              <w:top w:val="single" w:color="auto" w:sz="2" w:space="0"/>
              <w:left w:val="single" w:color="auto" w:sz="2" w:space="0"/>
              <w:bottom w:val="single" w:color="auto" w:sz="2" w:space="0"/>
              <w:right w:val="single" w:color="auto" w:sz="2" w:space="0"/>
            </w:tcBorders>
            <w:noWrap w:val="0"/>
            <w:vAlign w:val="center"/>
          </w:tcPr>
          <w:p>
            <w:pPr>
              <w:jc w:val="center"/>
              <w:rPr>
                <w:rFonts w:ascii="宋体"/>
                <w:sz w:val="18"/>
                <w:szCs w:val="18"/>
              </w:rPr>
            </w:pPr>
            <w:r>
              <w:rPr>
                <w:rFonts w:hint="eastAsia" w:ascii="宋体" w:hAnsi="宋体"/>
                <w:sz w:val="18"/>
                <w:szCs w:val="18"/>
              </w:rPr>
              <w:t>输电成本</w:t>
            </w:r>
          </w:p>
        </w:tc>
        <w:tc>
          <w:tcPr>
            <w:tcW w:w="998" w:type="pct"/>
            <w:tcBorders>
              <w:top w:val="single" w:color="auto" w:sz="2" w:space="0"/>
              <w:left w:val="single" w:color="auto" w:sz="2" w:space="0"/>
              <w:bottom w:val="single" w:color="auto" w:sz="2" w:space="0"/>
              <w:right w:val="single" w:color="auto" w:sz="2" w:space="0"/>
            </w:tcBorders>
            <w:noWrap w:val="0"/>
            <w:vAlign w:val="center"/>
          </w:tcPr>
          <w:p>
            <w:pPr>
              <w:jc w:val="center"/>
              <w:rPr>
                <w:rFonts w:ascii="宋体"/>
                <w:sz w:val="18"/>
                <w:szCs w:val="18"/>
              </w:rPr>
            </w:pPr>
            <w:r>
              <w:rPr>
                <w:rFonts w:hint="eastAsia" w:ascii="宋体" w:hAnsi="宋体"/>
                <w:sz w:val="18"/>
                <w:szCs w:val="18"/>
              </w:rPr>
              <w:t>供电成本</w:t>
            </w:r>
          </w:p>
        </w:tc>
        <w:tc>
          <w:tcPr>
            <w:tcW w:w="1004" w:type="pct"/>
            <w:tcBorders>
              <w:top w:val="single" w:color="auto" w:sz="2" w:space="0"/>
              <w:left w:val="single" w:color="auto" w:sz="2" w:space="0"/>
              <w:bottom w:val="single" w:color="auto" w:sz="2" w:space="0"/>
            </w:tcBorders>
            <w:noWrap w:val="0"/>
            <w:vAlign w:val="center"/>
          </w:tcPr>
          <w:p>
            <w:pPr>
              <w:jc w:val="center"/>
              <w:rPr>
                <w:rFonts w:ascii="宋体"/>
                <w:sz w:val="18"/>
                <w:szCs w:val="18"/>
              </w:rPr>
            </w:pPr>
            <w:r>
              <w:rPr>
                <w:rFonts w:hint="eastAsia" w:ascii="宋体" w:hAnsi="宋体"/>
                <w:sz w:val="18"/>
                <w:szCs w:val="18"/>
              </w:rPr>
              <w:t>热力成本</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98" w:type="pct"/>
            <w:tcBorders>
              <w:top w:val="single" w:color="auto" w:sz="2" w:space="0"/>
              <w:bottom w:val="single" w:color="auto" w:sz="8" w:space="0"/>
              <w:right w:val="single" w:color="auto" w:sz="2" w:space="0"/>
            </w:tcBorders>
            <w:noWrap w:val="0"/>
            <w:vAlign w:val="top"/>
          </w:tcPr>
          <w:p>
            <w:pPr>
              <w:spacing w:line="300" w:lineRule="exact"/>
              <w:rPr>
                <w:rFonts w:ascii="宋体"/>
                <w:sz w:val="18"/>
                <w:szCs w:val="18"/>
              </w:rPr>
            </w:pPr>
            <w:r>
              <w:rPr>
                <w:rFonts w:ascii="宋体" w:hAnsi="宋体"/>
                <w:sz w:val="18"/>
                <w:szCs w:val="18"/>
              </w:rPr>
              <w:t>1.</w:t>
            </w:r>
            <w:r>
              <w:rPr>
                <w:rFonts w:hint="eastAsia" w:ascii="宋体" w:hAnsi="宋体"/>
                <w:sz w:val="18"/>
                <w:szCs w:val="18"/>
              </w:rPr>
              <w:t>直接材料消耗</w:t>
            </w:r>
          </w:p>
          <w:p>
            <w:pPr>
              <w:spacing w:line="300" w:lineRule="exact"/>
              <w:rPr>
                <w:rFonts w:ascii="宋体"/>
                <w:sz w:val="18"/>
                <w:szCs w:val="18"/>
              </w:rPr>
            </w:pPr>
            <w:r>
              <w:rPr>
                <w:rFonts w:ascii="宋体" w:hAnsi="宋体"/>
                <w:sz w:val="18"/>
                <w:szCs w:val="18"/>
              </w:rPr>
              <w:t xml:space="preserve">  </w:t>
            </w:r>
            <w:r>
              <w:rPr>
                <w:rFonts w:hint="eastAsia" w:ascii="宋体" w:hAnsi="宋体"/>
                <w:sz w:val="18"/>
                <w:szCs w:val="18"/>
              </w:rPr>
              <w:t>（</w:t>
            </w:r>
            <w:r>
              <w:rPr>
                <w:rFonts w:ascii="宋体" w:hAnsi="宋体"/>
                <w:sz w:val="18"/>
                <w:szCs w:val="18"/>
              </w:rPr>
              <w:t>1</w:t>
            </w:r>
            <w:r>
              <w:rPr>
                <w:rFonts w:hint="eastAsia" w:ascii="宋体" w:hAnsi="宋体"/>
                <w:sz w:val="18"/>
                <w:szCs w:val="18"/>
              </w:rPr>
              <w:t>）原材料</w:t>
            </w:r>
          </w:p>
          <w:p>
            <w:pPr>
              <w:spacing w:line="300" w:lineRule="exact"/>
              <w:rPr>
                <w:rFonts w:ascii="宋体"/>
                <w:sz w:val="18"/>
                <w:szCs w:val="18"/>
              </w:rPr>
            </w:pPr>
            <w:r>
              <w:rPr>
                <w:rFonts w:ascii="宋体" w:hAnsi="宋体"/>
                <w:sz w:val="18"/>
                <w:szCs w:val="18"/>
              </w:rPr>
              <w:t xml:space="preserve">  </w:t>
            </w:r>
            <w:r>
              <w:rPr>
                <w:rFonts w:hint="eastAsia" w:ascii="宋体" w:hAnsi="宋体"/>
                <w:sz w:val="18"/>
                <w:szCs w:val="18"/>
              </w:rPr>
              <w:t>（</w:t>
            </w:r>
            <w:r>
              <w:rPr>
                <w:rFonts w:ascii="宋体" w:hAnsi="宋体"/>
                <w:sz w:val="18"/>
                <w:szCs w:val="18"/>
              </w:rPr>
              <w:t>2</w:t>
            </w:r>
            <w:r>
              <w:rPr>
                <w:rFonts w:hint="eastAsia" w:ascii="宋体" w:hAnsi="宋体"/>
                <w:sz w:val="18"/>
                <w:szCs w:val="18"/>
              </w:rPr>
              <w:t>）燃料</w:t>
            </w:r>
          </w:p>
          <w:p>
            <w:pPr>
              <w:spacing w:line="300" w:lineRule="exact"/>
              <w:rPr>
                <w:rFonts w:ascii="宋体"/>
                <w:sz w:val="18"/>
                <w:szCs w:val="18"/>
              </w:rPr>
            </w:pPr>
            <w:r>
              <w:rPr>
                <w:rFonts w:ascii="宋体" w:hAnsi="宋体"/>
                <w:sz w:val="18"/>
                <w:szCs w:val="18"/>
              </w:rPr>
              <w:t xml:space="preserve">  </w:t>
            </w:r>
            <w:r>
              <w:rPr>
                <w:rFonts w:hint="eastAsia" w:ascii="宋体" w:hAnsi="宋体"/>
                <w:sz w:val="18"/>
                <w:szCs w:val="18"/>
              </w:rPr>
              <w:t>（</w:t>
            </w:r>
            <w:r>
              <w:rPr>
                <w:rFonts w:ascii="宋体" w:hAnsi="宋体"/>
                <w:sz w:val="18"/>
                <w:szCs w:val="18"/>
              </w:rPr>
              <w:t>3</w:t>
            </w:r>
            <w:r>
              <w:rPr>
                <w:rFonts w:hint="eastAsia" w:ascii="宋体" w:hAnsi="宋体"/>
                <w:sz w:val="18"/>
                <w:szCs w:val="18"/>
              </w:rPr>
              <w:t>）动力</w:t>
            </w:r>
          </w:p>
          <w:p>
            <w:pPr>
              <w:spacing w:line="300" w:lineRule="exact"/>
              <w:rPr>
                <w:rFonts w:ascii="宋体"/>
                <w:sz w:val="18"/>
                <w:szCs w:val="18"/>
              </w:rPr>
            </w:pPr>
            <w:r>
              <w:rPr>
                <w:rFonts w:ascii="宋体" w:hAnsi="宋体"/>
                <w:sz w:val="18"/>
                <w:szCs w:val="18"/>
              </w:rPr>
              <w:t>2.生产部门</w:t>
            </w:r>
            <w:r>
              <w:rPr>
                <w:rFonts w:hint="eastAsia" w:ascii="宋体" w:hAnsi="宋体"/>
                <w:sz w:val="18"/>
                <w:szCs w:val="18"/>
              </w:rPr>
              <w:t>人员薪酬</w:t>
            </w:r>
          </w:p>
        </w:tc>
        <w:tc>
          <w:tcPr>
            <w:tcW w:w="998" w:type="pct"/>
            <w:tcBorders>
              <w:top w:val="single" w:color="auto" w:sz="2" w:space="0"/>
              <w:left w:val="single" w:color="auto" w:sz="2" w:space="0"/>
              <w:bottom w:val="single" w:color="auto" w:sz="8" w:space="0"/>
              <w:right w:val="single" w:color="auto" w:sz="2" w:space="0"/>
            </w:tcBorders>
            <w:noWrap w:val="0"/>
            <w:vAlign w:val="top"/>
          </w:tcPr>
          <w:p>
            <w:pPr>
              <w:spacing w:line="300" w:lineRule="exact"/>
              <w:rPr>
                <w:rFonts w:ascii="宋体" w:hAnsi="宋体"/>
                <w:sz w:val="18"/>
                <w:szCs w:val="18"/>
              </w:rPr>
            </w:pPr>
            <w:r>
              <w:rPr>
                <w:rFonts w:ascii="宋体" w:hAnsi="宋体"/>
                <w:sz w:val="18"/>
                <w:szCs w:val="18"/>
              </w:rPr>
              <w:t>1+2+3</w:t>
            </w:r>
          </w:p>
          <w:p>
            <w:pPr>
              <w:spacing w:line="300" w:lineRule="exact"/>
              <w:ind w:firstLine="180" w:firstLineChars="100"/>
              <w:rPr>
                <w:rFonts w:ascii="宋体"/>
                <w:sz w:val="18"/>
                <w:szCs w:val="18"/>
              </w:rPr>
            </w:pPr>
            <w:r>
              <w:rPr>
                <w:rFonts w:ascii="宋体" w:hAnsi="宋体"/>
                <w:sz w:val="18"/>
                <w:szCs w:val="18"/>
              </w:rPr>
              <w:t>1.</w:t>
            </w:r>
            <w:r>
              <w:rPr>
                <w:rFonts w:hint="eastAsia" w:ascii="宋体" w:hAnsi="宋体"/>
                <w:sz w:val="18"/>
                <w:szCs w:val="18"/>
              </w:rPr>
              <w:t>材料费</w:t>
            </w:r>
          </w:p>
          <w:p>
            <w:pPr>
              <w:spacing w:line="300" w:lineRule="exact"/>
              <w:ind w:firstLine="180" w:firstLineChars="100"/>
              <w:rPr>
                <w:rFonts w:ascii="宋体"/>
                <w:sz w:val="18"/>
                <w:szCs w:val="18"/>
              </w:rPr>
            </w:pPr>
            <w:r>
              <w:rPr>
                <w:rFonts w:ascii="宋体" w:hAnsi="宋体"/>
                <w:sz w:val="18"/>
                <w:szCs w:val="18"/>
              </w:rPr>
              <w:t>2.</w:t>
            </w:r>
            <w:r>
              <w:rPr>
                <w:rFonts w:hint="eastAsia" w:ascii="宋体" w:hAnsi="宋体"/>
                <w:sz w:val="18"/>
                <w:szCs w:val="18"/>
              </w:rPr>
              <w:t>燃料费</w:t>
            </w:r>
          </w:p>
          <w:p>
            <w:pPr>
              <w:spacing w:line="300" w:lineRule="exact"/>
              <w:ind w:firstLine="180" w:firstLineChars="100"/>
              <w:rPr>
                <w:rFonts w:ascii="宋体"/>
                <w:sz w:val="18"/>
                <w:szCs w:val="18"/>
              </w:rPr>
            </w:pPr>
            <w:r>
              <w:rPr>
                <w:rFonts w:ascii="宋体" w:hAnsi="宋体"/>
                <w:sz w:val="18"/>
                <w:szCs w:val="18"/>
              </w:rPr>
              <w:t>3.</w:t>
            </w:r>
            <w:r>
              <w:rPr>
                <w:rFonts w:hint="eastAsia" w:ascii="宋体" w:hAnsi="宋体"/>
                <w:sz w:val="18"/>
                <w:szCs w:val="18"/>
              </w:rPr>
              <w:t>购入电力费</w:t>
            </w:r>
          </w:p>
          <w:p>
            <w:pPr>
              <w:spacing w:line="300" w:lineRule="exact"/>
              <w:ind w:firstLine="180" w:firstLineChars="100"/>
              <w:rPr>
                <w:rFonts w:ascii="宋体"/>
                <w:sz w:val="18"/>
                <w:szCs w:val="18"/>
              </w:rPr>
            </w:pPr>
            <w:r>
              <w:rPr>
                <w:rFonts w:ascii="宋体" w:hAnsi="宋体"/>
                <w:sz w:val="18"/>
                <w:szCs w:val="18"/>
              </w:rPr>
              <w:t>4.</w:t>
            </w:r>
            <w:r>
              <w:rPr>
                <w:rFonts w:hint="eastAsia" w:ascii="宋体" w:hAnsi="宋体"/>
                <w:sz w:val="18"/>
                <w:szCs w:val="18"/>
              </w:rPr>
              <w:t>工资</w:t>
            </w:r>
            <w:r>
              <w:rPr>
                <w:rFonts w:ascii="宋体" w:hAnsi="宋体"/>
                <w:sz w:val="18"/>
                <w:szCs w:val="18"/>
              </w:rPr>
              <w:t>+</w:t>
            </w:r>
            <w:r>
              <w:rPr>
                <w:rFonts w:hint="eastAsia" w:ascii="宋体" w:hAnsi="宋体"/>
                <w:sz w:val="18"/>
                <w:szCs w:val="18"/>
              </w:rPr>
              <w:t>福利费</w:t>
            </w:r>
          </w:p>
        </w:tc>
        <w:tc>
          <w:tcPr>
            <w:tcW w:w="998" w:type="pct"/>
            <w:tcBorders>
              <w:top w:val="single" w:color="auto" w:sz="2" w:space="0"/>
              <w:left w:val="single" w:color="auto" w:sz="2" w:space="0"/>
              <w:bottom w:val="single" w:color="auto" w:sz="8" w:space="0"/>
              <w:right w:val="single" w:color="auto" w:sz="2" w:space="0"/>
            </w:tcBorders>
            <w:noWrap w:val="0"/>
            <w:vAlign w:val="top"/>
          </w:tcPr>
          <w:p>
            <w:pPr>
              <w:spacing w:line="300" w:lineRule="exact"/>
              <w:rPr>
                <w:rFonts w:ascii="宋体" w:hAnsi="宋体"/>
                <w:sz w:val="18"/>
                <w:szCs w:val="18"/>
              </w:rPr>
            </w:pPr>
            <w:r>
              <w:rPr>
                <w:rFonts w:ascii="宋体" w:hAnsi="宋体"/>
                <w:sz w:val="18"/>
                <w:szCs w:val="18"/>
              </w:rPr>
              <w:t>1</w:t>
            </w:r>
          </w:p>
          <w:p>
            <w:pPr>
              <w:spacing w:line="300" w:lineRule="exact"/>
              <w:ind w:firstLine="180" w:firstLineChars="100"/>
              <w:rPr>
                <w:rFonts w:ascii="宋体"/>
                <w:sz w:val="18"/>
                <w:szCs w:val="18"/>
              </w:rPr>
            </w:pPr>
            <w:r>
              <w:rPr>
                <w:rFonts w:ascii="宋体" w:hAnsi="宋体"/>
                <w:sz w:val="18"/>
                <w:szCs w:val="18"/>
              </w:rPr>
              <w:t>1.</w:t>
            </w:r>
            <w:r>
              <w:rPr>
                <w:rFonts w:hint="eastAsia" w:ascii="宋体" w:hAnsi="宋体"/>
                <w:sz w:val="18"/>
                <w:szCs w:val="18"/>
              </w:rPr>
              <w:t>材料费</w:t>
            </w:r>
          </w:p>
          <w:p>
            <w:pPr>
              <w:spacing w:line="300" w:lineRule="exact"/>
              <w:rPr>
                <w:rFonts w:ascii="宋体"/>
                <w:sz w:val="18"/>
                <w:szCs w:val="18"/>
              </w:rPr>
            </w:pPr>
          </w:p>
          <w:p>
            <w:pPr>
              <w:spacing w:line="300" w:lineRule="exact"/>
              <w:ind w:firstLine="180" w:firstLineChars="100"/>
              <w:rPr>
                <w:rFonts w:ascii="宋体"/>
                <w:sz w:val="18"/>
                <w:szCs w:val="18"/>
              </w:rPr>
            </w:pPr>
          </w:p>
          <w:p>
            <w:pPr>
              <w:spacing w:line="300" w:lineRule="exact"/>
              <w:ind w:firstLine="180" w:firstLineChars="100"/>
              <w:rPr>
                <w:rFonts w:hint="eastAsia" w:ascii="宋体"/>
                <w:sz w:val="18"/>
                <w:szCs w:val="18"/>
              </w:rPr>
            </w:pPr>
            <w:r>
              <w:rPr>
                <w:rFonts w:ascii="宋体" w:hAnsi="宋体"/>
                <w:sz w:val="18"/>
                <w:szCs w:val="18"/>
              </w:rPr>
              <w:t>2.</w:t>
            </w:r>
            <w:r>
              <w:rPr>
                <w:rFonts w:hint="eastAsia" w:ascii="宋体" w:hAnsi="宋体"/>
                <w:sz w:val="18"/>
                <w:szCs w:val="18"/>
              </w:rPr>
              <w:t>工资</w:t>
            </w:r>
            <w:r>
              <w:rPr>
                <w:rFonts w:ascii="宋体" w:hAnsi="宋体"/>
                <w:sz w:val="18"/>
                <w:szCs w:val="18"/>
              </w:rPr>
              <w:t>+</w:t>
            </w:r>
            <w:r>
              <w:rPr>
                <w:rFonts w:hint="eastAsia" w:ascii="宋体" w:hAnsi="宋体"/>
                <w:sz w:val="18"/>
                <w:szCs w:val="18"/>
              </w:rPr>
              <w:t>福利费</w:t>
            </w:r>
          </w:p>
        </w:tc>
        <w:tc>
          <w:tcPr>
            <w:tcW w:w="998" w:type="pct"/>
            <w:tcBorders>
              <w:top w:val="single" w:color="auto" w:sz="2" w:space="0"/>
              <w:left w:val="single" w:color="auto" w:sz="2" w:space="0"/>
              <w:bottom w:val="single" w:color="auto" w:sz="8" w:space="0"/>
              <w:right w:val="single" w:color="auto" w:sz="2" w:space="0"/>
            </w:tcBorders>
            <w:noWrap w:val="0"/>
            <w:vAlign w:val="top"/>
          </w:tcPr>
          <w:p>
            <w:pPr>
              <w:spacing w:line="300" w:lineRule="exact"/>
              <w:rPr>
                <w:rFonts w:ascii="宋体" w:hAnsi="宋体"/>
                <w:sz w:val="18"/>
                <w:szCs w:val="18"/>
              </w:rPr>
            </w:pPr>
            <w:r>
              <w:rPr>
                <w:rFonts w:ascii="宋体" w:hAnsi="宋体"/>
                <w:sz w:val="18"/>
                <w:szCs w:val="18"/>
              </w:rPr>
              <w:t>1</w:t>
            </w:r>
          </w:p>
          <w:p>
            <w:pPr>
              <w:spacing w:line="300" w:lineRule="exact"/>
              <w:ind w:firstLine="180" w:firstLineChars="100"/>
              <w:rPr>
                <w:rFonts w:ascii="宋体"/>
                <w:sz w:val="18"/>
                <w:szCs w:val="18"/>
              </w:rPr>
            </w:pPr>
            <w:r>
              <w:rPr>
                <w:rFonts w:ascii="宋体" w:hAnsi="宋体"/>
                <w:sz w:val="18"/>
                <w:szCs w:val="18"/>
              </w:rPr>
              <w:t>1.</w:t>
            </w:r>
            <w:r>
              <w:rPr>
                <w:rFonts w:hint="eastAsia" w:ascii="宋体" w:hAnsi="宋体"/>
                <w:sz w:val="18"/>
                <w:szCs w:val="18"/>
              </w:rPr>
              <w:t>材料费</w:t>
            </w:r>
          </w:p>
          <w:p>
            <w:pPr>
              <w:spacing w:line="300" w:lineRule="exact"/>
              <w:rPr>
                <w:rFonts w:ascii="宋体"/>
                <w:sz w:val="18"/>
                <w:szCs w:val="18"/>
              </w:rPr>
            </w:pPr>
          </w:p>
          <w:p>
            <w:pPr>
              <w:spacing w:line="300" w:lineRule="exact"/>
              <w:rPr>
                <w:rFonts w:ascii="宋体"/>
                <w:sz w:val="18"/>
                <w:szCs w:val="18"/>
              </w:rPr>
            </w:pPr>
          </w:p>
          <w:p>
            <w:pPr>
              <w:spacing w:line="300" w:lineRule="exact"/>
              <w:ind w:right="-288" w:rightChars="-137" w:firstLine="180" w:firstLineChars="100"/>
              <w:rPr>
                <w:rFonts w:ascii="宋体"/>
                <w:sz w:val="18"/>
                <w:szCs w:val="18"/>
              </w:rPr>
            </w:pPr>
            <w:r>
              <w:rPr>
                <w:rFonts w:ascii="宋体" w:hAnsi="宋体"/>
                <w:sz w:val="18"/>
                <w:szCs w:val="18"/>
              </w:rPr>
              <w:t>2.</w:t>
            </w:r>
            <w:r>
              <w:rPr>
                <w:rFonts w:hint="eastAsia" w:ascii="宋体" w:hAnsi="宋体"/>
                <w:sz w:val="18"/>
                <w:szCs w:val="18"/>
              </w:rPr>
              <w:t>工资</w:t>
            </w:r>
            <w:r>
              <w:rPr>
                <w:rFonts w:ascii="宋体" w:hAnsi="宋体"/>
                <w:sz w:val="18"/>
                <w:szCs w:val="18"/>
              </w:rPr>
              <w:t>+</w:t>
            </w:r>
            <w:r>
              <w:rPr>
                <w:rFonts w:hint="eastAsia" w:ascii="宋体" w:hAnsi="宋体"/>
                <w:sz w:val="18"/>
                <w:szCs w:val="18"/>
              </w:rPr>
              <w:t>福利费</w:t>
            </w:r>
          </w:p>
        </w:tc>
        <w:tc>
          <w:tcPr>
            <w:tcW w:w="1004" w:type="pct"/>
            <w:tcBorders>
              <w:top w:val="single" w:color="auto" w:sz="2" w:space="0"/>
              <w:left w:val="single" w:color="auto" w:sz="2" w:space="0"/>
              <w:bottom w:val="single" w:color="auto" w:sz="8" w:space="0"/>
            </w:tcBorders>
            <w:noWrap w:val="0"/>
            <w:vAlign w:val="top"/>
          </w:tcPr>
          <w:p>
            <w:pPr>
              <w:spacing w:line="300" w:lineRule="exact"/>
              <w:rPr>
                <w:rFonts w:ascii="宋体" w:hAnsi="宋体"/>
                <w:sz w:val="18"/>
                <w:szCs w:val="18"/>
              </w:rPr>
            </w:pPr>
            <w:r>
              <w:rPr>
                <w:rFonts w:ascii="宋体" w:hAnsi="宋体"/>
                <w:sz w:val="18"/>
                <w:szCs w:val="18"/>
              </w:rPr>
              <w:t>1+2</w:t>
            </w:r>
          </w:p>
          <w:p>
            <w:pPr>
              <w:spacing w:line="300" w:lineRule="exact"/>
              <w:ind w:firstLine="180" w:firstLineChars="100"/>
              <w:rPr>
                <w:rFonts w:ascii="宋体"/>
                <w:sz w:val="18"/>
                <w:szCs w:val="18"/>
              </w:rPr>
            </w:pPr>
            <w:r>
              <w:rPr>
                <w:rFonts w:ascii="宋体" w:hAnsi="宋体"/>
                <w:sz w:val="18"/>
                <w:szCs w:val="18"/>
              </w:rPr>
              <w:t>1.</w:t>
            </w:r>
            <w:r>
              <w:rPr>
                <w:rFonts w:hint="eastAsia" w:ascii="宋体" w:hAnsi="宋体"/>
                <w:sz w:val="18"/>
                <w:szCs w:val="18"/>
              </w:rPr>
              <w:t>材料费</w:t>
            </w:r>
          </w:p>
          <w:p>
            <w:pPr>
              <w:spacing w:line="300" w:lineRule="exact"/>
              <w:ind w:firstLine="180" w:firstLineChars="100"/>
              <w:rPr>
                <w:rFonts w:ascii="宋体"/>
                <w:sz w:val="18"/>
                <w:szCs w:val="18"/>
              </w:rPr>
            </w:pPr>
            <w:r>
              <w:rPr>
                <w:rFonts w:ascii="宋体" w:hAnsi="宋体"/>
                <w:sz w:val="18"/>
                <w:szCs w:val="18"/>
              </w:rPr>
              <w:t>2.</w:t>
            </w:r>
            <w:r>
              <w:rPr>
                <w:rFonts w:hint="eastAsia" w:ascii="宋体" w:hAnsi="宋体"/>
                <w:sz w:val="18"/>
                <w:szCs w:val="18"/>
              </w:rPr>
              <w:t>燃料费</w:t>
            </w:r>
          </w:p>
          <w:p>
            <w:pPr>
              <w:spacing w:line="300" w:lineRule="exact"/>
              <w:rPr>
                <w:rFonts w:ascii="宋体"/>
                <w:sz w:val="18"/>
                <w:szCs w:val="18"/>
              </w:rPr>
            </w:pPr>
          </w:p>
          <w:p>
            <w:pPr>
              <w:spacing w:line="300" w:lineRule="exact"/>
              <w:ind w:firstLine="180" w:firstLineChars="100"/>
              <w:rPr>
                <w:rFonts w:ascii="宋体"/>
                <w:sz w:val="18"/>
                <w:szCs w:val="18"/>
              </w:rPr>
            </w:pPr>
            <w:r>
              <w:rPr>
                <w:rFonts w:ascii="宋体" w:hAnsi="宋体"/>
                <w:sz w:val="18"/>
                <w:szCs w:val="18"/>
              </w:rPr>
              <w:t>3.</w:t>
            </w:r>
            <w:r>
              <w:rPr>
                <w:rFonts w:hint="eastAsia" w:ascii="宋体" w:hAnsi="宋体"/>
                <w:sz w:val="18"/>
                <w:szCs w:val="18"/>
              </w:rPr>
              <w:t>工资</w:t>
            </w:r>
            <w:r>
              <w:rPr>
                <w:rFonts w:ascii="宋体" w:hAnsi="宋体"/>
                <w:sz w:val="18"/>
                <w:szCs w:val="18"/>
              </w:rPr>
              <w:t>+</w:t>
            </w:r>
            <w:r>
              <w:rPr>
                <w:rFonts w:hint="eastAsia" w:ascii="宋体" w:hAnsi="宋体"/>
                <w:sz w:val="18"/>
                <w:szCs w:val="18"/>
              </w:rPr>
              <w:t>福利费</w:t>
            </w:r>
          </w:p>
        </w:tc>
      </w:tr>
    </w:tbl>
    <w:p>
      <w:pPr>
        <w:spacing w:line="360" w:lineRule="exact"/>
        <w:ind w:firstLine="420" w:firstLineChars="200"/>
        <w:rPr>
          <w:rFonts w:hint="eastAsia"/>
        </w:rPr>
      </w:pPr>
      <w:r>
        <w:rPr>
          <w:rFonts w:hint="eastAsia"/>
        </w:rPr>
        <w:t>如果供电企业只有“发电成本”“输电成本”“供电成本”“热力成本”中的一种，则将该种成本的各项费用对应填报即可；如果企业有两种以上的成本，则需将这些成本的合计数填报在“制造成本”栏，并将这些成本中的相关费用按上述对应关系相加后填报在</w:t>
      </w:r>
      <w:r>
        <w:rPr>
          <w:rFonts w:hint="eastAsia" w:ascii="宋体" w:hAnsi="宋体" w:cs="宋体"/>
        </w:rPr>
        <w:t>B103</w:t>
      </w:r>
      <w:r>
        <w:rPr>
          <w:rFonts w:hint="eastAsia"/>
        </w:rPr>
        <w:t>表的对应指标栏中，如某企业既有“发电成本”又有“输电成本”，则“发电成本”加上“输电成本”之和填报在“制造成本”栏，“发电成本”中的“材料费”加上“输电成本”中的“材料费”之和填报在“直接材料消耗”栏，其他指标依此类推。</w:t>
      </w:r>
    </w:p>
    <w:p>
      <w:pPr>
        <w:spacing w:line="360" w:lineRule="exact"/>
        <w:ind w:firstLine="420"/>
        <w:rPr>
          <w:rFonts w:hint="eastAsia"/>
        </w:rPr>
      </w:pPr>
      <w:r>
        <w:rPr>
          <w:rFonts w:hint="eastAsia"/>
        </w:rPr>
        <w:t>供水、供气企业填报方法参照供电企业的填报方法执行。</w:t>
      </w:r>
    </w:p>
    <w:p>
      <w:pPr>
        <w:keepNext w:val="0"/>
        <w:keepLines w:val="0"/>
        <w:pageBreakBefore w:val="0"/>
        <w:widowControl w:val="0"/>
        <w:kinsoku/>
        <w:wordWrap/>
        <w:overflowPunct/>
        <w:topLinePunct w:val="0"/>
        <w:autoSpaceDE/>
        <w:autoSpaceDN/>
        <w:bidi w:val="0"/>
        <w:adjustRightInd/>
        <w:snapToGrid w:val="0"/>
        <w:spacing w:before="144" w:beforeLines="50" w:line="360" w:lineRule="exact"/>
        <w:textAlignment w:val="auto"/>
        <w:outlineLvl w:val="9"/>
        <w:rPr>
          <w:rFonts w:hint="eastAsia" w:ascii="宋体" w:hAnsi="宋体" w:cs="宋体"/>
          <w:lang w:val="en-US" w:eastAsia="zh-CN"/>
        </w:rPr>
      </w:pPr>
    </w:p>
    <w:p>
      <w:pPr>
        <w:spacing w:line="360" w:lineRule="exact"/>
        <w:jc w:val="both"/>
        <w:outlineLvl w:val="9"/>
        <w:rPr>
          <w:b/>
          <w:sz w:val="30"/>
          <w:szCs w:val="30"/>
        </w:rPr>
      </w:pPr>
    </w:p>
    <w:p>
      <w:pPr>
        <w:tabs>
          <w:tab w:val="left" w:pos="8280"/>
        </w:tabs>
        <w:spacing w:line="360" w:lineRule="exact"/>
        <w:jc w:val="center"/>
        <w:outlineLvl w:val="9"/>
        <w:rPr>
          <w:b/>
          <w:sz w:val="30"/>
          <w:szCs w:val="30"/>
        </w:rPr>
      </w:pPr>
      <w:r>
        <w:rPr>
          <w:b/>
          <w:bCs/>
          <w:sz w:val="30"/>
          <w:szCs w:val="30"/>
        </w:rPr>
        <w:t>生产经营情况</w:t>
      </w:r>
    </w:p>
    <w:p>
      <w:pPr>
        <w:pStyle w:val="15"/>
        <w:rPr>
          <w:rFonts w:hint="eastAsia" w:ascii="宋体" w:hAnsi="宋体"/>
          <w:szCs w:val="21"/>
        </w:rPr>
      </w:pPr>
    </w:p>
    <w:p>
      <w:pPr>
        <w:snapToGrid w:val="0"/>
        <w:spacing w:line="360" w:lineRule="exact"/>
        <w:ind w:firstLine="420" w:firstLineChars="200"/>
        <w:rPr>
          <w:rFonts w:ascii="宋体"/>
          <w:szCs w:val="21"/>
        </w:rPr>
      </w:pPr>
      <w:r>
        <w:rPr>
          <w:rFonts w:hint="eastAsia" w:ascii="黑体" w:hAnsi="宋体" w:eastAsia="黑体"/>
          <w:szCs w:val="21"/>
        </w:rPr>
        <w:t>工业总产值（当年价格）</w:t>
      </w:r>
      <w:r>
        <w:rPr>
          <w:rFonts w:ascii="仿宋_GB2312" w:hAnsi="宋体" w:eastAsia="仿宋_GB2312"/>
          <w:szCs w:val="21"/>
        </w:rPr>
        <w:t xml:space="preserve">  </w:t>
      </w:r>
      <w:r>
        <w:rPr>
          <w:rFonts w:hint="eastAsia" w:ascii="宋体" w:hAnsi="宋体"/>
          <w:szCs w:val="21"/>
        </w:rPr>
        <w:t>指工业企业在报告期内生产的以货币形式表现的工业最终产品和提供工业劳务活动的总价值量。</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）工业总产值计算应遵循的原则</w:t>
      </w:r>
    </w:p>
    <w:p>
      <w:pPr>
        <w:snapToGrid w:val="0"/>
        <w:spacing w:line="360" w:lineRule="exact"/>
        <w:ind w:firstLine="420" w:firstLineChars="200"/>
        <w:rPr>
          <w:rFonts w:ascii="宋体"/>
          <w:szCs w:val="21"/>
        </w:rPr>
      </w:pPr>
      <w:r>
        <w:rPr>
          <w:rFonts w:hint="eastAsia" w:ascii="宋体" w:hAnsi="宋体"/>
          <w:szCs w:val="21"/>
        </w:rPr>
        <w:t>①工业生产的原则。即凡是企业在报告期内生产的最终产品和提供的劳务，均应包括在内。其中的最终产品，不管是否在报告期内销售，只要是报告期内生产的，就应包括在内。凡不是工业生产的产品，均不得计入工业总产值。</w:t>
      </w:r>
    </w:p>
    <w:p>
      <w:pPr>
        <w:snapToGrid w:val="0"/>
        <w:spacing w:line="360" w:lineRule="exact"/>
        <w:ind w:firstLine="420" w:firstLineChars="200"/>
        <w:rPr>
          <w:rFonts w:ascii="宋体"/>
          <w:szCs w:val="21"/>
        </w:rPr>
      </w:pPr>
      <w:r>
        <w:rPr>
          <w:rFonts w:hint="eastAsia" w:ascii="宋体" w:hAnsi="宋体"/>
          <w:szCs w:val="21"/>
        </w:rPr>
        <w:t>②最终产品的原则。即企业生产的成品价值必须是本企业生产的，经检验合格不需再进行任何加工的最终产品。企业对外销售的半成品也应视为最终产品计入工业总产值。而在本企业内各车间转移的半成品和在制品只能计算其期末期初差额价值。</w:t>
      </w:r>
    </w:p>
    <w:p>
      <w:pPr>
        <w:snapToGrid w:val="0"/>
        <w:spacing w:line="360" w:lineRule="exact"/>
        <w:ind w:firstLine="420" w:firstLineChars="200"/>
        <w:rPr>
          <w:rFonts w:hint="eastAsia" w:ascii="宋体" w:hAnsi="宋体"/>
          <w:szCs w:val="21"/>
        </w:rPr>
      </w:pPr>
      <w:r>
        <w:rPr>
          <w:rFonts w:hint="eastAsia" w:ascii="宋体" w:hAnsi="宋体"/>
          <w:szCs w:val="21"/>
        </w:rPr>
        <w:t>③“工厂法”原则。即以法人工业企业作为一个整体计算工业总产值，是其报告期内生产的最终产品和提供劳务的总价值量。</w:t>
      </w:r>
    </w:p>
    <w:p>
      <w:pPr>
        <w:pStyle w:val="2"/>
        <w:spacing w:after="0"/>
        <w:ind w:left="0" w:leftChars="0" w:firstLine="420"/>
        <w:rPr>
          <w:rFonts w:hint="eastAsia" w:ascii="宋体" w:hAnsi="宋体"/>
          <w:szCs w:val="21"/>
        </w:rPr>
      </w:pPr>
      <w:r>
        <w:rPr>
          <w:rFonts w:hint="eastAsia" w:ascii="宋体" w:hAnsi="宋体"/>
          <w:szCs w:val="21"/>
        </w:rPr>
        <w:t>④“不含税”的原则。即企业在计算工业总产值时，其所依据的基础数据应不含应交增值税。</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）工业总产值的内容</w:t>
      </w:r>
    </w:p>
    <w:p>
      <w:pPr>
        <w:snapToGrid w:val="0"/>
        <w:spacing w:line="360" w:lineRule="exact"/>
        <w:ind w:firstLine="420" w:firstLineChars="200"/>
        <w:rPr>
          <w:rFonts w:ascii="宋体"/>
          <w:szCs w:val="21"/>
        </w:rPr>
      </w:pPr>
      <w:r>
        <w:rPr>
          <w:rFonts w:hint="eastAsia" w:ascii="宋体" w:hAnsi="宋体"/>
          <w:szCs w:val="21"/>
        </w:rPr>
        <w:t>包括三部分：生产的成品价值、对外加工费收入、自制半成品在制品期末期初差额价值。</w:t>
      </w:r>
    </w:p>
    <w:p>
      <w:pPr>
        <w:snapToGrid w:val="0"/>
        <w:spacing w:line="360" w:lineRule="exact"/>
        <w:ind w:firstLine="420" w:firstLineChars="200"/>
        <w:rPr>
          <w:rFonts w:ascii="宋体"/>
          <w:szCs w:val="21"/>
        </w:rPr>
      </w:pPr>
      <w:r>
        <w:rPr>
          <w:rFonts w:hint="eastAsia" w:ascii="宋体" w:hAnsi="宋体"/>
          <w:szCs w:val="21"/>
        </w:rPr>
        <w:t>①成品价值：指企业在报告期内生产，并在报告期内不再进行加工，经检验合格、包装入库的已经销售和准备销售的全部工业成品（包括半成品）价值合计。成品价值包括企业生产的自制设备及提供给本企业在建工程、其他非工业部门和生活福利部门等单位使用的成品价值，但不包括用订货者来料加工的成品（半成品）价值。</w:t>
      </w:r>
    </w:p>
    <w:p>
      <w:pPr>
        <w:snapToGrid w:val="0"/>
        <w:spacing w:line="360" w:lineRule="exact"/>
        <w:ind w:firstLine="420" w:firstLineChars="200"/>
        <w:rPr>
          <w:rFonts w:ascii="宋体"/>
          <w:szCs w:val="21"/>
        </w:rPr>
      </w:pPr>
      <w:r>
        <w:rPr>
          <w:rFonts w:hint="eastAsia" w:ascii="宋体" w:hAnsi="宋体"/>
          <w:szCs w:val="21"/>
        </w:rPr>
        <w:t>工业总产值是按现行价格计算的。成品价值按成品实物量乘以报告期不含应交增值税（销项税额）的产品实际销售平均单价计算。会计核算中按成本价格转账的自制设备和自产自用的成品，按成本价格计算成品价值。</w:t>
      </w:r>
    </w:p>
    <w:p>
      <w:pPr>
        <w:snapToGrid w:val="0"/>
        <w:spacing w:line="360" w:lineRule="exact"/>
        <w:ind w:firstLine="420" w:firstLineChars="200"/>
        <w:rPr>
          <w:rFonts w:ascii="宋体"/>
          <w:szCs w:val="21"/>
        </w:rPr>
      </w:pPr>
      <w:r>
        <w:rPr>
          <w:rFonts w:hint="eastAsia" w:ascii="宋体" w:hAnsi="宋体"/>
          <w:szCs w:val="21"/>
        </w:rPr>
        <w:t>②对外加工费收入：指企业在报告期内完成的对外承做的工业品加工（包括用订货者来料加工生产）的加工费收入和对外工业品修理作业所收取的加工费收入和对内非工业部门提供的加工修理、设备安装等收入。对外加工费收入按不含应交增值税（销项税额）的价格计算。</w:t>
      </w:r>
    </w:p>
    <w:p>
      <w:pPr>
        <w:snapToGrid w:val="0"/>
        <w:spacing w:line="360" w:lineRule="exact"/>
        <w:ind w:firstLine="420" w:firstLineChars="200"/>
        <w:rPr>
          <w:rFonts w:ascii="宋体"/>
          <w:szCs w:val="21"/>
        </w:rPr>
      </w:pPr>
      <w:r>
        <w:rPr>
          <w:rFonts w:hint="eastAsia" w:ascii="宋体" w:hAnsi="宋体"/>
          <w:szCs w:val="21"/>
        </w:rPr>
        <w:t>对于以对外加工生产为主，对外加工费收入所占比重较大的企业，如果对外加工费收入出现跨报告期支付的情况，为保证总产值生产口径计算的准确性，则应将对外加工费收入按实际情况调整，记录本报告期应实际收取的对外加工费收入。</w:t>
      </w:r>
    </w:p>
    <w:p>
      <w:pPr>
        <w:snapToGrid w:val="0"/>
        <w:spacing w:line="360" w:lineRule="exact"/>
        <w:ind w:firstLine="420" w:firstLineChars="200"/>
        <w:rPr>
          <w:rFonts w:ascii="宋体"/>
          <w:szCs w:val="21"/>
        </w:rPr>
      </w:pPr>
      <w:r>
        <w:rPr>
          <w:rFonts w:hint="eastAsia" w:ascii="宋体" w:hAnsi="宋体"/>
          <w:szCs w:val="21"/>
        </w:rPr>
        <w:t>③自制半成品在制品期末期初差额价值。为了使工业总产值与工业中间投入中的物耗价值一致，以便同口径地计算工业增加值，规定本指标的计算原则是：凡是企业会计产品成本核算中计算半成品、在制品成本，则工业总产值中必须包括自制半成品在制品期末期初差额价值。反之则不包括。</w:t>
      </w:r>
    </w:p>
    <w:p>
      <w:pPr>
        <w:snapToGrid w:val="0"/>
        <w:spacing w:line="360" w:lineRule="exact"/>
        <w:ind w:firstLine="420" w:firstLineChars="200"/>
        <w:rPr>
          <w:rFonts w:ascii="宋体"/>
          <w:szCs w:val="21"/>
        </w:rPr>
      </w:pPr>
      <w:r>
        <w:rPr>
          <w:rFonts w:hint="eastAsia" w:ascii="宋体" w:hAnsi="宋体"/>
          <w:szCs w:val="21"/>
        </w:rPr>
        <w:t>自制半成品在制品期末期初差额价值等于自制半成品在制品期末价值减去期初价值后的余额，如果期末价值小于期初价值，该指标为负值，企业在计算产值时，应按负值计算，不能作为零处理。</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）工业总产值计算的几种具体规定</w:t>
      </w:r>
    </w:p>
    <w:p>
      <w:pPr>
        <w:snapToGrid w:val="0"/>
        <w:spacing w:line="360" w:lineRule="exact"/>
        <w:ind w:firstLine="420" w:firstLineChars="200"/>
        <w:rPr>
          <w:rFonts w:ascii="宋体"/>
          <w:szCs w:val="21"/>
        </w:rPr>
      </w:pPr>
      <w:r>
        <w:rPr>
          <w:rFonts w:hint="eastAsia" w:ascii="宋体" w:hAnsi="宋体"/>
          <w:szCs w:val="21"/>
        </w:rPr>
        <w:t>①凡自备原材料（包括自备零部件）生产，不论其加工繁简程度如何，一律按全价，即包括自备原材料的价值，计算工业总产值。</w:t>
      </w:r>
    </w:p>
    <w:p>
      <w:pPr>
        <w:snapToGrid w:val="0"/>
        <w:spacing w:line="360" w:lineRule="exact"/>
        <w:ind w:firstLine="420" w:firstLineChars="200"/>
        <w:rPr>
          <w:rFonts w:ascii="宋体"/>
          <w:szCs w:val="21"/>
        </w:rPr>
      </w:pPr>
      <w:r>
        <w:rPr>
          <w:rFonts w:hint="eastAsia" w:ascii="宋体" w:hAnsi="宋体"/>
          <w:szCs w:val="21"/>
        </w:rPr>
        <w:t>②凡来料加工，加工企业只收取加工费，则加工企业一律按财务上结算的加工费计算工业总产值，即不包括定货者来料的价值。一般分两种情况：</w:t>
      </w:r>
      <w:r>
        <w:rPr>
          <w:rFonts w:ascii="宋体" w:hAnsi="宋体"/>
          <w:szCs w:val="21"/>
        </w:rPr>
        <w:t>a</w:t>
      </w:r>
      <w:r>
        <w:rPr>
          <w:rFonts w:hint="eastAsia" w:ascii="宋体" w:hAnsi="宋体"/>
          <w:szCs w:val="21"/>
        </w:rPr>
        <w:t>.工业企业之间的来料加工，加工企业（即承包单位）按财务上结算的加工费计算工业总产值；委托加工的企业（即发包单位）按全价计算工业总产值。</w:t>
      </w:r>
      <w:r>
        <w:rPr>
          <w:rFonts w:ascii="宋体" w:hAnsi="宋体"/>
          <w:szCs w:val="21"/>
        </w:rPr>
        <w:t>b</w:t>
      </w:r>
      <w:r>
        <w:rPr>
          <w:rFonts w:hint="eastAsia" w:ascii="宋体" w:hAnsi="宋体"/>
          <w:szCs w:val="21"/>
        </w:rPr>
        <w:t>.工业企业与非工业企业之间的来料加工，当工业企业作为加工企业时一律按加工费计算工业总产值。</w:t>
      </w:r>
    </w:p>
    <w:p>
      <w:pPr>
        <w:snapToGrid w:val="0"/>
        <w:spacing w:line="360" w:lineRule="exact"/>
        <w:ind w:firstLine="420" w:firstLineChars="200"/>
        <w:rPr>
          <w:rFonts w:ascii="宋体"/>
          <w:szCs w:val="21"/>
        </w:rPr>
      </w:pPr>
      <w:r>
        <w:rPr>
          <w:rFonts w:hint="eastAsia" w:ascii="宋体" w:hAnsi="宋体"/>
          <w:szCs w:val="21"/>
        </w:rPr>
        <w:t>③自制半成品、在制品期末期初差额价值，原则上应计入工业总产值，但如果会计产品成本核算中不计算自制半成品、在制品成本，则不计入工业总产值；如果会计产品成本核算中计算自制半成品、在制品成本的，则计入工业总产值。</w:t>
      </w:r>
    </w:p>
    <w:p>
      <w:pPr>
        <w:snapToGrid w:val="0"/>
        <w:spacing w:line="360" w:lineRule="exact"/>
        <w:ind w:firstLine="420" w:firstLineChars="200"/>
        <w:rPr>
          <w:rFonts w:ascii="宋体"/>
          <w:szCs w:val="21"/>
        </w:rPr>
      </w:pPr>
      <w:r>
        <w:rPr>
          <w:rFonts w:hint="eastAsia" w:ascii="宋体" w:hAnsi="宋体"/>
          <w:szCs w:val="21"/>
        </w:rPr>
        <w:t>区分来料加工与自备原材料生产的依据是加工企业与委托加工企业间的财务结算关系。如果委托企业提供原材料而不与加工企业结算，加工企业收取加工费，产品返回委托企业销售，则这种模式是来料加工；如果委托加工企业提供的原材料与加工企业是结算的，制成品由加工企业返给委托企业也是结算的，则这种模式是自备原材料生产。</w:t>
      </w:r>
    </w:p>
    <w:p>
      <w:pPr>
        <w:snapToGrid w:val="0"/>
        <w:spacing w:line="360" w:lineRule="exact"/>
        <w:ind w:firstLine="420" w:firstLineChars="200"/>
        <w:rPr>
          <w:rFonts w:ascii="宋体"/>
          <w:szCs w:val="21"/>
        </w:rPr>
      </w:pPr>
      <w:r>
        <w:rPr>
          <w:rFonts w:hint="eastAsia" w:ascii="黑体" w:hAnsi="宋体" w:eastAsia="黑体"/>
          <w:szCs w:val="21"/>
        </w:rPr>
        <w:t>工业销售产值（当年价格）</w:t>
      </w:r>
      <w:r>
        <w:rPr>
          <w:rFonts w:ascii="黑体" w:hAnsi="宋体" w:eastAsia="黑体"/>
          <w:szCs w:val="21"/>
        </w:rPr>
        <w:t xml:space="preserve">  </w:t>
      </w:r>
      <w:r>
        <w:rPr>
          <w:rFonts w:hint="eastAsia" w:ascii="宋体" w:hAnsi="宋体"/>
          <w:szCs w:val="21"/>
        </w:rPr>
        <w:t>指以货币形式表现的，工业企业在报告期内销售的本企业生产的工业产品或提供工业性劳务价值的总价值量。工业销售产值包括的内容为：</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销售成品价值：指企业在报告期内实际销售（包括本期生产和非本期生产）的全部成品、半成品的总价值，即按报告期产品的实际销售数量乘以不含增值税（销项税额）的产品实际销售平均单价计算。销售成品价值中包括企业生产的自制设备及提供给本企业在建工程、其他非工业部门和生活福利部门等单位使用的成品价值，但不包括用订货者来料加工，并且只收取加工费的成品（半成品）价值。</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对外加工费收入：指企业在报告期内完成的对外承接的工业品加工（包括用订货者来料加工的产品）的加工费收入；对外工业品修理作业可收取的加工费收入和对内非工业部门提供的加工修理、设备安装等收入。对外加工费收入按不含增值税（销项税额）的价格计算。</w:t>
      </w:r>
    </w:p>
    <w:p>
      <w:pPr>
        <w:snapToGrid w:val="0"/>
        <w:spacing w:line="360" w:lineRule="exact"/>
        <w:ind w:firstLine="420" w:firstLineChars="200"/>
        <w:rPr>
          <w:rFonts w:ascii="宋体"/>
          <w:szCs w:val="21"/>
        </w:rPr>
      </w:pPr>
      <w:r>
        <w:rPr>
          <w:rFonts w:hint="eastAsia" w:ascii="宋体" w:hAnsi="宋体"/>
          <w:szCs w:val="21"/>
        </w:rPr>
        <w:t>对于以对外加工生产为主，对外加工费收入所占比重较大的企业，如果对外加工费收入出现跨报告期支付的情况，为保证总产值生产口径计算的准确性，则应将对外加工费收入按实际情况调整，记录本报告期应实际收取的对外加工费收入。</w:t>
      </w:r>
    </w:p>
    <w:p>
      <w:pPr>
        <w:snapToGrid w:val="0"/>
        <w:spacing w:line="360" w:lineRule="exact"/>
        <w:ind w:firstLine="420" w:firstLineChars="200"/>
        <w:rPr>
          <w:rFonts w:ascii="宋体"/>
          <w:szCs w:val="21"/>
        </w:rPr>
      </w:pPr>
      <w:r>
        <w:rPr>
          <w:rFonts w:hint="eastAsia" w:ascii="宋体" w:hAnsi="宋体"/>
          <w:szCs w:val="21"/>
        </w:rPr>
        <w:t>区分来料加工与自备原材料生产的依据同工业总产值中的规定。</w:t>
      </w:r>
    </w:p>
    <w:p>
      <w:pPr>
        <w:snapToGrid w:val="0"/>
        <w:spacing w:line="360" w:lineRule="exact"/>
        <w:ind w:firstLine="420" w:firstLineChars="200"/>
        <w:rPr>
          <w:rFonts w:hint="eastAsia" w:ascii="宋体" w:hAnsi="宋体"/>
          <w:szCs w:val="21"/>
        </w:rPr>
      </w:pPr>
      <w:r>
        <w:rPr>
          <w:rFonts w:hint="eastAsia" w:ascii="黑体" w:hAnsi="宋体" w:eastAsia="黑体"/>
          <w:szCs w:val="21"/>
        </w:rPr>
        <w:t>出口交货值</w:t>
      </w:r>
      <w:r>
        <w:rPr>
          <w:rFonts w:ascii="仿宋_GB2312" w:hAnsi="宋体" w:eastAsia="仿宋_GB2312"/>
          <w:szCs w:val="21"/>
        </w:rPr>
        <w:t xml:space="preserve">  </w:t>
      </w:r>
      <w:r>
        <w:rPr>
          <w:rFonts w:hint="eastAsia" w:ascii="宋体" w:hAnsi="宋体"/>
          <w:szCs w:val="21"/>
        </w:rPr>
        <w:t>指工业企业自营（委托）出口（包括销往香港、澳门、台湾省）或交给外贸部门出口的产品价值，以及外商来样、来料加工、来件装配和补偿贸易等生产的产品价值。</w:t>
      </w:r>
    </w:p>
    <w:p>
      <w:pPr>
        <w:snapToGrid w:val="0"/>
        <w:spacing w:line="360" w:lineRule="exact"/>
        <w:ind w:firstLine="420" w:firstLineChars="200"/>
        <w:rPr>
          <w:rFonts w:hint="eastAsia" w:ascii="宋体" w:hAnsi="宋体"/>
          <w:szCs w:val="21"/>
        </w:rPr>
      </w:pPr>
      <w:r>
        <w:rPr>
          <w:rFonts w:hint="eastAsia" w:ascii="宋体" w:hAnsi="宋体"/>
          <w:szCs w:val="21"/>
        </w:rPr>
        <w:t>填报出口交货值需要注意两点：</w:t>
      </w:r>
    </w:p>
    <w:p>
      <w:pPr>
        <w:snapToGrid w:val="0"/>
        <w:spacing w:line="360" w:lineRule="exact"/>
        <w:ind w:firstLine="420" w:firstLineChars="200"/>
        <w:rPr>
          <w:rFonts w:hint="eastAsia" w:ascii="宋体" w:hAnsi="宋体"/>
          <w:szCs w:val="21"/>
        </w:rPr>
      </w:pPr>
      <w:r>
        <w:rPr>
          <w:rFonts w:hint="eastAsia" w:ascii="宋体" w:hAnsi="宋体"/>
          <w:szCs w:val="21"/>
        </w:rPr>
        <w:t>1.出口交货值不仅包括企业自营出口的产品价值，也包括交给外贸部门的产品价值。</w:t>
      </w:r>
    </w:p>
    <w:p>
      <w:pPr>
        <w:snapToGrid w:val="0"/>
        <w:spacing w:line="360" w:lineRule="exact"/>
        <w:ind w:firstLine="420" w:firstLineChars="200"/>
        <w:rPr>
          <w:rFonts w:hint="eastAsia" w:ascii="宋体" w:hAnsi="宋体"/>
          <w:szCs w:val="21"/>
        </w:rPr>
      </w:pPr>
      <w:r>
        <w:rPr>
          <w:rFonts w:hint="eastAsia" w:ascii="宋体" w:hAnsi="宋体"/>
          <w:szCs w:val="21"/>
        </w:rPr>
        <w:t>2.对于外商来样、来料加工、来件装配和补偿贸易等生产的产品价值，在计算出口交货值时，按全价或加工费来计算，并非按产品加工前后的差价计算。</w:t>
      </w:r>
    </w:p>
    <w:p>
      <w:pPr>
        <w:widowControl/>
        <w:snapToGrid w:val="0"/>
        <w:spacing w:line="360" w:lineRule="exact"/>
        <w:ind w:firstLine="420" w:firstLineChars="200"/>
        <w:rPr>
          <w:rFonts w:ascii="宋体" w:hAnsi="宋体"/>
          <w:spacing w:val="-6"/>
          <w:szCs w:val="21"/>
        </w:rPr>
      </w:pPr>
      <w:r>
        <w:rPr>
          <w:rFonts w:hint="eastAsia" w:ascii="黑体" w:hAnsi="宋体" w:eastAsia="黑体"/>
          <w:szCs w:val="21"/>
        </w:rPr>
        <w:t>生产能力</w:t>
      </w:r>
      <w:r>
        <w:rPr>
          <w:rFonts w:ascii="仿宋_GB2312" w:hAnsi="宋体" w:eastAsia="仿宋_GB2312"/>
          <w:bCs/>
          <w:szCs w:val="21"/>
        </w:rPr>
        <w:t xml:space="preserve">  </w:t>
      </w:r>
      <w:r>
        <w:rPr>
          <w:rFonts w:hint="eastAsia" w:ascii="宋体" w:hAnsi="宋体"/>
          <w:spacing w:val="-6"/>
          <w:szCs w:val="21"/>
        </w:rPr>
        <w:t>一般指产品的综合生产能力，但也有些产品指其主要设备的能力。在填报时分为两种情况：</w:t>
      </w:r>
    </w:p>
    <w:p>
      <w:pPr>
        <w:widowControl/>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产品生产能力：指在一个企业范围内生产某种产品的综合平衡能力，是生产某种产品的全部设备（包括主要生产设备、辅助生产设备、起重运输设备、动力设备及有关的厂房和生产用建筑物等）在原材料、燃料动力供应充分，劳动力配备合理，设备正常运转的条件下，报告期内可能达到的生产量。企业在具体填报时，可以区分以下三种情况：第一种是原有设计能力未经重大技术改造的用设计能力填报；经过技术改造后，有技术改造后设计能力的，填报技术改造后的设计能力。第二种是原有设计能力已不能反映实际情况，有核定能力的，按核定能力填报。第三种是既没有设计能力也没有核定能力，或原设计能力（或核定能力）已与实际生产水平相差很大，按查定能力填报。</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）设备能力：指某种设备的单位时间内可能生产的产品数量，也就是说，某种设备在单位时间内的工作量，即一般所称的设备效率，或设备生产率，它不考虑与其他设备的平衡问题。</w:t>
      </w:r>
    </w:p>
    <w:p>
      <w:pPr>
        <w:snapToGrid w:val="0"/>
        <w:spacing w:line="360" w:lineRule="exact"/>
        <w:ind w:firstLine="420" w:firstLineChars="200"/>
        <w:rPr>
          <w:rFonts w:ascii="宋体"/>
          <w:szCs w:val="21"/>
        </w:rPr>
      </w:pPr>
      <w:r>
        <w:rPr>
          <w:rFonts w:hint="eastAsia" w:ascii="宋体" w:hAnsi="宋体"/>
          <w:szCs w:val="21"/>
        </w:rPr>
        <w:t>企业在具体填报时，还要注意以下几点：</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）以生产能力表的产品为基准填报。以水泥生产设备为例，如果企业的设备既能生产水泥，也能生产水泥熟料，而报告期企业只生产熟料，没有生产水泥，则企业不能填报水泥的生产能力。</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）停产企业要继续填报生产能力。</w:t>
      </w:r>
    </w:p>
    <w:p>
      <w:pPr>
        <w:snapToGrid w:val="0"/>
        <w:spacing w:line="360" w:lineRule="exact"/>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）破产企业不需填报生产能力。</w:t>
      </w:r>
    </w:p>
    <w:p>
      <w:pPr>
        <w:snapToGrid w:val="0"/>
        <w:spacing w:line="360" w:lineRule="exact"/>
        <w:ind w:firstLine="420" w:firstLineChars="200"/>
        <w:rPr>
          <w:rFonts w:ascii="宋体"/>
          <w:szCs w:val="21"/>
        </w:rPr>
      </w:pPr>
      <w:r>
        <w:rPr>
          <w:rFonts w:hint="eastAsia" w:ascii="黑体" w:hAnsi="宋体" w:eastAsia="黑体"/>
          <w:szCs w:val="21"/>
        </w:rPr>
        <w:t>产品产量</w:t>
      </w:r>
      <w:r>
        <w:rPr>
          <w:rFonts w:ascii="仿宋_GB2312" w:hAnsi="宋体" w:eastAsia="仿宋_GB2312"/>
          <w:szCs w:val="21"/>
        </w:rPr>
        <w:t xml:space="preserve">  </w:t>
      </w:r>
      <w:r>
        <w:rPr>
          <w:rFonts w:hint="eastAsia" w:ascii="宋体" w:hAnsi="宋体"/>
          <w:szCs w:val="21"/>
        </w:rPr>
        <w:t>指工业企业在报告期内生产的并符合产品质量要求的实物数量，包括商品量和自用量两部分。</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）产品生产量计算应遵循的原则</w:t>
      </w:r>
    </w:p>
    <w:p>
      <w:pPr>
        <w:snapToGrid w:val="0"/>
        <w:spacing w:line="360" w:lineRule="exact"/>
        <w:ind w:firstLine="420" w:firstLineChars="200"/>
        <w:rPr>
          <w:rFonts w:ascii="宋体"/>
          <w:szCs w:val="21"/>
        </w:rPr>
      </w:pPr>
      <w:r>
        <w:rPr>
          <w:rFonts w:hint="eastAsia" w:ascii="宋体" w:hAnsi="宋体"/>
          <w:szCs w:val="21"/>
        </w:rPr>
        <w:t>①产品质量标准：产品必须符合规定的质量标准或订货合同规定的技术条件，才可统计生产量。工业产品质量标准一律按国家标准或部颁标准执行。没有国家标准或部颁标准的产品，应按企业主管机关的标准或订货合同规定的技术条件执行，不得擅自更改标准或降低标准，不合格的产品不能计算生产量。</w:t>
      </w:r>
    </w:p>
    <w:p>
      <w:pPr>
        <w:snapToGrid w:val="0"/>
        <w:spacing w:line="360" w:lineRule="exact"/>
        <w:ind w:firstLine="420" w:firstLineChars="200"/>
        <w:rPr>
          <w:rFonts w:ascii="宋体"/>
          <w:szCs w:val="21"/>
        </w:rPr>
      </w:pPr>
      <w:r>
        <w:rPr>
          <w:rFonts w:hint="eastAsia" w:ascii="宋体" w:hAnsi="宋体"/>
          <w:szCs w:val="21"/>
        </w:rPr>
        <w:t>②统计时间：产品生产量反映的是报告期内的工业生产成果，凡报告期内生产的产品都应计算在内，即截至报告期最后一天检验合格并办理了入库手续的产品，其中规定要求包装的产品必须包装好才能计算其生产量。至于报告期最后一天以哪一个班次作为截止计算产量的班次则由企业主管机关规定，并应与会计核算的结算时间一致。结算时间一经确定，就要严格执行，不得随意提前或移后。</w:t>
      </w:r>
    </w:p>
    <w:p>
      <w:pPr>
        <w:snapToGrid w:val="0"/>
        <w:spacing w:line="360" w:lineRule="exact"/>
        <w:ind w:firstLine="420" w:firstLineChars="200"/>
        <w:rPr>
          <w:rFonts w:ascii="宋体"/>
          <w:szCs w:val="21"/>
        </w:rPr>
      </w:pPr>
      <w:r>
        <w:rPr>
          <w:rFonts w:hint="eastAsia" w:ascii="宋体" w:hAnsi="宋体"/>
          <w:szCs w:val="21"/>
        </w:rPr>
        <w:t>③准确度量：准确度量是计算产品产量的重要一环，企业应配备必要的计量设备，对产量进行实际度量，不得随意估算，对确有困难不得不推算的某些产品，一定要按照主管部门规定的推算方法计算，使之尽量接近实际。</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2</w:t>
      </w:r>
      <w:r>
        <w:rPr>
          <w:rFonts w:hint="eastAsia" w:ascii="宋体" w:hAnsi="宋体"/>
          <w:szCs w:val="21"/>
        </w:rPr>
        <w:t>）产品生产量包括的内容</w:t>
      </w:r>
    </w:p>
    <w:p>
      <w:pPr>
        <w:snapToGrid w:val="0"/>
        <w:spacing w:line="360" w:lineRule="exact"/>
        <w:ind w:firstLine="420" w:firstLineChars="200"/>
        <w:rPr>
          <w:rFonts w:ascii="宋体"/>
          <w:szCs w:val="21"/>
        </w:rPr>
      </w:pPr>
      <w:r>
        <w:rPr>
          <w:rFonts w:hint="eastAsia" w:ascii="宋体" w:hAnsi="宋体"/>
          <w:szCs w:val="21"/>
        </w:rPr>
        <w:t>①企业各车间（主要车间、辅助车间、附属品车间及副产品车间）用自备原材料生产的全部产品产量，不论是要销售的商品量还是本企业的自用量，均应统计生产量。</w:t>
      </w:r>
    </w:p>
    <w:p>
      <w:pPr>
        <w:snapToGrid w:val="0"/>
        <w:spacing w:line="360" w:lineRule="exact"/>
        <w:ind w:firstLine="420" w:firstLineChars="200"/>
        <w:rPr>
          <w:rFonts w:ascii="宋体"/>
          <w:szCs w:val="21"/>
        </w:rPr>
      </w:pPr>
      <w:r>
        <w:rPr>
          <w:rFonts w:hint="eastAsia" w:ascii="宋体" w:hAnsi="宋体"/>
          <w:szCs w:val="21"/>
        </w:rPr>
        <w:t>②凡用订货者来料加工生产的产品，并且加工企业只收取加工费的，如果订货者是境内非工业企业和境外企业，其产品生产量由加工企业统计；如果订货者是境内工业企业，产品生产量由委托企业（即发包企业）统计，加工企业（即承包企业）不统计。</w:t>
      </w:r>
    </w:p>
    <w:p>
      <w:pPr>
        <w:snapToGrid w:val="0"/>
        <w:spacing w:line="360" w:lineRule="exact"/>
        <w:ind w:firstLine="420" w:firstLineChars="200"/>
        <w:rPr>
          <w:rFonts w:ascii="宋体"/>
          <w:szCs w:val="21"/>
        </w:rPr>
      </w:pPr>
      <w:r>
        <w:rPr>
          <w:rFonts w:hint="eastAsia" w:ascii="宋体" w:hAnsi="宋体"/>
          <w:szCs w:val="21"/>
        </w:rPr>
        <w:t>③经正式鉴定合格的新产品、自产自用的生产设备、未正式投入生产以前试生产的合格品以及基本建设附产的合格品，都应包括在产品生产量中。</w:t>
      </w:r>
    </w:p>
    <w:p>
      <w:pPr>
        <w:snapToGrid w:val="0"/>
        <w:spacing w:line="360" w:lineRule="exact"/>
        <w:ind w:firstLine="420" w:firstLineChars="200"/>
        <w:rPr>
          <w:rFonts w:ascii="宋体"/>
          <w:szCs w:val="21"/>
        </w:rPr>
      </w:pPr>
      <w:r>
        <w:rPr>
          <w:rFonts w:hint="eastAsia" w:ascii="宋体" w:hAnsi="宋体"/>
          <w:szCs w:val="21"/>
        </w:rPr>
        <w:t>④用进口原材料或关键零件生产的产品，或用进口整套散装零件及用进口组装件加工、装配的产品，不论是在国内销售还是外商经销，生产量均统计在国内同种产品生产量中。</w:t>
      </w:r>
    </w:p>
    <w:p>
      <w:pPr>
        <w:snapToGrid w:val="0"/>
        <w:spacing w:line="360" w:lineRule="exact"/>
        <w:ind w:firstLine="420" w:firstLineChars="200"/>
        <w:rPr>
          <w:rFonts w:ascii="宋体"/>
          <w:szCs w:val="21"/>
        </w:rPr>
      </w:pPr>
      <w:r>
        <w:rPr>
          <w:rFonts w:hint="eastAsia" w:ascii="宋体" w:hAnsi="宋体"/>
          <w:szCs w:val="21"/>
        </w:rPr>
        <w:t>⑤在我国国土范围内的外商投资和港、澳、台商投资工业企业生产的产品，其生产量全部统计在国内同种产品生产量中。</w:t>
      </w:r>
    </w:p>
    <w:p>
      <w:pPr>
        <w:snapToGrid w:val="0"/>
        <w:spacing w:line="360" w:lineRule="exact"/>
        <w:ind w:firstLine="420" w:firstLineChars="200"/>
        <w:rPr>
          <w:rFonts w:ascii="宋体"/>
          <w:szCs w:val="21"/>
        </w:rPr>
      </w:pPr>
      <w:r>
        <w:rPr>
          <w:rFonts w:hint="eastAsia" w:ascii="宋体" w:hAnsi="宋体"/>
          <w:szCs w:val="21"/>
        </w:rPr>
        <w:t>区分来料加工与自备原材料生产的依据同工业总产值中的规定。</w:t>
      </w:r>
    </w:p>
    <w:p>
      <w:pPr>
        <w:snapToGrid w:val="0"/>
        <w:spacing w:line="360" w:lineRule="exact"/>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）工业产品生产量不应包括的内容</w:t>
      </w:r>
    </w:p>
    <w:p>
      <w:pPr>
        <w:snapToGrid w:val="0"/>
        <w:spacing w:line="360" w:lineRule="exact"/>
        <w:ind w:firstLine="420" w:firstLineChars="200"/>
        <w:rPr>
          <w:rFonts w:ascii="宋体"/>
          <w:szCs w:val="21"/>
        </w:rPr>
      </w:pPr>
      <w:r>
        <w:rPr>
          <w:rFonts w:hint="eastAsia" w:ascii="宋体" w:hAnsi="宋体"/>
          <w:szCs w:val="21"/>
        </w:rPr>
        <w:t>①在生产工业产品的同时，产生的下脚余料或废料，如冶金工业的氧化铁、汤道、中心注管、钢材切头、切尾，机械工业的切屑，木材工业的锯末，粮食加工工业的糠、麸，酿酒工业的酒糟等，一般做下脚料出售，不应统计为产品生产量。</w:t>
      </w:r>
    </w:p>
    <w:p>
      <w:pPr>
        <w:snapToGrid w:val="0"/>
        <w:spacing w:line="360" w:lineRule="exact"/>
        <w:ind w:firstLine="420" w:firstLineChars="200"/>
        <w:rPr>
          <w:rFonts w:ascii="宋体"/>
          <w:szCs w:val="21"/>
        </w:rPr>
      </w:pPr>
      <w:r>
        <w:rPr>
          <w:rFonts w:hint="eastAsia" w:ascii="宋体" w:hAnsi="宋体"/>
          <w:szCs w:val="21"/>
        </w:rPr>
        <w:t>②投入生产过程中的原材料没有完全消耗掉，而加以回收、提浓，再供本企业自用的，如机械工业回收的润滑油，合成洗涤剂厂回收的盐酸、硫酸等都不计算产品生产量。</w:t>
      </w:r>
    </w:p>
    <w:p>
      <w:pPr>
        <w:snapToGrid w:val="0"/>
        <w:spacing w:line="360" w:lineRule="exact"/>
        <w:ind w:firstLine="420" w:firstLineChars="200"/>
        <w:rPr>
          <w:rFonts w:ascii="宋体"/>
          <w:szCs w:val="21"/>
        </w:rPr>
      </w:pPr>
      <w:r>
        <w:rPr>
          <w:rFonts w:hint="eastAsia" w:ascii="宋体" w:hAnsi="宋体"/>
          <w:szCs w:val="21"/>
        </w:rPr>
        <w:t>③企业从外购进的工业品，未经本企业任何加工的，不得作为本企业的产品生产量统计。</w:t>
      </w:r>
    </w:p>
    <w:p>
      <w:pPr>
        <w:snapToGrid w:val="0"/>
        <w:spacing w:line="360" w:lineRule="exact"/>
        <w:ind w:firstLine="420" w:firstLineChars="200"/>
        <w:rPr>
          <w:rFonts w:ascii="宋体"/>
          <w:szCs w:val="21"/>
        </w:rPr>
      </w:pPr>
      <w:r>
        <w:rPr>
          <w:rFonts w:hint="eastAsia" w:ascii="宋体" w:hAnsi="宋体"/>
          <w:szCs w:val="21"/>
        </w:rPr>
        <w:t>④某些产品在检验产品质量时，需做破坏性试验（如试验灯泡的使用寿命，手机电池的间歇放电时间等），这些用作试验的产品，不计算在产品生产量中。</w:t>
      </w:r>
    </w:p>
    <w:p>
      <w:pPr>
        <w:snapToGrid w:val="0"/>
        <w:spacing w:line="360" w:lineRule="exact"/>
        <w:ind w:firstLine="420" w:firstLineChars="200"/>
        <w:rPr>
          <w:rFonts w:ascii="宋体"/>
          <w:szCs w:val="21"/>
        </w:rPr>
      </w:pPr>
      <w:r>
        <w:rPr>
          <w:rFonts w:hint="eastAsia" w:ascii="黑体" w:hAnsi="宋体" w:eastAsia="黑体"/>
          <w:szCs w:val="21"/>
        </w:rPr>
        <w:t>生产能力利用率</w:t>
      </w:r>
      <w:r>
        <w:rPr>
          <w:rFonts w:ascii="宋体" w:hAnsi="宋体"/>
          <w:szCs w:val="21"/>
        </w:rPr>
        <w:t xml:space="preserve">  </w:t>
      </w:r>
      <w:r>
        <w:rPr>
          <w:rFonts w:hint="eastAsia" w:ascii="宋体" w:hAnsi="宋体"/>
          <w:szCs w:val="21"/>
        </w:rPr>
        <w:t>指报告期内工业企业实际产出与生产能力之比。</w:t>
      </w:r>
    </w:p>
    <w:p>
      <w:pPr>
        <w:snapToGrid w:val="0"/>
        <w:spacing w:line="360" w:lineRule="exact"/>
        <w:ind w:firstLine="420" w:firstLineChars="200"/>
        <w:rPr>
          <w:rFonts w:ascii="宋体"/>
          <w:szCs w:val="21"/>
        </w:rPr>
      </w:pPr>
      <w:r>
        <w:rPr>
          <w:rFonts w:hint="eastAsia" w:ascii="宋体" w:hAnsi="宋体"/>
          <w:szCs w:val="21"/>
        </w:rPr>
        <w:t>计算公式为：</w:t>
      </w:r>
    </w:p>
    <w:p>
      <w:pPr>
        <w:spacing w:line="360" w:lineRule="auto"/>
        <w:jc w:val="center"/>
        <w:rPr>
          <w:rFonts w:ascii="宋体"/>
          <w:szCs w:val="21"/>
        </w:rPr>
      </w:pPr>
      <w:r>
        <w:rPr>
          <w:position w:val="-24"/>
        </w:rPr>
        <w:object>
          <v:shape id="_x0000_i1025" o:spt="75" type="#_x0000_t75" style="height:30pt;width:162pt;" o:ole="t" filled="f" o:preferrelative="t" stroked="f" coordsize="21600,21600">
            <v:path/>
            <v:fill on="f" alignshape="1" focussize="0,0"/>
            <v:stroke on="f"/>
            <v:imagedata r:id="rId12" o:title=""/>
            <o:lock v:ext="edit" aspectratio="t"/>
            <w10:wrap type="none"/>
            <w10:anchorlock/>
          </v:shape>
          <o:OLEObject Type="Embed" ProgID="Equation.DSMT4" ShapeID="_x0000_i1025" DrawAspect="Content" ObjectID="_1468075725" r:id="rId11">
            <o:LockedField>false</o:LockedField>
          </o:OLEObject>
        </w:object>
      </w:r>
    </w:p>
    <w:p>
      <w:pPr>
        <w:snapToGrid w:val="0"/>
        <w:spacing w:line="360" w:lineRule="exact"/>
        <w:ind w:firstLine="420" w:firstLineChars="200"/>
        <w:rPr>
          <w:rFonts w:ascii="宋体"/>
          <w:szCs w:val="21"/>
        </w:rPr>
      </w:pPr>
      <w:r>
        <w:rPr>
          <w:rFonts w:hint="eastAsia" w:ascii="宋体" w:hAnsi="宋体"/>
          <w:szCs w:val="21"/>
        </w:rPr>
        <w:t>企业的实际产出是指企业报告期内的总产值（或产量）。企业的生产能力是指报告期内，在劳动力、原材料、燃料、运输等保证供给的情况下，生产设备（机械）保持正常运行，企业可实现的、并能长期维持的总产出。本指标是指企业的综合生产能力利用率，通常情况下，实际产出和生产能力采用价值量计算；对于只生产一种或者主要生产一种产品的企业，也可采用实物量计算。</w:t>
      </w:r>
    </w:p>
    <w:p>
      <w:pPr>
        <w:keepNext w:val="0"/>
        <w:keepLines w:val="0"/>
        <w:pageBreakBefore w:val="0"/>
        <w:widowControl w:val="0"/>
        <w:kinsoku/>
        <w:wordWrap/>
        <w:overflowPunct/>
        <w:topLinePunct w:val="0"/>
        <w:autoSpaceDE/>
        <w:autoSpaceDN/>
        <w:bidi w:val="0"/>
        <w:adjustRightInd/>
        <w:snapToGrid w:val="0"/>
        <w:spacing w:before="144" w:beforeLines="50" w:line="360" w:lineRule="exact"/>
        <w:ind w:firstLine="420" w:firstLineChars="200"/>
        <w:textAlignment w:val="auto"/>
        <w:outlineLvl w:val="9"/>
        <w:rPr>
          <w:rFonts w:hint="eastAsia" w:ascii="黑体" w:hAnsi="宋体" w:eastAsia="黑体"/>
          <w:szCs w:val="21"/>
        </w:rPr>
      </w:pPr>
    </w:p>
    <w:p>
      <w:pPr>
        <w:spacing w:line="360" w:lineRule="exact"/>
        <w:outlineLvl w:val="9"/>
        <w:rPr>
          <w:rFonts w:hint="eastAsia" w:ascii="宋体" w:hAnsi="宋体"/>
          <w:szCs w:val="21"/>
        </w:rPr>
      </w:pPr>
    </w:p>
    <w:p>
      <w:pPr>
        <w:tabs>
          <w:tab w:val="left" w:pos="8280"/>
        </w:tabs>
        <w:spacing w:line="360" w:lineRule="exact"/>
        <w:jc w:val="center"/>
        <w:outlineLvl w:val="9"/>
        <w:rPr>
          <w:rFonts w:hint="eastAsia" w:eastAsia="宋体"/>
          <w:b/>
          <w:bCs/>
          <w:sz w:val="30"/>
          <w:szCs w:val="30"/>
        </w:rPr>
      </w:pPr>
      <w:r>
        <w:rPr>
          <w:rFonts w:hint="eastAsia" w:eastAsia="宋体"/>
          <w:b/>
          <w:bCs/>
          <w:sz w:val="30"/>
          <w:szCs w:val="30"/>
        </w:rPr>
        <w:t>企业研究开发项目情况</w:t>
      </w:r>
    </w:p>
    <w:p>
      <w:pPr>
        <w:snapToGrid w:val="0"/>
        <w:spacing w:line="360" w:lineRule="exact"/>
        <w:ind w:firstLine="420" w:firstLineChars="200"/>
        <w:rPr>
          <w:rFonts w:hint="eastAsia" w:asciiTheme="minorEastAsia" w:hAnsiTheme="minorEastAsia" w:eastAsiaTheme="minorEastAsia" w:cstheme="minorEastAsia"/>
          <w:b/>
          <w:color w:val="000000"/>
          <w:szCs w:val="21"/>
        </w:rPr>
      </w:pPr>
      <w:r>
        <w:rPr>
          <w:rFonts w:hint="eastAsia" w:ascii="黑体" w:hAnsi="黑体" w:eastAsia="黑体" w:cs="黑体"/>
          <w:b w:val="0"/>
          <w:bCs/>
          <w:color w:val="000000"/>
          <w:szCs w:val="21"/>
        </w:rPr>
        <w:t>研究开发</w:t>
      </w:r>
      <w:r>
        <w:rPr>
          <w:rFonts w:hint="eastAsia" w:asciiTheme="minorEastAsia" w:hAnsiTheme="minorEastAsia" w:eastAsiaTheme="minorEastAsia" w:cstheme="minorEastAsia"/>
          <w:b/>
          <w:color w:val="000000"/>
          <w:szCs w:val="21"/>
        </w:rPr>
        <w:t xml:space="preserve">  </w:t>
      </w:r>
      <w:r>
        <w:rPr>
          <w:rFonts w:hint="eastAsia" w:asciiTheme="minorEastAsia" w:hAnsiTheme="minorEastAsia" w:eastAsiaTheme="minorEastAsia" w:cstheme="minorEastAsia"/>
          <w:bCs/>
          <w:color w:val="000000"/>
          <w:szCs w:val="21"/>
        </w:rPr>
        <w:t>根据企业相关会计准则规定，研究是指为获取并理解新的科学或技术知识而进行的独创性的有计划调查。开发是指在进行商业性生产或使用前，将研究成果或其他知识应用于某项计划或设计，以生产出新的或具有实质性改进的材料、装置、产品等。</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项目名称</w:t>
      </w:r>
      <w:r>
        <w:rPr>
          <w:rFonts w:hint="eastAsia" w:asciiTheme="minorEastAsia" w:hAnsiTheme="minorEastAsia" w:eastAsiaTheme="minorEastAsia" w:cstheme="minorEastAsia"/>
          <w:color w:val="000000"/>
          <w:szCs w:val="21"/>
        </w:rPr>
        <w:t xml:space="preserve">  按企业研究开发项目的立项计划书、项目任务书或项目合同书等有关立项资料中确定的项目名称填写，应与企业会计账中有关研究开发会计科目或向税务部门提供的研发支出辅助账中归集的项目具体名称对应。</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项目来源（1）</w:t>
      </w:r>
      <w:r>
        <w:rPr>
          <w:rFonts w:hint="eastAsia" w:asciiTheme="minorEastAsia" w:hAnsiTheme="minorEastAsia" w:eastAsiaTheme="minorEastAsia" w:cstheme="minorEastAsia"/>
          <w:color w:val="000000"/>
          <w:szCs w:val="21"/>
        </w:rPr>
        <w:t xml:space="preserve">  按相应的分类填写代码，具体的分类及代码是：1.本企业自选项目；2.政府部门科技项目；3.其他企业（单位）委托项目；4.境外项目；5.其他项目。</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 xml:space="preserve">项目开展形式（2） </w:t>
      </w:r>
      <w:r>
        <w:rPr>
          <w:rFonts w:hint="eastAsia" w:asciiTheme="minorEastAsia" w:hAnsiTheme="minorEastAsia" w:eastAsiaTheme="minorEastAsia" w:cstheme="minorEastAsia"/>
          <w:color w:val="000000"/>
          <w:szCs w:val="21"/>
        </w:rPr>
        <w:t xml:space="preserve"> 按重要程度选择最主要的项目开展形式并按相应的代码填写，具体的分类与代码是：10.自主完成；21.与境内研究机构合作；22.与境内高等学校合作；23.与境内其他企业或单位合作；24.与境外机构合作；31.委托境内研究机构或高等学校；32.委托境内其他企业或单位；33.委托境外机构；40.其他形式。</w:t>
      </w:r>
    </w:p>
    <w:p>
      <w:pPr>
        <w:topLinePunct/>
        <w:snapToGrid w:val="0"/>
        <w:spacing w:line="360" w:lineRule="exact"/>
        <w:ind w:firstLine="420" w:firstLineChars="200"/>
        <w:rPr>
          <w:rFonts w:hint="eastAsia" w:asciiTheme="minorEastAsia" w:hAnsiTheme="minorEastAsia" w:eastAsiaTheme="minorEastAsia" w:cstheme="minorEastAsia"/>
          <w:snapToGrid w:val="0"/>
          <w:color w:val="000000"/>
          <w:kern w:val="0"/>
          <w:szCs w:val="21"/>
        </w:rPr>
      </w:pPr>
      <w:r>
        <w:rPr>
          <w:rFonts w:hint="eastAsia" w:ascii="黑体" w:hAnsi="黑体" w:eastAsia="黑体" w:cs="黑体"/>
          <w:b w:val="0"/>
          <w:bCs/>
          <w:color w:val="000000"/>
          <w:szCs w:val="21"/>
        </w:rPr>
        <w:t>项目当年成果形式（3）</w:t>
      </w:r>
      <w:r>
        <w:rPr>
          <w:rFonts w:hint="eastAsia" w:asciiTheme="minorEastAsia" w:hAnsiTheme="minorEastAsia" w:eastAsiaTheme="minorEastAsia" w:cstheme="minorEastAsia"/>
          <w:snapToGrid w:val="0"/>
          <w:color w:val="000000"/>
          <w:spacing w:val="4"/>
          <w:kern w:val="0"/>
          <w:szCs w:val="21"/>
        </w:rPr>
        <w:t xml:space="preserve">  </w:t>
      </w:r>
      <w:r>
        <w:rPr>
          <w:rFonts w:hint="eastAsia" w:asciiTheme="minorEastAsia" w:hAnsiTheme="minorEastAsia" w:eastAsiaTheme="minorEastAsia" w:cstheme="minorEastAsia"/>
          <w:snapToGrid w:val="0"/>
          <w:color w:val="000000"/>
          <w:kern w:val="0"/>
          <w:szCs w:val="21"/>
        </w:rPr>
        <w:t>按重要程度选择项目当年最主要的成果形式并按相应的代码填写，具体的分类与代码是：01.论文、专著或研究报告；02.新产品、新工艺等推广与示范活动；03.对已有产品、工艺等进行一般性改进；04.对已有产品、工艺等实现突破性变革；05.软件著作权；06.应用软件；07.中间件或新算法；08.基础软件；09.发明专利；10.实用新型专利或外观设计专利；11.带有技术、工艺参数的图纸、技术标准、操作规范、技术论证、咨询评价；12.自主研制的新产品原型或样机、样件、样品、配方、新装置；13.自主开发的新技术或新工艺、新工法、新服务；14.其他。</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项目技术经济目标（4）</w:t>
      </w:r>
      <w:r>
        <w:rPr>
          <w:rFonts w:hint="eastAsia" w:asciiTheme="minorEastAsia" w:hAnsiTheme="minorEastAsia" w:eastAsiaTheme="minorEastAsia" w:cstheme="minorEastAsia"/>
          <w:color w:val="000000"/>
          <w:szCs w:val="21"/>
        </w:rPr>
        <w:t xml:space="preserve">  </w:t>
      </w:r>
      <w:r>
        <w:rPr>
          <w:rFonts w:hint="eastAsia" w:asciiTheme="minorEastAsia" w:hAnsiTheme="minorEastAsia" w:eastAsiaTheme="minorEastAsia" w:cstheme="minorEastAsia"/>
          <w:color w:val="000000"/>
          <w:spacing w:val="2"/>
          <w:szCs w:val="21"/>
        </w:rPr>
        <w:t>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项目起始日期（5）</w:t>
      </w:r>
      <w:r>
        <w:rPr>
          <w:rFonts w:hint="eastAsia" w:asciiTheme="minorEastAsia" w:hAnsiTheme="minorEastAsia" w:eastAsiaTheme="minorEastAsia" w:cstheme="minorEastAsia"/>
          <w:color w:val="000000"/>
          <w:szCs w:val="21"/>
        </w:rPr>
        <w:t xml:space="preserve">  填写项目列入企业计划或签订协议后、有组织进行研究开发的年月，即开始动用人力、物力、财力投入到研究开发项目的年月。项目起始日期为6位编码，其中前4位为年份，后2位为月份（1月至9月必须前补0）。</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项目完成日期（6）</w:t>
      </w:r>
      <w:r>
        <w:rPr>
          <w:rFonts w:hint="eastAsia" w:asciiTheme="minorEastAsia" w:hAnsiTheme="minorEastAsia" w:eastAsiaTheme="minorEastAsia" w:cstheme="minorEastAsia"/>
          <w:color w:val="000000"/>
          <w:szCs w:val="21"/>
        </w:rPr>
        <w:t xml:space="preserve">  填写项目技术鉴定的年月，为6位编码，其中前4位为年份，后2位为月份（1月至9月必须前补0）。如项目至当年底仍在继续进行，填写预期完成时间；如项目年内以失败告终，填写000000；如项目未鉴定就投产，填写投产使用时间。</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跨年项目当年所处主要进展阶段（7）</w:t>
      </w:r>
      <w:r>
        <w:rPr>
          <w:rFonts w:hint="eastAsia" w:asciiTheme="minorEastAsia" w:hAnsiTheme="minorEastAsia" w:eastAsiaTheme="minorEastAsia" w:cstheme="minorEastAsia"/>
          <w:color w:val="000000"/>
          <w:szCs w:val="21"/>
        </w:rPr>
        <w:t xml:space="preserve">  按项目当年所处最主要进展阶段填写相应代码，具体的分类与代码是：1.研究阶段；2.小试阶段；3.中试阶段；4.试生产阶段。非跨年项目该指标免填。</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项目研究开发人员（8）</w:t>
      </w:r>
      <w:r>
        <w:rPr>
          <w:rFonts w:hint="eastAsia" w:asciiTheme="minorEastAsia" w:hAnsiTheme="minorEastAsia" w:eastAsiaTheme="minorEastAsia" w:cstheme="minorEastAsia"/>
          <w:color w:val="000000"/>
          <w:szCs w:val="21"/>
        </w:rPr>
        <w:t xml:space="preserve">  指报告期内编入研究开发项目并实际从事研究开发活动的人员。该指标应与企业会计账中有关研究开发会计科目或向税务部门提供的研发支出辅助账中人员人工费子科目里参加该项目人员对应。若研究开发人员同时参加两个及以上研究开发项目，可重复填报。</w:t>
      </w:r>
    </w:p>
    <w:p>
      <w:pPr>
        <w:snapToGrid w:val="0"/>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项目人员实际工作时间（9）</w:t>
      </w:r>
      <w:r>
        <w:rPr>
          <w:rFonts w:hint="eastAsia" w:asciiTheme="minorEastAsia" w:hAnsiTheme="minorEastAsia" w:eastAsiaTheme="minorEastAsia" w:cstheme="minorEastAsia"/>
          <w:color w:val="000000"/>
          <w:szCs w:val="21"/>
        </w:rPr>
        <w:t xml:space="preserve">  指报告期内研究开发项目中研究开发人员实际工作的时间总和，按月计算。如某研究开发项目有2个研究开发人员，他们的工作时间分别为7个月和10个月，则该项目人员实际工作时间=1×7+1×10=17（人月）。对于同时参加两个及以上项目的人员，应按项目分别计算工作时间，但每人在报告期内的实际工作时间不得超过12个月。</w:t>
      </w:r>
    </w:p>
    <w:p>
      <w:pPr>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项目经费支出（10）</w:t>
      </w:r>
      <w:r>
        <w:rPr>
          <w:rFonts w:hint="eastAsia" w:asciiTheme="minorEastAsia" w:hAnsiTheme="minorEastAsia" w:eastAsiaTheme="minorEastAsia" w:cstheme="minorEastAsia"/>
          <w:color w:val="000000"/>
          <w:szCs w:val="21"/>
        </w:rPr>
        <w:t xml:space="preserve">  指报告期内用于研究开发项目的实际经费支出，包括人员人工费用、直接投入费用、折旧费用与长期待摊费用、无形资产摊销费用、设计费用、装备调试费用与试验费用、委托外部研究开发费用及其他费用。该指标应与企业会计账中有关研究开发会计科目或向税务部门提供的研发支出辅助账中项目有关费用对应。</w:t>
      </w:r>
    </w:p>
    <w:p>
      <w:pPr>
        <w:spacing w:line="360" w:lineRule="exact"/>
        <w:ind w:firstLine="420" w:firstLineChars="200"/>
        <w:rPr>
          <w:rFonts w:hint="eastAsia" w:asciiTheme="minorEastAsia" w:hAnsiTheme="minorEastAsia" w:eastAsiaTheme="minorEastAsia" w:cstheme="minorEastAsia"/>
          <w:color w:val="000000"/>
          <w:szCs w:val="21"/>
        </w:rPr>
      </w:pPr>
      <w:r>
        <w:rPr>
          <w:rFonts w:hint="eastAsia" w:ascii="黑体" w:hAnsi="黑体" w:eastAsia="黑体" w:cs="黑体"/>
          <w:b w:val="0"/>
          <w:bCs/>
          <w:color w:val="000000"/>
          <w:szCs w:val="21"/>
        </w:rPr>
        <w:t>本年项目经费支出中政府资金（11）</w:t>
      </w:r>
      <w:r>
        <w:rPr>
          <w:rFonts w:hint="eastAsia" w:asciiTheme="minorEastAsia" w:hAnsiTheme="minorEastAsia" w:eastAsiaTheme="minorEastAsia" w:cstheme="minorEastAsia"/>
          <w:color w:val="000000"/>
          <w:szCs w:val="21"/>
        </w:rPr>
        <w:t xml:space="preserve">  指报告期内研究开发项目中使用的从政府有关部门获得的研究开发经费合计，包括科技专项费、科研基建费、政府专项基金和补贴等。</w:t>
      </w:r>
    </w:p>
    <w:p>
      <w:pPr>
        <w:spacing w:line="360" w:lineRule="exact"/>
        <w:ind w:firstLine="420" w:firstLineChars="200"/>
        <w:rPr>
          <w:rFonts w:hint="eastAsia" w:asciiTheme="minorEastAsia" w:hAnsiTheme="minorEastAsia" w:eastAsiaTheme="minorEastAsia" w:cstheme="minorEastAsia"/>
        </w:rPr>
      </w:pPr>
      <w:r>
        <w:rPr>
          <w:rFonts w:hint="eastAsia" w:ascii="黑体" w:hAnsi="黑体" w:eastAsia="黑体" w:cs="黑体"/>
          <w:b w:val="0"/>
          <w:bCs/>
          <w:color w:val="000000"/>
          <w:szCs w:val="21"/>
        </w:rPr>
        <w:t>本年项目经费支出中用于科学原理的探索发现（12）</w:t>
      </w:r>
      <w:r>
        <w:rPr>
          <w:rFonts w:hint="eastAsia" w:asciiTheme="minorEastAsia" w:hAnsiTheme="minorEastAsia" w:eastAsiaTheme="minorEastAsia" w:cstheme="minorEastAsia"/>
        </w:rPr>
        <w:t xml:space="preserve">  指报告期内研究开发项目中用于开展相关基础理论（原理）研究的经费支出，包括纯理论研究项目的全部经费支出，也包括一般项目中涉及科学理论（原理）研究部分的支出。</w:t>
      </w:r>
    </w:p>
    <w:p>
      <w:pPr>
        <w:spacing w:line="360" w:lineRule="exact"/>
        <w:ind w:firstLine="420" w:firstLineChars="200"/>
        <w:rPr>
          <w:rFonts w:hint="eastAsia" w:asciiTheme="minorEastAsia" w:hAnsiTheme="minorEastAsia" w:eastAsiaTheme="minorEastAsia" w:cstheme="minorEastAsia"/>
        </w:rPr>
      </w:pPr>
      <w:r>
        <w:rPr>
          <w:rFonts w:hint="eastAsia" w:ascii="黑体" w:hAnsi="黑体" w:eastAsia="黑体" w:cs="黑体"/>
          <w:b w:val="0"/>
          <w:bCs/>
          <w:color w:val="000000"/>
          <w:szCs w:val="21"/>
        </w:rPr>
        <w:t>企业自主开展（13）</w:t>
      </w:r>
      <w:r>
        <w:rPr>
          <w:rFonts w:hint="eastAsia" w:asciiTheme="minorEastAsia" w:hAnsiTheme="minorEastAsia" w:eastAsiaTheme="minorEastAsia" w:cstheme="minorEastAsia"/>
        </w:rPr>
        <w:t xml:space="preserve">  指报告期内用于科学原理研究经费中企业自身开展研究的经费。</w:t>
      </w:r>
    </w:p>
    <w:p>
      <w:pPr>
        <w:spacing w:line="360" w:lineRule="exact"/>
        <w:ind w:firstLine="420" w:firstLineChars="200"/>
        <w:rPr>
          <w:rFonts w:hint="eastAsia" w:asciiTheme="minorEastAsia" w:hAnsiTheme="minorEastAsia" w:eastAsiaTheme="minorEastAsia" w:cstheme="minorEastAsia"/>
        </w:rPr>
      </w:pPr>
      <w:r>
        <w:rPr>
          <w:rFonts w:hint="eastAsia" w:ascii="黑体" w:hAnsi="黑体" w:eastAsia="黑体" w:cs="黑体"/>
          <w:b w:val="0"/>
          <w:bCs/>
          <w:color w:val="000000"/>
          <w:szCs w:val="21"/>
        </w:rPr>
        <w:t>委托外单位开展（14）</w:t>
      </w:r>
      <w:r>
        <w:rPr>
          <w:rFonts w:hint="eastAsia" w:asciiTheme="minorEastAsia" w:hAnsiTheme="minorEastAsia" w:eastAsiaTheme="minorEastAsia" w:cstheme="minorEastAsia"/>
        </w:rPr>
        <w:t xml:space="preserve">  指报告期内用于科学原理研究经费中企业提供给高校和科研机构开展研究的经费，包括通过纯委托或合作研究等形式。</w:t>
      </w:r>
    </w:p>
    <w:p>
      <w:pPr>
        <w:tabs>
          <w:tab w:val="left" w:pos="8280"/>
        </w:tabs>
        <w:spacing w:line="360" w:lineRule="exact"/>
        <w:jc w:val="center"/>
        <w:outlineLvl w:val="9"/>
        <w:rPr>
          <w:rFonts w:hint="eastAsia" w:eastAsia="宋体"/>
          <w:b/>
          <w:bCs/>
          <w:sz w:val="30"/>
          <w:szCs w:val="30"/>
        </w:rPr>
      </w:pPr>
    </w:p>
    <w:p>
      <w:pPr>
        <w:pStyle w:val="2"/>
        <w:rPr>
          <w:rFonts w:hint="eastAsia" w:eastAsia="宋体"/>
          <w:b/>
          <w:bCs/>
          <w:sz w:val="30"/>
          <w:szCs w:val="30"/>
        </w:rPr>
      </w:pPr>
    </w:p>
    <w:p>
      <w:pPr>
        <w:rPr>
          <w:rFonts w:hint="eastAsia"/>
        </w:rPr>
      </w:pPr>
    </w:p>
    <w:p>
      <w:pPr>
        <w:tabs>
          <w:tab w:val="left" w:pos="8280"/>
        </w:tabs>
        <w:spacing w:line="360" w:lineRule="exact"/>
        <w:jc w:val="center"/>
        <w:outlineLvl w:val="9"/>
        <w:rPr>
          <w:rFonts w:hint="eastAsia" w:eastAsia="宋体"/>
          <w:b/>
          <w:bCs/>
          <w:sz w:val="30"/>
          <w:szCs w:val="30"/>
        </w:rPr>
      </w:pPr>
      <w:r>
        <w:rPr>
          <w:rFonts w:hint="eastAsia" w:eastAsia="宋体"/>
          <w:b/>
          <w:bCs/>
          <w:sz w:val="30"/>
          <w:szCs w:val="30"/>
        </w:rPr>
        <w:t>企业研究开发活动及相关情况</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b/>
          <w:bCs/>
          <w:color w:val="000000"/>
          <w:szCs w:val="21"/>
        </w:rPr>
      </w:pPr>
      <w:r>
        <w:rPr>
          <w:rFonts w:hint="eastAsia" w:ascii="黑体" w:hAnsi="黑体" w:eastAsia="黑体" w:cs="黑体"/>
          <w:b w:val="0"/>
          <w:bCs/>
          <w:color w:val="000000"/>
          <w:szCs w:val="21"/>
        </w:rPr>
        <w:t>研究开发人员合计（1）</w:t>
      </w:r>
      <w:r>
        <w:rPr>
          <w:rFonts w:ascii="宋体" w:hAnsi="宋体" w:cs="宋体"/>
          <w:color w:val="000000"/>
          <w:szCs w:val="21"/>
        </w:rPr>
        <w:t xml:space="preserve">  </w:t>
      </w:r>
      <w:r>
        <w:rPr>
          <w:rFonts w:hint="eastAsia" w:ascii="宋体" w:hAnsi="宋体" w:cs="宋体"/>
          <w:color w:val="000000"/>
          <w:szCs w:val="21"/>
        </w:rPr>
        <w:t>指报告期内企业参加研究开发活动的人员合计。</w:t>
      </w:r>
      <w:r>
        <w:rPr>
          <w:rFonts w:hint="eastAsia" w:ascii="黑体" w:hAnsi="黑体" w:eastAsia="黑体" w:cs="黑体"/>
          <w:b w:val="0"/>
          <w:bCs/>
          <w:color w:val="000000"/>
          <w:szCs w:val="21"/>
        </w:rPr>
        <w:t>该指标应与企业会计账中有关研究开发会计科目或向税务部门提供的研发支出辅助账中人员人工费子科目里涉及的全部人员对应。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Cs w:val="21"/>
        </w:rPr>
      </w:pPr>
      <w:r>
        <w:rPr>
          <w:rFonts w:hint="eastAsia" w:ascii="黑体" w:hAnsi="黑体" w:eastAsia="黑体" w:cs="黑体"/>
          <w:b w:val="0"/>
          <w:bCs/>
          <w:color w:val="000000"/>
          <w:szCs w:val="21"/>
        </w:rPr>
        <w:t>研究开发人员合计中管理和服务人员（2）</w:t>
      </w:r>
      <w:r>
        <w:rPr>
          <w:rFonts w:hint="eastAsia" w:ascii="宋体" w:hAnsi="宋体" w:cs="黑体"/>
          <w:b/>
          <w:color w:val="000000"/>
          <w:szCs w:val="21"/>
        </w:rPr>
        <w:t xml:space="preserve">  </w:t>
      </w:r>
      <w:r>
        <w:rPr>
          <w:rFonts w:hint="eastAsia" w:ascii="宋体" w:hAnsi="宋体" w:cs="宋体"/>
          <w:color w:val="000000"/>
          <w:szCs w:val="21"/>
        </w:rPr>
        <w:t>指报告期内企业研究开发人员中主要从事项目管理和为项目提供直接服务的人员。管理人员包括企业主管研究开发项目工作的负责人，企业研究开发活动管理部门（科研管理处、部、科等）的工作人员以及企业办技术中心、科研院（所）、中试车间、试验基地、实验室等的管理人员；服务人员包括为研究开发活动提供资料文献、材料供应、设备维护等服务的人员（含中试车间、实验室、试验基地等的工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color w:val="000000"/>
          <w:szCs w:val="21"/>
        </w:rPr>
      </w:pPr>
      <w:r>
        <w:rPr>
          <w:rFonts w:hint="eastAsia" w:ascii="黑体" w:hAnsi="黑体" w:eastAsia="黑体" w:cs="黑体"/>
          <w:b w:val="0"/>
          <w:bCs/>
          <w:color w:val="000000"/>
          <w:szCs w:val="21"/>
        </w:rPr>
        <w:t>研究开发人员合计中女性（3）</w:t>
      </w:r>
      <w:r>
        <w:rPr>
          <w:rFonts w:hint="eastAsia" w:ascii="宋体" w:hAnsi="宋体" w:cs="黑体"/>
          <w:color w:val="000000"/>
          <w:szCs w:val="21"/>
        </w:rPr>
        <w:t xml:space="preserve">  </w:t>
      </w:r>
      <w:r>
        <w:rPr>
          <w:rFonts w:hint="eastAsia" w:ascii="宋体" w:hAnsi="宋体" w:cs="宋体"/>
          <w:color w:val="000000"/>
          <w:szCs w:val="21"/>
        </w:rPr>
        <w:t>指报告期内企业研究开发人员中的女性人员。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color w:val="000000"/>
          <w:szCs w:val="21"/>
        </w:rPr>
      </w:pPr>
      <w:r>
        <w:rPr>
          <w:rFonts w:hint="eastAsia" w:ascii="黑体" w:hAnsi="黑体" w:eastAsia="黑体" w:cs="黑体"/>
          <w:b w:val="0"/>
          <w:bCs/>
          <w:color w:val="000000"/>
          <w:szCs w:val="21"/>
        </w:rPr>
        <w:t>研究开发人员合计中全职人员（4）</w:t>
      </w:r>
      <w:r>
        <w:rPr>
          <w:rFonts w:hint="eastAsia" w:ascii="宋体" w:hAnsi="宋体" w:cs="黑体"/>
          <w:color w:val="000000"/>
          <w:szCs w:val="21"/>
        </w:rPr>
        <w:t xml:space="preserve"> 指报告期内企业研究开发人员中实际从事研究开发活动的时间占制度工作时间90%及以上的人员。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szCs w:val="21"/>
        </w:rPr>
      </w:pPr>
      <w:r>
        <w:rPr>
          <w:rFonts w:hint="eastAsia" w:ascii="黑体" w:hAnsi="黑体" w:eastAsia="黑体" w:cs="黑体"/>
          <w:b w:val="0"/>
          <w:bCs/>
          <w:color w:val="000000"/>
          <w:szCs w:val="21"/>
        </w:rPr>
        <w:t>研究开发人员合计中本科毕业及以上人员（5）</w:t>
      </w:r>
      <w:r>
        <w:rPr>
          <w:rFonts w:hint="eastAsia" w:ascii="宋体" w:hAnsi="宋体" w:cs="黑体"/>
          <w:szCs w:val="21"/>
        </w:rPr>
        <w:t xml:space="preserve">  </w:t>
      </w:r>
      <w:r>
        <w:rPr>
          <w:rFonts w:hint="eastAsia" w:ascii="宋体" w:hAnsi="宋体" w:cs="宋体"/>
          <w:szCs w:val="21"/>
        </w:rPr>
        <w:t>指报告期内企业研究开发人员中具有大学本科学历或学士学位及以上学历或学位的人员。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黑体" w:hAnsi="黑体" w:eastAsia="黑体" w:cs="黑体"/>
          <w:b w:val="0"/>
          <w:bCs/>
          <w:color w:val="000000"/>
          <w:szCs w:val="21"/>
        </w:rPr>
      </w:pPr>
      <w:r>
        <w:rPr>
          <w:rFonts w:hint="eastAsia" w:ascii="黑体" w:hAnsi="黑体" w:eastAsia="黑体" w:cs="黑体"/>
          <w:b w:val="0"/>
          <w:bCs/>
          <w:color w:val="000000"/>
          <w:szCs w:val="21"/>
        </w:rPr>
        <w:t>研究开发费用合计（7）</w:t>
      </w:r>
      <w:r>
        <w:rPr>
          <w:rFonts w:ascii="黑体" w:hAnsi="宋体" w:eastAsia="黑体" w:cs="黑体"/>
          <w:sz w:val="22"/>
          <w:szCs w:val="22"/>
        </w:rPr>
        <w:t xml:space="preserve">  </w:t>
      </w:r>
      <w:r>
        <w:rPr>
          <w:rFonts w:hint="eastAsia" w:ascii="宋体" w:hAnsi="宋体" w:cs="宋体"/>
          <w:color w:val="000000"/>
          <w:sz w:val="22"/>
          <w:szCs w:val="22"/>
        </w:rPr>
        <w:t>指报告期内企业用于研究开发活动的费用合计，包括人员人工费用、直接投入费用、折旧费用与长期待摊费用、无形资产摊销费用、设计费用、装备调试费用与试验费用、委托外部研究开发费用及其他费用。</w:t>
      </w:r>
      <w:r>
        <w:rPr>
          <w:rFonts w:hint="eastAsia" w:ascii="黑体" w:hAnsi="黑体" w:eastAsia="黑体" w:cs="黑体"/>
          <w:b w:val="0"/>
          <w:bCs/>
          <w:color w:val="000000"/>
          <w:szCs w:val="21"/>
        </w:rPr>
        <w:t>该指标应与企业会计账中有关研究开发会计科目或向税务部门提供的研发支出辅助账中研究开发费用对应。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黑体" w:hAnsi="宋体" w:eastAsia="黑体"/>
          <w:color w:val="000000"/>
          <w:sz w:val="22"/>
          <w:szCs w:val="22"/>
        </w:rPr>
      </w:pPr>
      <w:r>
        <w:rPr>
          <w:rFonts w:hint="eastAsia" w:ascii="黑体" w:hAnsi="黑体" w:eastAsia="黑体" w:cs="黑体"/>
          <w:b w:val="0"/>
          <w:bCs/>
          <w:color w:val="000000"/>
          <w:szCs w:val="21"/>
        </w:rPr>
        <w:t xml:space="preserve">研究开发费用合计中人员人工费用（8） </w:t>
      </w:r>
      <w:r>
        <w:rPr>
          <w:rFonts w:ascii="黑体" w:hAnsi="宋体" w:eastAsia="黑体" w:cs="黑体"/>
          <w:color w:val="000000"/>
          <w:sz w:val="22"/>
          <w:szCs w:val="22"/>
        </w:rPr>
        <w:t xml:space="preserve"> </w:t>
      </w:r>
      <w:r>
        <w:rPr>
          <w:rFonts w:hint="eastAsia" w:ascii="宋体" w:hAnsi="宋体" w:cs="宋体"/>
          <w:color w:val="000000"/>
          <w:szCs w:val="21"/>
        </w:rPr>
        <w:t>指报告期内企业研究开发人员的工资薪金、基本养老保险费、基本医疗保险费、失业保险费、工伤保险费、生育保险费和住房公积金，以及外聘研究开发人员的劳务费用等。该指标应与企业会计账中有关研究开发会计科目或向税务部门提供的研发支出辅助账中人员人工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 w:val="22"/>
          <w:szCs w:val="22"/>
        </w:rPr>
      </w:pPr>
      <w:r>
        <w:rPr>
          <w:rFonts w:hint="eastAsia" w:ascii="黑体" w:hAnsi="黑体" w:eastAsia="黑体" w:cs="黑体"/>
          <w:b w:val="0"/>
          <w:bCs/>
          <w:color w:val="000000"/>
          <w:szCs w:val="21"/>
        </w:rPr>
        <w:t>研究开发费用合计中直接投入费用（9）</w:t>
      </w:r>
      <w:r>
        <w:rPr>
          <w:rFonts w:ascii="黑体" w:hAnsi="宋体" w:eastAsia="黑体" w:cs="黑体"/>
          <w:color w:val="000000"/>
          <w:sz w:val="22"/>
          <w:szCs w:val="22"/>
        </w:rPr>
        <w:t xml:space="preserve">  </w:t>
      </w:r>
      <w:r>
        <w:rPr>
          <w:rFonts w:hint="eastAsia" w:ascii="宋体" w:hAnsi="宋体" w:cs="宋体"/>
          <w:color w:val="000000"/>
          <w:sz w:val="22"/>
          <w:szCs w:val="22"/>
        </w:rPr>
        <w:t>指报告期内企业为实施研究开发活动而实际发生的相关支出。包括直接消耗的材料、燃料和动力费用；用于中间试验和产品试制的模具、工艺装备开发及制造费，不构成固定资产的样品、样机及一般测试手段购置费，试制产品的检验费；用于研究开发活动的仪器、设备的运行维护、调整、检验、检测、维修等费用，以及通过经营租赁方式租入的用于研究开发活动的固定资产租赁费等。该指标应与企业会计账中有关研究开发会计科目或向税务部门提供的研发支出辅助账中直接投入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 w:val="22"/>
          <w:szCs w:val="22"/>
        </w:rPr>
      </w:pPr>
      <w:r>
        <w:rPr>
          <w:rFonts w:hint="eastAsia" w:ascii="黑体" w:hAnsi="黑体" w:eastAsia="黑体" w:cs="黑体"/>
          <w:b w:val="0"/>
          <w:bCs/>
          <w:color w:val="000000"/>
          <w:szCs w:val="21"/>
        </w:rPr>
        <w:t>研究开发费用合计中折旧费用与长期待摊费用（10）</w:t>
      </w:r>
      <w:r>
        <w:rPr>
          <w:rFonts w:ascii="黑体" w:hAnsi="宋体" w:eastAsia="黑体" w:cs="黑体"/>
          <w:color w:val="000000"/>
          <w:sz w:val="22"/>
          <w:szCs w:val="22"/>
        </w:rPr>
        <w:t xml:space="preserve">  </w:t>
      </w:r>
      <w:r>
        <w:rPr>
          <w:rFonts w:hint="eastAsia" w:ascii="宋体" w:hAnsi="宋体" w:cs="宋体"/>
          <w:color w:val="000000"/>
          <w:sz w:val="22"/>
          <w:szCs w:val="22"/>
        </w:rPr>
        <w:t>指报告期内企业用于研究开发活动的仪器、设备和在用建筑物的折旧费，以及研究开发设施的改建、改装、装修和修理过程中发生的长期待摊费用等。该指标应与企业会计账中有关研究开发会计科目或向税务部门提供的有研发支出辅助账中折旧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color w:val="000000"/>
          <w:sz w:val="22"/>
          <w:szCs w:val="22"/>
        </w:rPr>
      </w:pPr>
      <w:r>
        <w:rPr>
          <w:rFonts w:hint="eastAsia" w:ascii="黑体" w:hAnsi="黑体" w:eastAsia="黑体" w:cs="黑体"/>
          <w:b w:val="0"/>
          <w:bCs/>
          <w:color w:val="000000"/>
          <w:szCs w:val="21"/>
        </w:rPr>
        <w:t>研究开发费用合计中无形资产摊销费用（11）</w:t>
      </w:r>
      <w:r>
        <w:rPr>
          <w:rFonts w:ascii="黑体" w:hAnsi="宋体" w:eastAsia="黑体" w:cs="黑体"/>
          <w:color w:val="000000"/>
          <w:sz w:val="22"/>
          <w:szCs w:val="22"/>
        </w:rPr>
        <w:t xml:space="preserve">  </w:t>
      </w:r>
      <w:r>
        <w:rPr>
          <w:rFonts w:hint="eastAsia" w:ascii="宋体" w:hAnsi="宋体" w:cs="宋体"/>
          <w:color w:val="000000"/>
          <w:sz w:val="22"/>
          <w:szCs w:val="22"/>
        </w:rPr>
        <w:t>指报告期内企业用于研究开发活动的软件、知识产权、非专利技术（专有技术、许可证、设计和计算方法等）的摊销费用等。该指标应与企业会计账中有关研究开发会计科目或向税务部门提供的研发支出辅助账中无形资产摊销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 w:val="22"/>
          <w:szCs w:val="22"/>
        </w:rPr>
      </w:pPr>
      <w:r>
        <w:rPr>
          <w:rFonts w:hint="eastAsia" w:ascii="黑体" w:hAnsi="黑体" w:eastAsia="黑体" w:cs="黑体"/>
          <w:b w:val="0"/>
          <w:bCs/>
          <w:color w:val="000000"/>
          <w:szCs w:val="21"/>
        </w:rPr>
        <w:t>研究开发费用合计中设计费用（12）</w:t>
      </w:r>
      <w:r>
        <w:rPr>
          <w:rFonts w:ascii="黑体" w:hAnsi="宋体" w:eastAsia="黑体" w:cs="黑体"/>
          <w:color w:val="000000"/>
          <w:sz w:val="22"/>
          <w:szCs w:val="22"/>
        </w:rPr>
        <w:t xml:space="preserve">  </w:t>
      </w:r>
      <w:r>
        <w:rPr>
          <w:rFonts w:hint="eastAsia" w:ascii="宋体" w:hAnsi="宋体" w:cs="宋体"/>
          <w:color w:val="000000"/>
          <w:sz w:val="22"/>
          <w:szCs w:val="22"/>
        </w:rPr>
        <w:t>指报告期内企业为新产品和新工艺进行构思、开发和制造，进行工序、技术规范、规程制定、操作特性方面的设计等发生的费用，包括为获得创新性、创意性、突破性产品进行的创意设计活动发生的相关费用等。该指标应与企业会计账中有关研究开发会计科目或向税务部门提供的研发支出辅助账中设计费用对应。对于按照研究开发费用加计扣除减免政策进行核算的企业，该指标应与其新产品设计费用和新工艺规程制定费用合计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color w:val="000000"/>
          <w:sz w:val="22"/>
          <w:szCs w:val="22"/>
        </w:rPr>
      </w:pPr>
      <w:r>
        <w:rPr>
          <w:rFonts w:hint="eastAsia" w:ascii="黑体" w:hAnsi="黑体" w:eastAsia="黑体" w:cs="黑体"/>
          <w:b w:val="0"/>
          <w:bCs/>
          <w:color w:val="000000"/>
          <w:szCs w:val="21"/>
        </w:rPr>
        <w:t>研究开发费用合计中装备调试费用与试验费用（13）</w:t>
      </w:r>
      <w:r>
        <w:rPr>
          <w:rFonts w:ascii="黑体" w:hAnsi="宋体" w:eastAsia="黑体" w:cs="黑体"/>
          <w:color w:val="000000"/>
          <w:sz w:val="22"/>
          <w:szCs w:val="22"/>
        </w:rPr>
        <w:t xml:space="preserve">  </w:t>
      </w:r>
      <w:r>
        <w:rPr>
          <w:rFonts w:hint="eastAsia" w:ascii="宋体" w:hAnsi="宋体" w:cs="宋体"/>
          <w:color w:val="000000"/>
          <w:sz w:val="22"/>
          <w:szCs w:val="22"/>
        </w:rPr>
        <w:t>装备调试费用指报告期内企业在工装准备过程中研究开发活动所发生的费用，包括研制特殊、专用的生产机器，改变生产和质量控制程序，或制定新方法及标准等活动所发生的费用。不包括为大规模批量化和商业化生产所进行的常规性工装准备和工业工程发生的费用。试验费用包括新药研制的临床试验费、勘探开发技术的现场试验费、田间试验费等。该指标应与企业会计账中有关研究开发会计科目或向税务部门提供的研发支出辅助账中设计费用对应。对于按照研究开发费用加计扣除减免政策进行核算的企业，该指标应与其新药研制的临床试验费和勘探开发技术的现场试验费合计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 w:val="22"/>
          <w:szCs w:val="22"/>
        </w:rPr>
      </w:pPr>
      <w:r>
        <w:rPr>
          <w:rFonts w:hint="eastAsia" w:ascii="黑体" w:hAnsi="黑体" w:eastAsia="黑体" w:cs="黑体"/>
          <w:b w:val="0"/>
          <w:bCs/>
          <w:color w:val="000000"/>
          <w:szCs w:val="21"/>
        </w:rPr>
        <w:t xml:space="preserve">研究开发费用合计中委托外部研究开发费用（14） </w:t>
      </w:r>
      <w:r>
        <w:rPr>
          <w:rFonts w:ascii="黑体" w:hAnsi="宋体" w:eastAsia="黑体" w:cs="黑体"/>
          <w:color w:val="000000"/>
          <w:sz w:val="22"/>
          <w:szCs w:val="22"/>
        </w:rPr>
        <w:t xml:space="preserve"> </w:t>
      </w:r>
      <w:r>
        <w:rPr>
          <w:rFonts w:hint="eastAsia" w:ascii="宋体" w:hAnsi="宋体" w:cs="宋体"/>
          <w:color w:val="000000"/>
          <w:sz w:val="22"/>
          <w:szCs w:val="22"/>
        </w:rPr>
        <w:t>指报告期内企业委托境内外其他机构进行研究开发活动所发生的费用。该指标应与企业会计账中有关研究开发会计科目或向税务部门提供的研发支出辅助账中委托研发费用对应。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sz w:val="22"/>
          <w:szCs w:val="22"/>
        </w:rPr>
      </w:pPr>
      <w:r>
        <w:rPr>
          <w:rFonts w:hint="eastAsia" w:ascii="黑体" w:hAnsi="黑体" w:eastAsia="黑体" w:cs="黑体"/>
          <w:b w:val="0"/>
          <w:bCs/>
          <w:color w:val="000000"/>
          <w:szCs w:val="21"/>
        </w:rPr>
        <w:t xml:space="preserve">委托外部研究开发费用中委托境内研究机构（15） </w:t>
      </w:r>
      <w:r>
        <w:rPr>
          <w:rFonts w:ascii="黑体" w:hAnsi="宋体" w:eastAsia="黑体" w:cs="黑体"/>
          <w:sz w:val="22"/>
          <w:szCs w:val="22"/>
        </w:rPr>
        <w:t xml:space="preserve"> </w:t>
      </w:r>
      <w:r>
        <w:rPr>
          <w:rFonts w:hint="eastAsia" w:ascii="宋体" w:hAnsi="宋体" w:cs="宋体"/>
          <w:sz w:val="22"/>
          <w:szCs w:val="22"/>
        </w:rPr>
        <w:t>指报告期内企业委托境内独立研究机构开展研究开发活动而支付予其的费用。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sz w:val="22"/>
          <w:szCs w:val="22"/>
        </w:rPr>
      </w:pPr>
      <w:r>
        <w:rPr>
          <w:rFonts w:hint="eastAsia" w:ascii="黑体" w:hAnsi="黑体" w:eastAsia="黑体" w:cs="黑体"/>
          <w:b w:val="0"/>
          <w:bCs/>
          <w:color w:val="000000"/>
          <w:szCs w:val="21"/>
        </w:rPr>
        <w:t xml:space="preserve">委托外部研究开发费用中委托境内高等学校（16） </w:t>
      </w:r>
      <w:r>
        <w:rPr>
          <w:rFonts w:ascii="黑体" w:hAnsi="宋体" w:eastAsia="黑体" w:cs="黑体"/>
          <w:sz w:val="22"/>
          <w:szCs w:val="22"/>
        </w:rPr>
        <w:t xml:space="preserve"> </w:t>
      </w:r>
      <w:r>
        <w:rPr>
          <w:rFonts w:hint="eastAsia" w:ascii="宋体" w:hAnsi="宋体" w:cs="宋体"/>
          <w:sz w:val="22"/>
          <w:szCs w:val="22"/>
        </w:rPr>
        <w:t>指报告期内企业委托境内高等学校开展研究开发活动而支付予其的费用。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sz w:val="22"/>
          <w:szCs w:val="22"/>
        </w:rPr>
      </w:pPr>
      <w:r>
        <w:rPr>
          <w:rFonts w:hint="eastAsia" w:ascii="黑体" w:hAnsi="黑体" w:eastAsia="黑体" w:cs="黑体"/>
          <w:b w:val="0"/>
          <w:bCs/>
          <w:color w:val="000000"/>
          <w:szCs w:val="21"/>
        </w:rPr>
        <w:t xml:space="preserve">委托外部研究开发费用中委托境内企业（17）  </w:t>
      </w:r>
      <w:r>
        <w:rPr>
          <w:rFonts w:hint="eastAsia" w:ascii="宋体" w:hAnsi="宋体" w:cs="宋体"/>
          <w:sz w:val="22"/>
          <w:szCs w:val="22"/>
        </w:rPr>
        <w:t>指报告期内企业委托境内其他企业开展研究开发活动而支付予其的费用。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sz w:val="22"/>
          <w:szCs w:val="22"/>
        </w:rPr>
      </w:pPr>
      <w:r>
        <w:rPr>
          <w:rFonts w:hint="eastAsia" w:ascii="黑体" w:hAnsi="黑体" w:eastAsia="黑体" w:cs="黑体"/>
          <w:b w:val="0"/>
          <w:bCs/>
          <w:color w:val="000000"/>
          <w:szCs w:val="21"/>
        </w:rPr>
        <w:t xml:space="preserve">委托外部研究开发费用中委托境外机构（18）  </w:t>
      </w:r>
      <w:r>
        <w:rPr>
          <w:rFonts w:hint="eastAsia" w:ascii="宋体" w:hAnsi="宋体" w:cs="宋体"/>
          <w:sz w:val="22"/>
          <w:szCs w:val="22"/>
        </w:rPr>
        <w:t>指报告期内企业委托国外或港澳台机构开展研究开发活动而支付予其的费用。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FF0000"/>
          <w:sz w:val="22"/>
          <w:szCs w:val="22"/>
        </w:rPr>
      </w:pPr>
      <w:r>
        <w:rPr>
          <w:rFonts w:hint="eastAsia" w:ascii="黑体" w:hAnsi="黑体" w:eastAsia="黑体" w:cs="黑体"/>
          <w:b w:val="0"/>
          <w:bCs/>
          <w:color w:val="000000"/>
          <w:szCs w:val="21"/>
        </w:rPr>
        <w:t xml:space="preserve">研究开发费用合计中其他费用（19）  </w:t>
      </w:r>
      <w:r>
        <w:rPr>
          <w:rFonts w:hint="eastAsia" w:ascii="宋体" w:hAnsi="宋体" w:cs="宋体"/>
          <w:sz w:val="22"/>
          <w:szCs w:val="22"/>
        </w:rPr>
        <w:t>指报告期内企业除上述费用之外与研究开发活动直接相关的其他费用，包括技术图书资料费、资料翻译费、专家咨询费、高新科技研发保险费，研发成果的检索、论证、评审、鉴定、验收费用，知识产权的申请费、注册费、代理费，会议费、差旅费、通讯费等。该指标应与企业会计账中有关研究开发会计科目或向税务部门提供的研发支出辅助账中其他相关费用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szCs w:val="21"/>
        </w:rPr>
      </w:pPr>
      <w:r>
        <w:rPr>
          <w:rFonts w:hint="eastAsia" w:ascii="黑体" w:hAnsi="黑体" w:eastAsia="黑体" w:cs="黑体"/>
          <w:b w:val="0"/>
          <w:bCs/>
          <w:color w:val="000000"/>
          <w:szCs w:val="21"/>
        </w:rPr>
        <w:t xml:space="preserve">当年形成用于研究开发的固定资产支出（20） </w:t>
      </w:r>
      <w:r>
        <w:rPr>
          <w:rFonts w:ascii="宋体" w:hAnsi="宋体" w:cs="黑体"/>
          <w:szCs w:val="21"/>
        </w:rPr>
        <w:t xml:space="preserve"> </w:t>
      </w:r>
      <w:r>
        <w:rPr>
          <w:rFonts w:hint="eastAsia" w:ascii="宋体" w:hAnsi="宋体" w:cs="宋体"/>
          <w:szCs w:val="21"/>
        </w:rPr>
        <w:t>指报告期内企业形成用于研究开发的固定资产原价。该指标应与企业有关会计科目计入的形成用于企业研究开发活动的固定资产原价对应。对于研究开发与生产共用的固定资产应按比例进行分摊，其中仪器和设备一般应按使用时间进行分摊，建筑物一般应按使用面积进行分摊。</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szCs w:val="21"/>
        </w:rPr>
      </w:pPr>
      <w:r>
        <w:rPr>
          <w:rFonts w:hint="eastAsia" w:ascii="黑体" w:hAnsi="黑体" w:eastAsia="黑体" w:cs="黑体"/>
          <w:b w:val="0"/>
          <w:bCs/>
          <w:color w:val="000000"/>
          <w:szCs w:val="21"/>
        </w:rPr>
        <w:t xml:space="preserve">当年形成用于研究开发的固定资产中仪器和设备（21）  </w:t>
      </w:r>
      <w:r>
        <w:rPr>
          <w:rFonts w:hint="eastAsia" w:ascii="宋体" w:hAnsi="宋体" w:cs="宋体"/>
          <w:szCs w:val="21"/>
        </w:rPr>
        <w:t>指报告期内企业形成用于研究开发的固定资产中的仪器和设备原价。其中，设备包括用于研究开发活动的各类机器和设备、试验测量仪器、运输工具、工装工具等。</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szCs w:val="21"/>
        </w:rPr>
      </w:pPr>
      <w:r>
        <w:rPr>
          <w:rFonts w:hint="eastAsia" w:ascii="黑体" w:hAnsi="黑体" w:eastAsia="黑体" w:cs="黑体"/>
          <w:b w:val="0"/>
          <w:bCs/>
          <w:color w:val="000000"/>
          <w:szCs w:val="21"/>
        </w:rPr>
        <w:t>来自企业自筹（5</w:t>
      </w:r>
      <w:r>
        <w:rPr>
          <w:rFonts w:hint="eastAsia" w:ascii="黑体" w:hAnsi="黑体" w:eastAsia="黑体" w:cs="黑体"/>
          <w:b w:val="0"/>
          <w:bCs/>
          <w:color w:val="000000"/>
          <w:szCs w:val="21"/>
          <w:lang w:val="en-US" w:eastAsia="zh-CN"/>
        </w:rPr>
        <w:t>7</w:t>
      </w:r>
      <w:r>
        <w:rPr>
          <w:rFonts w:hint="eastAsia" w:ascii="黑体" w:hAnsi="黑体" w:eastAsia="黑体" w:cs="黑体"/>
          <w:b w:val="0"/>
          <w:bCs/>
          <w:color w:val="000000"/>
          <w:szCs w:val="21"/>
        </w:rPr>
        <w:t xml:space="preserve">）  </w:t>
      </w:r>
      <w:r>
        <w:rPr>
          <w:rFonts w:hint="eastAsia" w:ascii="宋体" w:hAnsi="宋体" w:cs="宋体"/>
          <w:szCs w:val="21"/>
        </w:rPr>
        <w:t>指报告期内企业来源于企业自有资金的研究开发经费合计，包括用于各项研究开发费用支出，也包括用于研究开发的仪器设备等资产投入。</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szCs w:val="21"/>
        </w:rPr>
      </w:pPr>
      <w:r>
        <w:rPr>
          <w:rFonts w:hint="eastAsia" w:ascii="黑体" w:hAnsi="黑体" w:eastAsia="黑体" w:cs="黑体"/>
          <w:b w:val="0"/>
          <w:bCs/>
          <w:color w:val="000000"/>
          <w:szCs w:val="21"/>
        </w:rPr>
        <w:t xml:space="preserve">来自政府部门（43）  </w:t>
      </w:r>
      <w:r>
        <w:rPr>
          <w:rFonts w:hint="eastAsia" w:ascii="宋体" w:hAnsi="宋体" w:cs="宋体"/>
          <w:szCs w:val="21"/>
        </w:rPr>
        <w:t>指报告期内企业从政府有关部门获得的研究开发经费合计，包括科技专项费、科研基建费、政府专项基金和补贴等。该指标应与有关会计科目计入的从政府有关部门获得的研究开发经费对应。</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bCs/>
          <w:color w:val="000000"/>
          <w:szCs w:val="21"/>
        </w:rPr>
      </w:pPr>
      <w:r>
        <w:rPr>
          <w:rFonts w:hint="eastAsia" w:ascii="黑体" w:hAnsi="黑体" w:eastAsia="黑体" w:cs="黑体"/>
          <w:b w:val="0"/>
          <w:bCs/>
          <w:color w:val="000000"/>
          <w:szCs w:val="21"/>
        </w:rPr>
        <w:t xml:space="preserve">加计扣除减免税金额（44） </w:t>
      </w:r>
      <w:r>
        <w:rPr>
          <w:rFonts w:hint="eastAsia" w:ascii="宋体" w:hAnsi="宋体" w:cs="黑体"/>
          <w:bCs/>
          <w:color w:val="000000"/>
          <w:szCs w:val="21"/>
        </w:rPr>
        <w:t xml:space="preserve"> 指报告期内企业按有关政策和税法规定税前加计扣除的研究开发活动费用所得税，按当年税务部门实际减免的税额填报。对尚未得到当年减免税额的企业，按上年实际减免税额填报。</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bCs/>
          <w:color w:val="000000"/>
          <w:szCs w:val="21"/>
        </w:rPr>
      </w:pPr>
      <w:r>
        <w:rPr>
          <w:rFonts w:hint="eastAsia" w:ascii="黑体" w:hAnsi="黑体" w:eastAsia="黑体" w:cs="黑体"/>
          <w:b w:val="0"/>
          <w:bCs/>
          <w:color w:val="000000"/>
          <w:szCs w:val="21"/>
        </w:rPr>
        <w:t xml:space="preserve">高新技术企业减免税金额（45） </w:t>
      </w:r>
      <w:r>
        <w:rPr>
          <w:rFonts w:hint="eastAsia" w:ascii="宋体" w:hAnsi="宋体" w:cs="黑体"/>
          <w:bCs/>
          <w:color w:val="000000"/>
          <w:szCs w:val="21"/>
        </w:rPr>
        <w:t xml:space="preserve"> 指报告期内高新技术企业按照国家有关政策依法享受的企业所得税减免额，按当年税务部门实际减免的税额填报。对尚未得到当年减免税额的企业，按上年实际减免税额填报。</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szCs w:val="21"/>
        </w:rPr>
      </w:pPr>
      <w:r>
        <w:rPr>
          <w:rFonts w:hint="eastAsia" w:ascii="黑体" w:hAnsi="黑体" w:eastAsia="黑体" w:cs="黑体"/>
          <w:b w:val="0"/>
          <w:bCs/>
          <w:color w:val="000000"/>
          <w:szCs w:val="21"/>
        </w:rPr>
        <w:t xml:space="preserve">期末机构数（22） </w:t>
      </w:r>
      <w:r>
        <w:rPr>
          <w:rFonts w:hint="eastAsia" w:ascii="宋体" w:hAnsi="宋体" w:cs="黑体"/>
          <w:bCs/>
          <w:color w:val="000000"/>
          <w:szCs w:val="21"/>
        </w:rPr>
        <w:t xml:space="preserve"> </w:t>
      </w:r>
      <w:r>
        <w:rPr>
          <w:rFonts w:hint="eastAsia" w:ascii="宋体" w:hAnsi="宋体" w:cs="黑体"/>
          <w:szCs w:val="21"/>
        </w:rPr>
        <w:t>指报告期末企业在境内自办的研究开发机构数量。企业办研究开发机构指企业自办（或与外单位合办），管理上同生产系统相对独立（或单独核算）的专门研究开发机构，如企业办的技术中心、研究院所、开发中心等。企业办研究开发机构经过资源整合，同一机构被国家或省级有关部门认定为不同名称技术创新平台的，应按一个机构填报。与外单位合办的研究开发机构若主要由本企业出资兴办，则由本企业统计，否则应由合办方统计。企业研究开发管理职能处（科）室（如科研处、技术科等）一般不统计在内；若科研处、技术科等同时挂有研究开发机构的牌子，视其报告期内主要工作任务而定，主要任务是从事研究开发活动的可以统计，否则不予统计。本指标不含企业在国外或港澳台设立的研究开发机构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zCs w:val="21"/>
        </w:rPr>
      </w:pPr>
      <w:r>
        <w:rPr>
          <w:rFonts w:hint="eastAsia" w:ascii="黑体" w:hAnsi="黑体" w:eastAsia="黑体" w:cs="黑体"/>
          <w:b w:val="0"/>
          <w:bCs/>
          <w:color w:val="000000"/>
          <w:szCs w:val="21"/>
        </w:rPr>
        <w:t xml:space="preserve">机构研究开发人员合计（23）  </w:t>
      </w:r>
      <w:r>
        <w:rPr>
          <w:rFonts w:hint="eastAsia" w:ascii="宋体" w:hAnsi="宋体" w:cs="宋体"/>
          <w:color w:val="000000"/>
          <w:szCs w:val="21"/>
        </w:rPr>
        <w:t>指报告期内企业办研究开发机构中研究开发人员合计。</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pacing w:val="2"/>
          <w:szCs w:val="21"/>
        </w:rPr>
      </w:pPr>
      <w:r>
        <w:rPr>
          <w:rFonts w:hint="eastAsia" w:ascii="黑体" w:hAnsi="黑体" w:eastAsia="黑体" w:cs="黑体"/>
          <w:b w:val="0"/>
          <w:bCs/>
          <w:color w:val="000000"/>
          <w:szCs w:val="21"/>
        </w:rPr>
        <w:t xml:space="preserve">机构研究开发人员合计中博士毕业（24） </w:t>
      </w:r>
      <w:r>
        <w:rPr>
          <w:rFonts w:ascii="宋体" w:hAnsi="宋体" w:cs="黑体"/>
          <w:color w:val="000000"/>
          <w:spacing w:val="2"/>
          <w:szCs w:val="21"/>
        </w:rPr>
        <w:t xml:space="preserve"> </w:t>
      </w:r>
      <w:r>
        <w:rPr>
          <w:rFonts w:hint="eastAsia" w:ascii="宋体" w:hAnsi="宋体" w:cs="宋体"/>
          <w:color w:val="000000"/>
          <w:spacing w:val="2"/>
          <w:szCs w:val="21"/>
        </w:rPr>
        <w:t xml:space="preserve"> 指报告期内企业办研究开发机构中具有博士学历或博士学位的研究开发人员。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pacing w:val="2"/>
          <w:szCs w:val="21"/>
        </w:rPr>
      </w:pPr>
      <w:r>
        <w:rPr>
          <w:rFonts w:hint="eastAsia" w:ascii="黑体" w:hAnsi="黑体" w:eastAsia="黑体" w:cs="黑体"/>
          <w:b w:val="0"/>
          <w:bCs/>
          <w:color w:val="000000"/>
          <w:szCs w:val="21"/>
        </w:rPr>
        <w:t xml:space="preserve">机构研究开发人员合计中硕士毕业（25）  </w:t>
      </w:r>
      <w:r>
        <w:rPr>
          <w:rFonts w:hint="eastAsia" w:ascii="宋体" w:hAnsi="宋体" w:cs="宋体"/>
          <w:color w:val="000000"/>
          <w:spacing w:val="2"/>
          <w:szCs w:val="21"/>
        </w:rPr>
        <w:t>指报告期内企业办研究开发机构中具有硕士学历或硕士学位的研究开发人员。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color w:val="000000"/>
          <w:szCs w:val="21"/>
        </w:rPr>
      </w:pPr>
      <w:r>
        <w:rPr>
          <w:rFonts w:hint="eastAsia" w:ascii="黑体" w:hAnsi="黑体" w:eastAsia="黑体" w:cs="黑体"/>
          <w:b w:val="0"/>
          <w:bCs/>
          <w:color w:val="000000"/>
          <w:szCs w:val="21"/>
        </w:rPr>
        <w:t xml:space="preserve">机构研究开发费用（26）  </w:t>
      </w:r>
      <w:r>
        <w:rPr>
          <w:rFonts w:hint="eastAsia" w:ascii="宋体" w:hAnsi="宋体" w:cs="宋体"/>
          <w:color w:val="000000"/>
          <w:szCs w:val="21"/>
        </w:rPr>
        <w:t>指报告期内企业办研究开发机构中用于研究开发活动的费用合计，包括人员人工费用、直接投入费用、折旧费用与长期待摊费用、无形资产摊销费用、设计费用、装备调试费用与试验费用、委托外部研究开发费用及其他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Cs w:val="21"/>
        </w:rPr>
      </w:pPr>
      <w:r>
        <w:rPr>
          <w:rFonts w:hint="eastAsia" w:ascii="黑体" w:hAnsi="黑体" w:eastAsia="黑体" w:cs="黑体"/>
          <w:b w:val="0"/>
          <w:bCs/>
          <w:color w:val="000000"/>
          <w:szCs w:val="21"/>
        </w:rPr>
        <w:t xml:space="preserve">期末仪器和设备原价（27） </w:t>
      </w:r>
      <w:r>
        <w:rPr>
          <w:rFonts w:ascii="宋体" w:hAnsi="宋体" w:cs="黑体"/>
          <w:color w:val="000000"/>
          <w:szCs w:val="21"/>
        </w:rPr>
        <w:t xml:space="preserve"> </w:t>
      </w:r>
      <w:r>
        <w:rPr>
          <w:rFonts w:hint="eastAsia" w:ascii="宋体" w:hAnsi="宋体" w:cs="宋体"/>
          <w:color w:val="000000"/>
          <w:szCs w:val="21"/>
        </w:rPr>
        <w:t>指报告期末企业办研究开发机构固定资产中仪器和设备的原价，不包括长期闲置不用的仪器和设备。</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spacing w:val="2"/>
          <w:szCs w:val="21"/>
        </w:rPr>
      </w:pPr>
      <w:r>
        <w:rPr>
          <w:rFonts w:hint="eastAsia" w:ascii="黑体" w:hAnsi="黑体" w:eastAsia="黑体" w:cs="黑体"/>
          <w:b w:val="0"/>
          <w:bCs/>
          <w:color w:val="000000"/>
          <w:szCs w:val="21"/>
        </w:rPr>
        <w:t xml:space="preserve">当年专利申请数（29） </w:t>
      </w:r>
      <w:r>
        <w:rPr>
          <w:rFonts w:ascii="宋体" w:hAnsi="宋体" w:cs="黑体"/>
          <w:spacing w:val="2"/>
          <w:szCs w:val="21"/>
        </w:rPr>
        <w:t xml:space="preserve"> </w:t>
      </w:r>
      <w:r>
        <w:rPr>
          <w:rFonts w:hint="eastAsia" w:ascii="宋体" w:hAnsi="宋体" w:cs="宋体"/>
          <w:spacing w:val="2"/>
          <w:szCs w:val="21"/>
        </w:rPr>
        <w:t>指报告期内企业作为第一申请人向境内外知识产权行政部门提出专利申请并被受理后，按规定缴足申请费，符合进入初步审查阶段条件的件数。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szCs w:val="21"/>
        </w:rPr>
      </w:pPr>
      <w:r>
        <w:rPr>
          <w:rFonts w:hint="eastAsia" w:ascii="黑体" w:hAnsi="黑体" w:eastAsia="黑体" w:cs="黑体"/>
          <w:b w:val="0"/>
          <w:bCs/>
          <w:color w:val="000000"/>
          <w:szCs w:val="21"/>
        </w:rPr>
        <w:t xml:space="preserve">当年专利申请数中发明专利（30）  </w:t>
      </w:r>
      <w:r>
        <w:rPr>
          <w:rFonts w:hint="eastAsia" w:ascii="宋体" w:hAnsi="宋体" w:cs="宋体"/>
          <w:szCs w:val="21"/>
        </w:rPr>
        <w:t>指报告期内企业作为第一申请人向境内外知识产权行政部门提出发明专利申请并被受理后，按规定缴足申请费，符合进入初步审查阶段条件的件数。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szCs w:val="21"/>
        </w:rPr>
      </w:pPr>
      <w:r>
        <w:rPr>
          <w:rFonts w:hint="eastAsia" w:ascii="黑体" w:hAnsi="黑体" w:eastAsia="黑体" w:cs="黑体"/>
          <w:b w:val="0"/>
          <w:bCs/>
          <w:color w:val="000000"/>
          <w:szCs w:val="21"/>
        </w:rPr>
        <w:t xml:space="preserve">期末有效发明专利数（32）  </w:t>
      </w:r>
      <w:r>
        <w:rPr>
          <w:rFonts w:hint="eastAsia" w:ascii="宋体" w:hAnsi="宋体" w:cs="宋体"/>
          <w:szCs w:val="21"/>
        </w:rPr>
        <w:t>指报告期末企业作为第一专利权人拥有的、经境内外知识产权行政部门授权且在有效期内的发明专利件数。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color w:val="000000"/>
          <w:szCs w:val="21"/>
        </w:rPr>
      </w:pPr>
      <w:r>
        <w:rPr>
          <w:rFonts w:hint="eastAsia" w:ascii="黑体" w:hAnsi="黑体" w:eastAsia="黑体" w:cs="黑体"/>
          <w:b w:val="0"/>
          <w:bCs/>
          <w:color w:val="000000"/>
          <w:szCs w:val="21"/>
        </w:rPr>
        <w:t xml:space="preserve">期末有效发明专利数中已被实施（33）  </w:t>
      </w:r>
      <w:r>
        <w:rPr>
          <w:rFonts w:hint="eastAsia" w:ascii="宋体" w:hAnsi="宋体" w:cs="宋体"/>
          <w:szCs w:val="21"/>
        </w:rPr>
        <w:t>指报告期末企业作为第一专利权人拥有的、经境内外知识产权行政部门授权且在有效期内的发明专利中已被实施的件数。专利实施是指专利权人自行或其他单位及个人经专利权人许可，为生产经营目的制造、使用、许诺销售、销售、进口其专利产品，或者使用其专利方法以及使用、许诺销售、销售、进口依照该专利方法直接获得的产品。</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zCs w:val="21"/>
        </w:rPr>
      </w:pPr>
      <w:r>
        <w:rPr>
          <w:rFonts w:hint="eastAsia" w:ascii="黑体" w:hAnsi="黑体" w:eastAsia="黑体" w:cs="黑体"/>
          <w:b w:val="0"/>
          <w:bCs/>
          <w:color w:val="000000"/>
          <w:szCs w:val="21"/>
        </w:rPr>
        <w:t xml:space="preserve">新产品销售收入（36）  </w:t>
      </w:r>
      <w:r>
        <w:rPr>
          <w:rFonts w:hint="eastAsia" w:ascii="宋体" w:hAnsi="宋体" w:cs="宋体"/>
          <w:color w:val="000000"/>
          <w:szCs w:val="21"/>
        </w:rPr>
        <w:t>指报告期内企业销售新产品实现的销售收入。新产品是指企业采用新技术原理、新设计构思研制的全新产品，或是在已有产品的基础上，对结构、材料、工艺、性能等方面有较大改进，较原产品有突破性变革，显著提升产品性能的产品。新产品既包括政府有关部门认定并在有效期内的新产品，也包括企业自行研制开发，未经政府部门认定，从投产之日起2年之内的新产品。</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zCs w:val="21"/>
        </w:rPr>
      </w:pPr>
      <w:r>
        <w:rPr>
          <w:rFonts w:hint="eastAsia" w:ascii="黑体" w:hAnsi="黑体" w:eastAsia="黑体" w:cs="黑体"/>
          <w:b w:val="0"/>
          <w:bCs/>
          <w:color w:val="000000"/>
          <w:szCs w:val="21"/>
        </w:rPr>
        <w:t xml:space="preserve">新产品销售收入中出口（37）  </w:t>
      </w:r>
      <w:r>
        <w:rPr>
          <w:rFonts w:hint="eastAsia" w:ascii="宋体" w:hAnsi="宋体" w:cs="宋体"/>
          <w:color w:val="000000"/>
          <w:szCs w:val="21"/>
        </w:rPr>
        <w:t>指报告期内企业将新产品销售给外贸部门和直接出售给外商所实现的销售收入。</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olor w:val="000000"/>
          <w:szCs w:val="21"/>
        </w:rPr>
      </w:pPr>
      <w:r>
        <w:rPr>
          <w:rFonts w:hint="eastAsia" w:ascii="黑体" w:hAnsi="黑体" w:eastAsia="黑体" w:cs="黑体"/>
          <w:b w:val="0"/>
          <w:bCs/>
          <w:color w:val="000000"/>
          <w:szCs w:val="21"/>
        </w:rPr>
        <w:t xml:space="preserve">期末拥有注册商标（38）  </w:t>
      </w:r>
      <w:r>
        <w:rPr>
          <w:rFonts w:hint="eastAsia" w:ascii="宋体" w:hAnsi="宋体" w:cs="宋体"/>
          <w:color w:val="000000"/>
          <w:szCs w:val="21"/>
        </w:rPr>
        <w:t>指报告期末企业作为第一商标注册人拥有的、经境内外商标行政部门核准注册且在有效期内的商标件数。包括在境内和境外注册的商标件数，一件商标在境内外同时注册时只统计一件。</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Cs w:val="21"/>
        </w:rPr>
      </w:pPr>
      <w:r>
        <w:rPr>
          <w:rFonts w:hint="eastAsia" w:ascii="黑体" w:hAnsi="黑体" w:eastAsia="黑体" w:cs="黑体"/>
          <w:b w:val="0"/>
          <w:bCs/>
          <w:color w:val="000000"/>
          <w:szCs w:val="21"/>
        </w:rPr>
        <w:t xml:space="preserve">发表科技论文（40）  </w:t>
      </w:r>
      <w:r>
        <w:rPr>
          <w:rFonts w:hint="eastAsia" w:ascii="宋体" w:hAnsi="宋体" w:cs="宋体"/>
          <w:color w:val="000000"/>
          <w:szCs w:val="21"/>
        </w:rPr>
        <w:t>指报告期内企业立项的研究开发项目产生的、并在有正规刊号的刊物上发表的科技论文数量。</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Cs w:val="21"/>
        </w:rPr>
      </w:pPr>
      <w:r>
        <w:rPr>
          <w:rFonts w:hint="eastAsia" w:ascii="黑体" w:hAnsi="黑体" w:eastAsia="黑体" w:cs="黑体"/>
          <w:b w:val="0"/>
          <w:bCs/>
          <w:color w:val="000000"/>
          <w:szCs w:val="21"/>
        </w:rPr>
        <w:t xml:space="preserve">形成国家或行业标准（41）  </w:t>
      </w:r>
      <w:r>
        <w:rPr>
          <w:rFonts w:hint="eastAsia" w:ascii="宋体" w:hAnsi="宋体" w:cs="宋体"/>
          <w:color w:val="000000"/>
          <w:szCs w:val="21"/>
        </w:rPr>
        <w:t>指报告期内企业在自主研究开发或自主知识产权基础上形成的经有关部门批准的国家或行业标准项数。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color w:val="000000"/>
          <w:szCs w:val="21"/>
        </w:rPr>
      </w:pPr>
      <w:r>
        <w:rPr>
          <w:rFonts w:hint="eastAsia" w:ascii="黑体" w:hAnsi="黑体" w:eastAsia="黑体" w:cs="黑体"/>
          <w:b w:val="0"/>
          <w:bCs/>
          <w:color w:val="000000"/>
          <w:szCs w:val="21"/>
        </w:rPr>
        <w:t>技术改造经费支出（46）</w:t>
      </w:r>
      <w:r>
        <w:rPr>
          <w:rFonts w:ascii="宋体" w:hAnsi="宋体" w:cs="黑体"/>
          <w:color w:val="000000"/>
          <w:szCs w:val="21"/>
        </w:rPr>
        <w:t xml:space="preserve">  </w:t>
      </w:r>
      <w:r>
        <w:rPr>
          <w:rFonts w:hint="eastAsia" w:ascii="宋体" w:hAnsi="宋体" w:cs="宋体"/>
          <w:color w:val="000000"/>
          <w:szCs w:val="21"/>
        </w:rPr>
        <w:t>指报告期内企业进行技术改造而发生的费用支出。技术改造指企业在坚持科技进步的前提下，将研发成果应用于生产的各个领域（产品、设备、工艺等），用先进工艺、设备代替落后工艺、设备，实现以内涵为主的扩大再生产，从而提高产品质量、促进产品更新换代、节约能源、降低消耗，全面提高综合经济效益。</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b/>
          <w:color w:val="000000"/>
          <w:szCs w:val="21"/>
        </w:rPr>
      </w:pPr>
      <w:r>
        <w:rPr>
          <w:rFonts w:hint="eastAsia" w:ascii="黑体" w:hAnsi="黑体" w:eastAsia="黑体" w:cs="黑体"/>
          <w:b w:val="0"/>
          <w:bCs/>
          <w:color w:val="000000"/>
          <w:szCs w:val="21"/>
        </w:rPr>
        <w:t>购买境内技术经费支出（47）</w:t>
      </w:r>
      <w:r>
        <w:rPr>
          <w:rFonts w:ascii="宋体" w:hAnsi="宋体" w:cs="黑体"/>
          <w:szCs w:val="21"/>
        </w:rPr>
        <w:t xml:space="preserve">  </w:t>
      </w:r>
      <w:r>
        <w:rPr>
          <w:rFonts w:hint="eastAsia" w:ascii="宋体" w:hAnsi="宋体" w:cs="宋体"/>
          <w:szCs w:val="21"/>
        </w:rPr>
        <w:t>指报告期内企业购买境内其他单位科技成果的经费支出。包括购买产品设计、工艺流程、图纸、配方、专利、技术诀窍及设备的费用支出。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黑体"/>
          <w:color w:val="000000"/>
          <w:szCs w:val="21"/>
        </w:rPr>
      </w:pPr>
      <w:r>
        <w:rPr>
          <w:rFonts w:hint="eastAsia" w:ascii="黑体" w:hAnsi="黑体" w:eastAsia="黑体" w:cs="黑体"/>
          <w:b w:val="0"/>
          <w:bCs/>
          <w:color w:val="000000"/>
          <w:szCs w:val="21"/>
        </w:rPr>
        <w:t>引进境外技术经费支出（48）</w:t>
      </w:r>
      <w:r>
        <w:rPr>
          <w:rFonts w:ascii="宋体" w:hAnsi="宋体" w:cs="黑体"/>
          <w:color w:val="000000"/>
          <w:szCs w:val="21"/>
        </w:rPr>
        <w:t xml:space="preserve"> </w:t>
      </w:r>
      <w:r>
        <w:rPr>
          <w:rFonts w:hint="eastAsia" w:ascii="宋体" w:hAnsi="宋体" w:cs="黑体"/>
          <w:color w:val="000000"/>
          <w:szCs w:val="21"/>
        </w:rPr>
        <w:t>指报告期内企业用于购买国外或港澳台技术的费用支出，包括产品设计、工艺流程、图纸、配方、专利等技术资料的费用支出，以及购买设备、仪器、样机和样件等的费用支出。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宋体" w:hAnsi="宋体" w:cs="宋体"/>
          <w:szCs w:val="21"/>
        </w:rPr>
      </w:pPr>
      <w:r>
        <w:rPr>
          <w:rFonts w:hint="eastAsia" w:ascii="黑体" w:hAnsi="黑体" w:eastAsia="黑体" w:cs="黑体"/>
          <w:b w:val="0"/>
          <w:bCs/>
          <w:color w:val="000000"/>
          <w:szCs w:val="21"/>
        </w:rPr>
        <w:t>引进境外技术的消化吸收经费支出（49）</w:t>
      </w:r>
      <w:r>
        <w:rPr>
          <w:rFonts w:ascii="宋体" w:hAnsi="宋体" w:cs="黑体"/>
          <w:color w:val="000000"/>
          <w:szCs w:val="21"/>
        </w:rPr>
        <w:t xml:space="preserve">  </w:t>
      </w:r>
      <w:r>
        <w:rPr>
          <w:rFonts w:hint="eastAsia" w:ascii="宋体" w:hAnsi="宋体" w:cs="宋体"/>
          <w:color w:val="000000"/>
          <w:szCs w:val="21"/>
        </w:rPr>
        <w:t>指报告期内企业引进国外或港澳台技术的消化吸收经费支出。引进技术的消化吸收指对引进技术的掌握、应用、复制而开展的工作，以及在此基础上的创新。引进技术的消化吸收经费支出包括：人员培训费、测绘费、参加消化吸收人员的工资、工装、工艺开发费、必备的配套设备费、翻版费等。</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rPr>
      </w:pPr>
      <w:r>
        <w:rPr>
          <w:rFonts w:hint="eastAsia" w:ascii="黑体" w:hAnsi="黑体" w:eastAsia="黑体" w:cs="黑体"/>
          <w:b w:val="0"/>
          <w:bCs/>
          <w:color w:val="000000"/>
          <w:szCs w:val="21"/>
        </w:rPr>
        <w:t xml:space="preserve">期末企业在境外设立的研究开发机构数（50） </w:t>
      </w:r>
      <w:r>
        <w:rPr>
          <w:rFonts w:hint="eastAsia"/>
        </w:rPr>
        <w:t xml:space="preserve"> 指报告期末企业在国外或港澳台自办（或与外单位合办）的专门研究开发机构。与外单位合办的研究开发机构若主要由本企业出资兴办，则由本企业统计，否则应由合办方统计。</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cs="宋体"/>
          <w:color w:val="000000"/>
          <w:szCs w:val="21"/>
        </w:rPr>
      </w:pPr>
      <w:r>
        <w:rPr>
          <w:rFonts w:hint="eastAsia" w:ascii="黑体" w:hAnsi="黑体" w:eastAsia="黑体" w:cs="黑体"/>
          <w:b w:val="0"/>
          <w:bCs/>
          <w:color w:val="000000"/>
          <w:szCs w:val="21"/>
        </w:rPr>
        <w:t>企业研发准备金（</w:t>
      </w:r>
      <w:r>
        <w:rPr>
          <w:rFonts w:hint="eastAsia" w:ascii="黑体" w:hAnsi="黑体" w:eastAsia="黑体" w:cs="黑体"/>
          <w:b w:val="0"/>
          <w:bCs/>
          <w:color w:val="000000"/>
          <w:szCs w:val="21"/>
          <w:lang w:val="en-US" w:eastAsia="zh-CN"/>
        </w:rPr>
        <w:t>59</w:t>
      </w:r>
      <w:r>
        <w:rPr>
          <w:rFonts w:hint="eastAsia" w:ascii="黑体" w:hAnsi="黑体" w:eastAsia="黑体" w:cs="黑体"/>
          <w:b w:val="0"/>
          <w:bCs/>
          <w:color w:val="000000"/>
          <w:szCs w:val="21"/>
        </w:rPr>
        <w:t xml:space="preserve">）  </w:t>
      </w:r>
      <w:r>
        <w:rPr>
          <w:rFonts w:hint="eastAsia" w:ascii="宋体" w:hAnsi="宋体" w:cs="宋体"/>
          <w:szCs w:val="21"/>
        </w:rPr>
        <w:t>指报告期内企业为保障研发项目的资金需要，在开展研发活动前或研发过程中提前储备的专门用于研发项目、单独核算的资金。</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 xml:space="preserve">年度汇缴申报 </w:t>
      </w:r>
      <w:r>
        <w:rPr>
          <w:rFonts w:hint="eastAsia" w:ascii="Times New Roman" w:hAnsi="Times New Roman" w:eastAsia="宋体" w:cs="Times New Roman"/>
        </w:rPr>
        <w:t>指企业年度汇算清缴时能够准确归集核算研发费用，并就上年发生的研发费用申报享受研发费用加计扣除政策。</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申报研发加计扣除政策中的自主研发、合作研发和集中研发费用（</w:t>
      </w:r>
      <w:r>
        <w:rPr>
          <w:rFonts w:hint="eastAsia" w:ascii="黑体" w:hAnsi="黑体" w:eastAsia="黑体" w:cs="黑体"/>
          <w:b w:val="0"/>
          <w:bCs/>
          <w:color w:val="000000"/>
          <w:szCs w:val="21"/>
          <w:lang w:val="en-US" w:eastAsia="zh-CN"/>
        </w:rPr>
        <w:t>60</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的自主研发、合作研发和集中研发费用。该指标数据应取自《中华人民共和国企业所得税年度纳税申报表（A类）》中《研发费用加计扣除优惠明细表》（A107012）第2行次“一、自主研发、合作研发和集中研发”。</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申报研发加计扣除政策中的人员人工费用（</w:t>
      </w:r>
      <w:r>
        <w:rPr>
          <w:rFonts w:hint="eastAsia" w:ascii="黑体" w:hAnsi="黑体" w:eastAsia="黑体" w:cs="黑体"/>
          <w:b w:val="0"/>
          <w:bCs/>
          <w:color w:val="000000"/>
          <w:szCs w:val="21"/>
          <w:lang w:val="en-US" w:eastAsia="zh-CN"/>
        </w:rPr>
        <w:t>61</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的人员人工费用。该指标数据应取自《中华人民共和国企业所得税年度纳税申报表（A类）》中《研发费用加计扣除优惠明细表》（A107012）第3行次“（一）人员人工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申报研发加计扣除政策中的直接投入费用（</w:t>
      </w:r>
      <w:r>
        <w:rPr>
          <w:rFonts w:hint="eastAsia" w:ascii="黑体" w:hAnsi="黑体" w:eastAsia="黑体" w:cs="黑体"/>
          <w:b w:val="0"/>
          <w:bCs/>
          <w:color w:val="000000"/>
          <w:szCs w:val="21"/>
          <w:lang w:val="en-US" w:eastAsia="zh-CN"/>
        </w:rPr>
        <w:t>62</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的直接投入费用。该指标数据应取自《中华人民共和国企业所得税年度纳税申报表（A类）》中《研发费用加计扣除优惠明细表》（A107012）第7行次“（二）直接投入费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申报研发加计扣除政策中的委托研发费用（</w:t>
      </w:r>
      <w:r>
        <w:rPr>
          <w:rFonts w:hint="eastAsia" w:ascii="黑体" w:hAnsi="黑体" w:eastAsia="黑体" w:cs="黑体"/>
          <w:b w:val="0"/>
          <w:bCs/>
          <w:color w:val="000000"/>
          <w:szCs w:val="21"/>
          <w:lang w:val="en-US" w:eastAsia="zh-CN"/>
        </w:rPr>
        <w:t>63</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的委托研发费用。该指标数据应取自《中华人民共和国企业所得税年度纳税申报表（A类）》中《研发费用加计扣除优惠明细表》（A107012）第35行次“二、委托研发”。</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申报研发加计扣除政策中的允许扣除的研发费用合计（</w:t>
      </w:r>
      <w:r>
        <w:rPr>
          <w:rFonts w:hint="eastAsia" w:ascii="黑体" w:hAnsi="黑体" w:eastAsia="黑体" w:cs="黑体"/>
          <w:b w:val="0"/>
          <w:bCs/>
          <w:color w:val="000000"/>
          <w:szCs w:val="21"/>
          <w:lang w:val="en-US" w:eastAsia="zh-CN"/>
        </w:rPr>
        <w:t>64</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的允许扣除的研发费用合计。该指标数据应取自《中华人民共和国企业所得税年度纳税申报表（A类）》中《研发费用加计扣除优惠明细表》（A107012）第45行次“允许扣除的研发费用合计”。</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申报研发加计扣除政策中的特殊收入部分（</w:t>
      </w:r>
      <w:r>
        <w:rPr>
          <w:rFonts w:hint="eastAsia" w:ascii="黑体" w:hAnsi="黑体" w:eastAsia="黑体" w:cs="黑体"/>
          <w:b w:val="0"/>
          <w:bCs/>
          <w:color w:val="000000"/>
          <w:szCs w:val="21"/>
          <w:lang w:val="en-US" w:eastAsia="zh-CN"/>
        </w:rPr>
        <w:t>65</w:t>
      </w:r>
      <w:r>
        <w:rPr>
          <w:rFonts w:hint="eastAsia" w:ascii="黑体" w:hAnsi="黑体" w:eastAsia="黑体" w:cs="黑体"/>
          <w:b w:val="0"/>
          <w:bCs/>
          <w:color w:val="000000"/>
          <w:szCs w:val="21"/>
        </w:rPr>
        <w:t xml:space="preserve">） </w:t>
      </w:r>
      <w:r>
        <w:rPr>
          <w:rFonts w:hint="eastAsia" w:ascii="宋体" w:hAnsi="宋体" w:cs="宋体"/>
          <w:szCs w:val="21"/>
        </w:rPr>
        <w:t xml:space="preserve"> </w:t>
      </w:r>
      <w:r>
        <w:rPr>
          <w:rFonts w:hint="eastAsia" w:ascii="Times New Roman" w:hAnsi="Times New Roman" w:eastAsia="宋体" w:cs="Times New Roman"/>
        </w:rPr>
        <w:t>指报告期内企业上年汇算清缴企业所得税时用于申报研发加计扣除减免税政策需要扣减的特殊收入部分金额。该指标数据应取自《中华人民共和国企业所得税年度纳税申报表（A类）》中《研发费用加计扣除优惠明细表》（A107012）第46行次“减：特殊收入部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申报研发加计扣除政策中的当年销售研发活动直接形成产品（包括组成部分）对应的材料部分（</w:t>
      </w:r>
      <w:r>
        <w:rPr>
          <w:rFonts w:hint="eastAsia" w:ascii="黑体" w:hAnsi="黑体" w:eastAsia="黑体" w:cs="黑体"/>
          <w:b w:val="0"/>
          <w:bCs/>
          <w:color w:val="000000"/>
          <w:szCs w:val="21"/>
          <w:lang w:val="en-US" w:eastAsia="zh-CN"/>
        </w:rPr>
        <w:t>66</w:t>
      </w:r>
      <w:r>
        <w:rPr>
          <w:rFonts w:hint="eastAsia" w:ascii="黑体" w:hAnsi="黑体" w:eastAsia="黑体" w:cs="黑体"/>
          <w:b w:val="0"/>
          <w:bCs/>
          <w:color w:val="000000"/>
          <w:szCs w:val="21"/>
        </w:rPr>
        <w:t xml:space="preserve">） </w:t>
      </w:r>
      <w:r>
        <w:rPr>
          <w:rFonts w:hint="eastAsia" w:ascii="宋体" w:hAnsi="宋体" w:cs="宋体"/>
          <w:szCs w:val="21"/>
        </w:rPr>
        <w:t xml:space="preserve"> </w:t>
      </w:r>
      <w:r>
        <w:rPr>
          <w:rFonts w:hint="eastAsia" w:ascii="Times New Roman" w:hAnsi="Times New Roman" w:eastAsia="宋体" w:cs="Times New Roman"/>
        </w:rPr>
        <w:t>指报告期内企业上年汇算清缴企业所得税时用于申报研发加计扣除减免税政策需要扣减的当年销售研发活动直接形成产品（包括组成部分）对应的材料部分。该指标数据应取自《中华人民共和国企业所得税年度纳税申报表（A类）》中《研发费用加计扣除优惠明细表》（A107012）第48行次“减：当年销售研发活动直接形成产品（包括组成部分）对应的材料部分”。</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Times New Roman" w:hAnsi="Times New Roman" w:eastAsia="宋体" w:cs="Times New Roman"/>
        </w:rPr>
      </w:pPr>
      <w:r>
        <w:rPr>
          <w:rFonts w:hint="eastAsia" w:ascii="黑体" w:hAnsi="黑体" w:eastAsia="黑体" w:cs="黑体"/>
          <w:b w:val="0"/>
          <w:bCs/>
          <w:color w:val="000000"/>
          <w:szCs w:val="21"/>
        </w:rPr>
        <w:t>申报研发加计扣除政策中的以前年度销售研发活动直接形成产品（包括组成部分）对应的材料部分和结转金额（</w:t>
      </w:r>
      <w:r>
        <w:rPr>
          <w:rFonts w:hint="eastAsia" w:ascii="黑体" w:hAnsi="黑体" w:eastAsia="黑体" w:cs="黑体"/>
          <w:b w:val="0"/>
          <w:bCs/>
          <w:color w:val="000000"/>
          <w:szCs w:val="21"/>
          <w:lang w:val="en-US" w:eastAsia="zh-CN"/>
        </w:rPr>
        <w:t>67</w:t>
      </w:r>
      <w:r>
        <w:rPr>
          <w:rFonts w:hint="eastAsia" w:ascii="黑体" w:hAnsi="黑体" w:eastAsia="黑体" w:cs="黑体"/>
          <w:b w:val="0"/>
          <w:bCs/>
          <w:color w:val="000000"/>
          <w:szCs w:val="21"/>
        </w:rPr>
        <w:t xml:space="preserve">）  </w:t>
      </w:r>
      <w:r>
        <w:rPr>
          <w:rFonts w:hint="eastAsia" w:ascii="Times New Roman" w:hAnsi="Times New Roman" w:eastAsia="宋体" w:cs="Times New Roman"/>
        </w:rPr>
        <w:t>指报告期内企业上年汇算清缴企业所得税时用于申报研发加计扣除减免税政策需要扣减的以前年度销售研发活动直接形成产品（包括组成部分）对应的材料结转金额。该指标数据应取自《中华人民共和国企业所得税年度纳税申报表（A类）》中《研发费用加计扣除优惠明细表》（A107012）第49行次“减：当年销售研发活动直接形成产品（包括组成部分）对应的材料部分结转金额”。</w:t>
      </w:r>
    </w:p>
    <w:p>
      <w:pPr>
        <w:pStyle w:val="2"/>
        <w:outlineLvl w:val="9"/>
        <w:rPr>
          <w:rFonts w:hint="eastAsia"/>
        </w:rPr>
      </w:pPr>
    </w:p>
    <w:p>
      <w:pPr>
        <w:ind w:right="-38"/>
        <w:jc w:val="center"/>
        <w:outlineLvl w:val="9"/>
        <w:rPr>
          <w:rFonts w:hint="eastAsia"/>
          <w:b/>
          <w:sz w:val="30"/>
          <w:szCs w:val="30"/>
        </w:rPr>
      </w:pPr>
    </w:p>
    <w:p>
      <w:pPr>
        <w:ind w:right="-38"/>
        <w:jc w:val="center"/>
        <w:outlineLvl w:val="9"/>
        <w:rPr>
          <w:rFonts w:hint="eastAsia"/>
          <w:b/>
          <w:sz w:val="30"/>
          <w:szCs w:val="30"/>
        </w:rPr>
      </w:pPr>
    </w:p>
    <w:p>
      <w:pPr>
        <w:ind w:right="-38"/>
        <w:jc w:val="center"/>
        <w:outlineLvl w:val="9"/>
        <w:rPr>
          <w:rFonts w:hint="eastAsia"/>
          <w:b/>
          <w:sz w:val="30"/>
          <w:szCs w:val="30"/>
        </w:rPr>
      </w:pPr>
      <w:r>
        <w:rPr>
          <w:rFonts w:hint="eastAsia" w:eastAsia="宋体"/>
          <w:b/>
          <w:sz w:val="30"/>
          <w:szCs w:val="30"/>
        </w:rPr>
        <w:t>信息通信技术应用和数字化转型情况</w:t>
      </w:r>
    </w:p>
    <w:p>
      <w:pPr>
        <w:spacing w:line="360" w:lineRule="exact"/>
        <w:ind w:firstLine="420" w:firstLineChars="200"/>
        <w:rPr>
          <w:rFonts w:ascii="宋体"/>
        </w:rPr>
      </w:pPr>
      <w:r>
        <w:rPr>
          <w:rFonts w:hint="eastAsia" w:ascii="黑体" w:hAnsi="宋体" w:eastAsia="黑体" w:cs="黑体"/>
        </w:rPr>
        <w:t xml:space="preserve">计算机数 </w:t>
      </w:r>
      <w:r>
        <w:rPr>
          <w:rFonts w:ascii="黑体" w:hAnsi="宋体" w:eastAsia="黑体" w:cs="黑体"/>
        </w:rPr>
        <w:t xml:space="preserve"> </w:t>
      </w:r>
      <w:r>
        <w:rPr>
          <w:rFonts w:hint="eastAsia" w:ascii="宋体" w:hAnsi="宋体" w:cs="宋体"/>
        </w:rPr>
        <w:t>指报告期末企业（单位）使用的计算机数量，包括台式机、笔记本电脑和平板电脑。</w:t>
      </w:r>
    </w:p>
    <w:p>
      <w:pPr>
        <w:spacing w:line="360" w:lineRule="exact"/>
        <w:ind w:firstLine="420" w:firstLineChars="200"/>
        <w:rPr>
          <w:rFonts w:ascii="宋体" w:hAnsi="宋体" w:cs="宋体"/>
        </w:rPr>
      </w:pPr>
      <w:r>
        <w:rPr>
          <w:rFonts w:hint="eastAsia" w:ascii="黑体" w:hAnsi="宋体" w:eastAsia="黑体" w:cs="黑体"/>
        </w:rPr>
        <w:t xml:space="preserve">信息技术人员 </w:t>
      </w:r>
      <w:r>
        <w:rPr>
          <w:rFonts w:ascii="黑体" w:hAnsi="宋体" w:eastAsia="黑体" w:cs="黑体"/>
        </w:rPr>
        <w:t xml:space="preserve"> </w:t>
      </w:r>
      <w:r>
        <w:rPr>
          <w:rFonts w:hint="eastAsia" w:ascii="宋体" w:hAnsi="宋体" w:cs="宋体"/>
        </w:rPr>
        <w:t>是指</w:t>
      </w:r>
      <w:r>
        <w:rPr>
          <w:rFonts w:ascii="宋体" w:hAnsi="宋体" w:cs="宋体"/>
        </w:rPr>
        <w:t>在企业领取</w:t>
      </w:r>
      <w:r>
        <w:rPr>
          <w:rFonts w:hint="eastAsia" w:ascii="宋体" w:hAnsi="宋体" w:cs="宋体"/>
        </w:rPr>
        <w:t>报酬</w:t>
      </w:r>
      <w:r>
        <w:rPr>
          <w:rFonts w:ascii="宋体" w:hAnsi="宋体" w:cs="宋体"/>
        </w:rPr>
        <w:t>的，</w:t>
      </w:r>
      <w:r>
        <w:rPr>
          <w:rFonts w:hint="eastAsia" w:ascii="宋体" w:hAnsi="宋体" w:cs="宋体"/>
        </w:rPr>
        <w:t>专职从事</w:t>
      </w:r>
      <w:r>
        <w:rPr>
          <w:rFonts w:ascii="宋体" w:hAnsi="宋体" w:cs="宋体"/>
        </w:rPr>
        <w:t>信息技术相关工作的</w:t>
      </w:r>
      <w:r>
        <w:rPr>
          <w:rFonts w:hint="eastAsia" w:ascii="宋体" w:hAnsi="宋体" w:cs="宋体"/>
        </w:rPr>
        <w:t>人员。</w:t>
      </w:r>
      <w:r>
        <w:rPr>
          <w:rFonts w:ascii="宋体" w:hAnsi="宋体" w:cs="宋体"/>
        </w:rPr>
        <w:t>可以是全职人员，也可以是兼职人员</w:t>
      </w:r>
      <w:r>
        <w:rPr>
          <w:rFonts w:hint="eastAsia" w:ascii="宋体" w:hAnsi="宋体" w:cs="宋体"/>
        </w:rPr>
        <w:t>。</w:t>
      </w:r>
      <w:r>
        <w:rPr>
          <w:rFonts w:ascii="宋体" w:hAnsi="宋体" w:cs="宋体"/>
        </w:rPr>
        <w:t>信息技术</w:t>
      </w:r>
      <w:r>
        <w:rPr>
          <w:rFonts w:hint="eastAsia" w:ascii="宋体" w:hAnsi="宋体" w:cs="宋体"/>
        </w:rPr>
        <w:t>相关</w:t>
      </w:r>
      <w:r>
        <w:rPr>
          <w:rFonts w:ascii="宋体" w:hAnsi="宋体" w:cs="宋体"/>
        </w:rPr>
        <w:t>工作包括</w:t>
      </w:r>
      <w:r>
        <w:rPr>
          <w:rFonts w:hint="eastAsia" w:ascii="宋体" w:hAnsi="宋体" w:cs="宋体"/>
        </w:rPr>
        <w:t>维护ICT基础设施（服务器、计算机、打印机、网络），支持办公软件（如文字处理器、电子表格等），开发业务管理软件/系统，支持业务管理软件/系统（如ERP</w:t>
      </w:r>
    </w:p>
    <w:p>
      <w:pPr>
        <w:spacing w:line="360" w:lineRule="exact"/>
        <w:rPr>
          <w:rFonts w:ascii="宋体"/>
        </w:rPr>
      </w:pPr>
      <w:r>
        <w:rPr>
          <w:rFonts w:hint="eastAsia" w:ascii="宋体" w:hAnsi="宋体" w:cs="宋体"/>
        </w:rPr>
        <w:t>、CRM、HR、数据库），开发Web解决方案（如开发本企业的网站、应用程序、电子商务解决方案等），支持Web解决方案（如支持本企业的网站、应用程序、电子商务解决方案等），ICT安全和数据保护（如安全测试、安全培训、解决ICT安全事件等）。企业</w:t>
      </w:r>
      <w:r>
        <w:rPr>
          <w:rFonts w:ascii="宋体" w:hAnsi="宋体" w:cs="宋体"/>
        </w:rPr>
        <w:t>因购买软硬件及其他信息技术</w:t>
      </w:r>
      <w:r>
        <w:rPr>
          <w:rFonts w:hint="eastAsia" w:ascii="宋体" w:hAnsi="宋体" w:cs="宋体"/>
        </w:rPr>
        <w:t>服务</w:t>
      </w:r>
      <w:r>
        <w:rPr>
          <w:rFonts w:ascii="宋体" w:hAnsi="宋体" w:cs="宋体"/>
        </w:rPr>
        <w:t>而导致供货方或提供技术</w:t>
      </w:r>
      <w:r>
        <w:rPr>
          <w:rFonts w:hint="eastAsia" w:ascii="宋体" w:hAnsi="宋体" w:cs="宋体"/>
        </w:rPr>
        <w:t>一</w:t>
      </w:r>
      <w:r>
        <w:rPr>
          <w:rFonts w:ascii="宋体" w:hAnsi="宋体" w:cs="宋体"/>
        </w:rPr>
        <w:t>方的法人单位向</w:t>
      </w:r>
      <w:r>
        <w:rPr>
          <w:rFonts w:hint="eastAsia" w:ascii="宋体" w:hAnsi="宋体" w:cs="宋体"/>
        </w:rPr>
        <w:t>本</w:t>
      </w:r>
      <w:r>
        <w:rPr>
          <w:rFonts w:ascii="宋体" w:hAnsi="宋体" w:cs="宋体"/>
        </w:rPr>
        <w:t>企业派驻的信息技术人员不计入本企业的</w:t>
      </w:r>
      <w:r>
        <w:rPr>
          <w:rFonts w:hint="eastAsia" w:ascii="宋体" w:hAnsi="宋体" w:cs="宋体"/>
        </w:rPr>
        <w:t>信息技术人员</w:t>
      </w:r>
      <w:r>
        <w:rPr>
          <w:rFonts w:ascii="宋体" w:hAnsi="宋体" w:cs="宋体"/>
        </w:rPr>
        <w:t>统计范围。</w:t>
      </w:r>
    </w:p>
    <w:p>
      <w:pPr>
        <w:spacing w:line="360" w:lineRule="exact"/>
        <w:ind w:firstLine="420" w:firstLineChars="200"/>
        <w:rPr>
          <w:rFonts w:hint="eastAsia" w:ascii="黑体" w:hAnsi="宋体" w:eastAsia="黑体" w:cs="黑体"/>
        </w:rPr>
      </w:pPr>
      <w:r>
        <w:rPr>
          <w:rFonts w:hint="eastAsia" w:ascii="黑体" w:hAnsi="宋体" w:eastAsia="黑体" w:cs="黑体"/>
        </w:rPr>
        <w:t xml:space="preserve">信息化投入  </w:t>
      </w:r>
      <w:r>
        <w:rPr>
          <w:rFonts w:hint="eastAsia" w:ascii="宋体" w:hAnsi="宋体" w:cs="宋体"/>
        </w:rPr>
        <w:t>指企业生产运营过程中在信息化建设方面的投入，如开发或购买软件投入；开发或购买电信、广播电视和卫星传输服务投入；开发或购买互联网接入、搜索、安全、数据等服务投入；开发或购买集成电路设计、信息系统集成、物联网技术、运行维护、信息处理和存储支持、信息技术咨询、地理遥感信息及测绘地理信息、三维（3D）打印技术及其他信息技术服务投入等。</w:t>
      </w:r>
    </w:p>
    <w:p>
      <w:pPr>
        <w:spacing w:line="360" w:lineRule="exact"/>
        <w:ind w:firstLine="420" w:firstLineChars="200"/>
        <w:rPr>
          <w:rFonts w:ascii="宋体"/>
        </w:rPr>
      </w:pPr>
      <w:r>
        <w:rPr>
          <w:rFonts w:hint="eastAsia" w:ascii="黑体" w:hAnsi="宋体" w:eastAsia="黑体" w:cs="黑体"/>
        </w:rPr>
        <w:t>网站数</w:t>
      </w:r>
      <w:r>
        <w:rPr>
          <w:rFonts w:ascii="黑体" w:hAnsi="宋体" w:eastAsia="黑体" w:cs="黑体"/>
        </w:rPr>
        <w:t xml:space="preserve">  </w:t>
      </w:r>
      <w:r>
        <w:rPr>
          <w:rFonts w:hint="eastAsia" w:ascii="宋体" w:hAnsi="宋体" w:cs="宋体"/>
        </w:rPr>
        <w:t>指报告期末企业拥有和维护的，在互联网上可浏览的网站数，不包括企业内网。网站是指在公共互联网上，面向公众使用的，基于</w:t>
      </w:r>
      <w:r>
        <w:rPr>
          <w:rFonts w:ascii="宋体" w:hAnsi="宋体"/>
        </w:rPr>
        <w:t>TCP/IP</w:t>
      </w:r>
      <w:r>
        <w:rPr>
          <w:rFonts w:hint="eastAsia" w:ascii="宋体" w:hAnsi="宋体" w:cs="宋体"/>
        </w:rPr>
        <w:t>协议的计算机系统，以域名本身或者“</w:t>
      </w:r>
      <w:r>
        <w:rPr>
          <w:rFonts w:ascii="宋体" w:hAnsi="宋体"/>
        </w:rPr>
        <w:t>WWW.</w:t>
      </w:r>
      <w:r>
        <w:rPr>
          <w:rFonts w:hint="eastAsia" w:ascii="宋体" w:hAnsi="宋体"/>
        </w:rPr>
        <w:t>＋</w:t>
      </w:r>
      <w:r>
        <w:rPr>
          <w:rFonts w:hint="eastAsia" w:ascii="宋体" w:hAnsi="宋体" w:cs="宋体"/>
        </w:rPr>
        <w:t>域名”为网址的</w:t>
      </w:r>
      <w:r>
        <w:rPr>
          <w:rFonts w:ascii="宋体" w:hAnsi="宋体"/>
        </w:rPr>
        <w:t>web</w:t>
      </w:r>
      <w:r>
        <w:rPr>
          <w:rFonts w:hint="eastAsia" w:ascii="宋体" w:hAnsi="宋体" w:cs="宋体"/>
        </w:rPr>
        <w:t>站点，由地址、软件、硬件和内容组成。</w:t>
      </w:r>
    </w:p>
    <w:p>
      <w:pPr>
        <w:spacing w:line="360" w:lineRule="exact"/>
        <w:ind w:firstLine="420" w:firstLineChars="200"/>
        <w:rPr>
          <w:rFonts w:hint="eastAsia" w:ascii="宋体" w:hAnsi="宋体" w:cs="宋体"/>
        </w:rPr>
      </w:pPr>
      <w:r>
        <w:rPr>
          <w:rFonts w:hint="eastAsia" w:ascii="黑体" w:hAnsi="宋体" w:eastAsia="黑体" w:cs="黑体"/>
        </w:rPr>
        <w:t>网站或应用程序（APP）交易</w:t>
      </w:r>
      <w:r>
        <w:rPr>
          <w:rFonts w:hint="eastAsia" w:ascii="宋体" w:hAnsi="宋体" w:cs="宋体"/>
        </w:rPr>
        <w:t xml:space="preserve">  指企业通过以下方式进行商品或服务交易：（1）企业自建网站或APP，包括小程序、公众号等；（2）电子商务网站或APP，如淘宝、1688、美团、携程等。不包括通过电子邮件、即时通讯工具等形成的订单。</w:t>
      </w:r>
    </w:p>
    <w:p>
      <w:pPr>
        <w:spacing w:line="360" w:lineRule="exact"/>
        <w:ind w:firstLine="420" w:firstLineChars="200"/>
        <w:rPr>
          <w:rFonts w:hint="eastAsia" w:ascii="宋体" w:hAnsi="宋体" w:cs="宋体"/>
        </w:rPr>
      </w:pPr>
      <w:r>
        <w:rPr>
          <w:rFonts w:hint="eastAsia" w:ascii="黑体" w:hAnsi="宋体" w:eastAsia="黑体" w:cs="黑体"/>
        </w:rPr>
        <w:t>电子数据交换（EDI）类型交易</w:t>
      </w:r>
      <w:r>
        <w:rPr>
          <w:rFonts w:hint="eastAsia" w:ascii="宋体" w:hAnsi="宋体" w:cs="宋体"/>
        </w:rPr>
        <w:t xml:space="preserve">  指按照统一规定的格式，将标准的经济信息通过互联网在企业与客户的计算机系统之间传输，从而进行订单信息数据交换和自动处理。包括通过EDI服务提供商形成的订单；通过自动化系统形成需求导向的订单；通过ERP系统直接接收的订单。</w:t>
      </w:r>
    </w:p>
    <w:p>
      <w:pPr>
        <w:spacing w:line="360" w:lineRule="exact"/>
        <w:ind w:firstLine="420" w:firstLineChars="200"/>
        <w:rPr>
          <w:rFonts w:hint="eastAsia" w:ascii="宋体" w:hAnsi="宋体" w:cs="宋体"/>
        </w:rPr>
      </w:pPr>
      <w:r>
        <w:rPr>
          <w:rFonts w:hint="eastAsia" w:ascii="黑体" w:hAnsi="宋体" w:eastAsia="黑体" w:cs="黑体"/>
        </w:rPr>
        <w:t>云计算服务</w:t>
      </w:r>
      <w:r>
        <w:rPr>
          <w:rFonts w:hint="eastAsia" w:ascii="宋体" w:hAnsi="宋体" w:cs="宋体"/>
        </w:rPr>
        <w:t xml:space="preserve">  </w:t>
      </w:r>
      <w:r>
        <w:rPr>
          <w:rFonts w:hint="eastAsia" w:ascii="宋体" w:hAnsi="宋体" w:cs="宋体"/>
          <w:spacing w:val="4"/>
        </w:rPr>
        <w:t>指通过互联网获取软件、算力、存储空间等信息通信技术服务。这类服务具备以下特征：通过服务商的服务器实现；用户数量、存储空间等可动态伸缩；用户可按需获取各类服务并进行付费。</w:t>
      </w:r>
    </w:p>
    <w:p>
      <w:pPr>
        <w:spacing w:line="360" w:lineRule="exact"/>
        <w:ind w:firstLine="420" w:firstLineChars="200"/>
        <w:rPr>
          <w:rFonts w:hint="eastAsia" w:ascii="宋体" w:hAnsi="宋体" w:cs="宋体"/>
        </w:rPr>
      </w:pPr>
      <w:r>
        <w:rPr>
          <w:rFonts w:hint="eastAsia" w:ascii="黑体" w:hAnsi="宋体" w:eastAsia="黑体" w:cs="黑体"/>
        </w:rPr>
        <w:t xml:space="preserve">物联网技术  </w:t>
      </w:r>
      <w:r>
        <w:rPr>
          <w:rFonts w:hint="eastAsia" w:ascii="宋体" w:hAnsi="宋体" w:cs="宋体"/>
        </w:rPr>
        <w:t>指相互联通的设备或系统，通过收集交换各类数据，借助互联网进行监控或远程控制。如：智慧仪表、温度自动调节器、智慧路灯、智慧警报系统、智慧烟感器、智慧门锁以及智慧摄像头等；以及各类信息传感器和射频识别（</w:t>
      </w:r>
      <w:r>
        <w:rPr>
          <w:rFonts w:ascii="宋体" w:hAnsi="宋体" w:cs="宋体"/>
          <w:lang w:val="en"/>
        </w:rPr>
        <w:t>RFID</w:t>
      </w:r>
      <w:r>
        <w:rPr>
          <w:rFonts w:hint="eastAsia" w:ascii="宋体" w:hAnsi="宋体" w:cs="宋体"/>
        </w:rPr>
        <w:t>）设备等。不包括运动、声音、温度、烟雾等常用传感器，以及无法通过网络进行监控或者远程控制的射频识别（</w:t>
      </w:r>
      <w:r>
        <w:rPr>
          <w:rFonts w:ascii="宋体" w:hAnsi="宋体" w:cs="宋体"/>
          <w:lang w:val="en"/>
        </w:rPr>
        <w:t>RFID</w:t>
      </w:r>
      <w:r>
        <w:rPr>
          <w:rFonts w:hint="eastAsia" w:ascii="宋体" w:hAnsi="宋体" w:cs="宋体"/>
        </w:rPr>
        <w:t>）设备。</w:t>
      </w:r>
    </w:p>
    <w:p>
      <w:pPr>
        <w:spacing w:line="360" w:lineRule="exact"/>
        <w:ind w:firstLine="420" w:firstLineChars="200"/>
        <w:rPr>
          <w:rFonts w:hint="eastAsia" w:ascii="黑体" w:hAnsi="宋体" w:eastAsia="黑体" w:cs="黑体"/>
        </w:rPr>
      </w:pPr>
      <w:r>
        <w:rPr>
          <w:rFonts w:hint="eastAsia" w:ascii="黑体" w:hAnsi="宋体" w:eastAsia="黑体" w:cs="黑体"/>
        </w:rPr>
        <w:t>人工智能技术</w:t>
      </w:r>
      <w:r>
        <w:rPr>
          <w:rFonts w:hint="eastAsia" w:ascii="宋体" w:hAnsi="宋体" w:cs="宋体"/>
        </w:rPr>
        <w:t xml:space="preserve">  指通过文本挖掘、机器视觉、语音识别、自然语言处理、机器学习、深度学习等收集使用数据，进而实现预测、推荐、决策等目的。人工智能可完全基于软件，如基于自然语言处理技术的聊天机器人、数字虚拟助手，基于机器视觉和语音识别技术的人脸识别系统，机器翻译软件，基于机器学习的数据分析等；也可与硬件设备相结合，如用于库房自动化管理或生产自动化组装的智能机器人，用于生产监控或处理包裹的智能无人机等。</w:t>
      </w:r>
    </w:p>
    <w:p>
      <w:pPr>
        <w:spacing w:line="360" w:lineRule="exact"/>
        <w:ind w:firstLine="420" w:firstLineChars="200"/>
        <w:rPr>
          <w:rFonts w:hint="eastAsia" w:ascii="宋体" w:hAnsi="宋体" w:cs="宋体"/>
        </w:rPr>
      </w:pPr>
      <w:r>
        <w:rPr>
          <w:rFonts w:hint="eastAsia" w:ascii="黑体" w:hAnsi="黑体" w:eastAsia="黑体"/>
          <w:kern w:val="0"/>
          <w:szCs w:val="21"/>
        </w:rPr>
        <w:t>智能化制造</w:t>
      </w:r>
      <w:r>
        <w:rPr>
          <w:rFonts w:hint="eastAsia" w:ascii="宋体" w:hAnsi="宋体" w:cs="宋体"/>
        </w:rPr>
        <w:t xml:space="preserve">  指依托工业互联网推动感知设备、生产装置、控制系统与管理系统等广泛互联，通过数据分析、决策优化实现研发智能交互、生产智能管控和运营智慧决策，打造高效率、高质量、零库存的生产模式。</w:t>
      </w:r>
    </w:p>
    <w:p>
      <w:pPr>
        <w:spacing w:line="360" w:lineRule="exact"/>
        <w:ind w:firstLine="420" w:firstLineChars="200"/>
        <w:rPr>
          <w:rFonts w:hint="eastAsia" w:ascii="宋体" w:hAnsi="宋体" w:cs="宋体"/>
        </w:rPr>
      </w:pPr>
      <w:r>
        <w:rPr>
          <w:rFonts w:hint="eastAsia" w:ascii="黑体" w:hAnsi="黑体" w:eastAsia="黑体"/>
          <w:kern w:val="0"/>
          <w:szCs w:val="21"/>
        </w:rPr>
        <w:t>网络化协同</w:t>
      </w:r>
      <w:r>
        <w:rPr>
          <w:rFonts w:hint="eastAsia" w:ascii="宋体" w:hAnsi="宋体" w:cs="宋体"/>
        </w:rPr>
        <w:t xml:space="preserve">  指通过工业互联网整合分布于不同企业、不同区域甚至是全球的设计、生产、供应链和销售等资源，构建资源灵活组织和高效调配能力，实现全产业链全价值链动态优化配置，提升产业链供应链创新发展水平。</w:t>
      </w:r>
    </w:p>
    <w:p>
      <w:pPr>
        <w:spacing w:line="360" w:lineRule="exact"/>
        <w:ind w:firstLine="420" w:firstLineChars="200"/>
        <w:rPr>
          <w:rFonts w:hint="eastAsia" w:ascii="宋体" w:hAnsi="宋体" w:cs="宋体"/>
        </w:rPr>
      </w:pPr>
      <w:r>
        <w:rPr>
          <w:rFonts w:hint="eastAsia" w:ascii="黑体" w:hAnsi="黑体" w:eastAsia="黑体"/>
          <w:kern w:val="0"/>
          <w:szCs w:val="21"/>
        </w:rPr>
        <w:t>服务化延伸</w:t>
      </w:r>
      <w:r>
        <w:rPr>
          <w:rFonts w:hint="eastAsia" w:ascii="宋体" w:hAnsi="宋体" w:cs="宋体"/>
        </w:rPr>
        <w:t xml:space="preserve">  指依托工业互联网实现对智能产品装备的远程互联和数据分析，形成产品追溯、在线检测、远程运维、预测性维护等服务模式，基于产品数据跨界整合与价值挖掘，进一步实现服务延伸。</w:t>
      </w:r>
    </w:p>
    <w:p>
      <w:pPr>
        <w:spacing w:line="360" w:lineRule="exact"/>
        <w:ind w:firstLine="420" w:firstLineChars="200"/>
        <w:rPr>
          <w:rFonts w:hint="eastAsia" w:ascii="宋体" w:hAnsi="宋体" w:cs="宋体"/>
        </w:rPr>
      </w:pPr>
      <w:r>
        <w:rPr>
          <w:rFonts w:hint="eastAsia" w:ascii="黑体" w:hAnsi="黑体" w:eastAsia="黑体"/>
          <w:kern w:val="0"/>
          <w:szCs w:val="21"/>
        </w:rPr>
        <w:t xml:space="preserve">个性化定制  </w:t>
      </w:r>
      <w:r>
        <w:rPr>
          <w:rFonts w:hint="eastAsia" w:ascii="宋体" w:hAnsi="宋体" w:cs="宋体"/>
        </w:rPr>
        <w:t>指依托工业互联网推动企业与用户的深度交互，精准挖掘分析用户需求，实现低成本条件下的大规模个性定制方案。</w:t>
      </w:r>
    </w:p>
    <w:p>
      <w:pPr>
        <w:spacing w:line="360" w:lineRule="exact"/>
        <w:ind w:firstLine="420" w:firstLineChars="200"/>
        <w:rPr>
          <w:rFonts w:hint="eastAsia" w:ascii="黑体" w:hAnsi="宋体" w:eastAsia="黑体" w:cs="黑体"/>
        </w:rPr>
      </w:pPr>
      <w:r>
        <w:rPr>
          <w:rFonts w:hint="eastAsia" w:ascii="黑体" w:hAnsi="黑体" w:eastAsia="黑体"/>
          <w:kern w:val="0"/>
          <w:szCs w:val="21"/>
        </w:rPr>
        <w:t xml:space="preserve">数字化管理  </w:t>
      </w:r>
      <w:r>
        <w:rPr>
          <w:rFonts w:hint="eastAsia" w:ascii="宋体" w:hAnsi="宋体" w:cs="宋体"/>
        </w:rPr>
        <w:t>指利用工业互联网打通内部各管理环节，打造数据驱动、敏捷高效的经营管理体系，推进可视化管理模式普及，开展动态市场响应、资源配置优化、智能战略决策等新模式应用探索。</w:t>
      </w:r>
    </w:p>
    <w:p>
      <w:pPr>
        <w:pStyle w:val="11"/>
        <w:tabs>
          <w:tab w:val="left" w:pos="8505"/>
        </w:tabs>
        <w:spacing w:line="360" w:lineRule="exact"/>
        <w:ind w:right="0" w:firstLine="420" w:firstLineChars="200"/>
        <w:rPr>
          <w:rFonts w:hint="eastAsia" w:ascii="宋体" w:hAnsi="宋体" w:eastAsia="宋体" w:cs="宋体"/>
          <w:kern w:val="2"/>
          <w:sz w:val="21"/>
          <w:lang w:val="en-US" w:eastAsia="zh-CN" w:bidi="ar-SA"/>
        </w:rPr>
      </w:pPr>
      <w:r>
        <w:rPr>
          <w:rFonts w:hint="eastAsia" w:ascii="黑体" w:hAnsi="黑体" w:eastAsia="黑体" w:cs="Times New Roman"/>
          <w:kern w:val="0"/>
          <w:sz w:val="21"/>
          <w:szCs w:val="21"/>
          <w:lang w:val="en-US" w:eastAsia="zh-CN" w:bidi="ar-SA"/>
        </w:rPr>
        <w:t>平台化设计</w:t>
      </w:r>
      <w:r>
        <w:rPr>
          <w:rFonts w:hint="eastAsia" w:ascii="黑体" w:hAnsi="宋体" w:eastAsia="黑体" w:cs="黑体"/>
        </w:rPr>
        <w:t xml:space="preserve">  </w:t>
      </w:r>
      <w:r>
        <w:rPr>
          <w:rFonts w:hint="eastAsia" w:ascii="宋体" w:hAnsi="宋体" w:eastAsia="宋体" w:cs="宋体"/>
          <w:kern w:val="2"/>
          <w:sz w:val="21"/>
          <w:lang w:val="en-US" w:eastAsia="zh-CN" w:bidi="ar-SA"/>
        </w:rPr>
        <w:t>指通过汇聚人员、算法、模型、任务等设计资源，着力实现云化协同、共享资源、实时交互等，提升大中小企业协同研发设计效率和质量，降低中小企业研发设计成本，推动数字交付等新型设计成果产出。</w:t>
      </w:r>
    </w:p>
    <w:p>
      <w:pPr>
        <w:spacing w:line="360" w:lineRule="exact"/>
        <w:ind w:firstLine="420" w:firstLineChars="200"/>
        <w:rPr>
          <w:rFonts w:hint="eastAsia" w:ascii="宋体" w:hAnsi="宋体" w:eastAsia="宋体" w:cs="宋体"/>
        </w:rPr>
      </w:pPr>
    </w:p>
    <w:p>
      <w:pPr>
        <w:pStyle w:val="15"/>
        <w:rPr>
          <w:rFonts w:hint="eastAsia" w:ascii="宋体" w:hAnsi="宋体" w:cs="宋体"/>
        </w:rPr>
      </w:pPr>
    </w:p>
    <w:p>
      <w:pPr>
        <w:ind w:right="-38"/>
        <w:jc w:val="center"/>
        <w:outlineLvl w:val="9"/>
        <w:rPr>
          <w:b/>
          <w:sz w:val="30"/>
          <w:szCs w:val="30"/>
        </w:rPr>
      </w:pPr>
      <w:r>
        <w:rPr>
          <w:rFonts w:hint="eastAsia"/>
          <w:b/>
          <w:sz w:val="30"/>
          <w:szCs w:val="30"/>
        </w:rPr>
        <w:t>“一套表”单位数字经济活动情况</w:t>
      </w:r>
    </w:p>
    <w:p>
      <w:pPr>
        <w:keepNext w:val="0"/>
        <w:keepLines w:val="0"/>
        <w:pageBreakBefore w:val="0"/>
        <w:widowControl/>
        <w:kinsoku/>
        <w:wordWrap/>
        <w:overflowPunct/>
        <w:topLinePunct w:val="0"/>
        <w:autoSpaceDE/>
        <w:autoSpaceDN/>
        <w:bidi w:val="0"/>
        <w:spacing w:line="360" w:lineRule="exact"/>
        <w:ind w:firstLine="420" w:firstLineChars="200"/>
        <w:rPr>
          <w:rFonts w:hint="default" w:ascii="Times New Roman" w:hAnsi="Times New Roman" w:cs="Times New Roman"/>
          <w:color w:val="auto"/>
        </w:rPr>
      </w:pPr>
      <w:r>
        <w:rPr>
          <w:rFonts w:hint="default" w:ascii="Times New Roman" w:hAnsi="Times New Roman" w:eastAsia="黑体" w:cs="Times New Roman"/>
          <w:color w:val="auto"/>
          <w:kern w:val="0"/>
          <w:szCs w:val="21"/>
          <w:lang w:val="en" w:bidi="ar"/>
        </w:rPr>
        <w:t>数字经济</w:t>
      </w:r>
      <w:r>
        <w:rPr>
          <w:rFonts w:hint="default" w:ascii="Times New Roman" w:hAnsi="Times New Roman" w:eastAsia="黑体" w:cs="Times New Roman"/>
          <w:color w:val="auto"/>
          <w:kern w:val="0"/>
          <w:szCs w:val="21"/>
          <w:lang w:bidi="ar"/>
        </w:rPr>
        <w:t xml:space="preserve">  </w:t>
      </w:r>
      <w:r>
        <w:rPr>
          <w:rFonts w:hint="default" w:ascii="Times New Roman" w:hAnsi="Times New Roman" w:cs="Times New Roman"/>
          <w:color w:val="auto"/>
        </w:rPr>
        <w:t>指以数据资源作为关键生产要素、以现代信息网络作为重要载体、以信息通信技术的有效使用作为效率提升和经济结构优化的重要推动力的一系列经济活动。</w:t>
      </w:r>
    </w:p>
    <w:p>
      <w:pPr>
        <w:keepNext w:val="0"/>
        <w:keepLines w:val="0"/>
        <w:pageBreakBefore w:val="0"/>
        <w:widowControl/>
        <w:kinsoku/>
        <w:wordWrap/>
        <w:overflowPunct/>
        <w:topLinePunct w:val="0"/>
        <w:autoSpaceDE/>
        <w:autoSpaceDN/>
        <w:bidi w:val="0"/>
        <w:spacing w:line="360" w:lineRule="exact"/>
        <w:ind w:firstLine="420" w:firstLineChars="200"/>
        <w:rPr>
          <w:rFonts w:hint="default" w:ascii="Times New Roman" w:hAnsi="Times New Roman" w:eastAsia="黑体" w:cs="Times New Roman"/>
          <w:color w:val="auto"/>
          <w:kern w:val="0"/>
          <w:szCs w:val="21"/>
          <w:lang w:bidi="ar"/>
        </w:rPr>
      </w:pPr>
      <w:r>
        <w:rPr>
          <w:rFonts w:hint="default" w:ascii="Times New Roman" w:hAnsi="Times New Roman" w:eastAsia="黑体" w:cs="Times New Roman"/>
          <w:color w:val="auto"/>
          <w:kern w:val="0"/>
          <w:szCs w:val="21"/>
          <w:lang w:eastAsia="zh-CN" w:bidi="ar"/>
        </w:rPr>
        <w:t>数字经济核心产业</w:t>
      </w:r>
      <w:r>
        <w:rPr>
          <w:rFonts w:hint="default" w:ascii="Times New Roman" w:hAnsi="Times New Roman" w:eastAsia="黑体" w:cs="Times New Roman"/>
          <w:color w:val="auto"/>
          <w:kern w:val="0"/>
          <w:szCs w:val="21"/>
          <w:lang w:val="en-US" w:eastAsia="zh-CN" w:bidi="ar"/>
        </w:rPr>
        <w:t xml:space="preserve">  </w:t>
      </w:r>
      <w:r>
        <w:rPr>
          <w:rFonts w:hint="default" w:ascii="Times New Roman" w:hAnsi="Times New Roman" w:cs="Times New Roman"/>
          <w:color w:val="auto"/>
          <w:lang w:val="en-US" w:eastAsia="zh-CN"/>
        </w:rPr>
        <w:t>指为产业数字化发展提供数字技术、产品、服务、基础设施和解决方案，以及完全依赖于数字技术、数据要素的各类经济活动。</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kern w:val="0"/>
          <w:szCs w:val="21"/>
          <w:lang w:bidi="ar"/>
        </w:rPr>
        <w:t>电子游戏游艺设备制造</w:t>
      </w:r>
      <w:r>
        <w:rPr>
          <w:rFonts w:hint="default" w:ascii="Times New Roman" w:hAnsi="Times New Roman" w:cs="Times New Roman"/>
          <w:color w:val="auto"/>
          <w:kern w:val="0"/>
          <w:szCs w:val="21"/>
          <w:lang w:bidi="ar"/>
        </w:rPr>
        <w:t xml:space="preserve">  指主要安装在室内游乐场所的电子游乐设备的制造，包括电子游戏机等。</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rPr>
      </w:pPr>
      <w:r>
        <w:rPr>
          <w:rFonts w:hint="default" w:ascii="Times New Roman" w:hAnsi="Times New Roman" w:eastAsia="黑体" w:cs="Times New Roman"/>
          <w:color w:val="auto"/>
          <w:kern w:val="0"/>
          <w:szCs w:val="21"/>
          <w:lang w:bidi="ar"/>
        </w:rPr>
        <w:t>专用电线、电缆制造</w:t>
      </w:r>
      <w:r>
        <w:rPr>
          <w:rFonts w:hint="default" w:ascii="Times New Roman" w:hAnsi="Times New Roman" w:cs="Times New Roman"/>
          <w:color w:val="auto"/>
          <w:kern w:val="0"/>
          <w:szCs w:val="21"/>
          <w:lang w:bidi="ar"/>
        </w:rPr>
        <w:t xml:space="preserve">  指在声音、文字、图像等信息传播方面所使用的电线电缆的制造。</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kern w:val="0"/>
          <w:szCs w:val="21"/>
          <w:lang w:bidi="ar"/>
        </w:rPr>
        <w:t>智能（数字化）车间（或流水线）</w:t>
      </w:r>
      <w:r>
        <w:rPr>
          <w:rFonts w:hint="default" w:ascii="Times New Roman" w:hAnsi="Times New Roman" w:cs="Times New Roman"/>
          <w:color w:val="auto"/>
          <w:kern w:val="0"/>
          <w:szCs w:val="21"/>
          <w:lang w:bidi="ar"/>
        </w:rPr>
        <w:t xml:space="preserve">  指利用数字孪生、人工智能、5G、区块链、VR/AR、边缘计算、试验验证、仿真技术等技术和设备，在通用、专用设备领域开展生产和制造活动的车间（或流水线）。</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color w:val="auto"/>
          <w:kern w:val="0"/>
          <w:szCs w:val="21"/>
          <w:lang w:eastAsia="zh-CN" w:bidi="ar"/>
        </w:rPr>
      </w:pPr>
      <w:r>
        <w:rPr>
          <w:rFonts w:hint="default" w:ascii="Times New Roman" w:hAnsi="Times New Roman" w:eastAsia="黑体" w:cs="Times New Roman"/>
          <w:color w:val="auto"/>
          <w:kern w:val="0"/>
          <w:szCs w:val="21"/>
          <w:lang w:bidi="ar"/>
        </w:rPr>
        <w:t>新签智能建造工程项目合同额</w:t>
      </w:r>
      <w:r>
        <w:rPr>
          <w:rFonts w:hint="default" w:ascii="Times New Roman" w:hAnsi="Times New Roman" w:cs="Times New Roman"/>
          <w:color w:val="auto"/>
          <w:kern w:val="0"/>
          <w:szCs w:val="21"/>
          <w:lang w:bidi="ar"/>
        </w:rPr>
        <w:t xml:space="preserve">  指建筑业企业报告期内新签的采用智能建造方式的项目合同金额</w:t>
      </w:r>
      <w:r>
        <w:rPr>
          <w:rFonts w:hint="default" w:ascii="Times New Roman" w:hAnsi="Times New Roman" w:cs="Times New Roman"/>
          <w:color w:val="auto"/>
          <w:kern w:val="0"/>
          <w:szCs w:val="21"/>
          <w:lang w:eastAsia="zh-CN" w:bidi="ar"/>
        </w:rPr>
        <w:t>，包括使用建筑信息模型、建筑机器人、盾构机等数字化建造装备以及其他智能建造方式进行的施工活动。</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szCs w:val="32"/>
          <w:lang w:bidi="ar"/>
        </w:rPr>
        <w:t xml:space="preserve">网络基础设施建设工程  </w:t>
      </w:r>
      <w:r>
        <w:rPr>
          <w:rFonts w:hint="default" w:ascii="Times New Roman" w:hAnsi="Times New Roman" w:cs="Times New Roman"/>
          <w:color w:val="auto"/>
          <w:kern w:val="0"/>
          <w:szCs w:val="21"/>
          <w:lang w:bidi="ar"/>
        </w:rPr>
        <w:t>指光缆、微波、卫星、移动通信、工业互联网、物联网、5G等网络基础设施的建设活动。</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lang w:eastAsia="zh-CN"/>
        </w:rPr>
      </w:pPr>
      <w:r>
        <w:rPr>
          <w:rFonts w:hint="default" w:ascii="Times New Roman" w:hAnsi="Times New Roman" w:eastAsia="黑体" w:cs="Times New Roman"/>
          <w:color w:val="auto"/>
          <w:szCs w:val="32"/>
          <w:lang w:bidi="ar"/>
        </w:rPr>
        <w:t xml:space="preserve">新技术基础设施建设  </w:t>
      </w:r>
      <w:r>
        <w:rPr>
          <w:rFonts w:hint="default" w:ascii="Times New Roman" w:hAnsi="Times New Roman" w:cs="Times New Roman"/>
          <w:color w:val="auto"/>
          <w:kern w:val="0"/>
          <w:szCs w:val="21"/>
          <w:lang w:bidi="ar"/>
        </w:rPr>
        <w:t>指人工智能、云计算、区块链等新技术基础设施的建设活动。</w:t>
      </w:r>
    </w:p>
    <w:p>
      <w:pPr>
        <w:keepNext w:val="0"/>
        <w:keepLines w:val="0"/>
        <w:pageBreakBefore w:val="0"/>
        <w:kinsoku/>
        <w:wordWrap/>
        <w:overflowPunct/>
        <w:topLinePunct w:val="0"/>
        <w:autoSpaceDE/>
        <w:autoSpaceDN/>
        <w:bidi w:val="0"/>
        <w:spacing w:line="360" w:lineRule="exact"/>
        <w:ind w:firstLine="420" w:firstLineChars="20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szCs w:val="32"/>
        </w:rPr>
        <w:t>算</w:t>
      </w:r>
      <w:r>
        <w:rPr>
          <w:rFonts w:hint="default" w:ascii="Times New Roman" w:hAnsi="Times New Roman" w:eastAsia="黑体" w:cs="Times New Roman"/>
          <w:color w:val="auto"/>
          <w:kern w:val="0"/>
          <w:szCs w:val="21"/>
          <w:lang w:bidi="ar"/>
        </w:rPr>
        <w:t xml:space="preserve">力基础设施建设  </w:t>
      </w:r>
      <w:r>
        <w:rPr>
          <w:rFonts w:hint="default" w:ascii="Times New Roman" w:hAnsi="Times New Roman" w:cs="Times New Roman"/>
          <w:color w:val="auto"/>
          <w:kern w:val="0"/>
          <w:szCs w:val="21"/>
          <w:lang w:bidi="ar"/>
        </w:rPr>
        <w:t>指以数据服务器、运算中心、数据存储阵列等为核心，实现数据信息的计算、存储、传递、加速、展示等功能的数据中心、智能计算中心等算力基础设施的建设活动。</w:t>
      </w:r>
    </w:p>
    <w:p>
      <w:pPr>
        <w:pStyle w:val="2"/>
        <w:keepNext w:val="0"/>
        <w:keepLines w:val="0"/>
        <w:pageBreakBefore w:val="0"/>
        <w:kinsoku/>
        <w:wordWrap/>
        <w:overflowPunct/>
        <w:topLinePunct w:val="0"/>
        <w:autoSpaceDE/>
        <w:autoSpaceDN/>
        <w:bidi w:val="0"/>
        <w:snapToGrid w:val="0"/>
        <w:spacing w:after="0" w:line="360" w:lineRule="exact"/>
        <w:ind w:left="0" w:leftChars="0" w:firstLine="42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kern w:val="0"/>
          <w:szCs w:val="21"/>
          <w:lang w:bidi="ar"/>
        </w:rPr>
        <w:t>通过网站或应用程序（APP）交易</w:t>
      </w:r>
      <w:r>
        <w:rPr>
          <w:rFonts w:hint="default" w:ascii="Times New Roman" w:hAnsi="Times New Roman" w:cs="Times New Roman"/>
          <w:color w:val="auto"/>
          <w:kern w:val="0"/>
          <w:szCs w:val="21"/>
          <w:lang w:bidi="ar"/>
        </w:rPr>
        <w:t xml:space="preserve">  指企业通过以下方式进行商品或服务交易：（1）企业自建网站或APP，包括小程序、公众号等；（2）电子商务网站或APP，如淘宝、1688、美团、携程等。不包括通过电子邮件、即时通讯工具等形成的订单。</w:t>
      </w:r>
    </w:p>
    <w:p>
      <w:pPr>
        <w:pStyle w:val="2"/>
        <w:keepNext w:val="0"/>
        <w:keepLines w:val="0"/>
        <w:pageBreakBefore w:val="0"/>
        <w:kinsoku/>
        <w:wordWrap/>
        <w:overflowPunct/>
        <w:topLinePunct w:val="0"/>
        <w:autoSpaceDE/>
        <w:autoSpaceDN/>
        <w:bidi w:val="0"/>
        <w:snapToGrid w:val="0"/>
        <w:spacing w:after="0" w:line="360" w:lineRule="exact"/>
        <w:ind w:left="0" w:leftChars="0" w:firstLine="42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kern w:val="0"/>
          <w:szCs w:val="21"/>
          <w:lang w:bidi="ar"/>
        </w:rPr>
        <w:t>数据资源与产权交易</w:t>
      </w:r>
      <w:r>
        <w:rPr>
          <w:rFonts w:hint="default" w:ascii="Times New Roman" w:hAnsi="Times New Roman" w:cs="Times New Roman"/>
          <w:color w:val="auto"/>
          <w:kern w:val="0"/>
          <w:szCs w:val="21"/>
          <w:lang w:bidi="ar"/>
        </w:rPr>
        <w:t xml:space="preserve">  指对数据资源与数字产权的交易活动。</w:t>
      </w:r>
    </w:p>
    <w:p>
      <w:pPr>
        <w:keepNext w:val="0"/>
        <w:keepLines w:val="0"/>
        <w:pageBreakBefore w:val="0"/>
        <w:kinsoku/>
        <w:wordWrap/>
        <w:overflowPunct/>
        <w:topLinePunct w:val="0"/>
        <w:autoSpaceDE/>
        <w:autoSpaceDN/>
        <w:bidi w:val="0"/>
        <w:adjustRightInd w:val="0"/>
        <w:snapToGrid w:val="0"/>
        <w:spacing w:line="360" w:lineRule="exact"/>
        <w:ind w:firstLine="420" w:firstLineChars="200"/>
        <w:rPr>
          <w:rFonts w:hint="default" w:ascii="Times New Roman" w:hAnsi="Times New Roman" w:cs="Times New Roman"/>
          <w:color w:val="auto"/>
          <w:kern w:val="0"/>
          <w:szCs w:val="21"/>
          <w:lang w:bidi="ar"/>
        </w:rPr>
      </w:pPr>
      <w:r>
        <w:rPr>
          <w:rFonts w:hint="default" w:ascii="Times New Roman" w:hAnsi="Times New Roman" w:eastAsia="黑体" w:cs="Times New Roman"/>
          <w:color w:val="auto"/>
          <w:kern w:val="0"/>
          <w:szCs w:val="21"/>
          <w:lang w:bidi="ar"/>
        </w:rPr>
        <w:t>数字技术研究和试验发展</w:t>
      </w:r>
      <w:r>
        <w:rPr>
          <w:rFonts w:hint="default" w:ascii="Times New Roman" w:hAnsi="Times New Roman" w:cs="Times New Roman"/>
          <w:color w:val="auto"/>
          <w:kern w:val="0"/>
          <w:szCs w:val="21"/>
          <w:lang w:bidi="ar"/>
        </w:rPr>
        <w:t xml:space="preserve">  指大数据、互联网、物联网、人工智能、VR/AR、边缘计算、异构计算、工业视觉算法等新兴计算关键技术，SDN（软件定义网络）、网络切片等关键技术研究应用，以及量子通信和其他数字技术的研发与试验发展活动。</w:t>
      </w:r>
    </w:p>
    <w:p>
      <w:pPr>
        <w:keepNext w:val="0"/>
        <w:keepLines w:val="0"/>
        <w:pageBreakBefore w:val="0"/>
        <w:kinsoku/>
        <w:wordWrap/>
        <w:overflowPunct/>
        <w:topLinePunct w:val="0"/>
        <w:autoSpaceDE/>
        <w:autoSpaceDN/>
        <w:bidi w:val="0"/>
        <w:adjustRightInd w:val="0"/>
        <w:snapToGrid w:val="0"/>
        <w:spacing w:line="360" w:lineRule="exact"/>
        <w:ind w:firstLine="420" w:firstLineChars="200"/>
        <w:rPr>
          <w:rFonts w:hint="default" w:ascii="Times New Roman" w:hAnsi="Times New Roman" w:cs="Times New Roman"/>
        </w:rPr>
      </w:pPr>
      <w:r>
        <w:rPr>
          <w:rFonts w:hint="default" w:ascii="Times New Roman" w:hAnsi="Times New Roman" w:eastAsia="黑体" w:cs="Times New Roman"/>
          <w:color w:val="auto"/>
          <w:kern w:val="0"/>
          <w:szCs w:val="21"/>
          <w:lang w:bidi="ar"/>
        </w:rPr>
        <w:t>互联网资讯服务</w:t>
      </w:r>
      <w:r>
        <w:rPr>
          <w:rFonts w:hint="default" w:ascii="Times New Roman" w:hAnsi="Times New Roman" w:cs="Times New Roman"/>
          <w:color w:val="auto"/>
          <w:kern w:val="0"/>
          <w:szCs w:val="21"/>
          <w:lang w:bidi="ar"/>
        </w:rPr>
        <w:t xml:space="preserve">  指除基础电信运营商外，通过互联网提供网上新闻、网上新媒体、网上信息发布等信息服务的活动。</w:t>
      </w:r>
    </w:p>
    <w:p>
      <w:pPr>
        <w:pStyle w:val="15"/>
        <w:rPr>
          <w:rFonts w:hint="eastAsia" w:ascii="宋体" w:hAnsi="宋体" w:cs="宋体"/>
        </w:rPr>
      </w:pPr>
    </w:p>
    <w:p>
      <w:pPr>
        <w:pStyle w:val="15"/>
        <w:rPr>
          <w:rFonts w:hint="eastAsia" w:ascii="宋体" w:hAnsi="宋体" w:cs="宋体"/>
        </w:rPr>
      </w:pPr>
    </w:p>
    <w:p>
      <w:pPr>
        <w:pStyle w:val="15"/>
        <w:rPr>
          <w:rFonts w:hint="eastAsia" w:ascii="宋体" w:hAnsi="宋体" w:cs="宋体"/>
        </w:rPr>
      </w:pPr>
    </w:p>
    <w:p>
      <w:pPr>
        <w:ind w:right="-38"/>
        <w:jc w:val="center"/>
        <w:outlineLvl w:val="9"/>
        <w:rPr>
          <w:b/>
          <w:sz w:val="30"/>
          <w:szCs w:val="30"/>
        </w:rPr>
      </w:pPr>
      <w:r>
        <w:rPr>
          <w:rFonts w:hint="eastAsia"/>
          <w:b/>
          <w:sz w:val="30"/>
          <w:szCs w:val="30"/>
        </w:rPr>
        <w:t>固定资产投资项目情况</w:t>
      </w:r>
    </w:p>
    <w:p>
      <w:pPr>
        <w:adjustRightInd w:val="0"/>
        <w:spacing w:line="360" w:lineRule="atLeast"/>
        <w:ind w:firstLine="420" w:firstLineChars="200"/>
        <w:rPr>
          <w:rFonts w:hint="eastAsia" w:ascii="黑体" w:eastAsia="黑体"/>
          <w:color w:val="000000"/>
        </w:rPr>
      </w:pPr>
      <w:r>
        <w:rPr>
          <w:rFonts w:hint="eastAsia" w:ascii="黑体" w:eastAsia="黑体"/>
          <w:color w:val="000000"/>
          <w:szCs w:val="21"/>
          <w:lang w:val="en-US" w:eastAsia="zh-CN"/>
        </w:rPr>
        <w:t>1.</w:t>
      </w:r>
      <w:r>
        <w:rPr>
          <w:rFonts w:hint="eastAsia" w:ascii="黑体" w:eastAsia="黑体"/>
          <w:color w:val="000000"/>
          <w:szCs w:val="21"/>
        </w:rPr>
        <w:t>项目基本概况指标</w:t>
      </w:r>
    </w:p>
    <w:p>
      <w:pPr>
        <w:adjustRightInd w:val="0"/>
        <w:spacing w:line="360" w:lineRule="atLeast"/>
        <w:ind w:firstLine="420" w:firstLineChars="200"/>
        <w:rPr>
          <w:rFonts w:ascii="宋体"/>
          <w:color w:val="000000"/>
        </w:rPr>
      </w:pPr>
      <w:r>
        <w:rPr>
          <w:rFonts w:hint="eastAsia" w:ascii="黑体" w:eastAsia="黑体"/>
          <w:color w:val="000000"/>
        </w:rPr>
        <w:t>项目名称</w:t>
      </w:r>
      <w:r>
        <w:rPr>
          <w:rFonts w:hint="eastAsia" w:ascii="宋体" w:hAnsi="宋体"/>
          <w:color w:val="000000"/>
          <w:spacing w:val="-6"/>
          <w:szCs w:val="21"/>
        </w:rPr>
        <w:t xml:space="preserve"> </w:t>
      </w:r>
      <w:r>
        <w:rPr>
          <w:rFonts w:hint="eastAsia" w:ascii="宋体" w:hAnsi="宋体"/>
          <w:bCs/>
          <w:color w:val="000000"/>
          <w:spacing w:val="-6"/>
          <w:szCs w:val="21"/>
        </w:rPr>
        <w:t xml:space="preserve"> </w:t>
      </w:r>
      <w:r>
        <w:rPr>
          <w:rFonts w:hint="eastAsia" w:ascii="宋体"/>
          <w:color w:val="000000"/>
        </w:rPr>
        <w:t>依据项目主管部门审批、核准、备案里的项目名称填写。</w:t>
      </w:r>
    </w:p>
    <w:p>
      <w:pPr>
        <w:adjustRightInd w:val="0"/>
        <w:spacing w:line="360" w:lineRule="atLeast"/>
        <w:ind w:firstLine="420" w:firstLineChars="200"/>
        <w:rPr>
          <w:rFonts w:hint="eastAsia" w:ascii="宋体"/>
          <w:color w:val="000000"/>
        </w:rPr>
      </w:pPr>
      <w:r>
        <w:rPr>
          <w:rFonts w:hint="eastAsia" w:ascii="宋体"/>
          <w:color w:val="000000"/>
        </w:rPr>
        <w:t>没有审批、核准、备案的，根据项目的具体建设内容填写。项目名称应能体现项目内容，不应过于简单。</w:t>
      </w:r>
    </w:p>
    <w:p>
      <w:pPr>
        <w:adjustRightInd w:val="0"/>
        <w:spacing w:line="360" w:lineRule="atLeast"/>
        <w:ind w:firstLine="420" w:firstLineChars="200"/>
        <w:rPr>
          <w:rFonts w:hint="eastAsia" w:ascii="黑体" w:eastAsia="黑体"/>
          <w:color w:val="000000"/>
        </w:rPr>
      </w:pPr>
      <w:r>
        <w:rPr>
          <w:rFonts w:hint="eastAsia" w:ascii="黑体" w:hAnsi="宋体" w:eastAsia="黑体"/>
          <w:color w:val="000000"/>
          <w:szCs w:val="21"/>
        </w:rPr>
        <w:t>项目建设所在地及区划</w:t>
      </w:r>
      <w:r>
        <w:rPr>
          <w:rFonts w:hint="eastAsia" w:ascii="仿宋_GB2312" w:hAnsi="宋体" w:eastAsia="仿宋_GB2312" w:cs="宋体"/>
          <w:color w:val="000000"/>
          <w:szCs w:val="21"/>
        </w:rPr>
        <w:t xml:space="preserve">  </w:t>
      </w:r>
      <w:r>
        <w:rPr>
          <w:rFonts w:hint="eastAsia" w:ascii="宋体" w:hAnsi="宋体"/>
          <w:color w:val="000000"/>
          <w:szCs w:val="21"/>
        </w:rPr>
        <w:t>指项目实际所处的详细地址及相应的区划代码。其中，项目实际所在地的详细地址，要求写明项目所在的省（自治区、直辖市）、市（地、州、盟）、县（市、区、旗）、乡（镇）以及具体街（村）的名称和详细的门牌号码，不能填写通讯号码或通讯信箱号码。区划代码指项目所在地区的区划代码，共12位，按统计制度设计管理部门最新更新的统计用区划代码填写。</w:t>
      </w:r>
    </w:p>
    <w:p>
      <w:pPr>
        <w:adjustRightInd w:val="0"/>
        <w:spacing w:line="360" w:lineRule="atLeast"/>
        <w:ind w:firstLine="420" w:firstLineChars="200"/>
        <w:rPr>
          <w:rFonts w:hint="eastAsia" w:ascii="宋体"/>
          <w:color w:val="000000"/>
          <w:spacing w:val="4"/>
        </w:rPr>
      </w:pPr>
      <w:r>
        <w:rPr>
          <w:rFonts w:hint="eastAsia" w:ascii="黑体" w:eastAsia="黑体"/>
          <w:color w:val="000000"/>
        </w:rPr>
        <w:t xml:space="preserve">项目行业编码 </w:t>
      </w:r>
      <w:r>
        <w:rPr>
          <w:rFonts w:hint="eastAsia" w:ascii="黑体" w:eastAsia="黑体"/>
          <w:color w:val="000000"/>
          <w:spacing w:val="4"/>
        </w:rPr>
        <w:t xml:space="preserve"> </w:t>
      </w:r>
      <w:r>
        <w:rPr>
          <w:rFonts w:hint="eastAsia" w:ascii="宋体"/>
          <w:color w:val="000000"/>
          <w:spacing w:val="4"/>
        </w:rPr>
        <w:t>根据建设项目建成投产后的主要产品种类或主要用途及社会经济活动种类来填报，不根据项目单位本身的行业类别来划分。如果项目投产后有几种产品，应根据主要产品来确定行业类别。如某矿业公司的“镁及镁合金生产线”项目，行业类别应为“镁冶炼（3</w:t>
      </w:r>
      <w:r>
        <w:rPr>
          <w:rFonts w:ascii="宋体"/>
          <w:color w:val="000000"/>
          <w:spacing w:val="4"/>
        </w:rPr>
        <w:t>217</w:t>
      </w:r>
      <w:r>
        <w:rPr>
          <w:rFonts w:hint="eastAsia" w:ascii="宋体"/>
          <w:color w:val="000000"/>
          <w:spacing w:val="4"/>
        </w:rPr>
        <w:t>）”。建筑业企业承建的项目，应按项目用途填写行业类别，如某建筑</w:t>
      </w:r>
      <w:r>
        <w:rPr>
          <w:rFonts w:ascii="宋体"/>
          <w:color w:val="000000"/>
          <w:spacing w:val="4"/>
        </w:rPr>
        <w:t>企业承建的</w:t>
      </w:r>
      <w:r>
        <w:rPr>
          <w:rFonts w:hint="eastAsia" w:ascii="宋体"/>
          <w:color w:val="000000"/>
          <w:spacing w:val="4"/>
        </w:rPr>
        <w:t>棚户区</w:t>
      </w:r>
      <w:r>
        <w:rPr>
          <w:rFonts w:ascii="宋体"/>
          <w:color w:val="000000"/>
          <w:spacing w:val="4"/>
        </w:rPr>
        <w:t>改造项目</w:t>
      </w:r>
      <w:r>
        <w:rPr>
          <w:rFonts w:hint="eastAsia" w:ascii="宋体"/>
          <w:color w:val="000000"/>
          <w:spacing w:val="4"/>
        </w:rPr>
        <w:t>，</w:t>
      </w:r>
      <w:r>
        <w:rPr>
          <w:rFonts w:ascii="宋体"/>
          <w:color w:val="000000"/>
          <w:spacing w:val="4"/>
        </w:rPr>
        <w:t>行业类别应为</w:t>
      </w:r>
      <w:r>
        <w:rPr>
          <w:rFonts w:hint="eastAsia" w:ascii="宋体"/>
          <w:color w:val="000000"/>
          <w:spacing w:val="4"/>
        </w:rPr>
        <w:t>“</w:t>
      </w:r>
      <w:r>
        <w:rPr>
          <w:rFonts w:ascii="宋体"/>
          <w:color w:val="000000"/>
          <w:spacing w:val="4"/>
        </w:rPr>
        <w:t>其他房地产</w:t>
      </w:r>
      <w:r>
        <w:rPr>
          <w:rFonts w:hint="eastAsia" w:ascii="宋体"/>
          <w:color w:val="000000"/>
          <w:spacing w:val="4"/>
        </w:rPr>
        <w:t>业（7</w:t>
      </w:r>
      <w:r>
        <w:rPr>
          <w:rFonts w:ascii="宋体"/>
          <w:color w:val="000000"/>
          <w:spacing w:val="4"/>
        </w:rPr>
        <w:t>090</w:t>
      </w:r>
      <w:r>
        <w:rPr>
          <w:rFonts w:hint="eastAsia" w:ascii="宋体"/>
          <w:color w:val="000000"/>
          <w:spacing w:val="4"/>
        </w:rPr>
        <w:t>）”。</w:t>
      </w:r>
      <w:r>
        <w:rPr>
          <w:rFonts w:ascii="宋体"/>
          <w:color w:val="000000"/>
          <w:spacing w:val="4"/>
        </w:rPr>
        <w:t>行政事业单位报送的基础设施项目</w:t>
      </w:r>
      <w:r>
        <w:rPr>
          <w:rFonts w:hint="eastAsia" w:ascii="宋体"/>
          <w:color w:val="000000"/>
          <w:spacing w:val="4"/>
        </w:rPr>
        <w:t>，</w:t>
      </w:r>
      <w:r>
        <w:rPr>
          <w:rFonts w:ascii="宋体"/>
          <w:color w:val="000000"/>
          <w:spacing w:val="4"/>
        </w:rPr>
        <w:t>应按项目用途填写行业</w:t>
      </w:r>
      <w:r>
        <w:rPr>
          <w:rFonts w:hint="eastAsia" w:ascii="宋体"/>
          <w:color w:val="000000"/>
          <w:spacing w:val="4"/>
        </w:rPr>
        <w:t>类别，</w:t>
      </w:r>
      <w:r>
        <w:rPr>
          <w:rFonts w:ascii="宋体"/>
          <w:color w:val="000000"/>
          <w:spacing w:val="4"/>
        </w:rPr>
        <w:t>如某地政府部门报送的污水管网工程</w:t>
      </w:r>
      <w:r>
        <w:rPr>
          <w:rFonts w:hint="eastAsia" w:ascii="宋体"/>
          <w:color w:val="000000"/>
          <w:spacing w:val="4"/>
        </w:rPr>
        <w:t>，</w:t>
      </w:r>
      <w:r>
        <w:rPr>
          <w:rFonts w:ascii="宋体"/>
          <w:color w:val="000000"/>
          <w:spacing w:val="4"/>
        </w:rPr>
        <w:t>行业类别应为</w:t>
      </w:r>
      <w:r>
        <w:rPr>
          <w:rFonts w:hint="eastAsia" w:ascii="宋体"/>
          <w:color w:val="000000"/>
          <w:spacing w:val="4"/>
        </w:rPr>
        <w:t>“市政设施管理业（7</w:t>
      </w:r>
      <w:r>
        <w:rPr>
          <w:rFonts w:ascii="宋体"/>
          <w:color w:val="000000"/>
          <w:spacing w:val="4"/>
        </w:rPr>
        <w:t>810</w:t>
      </w:r>
      <w:r>
        <w:rPr>
          <w:rFonts w:hint="eastAsia" w:ascii="宋体"/>
          <w:color w:val="000000"/>
          <w:spacing w:val="4"/>
        </w:rPr>
        <w:t>）”。高标准农田建设应根据项目用途填写相应的种植业行业代码。标准厂房建设项目，如厂房用途明确，应按建成后主要用途填报行业类别，如仅用作出租经营且没有明确用途，行业类别应为“其他房地产业（7090）”。</w:t>
      </w:r>
    </w:p>
    <w:p>
      <w:pPr>
        <w:adjustRightInd w:val="0"/>
        <w:spacing w:line="360" w:lineRule="atLeast"/>
        <w:ind w:firstLine="420" w:firstLineChars="200"/>
        <w:rPr>
          <w:rFonts w:hint="eastAsia" w:ascii="宋体"/>
          <w:color w:val="000000"/>
        </w:rPr>
      </w:pPr>
      <w:r>
        <w:rPr>
          <w:rFonts w:hint="eastAsia" w:ascii="宋体"/>
          <w:color w:val="000000"/>
        </w:rPr>
        <w:t>行业编码要根据最新的《国民经济行业分类和代码》（GB/T 4754-2017）来填报。行业编码为四位，根据行业小类填写,一个建设项目只能属于一种国民经济行业。</w:t>
      </w:r>
    </w:p>
    <w:p>
      <w:pPr>
        <w:adjustRightInd w:val="0"/>
        <w:spacing w:line="360" w:lineRule="atLeast"/>
        <w:ind w:firstLine="420" w:firstLineChars="200"/>
        <w:rPr>
          <w:rFonts w:ascii="宋体" w:hAnsi="宋体"/>
          <w:color w:val="000000"/>
          <w:spacing w:val="-6"/>
          <w:szCs w:val="21"/>
        </w:rPr>
      </w:pPr>
      <w:r>
        <w:rPr>
          <w:rFonts w:hint="eastAsia" w:ascii="宋体"/>
          <w:color w:val="000000"/>
        </w:rPr>
        <w:t>在现有调查单位中，为适应市场变化而全厂性转产，改变原有主要产品种类或主要经济活动性质的，则可根据转产后的主要产品种类或主要经济活动性质来划分国民经济行业种类</w:t>
      </w:r>
      <w:r>
        <w:rPr>
          <w:rFonts w:hint="eastAsia" w:ascii="宋体" w:hAnsi="宋体"/>
          <w:color w:val="000000"/>
          <w:spacing w:val="-6"/>
          <w:szCs w:val="21"/>
        </w:rPr>
        <w:t>。</w:t>
      </w:r>
    </w:p>
    <w:p>
      <w:pPr>
        <w:adjustRightInd w:val="0"/>
        <w:spacing w:line="360" w:lineRule="atLeast"/>
        <w:ind w:firstLine="420" w:firstLineChars="200"/>
        <w:rPr>
          <w:rFonts w:hint="eastAsia" w:ascii="宋体" w:hAnsi="宋体"/>
          <w:color w:val="000000"/>
          <w:spacing w:val="-6"/>
          <w:szCs w:val="21"/>
        </w:rPr>
      </w:pPr>
      <w:r>
        <w:rPr>
          <w:rFonts w:ascii="黑体" w:eastAsia="黑体"/>
          <w:color w:val="000000"/>
        </w:rPr>
        <w:t>控股情况</w:t>
      </w:r>
      <w:r>
        <w:rPr>
          <w:rFonts w:hint="eastAsia" w:ascii="宋体" w:hAnsi="宋体"/>
          <w:color w:val="000000"/>
          <w:spacing w:val="-6"/>
          <w:szCs w:val="21"/>
        </w:rPr>
        <w:t xml:space="preserve">  </w:t>
      </w:r>
      <w:r>
        <w:rPr>
          <w:rFonts w:hint="eastAsia" w:ascii="宋体" w:hAnsi="宋体"/>
          <w:color w:val="000000"/>
          <w:szCs w:val="21"/>
        </w:rPr>
        <w:t>根据企业实收资本中某种经济成分的出资人的实际投资情况，或出资人对企业资产的实际控制、支配程度进行分类。具体分为国有控股、集体控股、私人控股、港澳台商控股、外商控股和其他六类。非企业按照项目出资比例划分。</w:t>
      </w:r>
    </w:p>
    <w:p>
      <w:pPr>
        <w:adjustRightInd w:val="0"/>
        <w:spacing w:line="360" w:lineRule="atLeast"/>
        <w:ind w:firstLine="420" w:firstLineChars="200"/>
        <w:rPr>
          <w:rFonts w:hint="eastAsia" w:ascii="宋体" w:hAnsi="宋体"/>
          <w:color w:val="000000"/>
          <w:spacing w:val="-6"/>
          <w:szCs w:val="21"/>
        </w:rPr>
      </w:pPr>
      <w:r>
        <w:rPr>
          <w:rFonts w:hint="eastAsia" w:ascii="黑体" w:eastAsia="黑体"/>
          <w:color w:val="000000"/>
        </w:rPr>
        <w:t xml:space="preserve">建设性质  </w:t>
      </w:r>
      <w:r>
        <w:rPr>
          <w:rFonts w:hint="eastAsia" w:ascii="宋体"/>
          <w:color w:val="000000"/>
        </w:rPr>
        <w:t>指固定资产再生产的性质，按整个建设项目的具体情况确定。一个建设项目只能有一种建设性质。</w:t>
      </w:r>
    </w:p>
    <w:p>
      <w:pPr>
        <w:adjustRightInd w:val="0"/>
        <w:spacing w:line="360" w:lineRule="atLeast"/>
        <w:ind w:firstLine="420" w:firstLineChars="200"/>
        <w:rPr>
          <w:rFonts w:hint="eastAsia" w:ascii="宋体" w:hAnsi="宋体"/>
          <w:color w:val="000000"/>
          <w:spacing w:val="-6"/>
          <w:szCs w:val="21"/>
        </w:rPr>
      </w:pPr>
      <w:r>
        <w:rPr>
          <w:rFonts w:hint="eastAsia" w:ascii="黑体" w:eastAsia="黑体"/>
          <w:color w:val="000000"/>
        </w:rPr>
        <w:t xml:space="preserve">新建  </w:t>
      </w:r>
      <w:r>
        <w:rPr>
          <w:rFonts w:hint="eastAsia" w:ascii="宋体"/>
          <w:color w:val="000000"/>
        </w:rPr>
        <w:t>指从无到有“平地起家”开始建设的项目。现有企业、事业、行政单位投资的项目一般不属于新建。但如有的单位原有基础很小，经过建设后新增的固定资产价值超过该企业、事业、行政单位原有固定资产价值（原值）三倍以上的，也应作为新建。</w:t>
      </w:r>
    </w:p>
    <w:p>
      <w:pPr>
        <w:adjustRightInd w:val="0"/>
        <w:spacing w:line="360" w:lineRule="atLeast"/>
        <w:ind w:firstLine="420" w:firstLineChars="200"/>
        <w:rPr>
          <w:rFonts w:hint="eastAsia" w:ascii="宋体"/>
          <w:color w:val="000000"/>
        </w:rPr>
      </w:pPr>
      <w:r>
        <w:rPr>
          <w:rFonts w:hint="eastAsia" w:ascii="黑体" w:eastAsia="黑体"/>
          <w:color w:val="000000"/>
        </w:rPr>
        <w:t xml:space="preserve">扩建  </w:t>
      </w:r>
      <w:r>
        <w:rPr>
          <w:rFonts w:hint="eastAsia" w:ascii="宋体"/>
          <w:color w:val="000000"/>
        </w:rPr>
        <w:t>指为扩大原有产品的生产能力（或效益）或增加新的产品生产能力，而增建的生产车间（或主要工程）、分厂、独立的生产线等项目。行政、事业单位在原单位增建业务性用房（如学校增建教学用房、医院增建门诊部、病房等）也作为扩建。</w:t>
      </w:r>
    </w:p>
    <w:p>
      <w:pPr>
        <w:adjustRightInd w:val="0"/>
        <w:spacing w:line="360" w:lineRule="atLeast"/>
        <w:ind w:firstLine="420" w:firstLineChars="200"/>
        <w:rPr>
          <w:rFonts w:ascii="宋体"/>
          <w:color w:val="000000"/>
        </w:rPr>
      </w:pPr>
      <w:r>
        <w:rPr>
          <w:rFonts w:hint="eastAsia" w:ascii="宋体"/>
          <w:color w:val="000000"/>
        </w:rPr>
        <w:t>现有调查单位为扩大原有主要产品生产能力或增加新的产品生产能力，增建一个或几个主要生产车间（或主要工程）、分厂，同时进行一些更新改造工程的，也应作为扩建。</w:t>
      </w:r>
    </w:p>
    <w:p>
      <w:pPr>
        <w:adjustRightInd w:val="0"/>
        <w:spacing w:line="360" w:lineRule="atLeast"/>
        <w:ind w:firstLine="420" w:firstLineChars="200"/>
        <w:rPr>
          <w:rFonts w:hint="eastAsia" w:ascii="宋体"/>
          <w:color w:val="000000"/>
        </w:rPr>
      </w:pPr>
      <w:r>
        <w:rPr>
          <w:rFonts w:hint="eastAsia" w:ascii="黑体" w:eastAsia="黑体"/>
          <w:color w:val="000000"/>
        </w:rPr>
        <w:t xml:space="preserve">改建和技术改造  </w:t>
      </w:r>
      <w:r>
        <w:rPr>
          <w:rFonts w:hint="eastAsia" w:ascii="宋体"/>
          <w:color w:val="000000"/>
        </w:rPr>
        <w:t>指对原有设施进行技术改造或更新（包括相应配套的辅助性生产、生活福利设施）的建设项目。改建项目包括调查单位为适应市场变化的需要，而改变的主要产品种类（如军工企业转民用产品等）的建设项目；原有产品生产作业线由于各工序（车间）之间能力不平衡，为填平补齐充分发挥原有生产能力而增建但不增加主要产品生产能力的建设项目。技术改造是指调查单位在现有基础上用先进的技术代替落后的技术，用先进的工艺和装备代替落后的工艺和装备，以改变企业落后的技术经济面貌，实现以内涵为主的扩大再生产，达到提高产品质量、促进产品更新换代、节约能源、降低消耗、扩大生产规模、全面提高社会经济效益的目的。</w:t>
      </w:r>
    </w:p>
    <w:p>
      <w:pPr>
        <w:adjustRightInd w:val="0"/>
        <w:spacing w:line="360" w:lineRule="atLeast"/>
        <w:ind w:firstLine="436" w:firstLineChars="200"/>
        <w:rPr>
          <w:rFonts w:hint="eastAsia" w:ascii="宋体"/>
          <w:color w:val="000000"/>
          <w:spacing w:val="4"/>
        </w:rPr>
      </w:pPr>
      <w:r>
        <w:rPr>
          <w:rFonts w:hint="eastAsia" w:ascii="宋体"/>
          <w:color w:val="000000"/>
          <w:spacing w:val="4"/>
        </w:rPr>
        <w:t>技术改造具体包括以下内容：机器设备和工具的更新改造；生产工艺改革、节约能源和原材料的改造；厂房建筑和公共设施的改造；保护环境进行的“三废”治理改造；劳动条件和生产环境的改造等。</w:t>
      </w:r>
    </w:p>
    <w:p>
      <w:pPr>
        <w:adjustRightInd w:val="0"/>
        <w:spacing w:line="360" w:lineRule="atLeast"/>
        <w:rPr>
          <w:rFonts w:ascii="宋体"/>
          <w:color w:val="000000"/>
        </w:rPr>
      </w:pPr>
      <w:r>
        <w:rPr>
          <w:rFonts w:ascii="宋体"/>
          <w:color w:val="000000"/>
        </w:rPr>
        <w:t xml:space="preserve">    </w:t>
      </w:r>
      <w:r>
        <w:rPr>
          <w:rFonts w:hint="eastAsia" w:ascii="黑体" w:eastAsia="黑体"/>
          <w:color w:val="000000"/>
        </w:rPr>
        <w:t xml:space="preserve">单纯建造生活设施  </w:t>
      </w:r>
      <w:r>
        <w:rPr>
          <w:rFonts w:hint="eastAsia" w:ascii="宋体"/>
          <w:color w:val="000000"/>
        </w:rPr>
        <w:t>指在不扩建、改建生产性工程和业务用房的情况下，单纯建造职工住宅、托儿所、子弟学校、医务室、浴室、食堂等生活设施的项目。</w:t>
      </w:r>
    </w:p>
    <w:p>
      <w:pPr>
        <w:adjustRightInd w:val="0"/>
        <w:spacing w:line="360" w:lineRule="atLeast"/>
        <w:ind w:firstLine="420" w:firstLineChars="200"/>
        <w:rPr>
          <w:rFonts w:hint="eastAsia" w:ascii="宋体" w:hAnsi="宋体"/>
          <w:color w:val="000000"/>
          <w:spacing w:val="-6"/>
          <w:szCs w:val="21"/>
        </w:rPr>
      </w:pPr>
      <w:r>
        <w:rPr>
          <w:rFonts w:hint="eastAsia" w:ascii="黑体" w:eastAsia="黑体"/>
          <w:color w:val="000000"/>
        </w:rPr>
        <w:t xml:space="preserve">迁建  </w:t>
      </w:r>
      <w:r>
        <w:rPr>
          <w:rFonts w:hint="eastAsia" w:ascii="宋体" w:hAnsi="宋体"/>
          <w:color w:val="000000"/>
          <w:spacing w:val="-6"/>
          <w:szCs w:val="21"/>
        </w:rPr>
        <w:t>指为改变生产能力布局或由于城市环境保护和安全生产的需要等原因而搬迁到另地建设的项目。在搬迁另地的建设过程中，不论是维持原来规模还是扩大规模都按迁建来统计。</w:t>
      </w:r>
    </w:p>
    <w:p>
      <w:pPr>
        <w:adjustRightInd w:val="0"/>
        <w:spacing w:line="360" w:lineRule="atLeast"/>
        <w:rPr>
          <w:rFonts w:ascii="宋体"/>
          <w:color w:val="000000"/>
        </w:rPr>
      </w:pPr>
      <w:r>
        <w:rPr>
          <w:rFonts w:ascii="宋体"/>
          <w:color w:val="000000"/>
        </w:rPr>
        <w:t xml:space="preserve">    </w:t>
      </w:r>
      <w:r>
        <w:rPr>
          <w:rFonts w:hint="eastAsia" w:ascii="黑体" w:eastAsia="黑体"/>
          <w:color w:val="000000"/>
        </w:rPr>
        <w:t xml:space="preserve">恢复  </w:t>
      </w:r>
      <w:r>
        <w:rPr>
          <w:rFonts w:hint="eastAsia" w:ascii="宋体"/>
          <w:color w:val="000000"/>
        </w:rPr>
        <w:t>指因自然灾害、战争等原因，使原有固定资产全部或部分报废，以后又投资恢复建设的项目。不论是按原规模恢复还是在恢复的同时进行扩建的都按恢复项目统计。尚未建成投产的建设项目因自然灾害而损坏重建的，仍按原有建设性质划分。</w:t>
      </w:r>
    </w:p>
    <w:p>
      <w:pPr>
        <w:adjustRightInd w:val="0"/>
        <w:spacing w:line="360" w:lineRule="atLeast"/>
        <w:ind w:firstLine="420"/>
        <w:rPr>
          <w:rFonts w:hint="eastAsia" w:ascii="宋体"/>
          <w:color w:val="000000"/>
        </w:rPr>
      </w:pPr>
      <w:r>
        <w:rPr>
          <w:rFonts w:hint="eastAsia" w:ascii="黑体" w:eastAsia="黑体"/>
          <w:color w:val="000000"/>
        </w:rPr>
        <w:t xml:space="preserve">单纯购置  </w:t>
      </w:r>
      <w:r>
        <w:rPr>
          <w:rFonts w:hint="eastAsia" w:ascii="宋体"/>
          <w:color w:val="000000"/>
        </w:rPr>
        <w:t>指单纯购置不需要安装的设备、工具、器具而不进行工程建设的项目。有些调查单位当年虽然只从事一些购置活动，但其设计中规定有建筑安装活动，应根据设计文件的内容来确定建设性质，不得作为单纯购置统计。</w:t>
      </w:r>
    </w:p>
    <w:p>
      <w:pPr>
        <w:adjustRightInd w:val="0"/>
        <w:spacing w:line="360" w:lineRule="atLeast"/>
        <w:ind w:firstLine="420"/>
        <w:rPr>
          <w:rFonts w:hint="eastAsia" w:ascii="宋体"/>
          <w:color w:val="000000"/>
        </w:rPr>
      </w:pPr>
      <w:r>
        <w:rPr>
          <w:rFonts w:hint="eastAsia" w:ascii="黑体" w:eastAsia="黑体"/>
          <w:color w:val="000000"/>
        </w:rPr>
        <w:t xml:space="preserve">项目类别  </w:t>
      </w:r>
      <w:r>
        <w:rPr>
          <w:rFonts w:hint="eastAsia" w:ascii="宋体"/>
          <w:color w:val="000000"/>
        </w:rPr>
        <w:t>所有项目均需填写，具体分为工业企业技术改造项目、保障性住房项目、涉农项目、老旧小区改造项目、信息类新型基础设施项目、融合类新型基础设施项目、创新类新型基础设施项目和其他项目。</w:t>
      </w:r>
    </w:p>
    <w:p>
      <w:pPr>
        <w:adjustRightInd w:val="0"/>
        <w:spacing w:line="360" w:lineRule="atLeast"/>
        <w:ind w:firstLine="420"/>
        <w:rPr>
          <w:rFonts w:ascii="宋体" w:hAnsi="宋体"/>
          <w:color w:val="000000"/>
          <w:szCs w:val="21"/>
        </w:rPr>
      </w:pPr>
      <w:r>
        <w:rPr>
          <w:rFonts w:hint="eastAsia" w:ascii="黑体" w:eastAsia="黑体"/>
          <w:color w:val="000000"/>
        </w:rPr>
        <w:t>工业</w:t>
      </w:r>
      <w:r>
        <w:rPr>
          <w:rFonts w:hint="eastAsia" w:ascii="黑体" w:hAnsi="宋体" w:eastAsia="黑体"/>
          <w:color w:val="000000"/>
          <w:szCs w:val="21"/>
        </w:rPr>
        <w:t>企业技术改造项目</w:t>
      </w:r>
      <w:r>
        <w:rPr>
          <w:rFonts w:hint="eastAsia" w:ascii="宋体" w:hAnsi="宋体"/>
          <w:b/>
          <w:color w:val="000000"/>
          <w:szCs w:val="21"/>
        </w:rPr>
        <w:t xml:space="preserve">  </w:t>
      </w:r>
      <w:r>
        <w:rPr>
          <w:rFonts w:hint="eastAsia" w:ascii="宋体" w:hAnsi="宋体"/>
          <w:color w:val="000000"/>
          <w:szCs w:val="21"/>
        </w:rPr>
        <w:t>指工业企业采用新技术、新工艺、新设备、新材料对现有设施、工艺条件及生产服务等进行改造提升，实现内涵式发展的投资活动。该指标用于反映投资转型升级情况。工业企业技术改造项目必须是工业投资项目（项目行业编码在0610到4690之间）；工业企业技术改造项目包括建设性质为改建和技术改造的全部工业投资项目，以及扩建、迁建、恢复和单纯购置项目中属于技术改造性质的工业投资项目。</w:t>
      </w:r>
    </w:p>
    <w:p>
      <w:pPr>
        <w:adjustRightInd w:val="0"/>
        <w:spacing w:line="360" w:lineRule="atLeast"/>
        <w:ind w:firstLine="420"/>
        <w:rPr>
          <w:rFonts w:ascii="宋体" w:hAnsi="宋体"/>
          <w:color w:val="000000"/>
          <w:szCs w:val="21"/>
        </w:rPr>
      </w:pPr>
      <w:r>
        <w:rPr>
          <w:rFonts w:hint="eastAsia" w:ascii="黑体" w:hAnsi="宋体" w:eastAsia="黑体"/>
          <w:color w:val="000000"/>
          <w:szCs w:val="21"/>
        </w:rPr>
        <w:t>保障性住房项目</w:t>
      </w:r>
      <w:r>
        <w:rPr>
          <w:rFonts w:hint="eastAsia" w:ascii="宋体" w:hAnsi="宋体"/>
          <w:b/>
          <w:color w:val="000000"/>
          <w:szCs w:val="21"/>
        </w:rPr>
        <w:t xml:space="preserve">  </w:t>
      </w:r>
      <w:r>
        <w:rPr>
          <w:rFonts w:hint="eastAsia" w:ascii="宋体" w:hAnsi="宋体"/>
          <w:color w:val="000000"/>
          <w:szCs w:val="21"/>
        </w:rPr>
        <w:t>政府主导，为特定对象提供的限定标准、限定价格或租金的住房</w:t>
      </w:r>
      <w:r>
        <w:rPr>
          <w:rFonts w:hint="eastAsia" w:ascii="宋体" w:hAnsi="宋体"/>
          <w:color w:val="000000"/>
          <w:szCs w:val="21"/>
          <w:highlight w:val="none"/>
        </w:rPr>
        <w:t>的项目。包括保障性租赁住房、公租房、共有产权房、配售型保障房、回迁安置房等政策保障性住房项目。</w:t>
      </w:r>
    </w:p>
    <w:p>
      <w:pPr>
        <w:adjustRightInd w:val="0"/>
        <w:spacing w:line="360" w:lineRule="atLeast"/>
        <w:ind w:firstLine="420" w:firstLineChars="200"/>
        <w:rPr>
          <w:rFonts w:ascii="宋体" w:hAnsi="宋体"/>
          <w:color w:val="000000"/>
          <w:szCs w:val="21"/>
        </w:rPr>
      </w:pPr>
      <w:r>
        <w:rPr>
          <w:rFonts w:hint="eastAsia" w:ascii="黑体" w:hAnsi="宋体" w:eastAsia="黑体"/>
          <w:color w:val="000000"/>
          <w:szCs w:val="21"/>
        </w:rPr>
        <w:t>涉农项目</w:t>
      </w:r>
      <w:r>
        <w:rPr>
          <w:rFonts w:hint="eastAsia" w:ascii="宋体" w:hAnsi="宋体"/>
          <w:b/>
          <w:color w:val="000000"/>
          <w:szCs w:val="21"/>
        </w:rPr>
        <w:t xml:space="preserve">  </w:t>
      </w:r>
      <w:r>
        <w:rPr>
          <w:rFonts w:hint="eastAsia" w:ascii="宋体" w:hAnsi="宋体"/>
          <w:color w:val="000000"/>
          <w:szCs w:val="21"/>
        </w:rPr>
        <w:t>指第一产业的所有项目；第二、三产业中的建设在农村区域并主要服务于三农领域的项目，包括农村基础设施建设（道路、水利、燃气、供水等）项目、乡村旅游建设、农村物流园建设等。</w:t>
      </w:r>
    </w:p>
    <w:p>
      <w:pPr>
        <w:adjustRightInd w:val="0"/>
        <w:spacing w:line="360" w:lineRule="atLeast"/>
        <w:ind w:firstLine="420" w:firstLineChars="200"/>
        <w:rPr>
          <w:rFonts w:hint="eastAsia" w:ascii="宋体" w:hAnsi="宋体"/>
          <w:color w:val="000000"/>
          <w:szCs w:val="21"/>
        </w:rPr>
      </w:pPr>
      <w:r>
        <w:rPr>
          <w:rFonts w:hint="eastAsia" w:ascii="黑体" w:hAnsi="宋体" w:eastAsia="黑体"/>
          <w:color w:val="000000"/>
          <w:szCs w:val="21"/>
        </w:rPr>
        <w:t xml:space="preserve">老旧小区改造项目 </w:t>
      </w:r>
      <w:r>
        <w:rPr>
          <w:rFonts w:ascii="黑体" w:hAnsi="宋体" w:eastAsia="黑体"/>
          <w:color w:val="000000"/>
          <w:szCs w:val="21"/>
        </w:rPr>
        <w:t xml:space="preserve"> </w:t>
      </w:r>
      <w:r>
        <w:rPr>
          <w:rFonts w:hint="eastAsia" w:ascii="宋体" w:hAnsi="宋体"/>
          <w:color w:val="000000"/>
          <w:szCs w:val="21"/>
        </w:rPr>
        <w:t>老旧小区改造指对城市、县城（城关镇）建成于2000年以前、公共设施落后影响居民基本生活、居民改造意愿强烈的住宅小区的改造提升项目。改造内容包括小区内道路、供排水、供电、供气、供热、绿化、照明、围墙等基础设施的更新改造；小区内配套养老扶幼、无障碍设施、便民市场等服务设施的建设、改造；小区内房屋公共区域修缮、建筑节能改造，有条件的居住建筑加装电梯等；与小区直接相关的城市、县城（城关镇）道路和公共交通、通信、供排水、供气、供热、停车库（场）、污水与垃圾处理等基础设施的改造提升。老旧小区项目应列入本地区老旧小区改造计划。</w:t>
      </w:r>
    </w:p>
    <w:p>
      <w:pPr>
        <w:adjustRightInd w:val="0"/>
        <w:spacing w:line="360" w:lineRule="atLeast"/>
        <w:ind w:firstLine="420"/>
        <w:rPr>
          <w:rFonts w:ascii="宋体" w:hAnsi="宋体"/>
          <w:color w:val="000000"/>
          <w:szCs w:val="21"/>
        </w:rPr>
      </w:pPr>
      <w:r>
        <w:rPr>
          <w:rFonts w:ascii="黑体" w:hAnsi="宋体" w:eastAsia="黑体"/>
          <w:color w:val="000000"/>
          <w:szCs w:val="21"/>
        </w:rPr>
        <w:t>信息类新型基础设施项目</w:t>
      </w:r>
      <w:r>
        <w:rPr>
          <w:rFonts w:hint="eastAsia" w:ascii="黑体" w:hAnsi="宋体" w:eastAsia="黑体"/>
          <w:color w:val="000000"/>
          <w:szCs w:val="21"/>
        </w:rPr>
        <w:t xml:space="preserve"> </w:t>
      </w:r>
      <w:r>
        <w:rPr>
          <w:rFonts w:ascii="黑体" w:hAnsi="宋体" w:eastAsia="黑体"/>
          <w:color w:val="000000"/>
          <w:szCs w:val="21"/>
        </w:rPr>
        <w:t xml:space="preserve"> </w:t>
      </w:r>
      <w:r>
        <w:rPr>
          <w:rFonts w:hint="eastAsia" w:ascii="宋体" w:hAnsi="宋体"/>
          <w:color w:val="000000"/>
          <w:szCs w:val="21"/>
        </w:rPr>
        <w:t>主要指基于新一代信息技术演化生成的基础设施。包括：以5G、千兆光纤宽带、物联网等为代表的通信网络建设项目；以人工智能、云计算、区块链为代表的新技术投资项目；以数据中心、智能计算中心为代表的算力基础设施项目。</w:t>
      </w:r>
    </w:p>
    <w:p>
      <w:pPr>
        <w:adjustRightInd w:val="0"/>
        <w:spacing w:line="360" w:lineRule="atLeast"/>
        <w:ind w:firstLine="420"/>
        <w:rPr>
          <w:rFonts w:ascii="宋体" w:hAnsi="宋体"/>
          <w:color w:val="000000"/>
          <w:szCs w:val="21"/>
        </w:rPr>
      </w:pPr>
      <w:r>
        <w:rPr>
          <w:rFonts w:ascii="黑体" w:hAnsi="宋体" w:eastAsia="黑体"/>
          <w:color w:val="000000"/>
          <w:szCs w:val="21"/>
        </w:rPr>
        <w:t>融合类新型基础设施项目</w:t>
      </w:r>
      <w:r>
        <w:rPr>
          <w:rFonts w:hint="eastAsia" w:ascii="黑体" w:hAnsi="宋体" w:eastAsia="黑体"/>
          <w:color w:val="000000"/>
          <w:szCs w:val="21"/>
        </w:rPr>
        <w:t xml:space="preserve"> </w:t>
      </w:r>
      <w:r>
        <w:rPr>
          <w:rFonts w:ascii="黑体" w:hAnsi="宋体" w:eastAsia="黑体"/>
          <w:color w:val="000000"/>
          <w:szCs w:val="21"/>
        </w:rPr>
        <w:t xml:space="preserve"> </w:t>
      </w:r>
      <w:r>
        <w:rPr>
          <w:rFonts w:hint="eastAsia" w:ascii="宋体" w:hAnsi="宋体"/>
          <w:color w:val="000000"/>
          <w:szCs w:val="21"/>
        </w:rPr>
        <w:t>主要指深度应用互联网、大数据、人工智能等技术，支撑传统基础设施转型升级，进而形成传统与新科技相融合的基础设施。主要包括：</w:t>
      </w:r>
      <w:r>
        <w:rPr>
          <w:rFonts w:ascii="宋体" w:hAnsi="宋体"/>
          <w:color w:val="000000"/>
          <w:szCs w:val="21"/>
        </w:rPr>
        <w:t xml:space="preserve"> </w:t>
      </w:r>
    </w:p>
    <w:p>
      <w:pPr>
        <w:adjustRightInd w:val="0"/>
        <w:spacing w:line="360" w:lineRule="atLeast"/>
        <w:ind w:firstLine="420"/>
        <w:rPr>
          <w:rFonts w:ascii="宋体" w:hAnsi="宋体"/>
          <w:color w:val="000000"/>
          <w:szCs w:val="21"/>
        </w:rPr>
      </w:pPr>
      <w:r>
        <w:rPr>
          <w:rFonts w:hint="eastAsia" w:ascii="宋体" w:hAnsi="宋体"/>
          <w:color w:val="000000"/>
          <w:szCs w:val="21"/>
        </w:rPr>
        <w:t>（1）智能交通设施：如，充电桩建设，公路、铁路、水运、民航、管道、邮政等领域智能化升级建设项目。</w:t>
      </w:r>
      <w:r>
        <w:rPr>
          <w:rFonts w:ascii="宋体" w:hAnsi="宋体"/>
          <w:color w:val="000000"/>
          <w:szCs w:val="21"/>
        </w:rPr>
        <w:t xml:space="preserve"> </w:t>
      </w:r>
    </w:p>
    <w:p>
      <w:pPr>
        <w:adjustRightInd w:val="0"/>
        <w:spacing w:line="360" w:lineRule="atLeast"/>
        <w:ind w:firstLine="420"/>
        <w:rPr>
          <w:rFonts w:ascii="宋体" w:hAnsi="宋体"/>
          <w:color w:val="000000"/>
          <w:szCs w:val="21"/>
        </w:rPr>
      </w:pPr>
      <w:r>
        <w:rPr>
          <w:rFonts w:hint="eastAsia" w:ascii="宋体" w:hAnsi="宋体"/>
          <w:color w:val="000000"/>
          <w:szCs w:val="21"/>
        </w:rPr>
        <w:t>（2）智慧能源基础设施：以智能化能源生产和消费为目的的基础设施建设，如，综合能源网络建设、能源生产和消费等实时监控系统、能源智能终端及接入设施的研制等。</w:t>
      </w:r>
      <w:r>
        <w:rPr>
          <w:rFonts w:ascii="宋体" w:hAnsi="宋体"/>
          <w:color w:val="000000"/>
          <w:szCs w:val="21"/>
        </w:rPr>
        <w:t xml:space="preserve"> </w:t>
      </w:r>
    </w:p>
    <w:p>
      <w:pPr>
        <w:adjustRightInd w:val="0"/>
        <w:spacing w:line="360" w:lineRule="atLeast"/>
        <w:ind w:firstLine="420"/>
        <w:rPr>
          <w:rFonts w:ascii="宋体" w:hAnsi="宋体"/>
          <w:color w:val="000000"/>
          <w:szCs w:val="21"/>
        </w:rPr>
      </w:pPr>
      <w:r>
        <w:rPr>
          <w:rFonts w:hint="eastAsia" w:ascii="宋体" w:hAnsi="宋体"/>
          <w:color w:val="000000"/>
          <w:szCs w:val="21"/>
        </w:rPr>
        <w:t>（3）先进的社会生活基础设施：开展基于5G网络的智慧医疗、智慧养老、智慧教育、智慧城市等建设项目。</w:t>
      </w:r>
    </w:p>
    <w:p>
      <w:pPr>
        <w:adjustRightInd w:val="0"/>
        <w:spacing w:line="360" w:lineRule="atLeast"/>
        <w:ind w:firstLine="420"/>
        <w:rPr>
          <w:rFonts w:hint="eastAsia" w:ascii="宋体" w:hAnsi="宋体"/>
          <w:color w:val="000000"/>
          <w:szCs w:val="21"/>
        </w:rPr>
      </w:pPr>
      <w:r>
        <w:rPr>
          <w:rFonts w:hint="eastAsia" w:ascii="宋体" w:hAnsi="宋体"/>
          <w:color w:val="000000"/>
          <w:szCs w:val="21"/>
        </w:rPr>
        <w:t>（</w:t>
      </w:r>
      <w:r>
        <w:rPr>
          <w:rFonts w:ascii="宋体" w:hAnsi="宋体"/>
          <w:color w:val="000000"/>
          <w:szCs w:val="21"/>
        </w:rPr>
        <w:t>4</w:t>
      </w:r>
      <w:r>
        <w:rPr>
          <w:rFonts w:hint="eastAsia" w:ascii="宋体" w:hAnsi="宋体"/>
          <w:color w:val="000000"/>
          <w:szCs w:val="21"/>
        </w:rPr>
        <w:t>）智能绿色生态环保基础设施：智能环保监测、智慧环卫设施、智慧海绵城市等建设项目。</w:t>
      </w:r>
    </w:p>
    <w:p>
      <w:pPr>
        <w:adjustRightInd w:val="0"/>
        <w:spacing w:line="360" w:lineRule="atLeast"/>
        <w:ind w:firstLine="420"/>
        <w:rPr>
          <w:rFonts w:ascii="宋体" w:hAnsi="宋体"/>
          <w:color w:val="000000"/>
          <w:szCs w:val="21"/>
        </w:rPr>
      </w:pPr>
      <w:r>
        <w:rPr>
          <w:rFonts w:hint="eastAsia" w:ascii="宋体" w:hAnsi="宋体"/>
          <w:color w:val="000000"/>
          <w:szCs w:val="21"/>
        </w:rPr>
        <w:t>（5）工业互联网：建设适用于工业生产的高可靠、广覆盖、大带宽、可定制的网络基础设施，包括建设服务企业或园区的5G网络，搭建基于5G网络的工业协同制造平台等项目。</w:t>
      </w:r>
    </w:p>
    <w:p>
      <w:pPr>
        <w:adjustRightInd w:val="0"/>
        <w:spacing w:line="360" w:lineRule="atLeast"/>
        <w:ind w:firstLine="420"/>
        <w:rPr>
          <w:rFonts w:hint="eastAsia" w:ascii="宋体" w:hAnsi="宋体"/>
          <w:color w:val="000000"/>
          <w:szCs w:val="21"/>
        </w:rPr>
      </w:pPr>
      <w:r>
        <w:rPr>
          <w:rFonts w:ascii="黑体" w:hAnsi="宋体" w:eastAsia="黑体"/>
          <w:color w:val="000000"/>
          <w:szCs w:val="21"/>
        </w:rPr>
        <w:t>创新类新型基础设施项目</w:t>
      </w:r>
      <w:r>
        <w:rPr>
          <w:rFonts w:hint="eastAsia" w:ascii="黑体" w:hAnsi="宋体" w:eastAsia="黑体"/>
          <w:color w:val="000000"/>
          <w:szCs w:val="21"/>
        </w:rPr>
        <w:t xml:space="preserve"> </w:t>
      </w:r>
      <w:r>
        <w:rPr>
          <w:rFonts w:ascii="黑体" w:hAnsi="宋体" w:eastAsia="黑体"/>
          <w:color w:val="000000"/>
          <w:szCs w:val="21"/>
        </w:rPr>
        <w:t xml:space="preserve"> </w:t>
      </w:r>
      <w:r>
        <w:rPr>
          <w:rFonts w:hint="eastAsia" w:ascii="宋体" w:hAnsi="宋体"/>
          <w:color w:val="000000"/>
          <w:szCs w:val="21"/>
        </w:rPr>
        <w:t>主要指支撑科学研究、技术开发、产品研制的具有公益属性的基础设施。如，重大科技、科学研究、产业技术创新等建设项目。</w:t>
      </w:r>
    </w:p>
    <w:p>
      <w:pPr>
        <w:adjustRightInd w:val="0"/>
        <w:spacing w:line="360" w:lineRule="atLeast"/>
        <w:ind w:firstLine="420" w:firstLineChars="200"/>
        <w:rPr>
          <w:rFonts w:ascii="宋体"/>
          <w:color w:val="000000"/>
        </w:rPr>
      </w:pPr>
      <w:r>
        <w:rPr>
          <w:rFonts w:hint="eastAsia" w:ascii="黑体" w:eastAsia="黑体"/>
          <w:color w:val="000000"/>
        </w:rPr>
        <w:t>项目</w:t>
      </w:r>
      <w:r>
        <w:rPr>
          <w:rFonts w:ascii="黑体" w:eastAsia="黑体"/>
          <w:color w:val="000000"/>
        </w:rPr>
        <w:t>开工时间</w:t>
      </w:r>
      <w:r>
        <w:rPr>
          <w:rFonts w:hint="eastAsia" w:ascii="宋体"/>
          <w:color w:val="000000"/>
        </w:rPr>
        <w:t xml:space="preserve">  </w:t>
      </w:r>
      <w:r>
        <w:rPr>
          <w:rFonts w:ascii="宋体"/>
          <w:color w:val="000000"/>
        </w:rPr>
        <w:t>指项目开始建设的年月。代码6位，代码前4位为年份，后2位为月份，在填写1—9月份编码时，十位上应补“0”。按建设项目设计文件中规定的永久性工程第一次开始施工的年月填写。如果没有设计文件，就以计划方案规定的永久性工程实际开始施工的年月为准。建设项目永久性工程的开工时间，一般是指永久性工程正式破土开槽开始施工的时间，作为建筑物组成部分的正式打桩也算为开工。在此以前的准备工作，如工程地质勘察、平整场地、旧有建筑物的拆除、临时建筑、施工用临时道路、水、电等工程都不算正式开工。总体设计内的工程开工之前，用迁移补偿费先进行拆迁还建工程的项目不算正式开工。以前年度全部停缓建在本年复工的项目，仍按设计文件中规定的永久性工程第一次正式开工的年月填报，不按复工的时间填报开工年月。</w:t>
      </w:r>
    </w:p>
    <w:p>
      <w:pPr>
        <w:adjustRightInd w:val="0"/>
        <w:spacing w:line="360" w:lineRule="atLeast"/>
        <w:ind w:firstLine="420" w:firstLineChars="200"/>
        <w:rPr>
          <w:rFonts w:hint="eastAsia" w:ascii="宋体"/>
          <w:color w:val="000000"/>
        </w:rPr>
      </w:pPr>
      <w:r>
        <w:rPr>
          <w:rFonts w:hint="eastAsia" w:ascii="宋体"/>
          <w:color w:val="000000"/>
        </w:rPr>
        <w:t>没有土建工程的项目，开工时间填写安装工程开始施工的时间。水利、交通、铁路等需要进行大量土、石方工程的项目，开工时间按开始进行土、石方工程的时间填写。项目正式开工才能报送数据。</w:t>
      </w:r>
    </w:p>
    <w:p>
      <w:pPr>
        <w:adjustRightInd w:val="0"/>
        <w:spacing w:line="360" w:lineRule="atLeast"/>
        <w:ind w:firstLine="420"/>
        <w:rPr>
          <w:rFonts w:hint="eastAsia" w:ascii="宋体"/>
          <w:color w:val="000000"/>
        </w:rPr>
      </w:pPr>
      <w:r>
        <w:rPr>
          <w:rFonts w:hint="eastAsia" w:ascii="黑体" w:eastAsia="黑体"/>
          <w:color w:val="000000"/>
        </w:rPr>
        <w:t xml:space="preserve">本年全部投产时间  </w:t>
      </w:r>
      <w:r>
        <w:rPr>
          <w:rFonts w:hint="eastAsia" w:ascii="宋体"/>
          <w:color w:val="000000"/>
        </w:rPr>
        <w:t>指建设项目按计划规定的生产能力（或效益）在本年内按合同规定全部建成，经验收合格或达到竣工验收标准(引进项目并应按合同规定经过试生产考核达到验收标准，经双方签字确认)正式移交生产或交付使用的时间。</w:t>
      </w:r>
    </w:p>
    <w:p>
      <w:pPr>
        <w:adjustRightInd w:val="0"/>
        <w:spacing w:line="360" w:lineRule="atLeast"/>
        <w:ind w:firstLine="420" w:firstLineChars="200"/>
        <w:rPr>
          <w:rFonts w:hint="eastAsia" w:ascii="宋体" w:hAnsi="宋体"/>
          <w:color w:val="000000"/>
        </w:rPr>
      </w:pPr>
      <w:r>
        <w:rPr>
          <w:rFonts w:hint="eastAsia" w:ascii="黑体" w:hAnsi="宋体" w:eastAsia="黑体"/>
          <w:color w:val="000000"/>
        </w:rPr>
        <w:t xml:space="preserve">期末项目建设状态 </w:t>
      </w:r>
      <w:r>
        <w:rPr>
          <w:rFonts w:hint="eastAsia" w:ascii="宋体" w:hAnsi="宋体"/>
          <w:color w:val="000000"/>
        </w:rPr>
        <w:t xml:space="preserve"> 指报告期末建设项目状态情况。</w:t>
      </w:r>
    </w:p>
    <w:p>
      <w:pPr>
        <w:adjustRightInd w:val="0"/>
        <w:spacing w:line="360" w:lineRule="atLeast"/>
        <w:ind w:firstLine="420" w:firstLineChars="200"/>
        <w:rPr>
          <w:rFonts w:hint="eastAsia" w:ascii="宋体"/>
          <w:color w:val="000000"/>
        </w:rPr>
      </w:pPr>
      <w:r>
        <w:rPr>
          <w:rFonts w:hint="eastAsia" w:ascii="黑体" w:eastAsia="黑体"/>
          <w:color w:val="000000"/>
        </w:rPr>
        <w:t xml:space="preserve">在建 </w:t>
      </w:r>
      <w:r>
        <w:rPr>
          <w:rFonts w:hint="eastAsia" w:ascii="宋体"/>
          <w:color w:val="000000"/>
        </w:rPr>
        <w:t xml:space="preserve"> 指项目本年正式进行过建筑或安装施工活动，但在报告期末尚未建成投产,处于建设阶段。包括本期施工项目，也包括以前年度施过工结转到本期尚未开工的建设项目。</w:t>
      </w:r>
    </w:p>
    <w:p>
      <w:pPr>
        <w:adjustRightInd w:val="0"/>
        <w:spacing w:line="360" w:lineRule="atLeast"/>
        <w:ind w:firstLine="420" w:firstLineChars="200"/>
        <w:rPr>
          <w:rFonts w:hint="eastAsia" w:ascii="宋体" w:hAnsi="宋体"/>
          <w:color w:val="000000"/>
          <w:szCs w:val="30"/>
        </w:rPr>
      </w:pPr>
      <w:r>
        <w:rPr>
          <w:rFonts w:hint="eastAsia" w:ascii="宋体"/>
          <w:color w:val="000000"/>
        </w:rPr>
        <w:t>报告期末已经成立专门的筹集机构，且财务上可以独立核算的筹建项目，期末建设状态也可以填“在建”，但不能报送建设用地费，建设用地费只有在项目正式开工时才能报送。不能满足成立筹建机构和独立核算两个条件的项目，只有在项目正式开工时才能上报，不能按筹建项目上报。</w:t>
      </w:r>
    </w:p>
    <w:p>
      <w:pPr>
        <w:adjustRightInd w:val="0"/>
        <w:spacing w:line="360" w:lineRule="atLeast"/>
        <w:ind w:firstLine="420" w:firstLineChars="200"/>
        <w:rPr>
          <w:rFonts w:ascii="宋体"/>
          <w:color w:val="000000"/>
        </w:rPr>
      </w:pPr>
      <w:r>
        <w:rPr>
          <w:rFonts w:hint="eastAsia" w:ascii="黑体" w:eastAsia="黑体"/>
          <w:color w:val="000000"/>
        </w:rPr>
        <w:t xml:space="preserve">全部投产 </w:t>
      </w:r>
      <w:r>
        <w:rPr>
          <w:rFonts w:hint="eastAsia" w:ascii="宋体" w:hAnsi="宋体"/>
          <w:color w:val="000000"/>
          <w:szCs w:val="30"/>
        </w:rPr>
        <w:t xml:space="preserve"> </w:t>
      </w:r>
      <w:r>
        <w:rPr>
          <w:rFonts w:hint="eastAsia" w:ascii="宋体"/>
          <w:color w:val="000000"/>
        </w:rPr>
        <w:t>指项目按计划规定的生产能力(或效益)在报告期内全部建成，经验收合格或达到竣工验收标准。</w:t>
      </w:r>
    </w:p>
    <w:p>
      <w:pPr>
        <w:adjustRightInd w:val="0"/>
        <w:spacing w:line="360" w:lineRule="atLeast"/>
        <w:ind w:firstLine="420" w:firstLineChars="200"/>
        <w:rPr>
          <w:rFonts w:hint="eastAsia" w:ascii="宋体"/>
          <w:color w:val="000000"/>
        </w:rPr>
      </w:pPr>
      <w:r>
        <w:rPr>
          <w:rFonts w:hint="eastAsia" w:ascii="黑体" w:eastAsia="黑体"/>
          <w:color w:val="000000"/>
        </w:rPr>
        <w:t>全部停缓建</w:t>
      </w:r>
      <w:r>
        <w:rPr>
          <w:rFonts w:hint="eastAsia" w:ascii="宋体" w:hAnsi="宋体"/>
          <w:color w:val="000000"/>
          <w:szCs w:val="30"/>
        </w:rPr>
        <w:t xml:space="preserve">  </w:t>
      </w:r>
      <w:r>
        <w:rPr>
          <w:rFonts w:hint="eastAsia" w:ascii="宋体"/>
          <w:color w:val="000000"/>
        </w:rPr>
        <w:t>指在报告期内经批准并已收到全部停缓建通知的项目。</w:t>
      </w:r>
    </w:p>
    <w:p>
      <w:pPr>
        <w:adjustRightInd w:val="0"/>
        <w:spacing w:line="360" w:lineRule="atLeast"/>
        <w:ind w:firstLine="420" w:firstLineChars="200"/>
        <w:rPr>
          <w:rFonts w:hint="eastAsia" w:ascii="宋体"/>
          <w:color w:val="000000"/>
        </w:rPr>
      </w:pPr>
      <w:r>
        <w:rPr>
          <w:rFonts w:hint="eastAsia" w:ascii="黑体" w:eastAsia="黑体"/>
          <w:color w:val="000000"/>
        </w:rPr>
        <w:t>“三新”项目</w:t>
      </w:r>
      <w:r>
        <w:rPr>
          <w:rFonts w:hint="eastAsia" w:ascii="宋体"/>
          <w:color w:val="000000"/>
        </w:rPr>
        <w:t xml:space="preserve">  “三新”指新产业、新业态、新商业模式。“三新”项目指建设</w:t>
      </w:r>
      <w:r>
        <w:rPr>
          <w:rFonts w:ascii="宋体"/>
          <w:color w:val="000000"/>
        </w:rPr>
        <w:t>内容</w:t>
      </w:r>
      <w:r>
        <w:rPr>
          <w:rFonts w:hint="eastAsia" w:ascii="宋体"/>
          <w:color w:val="000000"/>
        </w:rPr>
        <w:t>属于新产业、新业态、新商业模式的投资项目。“三新”</w:t>
      </w:r>
      <w:r>
        <w:rPr>
          <w:rFonts w:ascii="宋体"/>
          <w:color w:val="000000"/>
        </w:rPr>
        <w:t>包括</w:t>
      </w:r>
      <w:r>
        <w:rPr>
          <w:rFonts w:hint="eastAsia" w:ascii="宋体"/>
          <w:color w:val="000000"/>
        </w:rPr>
        <w:t>十大领域：新型现代农业、战略性新型产业、新服务、高技术</w:t>
      </w:r>
      <w:r>
        <w:rPr>
          <w:rFonts w:ascii="宋体"/>
          <w:color w:val="000000"/>
        </w:rPr>
        <w:t>产业</w:t>
      </w:r>
      <w:r>
        <w:rPr>
          <w:rFonts w:hint="eastAsia" w:ascii="宋体"/>
          <w:color w:val="000000"/>
        </w:rPr>
        <w:t>、科技</w:t>
      </w:r>
      <w:r>
        <w:rPr>
          <w:rFonts w:ascii="宋体"/>
          <w:color w:val="000000"/>
        </w:rPr>
        <w:t>企业孵化器</w:t>
      </w:r>
      <w:r>
        <w:rPr>
          <w:rFonts w:hint="eastAsia" w:ascii="宋体"/>
          <w:color w:val="000000"/>
        </w:rPr>
        <w:t>、互联网</w:t>
      </w:r>
      <w:r>
        <w:rPr>
          <w:rFonts w:ascii="宋体"/>
          <w:color w:val="000000"/>
        </w:rPr>
        <w:t>平台</w:t>
      </w:r>
      <w:r>
        <w:rPr>
          <w:rFonts w:hint="eastAsia" w:ascii="宋体"/>
          <w:color w:val="000000"/>
        </w:rPr>
        <w:t>、电子</w:t>
      </w:r>
      <w:r>
        <w:rPr>
          <w:rFonts w:ascii="宋体"/>
          <w:color w:val="000000"/>
        </w:rPr>
        <w:t>商务</w:t>
      </w:r>
      <w:r>
        <w:rPr>
          <w:rFonts w:hint="eastAsia" w:ascii="宋体"/>
          <w:color w:val="000000"/>
        </w:rPr>
        <w:t>、互联网</w:t>
      </w:r>
      <w:r>
        <w:rPr>
          <w:rFonts w:ascii="宋体"/>
          <w:color w:val="000000"/>
        </w:rPr>
        <w:t>金融</w:t>
      </w:r>
      <w:r>
        <w:rPr>
          <w:rFonts w:hint="eastAsia" w:ascii="宋体"/>
          <w:color w:val="000000"/>
        </w:rPr>
        <w:t>、城市</w:t>
      </w:r>
      <w:r>
        <w:rPr>
          <w:rFonts w:ascii="宋体"/>
          <w:color w:val="000000"/>
        </w:rPr>
        <w:t>商业综合体</w:t>
      </w:r>
      <w:r>
        <w:rPr>
          <w:rFonts w:hint="eastAsia" w:ascii="宋体"/>
          <w:color w:val="000000"/>
        </w:rPr>
        <w:t>、开发园区，具体分类详见《新产业新业态</w:t>
      </w:r>
      <w:r>
        <w:rPr>
          <w:rFonts w:ascii="宋体"/>
          <w:color w:val="000000"/>
        </w:rPr>
        <w:t>新商业模式</w:t>
      </w:r>
      <w:r>
        <w:rPr>
          <w:rFonts w:hint="eastAsia" w:ascii="宋体"/>
          <w:color w:val="000000"/>
        </w:rPr>
        <w:t>统计</w:t>
      </w:r>
      <w:r>
        <w:rPr>
          <w:rFonts w:ascii="宋体"/>
          <w:color w:val="000000"/>
        </w:rPr>
        <w:t>分类</w:t>
      </w:r>
      <w:r>
        <w:rPr>
          <w:rFonts w:hint="eastAsia" w:ascii="宋体"/>
          <w:color w:val="000000"/>
        </w:rPr>
        <w:t>表（2018）》。该指标根据《新产业新业态</w:t>
      </w:r>
      <w:r>
        <w:rPr>
          <w:rFonts w:ascii="宋体"/>
          <w:color w:val="000000"/>
        </w:rPr>
        <w:t>新商业模式</w:t>
      </w:r>
      <w:r>
        <w:rPr>
          <w:rFonts w:hint="eastAsia" w:ascii="宋体"/>
          <w:color w:val="000000"/>
        </w:rPr>
        <w:t>统计</w:t>
      </w:r>
      <w:r>
        <w:rPr>
          <w:rFonts w:ascii="宋体"/>
          <w:color w:val="000000"/>
        </w:rPr>
        <w:t>分类</w:t>
      </w:r>
      <w:r>
        <w:rPr>
          <w:rFonts w:hint="eastAsia" w:ascii="宋体"/>
          <w:color w:val="000000"/>
        </w:rPr>
        <w:t>表（2018）》填报，建设内容属于该分类表的项目填报“是”，不属于该统计分类表的项目填“否”。</w:t>
      </w:r>
    </w:p>
    <w:p>
      <w:pPr>
        <w:adjustRightInd w:val="0"/>
        <w:spacing w:line="360" w:lineRule="atLeast"/>
        <w:ind w:firstLine="420" w:firstLineChars="200"/>
        <w:rPr>
          <w:rFonts w:ascii="宋体"/>
          <w:color w:val="000000"/>
        </w:rPr>
      </w:pPr>
      <w:r>
        <w:rPr>
          <w:rFonts w:hint="eastAsia" w:ascii="黑体" w:eastAsia="黑体"/>
          <w:color w:val="000000"/>
        </w:rPr>
        <w:t>政府</w:t>
      </w:r>
      <w:r>
        <w:rPr>
          <w:rFonts w:ascii="黑体" w:eastAsia="黑体"/>
          <w:color w:val="000000"/>
        </w:rPr>
        <w:t>专项债</w:t>
      </w:r>
      <w:r>
        <w:rPr>
          <w:rFonts w:hint="eastAsia" w:ascii="黑体" w:eastAsia="黑体"/>
          <w:color w:val="000000"/>
        </w:rPr>
        <w:t>项目</w:t>
      </w:r>
      <w:r>
        <w:rPr>
          <w:rFonts w:hint="eastAsia" w:ascii="宋体"/>
          <w:color w:val="000000"/>
        </w:rPr>
        <w:t xml:space="preserve">  指使用地方政府专项债券资金的项目。地方政府专项债券指省级政府为有一定收益的公益性项目发行的、以公益性项目对应的政府性基金收入或专项收入作为还本付息资金来源的政府债券，包括新增专项债券和再融资专项债券等。</w:t>
      </w:r>
    </w:p>
    <w:p>
      <w:pPr>
        <w:adjustRightInd w:val="0"/>
        <w:spacing w:line="360" w:lineRule="atLeast"/>
        <w:ind w:firstLine="420"/>
        <w:rPr>
          <w:rFonts w:hint="eastAsia" w:ascii="宋体"/>
          <w:color w:val="000000"/>
        </w:rPr>
      </w:pPr>
      <w:r>
        <w:rPr>
          <w:rFonts w:ascii="黑体" w:eastAsia="黑体"/>
          <w:color w:val="000000"/>
        </w:rPr>
        <w:t>建筑安装工程填报依据</w:t>
      </w:r>
      <w:r>
        <w:rPr>
          <w:rFonts w:hint="eastAsia" w:ascii="黑体" w:eastAsia="黑体"/>
          <w:color w:val="000000"/>
        </w:rPr>
        <w:t xml:space="preserve"> </w:t>
      </w:r>
      <w:r>
        <w:rPr>
          <w:rFonts w:ascii="黑体" w:eastAsia="黑体"/>
          <w:color w:val="000000"/>
        </w:rPr>
        <w:t xml:space="preserve"> </w:t>
      </w:r>
      <w:r>
        <w:rPr>
          <w:rFonts w:ascii="宋体"/>
          <w:color w:val="000000"/>
        </w:rPr>
        <w:t>建筑安装工程投资额应按照依据</w:t>
      </w:r>
      <w:r>
        <w:rPr>
          <w:rFonts w:hint="eastAsia" w:ascii="宋体"/>
          <w:color w:val="000000"/>
        </w:rPr>
        <w:t>种类</w:t>
      </w:r>
      <w:r>
        <w:rPr>
          <w:rFonts w:ascii="宋体"/>
          <w:color w:val="000000"/>
        </w:rPr>
        <w:t>规范填报</w:t>
      </w:r>
      <w:r>
        <w:rPr>
          <w:rFonts w:hint="eastAsia" w:ascii="宋体"/>
          <w:color w:val="000000"/>
        </w:rPr>
        <w:t>，</w:t>
      </w:r>
      <w:r>
        <w:rPr>
          <w:rFonts w:ascii="宋体"/>
          <w:color w:val="000000"/>
        </w:rPr>
        <w:t>填报依据在整个项目上报期间应保持一致</w:t>
      </w:r>
      <w:r>
        <w:rPr>
          <w:rFonts w:hint="eastAsia" w:ascii="宋体"/>
          <w:color w:val="000000"/>
        </w:rPr>
        <w:t>。建筑安装工程可以选择以下两种方式之一填报：</w:t>
      </w:r>
      <w:r>
        <w:rPr>
          <w:rFonts w:hint="eastAsia" w:ascii="宋体" w:hAnsi="宋体"/>
          <w:color w:val="000000"/>
        </w:rPr>
        <w:t>①</w:t>
      </w:r>
      <w:r>
        <w:rPr>
          <w:rFonts w:hint="eastAsia" w:ascii="宋体"/>
          <w:color w:val="000000"/>
        </w:rPr>
        <w:t>工程结算单或进度单：工程结算单或进度单须由工程三方（建设方、施工方、监理方）签字盖章，单方或双方出具的进度单不作为填报依据。</w:t>
      </w:r>
      <w:r>
        <w:rPr>
          <w:rFonts w:hint="eastAsia" w:ascii="宋体" w:hAnsi="宋体"/>
          <w:color w:val="000000"/>
        </w:rPr>
        <w:t>②</w:t>
      </w:r>
      <w:r>
        <w:rPr>
          <w:rFonts w:hint="eastAsia" w:ascii="宋体"/>
          <w:color w:val="000000"/>
        </w:rPr>
        <w:t>会计科目或支付凭证。</w:t>
      </w:r>
    </w:p>
    <w:p>
      <w:pPr>
        <w:adjustRightInd w:val="0"/>
        <w:spacing w:line="360" w:lineRule="atLeast"/>
        <w:ind w:firstLine="420"/>
        <w:rPr>
          <w:rFonts w:hint="eastAsia" w:ascii="宋体"/>
          <w:color w:val="000000"/>
          <w:highlight w:val="none"/>
        </w:rPr>
      </w:pPr>
      <w:r>
        <w:rPr>
          <w:rFonts w:hint="eastAsia" w:ascii="黑体" w:eastAsia="黑体"/>
          <w:color w:val="000000"/>
          <w:highlight w:val="none"/>
        </w:rPr>
        <w:t>民间资本参股比例（新增）</w:t>
      </w:r>
      <w:r>
        <w:rPr>
          <w:rFonts w:hint="eastAsia" w:ascii="宋体"/>
          <w:color w:val="000000"/>
          <w:highlight w:val="none"/>
        </w:rPr>
        <w:t>指固定资产投资建设项目的全体股东中，所有民间资本主体股东所持股份的股权占比合计。</w:t>
      </w:r>
    </w:p>
    <w:p>
      <w:pPr>
        <w:pStyle w:val="6"/>
        <w:spacing w:line="440" w:lineRule="exact"/>
        <w:rPr>
          <w:rFonts w:hint="eastAsia"/>
          <w:color w:val="000000"/>
        </w:rPr>
      </w:pPr>
    </w:p>
    <w:p>
      <w:pPr>
        <w:adjustRightInd w:val="0"/>
        <w:spacing w:line="360" w:lineRule="atLeast"/>
        <w:ind w:firstLine="420" w:firstLineChars="200"/>
        <w:rPr>
          <w:rFonts w:hint="eastAsia" w:ascii="黑体" w:eastAsia="黑体"/>
          <w:color w:val="000000"/>
        </w:rPr>
      </w:pPr>
      <w:r>
        <w:rPr>
          <w:rFonts w:hint="eastAsia" w:ascii="黑体" w:eastAsia="黑体"/>
          <w:color w:val="000000"/>
          <w:lang w:val="en-US" w:eastAsia="zh-CN"/>
        </w:rPr>
        <w:t>2</w:t>
      </w:r>
      <w:r>
        <w:rPr>
          <w:rFonts w:hint="eastAsia" w:ascii="黑体" w:eastAsia="黑体"/>
          <w:color w:val="000000"/>
        </w:rPr>
        <w:t>.固定资产投资额和新增固定资产</w:t>
      </w:r>
    </w:p>
    <w:p>
      <w:pPr>
        <w:adjustRightInd w:val="0"/>
        <w:spacing w:line="360" w:lineRule="atLeast"/>
        <w:ind w:firstLine="420" w:firstLineChars="200"/>
        <w:rPr>
          <w:rFonts w:hint="eastAsia" w:ascii="黑体" w:eastAsia="黑体"/>
          <w:color w:val="000000"/>
        </w:rPr>
      </w:pPr>
      <w:r>
        <w:rPr>
          <w:rFonts w:hint="eastAsia" w:ascii="黑体" w:eastAsia="黑体"/>
          <w:color w:val="000000"/>
        </w:rPr>
        <w:t>固定资产投资额  指以货币形式表现的在一定时期内建造和购置固定资产的工作量以及与此有关的费用的总称。固定资产投资统计范围不包括：</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（1）不属于固定资产的。</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①流动资产。无论是否</w:t>
      </w:r>
      <w:r>
        <w:rPr>
          <w:rFonts w:ascii="宋体" w:hAnsi="宋体" w:cs="宋体"/>
          <w:color w:val="000000"/>
          <w:kern w:val="0"/>
          <w:szCs w:val="21"/>
        </w:rPr>
        <w:t>与固定资产投资项目相关，均不能纳入</w:t>
      </w:r>
      <w:r>
        <w:rPr>
          <w:rFonts w:hint="eastAsia" w:ascii="宋体" w:hAnsi="宋体" w:cs="宋体"/>
          <w:color w:val="000000"/>
          <w:kern w:val="0"/>
          <w:szCs w:val="21"/>
        </w:rPr>
        <w:t>固定资产</w:t>
      </w:r>
      <w:r>
        <w:rPr>
          <w:rFonts w:ascii="宋体" w:hAnsi="宋体" w:cs="宋体"/>
          <w:color w:val="000000"/>
          <w:kern w:val="0"/>
          <w:szCs w:val="21"/>
        </w:rPr>
        <w:t>投资统计范围</w:t>
      </w:r>
      <w:r>
        <w:rPr>
          <w:rFonts w:hint="eastAsia" w:ascii="宋体" w:hAnsi="宋体" w:cs="宋体"/>
          <w:color w:val="000000"/>
          <w:kern w:val="0"/>
          <w:szCs w:val="21"/>
        </w:rPr>
        <w:t>。</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②消耗品，如办公耗材（</w:t>
      </w:r>
      <w:r>
        <w:rPr>
          <w:rFonts w:ascii="宋体" w:hAnsi="宋体" w:cs="宋体"/>
          <w:color w:val="000000"/>
          <w:kern w:val="0"/>
          <w:szCs w:val="21"/>
        </w:rPr>
        <w:t>低值易耗品</w:t>
      </w:r>
      <w:r>
        <w:rPr>
          <w:rFonts w:hint="eastAsia" w:ascii="宋体" w:hAnsi="宋体" w:cs="宋体"/>
          <w:color w:val="000000"/>
          <w:kern w:val="0"/>
          <w:szCs w:val="21"/>
        </w:rPr>
        <w:t>）等。</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③投资品，</w:t>
      </w:r>
      <w:r>
        <w:rPr>
          <w:rFonts w:ascii="宋体" w:hAnsi="宋体" w:cs="宋体"/>
          <w:color w:val="000000"/>
          <w:kern w:val="0"/>
          <w:szCs w:val="21"/>
        </w:rPr>
        <w:t>如</w:t>
      </w:r>
      <w:r>
        <w:rPr>
          <w:rFonts w:ascii="宋体" w:hAnsi="宋体" w:cs="宋体"/>
          <w:color w:val="000000"/>
          <w:kern w:val="0"/>
          <w:szCs w:val="21"/>
          <w:u w:val="none"/>
        </w:rPr>
        <w:t>股票</w:t>
      </w:r>
      <w:r>
        <w:rPr>
          <w:rFonts w:ascii="宋体" w:hAnsi="宋体" w:cs="宋体"/>
          <w:color w:val="000000"/>
          <w:kern w:val="0"/>
          <w:szCs w:val="21"/>
        </w:rPr>
        <w:t>（或股权）、</w:t>
      </w:r>
      <w:r>
        <w:rPr>
          <w:rFonts w:ascii="宋体" w:hAnsi="宋体" w:cs="宋体"/>
          <w:color w:val="000000"/>
          <w:kern w:val="0"/>
          <w:szCs w:val="21"/>
          <w:u w:val="none"/>
        </w:rPr>
        <w:t>期货</w:t>
      </w:r>
      <w:r>
        <w:rPr>
          <w:rFonts w:ascii="宋体" w:hAnsi="宋体" w:cs="宋体"/>
          <w:color w:val="000000"/>
          <w:kern w:val="0"/>
          <w:szCs w:val="21"/>
        </w:rPr>
        <w:t>、</w:t>
      </w:r>
      <w:r>
        <w:rPr>
          <w:rFonts w:ascii="宋体" w:hAnsi="宋体" w:cs="宋体"/>
          <w:color w:val="000000"/>
          <w:kern w:val="0"/>
          <w:szCs w:val="21"/>
          <w:u w:val="none"/>
        </w:rPr>
        <w:t>金融衍生产品</w:t>
      </w:r>
      <w:r>
        <w:rPr>
          <w:rFonts w:hint="eastAsia" w:ascii="宋体" w:hAnsi="宋体" w:cs="宋体"/>
          <w:color w:val="000000"/>
          <w:kern w:val="0"/>
          <w:szCs w:val="21"/>
        </w:rPr>
        <w:t>、古玩字画</w:t>
      </w:r>
      <w:r>
        <w:rPr>
          <w:rFonts w:ascii="宋体" w:hAnsi="宋体" w:cs="宋体"/>
          <w:color w:val="000000"/>
          <w:kern w:val="0"/>
          <w:szCs w:val="21"/>
        </w:rPr>
        <w:t>、文艺作品</w:t>
      </w:r>
      <w:r>
        <w:rPr>
          <w:rFonts w:hint="eastAsia" w:ascii="宋体" w:hAnsi="宋体" w:cs="宋体"/>
          <w:color w:val="000000"/>
          <w:kern w:val="0"/>
          <w:szCs w:val="21"/>
        </w:rPr>
        <w:t>等。</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④消耗性生物资产，如农作物、待售林木和花卉、存栏待售的牲畜（非种畜、役畜）等。</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⑤发放给农户的货币补贴，如美丽乡村、新农村建设等项目中的补贴。</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⑥投资统计制度规定的其他不应纳入投资统计范围的内容。</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（2）相关支出</w:t>
      </w:r>
      <w:r>
        <w:rPr>
          <w:rFonts w:ascii="宋体" w:hAnsi="宋体" w:cs="宋体"/>
          <w:color w:val="000000"/>
          <w:kern w:val="0"/>
          <w:szCs w:val="21"/>
        </w:rPr>
        <w:t>在会计</w:t>
      </w:r>
      <w:r>
        <w:rPr>
          <w:rFonts w:hint="eastAsia" w:ascii="宋体" w:hAnsi="宋体" w:cs="宋体"/>
          <w:color w:val="000000"/>
          <w:kern w:val="0"/>
          <w:szCs w:val="21"/>
        </w:rPr>
        <w:t>上</w:t>
      </w:r>
      <w:r>
        <w:rPr>
          <w:rFonts w:ascii="宋体" w:hAnsi="宋体" w:cs="宋体"/>
          <w:color w:val="000000"/>
          <w:kern w:val="0"/>
          <w:szCs w:val="21"/>
        </w:rPr>
        <w:t>作为</w:t>
      </w:r>
      <w:r>
        <w:rPr>
          <w:rFonts w:hint="eastAsia" w:ascii="宋体" w:hAnsi="宋体" w:cs="宋体"/>
          <w:color w:val="000000"/>
          <w:kern w:val="0"/>
          <w:szCs w:val="21"/>
        </w:rPr>
        <w:t>成本</w:t>
      </w:r>
      <w:r>
        <w:rPr>
          <w:rFonts w:ascii="宋体" w:hAnsi="宋体" w:cs="宋体"/>
          <w:color w:val="000000"/>
          <w:kern w:val="0"/>
          <w:szCs w:val="21"/>
        </w:rPr>
        <w:t>费用</w:t>
      </w:r>
      <w:r>
        <w:rPr>
          <w:rFonts w:hint="eastAsia" w:ascii="宋体" w:hAnsi="宋体" w:cs="宋体"/>
          <w:color w:val="000000"/>
          <w:kern w:val="0"/>
          <w:szCs w:val="21"/>
        </w:rPr>
        <w:t>处理的建设活动。</w:t>
      </w:r>
    </w:p>
    <w:p>
      <w:pPr>
        <w:adjustRightInd w:val="0"/>
        <w:spacing w:line="360" w:lineRule="atLeast"/>
        <w:ind w:firstLine="420" w:firstLineChars="200"/>
        <w:rPr>
          <w:rFonts w:hint="eastAsia" w:ascii="宋体" w:hAnsi="宋体" w:cs="宋体"/>
          <w:color w:val="000000"/>
          <w:kern w:val="0"/>
          <w:szCs w:val="21"/>
        </w:rPr>
      </w:pPr>
      <w:r>
        <w:rPr>
          <w:rFonts w:ascii="宋体" w:hAnsi="宋体" w:cs="宋体"/>
          <w:color w:val="000000"/>
          <w:kern w:val="0"/>
          <w:szCs w:val="21"/>
        </w:rPr>
        <w:t>一般</w:t>
      </w:r>
      <w:r>
        <w:rPr>
          <w:rFonts w:hint="eastAsia" w:ascii="宋体" w:hAnsi="宋体" w:cs="宋体"/>
          <w:color w:val="000000"/>
          <w:kern w:val="0"/>
          <w:szCs w:val="21"/>
        </w:rPr>
        <w:t>包括</w:t>
      </w:r>
      <w:r>
        <w:rPr>
          <w:rFonts w:ascii="宋体" w:hAnsi="宋体" w:cs="宋体"/>
          <w:color w:val="000000"/>
          <w:kern w:val="0"/>
          <w:szCs w:val="21"/>
        </w:rPr>
        <w:t>大修理、养护、维护性质的工程</w:t>
      </w:r>
      <w:r>
        <w:rPr>
          <w:rFonts w:hint="eastAsia" w:ascii="宋体" w:hAnsi="宋体" w:cs="宋体"/>
          <w:color w:val="000000"/>
          <w:kern w:val="0"/>
          <w:szCs w:val="21"/>
        </w:rPr>
        <w:t>，如设备维修、建筑物翻修和</w:t>
      </w:r>
      <w:r>
        <w:rPr>
          <w:rFonts w:ascii="宋体" w:hAnsi="宋体" w:cs="宋体"/>
          <w:color w:val="000000"/>
          <w:kern w:val="0"/>
          <w:szCs w:val="21"/>
        </w:rPr>
        <w:t>加固、单纯</w:t>
      </w:r>
      <w:r>
        <w:rPr>
          <w:rFonts w:hint="eastAsia" w:ascii="宋体" w:hAnsi="宋体" w:cs="宋体"/>
          <w:color w:val="000000"/>
          <w:kern w:val="0"/>
          <w:szCs w:val="21"/>
        </w:rPr>
        <w:t>装饰装修、农田水利</w:t>
      </w:r>
      <w:r>
        <w:rPr>
          <w:rFonts w:ascii="宋体" w:hAnsi="宋体" w:cs="宋体"/>
          <w:color w:val="000000"/>
          <w:kern w:val="0"/>
          <w:szCs w:val="21"/>
        </w:rPr>
        <w:t>工程（</w:t>
      </w:r>
      <w:r>
        <w:rPr>
          <w:rFonts w:hint="eastAsia" w:ascii="宋体" w:hAnsi="宋体" w:cs="宋体"/>
          <w:color w:val="000000"/>
          <w:kern w:val="0"/>
          <w:szCs w:val="21"/>
        </w:rPr>
        <w:t>堤防、水库</w:t>
      </w:r>
      <w:r>
        <w:rPr>
          <w:rFonts w:ascii="宋体" w:hAnsi="宋体" w:cs="宋体"/>
          <w:color w:val="000000"/>
          <w:kern w:val="0"/>
          <w:szCs w:val="21"/>
        </w:rPr>
        <w:t>）</w:t>
      </w:r>
      <w:r>
        <w:rPr>
          <w:rFonts w:hint="eastAsia" w:ascii="宋体" w:hAnsi="宋体" w:cs="宋体"/>
          <w:color w:val="000000"/>
          <w:kern w:val="0"/>
          <w:szCs w:val="21"/>
        </w:rPr>
        <w:t>维修</w:t>
      </w:r>
      <w:r>
        <w:rPr>
          <w:rFonts w:ascii="宋体" w:hAnsi="宋体" w:cs="宋体"/>
          <w:color w:val="000000"/>
          <w:kern w:val="0"/>
          <w:szCs w:val="21"/>
        </w:rPr>
        <w:t>、</w:t>
      </w:r>
      <w:r>
        <w:rPr>
          <w:rFonts w:hint="eastAsia" w:ascii="宋体" w:hAnsi="宋体" w:cs="宋体"/>
          <w:color w:val="000000"/>
          <w:kern w:val="0"/>
          <w:szCs w:val="21"/>
        </w:rPr>
        <w:t>铁路大修、道路日常养护、景观维护等。这类建设活动未替换原有的固定资产，也</w:t>
      </w:r>
      <w:r>
        <w:rPr>
          <w:rFonts w:ascii="宋体" w:hAnsi="宋体" w:cs="宋体"/>
          <w:color w:val="000000"/>
          <w:kern w:val="0"/>
          <w:szCs w:val="21"/>
        </w:rPr>
        <w:t>没有</w:t>
      </w:r>
      <w:r>
        <w:rPr>
          <w:rFonts w:hint="eastAsia" w:ascii="宋体" w:hAnsi="宋体" w:cs="宋体"/>
          <w:color w:val="000000"/>
          <w:kern w:val="0"/>
          <w:szCs w:val="21"/>
        </w:rPr>
        <w:t>增加新的固定资产，属于生产范畴，不属于投资活动。</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（3）会造成</w:t>
      </w:r>
      <w:r>
        <w:rPr>
          <w:rFonts w:ascii="宋体" w:hAnsi="宋体" w:cs="宋体"/>
          <w:color w:val="000000"/>
          <w:kern w:val="0"/>
          <w:szCs w:val="21"/>
        </w:rPr>
        <w:t>重复统计的</w:t>
      </w:r>
      <w:r>
        <w:rPr>
          <w:rFonts w:hint="eastAsia" w:ascii="宋体" w:hAnsi="宋体" w:cs="宋体"/>
          <w:color w:val="000000"/>
          <w:kern w:val="0"/>
          <w:szCs w:val="21"/>
        </w:rPr>
        <w:t>。</w:t>
      </w:r>
    </w:p>
    <w:p>
      <w:pPr>
        <w:adjustRightInd w:val="0"/>
        <w:spacing w:line="360" w:lineRule="atLeast"/>
        <w:ind w:firstLine="422"/>
        <w:rPr>
          <w:rFonts w:hint="eastAsia" w:ascii="仿宋_GB2312" w:hAnsi="宋体" w:eastAsia="仿宋_GB2312"/>
          <w:color w:val="000000"/>
          <w:sz w:val="32"/>
          <w:szCs w:val="32"/>
        </w:rPr>
      </w:pPr>
      <w:r>
        <w:rPr>
          <w:rFonts w:hint="eastAsia" w:ascii="宋体" w:hAnsi="宋体" w:cs="宋体"/>
          <w:color w:val="000000"/>
          <w:kern w:val="0"/>
          <w:szCs w:val="21"/>
        </w:rPr>
        <w:t>一般包括单纯购置的旧建筑物和旧设备、临时性租赁租入（融资租赁除外）的固定资产、单位购置的商品房（包括主管部门</w:t>
      </w:r>
      <w:r>
        <w:rPr>
          <w:rFonts w:ascii="宋体" w:hAnsi="宋体" w:cs="宋体"/>
          <w:color w:val="000000"/>
          <w:kern w:val="0"/>
          <w:szCs w:val="21"/>
        </w:rPr>
        <w:t>购置商品房转换为保障性住房</w:t>
      </w:r>
      <w:r>
        <w:rPr>
          <w:rFonts w:hint="eastAsia" w:ascii="宋体" w:hAnsi="宋体" w:cs="宋体"/>
          <w:color w:val="000000"/>
          <w:kern w:val="0"/>
          <w:szCs w:val="21"/>
        </w:rPr>
        <w:t>）、单纯土地平整、土地一级开发、围海造地等。这类</w:t>
      </w:r>
      <w:r>
        <w:rPr>
          <w:rFonts w:ascii="宋体" w:hAnsi="宋体" w:cs="宋体"/>
          <w:color w:val="000000"/>
          <w:kern w:val="0"/>
          <w:szCs w:val="21"/>
        </w:rPr>
        <w:t>建设项目</w:t>
      </w:r>
      <w:r>
        <w:rPr>
          <w:rFonts w:hint="eastAsia" w:ascii="宋体" w:hAnsi="宋体" w:cs="宋体"/>
          <w:color w:val="000000"/>
          <w:kern w:val="0"/>
          <w:szCs w:val="21"/>
        </w:rPr>
        <w:t>虽然</w:t>
      </w:r>
      <w:r>
        <w:rPr>
          <w:rFonts w:ascii="宋体" w:hAnsi="宋体" w:cs="宋体"/>
          <w:color w:val="000000"/>
          <w:kern w:val="0"/>
          <w:szCs w:val="21"/>
        </w:rPr>
        <w:t>符合固定资产投资属性，但</w:t>
      </w:r>
      <w:r>
        <w:rPr>
          <w:rFonts w:hint="eastAsia" w:ascii="宋体" w:hAnsi="宋体" w:cs="宋体"/>
          <w:color w:val="000000"/>
          <w:kern w:val="0"/>
          <w:szCs w:val="21"/>
        </w:rPr>
        <w:t>由于</w:t>
      </w:r>
      <w:r>
        <w:rPr>
          <w:rFonts w:ascii="宋体" w:hAnsi="宋体" w:cs="宋体"/>
          <w:color w:val="000000"/>
          <w:kern w:val="0"/>
          <w:szCs w:val="21"/>
        </w:rPr>
        <w:t>其相关支出已经在前期</w:t>
      </w:r>
      <w:r>
        <w:rPr>
          <w:rFonts w:hint="eastAsia" w:ascii="宋体" w:hAnsi="宋体" w:cs="宋体"/>
          <w:color w:val="000000"/>
          <w:kern w:val="0"/>
          <w:szCs w:val="21"/>
        </w:rPr>
        <w:t>统计</w:t>
      </w:r>
      <w:r>
        <w:rPr>
          <w:rFonts w:ascii="宋体" w:hAnsi="宋体" w:cs="宋体"/>
          <w:color w:val="000000"/>
          <w:kern w:val="0"/>
          <w:szCs w:val="21"/>
        </w:rPr>
        <w:t>或</w:t>
      </w:r>
      <w:r>
        <w:rPr>
          <w:rFonts w:hint="eastAsia" w:ascii="宋体" w:hAnsi="宋体" w:cs="宋体"/>
          <w:color w:val="000000"/>
          <w:kern w:val="0"/>
          <w:szCs w:val="21"/>
        </w:rPr>
        <w:t>将在后期建设时进行统计</w:t>
      </w:r>
      <w:r>
        <w:rPr>
          <w:rFonts w:ascii="宋体" w:hAnsi="宋体" w:cs="宋体"/>
          <w:color w:val="000000"/>
          <w:kern w:val="0"/>
          <w:szCs w:val="21"/>
        </w:rPr>
        <w:t>，为避免重复</w:t>
      </w:r>
      <w:r>
        <w:rPr>
          <w:rFonts w:hint="eastAsia" w:ascii="宋体" w:hAnsi="宋体" w:cs="宋体"/>
          <w:color w:val="000000"/>
          <w:kern w:val="0"/>
          <w:szCs w:val="21"/>
        </w:rPr>
        <w:t>统计</w:t>
      </w:r>
      <w:r>
        <w:rPr>
          <w:rFonts w:ascii="宋体" w:hAnsi="宋体" w:cs="宋体"/>
          <w:color w:val="000000"/>
          <w:kern w:val="0"/>
          <w:szCs w:val="21"/>
        </w:rPr>
        <w:t>，</w:t>
      </w:r>
      <w:r>
        <w:rPr>
          <w:rFonts w:hint="eastAsia" w:ascii="宋体" w:hAnsi="宋体" w:cs="宋体"/>
          <w:color w:val="000000"/>
          <w:kern w:val="0"/>
          <w:szCs w:val="21"/>
        </w:rPr>
        <w:t>上述内容</w:t>
      </w:r>
      <w:r>
        <w:rPr>
          <w:rFonts w:ascii="宋体" w:hAnsi="宋体" w:cs="宋体"/>
          <w:color w:val="000000"/>
          <w:kern w:val="0"/>
          <w:szCs w:val="21"/>
        </w:rPr>
        <w:t>不</w:t>
      </w:r>
      <w:r>
        <w:rPr>
          <w:rFonts w:hint="eastAsia" w:ascii="宋体" w:hAnsi="宋体" w:cs="宋体"/>
          <w:color w:val="000000"/>
          <w:kern w:val="0"/>
          <w:szCs w:val="21"/>
        </w:rPr>
        <w:t>纳入固定资产投资统计范围。</w:t>
      </w:r>
    </w:p>
    <w:p>
      <w:pPr>
        <w:adjustRightInd w:val="0"/>
        <w:spacing w:line="360" w:lineRule="atLeast"/>
        <w:ind w:firstLine="421" w:firstLineChars="200"/>
        <w:rPr>
          <w:rFonts w:hint="eastAsia" w:ascii="宋体" w:hAnsi="宋体" w:cs="宋体"/>
          <w:color w:val="000000"/>
          <w:kern w:val="0"/>
          <w:szCs w:val="21"/>
        </w:rPr>
      </w:pPr>
      <w:r>
        <w:rPr>
          <w:rFonts w:hint="eastAsia" w:ascii="宋体" w:hAnsi="宋体" w:cs="宋体"/>
          <w:b/>
          <w:bCs/>
          <w:color w:val="000000"/>
          <w:kern w:val="0"/>
          <w:szCs w:val="21"/>
        </w:rPr>
        <w:t>下列内容应纳入固定资产投资统计范围：</w:t>
      </w:r>
    </w:p>
    <w:p>
      <w:pPr>
        <w:adjustRightInd w:val="0"/>
        <w:spacing w:line="360" w:lineRule="atLeast"/>
        <w:ind w:firstLine="420"/>
        <w:rPr>
          <w:rFonts w:hint="eastAsia" w:ascii="宋体" w:hAnsi="宋体" w:cs="宋体"/>
          <w:color w:val="000000"/>
          <w:kern w:val="0"/>
          <w:szCs w:val="21"/>
        </w:rPr>
      </w:pPr>
      <w:r>
        <w:rPr>
          <w:rFonts w:hint="eastAsia" w:ascii="宋体" w:hAnsi="宋体" w:cs="宋体"/>
          <w:color w:val="000000"/>
          <w:kern w:val="0"/>
          <w:szCs w:val="21"/>
        </w:rPr>
        <w:t>（1）对现有固定资产进行投入再建设，改变其使用价值，调查单位在会计上进行资本化处理，且达到投资项目报送起点的项目，可纳入固定资产投资统计范围。如在现有道路基础上进行路面拓宽（如4车道</w:t>
      </w:r>
      <w:r>
        <w:rPr>
          <w:rFonts w:ascii="宋体" w:hAnsi="宋体" w:cs="宋体"/>
          <w:color w:val="000000"/>
          <w:kern w:val="0"/>
          <w:szCs w:val="21"/>
        </w:rPr>
        <w:t>扩为</w:t>
      </w:r>
      <w:r>
        <w:rPr>
          <w:rFonts w:hint="eastAsia" w:ascii="宋体" w:hAnsi="宋体" w:cs="宋体"/>
          <w:color w:val="000000"/>
          <w:kern w:val="0"/>
          <w:szCs w:val="21"/>
        </w:rPr>
        <w:t>6车道）或升级（如低等级道路</w:t>
      </w:r>
      <w:r>
        <w:rPr>
          <w:rFonts w:ascii="宋体" w:hAnsi="宋体" w:cs="宋体"/>
          <w:color w:val="000000"/>
          <w:kern w:val="0"/>
          <w:szCs w:val="21"/>
        </w:rPr>
        <w:t>升级为</w:t>
      </w:r>
      <w:r>
        <w:rPr>
          <w:rFonts w:hint="eastAsia" w:ascii="宋体" w:hAnsi="宋体" w:cs="宋体"/>
          <w:color w:val="000000"/>
          <w:kern w:val="0"/>
          <w:szCs w:val="21"/>
        </w:rPr>
        <w:t>高等级</w:t>
      </w:r>
      <w:r>
        <w:rPr>
          <w:rFonts w:ascii="宋体" w:hAnsi="宋体" w:cs="宋体"/>
          <w:color w:val="000000"/>
          <w:kern w:val="0"/>
          <w:szCs w:val="21"/>
        </w:rPr>
        <w:t>公路</w:t>
      </w:r>
      <w:r>
        <w:rPr>
          <w:rFonts w:hint="eastAsia" w:ascii="宋体" w:hAnsi="宋体" w:cs="宋体"/>
          <w:color w:val="000000"/>
          <w:kern w:val="0"/>
          <w:szCs w:val="21"/>
        </w:rPr>
        <w:t>）。</w:t>
      </w:r>
    </w:p>
    <w:p>
      <w:pPr>
        <w:adjustRightInd w:val="0"/>
        <w:spacing w:line="360" w:lineRule="atLeast"/>
        <w:ind w:firstLine="422"/>
        <w:rPr>
          <w:rFonts w:hint="eastAsia" w:ascii="宋体" w:hAnsi="宋体" w:cs="宋体"/>
          <w:color w:val="000000"/>
          <w:kern w:val="0"/>
          <w:szCs w:val="21"/>
        </w:rPr>
      </w:pPr>
      <w:r>
        <w:rPr>
          <w:rFonts w:hint="eastAsia" w:ascii="宋体" w:hAnsi="宋体" w:cs="宋体"/>
          <w:color w:val="000000"/>
          <w:kern w:val="0"/>
          <w:szCs w:val="21"/>
        </w:rPr>
        <w:t>（2）生产性生物资产，如种畜、役畜和各种经济林木；公益性生物资产，如防风固沙林、水土保持林和水源涵养林；新建城市绿化或道路绿化项目中购置的苗木等，可纳入固定资产投资统计，填入其他费用。</w:t>
      </w:r>
    </w:p>
    <w:p>
      <w:pPr>
        <w:adjustRightInd w:val="0"/>
        <w:spacing w:line="360" w:lineRule="atLeast"/>
        <w:ind w:firstLine="422"/>
        <w:jc w:val="center"/>
        <w:rPr>
          <w:rFonts w:hint="eastAsia" w:ascii="黑体" w:hAnsi="黑体" w:eastAsia="黑体" w:cs="宋体"/>
          <w:color w:val="000000"/>
          <w:kern w:val="0"/>
          <w:sz w:val="18"/>
          <w:szCs w:val="18"/>
        </w:rPr>
      </w:pPr>
      <w:r>
        <w:rPr>
          <w:rFonts w:hint="eastAsia" w:ascii="黑体" w:hAnsi="黑体" w:eastAsia="黑体" w:cs="宋体"/>
          <w:color w:val="000000"/>
          <w:kern w:val="0"/>
          <w:sz w:val="18"/>
          <w:szCs w:val="18"/>
        </w:rPr>
        <w:t>固定资产投资项目纳统情况一览表</w:t>
      </w:r>
    </w:p>
    <w:tbl>
      <w:tblPr>
        <w:tblStyle w:val="17"/>
        <w:tblW w:w="4893" w:type="pct"/>
        <w:tblInd w:w="108"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7880"/>
        <w:gridCol w:w="1763"/>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44" w:hRule="atLeast"/>
        </w:trPr>
        <w:tc>
          <w:tcPr>
            <w:tcW w:w="4086" w:type="pct"/>
            <w:noWrap w:val="0"/>
            <w:vAlign w:val="center"/>
          </w:tcPr>
          <w:p>
            <w:pPr>
              <w:spacing w:line="240" w:lineRule="atLeast"/>
              <w:ind w:firstLine="361" w:firstLineChars="200"/>
              <w:jc w:val="center"/>
              <w:rPr>
                <w:rFonts w:ascii="宋体" w:hAnsi="宋体" w:cs="宋体"/>
                <w:color w:val="000000"/>
                <w:kern w:val="0"/>
                <w:sz w:val="18"/>
                <w:szCs w:val="18"/>
              </w:rPr>
            </w:pPr>
            <w:r>
              <w:rPr>
                <w:rFonts w:hint="eastAsia" w:ascii="宋体" w:hAnsi="宋体" w:cs="宋体"/>
                <w:b/>
                <w:bCs/>
                <w:color w:val="000000"/>
                <w:kern w:val="0"/>
                <w:sz w:val="18"/>
                <w:szCs w:val="18"/>
              </w:rPr>
              <w:t>常 见 类 别</w:t>
            </w:r>
          </w:p>
        </w:tc>
        <w:tc>
          <w:tcPr>
            <w:tcW w:w="914" w:type="pct"/>
            <w:noWrap w:val="0"/>
            <w:vAlign w:val="center"/>
          </w:tcPr>
          <w:p>
            <w:pPr>
              <w:spacing w:line="240" w:lineRule="atLeast"/>
              <w:jc w:val="center"/>
              <w:rPr>
                <w:rFonts w:ascii="宋体" w:hAnsi="宋体" w:cs="宋体"/>
                <w:color w:val="000000"/>
                <w:kern w:val="0"/>
                <w:sz w:val="18"/>
                <w:szCs w:val="18"/>
              </w:rPr>
            </w:pPr>
            <w:r>
              <w:rPr>
                <w:rFonts w:ascii="宋体" w:hAnsi="宋体" w:cs="宋体"/>
                <w:b/>
                <w:bCs/>
                <w:color w:val="000000"/>
                <w:kern w:val="0"/>
                <w:sz w:val="18"/>
                <w:szCs w:val="18"/>
              </w:rPr>
              <w:t>是否能纳入固定资产投资统计</w:t>
            </w:r>
            <w:r>
              <w:rPr>
                <w:rFonts w:hint="eastAsia" w:ascii="宋体" w:hAnsi="宋体" w:cs="宋体"/>
                <w:b/>
                <w:bCs/>
                <w:color w:val="000000"/>
                <w:kern w:val="0"/>
                <w:sz w:val="18"/>
                <w:szCs w:val="18"/>
              </w:rPr>
              <w:t>范围</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b/>
                <w:bCs/>
                <w:color w:val="000000"/>
                <w:kern w:val="0"/>
                <w:sz w:val="18"/>
                <w:szCs w:val="18"/>
              </w:rPr>
            </w:pPr>
            <w:r>
              <w:rPr>
                <w:rFonts w:hint="eastAsia" w:ascii="宋体" w:hAnsi="宋体"/>
                <w:color w:val="000000"/>
                <w:sz w:val="18"/>
                <w:szCs w:val="18"/>
              </w:rPr>
              <w:t>厂房、仓库、办公室、住宅、商店、学校、医院、俱乐部、食堂、招待所等房屋</w:t>
            </w:r>
            <w:r>
              <w:rPr>
                <w:rFonts w:ascii="宋体" w:hAnsi="宋体"/>
                <w:color w:val="000000"/>
                <w:sz w:val="18"/>
                <w:szCs w:val="18"/>
              </w:rPr>
              <w:t>建设</w:t>
            </w:r>
            <w:r>
              <w:rPr>
                <w:rFonts w:hint="eastAsia" w:ascii="宋体" w:hAnsi="宋体"/>
                <w:color w:val="000000"/>
                <w:sz w:val="18"/>
                <w:szCs w:val="18"/>
              </w:rPr>
              <w:t>支出</w:t>
            </w:r>
          </w:p>
        </w:tc>
        <w:tc>
          <w:tcPr>
            <w:tcW w:w="914" w:type="pct"/>
            <w:noWrap w:val="0"/>
            <w:vAlign w:val="top"/>
          </w:tcPr>
          <w:p>
            <w:pPr>
              <w:ind w:firstLine="360" w:firstLineChars="200"/>
              <w:jc w:val="center"/>
              <w:rPr>
                <w:rFonts w:ascii="宋体" w:hAnsi="宋体" w:cs="宋体"/>
                <w:b/>
                <w:bCs/>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生产、动力、起重、运输、传动和医疗等设备的安装和调试费用</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各种生产设备、传导设备、动力设备、运输设备、生产工具、仪器仪表等的购置支出以及在</w:t>
            </w:r>
            <w:r>
              <w:rPr>
                <w:rFonts w:ascii="宋体" w:hAnsi="宋体"/>
                <w:color w:val="000000"/>
                <w:sz w:val="18"/>
                <w:szCs w:val="18"/>
              </w:rPr>
              <w:t>项目建设</w:t>
            </w:r>
            <w:r>
              <w:rPr>
                <w:rFonts w:hint="eastAsia" w:ascii="宋体" w:hAnsi="宋体"/>
                <w:color w:val="000000"/>
                <w:sz w:val="18"/>
                <w:szCs w:val="18"/>
              </w:rPr>
              <w:t>内容</w:t>
            </w:r>
            <w:r>
              <w:rPr>
                <w:rFonts w:ascii="宋体" w:hAnsi="宋体"/>
                <w:color w:val="000000"/>
                <w:sz w:val="18"/>
                <w:szCs w:val="18"/>
              </w:rPr>
              <w:t>中</w:t>
            </w:r>
            <w:r>
              <w:rPr>
                <w:rFonts w:hint="eastAsia" w:ascii="宋体" w:hAnsi="宋体"/>
                <w:color w:val="000000"/>
                <w:sz w:val="18"/>
                <w:szCs w:val="18"/>
              </w:rPr>
              <w:t>用于支持设备运转的软件系统购置支出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项目管理人员的工资、贷款利息支出等</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项目可研费、勘察设计费、工程监理费、招标费、环评费等前期费用</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项目所属的专利权、采矿权支出、项目建设期利息支出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hint="eastAsia" w:ascii="宋体" w:hAnsi="宋体"/>
                <w:color w:val="000000"/>
                <w:sz w:val="18"/>
                <w:szCs w:val="18"/>
              </w:rPr>
            </w:pPr>
            <w:r>
              <w:rPr>
                <w:rFonts w:hint="eastAsia" w:ascii="宋体" w:hAnsi="宋体"/>
                <w:color w:val="000000"/>
                <w:sz w:val="18"/>
                <w:szCs w:val="18"/>
              </w:rPr>
              <w:t>项目建设用地费用（不含土地收储）</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olor w:val="000000"/>
                <w:sz w:val="18"/>
                <w:szCs w:val="18"/>
              </w:rPr>
            </w:pPr>
            <w:r>
              <w:rPr>
                <w:rFonts w:ascii="宋体" w:hAnsi="宋体"/>
                <w:color w:val="000000"/>
                <w:sz w:val="18"/>
                <w:szCs w:val="18"/>
              </w:rPr>
              <w:t>原有固定资产改扩建，如4车道扩为6车道或低等级道路升级为高等级公路</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olor w:val="000000"/>
                <w:sz w:val="18"/>
                <w:szCs w:val="18"/>
              </w:rPr>
            </w:pPr>
            <w:r>
              <w:rPr>
                <w:rFonts w:ascii="宋体" w:hAnsi="宋体"/>
                <w:color w:val="000000"/>
                <w:sz w:val="18"/>
                <w:szCs w:val="18"/>
              </w:rPr>
              <w:t>种畜、役畜和各种</w:t>
            </w:r>
            <w:r>
              <w:rPr>
                <w:rFonts w:hint="eastAsia" w:ascii="宋体" w:hAnsi="宋体"/>
                <w:color w:val="000000"/>
                <w:sz w:val="18"/>
                <w:szCs w:val="18"/>
              </w:rPr>
              <w:t>果树等</w:t>
            </w:r>
            <w:r>
              <w:rPr>
                <w:rFonts w:ascii="宋体" w:hAnsi="宋体"/>
                <w:color w:val="000000"/>
                <w:sz w:val="18"/>
                <w:szCs w:val="18"/>
              </w:rPr>
              <w:t>经济林木</w:t>
            </w:r>
            <w:r>
              <w:rPr>
                <w:rFonts w:hint="eastAsia" w:ascii="宋体" w:hAnsi="宋体"/>
                <w:color w:val="000000"/>
                <w:sz w:val="18"/>
                <w:szCs w:val="18"/>
              </w:rPr>
              <w:t>购置支出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olor w:val="000000"/>
                <w:sz w:val="18"/>
                <w:szCs w:val="18"/>
              </w:rPr>
            </w:pPr>
            <w:r>
              <w:rPr>
                <w:rFonts w:ascii="宋体" w:hAnsi="宋体"/>
                <w:color w:val="000000"/>
                <w:sz w:val="18"/>
                <w:szCs w:val="18"/>
              </w:rPr>
              <w:t>防风固沙林、水土保持林和水源涵养林</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olor w:val="000000"/>
                <w:sz w:val="18"/>
                <w:szCs w:val="18"/>
              </w:rPr>
            </w:pPr>
            <w:r>
              <w:rPr>
                <w:rFonts w:ascii="宋体" w:hAnsi="宋体"/>
                <w:color w:val="000000"/>
                <w:sz w:val="18"/>
                <w:szCs w:val="18"/>
              </w:rPr>
              <w:t>新建城市绿化或道路绿化项目中购置的苗木</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单纯土地平整、土地一级开发、围海造地等</w:t>
            </w:r>
            <w:r>
              <w:rPr>
                <w:rFonts w:hint="eastAsia" w:ascii="宋体" w:hAnsi="宋体" w:cs="宋体"/>
                <w:color w:val="000000"/>
                <w:kern w:val="0"/>
                <w:sz w:val="18"/>
                <w:szCs w:val="18"/>
              </w:rPr>
              <w:t>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流动资产</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办公耗材等低值易耗品</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股票（或股权）、期货、金融衍生产品、古玩字画、艺术品等投资品</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农作物、</w:t>
            </w:r>
            <w:r>
              <w:rPr>
                <w:rFonts w:hint="eastAsia" w:ascii="宋体" w:hAnsi="宋体" w:cs="宋体"/>
                <w:color w:val="000000"/>
                <w:kern w:val="0"/>
                <w:sz w:val="18"/>
                <w:szCs w:val="18"/>
              </w:rPr>
              <w:t>蔬菜、中药材、</w:t>
            </w:r>
            <w:r>
              <w:rPr>
                <w:rFonts w:ascii="宋体" w:hAnsi="宋体" w:cs="宋体"/>
                <w:color w:val="000000"/>
                <w:kern w:val="0"/>
                <w:sz w:val="18"/>
                <w:szCs w:val="18"/>
              </w:rPr>
              <w:t>花卉、存栏待售的牲畜等消耗性生物资产</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发放给农户的货币补贴</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hint="eastAsia" w:ascii="宋体" w:hAnsi="宋体" w:cs="宋体"/>
                <w:color w:val="000000"/>
                <w:kern w:val="0"/>
                <w:sz w:val="18"/>
                <w:szCs w:val="18"/>
              </w:rPr>
              <w:t>设备</w:t>
            </w:r>
            <w:r>
              <w:rPr>
                <w:rFonts w:ascii="宋体" w:hAnsi="宋体" w:cs="宋体"/>
                <w:color w:val="000000"/>
                <w:kern w:val="0"/>
                <w:sz w:val="18"/>
                <w:szCs w:val="18"/>
              </w:rPr>
              <w:t>大修理、</w:t>
            </w:r>
            <w:r>
              <w:rPr>
                <w:rFonts w:hint="eastAsia" w:ascii="宋体" w:hAnsi="宋体" w:cs="宋体"/>
                <w:color w:val="000000"/>
                <w:kern w:val="0"/>
                <w:sz w:val="18"/>
                <w:szCs w:val="18"/>
              </w:rPr>
              <w:t>道路等基础设施</w:t>
            </w:r>
            <w:r>
              <w:rPr>
                <w:rFonts w:ascii="宋体" w:hAnsi="宋体" w:cs="宋体"/>
                <w:color w:val="000000"/>
                <w:kern w:val="0"/>
                <w:sz w:val="18"/>
                <w:szCs w:val="18"/>
              </w:rPr>
              <w:t>养护维护工程</w:t>
            </w:r>
            <w:r>
              <w:rPr>
                <w:rFonts w:hint="eastAsia" w:ascii="宋体" w:hAnsi="宋体" w:cs="宋体"/>
                <w:color w:val="000000"/>
                <w:kern w:val="0"/>
                <w:sz w:val="18"/>
                <w:szCs w:val="18"/>
              </w:rPr>
              <w:t>、房屋建筑业维修工程、</w:t>
            </w:r>
            <w:r>
              <w:rPr>
                <w:rFonts w:hint="eastAsia" w:ascii="宋体" w:hAnsi="宋体"/>
                <w:color w:val="000000"/>
                <w:sz w:val="20"/>
                <w:szCs w:val="20"/>
              </w:rPr>
              <w:t>社区环境微改造工程</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单纯购置旧建筑物和旧设备</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经营租赁的固定资产</w:t>
            </w:r>
            <w:r>
              <w:rPr>
                <w:rFonts w:hint="eastAsia" w:ascii="宋体" w:hAnsi="宋体" w:cs="宋体"/>
                <w:color w:val="000000"/>
                <w:kern w:val="0"/>
                <w:sz w:val="18"/>
                <w:szCs w:val="18"/>
              </w:rPr>
              <w:t>的租金支出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086" w:type="pct"/>
            <w:noWrap w:val="0"/>
            <w:vAlign w:val="top"/>
          </w:tcPr>
          <w:p>
            <w:pPr>
              <w:ind w:firstLine="360" w:firstLineChars="200"/>
              <w:rPr>
                <w:rFonts w:ascii="宋体" w:hAnsi="宋体" w:cs="宋体"/>
                <w:color w:val="000000"/>
                <w:kern w:val="0"/>
                <w:sz w:val="18"/>
                <w:szCs w:val="18"/>
              </w:rPr>
            </w:pPr>
            <w:r>
              <w:rPr>
                <w:rFonts w:ascii="宋体" w:hAnsi="宋体" w:cs="宋体"/>
                <w:color w:val="000000"/>
                <w:kern w:val="0"/>
                <w:sz w:val="18"/>
                <w:szCs w:val="18"/>
              </w:rPr>
              <w:t>单位购置商品房</w:t>
            </w:r>
            <w:r>
              <w:rPr>
                <w:rFonts w:hint="eastAsia" w:ascii="宋体" w:hAnsi="宋体" w:cs="宋体"/>
                <w:color w:val="000000"/>
                <w:kern w:val="0"/>
                <w:sz w:val="18"/>
                <w:szCs w:val="18"/>
              </w:rPr>
              <w:t>支出</w:t>
            </w:r>
          </w:p>
        </w:tc>
        <w:tc>
          <w:tcPr>
            <w:tcW w:w="914" w:type="pct"/>
            <w:noWrap w:val="0"/>
            <w:vAlign w:val="top"/>
          </w:tcPr>
          <w:p>
            <w:pPr>
              <w:ind w:firstLine="360" w:firstLineChars="200"/>
              <w:jc w:val="center"/>
              <w:rPr>
                <w:rFonts w:ascii="宋体" w:hAnsi="宋体" w:cs="宋体"/>
                <w:color w:val="000000"/>
                <w:kern w:val="0"/>
                <w:sz w:val="18"/>
                <w:szCs w:val="18"/>
              </w:rPr>
            </w:pPr>
            <w:r>
              <w:rPr>
                <w:rFonts w:ascii="宋体" w:hAnsi="宋体" w:cs="宋体"/>
                <w:color w:val="000000"/>
                <w:kern w:val="0"/>
                <w:sz w:val="18"/>
                <w:szCs w:val="18"/>
              </w:rPr>
              <w:t>×</w:t>
            </w:r>
          </w:p>
        </w:tc>
      </w:tr>
    </w:tbl>
    <w:p>
      <w:pPr>
        <w:adjustRightInd w:val="0"/>
        <w:spacing w:line="360" w:lineRule="atLeast"/>
        <w:ind w:firstLine="413" w:firstLineChars="196"/>
        <w:rPr>
          <w:rFonts w:hint="eastAsia" w:ascii="宋体" w:hAnsi="宋体" w:cs="宋体"/>
          <w:color w:val="000000"/>
          <w:kern w:val="0"/>
          <w:szCs w:val="21"/>
        </w:rPr>
      </w:pPr>
      <w:r>
        <w:rPr>
          <w:rFonts w:hint="eastAsia" w:ascii="宋体" w:hAnsi="宋体" w:cs="宋体"/>
          <w:b/>
          <w:bCs/>
          <w:color w:val="000000"/>
          <w:kern w:val="0"/>
          <w:szCs w:val="21"/>
        </w:rPr>
        <w:t>部分领域固定资产投资填报应注意的问题:</w:t>
      </w:r>
    </w:p>
    <w:p>
      <w:pPr>
        <w:adjustRightInd w:val="0"/>
        <w:spacing w:line="360" w:lineRule="atLeast"/>
        <w:ind w:firstLine="420"/>
        <w:rPr>
          <w:rFonts w:hint="eastAsia" w:ascii="宋体" w:hAnsi="宋体" w:cs="宋体"/>
          <w:color w:val="000000"/>
          <w:kern w:val="0"/>
          <w:szCs w:val="21"/>
        </w:rPr>
      </w:pPr>
      <w:r>
        <w:rPr>
          <w:rFonts w:hint="eastAsia" w:ascii="宋体" w:hAnsi="宋体" w:cs="宋体"/>
          <w:color w:val="000000"/>
          <w:kern w:val="0"/>
          <w:szCs w:val="21"/>
        </w:rPr>
        <w:t>电信</w:t>
      </w:r>
      <w:r>
        <w:rPr>
          <w:rFonts w:ascii="宋体" w:hAnsi="宋体" w:cs="宋体"/>
          <w:color w:val="000000"/>
          <w:kern w:val="0"/>
          <w:szCs w:val="21"/>
        </w:rPr>
        <w:t>、</w:t>
      </w:r>
      <w:r>
        <w:rPr>
          <w:rFonts w:hint="eastAsia" w:ascii="宋体" w:hAnsi="宋体" w:cs="宋体"/>
          <w:color w:val="000000"/>
          <w:kern w:val="0"/>
          <w:szCs w:val="21"/>
        </w:rPr>
        <w:t>电力、燃气、市政、通信、交通、教育、</w:t>
      </w:r>
      <w:r>
        <w:rPr>
          <w:rFonts w:ascii="宋体" w:hAnsi="宋体" w:cs="宋体"/>
          <w:color w:val="000000"/>
          <w:kern w:val="0"/>
          <w:szCs w:val="21"/>
        </w:rPr>
        <w:t>农业</w:t>
      </w:r>
      <w:r>
        <w:rPr>
          <w:rFonts w:hint="eastAsia" w:ascii="宋体" w:hAnsi="宋体" w:cs="宋体"/>
          <w:color w:val="000000"/>
          <w:kern w:val="0"/>
          <w:szCs w:val="21"/>
        </w:rPr>
        <w:t>、卫生、水利等领域，存在一个建设项目包括多个建设内容相同、涉及多个行政区域项目的情况，在实际工作</w:t>
      </w:r>
      <w:r>
        <w:rPr>
          <w:rFonts w:ascii="宋体" w:hAnsi="宋体" w:cs="宋体"/>
          <w:color w:val="000000"/>
          <w:kern w:val="0"/>
          <w:szCs w:val="21"/>
        </w:rPr>
        <w:t>中，应遵循</w:t>
      </w:r>
      <w:r>
        <w:rPr>
          <w:rFonts w:hint="eastAsia" w:ascii="宋体" w:hAnsi="宋体" w:cs="宋体"/>
          <w:color w:val="000000"/>
          <w:kern w:val="0"/>
          <w:szCs w:val="21"/>
        </w:rPr>
        <w:t>不重不漏的原则进行报送。</w:t>
      </w:r>
    </w:p>
    <w:p>
      <w:pPr>
        <w:adjustRightInd w:val="0"/>
        <w:spacing w:line="360" w:lineRule="atLeast"/>
        <w:ind w:firstLine="420"/>
        <w:rPr>
          <w:rFonts w:hint="eastAsia" w:ascii="宋体" w:hAnsi="宋体" w:cs="宋体"/>
          <w:color w:val="000000"/>
          <w:kern w:val="0"/>
          <w:szCs w:val="21"/>
        </w:rPr>
      </w:pPr>
      <w:r>
        <w:rPr>
          <w:rFonts w:hint="eastAsia" w:ascii="宋体" w:hAnsi="宋体" w:cs="宋体"/>
          <w:color w:val="000000"/>
          <w:kern w:val="0"/>
          <w:szCs w:val="21"/>
        </w:rPr>
        <w:t>（1）依据发改等行业主管部门的批复、核准</w:t>
      </w:r>
      <w:r>
        <w:rPr>
          <w:rFonts w:ascii="宋体" w:hAnsi="宋体" w:cs="宋体"/>
          <w:color w:val="000000"/>
          <w:kern w:val="0"/>
          <w:szCs w:val="21"/>
        </w:rPr>
        <w:t>、备案文件</w:t>
      </w:r>
      <w:r>
        <w:rPr>
          <w:rFonts w:hint="eastAsia" w:ascii="宋体" w:hAnsi="宋体" w:cs="宋体"/>
          <w:color w:val="000000"/>
          <w:kern w:val="0"/>
          <w:szCs w:val="21"/>
        </w:rPr>
        <w:t>（投资项目在线监管平台登记信息）或规划文件填报，一个文件只能作为一个投资项目的报送依据，由立项单位负责统计。</w:t>
      </w:r>
    </w:p>
    <w:p>
      <w:pPr>
        <w:adjustRightInd w:val="0"/>
        <w:spacing w:line="360" w:lineRule="atLeast"/>
        <w:ind w:firstLine="420"/>
        <w:rPr>
          <w:rFonts w:hint="eastAsia" w:ascii="宋体" w:hAnsi="宋体" w:cs="宋体"/>
          <w:color w:val="000000"/>
          <w:kern w:val="0"/>
          <w:szCs w:val="21"/>
        </w:rPr>
      </w:pPr>
      <w:r>
        <w:rPr>
          <w:rFonts w:hint="eastAsia" w:ascii="宋体" w:hAnsi="宋体" w:cs="宋体"/>
          <w:color w:val="000000"/>
          <w:kern w:val="0"/>
          <w:szCs w:val="21"/>
        </w:rPr>
        <w:t>（2）不得</w:t>
      </w:r>
      <w:r>
        <w:rPr>
          <w:rFonts w:ascii="宋体" w:hAnsi="宋体" w:cs="宋体"/>
          <w:color w:val="000000"/>
          <w:kern w:val="0"/>
          <w:szCs w:val="21"/>
        </w:rPr>
        <w:t>人为</w:t>
      </w:r>
      <w:r>
        <w:rPr>
          <w:rFonts w:hint="eastAsia" w:ascii="宋体" w:hAnsi="宋体" w:cs="宋体"/>
          <w:color w:val="000000"/>
          <w:kern w:val="0"/>
          <w:szCs w:val="21"/>
        </w:rPr>
        <w:t>合并</w:t>
      </w:r>
      <w:r>
        <w:rPr>
          <w:rFonts w:ascii="宋体" w:hAnsi="宋体" w:cs="宋体"/>
          <w:color w:val="000000"/>
          <w:kern w:val="0"/>
          <w:szCs w:val="21"/>
        </w:rPr>
        <w:t>项目</w:t>
      </w:r>
      <w:r>
        <w:rPr>
          <w:rFonts w:hint="eastAsia" w:ascii="宋体" w:hAnsi="宋体" w:cs="宋体"/>
          <w:color w:val="000000"/>
          <w:kern w:val="0"/>
          <w:szCs w:val="21"/>
        </w:rPr>
        <w:t>报送</w:t>
      </w:r>
      <w:r>
        <w:rPr>
          <w:rFonts w:ascii="宋体" w:hAnsi="宋体" w:cs="宋体"/>
          <w:color w:val="000000"/>
          <w:kern w:val="0"/>
          <w:szCs w:val="21"/>
        </w:rPr>
        <w:t>。</w:t>
      </w:r>
      <w:r>
        <w:rPr>
          <w:rFonts w:hint="eastAsia" w:ascii="宋体" w:hAnsi="宋体" w:cs="宋体"/>
          <w:color w:val="000000"/>
          <w:kern w:val="0"/>
          <w:szCs w:val="21"/>
        </w:rPr>
        <w:t>有单独批复、核准</w:t>
      </w:r>
      <w:r>
        <w:rPr>
          <w:rFonts w:ascii="宋体" w:hAnsi="宋体" w:cs="宋体"/>
          <w:color w:val="000000"/>
          <w:kern w:val="0"/>
          <w:szCs w:val="21"/>
        </w:rPr>
        <w:t>、备案</w:t>
      </w:r>
      <w:r>
        <w:rPr>
          <w:rFonts w:hint="eastAsia" w:ascii="宋体" w:hAnsi="宋体" w:cs="宋体"/>
          <w:color w:val="000000"/>
          <w:kern w:val="0"/>
          <w:szCs w:val="21"/>
        </w:rPr>
        <w:t>或规划文件但未达到500万元标准的投资项目，不能与</w:t>
      </w:r>
      <w:r>
        <w:rPr>
          <w:rFonts w:ascii="宋体" w:hAnsi="宋体" w:cs="宋体"/>
          <w:color w:val="000000"/>
          <w:kern w:val="0"/>
          <w:szCs w:val="21"/>
        </w:rPr>
        <w:t>其它项目合并</w:t>
      </w:r>
      <w:r>
        <w:rPr>
          <w:rFonts w:hint="eastAsia" w:ascii="宋体" w:hAnsi="宋体" w:cs="宋体"/>
          <w:color w:val="000000"/>
          <w:kern w:val="0"/>
          <w:szCs w:val="21"/>
        </w:rPr>
        <w:t>纳入500万元以上固定资产投资项目统计。</w:t>
      </w:r>
    </w:p>
    <w:p>
      <w:pPr>
        <w:adjustRightInd w:val="0"/>
        <w:spacing w:line="360" w:lineRule="atLeast"/>
        <w:ind w:firstLine="420"/>
        <w:rPr>
          <w:rFonts w:hint="eastAsia" w:ascii="宋体" w:hAnsi="宋体" w:cs="宋体"/>
          <w:color w:val="000000"/>
          <w:kern w:val="0"/>
          <w:szCs w:val="21"/>
        </w:rPr>
      </w:pPr>
      <w:r>
        <w:rPr>
          <w:rFonts w:hint="eastAsia" w:ascii="宋体" w:hAnsi="宋体" w:cs="宋体"/>
          <w:color w:val="000000"/>
          <w:kern w:val="0"/>
          <w:szCs w:val="21"/>
        </w:rPr>
        <w:t>（3）各级统计部门要加强对该类项目入库</w:t>
      </w:r>
      <w:r>
        <w:rPr>
          <w:rFonts w:ascii="宋体" w:hAnsi="宋体" w:cs="宋体"/>
          <w:color w:val="000000"/>
          <w:kern w:val="0"/>
          <w:szCs w:val="21"/>
        </w:rPr>
        <w:t>及数据</w:t>
      </w:r>
      <w:r>
        <w:rPr>
          <w:rFonts w:hint="eastAsia" w:ascii="宋体" w:hAnsi="宋体" w:cs="宋体"/>
          <w:color w:val="000000"/>
          <w:kern w:val="0"/>
          <w:szCs w:val="21"/>
        </w:rPr>
        <w:t>质量的审核</w:t>
      </w:r>
      <w:r>
        <w:rPr>
          <w:rFonts w:ascii="宋体" w:hAnsi="宋体" w:cs="宋体"/>
          <w:color w:val="000000"/>
          <w:kern w:val="0"/>
          <w:szCs w:val="21"/>
        </w:rPr>
        <w:t>。</w:t>
      </w:r>
    </w:p>
    <w:p>
      <w:pPr>
        <w:adjustRightInd w:val="0"/>
        <w:spacing w:line="360" w:lineRule="atLeast"/>
        <w:ind w:firstLine="421" w:firstLineChars="200"/>
        <w:rPr>
          <w:rFonts w:hint="eastAsia" w:ascii="宋体" w:hAnsi="宋体" w:cs="宋体"/>
          <w:b/>
          <w:bCs/>
          <w:color w:val="000000"/>
          <w:kern w:val="0"/>
          <w:szCs w:val="21"/>
        </w:rPr>
      </w:pPr>
      <w:r>
        <w:rPr>
          <w:rFonts w:hint="eastAsia" w:ascii="宋体" w:hAnsi="宋体" w:cs="宋体"/>
          <w:b/>
          <w:bCs/>
          <w:color w:val="000000"/>
          <w:kern w:val="0"/>
          <w:szCs w:val="21"/>
        </w:rPr>
        <w:t>单纯设备购置项目填报应注意的问题:</w:t>
      </w:r>
    </w:p>
    <w:p>
      <w:pPr>
        <w:adjustRightInd w:val="0"/>
        <w:spacing w:line="360" w:lineRule="atLeast"/>
        <w:ind w:firstLine="420" w:firstLineChars="200"/>
        <w:rPr>
          <w:rFonts w:ascii="黑体" w:hAnsi="黑体" w:eastAsia="黑体" w:cs="宋体"/>
          <w:color w:val="000000"/>
          <w:kern w:val="0"/>
          <w:szCs w:val="21"/>
        </w:rPr>
      </w:pPr>
      <w:r>
        <w:rPr>
          <w:rFonts w:hint="eastAsia" w:ascii="宋体" w:hAnsi="宋体" w:cs="宋体"/>
          <w:color w:val="000000"/>
          <w:kern w:val="0"/>
          <w:szCs w:val="21"/>
        </w:rPr>
        <w:t>部分调查单位的单纯设备购置在年初没有统一计划，且在年内分批多次实施，如果在报告期内达到500万元的报送标准，可在当月纳入统计范围。</w:t>
      </w:r>
    </w:p>
    <w:p>
      <w:pPr>
        <w:adjustRightInd w:val="0"/>
        <w:spacing w:line="360" w:lineRule="atLeast"/>
        <w:ind w:firstLine="420" w:firstLineChars="200"/>
        <w:rPr>
          <w:rFonts w:hint="eastAsia" w:ascii="宋体" w:hAnsi="宋体" w:cs="宋体"/>
          <w:color w:val="000000"/>
          <w:kern w:val="0"/>
          <w:szCs w:val="21"/>
        </w:rPr>
      </w:pPr>
      <w:r>
        <w:rPr>
          <w:rFonts w:hint="eastAsia" w:ascii="黑体" w:hAnsi="黑体" w:eastAsia="黑体" w:cs="宋体"/>
          <w:color w:val="000000"/>
          <w:kern w:val="0"/>
          <w:szCs w:val="21"/>
        </w:rPr>
        <w:t>民间固定资产投资</w:t>
      </w:r>
      <w:r>
        <w:rPr>
          <w:rFonts w:hint="eastAsia" w:ascii="宋体" w:hAnsi="宋体" w:cs="宋体"/>
          <w:color w:val="000000"/>
          <w:kern w:val="0"/>
          <w:szCs w:val="21"/>
        </w:rPr>
        <w:t xml:space="preserve">  指具有集体、私营、个人性质的内资调查单位以及由其控股（包括绝对控股和相对控股）的调查单位在中华人民共和国境内建造或购置固定资产的投资。 </w:t>
      </w:r>
    </w:p>
    <w:p>
      <w:pPr>
        <w:adjustRightInd w:val="0"/>
        <w:spacing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民间固定资产投资统计范围根据固定资产投资项目单位的市场主体登记注册类型和控股情况来确定，包括：</w:t>
      </w:r>
    </w:p>
    <w:p>
      <w:pPr>
        <w:adjustRightInd w:val="0"/>
        <w:spacing w:line="360" w:lineRule="atLeast"/>
        <w:ind w:firstLine="420" w:firstLineChars="200"/>
        <w:rPr>
          <w:rFonts w:hint="eastAsia" w:ascii="仿宋_GB2312" w:eastAsia="仿宋_GB2312"/>
          <w:color w:val="000000"/>
          <w:spacing w:val="8"/>
          <w:sz w:val="30"/>
          <w:szCs w:val="30"/>
        </w:rPr>
      </w:pPr>
      <w:r>
        <w:rPr>
          <w:rFonts w:hint="eastAsia" w:ascii="宋体" w:hAnsi="宋体" w:cs="宋体"/>
          <w:color w:val="000000"/>
          <w:kern w:val="0"/>
          <w:szCs w:val="21"/>
        </w:rPr>
        <w:t>（1）市场</w:t>
      </w:r>
      <w:r>
        <w:rPr>
          <w:rFonts w:ascii="宋体" w:hAnsi="宋体" w:cs="宋体"/>
          <w:color w:val="000000"/>
          <w:kern w:val="0"/>
          <w:szCs w:val="21"/>
        </w:rPr>
        <w:t>主体</w:t>
      </w:r>
      <w:r>
        <w:rPr>
          <w:rFonts w:hint="eastAsia" w:ascii="宋体" w:hAnsi="宋体" w:cs="宋体"/>
          <w:color w:val="000000"/>
          <w:kern w:val="0"/>
          <w:szCs w:val="21"/>
        </w:rPr>
        <w:t>登记注册的集体、股份合作、私营独资、私营合伙、私营有限责任公司、个体户、个人合伙等纯民间主体的固定资产投资；</w:t>
      </w:r>
    </w:p>
    <w:p>
      <w:pPr>
        <w:adjustRightInd w:val="0"/>
        <w:spacing w:line="360" w:lineRule="atLeast"/>
        <w:ind w:firstLine="420" w:firstLineChars="200"/>
        <w:rPr>
          <w:rFonts w:hint="eastAsia" w:ascii="宋体" w:hAnsi="宋体" w:cs="宋体"/>
          <w:color w:val="000000"/>
          <w:spacing w:val="-4"/>
          <w:kern w:val="0"/>
          <w:szCs w:val="21"/>
        </w:rPr>
      </w:pPr>
      <w:r>
        <w:rPr>
          <w:rFonts w:hint="eastAsia" w:ascii="宋体" w:hAnsi="宋体" w:cs="宋体"/>
          <w:color w:val="000000"/>
          <w:kern w:val="0"/>
          <w:szCs w:val="21"/>
        </w:rPr>
        <w:t>（2）</w:t>
      </w:r>
      <w:r>
        <w:rPr>
          <w:rFonts w:hint="eastAsia" w:ascii="宋体" w:hAnsi="宋体" w:cs="宋体"/>
          <w:color w:val="000000"/>
          <w:spacing w:val="-4"/>
          <w:kern w:val="0"/>
          <w:szCs w:val="21"/>
        </w:rPr>
        <w:t>市场</w:t>
      </w:r>
      <w:r>
        <w:rPr>
          <w:rFonts w:ascii="宋体" w:hAnsi="宋体" w:cs="宋体"/>
          <w:color w:val="000000"/>
          <w:spacing w:val="-4"/>
          <w:kern w:val="0"/>
          <w:szCs w:val="21"/>
        </w:rPr>
        <w:t>主体</w:t>
      </w:r>
      <w:r>
        <w:rPr>
          <w:rFonts w:hint="eastAsia" w:ascii="宋体" w:hAnsi="宋体" w:cs="宋体"/>
          <w:color w:val="000000"/>
          <w:spacing w:val="-4"/>
          <w:kern w:val="0"/>
          <w:szCs w:val="21"/>
        </w:rPr>
        <w:t>登记注册的混合经济成分中由集体、私营、个人控股的投资主体单位的全部固定资产投资。</w:t>
      </w:r>
    </w:p>
    <w:p>
      <w:pPr>
        <w:spacing w:after="156" w:afterLines="50" w:line="360" w:lineRule="atLeast"/>
        <w:ind w:firstLine="420" w:firstLineChars="200"/>
        <w:rPr>
          <w:rFonts w:hint="eastAsia" w:ascii="宋体" w:hAnsi="宋体" w:cs="宋体"/>
          <w:color w:val="000000"/>
          <w:kern w:val="0"/>
          <w:szCs w:val="21"/>
        </w:rPr>
      </w:pPr>
      <w:r>
        <w:rPr>
          <w:rFonts w:hint="eastAsia" w:ascii="宋体" w:hAnsi="宋体" w:cs="宋体"/>
          <w:color w:val="000000"/>
          <w:kern w:val="0"/>
          <w:szCs w:val="21"/>
        </w:rPr>
        <w:t>民间固定资产投资主体划分如下：</w:t>
      </w:r>
    </w:p>
    <w:tbl>
      <w:tblPr>
        <w:tblStyle w:val="17"/>
        <w:tblW w:w="0" w:type="auto"/>
        <w:tblInd w:w="122"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703"/>
        <w:gridCol w:w="4704"/>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4703" w:type="dxa"/>
            <w:noWrap w:val="0"/>
            <w:vAlign w:val="center"/>
          </w:tcPr>
          <w:p>
            <w:pPr>
              <w:widowControl/>
              <w:spacing w:line="240" w:lineRule="exact"/>
              <w:jc w:val="center"/>
              <w:rPr>
                <w:rFonts w:ascii="宋体" w:hAnsi="宋体" w:cs="宋体"/>
                <w:b/>
                <w:bCs/>
                <w:color w:val="000000"/>
                <w:kern w:val="0"/>
                <w:sz w:val="18"/>
                <w:szCs w:val="18"/>
              </w:rPr>
            </w:pPr>
            <w:r>
              <w:rPr>
                <w:rFonts w:hint="eastAsia" w:ascii="宋体" w:hAnsi="宋体" w:cs="宋体"/>
                <w:b/>
                <w:bCs/>
                <w:color w:val="000000"/>
                <w:kern w:val="0"/>
                <w:sz w:val="18"/>
                <w:szCs w:val="18"/>
              </w:rPr>
              <w:t>纯民间固定资产投资主体</w:t>
            </w:r>
          </w:p>
        </w:tc>
        <w:tc>
          <w:tcPr>
            <w:tcW w:w="4704" w:type="dxa"/>
            <w:noWrap w:val="0"/>
            <w:vAlign w:val="center"/>
          </w:tcPr>
          <w:p>
            <w:pPr>
              <w:spacing w:line="240" w:lineRule="exact"/>
              <w:ind w:firstLine="361" w:firstLineChars="200"/>
              <w:jc w:val="center"/>
              <w:rPr>
                <w:rFonts w:ascii="宋体" w:hAnsi="宋体" w:cs="宋体"/>
                <w:b/>
                <w:color w:val="000000"/>
                <w:kern w:val="0"/>
                <w:sz w:val="18"/>
                <w:szCs w:val="18"/>
              </w:rPr>
            </w:pPr>
            <w:r>
              <w:rPr>
                <w:rFonts w:hint="eastAsia" w:ascii="宋体" w:hAnsi="宋体" w:cs="宋体"/>
                <w:b/>
                <w:color w:val="000000"/>
                <w:kern w:val="0"/>
                <w:sz w:val="18"/>
                <w:szCs w:val="18"/>
              </w:rPr>
              <w:t>混合经济投资主体</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kern w:val="0"/>
                <w:sz w:val="18"/>
                <w:szCs w:val="18"/>
              </w:rPr>
            </w:pPr>
            <w:r>
              <w:rPr>
                <w:rFonts w:hint="eastAsia" w:ascii="宋体" w:hAnsi="宋体" w:cs="宋体"/>
                <w:color w:val="000000"/>
                <w:spacing w:val="-4"/>
                <w:kern w:val="0"/>
                <w:sz w:val="18"/>
                <w:szCs w:val="18"/>
              </w:rPr>
              <w:t xml:space="preserve">112 </w:t>
            </w:r>
            <w:r>
              <w:rPr>
                <w:rFonts w:hint="eastAsia" w:ascii="宋体" w:hAnsi="宋体" w:cs="宋体"/>
                <w:color w:val="000000"/>
                <w:spacing w:val="-4"/>
                <w:kern w:val="0"/>
                <w:sz w:val="18"/>
                <w:szCs w:val="18"/>
                <w:lang w:bidi="ar"/>
              </w:rPr>
              <w:t>私营有限责任公司</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119 </w:t>
            </w:r>
            <w:r>
              <w:rPr>
                <w:rFonts w:hint="eastAsia" w:ascii="宋体" w:hAnsi="宋体" w:cs="宋体"/>
                <w:color w:val="000000"/>
                <w:spacing w:val="-4"/>
                <w:kern w:val="0"/>
                <w:sz w:val="18"/>
                <w:szCs w:val="18"/>
                <w:lang w:bidi="ar"/>
              </w:rPr>
              <w:t>其他有限责任公司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132 </w:t>
            </w:r>
            <w:r>
              <w:rPr>
                <w:rFonts w:hint="eastAsia" w:ascii="宋体" w:hAnsi="宋体" w:cs="宋体"/>
                <w:color w:val="000000"/>
                <w:spacing w:val="-4"/>
                <w:kern w:val="0"/>
                <w:sz w:val="18"/>
                <w:szCs w:val="18"/>
                <w:lang w:bidi="ar"/>
              </w:rPr>
              <w:t>集体所有制企业(集体企业)</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121 </w:t>
            </w:r>
            <w:r>
              <w:rPr>
                <w:rFonts w:hint="eastAsia" w:ascii="宋体" w:hAnsi="宋体" w:cs="宋体"/>
                <w:color w:val="000000"/>
                <w:spacing w:val="-4"/>
                <w:kern w:val="0"/>
                <w:sz w:val="18"/>
                <w:szCs w:val="18"/>
                <w:lang w:bidi="ar"/>
              </w:rPr>
              <w:t>私营股份有限公司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133 股份合作企业</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129 </w:t>
            </w:r>
            <w:r>
              <w:rPr>
                <w:rFonts w:hint="eastAsia" w:ascii="宋体" w:hAnsi="宋体" w:cs="宋体"/>
                <w:color w:val="000000"/>
                <w:spacing w:val="-4"/>
                <w:kern w:val="0"/>
                <w:sz w:val="18"/>
                <w:szCs w:val="18"/>
                <w:lang w:bidi="ar"/>
              </w:rPr>
              <w:t>其他股份有限公司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134 </w:t>
            </w:r>
            <w:r>
              <w:rPr>
                <w:rFonts w:hint="eastAsia" w:ascii="宋体" w:hAnsi="宋体" w:cs="宋体"/>
                <w:color w:val="000000"/>
                <w:spacing w:val="-4"/>
                <w:kern w:val="0"/>
                <w:sz w:val="18"/>
                <w:szCs w:val="18"/>
                <w:lang w:bidi="ar"/>
              </w:rPr>
              <w:t>联营企业</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150 </w:t>
            </w:r>
            <w:r>
              <w:rPr>
                <w:rFonts w:hint="eastAsia" w:ascii="宋体" w:hAnsi="宋体" w:cs="宋体"/>
                <w:color w:val="000000"/>
                <w:spacing w:val="-4"/>
                <w:kern w:val="0"/>
                <w:sz w:val="18"/>
                <w:szCs w:val="18"/>
                <w:lang w:bidi="ar"/>
              </w:rPr>
              <w:t>合伙企业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140 </w:t>
            </w:r>
            <w:r>
              <w:rPr>
                <w:rFonts w:hint="eastAsia" w:ascii="宋体" w:hAnsi="宋体" w:cs="宋体"/>
                <w:color w:val="000000"/>
                <w:spacing w:val="-4"/>
                <w:kern w:val="0"/>
                <w:sz w:val="18"/>
                <w:szCs w:val="18"/>
                <w:lang w:bidi="ar"/>
              </w:rPr>
              <w:t>个人独资企业</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210 </w:t>
            </w:r>
            <w:r>
              <w:rPr>
                <w:rFonts w:hint="eastAsia" w:ascii="宋体" w:hAnsi="宋体" w:cs="宋体"/>
                <w:color w:val="000000"/>
                <w:spacing w:val="-4"/>
                <w:kern w:val="0"/>
                <w:sz w:val="18"/>
                <w:szCs w:val="18"/>
                <w:lang w:bidi="ar"/>
              </w:rPr>
              <w:t>港澳台投资有限责任公司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190 </w:t>
            </w:r>
            <w:r>
              <w:rPr>
                <w:rFonts w:hint="eastAsia" w:ascii="宋体" w:hAnsi="宋体" w:cs="宋体"/>
                <w:color w:val="000000"/>
                <w:spacing w:val="-4"/>
                <w:kern w:val="0"/>
                <w:sz w:val="18"/>
                <w:szCs w:val="18"/>
                <w:lang w:bidi="ar"/>
              </w:rPr>
              <w:t>其他内资企业</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220 </w:t>
            </w:r>
            <w:r>
              <w:rPr>
                <w:rFonts w:hint="eastAsia" w:ascii="宋体" w:hAnsi="宋体" w:cs="宋体"/>
                <w:color w:val="000000"/>
                <w:spacing w:val="-4"/>
                <w:kern w:val="0"/>
                <w:sz w:val="18"/>
                <w:szCs w:val="18"/>
                <w:lang w:bidi="ar"/>
              </w:rPr>
              <w:t>港澳台投资股份有限公司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400 </w:t>
            </w:r>
            <w:r>
              <w:rPr>
                <w:rFonts w:hint="eastAsia" w:ascii="宋体" w:hAnsi="宋体" w:cs="宋体"/>
                <w:color w:val="000000"/>
                <w:spacing w:val="-4"/>
                <w:kern w:val="0"/>
                <w:sz w:val="18"/>
                <w:szCs w:val="18"/>
                <w:lang w:bidi="ar"/>
              </w:rPr>
              <w:t>农民专业合作社（联合社）</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230 </w:t>
            </w:r>
            <w:r>
              <w:rPr>
                <w:rFonts w:hint="eastAsia" w:ascii="宋体" w:hAnsi="宋体" w:cs="宋体"/>
                <w:color w:val="000000"/>
                <w:spacing w:val="-4"/>
                <w:kern w:val="0"/>
                <w:sz w:val="18"/>
                <w:szCs w:val="18"/>
                <w:lang w:bidi="ar"/>
              </w:rPr>
              <w:t>港澳台投资合伙企业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500 </w:t>
            </w:r>
            <w:r>
              <w:rPr>
                <w:rFonts w:hint="eastAsia" w:ascii="宋体" w:hAnsi="宋体" w:cs="宋体"/>
                <w:color w:val="000000"/>
                <w:spacing w:val="-4"/>
                <w:kern w:val="0"/>
                <w:sz w:val="18"/>
                <w:szCs w:val="18"/>
                <w:lang w:bidi="ar"/>
              </w:rPr>
              <w:t>个体工商户</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290 其他港澳台商投资企业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900 </w:t>
            </w:r>
            <w:r>
              <w:rPr>
                <w:rFonts w:hint="eastAsia" w:ascii="宋体" w:hAnsi="宋体" w:cs="宋体"/>
                <w:color w:val="000000"/>
                <w:spacing w:val="-4"/>
                <w:kern w:val="0"/>
                <w:sz w:val="18"/>
                <w:szCs w:val="18"/>
                <w:lang w:bidi="ar"/>
              </w:rPr>
              <w:t>其他市场主体</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310 </w:t>
            </w:r>
            <w:r>
              <w:rPr>
                <w:rFonts w:hint="eastAsia" w:ascii="宋体" w:hAnsi="宋体" w:cs="宋体"/>
                <w:color w:val="000000"/>
                <w:spacing w:val="-4"/>
                <w:kern w:val="0"/>
                <w:sz w:val="18"/>
                <w:szCs w:val="18"/>
                <w:lang w:bidi="ar"/>
              </w:rPr>
              <w:t>外商投资有限责任公司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97" w:firstLineChars="165"/>
              <w:rPr>
                <w:rFonts w:hint="eastAsia" w:ascii="宋体" w:hAnsi="宋体" w:cs="宋体"/>
                <w:color w:val="000000"/>
                <w:kern w:val="0"/>
                <w:sz w:val="18"/>
                <w:szCs w:val="18"/>
              </w:rPr>
            </w:pP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320</w:t>
            </w:r>
            <w:r>
              <w:rPr>
                <w:rFonts w:hint="eastAsia" w:ascii="宋体" w:hAnsi="宋体" w:cs="宋体"/>
                <w:color w:val="000000"/>
                <w:spacing w:val="-4"/>
                <w:kern w:val="0"/>
                <w:sz w:val="18"/>
                <w:szCs w:val="18"/>
                <w:lang w:bidi="ar"/>
              </w:rPr>
              <w:t>外商投资股份有限公司</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97" w:firstLineChars="165"/>
              <w:rPr>
                <w:rFonts w:hint="eastAsia" w:ascii="宋体" w:hAnsi="宋体" w:cs="宋体"/>
                <w:color w:val="000000"/>
                <w:kern w:val="0"/>
                <w:sz w:val="18"/>
                <w:szCs w:val="18"/>
              </w:rPr>
            </w:pP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 xml:space="preserve">330 </w:t>
            </w:r>
            <w:r>
              <w:rPr>
                <w:rFonts w:hint="eastAsia" w:ascii="宋体" w:hAnsi="宋体" w:cs="宋体"/>
                <w:color w:val="000000"/>
                <w:spacing w:val="-4"/>
                <w:kern w:val="0"/>
                <w:sz w:val="18"/>
                <w:szCs w:val="18"/>
                <w:lang w:bidi="ar"/>
              </w:rPr>
              <w:t>外商投资合伙企业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03" w:type="dxa"/>
            <w:noWrap w:val="0"/>
            <w:vAlign w:val="center"/>
          </w:tcPr>
          <w:p>
            <w:pPr>
              <w:widowControl/>
              <w:spacing w:line="240" w:lineRule="exact"/>
              <w:ind w:firstLine="297" w:firstLineChars="165"/>
              <w:rPr>
                <w:rFonts w:hint="eastAsia" w:ascii="宋体" w:hAnsi="宋体" w:cs="宋体"/>
                <w:color w:val="000000"/>
                <w:kern w:val="0"/>
                <w:sz w:val="18"/>
                <w:szCs w:val="18"/>
              </w:rPr>
            </w:pPr>
            <w:r>
              <w:rPr>
                <w:rFonts w:hint="eastAsia" w:ascii="宋体" w:hAnsi="宋体" w:cs="宋体"/>
                <w:color w:val="000000"/>
                <w:kern w:val="0"/>
                <w:sz w:val="18"/>
                <w:szCs w:val="18"/>
              </w:rPr>
              <w:t>　</w:t>
            </w:r>
          </w:p>
        </w:tc>
        <w:tc>
          <w:tcPr>
            <w:tcW w:w="4704" w:type="dxa"/>
            <w:noWrap w:val="0"/>
            <w:vAlign w:val="center"/>
          </w:tcPr>
          <w:p>
            <w:pPr>
              <w:widowControl/>
              <w:spacing w:line="240" w:lineRule="exact"/>
              <w:ind w:firstLine="283" w:firstLineChars="165"/>
              <w:rPr>
                <w:rFonts w:hint="eastAsia" w:ascii="宋体" w:hAnsi="宋体" w:cs="宋体"/>
                <w:color w:val="000000"/>
                <w:spacing w:val="-4"/>
                <w:kern w:val="0"/>
                <w:sz w:val="18"/>
                <w:szCs w:val="18"/>
              </w:rPr>
            </w:pPr>
            <w:r>
              <w:rPr>
                <w:rFonts w:hint="eastAsia" w:ascii="宋体" w:hAnsi="宋体" w:cs="宋体"/>
                <w:color w:val="000000"/>
                <w:spacing w:val="-4"/>
                <w:kern w:val="0"/>
                <w:sz w:val="18"/>
                <w:szCs w:val="18"/>
              </w:rPr>
              <w:t>390 其他外商投资企业</w:t>
            </w:r>
          </w:p>
        </w:tc>
      </w:tr>
    </w:tbl>
    <w:p>
      <w:pPr>
        <w:ind w:firstLine="360" w:firstLineChars="200"/>
        <w:jc w:val="left"/>
        <w:rPr>
          <w:rFonts w:hint="eastAsia" w:ascii="宋体" w:hAnsi="宋体" w:cs="宋体"/>
          <w:color w:val="000000"/>
          <w:kern w:val="0"/>
          <w:sz w:val="18"/>
          <w:szCs w:val="18"/>
        </w:rPr>
      </w:pPr>
      <w:r>
        <w:rPr>
          <w:rFonts w:hint="eastAsia" w:ascii="宋体" w:hAnsi="宋体"/>
          <w:color w:val="000000"/>
          <w:sz w:val="18"/>
          <w:szCs w:val="18"/>
        </w:rPr>
        <w:t>注：</w:t>
      </w:r>
      <w:r>
        <w:rPr>
          <w:rFonts w:hint="eastAsia" w:ascii="宋体" w:hAnsi="宋体" w:cs="宋体"/>
          <w:color w:val="000000"/>
          <w:kern w:val="0"/>
          <w:sz w:val="18"/>
          <w:szCs w:val="18"/>
        </w:rPr>
        <w:t>混合经济投资主体是否属于民间固定资产投资主体需根据统计报表中填报的控股情况确定。</w:t>
      </w:r>
    </w:p>
    <w:p>
      <w:pPr>
        <w:adjustRightInd w:val="0"/>
        <w:spacing w:after="156" w:afterLines="50" w:line="360" w:lineRule="exact"/>
        <w:ind w:firstLine="420" w:firstLineChars="200"/>
        <w:rPr>
          <w:rFonts w:ascii="宋体" w:hAnsi="宋体"/>
          <w:color w:val="000000"/>
          <w:spacing w:val="-3"/>
          <w:szCs w:val="21"/>
        </w:rPr>
      </w:pPr>
      <w:r>
        <w:rPr>
          <w:rFonts w:hint="eastAsia" w:ascii="黑体" w:eastAsia="黑体"/>
          <w:color w:val="000000"/>
        </w:rPr>
        <w:t xml:space="preserve">基础设施投资  </w:t>
      </w:r>
      <w:r>
        <w:rPr>
          <w:rFonts w:hint="eastAsia" w:ascii="宋体" w:hAnsi="宋体"/>
          <w:color w:val="000000"/>
          <w:spacing w:val="-3"/>
          <w:szCs w:val="21"/>
        </w:rPr>
        <w:t>指为</w:t>
      </w:r>
      <w:r>
        <w:rPr>
          <w:rFonts w:hint="eastAsia" w:ascii="宋体" w:hAnsi="宋体"/>
          <w:color w:val="000000"/>
          <w:spacing w:val="-3"/>
          <w:szCs w:val="21"/>
          <w:u w:val="none"/>
        </w:rPr>
        <w:t>社会</w:t>
      </w:r>
      <w:r>
        <w:rPr>
          <w:rFonts w:hint="eastAsia" w:ascii="宋体" w:hAnsi="宋体"/>
          <w:color w:val="000000"/>
          <w:spacing w:val="-3"/>
          <w:szCs w:val="21"/>
        </w:rPr>
        <w:t>生产和生活提供基础性、大众性服务的工程和设施，是社会赖以生存和发展的基本条件。一般包括以下几个方面的内容：1.公共设施，如电力、电信、自来水、管道煤气、卫生设施、排污、固体废弃物的收集与处理；2.公共工程，如大坝、灌溉及排水用的渠道工程；3.交通运输设施，如公路、铁路、港口、机场、水路。按我国国民经济行业分类，具体包括下列行业：</w:t>
      </w:r>
    </w:p>
    <w:tbl>
      <w:tblPr>
        <w:tblStyle w:val="17"/>
        <w:tblW w:w="0" w:type="auto"/>
        <w:tblInd w:w="108"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710"/>
        <w:gridCol w:w="4711"/>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4710" w:type="dxa"/>
            <w:noWrap w:val="0"/>
            <w:vAlign w:val="center"/>
          </w:tcPr>
          <w:p>
            <w:pPr>
              <w:jc w:val="center"/>
              <w:rPr>
                <w:rFonts w:hint="eastAsia" w:ascii="宋体" w:hAnsi="宋体" w:cs="宋体"/>
                <w:b/>
                <w:color w:val="000000"/>
                <w:kern w:val="0"/>
                <w:sz w:val="18"/>
                <w:szCs w:val="18"/>
              </w:rPr>
            </w:pPr>
            <w:r>
              <w:rPr>
                <w:rFonts w:hint="eastAsia" w:ascii="宋体" w:hAnsi="宋体" w:cs="宋体"/>
                <w:b/>
                <w:color w:val="000000"/>
                <w:kern w:val="0"/>
                <w:sz w:val="18"/>
                <w:szCs w:val="18"/>
              </w:rPr>
              <w:t>行业代码</w:t>
            </w:r>
          </w:p>
        </w:tc>
        <w:tc>
          <w:tcPr>
            <w:tcW w:w="4711" w:type="dxa"/>
            <w:noWrap w:val="0"/>
            <w:vAlign w:val="center"/>
          </w:tcPr>
          <w:p>
            <w:pPr>
              <w:jc w:val="center"/>
              <w:rPr>
                <w:rFonts w:hint="eastAsia" w:ascii="宋体" w:hAnsi="宋体" w:cs="宋体"/>
                <w:b/>
                <w:color w:val="000000"/>
                <w:kern w:val="0"/>
                <w:sz w:val="18"/>
                <w:szCs w:val="18"/>
              </w:rPr>
            </w:pPr>
            <w:r>
              <w:rPr>
                <w:rFonts w:hint="eastAsia" w:ascii="宋体" w:hAnsi="宋体" w:cs="宋体"/>
                <w:b/>
                <w:color w:val="000000"/>
                <w:kern w:val="0"/>
                <w:sz w:val="18"/>
                <w:szCs w:val="18"/>
              </w:rPr>
              <w:t>行业名称</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44</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电力、热力生产和供应业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45</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燃气生产和供应业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46</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水的生产和供应业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53</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铁路运输业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54</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道路运输业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55</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水上运输业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56</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航空运输业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57</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管道运输业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58</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多式联运和运输代理业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591</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装卸搬运</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60</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邮政业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63</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电信、广播电视和卫星传输服务</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64</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互联网和相关服务</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76</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水利管理业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77</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生态保护和环境治理业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12" w:hRule="atLeast"/>
        </w:trPr>
        <w:tc>
          <w:tcPr>
            <w:tcW w:w="4710" w:type="dxa"/>
            <w:noWrap w:val="0"/>
            <w:vAlign w:val="center"/>
          </w:tcPr>
          <w:p>
            <w:pPr>
              <w:jc w:val="center"/>
              <w:rPr>
                <w:rFonts w:hint="eastAsia" w:ascii="宋体" w:hAnsi="宋体" w:cs="宋体"/>
                <w:color w:val="000000"/>
                <w:kern w:val="0"/>
                <w:sz w:val="18"/>
                <w:szCs w:val="18"/>
              </w:rPr>
            </w:pPr>
            <w:r>
              <w:rPr>
                <w:rFonts w:hint="eastAsia" w:ascii="宋体" w:hAnsi="宋体" w:cs="宋体"/>
                <w:color w:val="000000"/>
                <w:kern w:val="0"/>
                <w:sz w:val="18"/>
                <w:szCs w:val="18"/>
              </w:rPr>
              <w:t>78</w:t>
            </w:r>
          </w:p>
        </w:tc>
        <w:tc>
          <w:tcPr>
            <w:tcW w:w="4711" w:type="dxa"/>
            <w:noWrap w:val="0"/>
            <w:vAlign w:val="center"/>
          </w:tcPr>
          <w:p>
            <w:pPr>
              <w:ind w:firstLine="221" w:firstLineChars="123"/>
              <w:rPr>
                <w:rFonts w:hint="eastAsia" w:ascii="宋体" w:hAnsi="宋体" w:cs="宋体"/>
                <w:color w:val="000000"/>
                <w:kern w:val="0"/>
                <w:sz w:val="18"/>
                <w:szCs w:val="18"/>
              </w:rPr>
            </w:pPr>
            <w:r>
              <w:rPr>
                <w:rFonts w:hint="eastAsia" w:ascii="宋体" w:hAnsi="宋体" w:cs="宋体"/>
                <w:color w:val="000000"/>
                <w:kern w:val="0"/>
                <w:sz w:val="18"/>
                <w:szCs w:val="18"/>
              </w:rPr>
              <w:t>公共设施管理业</w:t>
            </w:r>
          </w:p>
        </w:tc>
      </w:tr>
    </w:tbl>
    <w:p>
      <w:pPr>
        <w:adjustRightInd w:val="0"/>
        <w:spacing w:line="360" w:lineRule="atLeast"/>
        <w:rPr>
          <w:rFonts w:hint="eastAsia" w:ascii="宋体" w:hAnsi="宋体"/>
          <w:color w:val="000000"/>
          <w:szCs w:val="21"/>
        </w:rPr>
      </w:pPr>
      <w:r>
        <w:rPr>
          <w:rFonts w:hint="eastAsia" w:ascii="宋体" w:hAnsi="宋体"/>
          <w:color w:val="000000"/>
          <w:szCs w:val="21"/>
        </w:rPr>
        <w:t xml:space="preserve">    说明：为了避免工业和基础设施两大领域之间的数据重复，国家统计局通常发布的基础设施投资口径为基础设施投资（不含电力、热力、燃气及水生产和供应业），具体包括铁路运输业，道路运输业，水上运输业，航空运输业，管道运输业，多式联运和运输代理业，装卸搬运，邮政业，电信、广播电视和卫星传输服务，互联网和相关服务，水利管理业，生态保护和环境治理业，公共设施管理业。</w:t>
      </w:r>
    </w:p>
    <w:p>
      <w:pPr>
        <w:adjustRightInd w:val="0"/>
        <w:spacing w:line="360" w:lineRule="atLeast"/>
        <w:ind w:firstLine="420" w:firstLineChars="200"/>
        <w:rPr>
          <w:rFonts w:ascii="宋体"/>
          <w:color w:val="000000"/>
          <w:szCs w:val="21"/>
        </w:rPr>
      </w:pPr>
      <w:r>
        <w:rPr>
          <w:rFonts w:hint="eastAsia" w:ascii="黑体" w:eastAsia="黑体"/>
          <w:color w:val="000000"/>
        </w:rPr>
        <w:t xml:space="preserve">计划总投资  </w:t>
      </w:r>
      <w:r>
        <w:rPr>
          <w:rFonts w:hint="eastAsia" w:ascii="宋体"/>
          <w:color w:val="000000"/>
          <w:szCs w:val="21"/>
        </w:rPr>
        <w:t>指在建的建设工程按照总体设计（</w:t>
      </w:r>
      <w:r>
        <w:rPr>
          <w:rFonts w:hint="eastAsia" w:ascii="宋体" w:hAnsi="宋体" w:cs="宋体"/>
          <w:color w:val="000000"/>
          <w:kern w:val="0"/>
          <w:szCs w:val="21"/>
        </w:rPr>
        <w:t>或按设计概算或预算</w:t>
      </w:r>
      <w:r>
        <w:rPr>
          <w:rFonts w:hint="eastAsia" w:ascii="宋体"/>
          <w:color w:val="000000"/>
          <w:szCs w:val="21"/>
        </w:rPr>
        <w:t>）规定的内容全部建成</w:t>
      </w:r>
      <w:r>
        <w:rPr>
          <w:rFonts w:hint="eastAsia" w:ascii="宋体" w:hAnsi="宋体" w:cs="宋体"/>
          <w:color w:val="000000"/>
          <w:kern w:val="0"/>
          <w:szCs w:val="21"/>
        </w:rPr>
        <w:t>计划</w:t>
      </w:r>
      <w:r>
        <w:rPr>
          <w:rFonts w:hint="eastAsia" w:ascii="宋体"/>
          <w:color w:val="000000"/>
          <w:szCs w:val="21"/>
        </w:rPr>
        <w:t>需要的总投资。</w:t>
      </w:r>
    </w:p>
    <w:p>
      <w:pPr>
        <w:adjustRightInd w:val="0"/>
        <w:spacing w:line="360" w:lineRule="atLeast"/>
        <w:ind w:firstLine="420" w:firstLineChars="200"/>
        <w:rPr>
          <w:rFonts w:hint="eastAsia" w:ascii="宋体"/>
          <w:color w:val="000000"/>
        </w:rPr>
      </w:pPr>
      <w:r>
        <w:rPr>
          <w:rFonts w:hint="eastAsia" w:ascii="宋体"/>
          <w:color w:val="000000"/>
          <w:szCs w:val="21"/>
        </w:rPr>
        <w:t>没有总体设计的</w:t>
      </w:r>
      <w:r>
        <w:rPr>
          <w:rFonts w:hint="eastAsia" w:ascii="宋体" w:hAnsi="宋体" w:cs="宋体"/>
          <w:color w:val="000000"/>
          <w:kern w:val="0"/>
          <w:szCs w:val="21"/>
        </w:rPr>
        <w:t>建设工程</w:t>
      </w:r>
      <w:r>
        <w:rPr>
          <w:rFonts w:hint="eastAsia" w:ascii="宋体"/>
          <w:color w:val="000000"/>
          <w:szCs w:val="21"/>
        </w:rPr>
        <w:t>，分别按报告期施工工程的计划总投资合计数填报。单纯购置单位应填报单纯购置的计划总投资。计划总投资是反映固定资产投资在建总规模的重要指标，也是检查工程进度，计算建设周期的依据之一</w:t>
      </w:r>
      <w:r>
        <w:rPr>
          <w:rFonts w:hint="eastAsia" w:ascii="宋体"/>
          <w:color w:val="000000"/>
        </w:rPr>
        <w:t>。</w:t>
      </w:r>
    </w:p>
    <w:p>
      <w:pPr>
        <w:adjustRightInd w:val="0"/>
        <w:spacing w:line="360" w:lineRule="atLeast"/>
        <w:ind w:firstLine="421" w:firstLineChars="200"/>
        <w:rPr>
          <w:rFonts w:hint="eastAsia" w:ascii="宋体"/>
          <w:b/>
          <w:color w:val="000000"/>
        </w:rPr>
      </w:pPr>
      <w:r>
        <w:rPr>
          <w:rFonts w:hint="eastAsia" w:ascii="宋体"/>
          <w:b/>
          <w:color w:val="000000"/>
        </w:rPr>
        <w:t>填报计划总投资应扣除铺底流动资金。</w:t>
      </w:r>
    </w:p>
    <w:p>
      <w:pPr>
        <w:adjustRightInd w:val="0"/>
        <w:spacing w:line="360" w:lineRule="atLeast"/>
        <w:ind w:firstLine="420" w:firstLineChars="200"/>
        <w:rPr>
          <w:rFonts w:ascii="宋体"/>
          <w:color w:val="000000"/>
        </w:rPr>
      </w:pPr>
      <w:r>
        <w:rPr>
          <w:rFonts w:hint="eastAsia" w:ascii="宋体"/>
          <w:color w:val="000000"/>
        </w:rPr>
        <w:t>计划总投资按以下办法确定填报：</w:t>
      </w:r>
    </w:p>
    <w:p>
      <w:pPr>
        <w:adjustRightInd w:val="0"/>
        <w:spacing w:line="360" w:lineRule="atLeast"/>
        <w:ind w:firstLine="420" w:firstLineChars="200"/>
        <w:rPr>
          <w:rFonts w:ascii="宋体"/>
          <w:color w:val="000000"/>
        </w:rPr>
      </w:pPr>
      <w:r>
        <w:rPr>
          <w:rFonts w:hint="eastAsia" w:ascii="宋体"/>
          <w:color w:val="000000"/>
        </w:rPr>
        <w:t>（1）有上级批准计划总投资的，填列上级批准数额。在上级批准计划总投资后，又批准调整（追加或减少）时，应填列批准后的调整数字；</w:t>
      </w:r>
    </w:p>
    <w:p>
      <w:pPr>
        <w:adjustRightInd w:val="0"/>
        <w:spacing w:line="360" w:lineRule="atLeast"/>
        <w:ind w:firstLine="420" w:firstLineChars="200"/>
        <w:rPr>
          <w:rFonts w:hint="eastAsia" w:ascii="宋体"/>
          <w:color w:val="000000"/>
        </w:rPr>
      </w:pPr>
      <w:r>
        <w:rPr>
          <w:rFonts w:hint="eastAsia" w:ascii="宋体"/>
          <w:color w:val="000000"/>
        </w:rPr>
        <w:t>（2）无上级批准的计划总投资的，填列有关权威单位编制的概算或预算中的计划总投资；</w:t>
      </w:r>
    </w:p>
    <w:p>
      <w:pPr>
        <w:adjustRightInd w:val="0"/>
        <w:spacing w:line="360" w:lineRule="atLeast"/>
        <w:ind w:firstLine="420" w:firstLineChars="200"/>
        <w:rPr>
          <w:rFonts w:hint="eastAsia" w:ascii="宋体"/>
          <w:color w:val="000000"/>
        </w:rPr>
      </w:pPr>
      <w:r>
        <w:rPr>
          <w:rFonts w:hint="eastAsia" w:ascii="宋体"/>
          <w:color w:val="000000"/>
        </w:rPr>
        <w:t>（3）前两者都没有的，填列年内施工工程计划总投资。</w:t>
      </w:r>
    </w:p>
    <w:p>
      <w:pPr>
        <w:adjustRightInd w:val="0"/>
        <w:spacing w:line="360" w:lineRule="atLeast"/>
        <w:ind w:firstLine="420" w:firstLineChars="200"/>
        <w:rPr>
          <w:rFonts w:hint="eastAsia" w:ascii="宋体"/>
          <w:color w:val="000000"/>
          <w:highlight w:val="none"/>
        </w:rPr>
      </w:pPr>
      <w:r>
        <w:rPr>
          <w:rFonts w:hint="eastAsia" w:ascii="黑体" w:eastAsia="黑体"/>
          <w:color w:val="000000"/>
          <w:highlight w:val="none"/>
        </w:rPr>
        <w:t xml:space="preserve">已签订合同总额 </w:t>
      </w:r>
      <w:r>
        <w:rPr>
          <w:rFonts w:hint="eastAsia" w:ascii="宋体"/>
          <w:color w:val="000000"/>
          <w:highlight w:val="none"/>
        </w:rPr>
        <w:t>指项目投资主体签订的与项目建设相关的各种施工、设备购置安装、咨询、监理、设计等合同总价款。包括本年新签订的和以前年度签订的合同总价款，不包括土地购置合同。</w:t>
      </w:r>
    </w:p>
    <w:p>
      <w:pPr>
        <w:adjustRightInd w:val="0"/>
        <w:spacing w:line="360" w:lineRule="atLeast"/>
        <w:ind w:firstLine="420" w:firstLineChars="200"/>
        <w:rPr>
          <w:rFonts w:ascii="宋体"/>
          <w:color w:val="000000"/>
        </w:rPr>
      </w:pPr>
      <w:r>
        <w:rPr>
          <w:rFonts w:hint="eastAsia" w:ascii="黑体" w:eastAsia="黑体"/>
          <w:color w:val="000000"/>
        </w:rPr>
        <w:t xml:space="preserve">自开始建设累计完成投资  </w:t>
      </w:r>
      <w:r>
        <w:rPr>
          <w:rFonts w:hint="eastAsia" w:ascii="宋体"/>
          <w:color w:val="000000"/>
        </w:rPr>
        <w:t>指从开始建设至</w:t>
      </w:r>
      <w:r>
        <w:rPr>
          <w:rFonts w:ascii="宋体"/>
          <w:color w:val="000000"/>
        </w:rPr>
        <w:t>报告期</w:t>
      </w:r>
      <w:r>
        <w:rPr>
          <w:rFonts w:hint="eastAsia" w:ascii="宋体"/>
          <w:color w:val="000000"/>
        </w:rPr>
        <w:t>累计完成的全部投资。其计算范围原则上应与“计划总投资”指标包括的工程内容相一致。</w:t>
      </w:r>
    </w:p>
    <w:p>
      <w:pPr>
        <w:adjustRightInd w:val="0"/>
        <w:spacing w:line="360" w:lineRule="atLeast"/>
        <w:ind w:firstLine="420" w:firstLineChars="200"/>
        <w:rPr>
          <w:rFonts w:ascii="宋体"/>
          <w:color w:val="000000"/>
        </w:rPr>
      </w:pPr>
      <w:r>
        <w:rPr>
          <w:rFonts w:hint="eastAsia" w:ascii="宋体"/>
          <w:color w:val="000000"/>
        </w:rPr>
        <w:t>报告期以前已建成投产或停、缓建工程完成的投资以及拆除、报废工程的投资，仍应包括在内。但转出的“在建工程”累计投资应予以扣除，转入的“在建工程”以前年度完成的投资应当包括。</w:t>
      </w:r>
    </w:p>
    <w:p>
      <w:pPr>
        <w:adjustRightInd w:val="0"/>
        <w:spacing w:line="360" w:lineRule="atLeast"/>
        <w:ind w:firstLine="420" w:firstLineChars="200"/>
        <w:rPr>
          <w:rFonts w:ascii="宋体"/>
          <w:color w:val="000000"/>
        </w:rPr>
      </w:pPr>
      <w:r>
        <w:rPr>
          <w:rFonts w:hint="eastAsia" w:ascii="黑体" w:eastAsia="黑体"/>
          <w:color w:val="000000"/>
        </w:rPr>
        <w:t xml:space="preserve">本年完成投资  </w:t>
      </w:r>
      <w:r>
        <w:rPr>
          <w:rFonts w:hint="eastAsia" w:ascii="宋体"/>
          <w:color w:val="000000"/>
        </w:rPr>
        <w:t>指从本年1月1日起至报告期完成的全部投资额。</w:t>
      </w:r>
    </w:p>
    <w:p>
      <w:pPr>
        <w:adjustRightInd w:val="0"/>
        <w:spacing w:line="360" w:lineRule="atLeast"/>
        <w:ind w:firstLine="420" w:firstLineChars="200"/>
        <w:rPr>
          <w:rFonts w:hint="eastAsia" w:ascii="宋体"/>
          <w:color w:val="000000"/>
        </w:rPr>
      </w:pPr>
      <w:r>
        <w:rPr>
          <w:rFonts w:hint="eastAsia" w:ascii="宋体"/>
          <w:color w:val="000000"/>
        </w:rPr>
        <w:t>本年完成投资是反映本年的实际投资规模、计算有关投资效果、进行国民经济核算和经济分析的重要指标。</w:t>
      </w:r>
    </w:p>
    <w:p>
      <w:pPr>
        <w:adjustRightInd w:val="0"/>
        <w:spacing w:line="360" w:lineRule="atLeast"/>
        <w:ind w:firstLine="420"/>
        <w:rPr>
          <w:rFonts w:ascii="宋体"/>
          <w:color w:val="000000"/>
        </w:rPr>
      </w:pPr>
      <w:r>
        <w:rPr>
          <w:rFonts w:hint="eastAsia" w:ascii="宋体"/>
          <w:color w:val="000000"/>
        </w:rPr>
        <w:t>完成投资额包括实际完成的建筑安装工程价值，设备、工具、器具的购置费，以及实际发生的其他费用。</w:t>
      </w:r>
    </w:p>
    <w:p>
      <w:pPr>
        <w:adjustRightInd w:val="0"/>
        <w:spacing w:line="360" w:lineRule="atLeast"/>
        <w:ind w:firstLine="420"/>
        <w:rPr>
          <w:rFonts w:ascii="黑体" w:eastAsia="黑体"/>
          <w:color w:val="000000"/>
        </w:rPr>
      </w:pPr>
      <w:r>
        <w:rPr>
          <w:rFonts w:hint="eastAsia" w:ascii="宋体"/>
          <w:b/>
          <w:color w:val="000000"/>
        </w:rPr>
        <w:t>项目投资额</w:t>
      </w:r>
      <w:r>
        <w:rPr>
          <w:rFonts w:ascii="宋体"/>
          <w:b/>
          <w:color w:val="000000"/>
        </w:rPr>
        <w:t>的</w:t>
      </w:r>
      <w:r>
        <w:rPr>
          <w:rFonts w:hint="eastAsia" w:ascii="宋体"/>
          <w:b/>
          <w:color w:val="000000"/>
        </w:rPr>
        <w:t>填报原则：</w:t>
      </w:r>
      <w:r>
        <w:rPr>
          <w:rFonts w:hint="eastAsia" w:ascii="宋体" w:hAnsi="宋体"/>
          <w:b/>
          <w:color w:val="000000"/>
        </w:rPr>
        <w:t>①投资额应依据凭证规范填报，按照凭证取得时点</w:t>
      </w:r>
      <w:r>
        <w:rPr>
          <w:rFonts w:ascii="宋体" w:hAnsi="宋体"/>
          <w:b/>
          <w:color w:val="000000"/>
        </w:rPr>
        <w:t>作</w:t>
      </w:r>
      <w:r>
        <w:rPr>
          <w:rFonts w:hint="eastAsia" w:ascii="宋体" w:hAnsi="宋体"/>
          <w:b/>
          <w:color w:val="000000"/>
        </w:rPr>
        <w:t>为计量时点。</w:t>
      </w:r>
      <w:r>
        <w:rPr>
          <w:rFonts w:hint="eastAsia" w:ascii="宋体"/>
          <w:color w:val="000000"/>
        </w:rPr>
        <w:t>以工程结算单或进度单为依据的，按照三方签章中最后一方签章时间为计量时点；以会计科目为计量依据的，按照入账时间为计量时点；以支付凭证为依据的，按照开票日期为计量时点。</w:t>
      </w:r>
      <w:r>
        <w:rPr>
          <w:rFonts w:hint="eastAsia" w:ascii="宋体" w:hAnsi="宋体"/>
          <w:b/>
          <w:color w:val="000000"/>
        </w:rPr>
        <w:t>②</w:t>
      </w:r>
      <w:r>
        <w:rPr>
          <w:rFonts w:hint="eastAsia" w:ascii="宋体"/>
          <w:b/>
          <w:color w:val="000000"/>
        </w:rPr>
        <w:t>入库当</w:t>
      </w:r>
      <w:r>
        <w:rPr>
          <w:rFonts w:ascii="宋体"/>
          <w:b/>
          <w:color w:val="000000"/>
        </w:rPr>
        <w:t>年</w:t>
      </w:r>
      <w:r>
        <w:rPr>
          <w:rFonts w:hint="eastAsia" w:ascii="宋体"/>
          <w:b/>
          <w:color w:val="000000"/>
        </w:rPr>
        <w:t>的投资额计入“本年完成投资”；入库之前年度的投资</w:t>
      </w:r>
      <w:r>
        <w:rPr>
          <w:rFonts w:ascii="宋体"/>
          <w:b/>
          <w:color w:val="000000"/>
        </w:rPr>
        <w:t>额</w:t>
      </w:r>
      <w:r>
        <w:rPr>
          <w:rFonts w:hint="eastAsia" w:ascii="宋体"/>
          <w:b/>
          <w:color w:val="000000"/>
        </w:rPr>
        <w:t>中除</w:t>
      </w:r>
      <w:r>
        <w:rPr>
          <w:rFonts w:ascii="宋体"/>
          <w:b/>
          <w:color w:val="000000"/>
        </w:rPr>
        <w:t>其他费用</w:t>
      </w:r>
      <w:r>
        <w:rPr>
          <w:rFonts w:hint="eastAsia" w:ascii="宋体"/>
          <w:b/>
          <w:color w:val="000000"/>
        </w:rPr>
        <w:t>可</w:t>
      </w:r>
      <w:r>
        <w:rPr>
          <w:rFonts w:ascii="宋体"/>
          <w:b/>
          <w:color w:val="000000"/>
        </w:rPr>
        <w:t>计入</w:t>
      </w:r>
      <w:r>
        <w:rPr>
          <w:rFonts w:hint="eastAsia" w:ascii="宋体"/>
          <w:b/>
          <w:color w:val="000000"/>
        </w:rPr>
        <w:t>“本年完成投资”外</w:t>
      </w:r>
      <w:r>
        <w:rPr>
          <w:rFonts w:ascii="宋体"/>
          <w:b/>
          <w:color w:val="000000"/>
        </w:rPr>
        <w:t>，建安工程等投资额不得计入“</w:t>
      </w:r>
      <w:r>
        <w:rPr>
          <w:rFonts w:hint="eastAsia" w:ascii="宋体"/>
          <w:b/>
          <w:color w:val="000000"/>
        </w:rPr>
        <w:t>本年</w:t>
      </w:r>
      <w:r>
        <w:rPr>
          <w:rFonts w:ascii="宋体"/>
          <w:b/>
          <w:color w:val="000000"/>
        </w:rPr>
        <w:t>完成投资</w:t>
      </w:r>
      <w:r>
        <w:rPr>
          <w:rFonts w:hint="eastAsia" w:ascii="宋体"/>
          <w:b/>
          <w:color w:val="000000"/>
        </w:rPr>
        <w:t>”</w:t>
      </w:r>
      <w:r>
        <w:rPr>
          <w:rFonts w:ascii="宋体"/>
          <w:b/>
          <w:color w:val="000000"/>
        </w:rPr>
        <w:t>，只计入</w:t>
      </w:r>
      <w:r>
        <w:rPr>
          <w:rFonts w:hint="eastAsia" w:ascii="宋体"/>
          <w:b/>
          <w:color w:val="000000"/>
        </w:rPr>
        <w:t>“自开始建设累计完成投资”。</w:t>
      </w:r>
      <w:r>
        <w:rPr>
          <w:rFonts w:hint="eastAsia" w:ascii="宋体" w:hAnsi="宋体"/>
          <w:b/>
          <w:color w:val="000000"/>
        </w:rPr>
        <w:t>③按会计科目或支付凭证为依据报送的</w:t>
      </w:r>
      <w:r>
        <w:rPr>
          <w:rFonts w:hint="eastAsia" w:ascii="宋体"/>
          <w:b/>
          <w:color w:val="000000"/>
        </w:rPr>
        <w:t>项目，竣工投产后，项目质保金和尾款可一次性纳入。</w:t>
      </w:r>
    </w:p>
    <w:p>
      <w:pPr>
        <w:adjustRightInd w:val="0"/>
        <w:spacing w:line="360" w:lineRule="atLeast"/>
        <w:ind w:firstLine="420"/>
        <w:rPr>
          <w:rFonts w:ascii="黑体" w:eastAsia="黑体"/>
          <w:color w:val="000000"/>
        </w:rPr>
      </w:pPr>
      <w:r>
        <w:rPr>
          <w:rFonts w:hint="eastAsia" w:ascii="黑体" w:eastAsia="黑体"/>
          <w:color w:val="000000"/>
        </w:rPr>
        <w:t xml:space="preserve">本月完成投资  </w:t>
      </w:r>
      <w:r>
        <w:rPr>
          <w:rFonts w:hint="eastAsia" w:ascii="宋体" w:hAnsi="宋体"/>
          <w:color w:val="000000"/>
        </w:rPr>
        <w:t>指从本月1日起至报告期完成的全部投资额。按照本月实际发生的投资额，依据工程形象进度、会计科目或付款凭证进行填报。</w:t>
      </w:r>
    </w:p>
    <w:p>
      <w:pPr>
        <w:adjustRightInd w:val="0"/>
        <w:spacing w:line="360" w:lineRule="atLeast"/>
        <w:ind w:firstLine="420"/>
        <w:rPr>
          <w:rFonts w:hint="eastAsia" w:ascii="宋体" w:hAnsi="宋体"/>
          <w:color w:val="000000"/>
        </w:rPr>
      </w:pPr>
      <w:r>
        <w:rPr>
          <w:rFonts w:hint="eastAsia" w:ascii="黑体" w:eastAsia="黑体"/>
          <w:color w:val="000000"/>
        </w:rPr>
        <w:t xml:space="preserve">住宅投资 </w:t>
      </w:r>
      <w:r>
        <w:rPr>
          <w:rFonts w:hint="eastAsia" w:ascii="宋体"/>
          <w:color w:val="000000"/>
        </w:rPr>
        <w:t xml:space="preserve"> 指为建造专供居住使用的房屋而进行的投资，包括建造职工家属宿舍和集体宿舍（包括职工单身宿舍、学生宿舍）等完成的投资。住宅是根据单项工程的直接用途确定的，在计算住宅投资时应将与其有关的设备购置和其他费用一并计入。调查单位只填报自己建造的住宅，不包括购置的商品房。</w:t>
      </w:r>
    </w:p>
    <w:p>
      <w:pPr>
        <w:adjustRightInd w:val="0"/>
        <w:spacing w:line="360" w:lineRule="atLeast"/>
        <w:ind w:firstLine="420" w:firstLineChars="200"/>
        <w:rPr>
          <w:rFonts w:hint="eastAsia" w:ascii="宋体"/>
          <w:color w:val="000000"/>
        </w:rPr>
      </w:pPr>
      <w:r>
        <w:rPr>
          <w:rFonts w:hint="eastAsia" w:ascii="黑体" w:eastAsia="黑体"/>
          <w:color w:val="000000"/>
        </w:rPr>
        <w:t>建筑工程</w:t>
      </w:r>
      <w:r>
        <w:rPr>
          <w:rFonts w:hint="eastAsia" w:ascii="宋体" w:hAnsi="宋体"/>
          <w:color w:val="000000"/>
          <w:spacing w:val="-6"/>
          <w:szCs w:val="21"/>
        </w:rPr>
        <w:t xml:space="preserve">  </w:t>
      </w:r>
      <w:r>
        <w:rPr>
          <w:rFonts w:hint="eastAsia" w:ascii="宋体"/>
          <w:color w:val="000000"/>
        </w:rPr>
        <w:t xml:space="preserve">指各种房屋、建筑物的建造工程。这部分投资额必须兴工动料，通过施工活动才能实现。      </w:t>
      </w:r>
    </w:p>
    <w:p>
      <w:pPr>
        <w:adjustRightInd w:val="0"/>
        <w:spacing w:line="360" w:lineRule="atLeast"/>
        <w:ind w:firstLine="420" w:firstLineChars="200"/>
        <w:rPr>
          <w:rFonts w:ascii="宋体"/>
          <w:color w:val="000000"/>
        </w:rPr>
      </w:pPr>
      <w:r>
        <w:rPr>
          <w:rFonts w:hint="eastAsia" w:ascii="宋体"/>
          <w:color w:val="000000"/>
        </w:rPr>
        <w:t>建筑工程包括：</w:t>
      </w:r>
    </w:p>
    <w:p>
      <w:pPr>
        <w:adjustRightInd w:val="0"/>
        <w:spacing w:line="360" w:lineRule="atLeast"/>
        <w:ind w:firstLine="420" w:firstLineChars="200"/>
        <w:rPr>
          <w:rFonts w:ascii="宋体"/>
          <w:color w:val="000000"/>
        </w:rPr>
      </w:pPr>
      <w:r>
        <w:rPr>
          <w:rFonts w:hint="eastAsia" w:ascii="宋体"/>
          <w:color w:val="000000"/>
        </w:rPr>
        <w:t>（1）各种房屋如厂房、仓库、办公室、住宅、商店、学校、医院、俱乐部、食堂、招待所。包括：房屋的土建工程；列入房屋工程预算内的暖气、卫生、通风、照明、煤气等设备的价值及装设油饰工程；列入建筑工程预算内的各种管道（如蒸汽、压缩空气、石油、给排水等管道）、电力、电讯电缆导线等的敷设工程。</w:t>
      </w:r>
    </w:p>
    <w:p>
      <w:pPr>
        <w:adjustRightInd w:val="0"/>
        <w:spacing w:line="360" w:lineRule="atLeast"/>
        <w:ind w:firstLine="420" w:firstLineChars="200"/>
        <w:rPr>
          <w:rFonts w:ascii="宋体"/>
          <w:color w:val="000000"/>
        </w:rPr>
      </w:pPr>
      <w:r>
        <w:rPr>
          <w:rFonts w:hint="eastAsia" w:ascii="宋体"/>
          <w:color w:val="000000"/>
        </w:rPr>
        <w:t>（2）设备基础、支柱、操作平台、梯子、烟囱、凉水塔、水池、灰塔等建筑工程；炼焦炉、裂解炉、蒸汽炉等各种窖炉的砌筑工程及金属结构工程。</w:t>
      </w:r>
    </w:p>
    <w:p>
      <w:pPr>
        <w:adjustRightInd w:val="0"/>
        <w:spacing w:line="360" w:lineRule="atLeast"/>
        <w:ind w:firstLine="420" w:firstLineChars="200"/>
        <w:rPr>
          <w:rFonts w:ascii="宋体"/>
          <w:color w:val="000000"/>
        </w:rPr>
      </w:pPr>
      <w:r>
        <w:rPr>
          <w:rFonts w:hint="eastAsia" w:ascii="宋体"/>
          <w:color w:val="000000"/>
        </w:rPr>
        <w:t>（3）为施工而进行的建筑场地的布置、工程地质勘探，原有建筑物和障碍物的拆除，平整场地、施工临时用水、电、汽、道路工程，以及完工后建筑场地的清理、环境绿化美化工作等。</w:t>
      </w:r>
    </w:p>
    <w:p>
      <w:pPr>
        <w:adjustRightInd w:val="0"/>
        <w:spacing w:line="360" w:lineRule="atLeast"/>
        <w:ind w:firstLine="420" w:firstLineChars="200"/>
        <w:rPr>
          <w:rFonts w:ascii="宋体"/>
          <w:color w:val="000000"/>
        </w:rPr>
      </w:pPr>
      <w:r>
        <w:rPr>
          <w:rFonts w:hint="eastAsia" w:ascii="宋体"/>
          <w:color w:val="000000"/>
        </w:rPr>
        <w:t>（4）矿井的开凿，井巷掘进延伸，露天矿的剥离，石油、天然气钻井工程和铁路、公路、港口、桥梁等工程。</w:t>
      </w:r>
    </w:p>
    <w:p>
      <w:pPr>
        <w:adjustRightInd w:val="0"/>
        <w:spacing w:line="360" w:lineRule="atLeast"/>
        <w:ind w:firstLine="420" w:firstLineChars="200"/>
        <w:rPr>
          <w:rFonts w:ascii="宋体"/>
          <w:color w:val="000000"/>
        </w:rPr>
      </w:pPr>
      <w:r>
        <w:rPr>
          <w:rFonts w:hint="eastAsia" w:ascii="宋体"/>
          <w:color w:val="000000"/>
        </w:rPr>
        <w:t>（5）水利工程，如水库、堤坝、灌溉以及河道整治等工程。</w:t>
      </w:r>
    </w:p>
    <w:p>
      <w:pPr>
        <w:adjustRightInd w:val="0"/>
        <w:spacing w:line="360" w:lineRule="atLeast"/>
        <w:ind w:firstLine="420" w:firstLineChars="200"/>
        <w:rPr>
          <w:rFonts w:ascii="宋体"/>
          <w:color w:val="000000"/>
        </w:rPr>
      </w:pPr>
      <w:r>
        <w:rPr>
          <w:rFonts w:hint="eastAsia" w:ascii="宋体"/>
          <w:color w:val="000000"/>
        </w:rPr>
        <w:t>（6）防空、地下建筑等特殊工程及其他建筑工程。</w:t>
      </w:r>
    </w:p>
    <w:p>
      <w:pPr>
        <w:adjustRightInd w:val="0"/>
        <w:spacing w:line="360" w:lineRule="atLeast"/>
        <w:ind w:firstLine="420" w:firstLineChars="200"/>
        <w:rPr>
          <w:rFonts w:ascii="宋体"/>
          <w:color w:val="000000"/>
        </w:rPr>
      </w:pPr>
      <w:r>
        <w:rPr>
          <w:rFonts w:hint="eastAsia" w:ascii="黑体" w:eastAsia="黑体"/>
          <w:color w:val="000000"/>
        </w:rPr>
        <w:t>安装工程</w:t>
      </w:r>
      <w:r>
        <w:rPr>
          <w:rStyle w:val="25"/>
          <w:rFonts w:hint="eastAsia" w:hAnsi="宋体"/>
          <w:color w:val="000000"/>
          <w:spacing w:val="-6"/>
          <w:szCs w:val="21"/>
        </w:rPr>
        <w:t xml:space="preserve"> </w:t>
      </w:r>
      <w:r>
        <w:rPr>
          <w:rFonts w:hint="eastAsia" w:ascii="宋体" w:hAnsi="宋体"/>
          <w:color w:val="000000"/>
          <w:spacing w:val="-6"/>
          <w:szCs w:val="21"/>
        </w:rPr>
        <w:t xml:space="preserve"> </w:t>
      </w:r>
      <w:r>
        <w:rPr>
          <w:rFonts w:hint="eastAsia" w:ascii="宋体"/>
          <w:color w:val="000000"/>
        </w:rPr>
        <w:t>指各种设备、装置的安装工程。</w:t>
      </w:r>
    </w:p>
    <w:p>
      <w:pPr>
        <w:adjustRightInd w:val="0"/>
        <w:spacing w:line="360" w:lineRule="atLeast"/>
        <w:ind w:firstLine="420" w:firstLineChars="200"/>
        <w:rPr>
          <w:rFonts w:ascii="宋体"/>
          <w:color w:val="000000"/>
        </w:rPr>
      </w:pPr>
      <w:r>
        <w:rPr>
          <w:rFonts w:hint="eastAsia" w:ascii="宋体"/>
          <w:color w:val="000000"/>
        </w:rPr>
        <w:t>安装工程包括：</w:t>
      </w:r>
    </w:p>
    <w:p>
      <w:pPr>
        <w:adjustRightInd w:val="0"/>
        <w:spacing w:line="360" w:lineRule="atLeast"/>
        <w:ind w:firstLine="420" w:firstLineChars="200"/>
        <w:rPr>
          <w:rFonts w:ascii="宋体"/>
          <w:color w:val="000000"/>
        </w:rPr>
      </w:pPr>
      <w:r>
        <w:rPr>
          <w:rFonts w:hint="eastAsia" w:ascii="宋体"/>
          <w:color w:val="000000"/>
        </w:rPr>
        <w:t>（1）生产、动力、起重、运输、传动和医疗、实验等各种需要安装设备的装配和安装，与设备相连的工作台、梯子、栏杆等装设工程，附属于被安装设备的管线敷设工程，被安装设备的绝缘、防腐、保温、油漆等工作。</w:t>
      </w:r>
    </w:p>
    <w:p>
      <w:pPr>
        <w:adjustRightInd w:val="0"/>
        <w:spacing w:line="360" w:lineRule="atLeast"/>
        <w:ind w:firstLine="420" w:firstLineChars="200"/>
        <w:rPr>
          <w:rFonts w:ascii="宋体"/>
          <w:color w:val="000000"/>
        </w:rPr>
      </w:pPr>
      <w:r>
        <w:rPr>
          <w:rFonts w:hint="eastAsia" w:ascii="宋体"/>
          <w:color w:val="000000"/>
        </w:rPr>
        <w:t>（2）为测定安装工程质量，对单个设备、系统设备进行单机试运、系统联动无负荷试运工作（投料试运工作不包括在内）。</w:t>
      </w:r>
    </w:p>
    <w:p>
      <w:pPr>
        <w:adjustRightInd w:val="0"/>
        <w:spacing w:line="360" w:lineRule="atLeast"/>
        <w:ind w:firstLine="420" w:firstLineChars="200"/>
        <w:rPr>
          <w:rFonts w:ascii="宋体"/>
          <w:color w:val="000000"/>
        </w:rPr>
      </w:pPr>
      <w:r>
        <w:rPr>
          <w:rFonts w:hint="eastAsia" w:ascii="宋体"/>
          <w:color w:val="000000"/>
        </w:rPr>
        <w:t>在安装工程中，不包括被安装设备本身价值。</w:t>
      </w:r>
    </w:p>
    <w:p>
      <w:pPr>
        <w:adjustRightInd w:val="0"/>
        <w:spacing w:line="360" w:lineRule="atLeast"/>
        <w:ind w:firstLine="420" w:firstLineChars="200"/>
        <w:rPr>
          <w:rFonts w:ascii="宋体"/>
          <w:color w:val="000000"/>
        </w:rPr>
      </w:pPr>
      <w:r>
        <w:rPr>
          <w:rFonts w:hint="eastAsia" w:ascii="宋体"/>
          <w:color w:val="000000"/>
        </w:rPr>
        <w:t>建筑安装工程投资额一般按预算价格计算。实行招标的工程，按中标价格计算。凡经建设单位与施工单位双方协商同意的工程价差、量差，且经建设单位同意拨款的，应视同修改预算价格。建筑安装工程应按修改后的预算价格计算投资完成额。对于某些工程已进入施工但施工预算尚未编出的，统计报表可根据工程进度先按设计概算或套用相同的结构、类型工程的预算综合价格计算，待预算编出后再进行调整。建设单位议价购料供应给施工单位，材料价差部分未转给施工单位的，建设单位应将这部分价差包括在建筑安装工程投资中。</w:t>
      </w:r>
    </w:p>
    <w:p>
      <w:pPr>
        <w:adjustRightInd w:val="0"/>
        <w:spacing w:line="360" w:lineRule="atLeast"/>
        <w:ind w:firstLine="420" w:firstLineChars="200"/>
        <w:rPr>
          <w:rFonts w:hint="eastAsia" w:ascii="宋体"/>
          <w:color w:val="000000"/>
        </w:rPr>
      </w:pPr>
      <w:r>
        <w:rPr>
          <w:rFonts w:hint="eastAsia" w:ascii="宋体"/>
          <w:color w:val="000000"/>
        </w:rPr>
        <w:t>建筑工程及安装工程的填报依据为：</w:t>
      </w:r>
      <w:r>
        <w:rPr>
          <w:rFonts w:hint="eastAsia" w:ascii="宋体" w:hAnsi="宋体"/>
          <w:color w:val="000000"/>
        </w:rPr>
        <w:t>①工程结算单或进度单：工程三方（建设方、施工方、监理方）签字盖章的工程结算单或进度单；②会计科目或支付凭证。</w:t>
      </w:r>
    </w:p>
    <w:p>
      <w:pPr>
        <w:adjustRightInd w:val="0"/>
        <w:spacing w:line="360" w:lineRule="atLeast"/>
        <w:ind w:firstLine="420" w:firstLineChars="200"/>
        <w:rPr>
          <w:rFonts w:hint="eastAsia" w:ascii="宋体"/>
          <w:color w:val="000000"/>
        </w:rPr>
      </w:pPr>
      <w:r>
        <w:rPr>
          <w:rFonts w:hint="eastAsia" w:ascii="黑体" w:eastAsia="黑体"/>
          <w:color w:val="000000"/>
        </w:rPr>
        <w:t>设备工器具购置</w:t>
      </w:r>
      <w:r>
        <w:rPr>
          <w:rStyle w:val="25"/>
          <w:rFonts w:hint="eastAsia" w:hAnsi="宋体"/>
          <w:color w:val="000000"/>
          <w:spacing w:val="-6"/>
          <w:szCs w:val="21"/>
        </w:rPr>
        <w:t xml:space="preserve"> </w:t>
      </w:r>
      <w:r>
        <w:rPr>
          <w:rFonts w:hint="eastAsia" w:ascii="宋体" w:hAnsi="宋体"/>
          <w:color w:val="000000"/>
          <w:spacing w:val="-6"/>
          <w:szCs w:val="21"/>
        </w:rPr>
        <w:t xml:space="preserve"> </w:t>
      </w:r>
      <w:r>
        <w:rPr>
          <w:rFonts w:hint="eastAsia" w:ascii="宋体"/>
          <w:color w:val="000000"/>
        </w:rPr>
        <w:t>指</w:t>
      </w:r>
      <w:r>
        <w:rPr>
          <w:rFonts w:hint="eastAsia" w:ascii="Arial Unicode MS" w:hAnsi="Arial Unicode MS"/>
          <w:color w:val="000000"/>
          <w:szCs w:val="21"/>
        </w:rPr>
        <w:t>报告期内</w:t>
      </w:r>
      <w:r>
        <w:rPr>
          <w:rFonts w:hint="eastAsia" w:ascii="宋体"/>
          <w:color w:val="000000"/>
        </w:rPr>
        <w:t>购置或自制的，达到固定资产标准的设备、工具、器具的价值。</w:t>
      </w:r>
    </w:p>
    <w:p>
      <w:pPr>
        <w:adjustRightInd w:val="0"/>
        <w:spacing w:line="360" w:lineRule="atLeast"/>
        <w:ind w:firstLine="420" w:firstLineChars="200"/>
        <w:rPr>
          <w:rFonts w:ascii="宋体"/>
          <w:color w:val="000000"/>
        </w:rPr>
      </w:pPr>
      <w:r>
        <w:rPr>
          <w:rFonts w:hint="eastAsia" w:ascii="宋体"/>
          <w:color w:val="000000"/>
        </w:rPr>
        <w:t>（1）设备：指各种生产设备、传导设备、动力设备、运输设备等。分为需要安装的设备和不需要安装的设备两种。</w:t>
      </w:r>
    </w:p>
    <w:p>
      <w:pPr>
        <w:adjustRightInd w:val="0"/>
        <w:spacing w:line="360" w:lineRule="atLeast"/>
        <w:ind w:firstLine="420" w:firstLineChars="200"/>
        <w:rPr>
          <w:rFonts w:ascii="宋体"/>
          <w:color w:val="000000"/>
        </w:rPr>
      </w:pPr>
      <w:r>
        <w:rPr>
          <w:rFonts w:hint="eastAsia" w:ascii="宋体"/>
          <w:color w:val="000000"/>
        </w:rPr>
        <w:t>需要安装的设备（简称“需安设备”）：是指必须将其整体或几个部位装配起来，安装在基础上或建筑物支架上才能使用的设备。如轧钢机、发电机、蒸汽锅炉、变压器、塔、换热器、各种泵、机床等。有的设备虽不要基础，但必须进行组装工作，并在一定范围内使用，如生产用电铲、塔吊、门吊、皮带运输机等也作为需要安装的设备统计。</w:t>
      </w:r>
    </w:p>
    <w:p>
      <w:pPr>
        <w:adjustRightInd w:val="0"/>
        <w:spacing w:line="360" w:lineRule="atLeast"/>
        <w:ind w:firstLine="420" w:firstLineChars="200"/>
        <w:rPr>
          <w:rFonts w:ascii="宋体"/>
          <w:color w:val="000000"/>
        </w:rPr>
      </w:pPr>
      <w:r>
        <w:rPr>
          <w:rFonts w:hint="eastAsia" w:ascii="宋体"/>
          <w:color w:val="000000"/>
        </w:rPr>
        <w:t>不需要安装的设备（简称“不需安设备”）：指不必固定在一定位置或支架上就可以使用的各种设备，如电焊机、叉车、汽车、机车、飞机、船舶以及生产上流动使用的空压机、泵等。</w:t>
      </w:r>
    </w:p>
    <w:p>
      <w:pPr>
        <w:adjustRightInd w:val="0"/>
        <w:spacing w:line="360" w:lineRule="atLeast"/>
        <w:ind w:firstLine="420" w:firstLineChars="200"/>
        <w:rPr>
          <w:rFonts w:hint="eastAsia" w:ascii="宋体"/>
          <w:color w:val="000000"/>
        </w:rPr>
      </w:pPr>
      <w:r>
        <w:rPr>
          <w:rFonts w:hint="eastAsia" w:ascii="宋体"/>
          <w:color w:val="000000"/>
        </w:rPr>
        <w:t>（2）工具、器具：指具有独立用途的各种生产用具、工作工具和仪器。如生产和维修用的切削工具、压延工具、铆焊工具、模压器、铸型、风镐等，检验、实验测量用的各种计量、分析、化验仪器，以及达到固定资产标准的包装容器等。</w:t>
      </w:r>
    </w:p>
    <w:p>
      <w:pPr>
        <w:adjustRightInd w:val="0"/>
        <w:spacing w:line="360" w:lineRule="atLeast"/>
        <w:ind w:firstLine="420" w:firstLineChars="200"/>
        <w:rPr>
          <w:rFonts w:hint="eastAsia" w:ascii="宋体"/>
          <w:color w:val="000000"/>
          <w:highlight w:val="none"/>
        </w:rPr>
      </w:pPr>
      <w:r>
        <w:rPr>
          <w:rFonts w:hint="eastAsia" w:ascii="宋体"/>
          <w:color w:val="000000"/>
          <w:highlight w:val="none"/>
        </w:rPr>
        <w:t>以融资租赁方式购置的设备，原则上应在设备到位开始安装或调试后，将租赁合同约定的价款或租金等支出结合项目实际进度及企业在会计科目中的处理情况，分批计算投资额，由承租人填报，出租人不得填报。项目建设中以经营租赁方式购置的设备，不能纳入该项目固定资产投资统计。</w:t>
      </w:r>
    </w:p>
    <w:p>
      <w:pPr>
        <w:adjustRightInd w:val="0"/>
        <w:spacing w:line="360" w:lineRule="atLeast"/>
        <w:ind w:firstLine="420" w:firstLineChars="200"/>
        <w:rPr>
          <w:rFonts w:ascii="宋体"/>
          <w:color w:val="000000"/>
          <w:highlight w:val="none"/>
        </w:rPr>
      </w:pPr>
      <w:r>
        <w:rPr>
          <w:rFonts w:hint="eastAsia" w:ascii="宋体"/>
          <w:color w:val="000000"/>
          <w:highlight w:val="none"/>
        </w:rPr>
        <w:t>外购设备、工具、器具除设备本身的价格外，还应包括运杂费、仓库保管费、购买支持设备运行的软件系统的费用等，但不包括软件系统的后续技术服务费。自制的设备、工具、器具，按实际发生的全部支出计算。</w:t>
      </w:r>
    </w:p>
    <w:p>
      <w:pPr>
        <w:adjustRightInd w:val="0"/>
        <w:spacing w:line="360" w:lineRule="atLeast"/>
        <w:ind w:firstLine="420" w:firstLineChars="200"/>
        <w:rPr>
          <w:rFonts w:hint="eastAsia" w:ascii="宋体"/>
          <w:color w:val="000000"/>
          <w:highlight w:val="none"/>
        </w:rPr>
      </w:pPr>
      <w:r>
        <w:rPr>
          <w:rFonts w:hint="eastAsia" w:ascii="宋体"/>
          <w:color w:val="000000"/>
          <w:highlight w:val="none"/>
        </w:rPr>
        <w:t>设备工器具购置投资额应在设备到位后，结合实际安装或调试进度依据设备购置合同金额、会计科目或支付凭证填报。</w:t>
      </w:r>
    </w:p>
    <w:p>
      <w:pPr>
        <w:adjustRightInd w:val="0"/>
        <w:spacing w:line="360" w:lineRule="atLeast"/>
        <w:ind w:firstLine="420" w:firstLineChars="200"/>
        <w:rPr>
          <w:rFonts w:hint="eastAsia" w:ascii="宋体"/>
          <w:color w:val="000000"/>
          <w:highlight w:val="none"/>
        </w:rPr>
      </w:pPr>
      <w:r>
        <w:rPr>
          <w:rFonts w:ascii="黑体" w:eastAsia="黑体"/>
          <w:color w:val="000000"/>
          <w:highlight w:val="none"/>
        </w:rPr>
        <w:t>购</w:t>
      </w:r>
      <w:r>
        <w:rPr>
          <w:rFonts w:hint="eastAsia" w:ascii="黑体" w:eastAsia="黑体"/>
          <w:color w:val="000000"/>
          <w:highlight w:val="none"/>
        </w:rPr>
        <w:t>置旧设备</w:t>
      </w:r>
      <w:r>
        <w:rPr>
          <w:rStyle w:val="25"/>
          <w:rFonts w:hint="eastAsia" w:hAnsi="宋体"/>
          <w:color w:val="000000"/>
          <w:spacing w:val="-6"/>
          <w:szCs w:val="21"/>
          <w:highlight w:val="none"/>
        </w:rPr>
        <w:t xml:space="preserve">  </w:t>
      </w:r>
      <w:r>
        <w:rPr>
          <w:rFonts w:hint="eastAsia" w:ascii="宋体"/>
          <w:color w:val="000000"/>
          <w:highlight w:val="none"/>
        </w:rPr>
        <w:t>指从外单位购入的，已经使用过的各种设备，不包括从国外购进的旧设备。旧设备一般是指在国内其他单位作为固定资产使用过的设备。</w:t>
      </w:r>
    </w:p>
    <w:p>
      <w:pPr>
        <w:adjustRightInd w:val="0"/>
        <w:spacing w:line="360" w:lineRule="atLeast"/>
        <w:ind w:firstLine="420" w:firstLineChars="200"/>
        <w:rPr>
          <w:rFonts w:hint="eastAsia" w:ascii="宋体" w:hAnsi="宋体"/>
          <w:color w:val="000000"/>
          <w:spacing w:val="-6"/>
          <w:szCs w:val="21"/>
          <w:highlight w:val="none"/>
        </w:rPr>
      </w:pPr>
      <w:r>
        <w:rPr>
          <w:rFonts w:hint="eastAsia" w:ascii="宋体"/>
          <w:color w:val="000000"/>
          <w:highlight w:val="none"/>
        </w:rPr>
        <w:t>单纯购置旧设备的项目不填报固定资产投资项目表。为避免重复统计，购置旧设备费用超过500万及以上，不得纳入固定资产投资统计。</w:t>
      </w:r>
    </w:p>
    <w:p>
      <w:pPr>
        <w:adjustRightInd w:val="0"/>
        <w:spacing w:line="360" w:lineRule="atLeast"/>
        <w:ind w:firstLine="420" w:firstLineChars="200"/>
        <w:rPr>
          <w:rFonts w:ascii="Arial Unicode MS" w:hAnsi="Arial Unicode MS"/>
          <w:color w:val="000000"/>
          <w:spacing w:val="4"/>
          <w:szCs w:val="21"/>
        </w:rPr>
      </w:pPr>
      <w:r>
        <w:rPr>
          <w:rFonts w:hint="eastAsia" w:ascii="黑体" w:eastAsia="黑体"/>
          <w:color w:val="000000"/>
        </w:rPr>
        <w:t>其他费用</w:t>
      </w:r>
      <w:r>
        <w:rPr>
          <w:rFonts w:ascii="宋体" w:hAnsi="宋体"/>
          <w:color w:val="000000"/>
          <w:spacing w:val="-6"/>
          <w:szCs w:val="21"/>
        </w:rPr>
        <w:t xml:space="preserve">  </w:t>
      </w:r>
      <w:r>
        <w:rPr>
          <w:rFonts w:hint="eastAsia" w:ascii="宋体"/>
          <w:color w:val="000000"/>
          <w:spacing w:val="4"/>
        </w:rPr>
        <w:t>指在项目</w:t>
      </w:r>
      <w:r>
        <w:rPr>
          <w:rFonts w:ascii="宋体"/>
          <w:color w:val="000000"/>
          <w:spacing w:val="4"/>
        </w:rPr>
        <w:t>建设</w:t>
      </w:r>
      <w:r>
        <w:rPr>
          <w:rFonts w:hint="eastAsia" w:ascii="宋体"/>
          <w:color w:val="000000"/>
          <w:spacing w:val="4"/>
        </w:rPr>
        <w:t>过程中发生的，</w:t>
      </w:r>
      <w:r>
        <w:rPr>
          <w:rFonts w:hint="eastAsia" w:ascii="Arial Unicode MS" w:hAnsi="Arial Unicode MS"/>
          <w:color w:val="000000"/>
          <w:spacing w:val="4"/>
          <w:szCs w:val="21"/>
        </w:rPr>
        <w:t>除建筑安装工程和设备、工器具购置投资完成额以外的费用，不指经营中财务上的其他费用。用于项目建设的贷款的利息支出，在项目建设期应纳入统计，项目建成投产后不应纳入。</w:t>
      </w:r>
    </w:p>
    <w:p>
      <w:pPr>
        <w:adjustRightInd w:val="0"/>
        <w:spacing w:line="360" w:lineRule="atLeast"/>
        <w:ind w:firstLine="435"/>
        <w:rPr>
          <w:rFonts w:ascii="宋体"/>
          <w:color w:val="000000"/>
        </w:rPr>
      </w:pPr>
      <w:r>
        <w:rPr>
          <w:rFonts w:hint="eastAsia" w:ascii="宋体"/>
          <w:color w:val="000000"/>
        </w:rPr>
        <w:t>其他费用的价格一般按财务部门实际支付的金额计算。</w:t>
      </w:r>
    </w:p>
    <w:p>
      <w:pPr>
        <w:adjustRightInd w:val="0"/>
        <w:spacing w:line="360" w:lineRule="atLeast"/>
        <w:ind w:firstLine="435"/>
        <w:rPr>
          <w:rFonts w:ascii="宋体"/>
          <w:color w:val="000000"/>
        </w:rPr>
      </w:pPr>
      <w:r>
        <w:rPr>
          <w:rFonts w:hint="eastAsia" w:ascii="宋体"/>
          <w:color w:val="000000"/>
        </w:rPr>
        <w:t>项目前期费用（如设计勘察费、土地购置费等）在项目正式开工动土时计入投资。</w:t>
      </w:r>
    </w:p>
    <w:p>
      <w:pPr>
        <w:adjustRightInd w:val="0"/>
        <w:spacing w:line="360" w:lineRule="atLeast"/>
        <w:ind w:firstLine="420"/>
        <w:rPr>
          <w:rFonts w:hint="eastAsia" w:ascii="宋体"/>
          <w:color w:val="000000"/>
        </w:rPr>
      </w:pPr>
      <w:r>
        <w:rPr>
          <w:rFonts w:hint="eastAsia" w:ascii="宋体"/>
          <w:color w:val="000000"/>
        </w:rPr>
        <w:t>国内贷款利息按报告期实际支付的利息计算投资完成额，并作为增加固定资产的费用处理。利用国外资金或国家自有外汇购置的国外设备、工具、器具、材料以及支付的各种费用，按实际结算价格折合人民币计算。</w:t>
      </w:r>
    </w:p>
    <w:p>
      <w:pPr>
        <w:adjustRightInd w:val="0"/>
        <w:spacing w:line="360" w:lineRule="atLeast"/>
        <w:ind w:firstLine="420"/>
        <w:rPr>
          <w:rFonts w:ascii="宋体"/>
          <w:color w:val="000000"/>
        </w:rPr>
      </w:pPr>
      <w:r>
        <w:rPr>
          <w:rFonts w:hint="eastAsia" w:ascii="宋体"/>
          <w:color w:val="000000"/>
        </w:rPr>
        <w:t>其他费用的分摊问题：若多个项目统一征地拆迁，土地费用按照项目实际用地面积占比分摊，不得重复报送；若一笔贷款用于多个项目建设，且无法区分每个项目实际使用贷款数额，则利息支出按项目工程进度占比分摊。</w:t>
      </w:r>
    </w:p>
    <w:p>
      <w:pPr>
        <w:adjustRightInd w:val="0"/>
        <w:spacing w:line="360" w:lineRule="atLeast"/>
        <w:ind w:firstLine="420"/>
        <w:rPr>
          <w:rFonts w:hint="eastAsia" w:ascii="宋体"/>
          <w:color w:val="000000"/>
        </w:rPr>
      </w:pPr>
      <w:r>
        <w:rPr>
          <w:rFonts w:hint="eastAsia" w:ascii="宋体"/>
          <w:color w:val="000000"/>
        </w:rPr>
        <w:t>其他费用依据与项目相关的待摊支出、土地使用权（建设用地费）等会计科目或支付凭证填报。</w:t>
      </w:r>
    </w:p>
    <w:p>
      <w:pPr>
        <w:adjustRightInd w:val="0"/>
        <w:snapToGrid w:val="0"/>
        <w:spacing w:line="360" w:lineRule="exact"/>
        <w:ind w:firstLine="420" w:firstLineChars="200"/>
        <w:rPr>
          <w:rFonts w:hint="eastAsia" w:ascii="Arial Unicode MS" w:hAnsi="Arial Unicode MS"/>
          <w:color w:val="000000"/>
          <w:spacing w:val="8"/>
          <w:szCs w:val="21"/>
        </w:rPr>
      </w:pPr>
      <w:r>
        <w:rPr>
          <w:rFonts w:hint="eastAsia" w:ascii="黑体" w:hAnsi="Arial Unicode MS" w:eastAsia="黑体"/>
          <w:color w:val="000000"/>
          <w:szCs w:val="21"/>
        </w:rPr>
        <w:t xml:space="preserve">旧建筑物购置费  </w:t>
      </w:r>
      <w:r>
        <w:rPr>
          <w:rFonts w:hint="eastAsia" w:ascii="Arial Unicode MS" w:hAnsi="Arial Unicode MS"/>
          <w:color w:val="000000"/>
          <w:spacing w:val="8"/>
          <w:szCs w:val="21"/>
        </w:rPr>
        <w:t>指购置已使用过的各种旧房屋及其他建筑物，即对旧房屋及其他建筑物的赔偿费。</w:t>
      </w:r>
    </w:p>
    <w:p>
      <w:pPr>
        <w:adjustRightInd w:val="0"/>
        <w:spacing w:line="360" w:lineRule="atLeast"/>
        <w:ind w:firstLine="420"/>
        <w:rPr>
          <w:rFonts w:hint="eastAsia" w:ascii="宋体"/>
          <w:color w:val="000000"/>
        </w:rPr>
      </w:pPr>
      <w:r>
        <w:rPr>
          <w:rFonts w:hint="eastAsia" w:ascii="宋体"/>
          <w:color w:val="000000"/>
        </w:rPr>
        <w:t>单纯购置旧建筑物的项目不填报固定资产投资项目表。购买建筑物（无论新旧）后进行单纯装修，不得纳入固定资产投资统计。</w:t>
      </w:r>
    </w:p>
    <w:p>
      <w:pPr>
        <w:adjustRightInd w:val="0"/>
        <w:spacing w:line="360" w:lineRule="atLeast"/>
        <w:ind w:firstLine="420" w:firstLineChars="200"/>
        <w:rPr>
          <w:rFonts w:hint="eastAsia" w:ascii="宋体"/>
          <w:color w:val="000000"/>
        </w:rPr>
      </w:pPr>
      <w:r>
        <w:rPr>
          <w:rFonts w:hint="eastAsia" w:ascii="黑体" w:eastAsia="黑体"/>
          <w:color w:val="000000"/>
        </w:rPr>
        <w:t>建设用地费</w:t>
      </w:r>
      <w:r>
        <w:rPr>
          <w:rFonts w:hint="eastAsia" w:ascii="宋体"/>
          <w:color w:val="000000"/>
        </w:rPr>
        <w:t xml:space="preserve">  指建设项目通过各种方式取得土地使用权而支付的费用，包括以下内容：</w:t>
      </w:r>
    </w:p>
    <w:p>
      <w:pPr>
        <w:adjustRightInd w:val="0"/>
        <w:spacing w:line="360" w:lineRule="atLeast"/>
        <w:ind w:firstLine="420" w:firstLineChars="200"/>
        <w:rPr>
          <w:rFonts w:hint="eastAsia" w:ascii="宋体"/>
          <w:color w:val="000000"/>
        </w:rPr>
      </w:pPr>
      <w:r>
        <w:rPr>
          <w:rFonts w:hint="eastAsia" w:ascii="宋体"/>
          <w:color w:val="000000"/>
        </w:rPr>
        <w:t>（1）土地购置费</w:t>
      </w:r>
    </w:p>
    <w:p>
      <w:pPr>
        <w:adjustRightInd w:val="0"/>
        <w:spacing w:line="360" w:lineRule="atLeast"/>
        <w:ind w:firstLine="420" w:firstLineChars="200"/>
        <w:rPr>
          <w:rFonts w:hint="eastAsia" w:ascii="宋体"/>
          <w:color w:val="000000"/>
        </w:rPr>
      </w:pPr>
      <w:r>
        <w:rPr>
          <w:rFonts w:hint="eastAsia" w:ascii="宋体"/>
          <w:color w:val="000000"/>
        </w:rPr>
        <w:t>指通过出让方式取得土地使用权而支付的出让金。</w:t>
      </w:r>
    </w:p>
    <w:p>
      <w:pPr>
        <w:adjustRightInd w:val="0"/>
        <w:spacing w:line="360" w:lineRule="atLeast"/>
        <w:ind w:firstLine="420" w:firstLineChars="200"/>
        <w:rPr>
          <w:rFonts w:hint="eastAsia" w:ascii="宋体"/>
          <w:color w:val="000000"/>
        </w:rPr>
      </w:pPr>
      <w:r>
        <w:rPr>
          <w:rFonts w:hint="eastAsia" w:ascii="宋体"/>
          <w:color w:val="000000"/>
        </w:rPr>
        <w:t>（2）土地征用及迁移补偿费</w:t>
      </w:r>
    </w:p>
    <w:p>
      <w:pPr>
        <w:adjustRightInd w:val="0"/>
        <w:spacing w:line="360" w:lineRule="atLeast"/>
        <w:ind w:firstLine="420" w:firstLineChars="200"/>
        <w:rPr>
          <w:rFonts w:hint="eastAsia" w:ascii="宋体"/>
          <w:color w:val="000000"/>
        </w:rPr>
      </w:pPr>
      <w:r>
        <w:rPr>
          <w:rFonts w:hint="eastAsia" w:ascii="宋体"/>
          <w:color w:val="000000"/>
        </w:rPr>
        <w:t>指通过划拨方式取得的土地使用权所支付的土地补偿费、附着物（房屋和树木等）和青苗补偿费、安置补偿费、征地动迁费、水利、水电工程、水库淹没处理补偿费以及土地征收管理费等。</w:t>
      </w:r>
    </w:p>
    <w:p>
      <w:pPr>
        <w:adjustRightInd w:val="0"/>
        <w:spacing w:line="360" w:lineRule="atLeast"/>
        <w:ind w:firstLine="420" w:firstLineChars="200"/>
        <w:rPr>
          <w:rFonts w:hint="eastAsia" w:ascii="宋体"/>
          <w:color w:val="000000"/>
        </w:rPr>
      </w:pPr>
      <w:r>
        <w:rPr>
          <w:rFonts w:hint="eastAsia" w:ascii="宋体"/>
          <w:color w:val="000000"/>
        </w:rPr>
        <w:t>（3）土地复垦及补偿费</w:t>
      </w:r>
    </w:p>
    <w:p>
      <w:pPr>
        <w:adjustRightInd w:val="0"/>
        <w:spacing w:line="360" w:lineRule="atLeast"/>
        <w:ind w:firstLine="420" w:firstLineChars="200"/>
        <w:rPr>
          <w:rFonts w:hint="eastAsia" w:ascii="宋体"/>
          <w:color w:val="000000"/>
        </w:rPr>
      </w:pPr>
      <w:r>
        <w:rPr>
          <w:rFonts w:hint="eastAsia" w:ascii="宋体"/>
          <w:color w:val="000000"/>
        </w:rPr>
        <w:t>指建设单位在建设过程中破坏的土地，按规定支付的土地复垦费用和土地损失补偿费用。</w:t>
      </w:r>
    </w:p>
    <w:p>
      <w:pPr>
        <w:adjustRightInd w:val="0"/>
        <w:spacing w:line="360" w:lineRule="atLeast"/>
        <w:ind w:firstLine="420" w:firstLineChars="200"/>
        <w:rPr>
          <w:rFonts w:hint="eastAsia" w:ascii="宋体"/>
          <w:color w:val="000000"/>
        </w:rPr>
      </w:pPr>
      <w:r>
        <w:rPr>
          <w:rFonts w:hint="eastAsia" w:ascii="宋体"/>
          <w:color w:val="000000"/>
        </w:rPr>
        <w:t>（4）土地使用税</w:t>
      </w:r>
    </w:p>
    <w:p>
      <w:pPr>
        <w:adjustRightInd w:val="0"/>
        <w:spacing w:line="360" w:lineRule="atLeast"/>
        <w:ind w:firstLine="420" w:firstLineChars="200"/>
        <w:rPr>
          <w:rFonts w:hint="eastAsia" w:ascii="宋体"/>
          <w:color w:val="000000"/>
        </w:rPr>
      </w:pPr>
      <w:r>
        <w:rPr>
          <w:rFonts w:hint="eastAsia" w:ascii="宋体"/>
          <w:color w:val="000000"/>
        </w:rPr>
        <w:t>指建设期间按规定缴纳的土地使用税。</w:t>
      </w:r>
      <w:r>
        <w:rPr>
          <w:rFonts w:ascii="宋体"/>
          <w:color w:val="000000"/>
        </w:rPr>
        <w:t>土地使用税，是指在城市、县城、建制镇、工矿区范围内使用土地的单位和个人，以实际占用的土地面积为计税依据，依照规定由土地所在地的税务机关征收的一种税赋。由于土地使用税只在县城以上城市征收，因此也称城镇土地使用税</w:t>
      </w:r>
      <w:r>
        <w:rPr>
          <w:rFonts w:hint="eastAsia" w:ascii="宋体"/>
          <w:color w:val="000000"/>
        </w:rPr>
        <w:t>。</w:t>
      </w:r>
    </w:p>
    <w:p>
      <w:pPr>
        <w:adjustRightInd w:val="0"/>
        <w:spacing w:line="360" w:lineRule="atLeast"/>
        <w:ind w:firstLine="420" w:firstLineChars="200"/>
        <w:rPr>
          <w:rFonts w:hint="eastAsia" w:ascii="宋体"/>
          <w:color w:val="000000"/>
        </w:rPr>
      </w:pPr>
      <w:r>
        <w:rPr>
          <w:rFonts w:hint="eastAsia" w:ascii="宋体"/>
          <w:color w:val="000000"/>
        </w:rPr>
        <w:t>（5）耕地占用税</w:t>
      </w:r>
    </w:p>
    <w:p>
      <w:pPr>
        <w:adjustRightInd w:val="0"/>
        <w:spacing w:line="360" w:lineRule="atLeast"/>
        <w:ind w:firstLine="420" w:firstLineChars="200"/>
        <w:rPr>
          <w:rFonts w:hint="eastAsia" w:ascii="宋体"/>
          <w:color w:val="000000"/>
        </w:rPr>
      </w:pPr>
      <w:r>
        <w:rPr>
          <w:rFonts w:hint="eastAsia" w:ascii="宋体"/>
          <w:color w:val="000000"/>
        </w:rPr>
        <w:t>指建设单位按规定缴纳的耕地占用税。</w:t>
      </w:r>
      <w:r>
        <w:rPr>
          <w:rFonts w:ascii="宋体"/>
          <w:color w:val="000000"/>
        </w:rPr>
        <w:t>对占用耕地建房或者从事其他非农建设为征收对象的税种，属于一次性税收。纳税人是占用耕地建房或从事其他非农建设的单位和个人。耕地占用税采用定额税率，其标准取决于人均占有耕地的数量和经济发达程度</w:t>
      </w:r>
      <w:r>
        <w:rPr>
          <w:rFonts w:hint="eastAsia" w:ascii="宋体"/>
          <w:color w:val="000000"/>
        </w:rPr>
        <w:t>。</w:t>
      </w:r>
    </w:p>
    <w:p>
      <w:pPr>
        <w:adjustRightInd w:val="0"/>
        <w:spacing w:line="360" w:lineRule="atLeast"/>
        <w:ind w:firstLine="420" w:firstLineChars="200"/>
        <w:rPr>
          <w:rFonts w:hint="eastAsia" w:ascii="宋体" w:hAnsi="宋体"/>
          <w:color w:val="000000"/>
        </w:rPr>
      </w:pPr>
      <w:r>
        <w:rPr>
          <w:rFonts w:hint="eastAsia" w:ascii="宋体" w:hAnsi="宋体"/>
          <w:color w:val="000000"/>
        </w:rPr>
        <w:t>（6）</w:t>
      </w:r>
      <w:r>
        <w:rPr>
          <w:rFonts w:ascii="宋体" w:hAnsi="宋体"/>
          <w:color w:val="000000"/>
        </w:rPr>
        <w:t>契税</w:t>
      </w:r>
    </w:p>
    <w:p>
      <w:pPr>
        <w:adjustRightInd w:val="0"/>
        <w:spacing w:line="360" w:lineRule="atLeast"/>
        <w:ind w:firstLine="420" w:firstLineChars="200"/>
        <w:rPr>
          <w:rStyle w:val="20"/>
          <w:rFonts w:ascii="宋体" w:hAnsi="宋体"/>
          <w:i w:val="0"/>
          <w:color w:val="000000"/>
        </w:rPr>
      </w:pPr>
      <w:r>
        <w:rPr>
          <w:rStyle w:val="20"/>
          <w:rFonts w:ascii="宋体" w:hAnsi="宋体"/>
          <w:i w:val="0"/>
          <w:color w:val="000000"/>
        </w:rPr>
        <w:t>是以所有权发生转移变动的不动产为征税对象，向产权承受人征收的一种财产税。应缴税范围包括：土地使用权出售、赠与和交换</w:t>
      </w:r>
      <w:r>
        <w:rPr>
          <w:rStyle w:val="20"/>
          <w:rFonts w:hint="eastAsia" w:ascii="宋体" w:hAnsi="宋体"/>
          <w:i w:val="0"/>
          <w:color w:val="000000"/>
        </w:rPr>
        <w:t>、</w:t>
      </w:r>
      <w:r>
        <w:rPr>
          <w:rStyle w:val="20"/>
          <w:rFonts w:ascii="宋体" w:hAnsi="宋体"/>
          <w:i w:val="0"/>
          <w:color w:val="000000"/>
        </w:rPr>
        <w:t>房屋买卖</w:t>
      </w:r>
      <w:r>
        <w:rPr>
          <w:rStyle w:val="20"/>
          <w:rFonts w:hint="eastAsia" w:ascii="宋体" w:hAnsi="宋体"/>
          <w:i w:val="0"/>
          <w:color w:val="000000"/>
        </w:rPr>
        <w:t>、</w:t>
      </w:r>
      <w:r>
        <w:rPr>
          <w:rStyle w:val="20"/>
          <w:rFonts w:ascii="宋体" w:hAnsi="宋体"/>
          <w:i w:val="0"/>
          <w:color w:val="000000"/>
        </w:rPr>
        <w:t>房屋赠与</w:t>
      </w:r>
      <w:r>
        <w:rPr>
          <w:rStyle w:val="20"/>
          <w:rFonts w:hint="eastAsia" w:ascii="宋体" w:hAnsi="宋体"/>
          <w:i w:val="0"/>
          <w:color w:val="000000"/>
        </w:rPr>
        <w:t>、</w:t>
      </w:r>
      <w:r>
        <w:rPr>
          <w:rStyle w:val="20"/>
          <w:rFonts w:ascii="宋体" w:hAnsi="宋体"/>
          <w:i w:val="0"/>
          <w:color w:val="000000"/>
        </w:rPr>
        <w:t>房屋交换等。</w:t>
      </w:r>
    </w:p>
    <w:p>
      <w:pPr>
        <w:pStyle w:val="2"/>
        <w:spacing w:after="0"/>
        <w:ind w:left="0" w:leftChars="0" w:firstLine="420"/>
        <w:rPr>
          <w:rStyle w:val="20"/>
          <w:rFonts w:ascii="宋体" w:hAnsi="宋体"/>
          <w:i w:val="0"/>
          <w:color w:val="000000"/>
        </w:rPr>
      </w:pPr>
      <w:r>
        <w:rPr>
          <w:rStyle w:val="20"/>
          <w:rFonts w:hint="eastAsia" w:ascii="宋体" w:hAnsi="宋体"/>
          <w:i w:val="0"/>
          <w:color w:val="000000"/>
        </w:rPr>
        <w:t>（7）失地农民养老保险。</w:t>
      </w:r>
    </w:p>
    <w:p>
      <w:pPr>
        <w:pStyle w:val="2"/>
        <w:spacing w:after="0"/>
        <w:ind w:left="0" w:leftChars="0" w:firstLine="420"/>
        <w:rPr>
          <w:rStyle w:val="20"/>
          <w:rFonts w:hint="eastAsia" w:ascii="宋体" w:hAnsi="宋体"/>
          <w:i w:val="0"/>
          <w:color w:val="000000"/>
        </w:rPr>
      </w:pPr>
      <w:r>
        <w:rPr>
          <w:rStyle w:val="20"/>
          <w:rFonts w:hint="eastAsia" w:ascii="宋体" w:hAnsi="宋体"/>
          <w:i w:val="0"/>
          <w:color w:val="000000"/>
        </w:rPr>
        <w:t>指为保障失地农民的权益，政府出台失地养老保险制度，将失地农民纳入社保，从而解决其长期基本生活保障的需要。包括：失地农民基本生活保障资金、社会保障风险准备金、政府补助资金等。</w:t>
      </w:r>
    </w:p>
    <w:p>
      <w:pPr>
        <w:spacing w:before="156" w:beforeLines="50" w:line="360" w:lineRule="atLeast"/>
        <w:jc w:val="center"/>
        <w:rPr>
          <w:rFonts w:hint="eastAsia" w:ascii="黑体" w:hAnsi="黑体" w:eastAsia="黑体"/>
          <w:color w:val="000000"/>
          <w:sz w:val="18"/>
          <w:szCs w:val="18"/>
        </w:rPr>
      </w:pPr>
      <w:r>
        <w:rPr>
          <w:rFonts w:hint="eastAsia" w:ascii="黑体" w:hAnsi="黑体" w:eastAsia="黑体" w:cs="宋体"/>
          <w:color w:val="000000"/>
          <w:kern w:val="0"/>
          <w:sz w:val="18"/>
          <w:szCs w:val="18"/>
        </w:rPr>
        <w:t>投资</w:t>
      </w:r>
      <w:r>
        <w:rPr>
          <w:rFonts w:ascii="黑体" w:hAnsi="黑体" w:eastAsia="黑体" w:cs="宋体"/>
          <w:color w:val="000000"/>
          <w:kern w:val="0"/>
          <w:sz w:val="18"/>
          <w:szCs w:val="18"/>
        </w:rPr>
        <w:t>项目</w:t>
      </w:r>
      <w:r>
        <w:rPr>
          <w:rFonts w:hint="eastAsia" w:ascii="黑体" w:hAnsi="黑体" w:eastAsia="黑体" w:cs="宋体"/>
          <w:color w:val="000000"/>
          <w:kern w:val="0"/>
          <w:sz w:val="18"/>
          <w:szCs w:val="18"/>
        </w:rPr>
        <w:t>主要指标填报依据一览表</w:t>
      </w:r>
    </w:p>
    <w:tbl>
      <w:tblPr>
        <w:tblStyle w:val="17"/>
        <w:tblW w:w="4925" w:type="pct"/>
        <w:jc w:val="center"/>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Layout w:type="autofit"/>
        <w:tblCellMar>
          <w:top w:w="0" w:type="dxa"/>
          <w:left w:w="0" w:type="dxa"/>
          <w:bottom w:w="0" w:type="dxa"/>
          <w:right w:w="0" w:type="dxa"/>
        </w:tblCellMar>
      </w:tblPr>
      <w:tblGrid>
        <w:gridCol w:w="1333"/>
        <w:gridCol w:w="3534"/>
        <w:gridCol w:w="4778"/>
      </w:tblGrid>
      <w:tr>
        <w:tblPrEx>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CellMar>
            <w:top w:w="0" w:type="dxa"/>
            <w:left w:w="0" w:type="dxa"/>
            <w:bottom w:w="0" w:type="dxa"/>
            <w:right w:w="0" w:type="dxa"/>
          </w:tblCellMar>
        </w:tblPrEx>
        <w:trPr>
          <w:trHeight w:val="363" w:hRule="atLeast"/>
          <w:jc w:val="center"/>
        </w:trPr>
        <w:tc>
          <w:tcPr>
            <w:tcW w:w="691" w:type="pct"/>
            <w:noWrap w:val="0"/>
            <w:tcMar>
              <w:top w:w="72" w:type="dxa"/>
              <w:left w:w="144" w:type="dxa"/>
              <w:bottom w:w="72" w:type="dxa"/>
              <w:right w:w="144" w:type="dxa"/>
            </w:tcMar>
            <w:vAlign w:val="center"/>
          </w:tcPr>
          <w:p>
            <w:pPr>
              <w:jc w:val="center"/>
              <w:rPr>
                <w:rFonts w:ascii="宋体"/>
                <w:b/>
                <w:color w:val="000000"/>
                <w:sz w:val="18"/>
                <w:szCs w:val="18"/>
              </w:rPr>
            </w:pPr>
            <w:r>
              <w:rPr>
                <w:rFonts w:ascii="宋体"/>
                <w:b/>
                <w:bCs/>
                <w:color w:val="000000"/>
                <w:sz w:val="18"/>
                <w:szCs w:val="18"/>
              </w:rPr>
              <w:t>指标名称</w:t>
            </w:r>
          </w:p>
        </w:tc>
        <w:tc>
          <w:tcPr>
            <w:tcW w:w="1832" w:type="pct"/>
            <w:noWrap w:val="0"/>
            <w:tcMar>
              <w:top w:w="72" w:type="dxa"/>
              <w:left w:w="144" w:type="dxa"/>
              <w:bottom w:w="72" w:type="dxa"/>
              <w:right w:w="144" w:type="dxa"/>
            </w:tcMar>
            <w:vAlign w:val="center"/>
          </w:tcPr>
          <w:p>
            <w:pPr>
              <w:jc w:val="center"/>
              <w:rPr>
                <w:rFonts w:ascii="宋体"/>
                <w:b/>
                <w:color w:val="000000"/>
                <w:sz w:val="18"/>
                <w:szCs w:val="18"/>
              </w:rPr>
            </w:pPr>
            <w:r>
              <w:rPr>
                <w:rFonts w:ascii="宋体"/>
                <w:b/>
                <w:bCs/>
                <w:color w:val="000000"/>
                <w:sz w:val="18"/>
                <w:szCs w:val="18"/>
              </w:rPr>
              <w:t>填报依据</w:t>
            </w:r>
          </w:p>
        </w:tc>
        <w:tc>
          <w:tcPr>
            <w:tcW w:w="2477" w:type="pct"/>
            <w:noWrap w:val="0"/>
            <w:vAlign w:val="center"/>
          </w:tcPr>
          <w:p>
            <w:pPr>
              <w:jc w:val="center"/>
              <w:rPr>
                <w:rFonts w:ascii="宋体"/>
                <w:b/>
                <w:bCs/>
                <w:color w:val="000000"/>
                <w:sz w:val="18"/>
                <w:szCs w:val="18"/>
              </w:rPr>
            </w:pPr>
            <w:r>
              <w:rPr>
                <w:rFonts w:ascii="宋体"/>
                <w:b/>
                <w:bCs/>
                <w:color w:val="000000"/>
                <w:sz w:val="18"/>
                <w:szCs w:val="18"/>
              </w:rPr>
              <w:t>注意事项及报送要求</w:t>
            </w:r>
          </w:p>
        </w:tc>
      </w:tr>
      <w:tr>
        <w:tblPrEx>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PrEx>
        <w:trPr>
          <w:trHeight w:val="73" w:hRule="atLeast"/>
          <w:jc w:val="center"/>
        </w:trPr>
        <w:tc>
          <w:tcPr>
            <w:tcW w:w="691"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（1）</w:t>
            </w:r>
            <w:r>
              <w:rPr>
                <w:rFonts w:ascii="宋体"/>
                <w:bCs/>
                <w:color w:val="000000"/>
                <w:sz w:val="18"/>
                <w:szCs w:val="18"/>
              </w:rPr>
              <w:t>建筑工程</w:t>
            </w:r>
            <w:r>
              <w:rPr>
                <w:rFonts w:hint="eastAsia" w:ascii="宋体"/>
                <w:bCs/>
                <w:color w:val="000000"/>
                <w:sz w:val="18"/>
                <w:szCs w:val="18"/>
              </w:rPr>
              <w:t>、</w:t>
            </w:r>
            <w:r>
              <w:rPr>
                <w:rFonts w:ascii="宋体"/>
                <w:bCs/>
                <w:color w:val="000000"/>
                <w:sz w:val="18"/>
                <w:szCs w:val="18"/>
              </w:rPr>
              <w:t>安装工程</w:t>
            </w:r>
          </w:p>
        </w:tc>
        <w:tc>
          <w:tcPr>
            <w:tcW w:w="1832"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①工程结算单或进度单（三方签字盖章）</w:t>
            </w:r>
          </w:p>
          <w:p>
            <w:pPr>
              <w:rPr>
                <w:rFonts w:ascii="宋体"/>
                <w:bCs/>
                <w:color w:val="000000"/>
                <w:sz w:val="18"/>
                <w:szCs w:val="18"/>
              </w:rPr>
            </w:pPr>
            <w:r>
              <w:rPr>
                <w:rFonts w:hint="eastAsia" w:ascii="宋体"/>
                <w:bCs/>
                <w:color w:val="000000"/>
                <w:sz w:val="18"/>
                <w:szCs w:val="18"/>
              </w:rPr>
              <w:t>②会计科目或支付凭证，主要对应会计科目为：在建工程</w:t>
            </w:r>
            <w:r>
              <w:rPr>
                <w:rFonts w:ascii="宋体"/>
                <w:bCs/>
                <w:color w:val="000000"/>
                <w:sz w:val="18"/>
                <w:szCs w:val="18"/>
              </w:rPr>
              <w:t>—</w:t>
            </w:r>
            <w:r>
              <w:rPr>
                <w:rFonts w:hint="eastAsia" w:ascii="宋体"/>
                <w:bCs/>
                <w:color w:val="000000"/>
                <w:sz w:val="18"/>
                <w:szCs w:val="18"/>
              </w:rPr>
              <w:t>建筑安装工程</w:t>
            </w:r>
          </w:p>
          <w:p>
            <w:pPr>
              <w:rPr>
                <w:rFonts w:hint="eastAsia" w:ascii="宋体"/>
                <w:bCs/>
                <w:color w:val="000000"/>
                <w:sz w:val="18"/>
                <w:szCs w:val="18"/>
              </w:rPr>
            </w:pPr>
          </w:p>
        </w:tc>
        <w:tc>
          <w:tcPr>
            <w:tcW w:w="2477" w:type="pct"/>
            <w:noWrap w:val="0"/>
            <w:vAlign w:val="top"/>
          </w:tcPr>
          <w:p>
            <w:pPr>
              <w:ind w:left="105"/>
              <w:rPr>
                <w:rFonts w:hint="eastAsia" w:ascii="宋体"/>
                <w:bCs/>
                <w:color w:val="000000"/>
                <w:sz w:val="18"/>
                <w:szCs w:val="18"/>
              </w:rPr>
            </w:pPr>
            <w:r>
              <w:rPr>
                <w:rFonts w:hint="eastAsia" w:ascii="宋体"/>
                <w:bCs/>
                <w:color w:val="000000"/>
                <w:sz w:val="18"/>
                <w:szCs w:val="18"/>
              </w:rPr>
              <w:t>①</w:t>
            </w:r>
            <w:r>
              <w:rPr>
                <w:rFonts w:ascii="宋体"/>
                <w:bCs/>
                <w:color w:val="000000"/>
                <w:sz w:val="18"/>
                <w:szCs w:val="18"/>
              </w:rPr>
              <w:t>调查单位可在两</w:t>
            </w:r>
            <w:r>
              <w:rPr>
                <w:rFonts w:hint="eastAsia" w:ascii="宋体"/>
                <w:bCs/>
                <w:color w:val="000000"/>
                <w:sz w:val="18"/>
                <w:szCs w:val="18"/>
              </w:rPr>
              <w:t>类</w:t>
            </w:r>
            <w:r>
              <w:rPr>
                <w:rFonts w:ascii="宋体"/>
                <w:bCs/>
                <w:color w:val="000000"/>
                <w:sz w:val="18"/>
                <w:szCs w:val="18"/>
              </w:rPr>
              <w:t>中择一</w:t>
            </w:r>
            <w:r>
              <w:rPr>
                <w:rFonts w:hint="eastAsia" w:ascii="宋体"/>
                <w:bCs/>
                <w:color w:val="000000"/>
                <w:sz w:val="18"/>
                <w:szCs w:val="18"/>
              </w:rPr>
              <w:t>作为</w:t>
            </w:r>
            <w:r>
              <w:rPr>
                <w:rFonts w:ascii="宋体"/>
                <w:bCs/>
                <w:color w:val="000000"/>
                <w:sz w:val="18"/>
                <w:szCs w:val="18"/>
              </w:rPr>
              <w:t>填报</w:t>
            </w:r>
            <w:r>
              <w:rPr>
                <w:rFonts w:hint="eastAsia" w:ascii="宋体"/>
                <w:bCs/>
                <w:color w:val="000000"/>
                <w:sz w:val="18"/>
                <w:szCs w:val="18"/>
              </w:rPr>
              <w:t>项目</w:t>
            </w:r>
            <w:r>
              <w:rPr>
                <w:rFonts w:ascii="宋体"/>
                <w:bCs/>
                <w:color w:val="000000"/>
                <w:sz w:val="18"/>
                <w:szCs w:val="18"/>
              </w:rPr>
              <w:t>建筑</w:t>
            </w:r>
            <w:r>
              <w:rPr>
                <w:rFonts w:hint="eastAsia" w:ascii="宋体"/>
                <w:bCs/>
                <w:color w:val="000000"/>
                <w:sz w:val="18"/>
                <w:szCs w:val="18"/>
              </w:rPr>
              <w:t>工程</w:t>
            </w:r>
            <w:r>
              <w:rPr>
                <w:rFonts w:ascii="宋体"/>
                <w:bCs/>
                <w:color w:val="000000"/>
                <w:sz w:val="18"/>
                <w:szCs w:val="18"/>
              </w:rPr>
              <w:t>、安装工程投资</w:t>
            </w:r>
            <w:r>
              <w:rPr>
                <w:rFonts w:hint="eastAsia" w:ascii="宋体"/>
                <w:bCs/>
                <w:color w:val="000000"/>
                <w:sz w:val="18"/>
                <w:szCs w:val="18"/>
              </w:rPr>
              <w:t>的</w:t>
            </w:r>
            <w:r>
              <w:rPr>
                <w:rFonts w:ascii="宋体"/>
                <w:bCs/>
                <w:color w:val="000000"/>
                <w:sz w:val="18"/>
                <w:szCs w:val="18"/>
              </w:rPr>
              <w:t>依据</w:t>
            </w:r>
            <w:r>
              <w:rPr>
                <w:rFonts w:hint="eastAsia" w:ascii="宋体"/>
                <w:bCs/>
                <w:color w:val="000000"/>
                <w:sz w:val="18"/>
                <w:szCs w:val="18"/>
              </w:rPr>
              <w:t>，</w:t>
            </w:r>
            <w:r>
              <w:rPr>
                <w:rFonts w:ascii="宋体"/>
                <w:bCs/>
                <w:color w:val="000000"/>
                <w:sz w:val="18"/>
                <w:szCs w:val="18"/>
              </w:rPr>
              <w:t>并在</w:t>
            </w:r>
            <w:r>
              <w:rPr>
                <w:rFonts w:hint="eastAsia" w:ascii="宋体"/>
                <w:bCs/>
                <w:color w:val="000000"/>
                <w:sz w:val="18"/>
                <w:szCs w:val="18"/>
              </w:rPr>
              <w:t>该</w:t>
            </w:r>
            <w:r>
              <w:rPr>
                <w:rFonts w:ascii="宋体"/>
                <w:bCs/>
                <w:color w:val="000000"/>
                <w:sz w:val="18"/>
                <w:szCs w:val="18"/>
              </w:rPr>
              <w:t>项目期间保持一致</w:t>
            </w:r>
            <w:r>
              <w:rPr>
                <w:rFonts w:hint="eastAsia" w:ascii="宋体"/>
                <w:bCs/>
                <w:color w:val="000000"/>
                <w:sz w:val="18"/>
                <w:szCs w:val="18"/>
              </w:rPr>
              <w:t>。若确</w:t>
            </w:r>
            <w:r>
              <w:rPr>
                <w:rFonts w:ascii="宋体"/>
                <w:bCs/>
                <w:color w:val="000000"/>
                <w:sz w:val="18"/>
                <w:szCs w:val="18"/>
              </w:rPr>
              <w:t>需变更</w:t>
            </w:r>
            <w:r>
              <w:rPr>
                <w:rFonts w:hint="eastAsia" w:ascii="宋体"/>
                <w:bCs/>
                <w:color w:val="000000"/>
                <w:sz w:val="18"/>
                <w:szCs w:val="18"/>
              </w:rPr>
              <w:t>填报</w:t>
            </w:r>
            <w:r>
              <w:rPr>
                <w:rFonts w:ascii="宋体"/>
                <w:bCs/>
                <w:color w:val="000000"/>
                <w:sz w:val="18"/>
                <w:szCs w:val="18"/>
              </w:rPr>
              <w:t>依据，调查单位按照变更前后的依据分别计算项目的累计投资额和本年完成投资额，报省级投资处审核确定后，</w:t>
            </w:r>
            <w:r>
              <w:rPr>
                <w:rFonts w:hint="eastAsia" w:ascii="宋体"/>
                <w:bCs/>
                <w:color w:val="000000"/>
                <w:sz w:val="18"/>
                <w:szCs w:val="18"/>
              </w:rPr>
              <w:t>由</w:t>
            </w:r>
            <w:r>
              <w:rPr>
                <w:rFonts w:ascii="宋体"/>
                <w:bCs/>
                <w:color w:val="000000"/>
                <w:sz w:val="18"/>
                <w:szCs w:val="18"/>
              </w:rPr>
              <w:t>投资司变更。对</w:t>
            </w:r>
            <w:r>
              <w:rPr>
                <w:rFonts w:hint="eastAsia" w:ascii="宋体"/>
                <w:bCs/>
                <w:color w:val="000000"/>
                <w:sz w:val="18"/>
                <w:szCs w:val="18"/>
              </w:rPr>
              <w:t>执行</w:t>
            </w:r>
            <w:r>
              <w:rPr>
                <w:rFonts w:ascii="宋体"/>
                <w:bCs/>
                <w:color w:val="000000"/>
                <w:sz w:val="18"/>
                <w:szCs w:val="18"/>
              </w:rPr>
              <w:t>企业会计准则的调查</w:t>
            </w:r>
            <w:r>
              <w:rPr>
                <w:rFonts w:hint="eastAsia" w:ascii="宋体"/>
                <w:bCs/>
                <w:color w:val="000000"/>
                <w:sz w:val="18"/>
                <w:szCs w:val="18"/>
              </w:rPr>
              <w:t>单位</w:t>
            </w:r>
            <w:r>
              <w:rPr>
                <w:rFonts w:ascii="宋体"/>
                <w:bCs/>
                <w:color w:val="000000"/>
                <w:sz w:val="18"/>
                <w:szCs w:val="18"/>
              </w:rPr>
              <w:t>的新入库项目，建议采用会计科目或支付凭证作为填报依据。</w:t>
            </w:r>
          </w:p>
          <w:p>
            <w:pPr>
              <w:ind w:left="105" w:leftChars="50"/>
              <w:rPr>
                <w:rFonts w:ascii="宋体" w:hAnsi="宋体"/>
                <w:bCs/>
                <w:color w:val="000000"/>
                <w:sz w:val="18"/>
                <w:szCs w:val="18"/>
              </w:rPr>
            </w:pPr>
            <w:r>
              <w:rPr>
                <w:rFonts w:hint="eastAsia" w:ascii="宋体" w:hAnsi="宋体"/>
                <w:bCs/>
                <w:color w:val="000000"/>
                <w:sz w:val="18"/>
                <w:szCs w:val="18"/>
              </w:rPr>
              <w:t>②项目开工后报送建筑安装工程投资。依据会计科目填报</w:t>
            </w:r>
            <w:r>
              <w:rPr>
                <w:rFonts w:ascii="宋体" w:hAnsi="宋体"/>
                <w:bCs/>
                <w:color w:val="000000"/>
                <w:sz w:val="18"/>
                <w:szCs w:val="18"/>
              </w:rPr>
              <w:t>的，</w:t>
            </w:r>
            <w:r>
              <w:rPr>
                <w:rFonts w:hint="eastAsia" w:ascii="宋体" w:hAnsi="宋体"/>
                <w:bCs/>
                <w:color w:val="000000"/>
                <w:sz w:val="18"/>
                <w:szCs w:val="18"/>
              </w:rPr>
              <w:t>项目竣工投产后，会计</w:t>
            </w:r>
            <w:r>
              <w:rPr>
                <w:rFonts w:ascii="宋体" w:hAnsi="宋体"/>
                <w:bCs/>
                <w:color w:val="000000"/>
                <w:sz w:val="18"/>
                <w:szCs w:val="18"/>
              </w:rPr>
              <w:t>科目中将</w:t>
            </w:r>
            <w:r>
              <w:rPr>
                <w:rFonts w:hint="eastAsia" w:ascii="宋体" w:hAnsi="宋体"/>
                <w:bCs/>
                <w:color w:val="000000"/>
                <w:sz w:val="18"/>
                <w:szCs w:val="18"/>
              </w:rPr>
              <w:t>质保金和尾款计入在建</w:t>
            </w:r>
            <w:r>
              <w:rPr>
                <w:rFonts w:ascii="宋体" w:hAnsi="宋体"/>
                <w:bCs/>
                <w:color w:val="000000"/>
                <w:sz w:val="18"/>
                <w:szCs w:val="18"/>
              </w:rPr>
              <w:t>工程，则可一次性计入投资额</w:t>
            </w:r>
            <w:r>
              <w:rPr>
                <w:rFonts w:hint="eastAsia" w:ascii="宋体" w:hAnsi="宋体"/>
                <w:bCs/>
                <w:color w:val="000000"/>
                <w:sz w:val="18"/>
                <w:szCs w:val="18"/>
              </w:rPr>
              <w:t>。</w:t>
            </w:r>
          </w:p>
          <w:p>
            <w:pPr>
              <w:ind w:left="105" w:leftChars="50"/>
              <w:rPr>
                <w:rFonts w:ascii="宋体" w:hAnsi="宋体"/>
                <w:bCs/>
                <w:color w:val="000000"/>
                <w:sz w:val="18"/>
                <w:szCs w:val="18"/>
              </w:rPr>
            </w:pPr>
            <w:r>
              <w:rPr>
                <w:rFonts w:hint="eastAsia" w:ascii="宋体" w:hAnsi="宋体"/>
                <w:bCs/>
                <w:color w:val="000000"/>
                <w:sz w:val="18"/>
                <w:szCs w:val="18"/>
              </w:rPr>
              <w:t>③工程结算单或进度单标准格式：三方签字盖章的进度工程</w:t>
            </w:r>
            <w:r>
              <w:rPr>
                <w:rFonts w:ascii="宋体" w:hAnsi="宋体"/>
                <w:bCs/>
                <w:color w:val="000000"/>
                <w:sz w:val="18"/>
                <w:szCs w:val="18"/>
              </w:rPr>
              <w:t>结算单或进度</w:t>
            </w:r>
            <w:r>
              <w:rPr>
                <w:rFonts w:hint="eastAsia" w:ascii="宋体" w:hAnsi="宋体"/>
                <w:bCs/>
                <w:color w:val="000000"/>
                <w:sz w:val="18"/>
                <w:szCs w:val="18"/>
              </w:rPr>
              <w:t>单，按照建设方</w:t>
            </w:r>
            <w:r>
              <w:rPr>
                <w:rFonts w:ascii="宋体" w:hAnsi="宋体"/>
                <w:bCs/>
                <w:color w:val="000000"/>
                <w:sz w:val="18"/>
                <w:szCs w:val="18"/>
              </w:rPr>
              <w:t>认定的工程完成量填报</w:t>
            </w:r>
            <w:r>
              <w:rPr>
                <w:rFonts w:hint="eastAsia" w:ascii="宋体" w:hAnsi="宋体"/>
                <w:bCs/>
                <w:color w:val="000000"/>
                <w:sz w:val="18"/>
                <w:szCs w:val="18"/>
              </w:rPr>
              <w:t>投资</w:t>
            </w:r>
            <w:r>
              <w:rPr>
                <w:rFonts w:ascii="宋体" w:hAnsi="宋体"/>
                <w:bCs/>
                <w:color w:val="000000"/>
                <w:sz w:val="18"/>
                <w:szCs w:val="18"/>
              </w:rPr>
              <w:t>额。在</w:t>
            </w:r>
            <w:r>
              <w:rPr>
                <w:rFonts w:hint="eastAsia" w:ascii="宋体" w:hAnsi="宋体"/>
                <w:bCs/>
                <w:color w:val="000000"/>
                <w:sz w:val="18"/>
                <w:szCs w:val="18"/>
              </w:rPr>
              <w:t>统计</w:t>
            </w:r>
            <w:r>
              <w:rPr>
                <w:rFonts w:ascii="宋体" w:hAnsi="宋体"/>
                <w:bCs/>
                <w:color w:val="000000"/>
                <w:sz w:val="18"/>
                <w:szCs w:val="18"/>
              </w:rPr>
              <w:t>部门核查数据</w:t>
            </w:r>
            <w:r>
              <w:rPr>
                <w:rFonts w:hint="eastAsia" w:ascii="宋体" w:hAnsi="宋体"/>
                <w:bCs/>
                <w:color w:val="000000"/>
                <w:sz w:val="18"/>
                <w:szCs w:val="18"/>
              </w:rPr>
              <w:t>时</w:t>
            </w:r>
            <w:r>
              <w:rPr>
                <w:rFonts w:ascii="宋体" w:hAnsi="宋体"/>
                <w:bCs/>
                <w:color w:val="000000"/>
                <w:sz w:val="18"/>
                <w:szCs w:val="18"/>
              </w:rPr>
              <w:t>，提供</w:t>
            </w:r>
            <w:r>
              <w:rPr>
                <w:rFonts w:hint="eastAsia" w:ascii="宋体" w:hAnsi="宋体"/>
                <w:bCs/>
                <w:color w:val="000000"/>
                <w:sz w:val="18"/>
                <w:szCs w:val="18"/>
              </w:rPr>
              <w:t>结算</w:t>
            </w:r>
            <w:r>
              <w:rPr>
                <w:rFonts w:ascii="宋体" w:hAnsi="宋体"/>
                <w:bCs/>
                <w:color w:val="000000"/>
                <w:sz w:val="18"/>
                <w:szCs w:val="18"/>
              </w:rPr>
              <w:t>单或进度单的同</w:t>
            </w:r>
            <w:r>
              <w:rPr>
                <w:rFonts w:hint="eastAsia" w:ascii="宋体" w:hAnsi="宋体"/>
                <w:bCs/>
                <w:color w:val="000000"/>
                <w:sz w:val="18"/>
                <w:szCs w:val="18"/>
              </w:rPr>
              <w:t>时</w:t>
            </w:r>
            <w:r>
              <w:rPr>
                <w:rFonts w:ascii="宋体" w:hAnsi="宋体"/>
                <w:bCs/>
                <w:color w:val="000000"/>
                <w:sz w:val="18"/>
                <w:szCs w:val="18"/>
              </w:rPr>
              <w:t>，应</w:t>
            </w:r>
            <w:r>
              <w:rPr>
                <w:rFonts w:hint="eastAsia" w:ascii="宋体" w:hAnsi="宋体"/>
                <w:bCs/>
                <w:color w:val="000000"/>
                <w:sz w:val="18"/>
                <w:szCs w:val="18"/>
              </w:rPr>
              <w:t>附工程计价明细表、</w:t>
            </w:r>
            <w:r>
              <w:rPr>
                <w:rFonts w:ascii="宋体" w:hAnsi="宋体"/>
                <w:bCs/>
                <w:color w:val="000000"/>
                <w:sz w:val="18"/>
                <w:szCs w:val="18"/>
              </w:rPr>
              <w:t>相关合同和可佐证项目施工的财务资料</w:t>
            </w:r>
            <w:r>
              <w:rPr>
                <w:rFonts w:hint="eastAsia" w:ascii="宋体" w:hAnsi="宋体"/>
                <w:bCs/>
                <w:color w:val="000000"/>
                <w:sz w:val="18"/>
                <w:szCs w:val="18"/>
              </w:rPr>
              <w:t>。</w:t>
            </w:r>
          </w:p>
          <w:p>
            <w:pPr>
              <w:ind w:left="105" w:leftChars="50"/>
              <w:rPr>
                <w:rFonts w:ascii="宋体" w:hAnsi="宋体"/>
                <w:bCs/>
                <w:color w:val="000000"/>
                <w:sz w:val="18"/>
                <w:szCs w:val="18"/>
              </w:rPr>
            </w:pPr>
            <w:r>
              <w:rPr>
                <w:rFonts w:hint="eastAsia" w:ascii="宋体" w:hAnsi="宋体"/>
                <w:bCs/>
                <w:color w:val="000000"/>
                <w:sz w:val="18"/>
                <w:szCs w:val="18"/>
              </w:rPr>
              <w:t>④依据会计科目填报的，数据</w:t>
            </w:r>
            <w:r>
              <w:rPr>
                <w:rFonts w:ascii="宋体" w:hAnsi="宋体"/>
                <w:bCs/>
                <w:color w:val="000000"/>
                <w:sz w:val="18"/>
                <w:szCs w:val="18"/>
              </w:rPr>
              <w:t>核查</w:t>
            </w:r>
            <w:r>
              <w:rPr>
                <w:rFonts w:hint="eastAsia" w:ascii="宋体" w:hAnsi="宋体"/>
                <w:bCs/>
                <w:color w:val="000000"/>
                <w:sz w:val="18"/>
                <w:szCs w:val="18"/>
              </w:rPr>
              <w:t>时</w:t>
            </w:r>
            <w:r>
              <w:rPr>
                <w:rFonts w:ascii="宋体" w:hAnsi="宋体"/>
                <w:bCs/>
                <w:color w:val="000000"/>
                <w:sz w:val="18"/>
                <w:szCs w:val="18"/>
              </w:rPr>
              <w:t>，</w:t>
            </w:r>
            <w:r>
              <w:rPr>
                <w:rFonts w:hint="eastAsia" w:ascii="宋体" w:hAnsi="宋体"/>
                <w:bCs/>
                <w:color w:val="000000"/>
                <w:sz w:val="18"/>
                <w:szCs w:val="18"/>
              </w:rPr>
              <w:t>在财务软件导出的相关账目中标出所取数据，明确数据汇总过程并盖章确认。</w:t>
            </w:r>
          </w:p>
          <w:p>
            <w:pPr>
              <w:ind w:left="105" w:leftChars="50"/>
              <w:rPr>
                <w:rFonts w:hint="eastAsia" w:ascii="宋体"/>
                <w:bCs/>
                <w:color w:val="000000"/>
                <w:sz w:val="18"/>
                <w:szCs w:val="18"/>
              </w:rPr>
            </w:pPr>
            <w:r>
              <w:rPr>
                <w:rFonts w:hint="eastAsia" w:ascii="宋体" w:hAnsi="宋体"/>
                <w:bCs/>
                <w:color w:val="000000"/>
                <w:sz w:val="18"/>
                <w:szCs w:val="18"/>
              </w:rPr>
              <w:t>⑤依据支付凭证填报的，数据</w:t>
            </w:r>
            <w:r>
              <w:rPr>
                <w:rFonts w:ascii="宋体" w:hAnsi="宋体"/>
                <w:bCs/>
                <w:color w:val="000000"/>
                <w:sz w:val="18"/>
                <w:szCs w:val="18"/>
              </w:rPr>
              <w:t>核查时，</w:t>
            </w:r>
            <w:r>
              <w:rPr>
                <w:rFonts w:hint="eastAsia" w:ascii="宋体" w:hAnsi="宋体"/>
                <w:bCs/>
                <w:color w:val="000000"/>
                <w:sz w:val="18"/>
                <w:szCs w:val="18"/>
              </w:rPr>
              <w:t>应将凭证分类汇总。原则上商业承兑汇票不作为支付凭证参考，银行承兑汇票、银行回单</w:t>
            </w:r>
            <w:r>
              <w:rPr>
                <w:rFonts w:ascii="宋体" w:hAnsi="宋体"/>
                <w:bCs/>
                <w:color w:val="000000"/>
                <w:sz w:val="18"/>
                <w:szCs w:val="18"/>
              </w:rPr>
              <w:t>需体现与项目有</w:t>
            </w:r>
            <w:r>
              <w:rPr>
                <w:rFonts w:hint="eastAsia" w:ascii="宋体" w:hAnsi="宋体"/>
                <w:bCs/>
                <w:color w:val="000000"/>
                <w:sz w:val="18"/>
                <w:szCs w:val="18"/>
              </w:rPr>
              <w:t>关</w:t>
            </w:r>
            <w:r>
              <w:rPr>
                <w:rFonts w:ascii="宋体" w:hAnsi="宋体"/>
                <w:bCs/>
                <w:color w:val="000000"/>
                <w:sz w:val="18"/>
                <w:szCs w:val="18"/>
              </w:rPr>
              <w:t>的</w:t>
            </w:r>
            <w:r>
              <w:rPr>
                <w:rFonts w:hint="eastAsia" w:ascii="宋体" w:hAnsi="宋体"/>
                <w:bCs/>
                <w:color w:val="000000"/>
                <w:sz w:val="18"/>
                <w:szCs w:val="18"/>
              </w:rPr>
              <w:t>信息</w:t>
            </w:r>
            <w:r>
              <w:rPr>
                <w:rFonts w:ascii="宋体" w:hAnsi="宋体"/>
                <w:bCs/>
                <w:color w:val="000000"/>
                <w:sz w:val="18"/>
                <w:szCs w:val="18"/>
              </w:rPr>
              <w:t>，发票需可验证。</w:t>
            </w:r>
          </w:p>
        </w:tc>
      </w:tr>
      <w:tr>
        <w:tblPrEx>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CellMar>
            <w:top w:w="0" w:type="dxa"/>
            <w:left w:w="0" w:type="dxa"/>
            <w:bottom w:w="0" w:type="dxa"/>
            <w:right w:w="0" w:type="dxa"/>
          </w:tblCellMar>
        </w:tblPrEx>
        <w:trPr>
          <w:trHeight w:val="1512" w:hRule="atLeast"/>
          <w:jc w:val="center"/>
        </w:trPr>
        <w:tc>
          <w:tcPr>
            <w:tcW w:w="691" w:type="pct"/>
            <w:noWrap w:val="0"/>
            <w:tcMar>
              <w:top w:w="72" w:type="dxa"/>
              <w:left w:w="144" w:type="dxa"/>
              <w:bottom w:w="72" w:type="dxa"/>
              <w:right w:w="144" w:type="dxa"/>
            </w:tcMar>
            <w:vAlign w:val="top"/>
          </w:tcPr>
          <w:p>
            <w:pPr>
              <w:rPr>
                <w:rFonts w:hint="eastAsia" w:ascii="宋体"/>
                <w:bCs/>
                <w:color w:val="000000"/>
                <w:sz w:val="18"/>
                <w:szCs w:val="18"/>
              </w:rPr>
            </w:pPr>
            <w:r>
              <w:rPr>
                <w:rFonts w:hint="eastAsia" w:ascii="宋体"/>
                <w:bCs/>
                <w:color w:val="000000"/>
                <w:sz w:val="18"/>
                <w:szCs w:val="18"/>
              </w:rPr>
              <w:t>（2）</w:t>
            </w:r>
            <w:r>
              <w:rPr>
                <w:rFonts w:ascii="宋体"/>
                <w:bCs/>
                <w:color w:val="000000"/>
                <w:sz w:val="18"/>
                <w:szCs w:val="18"/>
              </w:rPr>
              <w:t>设备工器具购置</w:t>
            </w:r>
          </w:p>
        </w:tc>
        <w:tc>
          <w:tcPr>
            <w:tcW w:w="1832"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会计科目或支付凭证，</w:t>
            </w:r>
            <w:r>
              <w:rPr>
                <w:rFonts w:ascii="宋体"/>
                <w:bCs/>
                <w:color w:val="000000"/>
                <w:sz w:val="18"/>
                <w:szCs w:val="18"/>
              </w:rPr>
              <w:t>根据明细科目</w:t>
            </w:r>
            <w:r>
              <w:rPr>
                <w:rFonts w:hint="eastAsia" w:ascii="宋体"/>
                <w:bCs/>
                <w:color w:val="000000"/>
                <w:sz w:val="18"/>
                <w:szCs w:val="18"/>
              </w:rPr>
              <w:t>本年借方累计或</w:t>
            </w:r>
            <w:r>
              <w:rPr>
                <w:rFonts w:ascii="宋体"/>
                <w:bCs/>
                <w:color w:val="000000"/>
                <w:sz w:val="18"/>
                <w:szCs w:val="18"/>
              </w:rPr>
              <w:t>相关会计分录</w:t>
            </w:r>
            <w:r>
              <w:rPr>
                <w:rFonts w:hint="eastAsia" w:ascii="宋体"/>
                <w:bCs/>
                <w:color w:val="000000"/>
                <w:sz w:val="18"/>
                <w:szCs w:val="18"/>
              </w:rPr>
              <w:t>借方发生额加总填报。</w:t>
            </w:r>
          </w:p>
          <w:p>
            <w:pPr>
              <w:rPr>
                <w:rFonts w:hint="eastAsia" w:ascii="宋体"/>
                <w:bCs/>
                <w:color w:val="000000"/>
                <w:sz w:val="18"/>
                <w:szCs w:val="18"/>
              </w:rPr>
            </w:pPr>
            <w:r>
              <w:rPr>
                <w:rFonts w:hint="eastAsia" w:ascii="宋体"/>
                <w:bCs/>
                <w:color w:val="000000"/>
                <w:sz w:val="18"/>
                <w:szCs w:val="18"/>
              </w:rPr>
              <w:t>主要对应会计科目为：在建工程—</w:t>
            </w:r>
            <w:r>
              <w:rPr>
                <w:rFonts w:ascii="宋体"/>
                <w:bCs/>
                <w:color w:val="000000"/>
                <w:sz w:val="18"/>
                <w:szCs w:val="18"/>
              </w:rPr>
              <w:t>在安装设备</w:t>
            </w:r>
            <w:r>
              <w:rPr>
                <w:rFonts w:hint="eastAsia" w:ascii="宋体"/>
                <w:bCs/>
                <w:color w:val="000000"/>
                <w:sz w:val="18"/>
                <w:szCs w:val="18"/>
              </w:rPr>
              <w:t>（需安装设备）；</w:t>
            </w:r>
            <w:r>
              <w:rPr>
                <w:rFonts w:ascii="宋体"/>
                <w:bCs/>
                <w:color w:val="000000"/>
                <w:sz w:val="18"/>
                <w:szCs w:val="18"/>
              </w:rPr>
              <w:t>固定资产下</w:t>
            </w:r>
            <w:r>
              <w:rPr>
                <w:rFonts w:hint="eastAsia" w:ascii="宋体"/>
                <w:bCs/>
                <w:color w:val="000000"/>
                <w:sz w:val="18"/>
                <w:szCs w:val="18"/>
              </w:rPr>
              <w:t>二级</w:t>
            </w:r>
            <w:r>
              <w:rPr>
                <w:rFonts w:ascii="宋体"/>
                <w:bCs/>
                <w:color w:val="000000"/>
                <w:sz w:val="18"/>
                <w:szCs w:val="18"/>
              </w:rPr>
              <w:t>科目</w:t>
            </w:r>
            <w:r>
              <w:rPr>
                <w:rFonts w:hint="eastAsia" w:ascii="宋体"/>
                <w:bCs/>
                <w:color w:val="000000"/>
                <w:sz w:val="18"/>
                <w:szCs w:val="18"/>
              </w:rPr>
              <w:t>（不需安装设备）</w:t>
            </w:r>
          </w:p>
        </w:tc>
        <w:tc>
          <w:tcPr>
            <w:tcW w:w="2477" w:type="pct"/>
            <w:vMerge w:val="restart"/>
            <w:noWrap w:val="0"/>
            <w:vAlign w:val="top"/>
          </w:tcPr>
          <w:p>
            <w:pPr>
              <w:ind w:left="105"/>
              <w:rPr>
                <w:rFonts w:ascii="宋体"/>
                <w:bCs/>
                <w:color w:val="000000"/>
                <w:sz w:val="18"/>
                <w:szCs w:val="18"/>
              </w:rPr>
            </w:pPr>
            <w:r>
              <w:rPr>
                <w:rFonts w:hint="eastAsia" w:ascii="宋体" w:hAnsi="宋体"/>
                <w:bCs/>
                <w:color w:val="000000"/>
                <w:sz w:val="18"/>
                <w:szCs w:val="18"/>
              </w:rPr>
              <w:t>①依据</w:t>
            </w:r>
            <w:r>
              <w:rPr>
                <w:rFonts w:ascii="宋体" w:hAnsi="宋体"/>
                <w:bCs/>
                <w:color w:val="000000"/>
                <w:sz w:val="18"/>
                <w:szCs w:val="18"/>
              </w:rPr>
              <w:t>会计科目填报的，购置完成后，会计科目中将</w:t>
            </w:r>
            <w:r>
              <w:rPr>
                <w:rFonts w:hint="eastAsia" w:ascii="宋体"/>
                <w:bCs/>
                <w:color w:val="000000"/>
                <w:sz w:val="18"/>
                <w:szCs w:val="18"/>
              </w:rPr>
              <w:t>质保金和尾款计入</w:t>
            </w:r>
            <w:r>
              <w:rPr>
                <w:rFonts w:ascii="宋体"/>
                <w:bCs/>
                <w:color w:val="000000"/>
                <w:sz w:val="18"/>
                <w:szCs w:val="18"/>
              </w:rPr>
              <w:t>固定资产，</w:t>
            </w:r>
            <w:r>
              <w:rPr>
                <w:rFonts w:hint="eastAsia" w:ascii="宋体"/>
                <w:bCs/>
                <w:color w:val="000000"/>
                <w:sz w:val="18"/>
                <w:szCs w:val="18"/>
              </w:rPr>
              <w:t>则可一次性计入投资额。数据核查</w:t>
            </w:r>
            <w:r>
              <w:rPr>
                <w:rFonts w:ascii="宋体"/>
                <w:bCs/>
                <w:color w:val="000000"/>
                <w:sz w:val="18"/>
                <w:szCs w:val="18"/>
              </w:rPr>
              <w:t>时，在</w:t>
            </w:r>
            <w:r>
              <w:rPr>
                <w:rFonts w:hint="eastAsia" w:ascii="宋体"/>
                <w:bCs/>
                <w:color w:val="000000"/>
                <w:sz w:val="18"/>
                <w:szCs w:val="18"/>
              </w:rPr>
              <w:t>财务</w:t>
            </w:r>
            <w:r>
              <w:rPr>
                <w:rFonts w:ascii="宋体"/>
                <w:bCs/>
                <w:color w:val="000000"/>
                <w:sz w:val="18"/>
                <w:szCs w:val="18"/>
              </w:rPr>
              <w:t>软件导出的相关账目中标出所取数据，明确数据汇总过程并盖章确认</w:t>
            </w:r>
            <w:r>
              <w:rPr>
                <w:rFonts w:hint="eastAsia" w:ascii="宋体"/>
                <w:bCs/>
                <w:color w:val="000000"/>
                <w:sz w:val="18"/>
                <w:szCs w:val="18"/>
              </w:rPr>
              <w:t>。</w:t>
            </w:r>
          </w:p>
          <w:p>
            <w:pPr>
              <w:ind w:left="105" w:leftChars="50"/>
              <w:rPr>
                <w:rFonts w:ascii="宋体"/>
                <w:bCs/>
                <w:color w:val="000000"/>
                <w:sz w:val="18"/>
                <w:szCs w:val="18"/>
              </w:rPr>
            </w:pPr>
            <w:r>
              <w:rPr>
                <w:rFonts w:hint="eastAsia" w:ascii="宋体" w:hAnsi="宋体"/>
                <w:bCs/>
                <w:color w:val="000000"/>
                <w:sz w:val="18"/>
                <w:szCs w:val="18"/>
              </w:rPr>
              <w:t>②依据支付凭证填报的，数据</w:t>
            </w:r>
            <w:r>
              <w:rPr>
                <w:rFonts w:ascii="宋体" w:hAnsi="宋体"/>
                <w:bCs/>
                <w:color w:val="000000"/>
                <w:sz w:val="18"/>
                <w:szCs w:val="18"/>
              </w:rPr>
              <w:t>核查时，</w:t>
            </w:r>
            <w:r>
              <w:rPr>
                <w:rFonts w:hint="eastAsia" w:ascii="宋体" w:hAnsi="宋体"/>
                <w:bCs/>
                <w:color w:val="000000"/>
                <w:sz w:val="18"/>
                <w:szCs w:val="18"/>
              </w:rPr>
              <w:t>应将凭证分类汇总。原则上商业承兑汇票不作为支付凭证参考，银行承兑汇票、</w:t>
            </w:r>
            <w:r>
              <w:rPr>
                <w:rFonts w:ascii="宋体" w:hAnsi="宋体"/>
                <w:bCs/>
                <w:color w:val="000000"/>
                <w:sz w:val="18"/>
                <w:szCs w:val="18"/>
              </w:rPr>
              <w:t>银行回单需体现与项目有</w:t>
            </w:r>
            <w:r>
              <w:rPr>
                <w:rFonts w:hint="eastAsia" w:ascii="宋体" w:hAnsi="宋体"/>
                <w:bCs/>
                <w:color w:val="000000"/>
                <w:sz w:val="18"/>
                <w:szCs w:val="18"/>
              </w:rPr>
              <w:t>关</w:t>
            </w:r>
            <w:r>
              <w:rPr>
                <w:rFonts w:ascii="宋体" w:hAnsi="宋体"/>
                <w:bCs/>
                <w:color w:val="000000"/>
                <w:sz w:val="18"/>
                <w:szCs w:val="18"/>
              </w:rPr>
              <w:t>的</w:t>
            </w:r>
            <w:r>
              <w:rPr>
                <w:rFonts w:hint="eastAsia" w:ascii="宋体" w:hAnsi="宋体"/>
                <w:bCs/>
                <w:color w:val="000000"/>
                <w:sz w:val="18"/>
                <w:szCs w:val="18"/>
              </w:rPr>
              <w:t>信息</w:t>
            </w:r>
            <w:r>
              <w:rPr>
                <w:rFonts w:ascii="宋体" w:hAnsi="宋体"/>
                <w:bCs/>
                <w:color w:val="000000"/>
                <w:sz w:val="18"/>
                <w:szCs w:val="18"/>
              </w:rPr>
              <w:t>，发票需可验证。</w:t>
            </w:r>
          </w:p>
          <w:p>
            <w:pPr>
              <w:ind w:left="105" w:leftChars="50"/>
              <w:rPr>
                <w:rFonts w:hint="eastAsia" w:ascii="宋体"/>
                <w:bCs/>
                <w:color w:val="000000"/>
                <w:sz w:val="18"/>
                <w:szCs w:val="18"/>
              </w:rPr>
            </w:pPr>
            <w:r>
              <w:rPr>
                <w:rFonts w:hint="eastAsia" w:ascii="宋体" w:hAnsi="宋体"/>
                <w:bCs/>
                <w:color w:val="000000"/>
                <w:sz w:val="18"/>
                <w:szCs w:val="18"/>
              </w:rPr>
              <w:t>③项目完工时，设备应到位或安装完毕。</w:t>
            </w:r>
          </w:p>
        </w:tc>
      </w:tr>
      <w:tr>
        <w:tblPrEx>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CellMar>
            <w:top w:w="0" w:type="dxa"/>
            <w:left w:w="0" w:type="dxa"/>
            <w:bottom w:w="0" w:type="dxa"/>
            <w:right w:w="0" w:type="dxa"/>
          </w:tblCellMar>
        </w:tblPrEx>
        <w:trPr>
          <w:trHeight w:val="1335" w:hRule="atLeast"/>
          <w:jc w:val="center"/>
        </w:trPr>
        <w:tc>
          <w:tcPr>
            <w:tcW w:w="691"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（3）</w:t>
            </w:r>
            <w:r>
              <w:rPr>
                <w:rFonts w:ascii="宋体"/>
                <w:bCs/>
                <w:color w:val="000000"/>
                <w:sz w:val="18"/>
                <w:szCs w:val="18"/>
              </w:rPr>
              <w:t>其他费用</w:t>
            </w:r>
          </w:p>
        </w:tc>
        <w:tc>
          <w:tcPr>
            <w:tcW w:w="1832"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会计科目或支付凭证，</w:t>
            </w:r>
            <w:r>
              <w:rPr>
                <w:rFonts w:ascii="宋体"/>
                <w:bCs/>
                <w:color w:val="000000"/>
                <w:sz w:val="18"/>
                <w:szCs w:val="18"/>
              </w:rPr>
              <w:t>根据明细科目</w:t>
            </w:r>
            <w:r>
              <w:rPr>
                <w:rFonts w:hint="eastAsia" w:ascii="宋体"/>
                <w:bCs/>
                <w:color w:val="000000"/>
                <w:sz w:val="18"/>
                <w:szCs w:val="18"/>
              </w:rPr>
              <w:t>本年借方累计或</w:t>
            </w:r>
            <w:r>
              <w:rPr>
                <w:rFonts w:ascii="宋体"/>
                <w:bCs/>
                <w:color w:val="000000"/>
                <w:sz w:val="18"/>
                <w:szCs w:val="18"/>
              </w:rPr>
              <w:t>相关会计分录</w:t>
            </w:r>
            <w:r>
              <w:rPr>
                <w:rFonts w:hint="eastAsia" w:ascii="宋体"/>
                <w:bCs/>
                <w:color w:val="000000"/>
                <w:sz w:val="18"/>
                <w:szCs w:val="18"/>
              </w:rPr>
              <w:t>借方发生额加总填报。</w:t>
            </w:r>
          </w:p>
          <w:p>
            <w:pPr>
              <w:rPr>
                <w:rFonts w:hint="eastAsia" w:ascii="宋体"/>
                <w:bCs/>
                <w:color w:val="000000"/>
                <w:sz w:val="18"/>
                <w:szCs w:val="18"/>
              </w:rPr>
            </w:pPr>
            <w:r>
              <w:rPr>
                <w:rFonts w:hint="eastAsia" w:ascii="宋体"/>
                <w:bCs/>
                <w:color w:val="000000"/>
                <w:sz w:val="18"/>
                <w:szCs w:val="18"/>
              </w:rPr>
              <w:t>主要对应会计科目为：在建工程—</w:t>
            </w:r>
            <w:r>
              <w:rPr>
                <w:rFonts w:ascii="宋体"/>
                <w:bCs/>
                <w:color w:val="000000"/>
                <w:sz w:val="18"/>
                <w:szCs w:val="18"/>
              </w:rPr>
              <w:t>待摊支出</w:t>
            </w:r>
            <w:r>
              <w:rPr>
                <w:rFonts w:hint="eastAsia" w:ascii="宋体"/>
                <w:bCs/>
                <w:color w:val="000000"/>
                <w:sz w:val="18"/>
                <w:szCs w:val="18"/>
              </w:rPr>
              <w:t>；无形资产—</w:t>
            </w:r>
            <w:r>
              <w:rPr>
                <w:rFonts w:ascii="宋体"/>
                <w:bCs/>
                <w:color w:val="000000"/>
                <w:sz w:val="18"/>
                <w:szCs w:val="18"/>
              </w:rPr>
              <w:t>土地使用权等</w:t>
            </w:r>
          </w:p>
        </w:tc>
        <w:tc>
          <w:tcPr>
            <w:tcW w:w="2477" w:type="pct"/>
            <w:vMerge w:val="continue"/>
            <w:noWrap w:val="0"/>
            <w:vAlign w:val="top"/>
          </w:tcPr>
          <w:p>
            <w:pPr>
              <w:ind w:left="105" w:leftChars="50"/>
              <w:rPr>
                <w:rFonts w:hint="eastAsia" w:ascii="宋体" w:hAnsi="宋体"/>
                <w:bCs/>
                <w:color w:val="000000"/>
                <w:sz w:val="18"/>
                <w:szCs w:val="18"/>
              </w:rPr>
            </w:pPr>
          </w:p>
        </w:tc>
      </w:tr>
      <w:tr>
        <w:tblPrEx>
          <w:tblBorders>
            <w:top w:val="single" w:color="auto" w:sz="8" w:space="0"/>
            <w:left w:val="single" w:color="FFFFFF" w:sz="8" w:space="0"/>
            <w:bottom w:val="single" w:color="auto" w:sz="8" w:space="0"/>
            <w:right w:val="single" w:color="FFFFFF" w:sz="8" w:space="0"/>
            <w:insideH w:val="single" w:color="auto" w:sz="2" w:space="0"/>
            <w:insideV w:val="single" w:color="auto" w:sz="2" w:space="0"/>
          </w:tblBorders>
          <w:tblCellMar>
            <w:top w:w="0" w:type="dxa"/>
            <w:left w:w="0" w:type="dxa"/>
            <w:bottom w:w="0" w:type="dxa"/>
            <w:right w:w="0" w:type="dxa"/>
          </w:tblCellMar>
        </w:tblPrEx>
        <w:trPr>
          <w:trHeight w:val="621" w:hRule="atLeast"/>
          <w:jc w:val="center"/>
        </w:trPr>
        <w:tc>
          <w:tcPr>
            <w:tcW w:w="691" w:type="pct"/>
            <w:noWrap w:val="0"/>
            <w:tcMar>
              <w:top w:w="72" w:type="dxa"/>
              <w:left w:w="144" w:type="dxa"/>
              <w:bottom w:w="72" w:type="dxa"/>
              <w:right w:w="144" w:type="dxa"/>
            </w:tcMar>
            <w:vAlign w:val="top"/>
          </w:tcPr>
          <w:p>
            <w:pPr>
              <w:rPr>
                <w:rFonts w:ascii="宋体"/>
                <w:bCs/>
                <w:color w:val="000000"/>
                <w:sz w:val="18"/>
                <w:szCs w:val="18"/>
              </w:rPr>
            </w:pPr>
            <w:r>
              <w:rPr>
                <w:rFonts w:hint="eastAsia" w:ascii="宋体"/>
                <w:bCs/>
                <w:color w:val="000000"/>
                <w:sz w:val="18"/>
                <w:szCs w:val="18"/>
              </w:rPr>
              <w:t>其中：建设</w:t>
            </w:r>
            <w:r>
              <w:rPr>
                <w:rFonts w:ascii="宋体"/>
                <w:bCs/>
                <w:color w:val="000000"/>
                <w:sz w:val="18"/>
                <w:szCs w:val="18"/>
              </w:rPr>
              <w:t>用地费</w:t>
            </w:r>
          </w:p>
        </w:tc>
        <w:tc>
          <w:tcPr>
            <w:tcW w:w="1832" w:type="pct"/>
            <w:noWrap w:val="0"/>
            <w:tcMar>
              <w:top w:w="72" w:type="dxa"/>
              <w:left w:w="144" w:type="dxa"/>
              <w:bottom w:w="72" w:type="dxa"/>
              <w:right w:w="144" w:type="dxa"/>
            </w:tcMar>
            <w:vAlign w:val="top"/>
          </w:tcPr>
          <w:p>
            <w:pPr>
              <w:rPr>
                <w:rFonts w:hint="eastAsia" w:ascii="宋体"/>
                <w:bCs/>
                <w:color w:val="000000"/>
                <w:sz w:val="18"/>
                <w:szCs w:val="18"/>
              </w:rPr>
            </w:pPr>
            <w:r>
              <w:rPr>
                <w:rFonts w:hint="eastAsia" w:ascii="宋体"/>
                <w:bCs/>
                <w:color w:val="000000"/>
                <w:sz w:val="18"/>
                <w:szCs w:val="18"/>
              </w:rPr>
              <w:t>会计</w:t>
            </w:r>
            <w:r>
              <w:rPr>
                <w:rFonts w:ascii="宋体"/>
                <w:bCs/>
                <w:color w:val="000000"/>
                <w:sz w:val="18"/>
                <w:szCs w:val="18"/>
              </w:rPr>
              <w:t>科目</w:t>
            </w:r>
            <w:r>
              <w:rPr>
                <w:rFonts w:hint="eastAsia" w:ascii="宋体"/>
                <w:bCs/>
                <w:color w:val="000000"/>
                <w:sz w:val="18"/>
                <w:szCs w:val="18"/>
              </w:rPr>
              <w:t>或支付凭证。根据明细</w:t>
            </w:r>
            <w:r>
              <w:rPr>
                <w:rFonts w:ascii="宋体"/>
                <w:bCs/>
                <w:color w:val="000000"/>
                <w:sz w:val="18"/>
                <w:szCs w:val="18"/>
              </w:rPr>
              <w:t>科目</w:t>
            </w:r>
            <w:r>
              <w:rPr>
                <w:rFonts w:hint="eastAsia" w:ascii="宋体"/>
                <w:bCs/>
                <w:color w:val="000000"/>
                <w:sz w:val="18"/>
                <w:szCs w:val="18"/>
              </w:rPr>
              <w:t>本年借方累计填报。</w:t>
            </w:r>
          </w:p>
          <w:p>
            <w:pPr>
              <w:rPr>
                <w:rFonts w:ascii="宋体"/>
                <w:bCs/>
                <w:color w:val="000000"/>
                <w:sz w:val="18"/>
                <w:szCs w:val="18"/>
              </w:rPr>
            </w:pPr>
            <w:r>
              <w:rPr>
                <w:rFonts w:hint="eastAsia" w:ascii="宋体"/>
                <w:bCs/>
                <w:color w:val="000000"/>
                <w:sz w:val="18"/>
                <w:szCs w:val="18"/>
              </w:rPr>
              <w:t>对应会计科目为：无形资产—土地使用权</w:t>
            </w:r>
          </w:p>
        </w:tc>
        <w:tc>
          <w:tcPr>
            <w:tcW w:w="2477" w:type="pct"/>
            <w:noWrap w:val="0"/>
            <w:vAlign w:val="top"/>
          </w:tcPr>
          <w:p>
            <w:pPr>
              <w:ind w:firstLine="90" w:firstLineChars="50"/>
              <w:rPr>
                <w:rFonts w:ascii="宋体" w:hAnsi="宋体"/>
                <w:bCs/>
                <w:color w:val="000000"/>
                <w:sz w:val="18"/>
                <w:szCs w:val="18"/>
              </w:rPr>
            </w:pPr>
            <w:r>
              <w:rPr>
                <w:rFonts w:hint="eastAsia" w:ascii="宋体" w:hAnsi="宋体"/>
                <w:bCs/>
                <w:color w:val="000000"/>
                <w:sz w:val="18"/>
                <w:szCs w:val="18"/>
              </w:rPr>
              <w:t>建设用地费在项目入库</w:t>
            </w:r>
            <w:r>
              <w:rPr>
                <w:rFonts w:ascii="宋体" w:hAnsi="宋体"/>
                <w:bCs/>
                <w:color w:val="000000"/>
                <w:sz w:val="18"/>
                <w:szCs w:val="18"/>
              </w:rPr>
              <w:t>纳统</w:t>
            </w:r>
            <w:r>
              <w:rPr>
                <w:rFonts w:hint="eastAsia" w:ascii="宋体" w:hAnsi="宋体"/>
                <w:bCs/>
                <w:color w:val="000000"/>
                <w:sz w:val="18"/>
                <w:szCs w:val="18"/>
              </w:rPr>
              <w:t>时计入本年完成投资。</w:t>
            </w:r>
          </w:p>
          <w:p>
            <w:pPr>
              <w:rPr>
                <w:rFonts w:hint="eastAsia" w:ascii="宋体"/>
                <w:bCs/>
                <w:color w:val="000000"/>
                <w:sz w:val="18"/>
                <w:szCs w:val="18"/>
              </w:rPr>
            </w:pPr>
          </w:p>
        </w:tc>
      </w:tr>
    </w:tbl>
    <w:p>
      <w:pPr>
        <w:adjustRightInd w:val="0"/>
        <w:spacing w:line="360" w:lineRule="atLeast"/>
        <w:ind w:firstLine="420" w:firstLineChars="200"/>
        <w:rPr>
          <w:rStyle w:val="20"/>
          <w:i w:val="0"/>
          <w:color w:val="000000"/>
        </w:rPr>
      </w:pPr>
      <w:r>
        <w:rPr>
          <w:rFonts w:hint="eastAsia" w:ascii="黑体" w:eastAsia="黑体"/>
          <w:color w:val="000000"/>
        </w:rPr>
        <w:t>本年新增固定资产</w:t>
      </w:r>
      <w:r>
        <w:rPr>
          <w:rStyle w:val="20"/>
          <w:rFonts w:hint="eastAsia"/>
          <w:i w:val="0"/>
          <w:color w:val="000000"/>
        </w:rPr>
        <w:t xml:space="preserve">  指在报告期已经完成建造和购置过程，并已交付生产或使用单位的固定资产的价值。</w:t>
      </w:r>
    </w:p>
    <w:p>
      <w:pPr>
        <w:adjustRightInd w:val="0"/>
        <w:spacing w:line="360" w:lineRule="atLeast"/>
        <w:ind w:firstLine="420" w:firstLineChars="200"/>
        <w:rPr>
          <w:rFonts w:hint="eastAsia" w:ascii="宋体"/>
          <w:color w:val="000000"/>
        </w:rPr>
      </w:pPr>
      <w:r>
        <w:rPr>
          <w:rFonts w:hint="eastAsia" w:ascii="宋体"/>
          <w:color w:val="000000"/>
        </w:rPr>
        <w:t>包括已经建成投入生产或交付使用的工程投资和达到固定资产标准的设备、工具、器具的投资及有关应摊入的费用。属于增加固定资产价值的其他建设费用，应随同交付使用的工程一并计入新增固定资产。</w:t>
      </w:r>
    </w:p>
    <w:p>
      <w:pPr>
        <w:adjustRightInd w:val="0"/>
        <w:spacing w:line="360" w:lineRule="atLeast"/>
        <w:ind w:firstLine="420" w:firstLineChars="200"/>
        <w:rPr>
          <w:rFonts w:hint="eastAsia" w:ascii="宋体"/>
          <w:color w:val="000000"/>
        </w:rPr>
      </w:pPr>
      <w:r>
        <w:rPr>
          <w:rFonts w:hint="eastAsia" w:ascii="宋体"/>
          <w:color w:val="000000"/>
        </w:rPr>
        <w:t>调查单位通过划拨方式取得土地使用权所发生的建设用地费计入新增固定资产；房地产开发企业、工业商业等企业通过出让或“招拍挂”方式取得土地使用权而发生的建设用地费不计入新增固定资产；租用建设用地的费用，不计入新增固定资产投资。</w:t>
      </w:r>
    </w:p>
    <w:p>
      <w:pPr>
        <w:adjustRightInd w:val="0"/>
        <w:snapToGrid w:val="0"/>
        <w:spacing w:before="468" w:beforeLines="150" w:after="156" w:afterLines="50"/>
        <w:ind w:firstLine="420" w:firstLineChars="200"/>
        <w:outlineLvl w:val="9"/>
        <w:rPr>
          <w:rFonts w:hint="eastAsia" w:ascii="黑体" w:eastAsia="黑体"/>
          <w:color w:val="000000"/>
          <w:szCs w:val="21"/>
        </w:rPr>
      </w:pPr>
      <w:r>
        <w:rPr>
          <w:rFonts w:hint="eastAsia" w:ascii="黑体" w:eastAsia="黑体"/>
          <w:color w:val="000000"/>
          <w:szCs w:val="21"/>
          <w:lang w:val="en-US" w:eastAsia="zh-CN"/>
        </w:rPr>
        <w:t>3</w:t>
      </w:r>
      <w:r>
        <w:rPr>
          <w:rFonts w:hint="eastAsia" w:ascii="黑体" w:eastAsia="黑体"/>
          <w:color w:val="000000"/>
          <w:szCs w:val="21"/>
        </w:rPr>
        <w:t>.到位资金</w:t>
      </w:r>
    </w:p>
    <w:p>
      <w:pPr>
        <w:adjustRightInd w:val="0"/>
        <w:spacing w:line="360" w:lineRule="atLeast"/>
        <w:ind w:firstLine="409" w:firstLineChars="195"/>
        <w:rPr>
          <w:rFonts w:ascii="宋体"/>
          <w:color w:val="000000"/>
        </w:rPr>
      </w:pPr>
      <w:r>
        <w:rPr>
          <w:rFonts w:hint="eastAsia" w:ascii="黑体" w:eastAsia="黑体"/>
          <w:color w:val="000000"/>
        </w:rPr>
        <w:t xml:space="preserve">上年末结余资金  </w:t>
      </w:r>
      <w:r>
        <w:rPr>
          <w:rFonts w:hint="eastAsia" w:ascii="宋体"/>
          <w:color w:val="000000"/>
        </w:rPr>
        <w:t>指上年资金来源中没有形成投资额而结余的资金。</w:t>
      </w:r>
    </w:p>
    <w:p>
      <w:pPr>
        <w:adjustRightInd w:val="0"/>
        <w:spacing w:line="360" w:lineRule="atLeast"/>
        <w:ind w:firstLine="409" w:firstLineChars="195"/>
        <w:rPr>
          <w:rFonts w:ascii="宋体"/>
          <w:color w:val="000000"/>
        </w:rPr>
      </w:pPr>
      <w:r>
        <w:rPr>
          <w:rFonts w:hint="eastAsia" w:ascii="宋体"/>
          <w:color w:val="000000"/>
        </w:rPr>
        <w:t>包括尚未用到工程中的材料价值、未开始安装的需要安装设备价值及结存的现金和银行存款等。可根据有关财务数字填报。上年末结余资金不能出现负数，即不能把上年应付工程、材料款作为上年末结余资金的负数来处理。</w:t>
      </w:r>
    </w:p>
    <w:p>
      <w:pPr>
        <w:adjustRightInd w:val="0"/>
        <w:spacing w:line="360" w:lineRule="atLeast"/>
        <w:ind w:firstLine="409" w:firstLineChars="195"/>
        <w:rPr>
          <w:rFonts w:ascii="宋体"/>
          <w:color w:val="000000"/>
        </w:rPr>
      </w:pPr>
      <w:r>
        <w:rPr>
          <w:rFonts w:hint="eastAsia" w:ascii="黑体" w:eastAsia="黑体"/>
          <w:color w:val="000000"/>
        </w:rPr>
        <w:t xml:space="preserve">本年实际到位资金  </w:t>
      </w:r>
      <w:r>
        <w:rPr>
          <w:rFonts w:hint="eastAsia" w:ascii="宋体"/>
          <w:color w:val="000000"/>
        </w:rPr>
        <w:t>指在报告期收到的，用于在建</w:t>
      </w:r>
      <w:r>
        <w:rPr>
          <w:rFonts w:ascii="宋体"/>
          <w:color w:val="000000"/>
        </w:rPr>
        <w:t>项目</w:t>
      </w:r>
      <w:r>
        <w:rPr>
          <w:rFonts w:hint="eastAsia" w:ascii="宋体"/>
          <w:color w:val="000000"/>
        </w:rPr>
        <w:t>投资的各种货币资金。包括国家预算资金、国内贷款、利用外资、自筹资金和其他资金。</w:t>
      </w:r>
    </w:p>
    <w:p>
      <w:pPr>
        <w:adjustRightInd w:val="0"/>
        <w:spacing w:line="360" w:lineRule="atLeast"/>
        <w:ind w:firstLine="420" w:firstLineChars="200"/>
        <w:rPr>
          <w:rFonts w:hint="eastAsia" w:ascii="宋体" w:hAnsi="宋体"/>
          <w:color w:val="000000"/>
        </w:rPr>
      </w:pPr>
      <w:r>
        <w:rPr>
          <w:rFonts w:hint="eastAsia" w:ascii="黑体" w:hAnsi="宋体" w:eastAsia="黑体"/>
          <w:color w:val="000000"/>
        </w:rPr>
        <w:t>国家预算资金</w:t>
      </w:r>
      <w:r>
        <w:rPr>
          <w:rFonts w:hint="eastAsia" w:ascii="宋体" w:hAnsi="宋体"/>
          <w:color w:val="000000"/>
        </w:rPr>
        <w:t xml:space="preserve">  指各级政府用于固定资产投资的财政资金，包括中央预算资金和地方预算资金。</w:t>
      </w:r>
    </w:p>
    <w:p>
      <w:pPr>
        <w:adjustRightInd w:val="0"/>
        <w:spacing w:line="360" w:lineRule="atLeast"/>
        <w:ind w:firstLine="420" w:firstLineChars="200"/>
        <w:rPr>
          <w:rFonts w:hint="eastAsia" w:ascii="宋体" w:hAnsi="宋体"/>
          <w:color w:val="000000"/>
        </w:rPr>
      </w:pPr>
      <w:r>
        <w:rPr>
          <w:rFonts w:hint="eastAsia" w:ascii="宋体" w:hAnsi="宋体"/>
          <w:color w:val="000000"/>
        </w:rPr>
        <w:t>国家预算包括一般预算、政府性基金预算、国有资本经营预算和社保基金预算。各类预算中用于固定资产投资的资金全部作为国家预算资金填报，其中一般预算中用于固定资产投资的部分包括基建投资、车购税、灾后恢复重建基金和其他财政投资。各级政府债券、政府专项债也应归入国家预算资金。</w:t>
      </w:r>
    </w:p>
    <w:p>
      <w:pPr>
        <w:adjustRightInd w:val="0"/>
        <w:spacing w:line="360" w:lineRule="atLeast"/>
        <w:ind w:firstLine="420" w:firstLineChars="200"/>
        <w:rPr>
          <w:rFonts w:hint="eastAsia" w:ascii="宋体"/>
          <w:color w:val="000000"/>
        </w:rPr>
      </w:pPr>
      <w:r>
        <w:rPr>
          <w:rFonts w:hint="eastAsia" w:ascii="黑体" w:hAnsi="宋体" w:eastAsia="黑体"/>
          <w:color w:val="000000"/>
        </w:rPr>
        <w:t xml:space="preserve">中央预算资金 </w:t>
      </w:r>
      <w:r>
        <w:rPr>
          <w:rFonts w:hint="eastAsia" w:ascii="宋体" w:hAnsi="宋体"/>
          <w:color w:val="000000"/>
        </w:rPr>
        <w:t xml:space="preserve"> 指国家预算资金中，来源于中央公共预算安排的用于项目建设的资金数额。</w:t>
      </w:r>
      <w:r>
        <w:rPr>
          <w:rFonts w:ascii="宋体" w:hAnsi="宋体"/>
          <w:color w:val="000000"/>
        </w:rPr>
        <w:t xml:space="preserve"> </w:t>
      </w:r>
      <w:r>
        <w:rPr>
          <w:rFonts w:ascii="宋体"/>
          <w:color w:val="000000"/>
        </w:rPr>
        <w:t xml:space="preserve">  </w:t>
      </w:r>
    </w:p>
    <w:p>
      <w:pPr>
        <w:adjustRightInd w:val="0"/>
        <w:spacing w:line="360" w:lineRule="atLeast"/>
        <w:ind w:firstLine="420" w:firstLineChars="200"/>
        <w:rPr>
          <w:rFonts w:hint="eastAsia" w:ascii="宋体" w:hAnsi="宋体"/>
          <w:color w:val="000000"/>
        </w:rPr>
      </w:pPr>
      <w:r>
        <w:rPr>
          <w:rFonts w:hint="eastAsia" w:ascii="黑体" w:eastAsia="黑体"/>
          <w:color w:val="000000"/>
        </w:rPr>
        <w:t xml:space="preserve">国内贷款  </w:t>
      </w:r>
      <w:r>
        <w:rPr>
          <w:rFonts w:hint="eastAsia" w:ascii="宋体" w:hAnsi="宋体"/>
          <w:color w:val="000000"/>
        </w:rPr>
        <w:t>指报告期向银行及非银行金融机构借入</w:t>
      </w:r>
      <w:r>
        <w:rPr>
          <w:rFonts w:hint="eastAsia"/>
          <w:color w:val="000000"/>
        </w:rPr>
        <w:t>用于在建</w:t>
      </w:r>
      <w:r>
        <w:rPr>
          <w:color w:val="000000"/>
        </w:rPr>
        <w:t>项目</w:t>
      </w:r>
      <w:r>
        <w:rPr>
          <w:rFonts w:hint="eastAsia"/>
          <w:color w:val="000000"/>
        </w:rPr>
        <w:t>投资</w:t>
      </w:r>
      <w:r>
        <w:rPr>
          <w:rFonts w:hint="eastAsia" w:ascii="宋体" w:hAnsi="宋体"/>
          <w:color w:val="000000"/>
        </w:rPr>
        <w:t>的各种国内借款，包括</w:t>
      </w:r>
      <w:r>
        <w:rPr>
          <w:rFonts w:hint="eastAsia" w:ascii="Arial Unicode MS" w:hAnsi="Arial Unicode MS"/>
          <w:color w:val="000000"/>
          <w:szCs w:val="21"/>
        </w:rPr>
        <w:t>银行利用自有资金及吸收存款发放的贷款、上级拨入的国内贷款、国家专项贷款，地方财政专项资金安排的贷款、国内储备贷款、周转贷款等。</w:t>
      </w:r>
    </w:p>
    <w:p>
      <w:pPr>
        <w:adjustRightInd w:val="0"/>
        <w:spacing w:line="360" w:lineRule="atLeast"/>
        <w:ind w:firstLine="420" w:firstLineChars="200"/>
        <w:rPr>
          <w:rFonts w:ascii="宋体" w:hAnsi="宋体"/>
          <w:color w:val="000000"/>
          <w:szCs w:val="21"/>
        </w:rPr>
      </w:pPr>
      <w:r>
        <w:rPr>
          <w:rFonts w:hint="eastAsia" w:ascii="黑体" w:eastAsia="黑体"/>
          <w:color w:val="000000"/>
        </w:rPr>
        <w:t xml:space="preserve">利用外资  </w:t>
      </w:r>
      <w:r>
        <w:rPr>
          <w:rFonts w:hint="eastAsia" w:ascii="宋体" w:hAnsi="宋体"/>
          <w:color w:val="000000"/>
          <w:szCs w:val="21"/>
        </w:rPr>
        <w:t>指报告期内收到的</w:t>
      </w:r>
      <w:r>
        <w:rPr>
          <w:rFonts w:hint="eastAsia" w:ascii="Arial Unicode MS" w:hAnsi="Arial Unicode MS"/>
          <w:color w:val="000000"/>
          <w:szCs w:val="21"/>
        </w:rPr>
        <w:t>境外（包括外国及港澳台地区）</w:t>
      </w:r>
      <w:r>
        <w:rPr>
          <w:rFonts w:hint="eastAsia" w:ascii="宋体" w:hAnsi="宋体"/>
          <w:color w:val="000000"/>
          <w:szCs w:val="21"/>
        </w:rPr>
        <w:t>资金(包括设备、材料、技术在内)。包括对外借款(外国政府贷款、国际金融组织贷款、出口信贷、外国银行商业贷款、对外发行债券和股票)、外商直接投资、外商其他投资(包括补偿贸易、加工装配由外商提供的设备价款、国际租赁，外商投资收益的再投资资金)。不包括我国自有外汇资金(国家外汇、地方外汇、留成外汇、调济外汇和</w:t>
      </w:r>
      <w:r>
        <w:rPr>
          <w:rFonts w:hint="eastAsia" w:ascii="宋体" w:hAnsi="宋体" w:cs="宋体"/>
          <w:color w:val="000000"/>
          <w:szCs w:val="21"/>
        </w:rPr>
        <w:t>中国境内</w:t>
      </w:r>
      <w:r>
        <w:rPr>
          <w:rFonts w:hint="eastAsia" w:ascii="宋体" w:hAnsi="宋体"/>
          <w:color w:val="000000"/>
          <w:szCs w:val="21"/>
        </w:rPr>
        <w:t>银行自有资金发放的外汇贷款等)。</w:t>
      </w:r>
      <w:r>
        <w:rPr>
          <w:rFonts w:hint="eastAsia" w:ascii="Arial Unicode MS" w:hAnsi="Arial Unicode MS"/>
          <w:color w:val="000000"/>
          <w:szCs w:val="21"/>
        </w:rPr>
        <w:t>各类外资按报告期的外汇牌价（中间价）折成人民币计算。</w:t>
      </w:r>
    </w:p>
    <w:p>
      <w:pPr>
        <w:adjustRightInd w:val="0"/>
        <w:spacing w:line="360" w:lineRule="atLeast"/>
        <w:ind w:firstLine="420" w:firstLineChars="200"/>
        <w:rPr>
          <w:rFonts w:ascii="宋体" w:hAnsi="宋体"/>
          <w:color w:val="000000"/>
          <w:szCs w:val="21"/>
        </w:rPr>
      </w:pPr>
      <w:r>
        <w:rPr>
          <w:rFonts w:hint="eastAsia" w:ascii="黑体" w:eastAsia="黑体"/>
          <w:color w:val="000000"/>
        </w:rPr>
        <w:t xml:space="preserve">自筹资金  </w:t>
      </w:r>
      <w:r>
        <w:rPr>
          <w:rFonts w:hint="eastAsia" w:ascii="宋体" w:hAnsi="宋体"/>
          <w:color w:val="000000"/>
          <w:szCs w:val="21"/>
        </w:rPr>
        <w:t>指在报告期内筹集的用于在建项目投资的资金。包括自有资金、股东投入资金和借入资金，但不包括各类财政性资金、从各类金融机构借入资金和国外资金。</w:t>
      </w:r>
    </w:p>
    <w:p>
      <w:pPr>
        <w:adjustRightInd w:val="0"/>
        <w:spacing w:line="360" w:lineRule="atLeast"/>
        <w:ind w:firstLine="420" w:firstLineChars="200"/>
        <w:rPr>
          <w:rFonts w:ascii="宋体"/>
          <w:color w:val="000000"/>
        </w:rPr>
      </w:pPr>
      <w:r>
        <w:rPr>
          <w:rFonts w:hint="eastAsia" w:ascii="黑体" w:eastAsia="黑体"/>
          <w:color w:val="000000"/>
        </w:rPr>
        <w:t xml:space="preserve">其他资金来源  </w:t>
      </w:r>
      <w:r>
        <w:rPr>
          <w:rFonts w:hint="eastAsia" w:ascii="宋体" w:hAnsi="宋体"/>
          <w:color w:val="000000"/>
          <w:szCs w:val="21"/>
        </w:rPr>
        <w:t>指在报告期收到的除以上各种资金之外的用于固定资产投资的资金。包括债券（不含对外发行债券）</w:t>
      </w:r>
      <w:r>
        <w:rPr>
          <w:rFonts w:ascii="宋体" w:hAnsi="宋体"/>
          <w:color w:val="000000"/>
          <w:szCs w:val="21"/>
        </w:rPr>
        <w:t>、</w:t>
      </w:r>
      <w:r>
        <w:rPr>
          <w:rFonts w:hint="eastAsia" w:ascii="宋体" w:hAnsi="宋体"/>
          <w:color w:val="000000"/>
          <w:szCs w:val="21"/>
        </w:rPr>
        <w:t>社会集资、个人资金、无偿捐赠的资金及其他单位拨入的资金等。</w:t>
      </w:r>
    </w:p>
    <w:p>
      <w:pPr>
        <w:adjustRightInd w:val="0"/>
        <w:spacing w:line="360" w:lineRule="atLeast"/>
        <w:ind w:firstLine="420" w:firstLineChars="200"/>
        <w:rPr>
          <w:rFonts w:ascii="宋体" w:hAnsi="宋体"/>
          <w:color w:val="000000"/>
        </w:rPr>
      </w:pPr>
      <w:r>
        <w:rPr>
          <w:rFonts w:hint="eastAsia" w:ascii="黑体" w:eastAsia="黑体"/>
          <w:color w:val="000000"/>
        </w:rPr>
        <w:t xml:space="preserve">债券  </w:t>
      </w:r>
      <w:r>
        <w:rPr>
          <w:rFonts w:hint="eastAsia" w:ascii="宋体" w:hAnsi="宋体"/>
          <w:color w:val="000000"/>
        </w:rPr>
        <w:t>指企业或金融机构为筹集用于固定资产投资的资金向投资者出具的承诺按一定发行条件还本付息的债务凭证，包括金融债券和企业债券。金融债券是由银行和非银行金融机构发行的债券。在我国目前金融债券主要分两类，一是由国家开发银行、进出口银行等政策性银行发行的政策性金融债券，二是由商业银行、证券公司、财务公司等商业性金融机构发行的商业金融债券。企业债券是工商企业依照法定程序发行的债券。公司债券的发行主体可以是股份公司也可以是非股份公司，可以是上市公司也可以是非上市公司，包括依据《企业债券管理条例》发行的企业债券、依据《公司法》发行的上市公司债券、依据中国人民银行规章发行的中期票据等。</w:t>
      </w:r>
    </w:p>
    <w:p>
      <w:pPr>
        <w:adjustRightInd w:val="0"/>
        <w:spacing w:line="360" w:lineRule="atLeast"/>
        <w:ind w:firstLine="420" w:firstLineChars="200"/>
        <w:rPr>
          <w:rFonts w:ascii="宋体" w:hAnsi="宋体"/>
          <w:color w:val="000000"/>
          <w:szCs w:val="21"/>
        </w:rPr>
      </w:pPr>
      <w:r>
        <w:rPr>
          <w:rFonts w:hint="eastAsia" w:ascii="黑体" w:eastAsia="黑体"/>
          <w:color w:val="000000"/>
        </w:rPr>
        <w:t xml:space="preserve">各项应付款合计  </w:t>
      </w:r>
      <w:r>
        <w:rPr>
          <w:rFonts w:hint="eastAsia" w:ascii="宋体" w:hAnsi="宋体"/>
          <w:color w:val="000000"/>
          <w:szCs w:val="21"/>
        </w:rPr>
        <w:t>指本年项目建设过程中应付未付的投资款。包括应付工程款、应付器材款、应付工资、应付有偿调入器材及工程款、其他应付款、应交税金、应交基建收入、应交投资包干结余、应交能源交通建设基金、应交预算调节基金及其他应交款。各项应付款填报本报告期实际增加数（或发生数），不是填报开始建设以来的累计数。</w:t>
      </w:r>
    </w:p>
    <w:p>
      <w:pPr>
        <w:adjustRightInd w:val="0"/>
        <w:spacing w:line="360" w:lineRule="atLeast"/>
        <w:ind w:firstLine="420" w:firstLineChars="200"/>
        <w:rPr>
          <w:rFonts w:hint="eastAsia" w:ascii="宋体"/>
          <w:color w:val="000000"/>
        </w:rPr>
      </w:pPr>
      <w:r>
        <w:rPr>
          <w:rFonts w:hint="eastAsia" w:ascii="黑体" w:eastAsia="黑体"/>
          <w:color w:val="000000"/>
        </w:rPr>
        <w:t xml:space="preserve">工程款 </w:t>
      </w:r>
      <w:r>
        <w:rPr>
          <w:rFonts w:hint="eastAsia" w:ascii="宋体" w:hAnsi="宋体"/>
          <w:color w:val="000000"/>
          <w:szCs w:val="21"/>
        </w:rPr>
        <w:t xml:space="preserve"> 指应付未付给施工单位（乙方）的工程投资款。</w:t>
      </w: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pStyle w:val="15"/>
        <w:rPr>
          <w:rFonts w:hint="eastAsia" w:ascii="宋体" w:hAnsi="宋体"/>
          <w:color w:val="000000"/>
          <w:szCs w:val="21"/>
        </w:rPr>
      </w:pPr>
    </w:p>
    <w:p>
      <w:pPr>
        <w:numPr>
          <w:ilvl w:val="0"/>
          <w:numId w:val="7"/>
        </w:numPr>
        <w:spacing w:line="360" w:lineRule="exact"/>
        <w:ind w:left="0" w:leftChars="0" w:firstLine="420" w:firstLineChars="0"/>
        <w:jc w:val="center"/>
        <w:outlineLvl w:val="1"/>
        <w:rPr>
          <w:rFonts w:hint="eastAsia" w:ascii="黑体" w:hAnsi="黑体" w:eastAsia="黑体" w:cs="黑体"/>
          <w:bCs/>
          <w:sz w:val="28"/>
          <w:szCs w:val="28"/>
          <w:lang w:eastAsia="zh-CN"/>
        </w:rPr>
      </w:pPr>
      <w:bookmarkStart w:id="114" w:name="_Toc537827260"/>
      <w:bookmarkStart w:id="115" w:name="_Toc1207836749"/>
      <w:bookmarkStart w:id="116" w:name="_Toc506966603"/>
      <w:r>
        <w:rPr>
          <w:rFonts w:hint="eastAsia" w:ascii="黑体" w:hAnsi="黑体" w:eastAsia="黑体" w:cs="黑体"/>
          <w:bCs/>
          <w:sz w:val="28"/>
          <w:szCs w:val="28"/>
        </w:rPr>
        <w:t>填报要求</w:t>
      </w:r>
      <w:bookmarkEnd w:id="114"/>
      <w:bookmarkEnd w:id="115"/>
      <w:bookmarkEnd w:id="116"/>
    </w:p>
    <w:p>
      <w:pPr>
        <w:spacing w:line="240" w:lineRule="exact"/>
        <w:jc w:val="center"/>
        <w:rPr>
          <w:rFonts w:hint="eastAsia" w:eastAsia="黑体"/>
          <w:bCs/>
          <w:sz w:val="18"/>
          <w:szCs w:val="18"/>
          <w:lang w:eastAsia="zh-CN"/>
        </w:rPr>
      </w:pPr>
    </w:p>
    <w:p>
      <w:pPr>
        <w:keepNext w:val="0"/>
        <w:keepLines w:val="0"/>
        <w:pageBreakBefore w:val="0"/>
        <w:widowControl w:val="0"/>
        <w:kinsoku/>
        <w:wordWrap/>
        <w:overflowPunct/>
        <w:topLinePunct w:val="0"/>
        <w:autoSpaceDE/>
        <w:autoSpaceDN/>
        <w:bidi w:val="0"/>
        <w:adjustRightInd/>
        <w:snapToGrid/>
        <w:spacing w:before="157" w:beforeLines="50" w:line="360" w:lineRule="exact"/>
        <w:ind w:firstLine="420" w:firstLineChars="200"/>
        <w:textAlignment w:val="auto"/>
        <w:outlineLvl w:val="9"/>
        <w:rPr>
          <w:color w:val="auto"/>
        </w:rPr>
      </w:pPr>
      <w:r>
        <w:rPr>
          <w:color w:val="auto"/>
        </w:rPr>
        <w:t>工业统计报表的填报、汇总是否规范、统一，直接影响到全市工业统计数据的质量，为此，各工业报送单位在填报统计报表、网上提交统计数据前必须认真阅读本制度，并按下列规定进行填报：</w:t>
      </w:r>
    </w:p>
    <w:p>
      <w:pPr>
        <w:spacing w:line="360" w:lineRule="exact"/>
        <w:ind w:firstLine="527" w:firstLineChars="250"/>
        <w:outlineLvl w:val="9"/>
        <w:rPr>
          <w:b/>
          <w:bCs/>
          <w:color w:val="auto"/>
        </w:rPr>
      </w:pPr>
      <w:r>
        <w:rPr>
          <w:b/>
          <w:bCs/>
          <w:color w:val="auto"/>
        </w:rPr>
        <w:t>1.填报规则</w:t>
      </w:r>
    </w:p>
    <w:p>
      <w:pPr>
        <w:spacing w:line="360" w:lineRule="exact"/>
        <w:ind w:firstLine="420" w:firstLineChars="200"/>
        <w:outlineLvl w:val="9"/>
        <w:rPr>
          <w:color w:val="auto"/>
          <w:szCs w:val="21"/>
        </w:rPr>
      </w:pPr>
      <w:r>
        <w:rPr>
          <w:color w:val="auto"/>
          <w:szCs w:val="21"/>
        </w:rPr>
        <w:t>（1）</w:t>
      </w:r>
      <w:r>
        <w:rPr>
          <w:rFonts w:hint="eastAsia"/>
          <w:color w:val="auto"/>
          <w:szCs w:val="21"/>
          <w:lang w:eastAsia="zh-CN"/>
        </w:rPr>
        <w:t>规模以上工业法人单位（包括视同法人单位）和规模以上工业个体经营户年、定报表均通过国家统计云联网直报平台</w:t>
      </w:r>
      <w:r>
        <w:rPr>
          <w:rFonts w:hint="eastAsia"/>
          <w:color w:val="auto"/>
          <w:szCs w:val="21"/>
        </w:rPr>
        <w:t>（https://tjy.stats.gov.cn）</w:t>
      </w:r>
      <w:r>
        <w:rPr>
          <w:rFonts w:hint="eastAsia"/>
          <w:color w:val="auto"/>
          <w:szCs w:val="21"/>
          <w:lang w:eastAsia="zh-CN"/>
        </w:rPr>
        <w:t>填报</w:t>
      </w:r>
      <w:r>
        <w:rPr>
          <w:color w:val="auto"/>
          <w:szCs w:val="21"/>
        </w:rPr>
        <w:t>。</w:t>
      </w:r>
    </w:p>
    <w:p>
      <w:pPr>
        <w:spacing w:line="360" w:lineRule="exact"/>
        <w:ind w:firstLine="420" w:firstLineChars="200"/>
        <w:outlineLvl w:val="9"/>
        <w:rPr>
          <w:color w:val="auto"/>
          <w:szCs w:val="21"/>
        </w:rPr>
      </w:pPr>
      <w:r>
        <w:rPr>
          <w:color w:val="auto"/>
          <w:szCs w:val="21"/>
        </w:rPr>
        <w:t>（2）企业报送</w:t>
      </w:r>
      <w:r>
        <w:rPr>
          <w:rFonts w:hint="eastAsia"/>
          <w:color w:val="auto"/>
          <w:szCs w:val="21"/>
          <w:lang w:val="en-US" w:eastAsia="zh-CN"/>
        </w:rPr>
        <w:t>101-1</w:t>
      </w:r>
      <w:r>
        <w:rPr>
          <w:color w:val="auto"/>
          <w:szCs w:val="21"/>
        </w:rPr>
        <w:t>表时，除表中灰色指标之外，其他指标需根据实际情况进行核实、修改。</w:t>
      </w:r>
    </w:p>
    <w:p>
      <w:pPr>
        <w:spacing w:line="360" w:lineRule="exact"/>
        <w:ind w:firstLine="420" w:firstLineChars="200"/>
        <w:outlineLvl w:val="9"/>
        <w:rPr>
          <w:color w:val="auto"/>
          <w:szCs w:val="21"/>
        </w:rPr>
      </w:pPr>
      <w:r>
        <w:rPr>
          <w:color w:val="auto"/>
          <w:szCs w:val="21"/>
        </w:rPr>
        <w:t>（3）</w:t>
      </w:r>
      <w:r>
        <w:rPr>
          <w:rFonts w:hint="eastAsia"/>
          <w:color w:val="auto"/>
          <w:szCs w:val="21"/>
          <w:lang w:val="en-US" w:eastAsia="zh-CN"/>
        </w:rPr>
        <w:t>101-1</w:t>
      </w:r>
      <w:r>
        <w:rPr>
          <w:color w:val="auto"/>
          <w:szCs w:val="21"/>
        </w:rPr>
        <w:t>表中的经济指标（从业人员期末人数、营业收入等）应填写包含下属全部产业活动单位的数据。</w:t>
      </w:r>
    </w:p>
    <w:p>
      <w:pPr>
        <w:spacing w:line="360" w:lineRule="exact"/>
        <w:ind w:firstLine="420" w:firstLineChars="200"/>
        <w:outlineLvl w:val="9"/>
        <w:rPr>
          <w:color w:val="auto"/>
          <w:szCs w:val="21"/>
        </w:rPr>
      </w:pPr>
      <w:r>
        <w:rPr>
          <w:color w:val="auto"/>
          <w:szCs w:val="21"/>
        </w:rPr>
        <w:t>（4）凡限某一行业或某类单位填报的项目，其他行业或单位免填，代码不需填“0”。</w:t>
      </w:r>
    </w:p>
    <w:p>
      <w:pPr>
        <w:spacing w:line="360" w:lineRule="exact"/>
        <w:ind w:firstLine="420" w:firstLineChars="200"/>
        <w:outlineLvl w:val="9"/>
        <w:rPr>
          <w:color w:val="auto"/>
        </w:rPr>
      </w:pPr>
      <w:r>
        <w:rPr>
          <w:color w:val="auto"/>
          <w:szCs w:val="21"/>
        </w:rPr>
        <w:t>（5）</w:t>
      </w:r>
      <w:r>
        <w:rPr>
          <w:rFonts w:hint="eastAsia"/>
          <w:color w:val="auto"/>
          <w:szCs w:val="21"/>
          <w:lang w:val="en-US" w:eastAsia="zh-CN"/>
        </w:rPr>
        <w:t>101-1</w:t>
      </w:r>
      <w:r>
        <w:rPr>
          <w:color w:val="auto"/>
          <w:szCs w:val="21"/>
        </w:rPr>
        <w:t>表内所有价值量指标均以人民币计算。凡以外币形式计算的价值量指标，均以报告期末汇率折合成人民币填写；所有数字一律取整数，凡未满一个计量单位的，应四舍五入，不留小数。</w:t>
      </w:r>
    </w:p>
    <w:p>
      <w:pPr>
        <w:spacing w:line="360" w:lineRule="exact"/>
        <w:ind w:firstLine="420" w:firstLineChars="200"/>
        <w:outlineLvl w:val="9"/>
        <w:rPr>
          <w:rFonts w:hint="eastAsia" w:eastAsia="宋体"/>
          <w:color w:val="auto"/>
          <w:lang w:eastAsia="zh-CN"/>
        </w:rPr>
      </w:pPr>
      <w:r>
        <w:rPr>
          <w:color w:val="auto"/>
        </w:rPr>
        <w:t>（6）除注明“—”的指标和特别注明只由其他专业企业填写的指标外，统计表中的各项指标，企业均要填报。 </w:t>
      </w:r>
    </w:p>
    <w:p>
      <w:pPr>
        <w:spacing w:line="360" w:lineRule="exact"/>
        <w:ind w:firstLine="420" w:firstLineChars="200"/>
        <w:outlineLvl w:val="9"/>
        <w:rPr>
          <w:rFonts w:hint="eastAsia" w:eastAsia="宋体"/>
          <w:color w:val="auto"/>
          <w:lang w:eastAsia="zh-CN"/>
        </w:rPr>
      </w:pPr>
      <w:r>
        <w:rPr>
          <w:color w:val="auto"/>
        </w:rPr>
        <w:t>（7）录入统计报表时，要注意指标的计量单位，不得自行更改计量单位。统计表中所有价值量指标均以人民币计算，凡以外币形式计算的价值量指标，均以报告期末的汇率折合成人民币填报。</w:t>
      </w:r>
    </w:p>
    <w:p>
      <w:pPr>
        <w:spacing w:line="360" w:lineRule="exact"/>
        <w:ind w:firstLine="420" w:firstLineChars="200"/>
        <w:outlineLvl w:val="9"/>
        <w:rPr>
          <w:color w:val="auto"/>
        </w:rPr>
      </w:pPr>
      <w:r>
        <w:rPr>
          <w:color w:val="auto"/>
        </w:rPr>
        <w:t>（8）统计表中的分类、目录和代码均属全</w:t>
      </w:r>
      <w:r>
        <w:rPr>
          <w:rFonts w:hint="eastAsia"/>
          <w:color w:val="auto"/>
          <w:lang w:eastAsia="zh-CN"/>
        </w:rPr>
        <w:t>国</w:t>
      </w:r>
      <w:r>
        <w:rPr>
          <w:color w:val="auto"/>
        </w:rPr>
        <w:t>统一标准，各企业必须严格执行。</w:t>
      </w:r>
    </w:p>
    <w:p>
      <w:pPr>
        <w:spacing w:line="360" w:lineRule="exact"/>
        <w:ind w:firstLine="527" w:firstLineChars="250"/>
        <w:outlineLvl w:val="9"/>
        <w:rPr>
          <w:b/>
          <w:bCs/>
          <w:color w:val="auto"/>
        </w:rPr>
      </w:pPr>
      <w:r>
        <w:rPr>
          <w:b/>
          <w:bCs/>
          <w:color w:val="auto"/>
        </w:rPr>
        <w:t>2.审核要求</w:t>
      </w:r>
    </w:p>
    <w:p>
      <w:pPr>
        <w:spacing w:line="360" w:lineRule="exact"/>
        <w:ind w:firstLine="420" w:firstLineChars="200"/>
        <w:outlineLvl w:val="9"/>
        <w:rPr>
          <w:color w:val="auto"/>
        </w:rPr>
      </w:pPr>
      <w:r>
        <w:rPr>
          <w:color w:val="auto"/>
        </w:rPr>
        <w:t>（1）各报送单位使用</w:t>
      </w:r>
      <w:r>
        <w:rPr>
          <w:rFonts w:hint="eastAsia"/>
          <w:color w:val="auto"/>
          <w:lang w:eastAsia="zh-CN"/>
        </w:rPr>
        <w:t>国家统计云联网直报平台</w:t>
      </w:r>
      <w:r>
        <w:rPr>
          <w:color w:val="auto"/>
        </w:rPr>
        <w:t>录入数据后，必须通过电脑程序审核，对统计报表中的每一个指标都要做到逐一严格审查和核对。</w:t>
      </w:r>
    </w:p>
    <w:p>
      <w:pPr>
        <w:spacing w:line="360" w:lineRule="exact"/>
        <w:ind w:firstLine="420" w:firstLineChars="200"/>
        <w:outlineLvl w:val="9"/>
        <w:rPr>
          <w:color w:val="auto"/>
        </w:rPr>
      </w:pPr>
      <w:r>
        <w:rPr>
          <w:color w:val="auto"/>
        </w:rPr>
        <w:t>（2）各报送单位对程序提出的警告性问题和数据倒退问题，都必须加以核查及说明。</w:t>
      </w:r>
    </w:p>
    <w:p>
      <w:pPr>
        <w:spacing w:line="360" w:lineRule="exact"/>
        <w:ind w:firstLine="420" w:firstLineChars="200"/>
        <w:outlineLvl w:val="9"/>
        <w:rPr>
          <w:color w:val="auto"/>
        </w:rPr>
      </w:pPr>
      <w:r>
        <w:rPr>
          <w:color w:val="auto"/>
        </w:rPr>
        <w:t>（3）各报送单位应注意1-12月月报与</w:t>
      </w:r>
      <w:r>
        <w:rPr>
          <w:rFonts w:hint="eastAsia"/>
          <w:color w:val="auto"/>
          <w:lang w:eastAsia="zh-CN"/>
        </w:rPr>
        <w:t>年报数据</w:t>
      </w:r>
      <w:r>
        <w:rPr>
          <w:color w:val="auto"/>
        </w:rPr>
        <w:t>的衔接，统齐统全全年各项指标。</w:t>
      </w:r>
    </w:p>
    <w:p>
      <w:pPr>
        <w:outlineLvl w:val="9"/>
        <w:rPr>
          <w:rFonts w:ascii="宋体" w:hAnsi="宋体" w:cs="宋体"/>
          <w:color w:val="auto"/>
          <w:kern w:val="0"/>
          <w:szCs w:val="21"/>
        </w:rPr>
      </w:pPr>
    </w:p>
    <w:p>
      <w:pPr>
        <w:pStyle w:val="2"/>
        <w:rPr>
          <w:rFonts w:hint="default"/>
          <w:lang w:val="en-US" w:eastAsia="zh-CN"/>
        </w:rPr>
      </w:pPr>
    </w:p>
    <w:sectPr>
      <w:pgSz w:w="11906" w:h="16838"/>
      <w:pgMar w:top="1418" w:right="1134" w:bottom="1134" w:left="1134" w:header="851" w:footer="567"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Arial Unicode MS">
    <w:altName w:val="DejaVu Sans"/>
    <w:panose1 w:val="020B0604020202020204"/>
    <w:charset w:val="86"/>
    <w:family w:val="swiss"/>
    <w:pitch w:val="default"/>
    <w:sig w:usb0="00000000" w:usb1="00000000" w:usb2="0000003F" w:usb3="00000000" w:csb0="603F01FF" w:csb1="FFFF0000"/>
  </w:font>
  <w:font w:name="仿宋_GB2312">
    <w:altName w:val="方正仿宋_GBK"/>
    <w:panose1 w:val="02010609030101010101"/>
    <w:charset w:val="86"/>
    <w:family w:val="modern"/>
    <w:pitch w:val="default"/>
    <w:sig w:usb0="00000000" w:usb1="00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华文中宋">
    <w:altName w:val="汉仪中宋简"/>
    <w:panose1 w:val="02010600040101010101"/>
    <w:charset w:val="00"/>
    <w:family w:val="auto"/>
    <w:pitch w:val="default"/>
    <w:sig w:usb0="00000000" w:usb1="00000000" w:usb2="00000000" w:usb3="00000000" w:csb0="0004009F" w:csb1="DFD70000"/>
  </w:font>
  <w:font w:name="new times">
    <w:altName w:val="Quicksand Light"/>
    <w:panose1 w:val="00000000000000000000"/>
    <w:charset w:val="00"/>
    <w:family w:val="auto"/>
    <w:pitch w:val="default"/>
    <w:sig w:usb0="00000000" w:usb1="00000000" w:usb2="00000000" w:usb3="00000000" w:csb0="00000000" w:csb1="00000000"/>
  </w:font>
  <w:font w:name="new times ROMER">
    <w:altName w:val="Quicksand Light"/>
    <w:panose1 w:val="00000000000000000000"/>
    <w:charset w:val="00"/>
    <w:family w:val="auto"/>
    <w:pitch w:val="default"/>
    <w:sig w:usb0="00000000" w:usb1="00000000" w:usb2="00000000" w:usb3="00000000" w:csb0="00000000" w:csb1="00000000"/>
  </w:font>
  <w:font w:name="times">
    <w:altName w:val="Quicksand Light"/>
    <w:panose1 w:val="00000000000000000000"/>
    <w:charset w:val="00"/>
    <w:family w:val="auto"/>
    <w:pitch w:val="default"/>
    <w:sig w:usb0="00000000" w:usb1="00000000" w:usb2="00000000" w:usb3="00000000" w:csb0="00000000" w:csb1="00000000"/>
  </w:font>
  <w:font w:name="Nimbus Roman No9 L">
    <w:altName w:val="Quicksand Light"/>
    <w:panose1 w:val="00000000000000000000"/>
    <w:charset w:val="00"/>
    <w:family w:val="auto"/>
    <w:pitch w:val="default"/>
    <w:sig w:usb0="00000000" w:usb1="00000000" w:usb2="00000000" w:usb3="00000000" w:csb0="00000000" w:csb1="00000000"/>
  </w:font>
  <w:font w:name="Calibri Light">
    <w:altName w:val="DejaVu Sans"/>
    <w:panose1 w:val="020F0302020204030204"/>
    <w:charset w:val="00"/>
    <w:family w:val="swiss"/>
    <w:pitch w:val="default"/>
    <w:sig w:usb0="00000000" w:usb1="00000000" w:usb2="00000000" w:usb3="00000000" w:csb0="2000019F" w:csb1="00000000"/>
  </w:font>
  <w:font w:name="汉仪书宋二S">
    <w:panose1 w:val="00020600040101010101"/>
    <w:charset w:val="86"/>
    <w:family w:val="auto"/>
    <w:pitch w:val="default"/>
    <w:sig w:usb0="A00002BF" w:usb1="18EF7CFA" w:usb2="00000016" w:usb3="00000000" w:csb0="00040000" w:csb1="00000000"/>
  </w:font>
  <w:font w:name="方正小标宋简体">
    <w:panose1 w:val="02000000000000000000"/>
    <w:charset w:val="86"/>
    <w:family w:val="auto"/>
    <w:pitch w:val="default"/>
    <w:sig w:usb0="A00002BF" w:usb1="184F6CFA" w:usb2="00000012" w:usb3="00000000" w:csb0="00040001" w:csb1="00000000"/>
  </w:font>
  <w:font w:name="Cambria Math">
    <w:altName w:val="DejaVu Math TeX Gyre"/>
    <w:panose1 w:val="02040503050406030204"/>
    <w:charset w:val="00"/>
    <w:family w:val="roman"/>
    <w:pitch w:val="default"/>
    <w:sig w:usb0="00000000" w:usb1="00000000" w:usb2="00000000" w:usb3="00000000" w:csb0="2000019F" w:csb1="00000000"/>
  </w:font>
  <w:font w:name="仿宋">
    <w:altName w:val="方正仿宋_GBK"/>
    <w:panose1 w:val="02010609060101010101"/>
    <w:charset w:val="00"/>
    <w:family w:val="modern"/>
    <w:pitch w:val="default"/>
    <w:sig w:usb0="00000000" w:usb1="00000000" w:usb2="00000016" w:usb3="00000000" w:csb0="00040001" w:csb1="00000000"/>
  </w:font>
  <w:font w:name="华文宋体">
    <w:altName w:val="方正书宋_GBK"/>
    <w:panose1 w:val="02010600040101010101"/>
    <w:charset w:val="86"/>
    <w:family w:val="auto"/>
    <w:pitch w:val="default"/>
    <w:sig w:usb0="00000000" w:usb1="0000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Quicksand Light">
    <w:panose1 w:val="00000400000000000000"/>
    <w:charset w:val="00"/>
    <w:family w:val="auto"/>
    <w:pitch w:val="default"/>
    <w:sig w:usb0="2000000F" w:usb1="00000001" w:usb2="00000000" w:usb3="00000000" w:csb0="20000193" w:csb1="00000000"/>
  </w:font>
  <w:font w:name="Noto Sans Syriac Eastern">
    <w:panose1 w:val="02040503050306020203"/>
    <w:charset w:val="86"/>
    <w:family w:val="auto"/>
    <w:pitch w:val="default"/>
    <w:sig w:usb0="00000000" w:usb1="00000000" w:usb2="00000080" w:usb3="00000000" w:csb0="203E0161" w:csb1="D7FF0000"/>
  </w:font>
  <w:font w:name="文泉驿微米黑">
    <w:panose1 w:val="020B0606030804020204"/>
    <w:charset w:val="86"/>
    <w:family w:val="auto"/>
    <w:pitch w:val="default"/>
    <w:sig w:usb0="E10002EF" w:usb1="6BDFFCFB" w:usb2="00800036" w:usb3="00000000" w:csb0="603E019F" w:csb1="DFD70000"/>
  </w:font>
  <w:font w:name="DejaVu Math TeX Gyre">
    <w:panose1 w:val="02000503000000000000"/>
    <w:charset w:val="00"/>
    <w:family w:val="auto"/>
    <w:pitch w:val="default"/>
    <w:sig w:usb0="A10000EF" w:usb1="4201F9EE" w:usb2="02000000" w:usb3="00000000" w:csb0="60000193" w:csb1="0DD4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tabs>
        <w:tab w:val="center" w:pos="4802"/>
        <w:tab w:val="clear" w:pos="4153"/>
      </w:tabs>
      <w:wordWrap w:val="0"/>
      <w:jc w:val="center"/>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tabs>
        <w:tab w:val="center" w:pos="4802"/>
        <w:tab w:val="clear" w:pos="4153"/>
      </w:tabs>
      <w:wordWrap w:val="0"/>
      <w:jc w:val="center"/>
      <w:rPr>
        <w:rFonts w:hint="eastAsia" w:eastAsia="宋体"/>
        <w:lang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564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8TPSHQIAACkEAAAOAAAAZHJz&#10;L2Uyb0RvYy54bWytU82O0zAQviPxDpbvNGlRV1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9eT/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IDxM9IdAgAAKQQAAA4AAAAAAAAAAQAgAAAANQ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18"/>
        <w:lang w:eastAsia="zh-CN"/>
      </w:rPr>
      <w:t>规模以上工业一套表制度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tabs>
        <w:tab w:val="center" w:pos="4802"/>
        <w:tab w:val="clear" w:pos="4153"/>
      </w:tabs>
      <w:wordWrap w:val="0"/>
      <w:jc w:val="center"/>
      <w:rPr>
        <w:rFonts w:hint="eastAsia" w:eastAsia="宋体"/>
        <w:lang w:eastAsia="zh-CN"/>
      </w:rPr>
    </w:pPr>
    <w:r>
      <w:rPr>
        <w:sz w:val="18"/>
      </w:rPr>
      <mc:AlternateContent>
        <mc:Choice Requires="wps">
          <w:drawing>
            <wp:anchor distT="0" distB="0" distL="114300" distR="114300" simplePos="0" relativeHeight="2516940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940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18"/>
        <w:lang w:eastAsia="zh-CN"/>
      </w:rPr>
      <w:t>规模以上工业统计报表制度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59717"/>
    <w:multiLevelType w:val="singleLevel"/>
    <w:tmpl w:val="9FB59717"/>
    <w:lvl w:ilvl="0" w:tentative="0">
      <w:start w:val="2"/>
      <w:numFmt w:val="decimal"/>
      <w:suff w:val="nothing"/>
      <w:lvlText w:val="（%1）"/>
      <w:lvlJc w:val="left"/>
    </w:lvl>
  </w:abstractNum>
  <w:abstractNum w:abstractNumId="1">
    <w:nsid w:val="B3B53C4A"/>
    <w:multiLevelType w:val="singleLevel"/>
    <w:tmpl w:val="B3B53C4A"/>
    <w:lvl w:ilvl="0" w:tentative="0">
      <w:start w:val="1"/>
      <w:numFmt w:val="decimal"/>
      <w:suff w:val="nothing"/>
      <w:lvlText w:val="（%1）"/>
      <w:lvlJc w:val="left"/>
    </w:lvl>
  </w:abstractNum>
  <w:abstractNum w:abstractNumId="2">
    <w:nsid w:val="B466C75C"/>
    <w:multiLevelType w:val="singleLevel"/>
    <w:tmpl w:val="B466C75C"/>
    <w:lvl w:ilvl="0" w:tentative="0">
      <w:start w:val="1"/>
      <w:numFmt w:val="chineseCounting"/>
      <w:suff w:val="nothing"/>
      <w:lvlText w:val="%1、"/>
      <w:lvlJc w:val="left"/>
      <w:rPr>
        <w:rFonts w:hint="eastAsia"/>
      </w:rPr>
    </w:lvl>
  </w:abstractNum>
  <w:abstractNum w:abstractNumId="3">
    <w:nsid w:val="DBA907A0"/>
    <w:multiLevelType w:val="singleLevel"/>
    <w:tmpl w:val="DBA907A0"/>
    <w:lvl w:ilvl="0" w:tentative="0">
      <w:start w:val="2"/>
      <w:numFmt w:val="chineseCounting"/>
      <w:suff w:val="nothing"/>
      <w:lvlText w:val="（%1）"/>
      <w:lvlJc w:val="left"/>
      <w:rPr>
        <w:rFonts w:hint="eastAsia"/>
      </w:rPr>
    </w:lvl>
  </w:abstractNum>
  <w:abstractNum w:abstractNumId="4">
    <w:nsid w:val="FB7E733E"/>
    <w:multiLevelType w:val="singleLevel"/>
    <w:tmpl w:val="FB7E733E"/>
    <w:lvl w:ilvl="0" w:tentative="0">
      <w:start w:val="1"/>
      <w:numFmt w:val="decimal"/>
      <w:lvlText w:val="%1."/>
      <w:lvlJc w:val="left"/>
      <w:pPr>
        <w:ind w:left="425" w:hanging="425"/>
      </w:pPr>
      <w:rPr>
        <w:rFonts w:hint="default"/>
      </w:rPr>
    </w:lvl>
  </w:abstractNum>
  <w:abstractNum w:abstractNumId="5">
    <w:nsid w:val="FFE6D7C5"/>
    <w:multiLevelType w:val="singleLevel"/>
    <w:tmpl w:val="FFE6D7C5"/>
    <w:lvl w:ilvl="0" w:tentative="0">
      <w:start w:val="1"/>
      <w:numFmt w:val="decimal"/>
      <w:lvlText w:val="%1."/>
      <w:lvlJc w:val="left"/>
      <w:pPr>
        <w:ind w:left="425" w:hanging="425"/>
      </w:pPr>
      <w:rPr>
        <w:rFonts w:hint="default"/>
      </w:rPr>
    </w:lvl>
  </w:abstractNum>
  <w:abstractNum w:abstractNumId="6">
    <w:nsid w:val="FFFF8D51"/>
    <w:multiLevelType w:val="singleLevel"/>
    <w:tmpl w:val="FFFF8D51"/>
    <w:lvl w:ilvl="0" w:tentative="0">
      <w:start w:val="1"/>
      <w:numFmt w:val="decimal"/>
      <w:lvlText w:val="%1."/>
      <w:lvlJc w:val="left"/>
      <w:pPr>
        <w:ind w:left="425" w:hanging="425"/>
      </w:pPr>
      <w:rPr>
        <w:rFonts w:hint="default"/>
      </w:rPr>
    </w:lvl>
  </w:abstractNum>
  <w:abstractNum w:abstractNumId="7">
    <w:nsid w:val="00000006"/>
    <w:multiLevelType w:val="multilevel"/>
    <w:tmpl w:val="00000006"/>
    <w:lvl w:ilvl="0" w:tentative="0">
      <w:start w:val="1"/>
      <w:numFmt w:val="bullet"/>
      <w:lvlText w:val=""/>
      <w:lvlJc w:val="left"/>
      <w:pPr>
        <w:tabs>
          <w:tab w:val="left" w:pos="1320"/>
        </w:tabs>
        <w:ind w:left="1320" w:hanging="420"/>
      </w:pPr>
      <w:rPr>
        <w:rFonts w:hint="default" w:ascii="Symbol" w:hAnsi="Symbol"/>
        <w:color w:val="auto"/>
      </w:rPr>
    </w:lvl>
    <w:lvl w:ilvl="1" w:tentative="0">
      <w:start w:val="1"/>
      <w:numFmt w:val="bullet"/>
      <w:lvlText w:val="—"/>
      <w:lvlJc w:val="left"/>
      <w:pPr>
        <w:tabs>
          <w:tab w:val="left" w:pos="902"/>
        </w:tabs>
        <w:ind w:firstLine="900"/>
      </w:pPr>
      <w:rPr>
        <w:rFonts w:hint="eastAsia" w:ascii="宋体" w:hAnsi="宋体" w:eastAsia="宋体"/>
        <w:color w:val="auto"/>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8">
    <w:nsid w:val="0000000A"/>
    <w:multiLevelType w:val="multilevel"/>
    <w:tmpl w:val="0000000A"/>
    <w:lvl w:ilvl="0" w:tentative="0">
      <w:start w:val="1"/>
      <w:numFmt w:val="bullet"/>
      <w:lvlText w:val=""/>
      <w:lvlJc w:val="left"/>
      <w:pPr>
        <w:tabs>
          <w:tab w:val="left" w:pos="1320"/>
        </w:tabs>
        <w:ind w:left="1320" w:hanging="420"/>
      </w:pPr>
      <w:rPr>
        <w:rFonts w:hint="default" w:ascii="Symbol" w:hAnsi="Symbol"/>
        <w:color w:val="auto"/>
      </w:rPr>
    </w:lvl>
    <w:lvl w:ilvl="1" w:tentative="0">
      <w:start w:val="1"/>
      <w:numFmt w:val="chineseCountingThousand"/>
      <w:pStyle w:val="4"/>
      <w:suff w:val="nothing"/>
      <w:lvlText w:val="%2、"/>
      <w:lvlJc w:val="left"/>
      <w:pPr>
        <w:ind w:left="0" w:firstLine="442"/>
      </w:pPr>
      <w:rPr>
        <w:rFonts w:hint="eastAsia" w:ascii="黑体" w:eastAsia="黑体"/>
        <w:b w:val="0"/>
        <w:i w:val="0"/>
        <w:sz w:val="24"/>
      </w:rPr>
    </w:lvl>
    <w:lvl w:ilvl="2" w:tentative="0">
      <w:start w:val="1"/>
      <w:numFmt w:val="chineseCountingThousand"/>
      <w:suff w:val="nothing"/>
      <w:lvlText w:val="(%3)"/>
      <w:lvlJc w:val="left"/>
      <w:pPr>
        <w:ind w:left="0" w:firstLine="442"/>
      </w:pPr>
      <w:rPr>
        <w:rFonts w:hint="eastAsia"/>
      </w:rPr>
    </w:lvl>
    <w:lvl w:ilvl="3" w:tentative="0">
      <w:start w:val="1"/>
      <w:numFmt w:val="none"/>
      <w:suff w:val="nothing"/>
      <w:lvlText w:val="1."/>
      <w:lvlJc w:val="left"/>
      <w:pPr>
        <w:ind w:left="0" w:firstLine="567"/>
      </w:pPr>
      <w:rPr>
        <w:rFonts w:hint="eastAsia"/>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9">
    <w:nsid w:val="37A616A5"/>
    <w:multiLevelType w:val="multilevel"/>
    <w:tmpl w:val="37A616A5"/>
    <w:lvl w:ilvl="0" w:tentative="0">
      <w:start w:val="4"/>
      <w:numFmt w:val="bullet"/>
      <w:lvlText w:val="□"/>
      <w:lvlJc w:val="left"/>
      <w:pPr>
        <w:ind w:left="524" w:hanging="360"/>
      </w:pPr>
      <w:rPr>
        <w:rFonts w:hint="eastAsia" w:ascii="宋体" w:hAnsi="宋体" w:eastAsia="宋体" w:cs="Times New Roman"/>
      </w:rPr>
    </w:lvl>
    <w:lvl w:ilvl="1" w:tentative="0">
      <w:start w:val="1"/>
      <w:numFmt w:val="bullet"/>
      <w:lvlText w:val=""/>
      <w:lvlJc w:val="left"/>
      <w:pPr>
        <w:ind w:left="1004" w:hanging="420"/>
      </w:pPr>
      <w:rPr>
        <w:rFonts w:hint="default" w:ascii="Wingdings" w:hAnsi="Wingdings"/>
      </w:rPr>
    </w:lvl>
    <w:lvl w:ilvl="2" w:tentative="0">
      <w:start w:val="1"/>
      <w:numFmt w:val="bullet"/>
      <w:lvlText w:val=""/>
      <w:lvlJc w:val="left"/>
      <w:pPr>
        <w:ind w:left="1424" w:hanging="420"/>
      </w:pPr>
      <w:rPr>
        <w:rFonts w:hint="default" w:ascii="Wingdings" w:hAnsi="Wingdings"/>
      </w:rPr>
    </w:lvl>
    <w:lvl w:ilvl="3" w:tentative="0">
      <w:start w:val="1"/>
      <w:numFmt w:val="bullet"/>
      <w:lvlText w:val=""/>
      <w:lvlJc w:val="left"/>
      <w:pPr>
        <w:ind w:left="1844" w:hanging="420"/>
      </w:pPr>
      <w:rPr>
        <w:rFonts w:hint="default" w:ascii="Wingdings" w:hAnsi="Wingdings"/>
      </w:rPr>
    </w:lvl>
    <w:lvl w:ilvl="4" w:tentative="0">
      <w:start w:val="1"/>
      <w:numFmt w:val="bullet"/>
      <w:lvlText w:val=""/>
      <w:lvlJc w:val="left"/>
      <w:pPr>
        <w:ind w:left="2264" w:hanging="420"/>
      </w:pPr>
      <w:rPr>
        <w:rFonts w:hint="default" w:ascii="Wingdings" w:hAnsi="Wingdings"/>
      </w:rPr>
    </w:lvl>
    <w:lvl w:ilvl="5" w:tentative="0">
      <w:start w:val="1"/>
      <w:numFmt w:val="bullet"/>
      <w:lvlText w:val=""/>
      <w:lvlJc w:val="left"/>
      <w:pPr>
        <w:ind w:left="2684" w:hanging="420"/>
      </w:pPr>
      <w:rPr>
        <w:rFonts w:hint="default" w:ascii="Wingdings" w:hAnsi="Wingdings"/>
      </w:rPr>
    </w:lvl>
    <w:lvl w:ilvl="6" w:tentative="0">
      <w:start w:val="1"/>
      <w:numFmt w:val="bullet"/>
      <w:lvlText w:val=""/>
      <w:lvlJc w:val="left"/>
      <w:pPr>
        <w:ind w:left="3104" w:hanging="420"/>
      </w:pPr>
      <w:rPr>
        <w:rFonts w:hint="default" w:ascii="Wingdings" w:hAnsi="Wingdings"/>
      </w:rPr>
    </w:lvl>
    <w:lvl w:ilvl="7" w:tentative="0">
      <w:start w:val="1"/>
      <w:numFmt w:val="bullet"/>
      <w:lvlText w:val=""/>
      <w:lvlJc w:val="left"/>
      <w:pPr>
        <w:ind w:left="3524" w:hanging="420"/>
      </w:pPr>
      <w:rPr>
        <w:rFonts w:hint="default" w:ascii="Wingdings" w:hAnsi="Wingdings"/>
      </w:rPr>
    </w:lvl>
    <w:lvl w:ilvl="8" w:tentative="0">
      <w:start w:val="1"/>
      <w:numFmt w:val="bullet"/>
      <w:lvlText w:val=""/>
      <w:lvlJc w:val="left"/>
      <w:pPr>
        <w:ind w:left="3944" w:hanging="420"/>
      </w:pPr>
      <w:rPr>
        <w:rFonts w:hint="default" w:ascii="Wingdings" w:hAnsi="Wingdings"/>
      </w:rPr>
    </w:lvl>
  </w:abstractNum>
  <w:abstractNum w:abstractNumId="10">
    <w:nsid w:val="77F2BFAC"/>
    <w:multiLevelType w:val="singleLevel"/>
    <w:tmpl w:val="77F2BFAC"/>
    <w:lvl w:ilvl="0" w:tentative="0">
      <w:start w:val="1"/>
      <w:numFmt w:val="chineseCounting"/>
      <w:suff w:val="nothing"/>
      <w:lvlText w:val="（%1）"/>
      <w:lvlJc w:val="left"/>
      <w:pPr>
        <w:ind w:left="0" w:firstLine="420"/>
      </w:pPr>
      <w:rPr>
        <w:rFonts w:hint="eastAsia"/>
      </w:rPr>
    </w:lvl>
  </w:abstractNum>
  <w:abstractNum w:abstractNumId="11">
    <w:nsid w:val="7BBA9C44"/>
    <w:multiLevelType w:val="singleLevel"/>
    <w:tmpl w:val="7BBA9C44"/>
    <w:lvl w:ilvl="0" w:tentative="0">
      <w:start w:val="2"/>
      <w:numFmt w:val="decimal"/>
      <w:lvlText w:val="%1."/>
      <w:lvlJc w:val="left"/>
      <w:pPr>
        <w:tabs>
          <w:tab w:val="left" w:pos="312"/>
        </w:tabs>
      </w:pPr>
    </w:lvl>
  </w:abstractNum>
  <w:abstractNum w:abstractNumId="12">
    <w:nsid w:val="7BEAFABF"/>
    <w:multiLevelType w:val="singleLevel"/>
    <w:tmpl w:val="7BEAFABF"/>
    <w:lvl w:ilvl="0" w:tentative="0">
      <w:start w:val="1"/>
      <w:numFmt w:val="chineseCounting"/>
      <w:suff w:val="nothing"/>
      <w:lvlText w:val="（%1）"/>
      <w:lvlJc w:val="left"/>
      <w:pPr>
        <w:ind w:left="0" w:firstLine="420"/>
      </w:pPr>
      <w:rPr>
        <w:rFonts w:hint="eastAsia"/>
      </w:rPr>
    </w:lvl>
  </w:abstractNum>
  <w:num w:numId="1">
    <w:abstractNumId w:val="8"/>
  </w:num>
  <w:num w:numId="2">
    <w:abstractNumId w:val="2"/>
  </w:num>
  <w:num w:numId="3">
    <w:abstractNumId w:val="12"/>
  </w:num>
  <w:num w:numId="4">
    <w:abstractNumId w:val="3"/>
  </w:num>
  <w:num w:numId="5">
    <w:abstractNumId w:val="11"/>
  </w:num>
  <w:num w:numId="6">
    <w:abstractNumId w:val="9"/>
  </w:num>
  <w:num w:numId="7">
    <w:abstractNumId w:val="10"/>
  </w:num>
  <w:num w:numId="8">
    <w:abstractNumId w:val="6"/>
  </w:num>
  <w:num w:numId="9">
    <w:abstractNumId w:val="1"/>
  </w:num>
  <w:num w:numId="10">
    <w:abstractNumId w:val="4"/>
  </w:num>
  <w:num w:numId="11">
    <w:abstractNumId w:val="5"/>
  </w:num>
  <w:num w:numId="12">
    <w:abstractNumId w:val="0"/>
  </w:num>
  <w:num w:numId="13">
    <w:abstractNumId w:val="7"/>
    <w:lvlOverride w:ilvl="1">
      <w:startOverride w:val="1"/>
    </w:lvlOverride>
  </w:num>
  <w:num w:numId="14">
    <w:abstractNumId w:val="7"/>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true"/>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ADCCC9"/>
    <w:rsid w:val="03F6710D"/>
    <w:rsid w:val="06FF144A"/>
    <w:rsid w:val="07F63AE8"/>
    <w:rsid w:val="09FDA53F"/>
    <w:rsid w:val="0DDFF2D7"/>
    <w:rsid w:val="0EF75275"/>
    <w:rsid w:val="0F7E0F16"/>
    <w:rsid w:val="0FDF12C8"/>
    <w:rsid w:val="0FEE5C1F"/>
    <w:rsid w:val="0FF3A1C1"/>
    <w:rsid w:val="127FCDA4"/>
    <w:rsid w:val="15DEC598"/>
    <w:rsid w:val="16A6C448"/>
    <w:rsid w:val="16BFB58C"/>
    <w:rsid w:val="1B6E5F6B"/>
    <w:rsid w:val="1B9B3CB5"/>
    <w:rsid w:val="1C93E8DD"/>
    <w:rsid w:val="1CBC6BAD"/>
    <w:rsid w:val="1D6ED169"/>
    <w:rsid w:val="1EBF6BC9"/>
    <w:rsid w:val="1EFB426F"/>
    <w:rsid w:val="1F707F0D"/>
    <w:rsid w:val="1FFF4879"/>
    <w:rsid w:val="1FFF9E78"/>
    <w:rsid w:val="22BC8FA6"/>
    <w:rsid w:val="2377DFDF"/>
    <w:rsid w:val="24F95C94"/>
    <w:rsid w:val="25DDF73F"/>
    <w:rsid w:val="2777810C"/>
    <w:rsid w:val="27FFFE49"/>
    <w:rsid w:val="2973D63F"/>
    <w:rsid w:val="2BD579EE"/>
    <w:rsid w:val="2BFF1BD0"/>
    <w:rsid w:val="2D27F6BD"/>
    <w:rsid w:val="2DFC8B56"/>
    <w:rsid w:val="2EF7B7AF"/>
    <w:rsid w:val="2EFD7C16"/>
    <w:rsid w:val="2FABCC04"/>
    <w:rsid w:val="2FED84A3"/>
    <w:rsid w:val="2FF10CCB"/>
    <w:rsid w:val="2FF7EE55"/>
    <w:rsid w:val="2FF95356"/>
    <w:rsid w:val="2FFF4BB4"/>
    <w:rsid w:val="2FFFA309"/>
    <w:rsid w:val="33FB2BEF"/>
    <w:rsid w:val="35ED8980"/>
    <w:rsid w:val="36AE1D0E"/>
    <w:rsid w:val="36BFC9FD"/>
    <w:rsid w:val="36F5597B"/>
    <w:rsid w:val="373E1024"/>
    <w:rsid w:val="376D5AC3"/>
    <w:rsid w:val="379B597E"/>
    <w:rsid w:val="37ADCCC9"/>
    <w:rsid w:val="37BF0E04"/>
    <w:rsid w:val="37DF1CD0"/>
    <w:rsid w:val="37FBB5CA"/>
    <w:rsid w:val="39DA2D77"/>
    <w:rsid w:val="3A7C9E98"/>
    <w:rsid w:val="3A7F6ED9"/>
    <w:rsid w:val="3AFDA709"/>
    <w:rsid w:val="3AFFBE31"/>
    <w:rsid w:val="3B75DE1F"/>
    <w:rsid w:val="3BB44D9C"/>
    <w:rsid w:val="3BEFC343"/>
    <w:rsid w:val="3BFE5E56"/>
    <w:rsid w:val="3CE1328B"/>
    <w:rsid w:val="3D3FA4FC"/>
    <w:rsid w:val="3D8F743E"/>
    <w:rsid w:val="3DDB4352"/>
    <w:rsid w:val="3DEFDDA4"/>
    <w:rsid w:val="3E5C3706"/>
    <w:rsid w:val="3E7F69BA"/>
    <w:rsid w:val="3EDA9C79"/>
    <w:rsid w:val="3EEDBD65"/>
    <w:rsid w:val="3EFEEA30"/>
    <w:rsid w:val="3F5F50FE"/>
    <w:rsid w:val="3F76582E"/>
    <w:rsid w:val="3F7DC141"/>
    <w:rsid w:val="3F7FFBAC"/>
    <w:rsid w:val="3F972350"/>
    <w:rsid w:val="3FB9BBAE"/>
    <w:rsid w:val="3FBDE70B"/>
    <w:rsid w:val="3FE68211"/>
    <w:rsid w:val="3FE704BD"/>
    <w:rsid w:val="3FFAA2D8"/>
    <w:rsid w:val="3FFB0A00"/>
    <w:rsid w:val="3FFD30A6"/>
    <w:rsid w:val="3FFF2FD8"/>
    <w:rsid w:val="3FFF3A17"/>
    <w:rsid w:val="3FFF858C"/>
    <w:rsid w:val="439312EA"/>
    <w:rsid w:val="4739EBC0"/>
    <w:rsid w:val="477FBEC4"/>
    <w:rsid w:val="47EFFE9B"/>
    <w:rsid w:val="47FBA9F2"/>
    <w:rsid w:val="4AFF20B9"/>
    <w:rsid w:val="4BC57CA3"/>
    <w:rsid w:val="4BED82F3"/>
    <w:rsid w:val="4BEFA735"/>
    <w:rsid w:val="4CDB3EED"/>
    <w:rsid w:val="4CFEA3CE"/>
    <w:rsid w:val="4D8F8E02"/>
    <w:rsid w:val="4DB5EC32"/>
    <w:rsid w:val="4DFF911F"/>
    <w:rsid w:val="4E6FFAE2"/>
    <w:rsid w:val="4E7BD8DE"/>
    <w:rsid w:val="4F5E31FB"/>
    <w:rsid w:val="4F9BB2D9"/>
    <w:rsid w:val="4FEFD7A8"/>
    <w:rsid w:val="4FF73C30"/>
    <w:rsid w:val="4FF75EF1"/>
    <w:rsid w:val="4FFB899C"/>
    <w:rsid w:val="4FFD339E"/>
    <w:rsid w:val="504C611C"/>
    <w:rsid w:val="51454986"/>
    <w:rsid w:val="51FED7AB"/>
    <w:rsid w:val="52998A6B"/>
    <w:rsid w:val="52EF9135"/>
    <w:rsid w:val="53912D52"/>
    <w:rsid w:val="53CFC1DD"/>
    <w:rsid w:val="53FFB276"/>
    <w:rsid w:val="53FFE6D0"/>
    <w:rsid w:val="55AE5DEA"/>
    <w:rsid w:val="5657255F"/>
    <w:rsid w:val="567FBBA4"/>
    <w:rsid w:val="56EDFC4A"/>
    <w:rsid w:val="56FF621F"/>
    <w:rsid w:val="57B91154"/>
    <w:rsid w:val="57BEC94A"/>
    <w:rsid w:val="57BF0FEA"/>
    <w:rsid w:val="57EE5E4F"/>
    <w:rsid w:val="57F7CB1B"/>
    <w:rsid w:val="58BF9D31"/>
    <w:rsid w:val="597F6457"/>
    <w:rsid w:val="5983BA3E"/>
    <w:rsid w:val="5A776CE5"/>
    <w:rsid w:val="5A7F7FD9"/>
    <w:rsid w:val="5AAF2C12"/>
    <w:rsid w:val="5ABFB8FE"/>
    <w:rsid w:val="5AD3A8C3"/>
    <w:rsid w:val="5AFECE0F"/>
    <w:rsid w:val="5AFFA6AB"/>
    <w:rsid w:val="5B35A126"/>
    <w:rsid w:val="5B3E27F0"/>
    <w:rsid w:val="5B59C2E7"/>
    <w:rsid w:val="5BB7BEC6"/>
    <w:rsid w:val="5BBFE4C5"/>
    <w:rsid w:val="5BD462C2"/>
    <w:rsid w:val="5BD6C63E"/>
    <w:rsid w:val="5BDE576E"/>
    <w:rsid w:val="5BF603DF"/>
    <w:rsid w:val="5BFF23DF"/>
    <w:rsid w:val="5BFF3805"/>
    <w:rsid w:val="5BFF56EF"/>
    <w:rsid w:val="5C7E7DDA"/>
    <w:rsid w:val="5C7FB59F"/>
    <w:rsid w:val="5CE6354D"/>
    <w:rsid w:val="5CFD6D2C"/>
    <w:rsid w:val="5D9E77A5"/>
    <w:rsid w:val="5DCF9AFD"/>
    <w:rsid w:val="5DDF02E0"/>
    <w:rsid w:val="5E9C85CC"/>
    <w:rsid w:val="5EE8F80E"/>
    <w:rsid w:val="5EE97E88"/>
    <w:rsid w:val="5EFA7CCD"/>
    <w:rsid w:val="5EFBA48B"/>
    <w:rsid w:val="5F15D197"/>
    <w:rsid w:val="5F27EBE7"/>
    <w:rsid w:val="5F75CF8C"/>
    <w:rsid w:val="5F7F7216"/>
    <w:rsid w:val="5F7FC2FC"/>
    <w:rsid w:val="5F7FEB41"/>
    <w:rsid w:val="5F9CA861"/>
    <w:rsid w:val="5FB7EA46"/>
    <w:rsid w:val="5FBE8409"/>
    <w:rsid w:val="5FBF048A"/>
    <w:rsid w:val="5FBFB6AF"/>
    <w:rsid w:val="5FDA0F07"/>
    <w:rsid w:val="5FDB593C"/>
    <w:rsid w:val="5FED4FEB"/>
    <w:rsid w:val="5FFBE2E0"/>
    <w:rsid w:val="5FFE182F"/>
    <w:rsid w:val="633FFFCC"/>
    <w:rsid w:val="635D90FA"/>
    <w:rsid w:val="65DDF21B"/>
    <w:rsid w:val="65FEC4D6"/>
    <w:rsid w:val="66678BF1"/>
    <w:rsid w:val="66FF0337"/>
    <w:rsid w:val="67B91BAD"/>
    <w:rsid w:val="67F7E8A3"/>
    <w:rsid w:val="67FBD1B2"/>
    <w:rsid w:val="67FF5E69"/>
    <w:rsid w:val="67FFB7D4"/>
    <w:rsid w:val="68BFBD86"/>
    <w:rsid w:val="68DE13D0"/>
    <w:rsid w:val="68F3443F"/>
    <w:rsid w:val="696D3110"/>
    <w:rsid w:val="699F13B1"/>
    <w:rsid w:val="6AF7A0AE"/>
    <w:rsid w:val="6B1FE733"/>
    <w:rsid w:val="6BB59554"/>
    <w:rsid w:val="6BBEC270"/>
    <w:rsid w:val="6BD71D64"/>
    <w:rsid w:val="6BE783F6"/>
    <w:rsid w:val="6BEDD33D"/>
    <w:rsid w:val="6BF74AE8"/>
    <w:rsid w:val="6BF9A721"/>
    <w:rsid w:val="6CF74C8F"/>
    <w:rsid w:val="6D2BA27B"/>
    <w:rsid w:val="6D2F0003"/>
    <w:rsid w:val="6D7E48CC"/>
    <w:rsid w:val="6D7FAEB9"/>
    <w:rsid w:val="6DCF0879"/>
    <w:rsid w:val="6DDF1869"/>
    <w:rsid w:val="6DF92A4D"/>
    <w:rsid w:val="6DFF1686"/>
    <w:rsid w:val="6E42EED9"/>
    <w:rsid w:val="6EDC0C62"/>
    <w:rsid w:val="6F1F8574"/>
    <w:rsid w:val="6F3BD4FA"/>
    <w:rsid w:val="6F3DEF12"/>
    <w:rsid w:val="6F70010C"/>
    <w:rsid w:val="6FA29635"/>
    <w:rsid w:val="6FAE3821"/>
    <w:rsid w:val="6FB7EFB1"/>
    <w:rsid w:val="6FBB27F8"/>
    <w:rsid w:val="6FDD761D"/>
    <w:rsid w:val="6FDE5938"/>
    <w:rsid w:val="6FEF1EBF"/>
    <w:rsid w:val="6FF24209"/>
    <w:rsid w:val="6FF59B64"/>
    <w:rsid w:val="6FF786FF"/>
    <w:rsid w:val="6FF7A681"/>
    <w:rsid w:val="6FFB4BEE"/>
    <w:rsid w:val="6FFD8CBF"/>
    <w:rsid w:val="6FFEC454"/>
    <w:rsid w:val="6FFF3A47"/>
    <w:rsid w:val="6FFF681F"/>
    <w:rsid w:val="71DF75BB"/>
    <w:rsid w:val="71FE1919"/>
    <w:rsid w:val="72FE971E"/>
    <w:rsid w:val="72FFD59E"/>
    <w:rsid w:val="734DC502"/>
    <w:rsid w:val="735DC472"/>
    <w:rsid w:val="73D76B6D"/>
    <w:rsid w:val="73F3EFE2"/>
    <w:rsid w:val="73F779F3"/>
    <w:rsid w:val="747F88D4"/>
    <w:rsid w:val="749D4103"/>
    <w:rsid w:val="757DE146"/>
    <w:rsid w:val="75BBA3F1"/>
    <w:rsid w:val="75FF2845"/>
    <w:rsid w:val="75FF9DBD"/>
    <w:rsid w:val="763F9B7A"/>
    <w:rsid w:val="763FB98D"/>
    <w:rsid w:val="76961303"/>
    <w:rsid w:val="76C16273"/>
    <w:rsid w:val="76DB8F27"/>
    <w:rsid w:val="76FBBF59"/>
    <w:rsid w:val="76FE2267"/>
    <w:rsid w:val="76FFA4AE"/>
    <w:rsid w:val="773E3ABA"/>
    <w:rsid w:val="773F7315"/>
    <w:rsid w:val="7761758F"/>
    <w:rsid w:val="7762078B"/>
    <w:rsid w:val="7776EE40"/>
    <w:rsid w:val="777BD7E4"/>
    <w:rsid w:val="777E1CDF"/>
    <w:rsid w:val="777F5E5F"/>
    <w:rsid w:val="77BDA87C"/>
    <w:rsid w:val="77BF99C4"/>
    <w:rsid w:val="77DFDBFF"/>
    <w:rsid w:val="77E6B013"/>
    <w:rsid w:val="77FCB22D"/>
    <w:rsid w:val="77FD5822"/>
    <w:rsid w:val="77FE321B"/>
    <w:rsid w:val="77FE4290"/>
    <w:rsid w:val="77FF61DB"/>
    <w:rsid w:val="77FF9CBF"/>
    <w:rsid w:val="77FFC856"/>
    <w:rsid w:val="78E73E32"/>
    <w:rsid w:val="78E9D4B1"/>
    <w:rsid w:val="78F85885"/>
    <w:rsid w:val="78FC6BF0"/>
    <w:rsid w:val="7936092F"/>
    <w:rsid w:val="79DF026C"/>
    <w:rsid w:val="79E771FD"/>
    <w:rsid w:val="79FE2695"/>
    <w:rsid w:val="79FF755F"/>
    <w:rsid w:val="7A6F1B28"/>
    <w:rsid w:val="7A7F6510"/>
    <w:rsid w:val="7A96CD63"/>
    <w:rsid w:val="7ADBA62D"/>
    <w:rsid w:val="7ADEAF9F"/>
    <w:rsid w:val="7AEFEA89"/>
    <w:rsid w:val="7AF8756D"/>
    <w:rsid w:val="7B6F5F3C"/>
    <w:rsid w:val="7B6FD44E"/>
    <w:rsid w:val="7B773E65"/>
    <w:rsid w:val="7B976A14"/>
    <w:rsid w:val="7BAFB961"/>
    <w:rsid w:val="7BDF7F12"/>
    <w:rsid w:val="7BE14640"/>
    <w:rsid w:val="7BE5F0E1"/>
    <w:rsid w:val="7BE65EFF"/>
    <w:rsid w:val="7BEA1540"/>
    <w:rsid w:val="7BF56DFE"/>
    <w:rsid w:val="7BF67C82"/>
    <w:rsid w:val="7BF764B7"/>
    <w:rsid w:val="7BFB5C20"/>
    <w:rsid w:val="7BFD094F"/>
    <w:rsid w:val="7C3F4C93"/>
    <w:rsid w:val="7C9ED8EA"/>
    <w:rsid w:val="7CF36E93"/>
    <w:rsid w:val="7CFB2AFD"/>
    <w:rsid w:val="7CFD1E89"/>
    <w:rsid w:val="7CFE9EDF"/>
    <w:rsid w:val="7D2D3E43"/>
    <w:rsid w:val="7D2E1BCE"/>
    <w:rsid w:val="7D6E50BE"/>
    <w:rsid w:val="7D734264"/>
    <w:rsid w:val="7D77B9F0"/>
    <w:rsid w:val="7D7B1457"/>
    <w:rsid w:val="7D7B8F5E"/>
    <w:rsid w:val="7DBDAEC2"/>
    <w:rsid w:val="7DC741D4"/>
    <w:rsid w:val="7DC7A070"/>
    <w:rsid w:val="7DCFA485"/>
    <w:rsid w:val="7DE7C33C"/>
    <w:rsid w:val="7DE9C875"/>
    <w:rsid w:val="7DEEDB54"/>
    <w:rsid w:val="7DEFEE22"/>
    <w:rsid w:val="7DF50C3E"/>
    <w:rsid w:val="7DF7CB25"/>
    <w:rsid w:val="7DF854CD"/>
    <w:rsid w:val="7DFB63A3"/>
    <w:rsid w:val="7DFEBCF9"/>
    <w:rsid w:val="7DFF0D40"/>
    <w:rsid w:val="7DFF787D"/>
    <w:rsid w:val="7DFF8D97"/>
    <w:rsid w:val="7E2DCBDE"/>
    <w:rsid w:val="7E5EA274"/>
    <w:rsid w:val="7E690E90"/>
    <w:rsid w:val="7E7A3DAE"/>
    <w:rsid w:val="7E7E3882"/>
    <w:rsid w:val="7EBE0770"/>
    <w:rsid w:val="7EBFB8AD"/>
    <w:rsid w:val="7EDB6629"/>
    <w:rsid w:val="7EDEBE8C"/>
    <w:rsid w:val="7EEF4976"/>
    <w:rsid w:val="7EF55F30"/>
    <w:rsid w:val="7EF6237A"/>
    <w:rsid w:val="7EF70386"/>
    <w:rsid w:val="7EF796EE"/>
    <w:rsid w:val="7EFF9E66"/>
    <w:rsid w:val="7EFFE92D"/>
    <w:rsid w:val="7F1FD6D9"/>
    <w:rsid w:val="7F3AC31B"/>
    <w:rsid w:val="7F3D748B"/>
    <w:rsid w:val="7F6F9293"/>
    <w:rsid w:val="7F7D58EC"/>
    <w:rsid w:val="7F7F4E78"/>
    <w:rsid w:val="7F7FDDAB"/>
    <w:rsid w:val="7F7FF8C3"/>
    <w:rsid w:val="7F8D8DB8"/>
    <w:rsid w:val="7F93E490"/>
    <w:rsid w:val="7FA75A9F"/>
    <w:rsid w:val="7FB3E4F1"/>
    <w:rsid w:val="7FB55673"/>
    <w:rsid w:val="7FB6453D"/>
    <w:rsid w:val="7FBB7B0F"/>
    <w:rsid w:val="7FBBD076"/>
    <w:rsid w:val="7FBE327D"/>
    <w:rsid w:val="7FBE8AC2"/>
    <w:rsid w:val="7FBF2CF8"/>
    <w:rsid w:val="7FBFE082"/>
    <w:rsid w:val="7FC6646C"/>
    <w:rsid w:val="7FCF9888"/>
    <w:rsid w:val="7FD7DF31"/>
    <w:rsid w:val="7FDA6F3C"/>
    <w:rsid w:val="7FDBDCD1"/>
    <w:rsid w:val="7FDE7538"/>
    <w:rsid w:val="7FDE966B"/>
    <w:rsid w:val="7FDF1151"/>
    <w:rsid w:val="7FEAC667"/>
    <w:rsid w:val="7FEDC55C"/>
    <w:rsid w:val="7FF41BD7"/>
    <w:rsid w:val="7FF75B4E"/>
    <w:rsid w:val="7FF7F612"/>
    <w:rsid w:val="7FF99832"/>
    <w:rsid w:val="7FFB07E0"/>
    <w:rsid w:val="7FFB32DF"/>
    <w:rsid w:val="7FFD2061"/>
    <w:rsid w:val="7FFE4451"/>
    <w:rsid w:val="7FFE487E"/>
    <w:rsid w:val="7FFE68FB"/>
    <w:rsid w:val="7FFE7F79"/>
    <w:rsid w:val="7FFF0E10"/>
    <w:rsid w:val="7FFF94F6"/>
    <w:rsid w:val="7FFFC616"/>
    <w:rsid w:val="7FFFE4E0"/>
    <w:rsid w:val="7FFFF5BE"/>
    <w:rsid w:val="87BC6380"/>
    <w:rsid w:val="8BBF341D"/>
    <w:rsid w:val="8F3E840A"/>
    <w:rsid w:val="94FDD3C8"/>
    <w:rsid w:val="95B9A3F4"/>
    <w:rsid w:val="95DC4275"/>
    <w:rsid w:val="95EF0401"/>
    <w:rsid w:val="961E2224"/>
    <w:rsid w:val="977643FA"/>
    <w:rsid w:val="9779D508"/>
    <w:rsid w:val="997D939D"/>
    <w:rsid w:val="99F70E16"/>
    <w:rsid w:val="9AAF4B9A"/>
    <w:rsid w:val="9D475BC2"/>
    <w:rsid w:val="9D4B5CFF"/>
    <w:rsid w:val="9D563DCB"/>
    <w:rsid w:val="9ECB8B01"/>
    <w:rsid w:val="9F7D1B44"/>
    <w:rsid w:val="9FC3CB41"/>
    <w:rsid w:val="9FC7F72D"/>
    <w:rsid w:val="9FDD0A17"/>
    <w:rsid w:val="9FE777CC"/>
    <w:rsid w:val="9FF711D5"/>
    <w:rsid w:val="A37DA3DC"/>
    <w:rsid w:val="A7BD406A"/>
    <w:rsid w:val="A7D7344D"/>
    <w:rsid w:val="A7F71361"/>
    <w:rsid w:val="A7FED31E"/>
    <w:rsid w:val="A7FF911A"/>
    <w:rsid w:val="A9B727A2"/>
    <w:rsid w:val="AAFB8BC1"/>
    <w:rsid w:val="ABFDFB8D"/>
    <w:rsid w:val="ADE81978"/>
    <w:rsid w:val="AEEC9A27"/>
    <w:rsid w:val="AF3F81FC"/>
    <w:rsid w:val="AF4BF1F2"/>
    <w:rsid w:val="AFA7AF8B"/>
    <w:rsid w:val="AFBF8074"/>
    <w:rsid w:val="AFD7D031"/>
    <w:rsid w:val="AFFF2178"/>
    <w:rsid w:val="B24FFCAE"/>
    <w:rsid w:val="B255F536"/>
    <w:rsid w:val="B38BDAE9"/>
    <w:rsid w:val="B3EB98BC"/>
    <w:rsid w:val="B3F5268E"/>
    <w:rsid w:val="B3F727A6"/>
    <w:rsid w:val="B53F364F"/>
    <w:rsid w:val="B5775E42"/>
    <w:rsid w:val="B5AF93EC"/>
    <w:rsid w:val="B5FFD55A"/>
    <w:rsid w:val="B7DF4105"/>
    <w:rsid w:val="B978654A"/>
    <w:rsid w:val="B9BF03C2"/>
    <w:rsid w:val="B9CEFAF0"/>
    <w:rsid w:val="B9FF24E4"/>
    <w:rsid w:val="BABE98B2"/>
    <w:rsid w:val="BAFBE663"/>
    <w:rsid w:val="BB7EBC67"/>
    <w:rsid w:val="BB7FDD87"/>
    <w:rsid w:val="BBADC72E"/>
    <w:rsid w:val="BBEF5081"/>
    <w:rsid w:val="BBF51E46"/>
    <w:rsid w:val="BBF655BF"/>
    <w:rsid w:val="BBFD3803"/>
    <w:rsid w:val="BCFFBD7A"/>
    <w:rsid w:val="BDC7AACA"/>
    <w:rsid w:val="BDF997AD"/>
    <w:rsid w:val="BDFB6480"/>
    <w:rsid w:val="BDFC207F"/>
    <w:rsid w:val="BDFE960B"/>
    <w:rsid w:val="BDFFB577"/>
    <w:rsid w:val="BECFB5EC"/>
    <w:rsid w:val="BEDA8CF5"/>
    <w:rsid w:val="BEDFA261"/>
    <w:rsid w:val="BEEDCBE7"/>
    <w:rsid w:val="BEF7919E"/>
    <w:rsid w:val="BEF94125"/>
    <w:rsid w:val="BEFDE9A6"/>
    <w:rsid w:val="BF3634EC"/>
    <w:rsid w:val="BF5721B7"/>
    <w:rsid w:val="BF76B43F"/>
    <w:rsid w:val="BF7FB616"/>
    <w:rsid w:val="BF9F7E57"/>
    <w:rsid w:val="BFAF7149"/>
    <w:rsid w:val="BFBE0B04"/>
    <w:rsid w:val="BFCF6FDB"/>
    <w:rsid w:val="BFD74B99"/>
    <w:rsid w:val="BFDD4F2E"/>
    <w:rsid w:val="BFDD77D9"/>
    <w:rsid w:val="BFDDC9BD"/>
    <w:rsid w:val="BFDF2F4C"/>
    <w:rsid w:val="BFE7EC7E"/>
    <w:rsid w:val="BFEA6370"/>
    <w:rsid w:val="BFEBC272"/>
    <w:rsid w:val="BFECD44D"/>
    <w:rsid w:val="BFF664C8"/>
    <w:rsid w:val="BFF72EED"/>
    <w:rsid w:val="BFF7DD3A"/>
    <w:rsid w:val="BFF8BA52"/>
    <w:rsid w:val="BFFC90C3"/>
    <w:rsid w:val="BFFD5B6D"/>
    <w:rsid w:val="BFFEAF19"/>
    <w:rsid w:val="BFFF380F"/>
    <w:rsid w:val="BFFF40C0"/>
    <w:rsid w:val="BFFF7922"/>
    <w:rsid w:val="BFFFB43B"/>
    <w:rsid w:val="C69A9339"/>
    <w:rsid w:val="C77F38BA"/>
    <w:rsid w:val="C7AF39BE"/>
    <w:rsid w:val="C7ED634D"/>
    <w:rsid w:val="CCB32FFC"/>
    <w:rsid w:val="CDFF8319"/>
    <w:rsid w:val="CE3BA49B"/>
    <w:rsid w:val="CEEF5AE8"/>
    <w:rsid w:val="CF2D10E0"/>
    <w:rsid w:val="CF399501"/>
    <w:rsid w:val="CF3DB77D"/>
    <w:rsid w:val="CF7A8E4D"/>
    <w:rsid w:val="CF7B1190"/>
    <w:rsid w:val="CF7F683F"/>
    <w:rsid w:val="CFAF3D06"/>
    <w:rsid w:val="CFCFA25A"/>
    <w:rsid w:val="CFDE8712"/>
    <w:rsid w:val="CFE54EDE"/>
    <w:rsid w:val="CFFBD834"/>
    <w:rsid w:val="CFFCF3C5"/>
    <w:rsid w:val="D1DF29D1"/>
    <w:rsid w:val="D1DFDFEB"/>
    <w:rsid w:val="D1EDD2D6"/>
    <w:rsid w:val="D2FB5D58"/>
    <w:rsid w:val="D37DC065"/>
    <w:rsid w:val="D3BE51DF"/>
    <w:rsid w:val="D4BFC6DD"/>
    <w:rsid w:val="D4DF9933"/>
    <w:rsid w:val="D4EE6B5E"/>
    <w:rsid w:val="D4F7826B"/>
    <w:rsid w:val="D569D1DE"/>
    <w:rsid w:val="D5C67A1E"/>
    <w:rsid w:val="D5CFA5D2"/>
    <w:rsid w:val="D6CDDAE9"/>
    <w:rsid w:val="D6E36243"/>
    <w:rsid w:val="D7371B5B"/>
    <w:rsid w:val="D7570F13"/>
    <w:rsid w:val="D79F8CA5"/>
    <w:rsid w:val="D7EF7CEC"/>
    <w:rsid w:val="D7FA7AFD"/>
    <w:rsid w:val="D7FF0FBB"/>
    <w:rsid w:val="D83F836F"/>
    <w:rsid w:val="D89911D4"/>
    <w:rsid w:val="D9B9C4F4"/>
    <w:rsid w:val="D9FB25F1"/>
    <w:rsid w:val="D9FF3C98"/>
    <w:rsid w:val="D9FF5A6D"/>
    <w:rsid w:val="DABB87E5"/>
    <w:rsid w:val="DAFB6358"/>
    <w:rsid w:val="DAFF4864"/>
    <w:rsid w:val="DBC7ACF0"/>
    <w:rsid w:val="DBF56BC6"/>
    <w:rsid w:val="DBF656BB"/>
    <w:rsid w:val="DC6753A5"/>
    <w:rsid w:val="DCE76639"/>
    <w:rsid w:val="DD1A1B53"/>
    <w:rsid w:val="DD770CA4"/>
    <w:rsid w:val="DD7E9863"/>
    <w:rsid w:val="DD9FF47E"/>
    <w:rsid w:val="DDEB476A"/>
    <w:rsid w:val="DDEF05EA"/>
    <w:rsid w:val="DDFF6C3D"/>
    <w:rsid w:val="DE919D00"/>
    <w:rsid w:val="DEBECB7E"/>
    <w:rsid w:val="DEBF1477"/>
    <w:rsid w:val="DEFF11D0"/>
    <w:rsid w:val="DEFFA6FA"/>
    <w:rsid w:val="DF154C5E"/>
    <w:rsid w:val="DF693D50"/>
    <w:rsid w:val="DF719155"/>
    <w:rsid w:val="DF73EF4B"/>
    <w:rsid w:val="DF7FC6B1"/>
    <w:rsid w:val="DF7FED78"/>
    <w:rsid w:val="DF866CF1"/>
    <w:rsid w:val="DFBBD05F"/>
    <w:rsid w:val="DFBE6126"/>
    <w:rsid w:val="DFCD39DC"/>
    <w:rsid w:val="DFEB3D5A"/>
    <w:rsid w:val="DFF5BCA4"/>
    <w:rsid w:val="DFF745EF"/>
    <w:rsid w:val="DFF7E9E8"/>
    <w:rsid w:val="DFFA1695"/>
    <w:rsid w:val="DFFE2950"/>
    <w:rsid w:val="DFFED51B"/>
    <w:rsid w:val="DFFF0B2A"/>
    <w:rsid w:val="DFFF71EE"/>
    <w:rsid w:val="DFFF77C4"/>
    <w:rsid w:val="DFFFDCAF"/>
    <w:rsid w:val="E3E34E5E"/>
    <w:rsid w:val="E3EFCD4E"/>
    <w:rsid w:val="E5E7F67D"/>
    <w:rsid w:val="E63B70A6"/>
    <w:rsid w:val="E6BEF36E"/>
    <w:rsid w:val="E74FEAAD"/>
    <w:rsid w:val="E765AFDD"/>
    <w:rsid w:val="E77B870D"/>
    <w:rsid w:val="E7BEF5DC"/>
    <w:rsid w:val="E7BF5B41"/>
    <w:rsid w:val="E7CFCAAB"/>
    <w:rsid w:val="E7E7E053"/>
    <w:rsid w:val="E7EF2D7E"/>
    <w:rsid w:val="E7FD3DE0"/>
    <w:rsid w:val="E7FF3B1A"/>
    <w:rsid w:val="E9E249F8"/>
    <w:rsid w:val="E9EE895E"/>
    <w:rsid w:val="E9F71EFB"/>
    <w:rsid w:val="EAFDBB3A"/>
    <w:rsid w:val="EB5BFCB5"/>
    <w:rsid w:val="EBFB7DE7"/>
    <w:rsid w:val="EC7E667D"/>
    <w:rsid w:val="ECAF678F"/>
    <w:rsid w:val="ECFD5F03"/>
    <w:rsid w:val="ED7F903B"/>
    <w:rsid w:val="EDBD9252"/>
    <w:rsid w:val="EDBE9601"/>
    <w:rsid w:val="EDF73B70"/>
    <w:rsid w:val="EE7FF0D3"/>
    <w:rsid w:val="EEDC0181"/>
    <w:rsid w:val="EEE6DEEF"/>
    <w:rsid w:val="EF53CD64"/>
    <w:rsid w:val="EF7C97A8"/>
    <w:rsid w:val="EF7F40E5"/>
    <w:rsid w:val="EF7FF99D"/>
    <w:rsid w:val="EFBB81A7"/>
    <w:rsid w:val="EFD3E45E"/>
    <w:rsid w:val="EFD71116"/>
    <w:rsid w:val="EFDBE483"/>
    <w:rsid w:val="EFDBF231"/>
    <w:rsid w:val="EFDC33D3"/>
    <w:rsid w:val="EFDF08BC"/>
    <w:rsid w:val="EFDFC261"/>
    <w:rsid w:val="EFED596D"/>
    <w:rsid w:val="EFEF07FB"/>
    <w:rsid w:val="EFFB3DC8"/>
    <w:rsid w:val="EFFC7034"/>
    <w:rsid w:val="EFFF6CB6"/>
    <w:rsid w:val="F07E2A5D"/>
    <w:rsid w:val="F1FE2888"/>
    <w:rsid w:val="F29777D5"/>
    <w:rsid w:val="F2AED08A"/>
    <w:rsid w:val="F2B7F9A4"/>
    <w:rsid w:val="F2C9B953"/>
    <w:rsid w:val="F2FDE9F7"/>
    <w:rsid w:val="F37665C1"/>
    <w:rsid w:val="F37794C3"/>
    <w:rsid w:val="F3B7C706"/>
    <w:rsid w:val="F3EFC3F4"/>
    <w:rsid w:val="F5B6E9AB"/>
    <w:rsid w:val="F5BDEF93"/>
    <w:rsid w:val="F5DE8673"/>
    <w:rsid w:val="F5ED1E69"/>
    <w:rsid w:val="F5F750B7"/>
    <w:rsid w:val="F5FDA293"/>
    <w:rsid w:val="F5FFC6C0"/>
    <w:rsid w:val="F6338D4C"/>
    <w:rsid w:val="F66DECAD"/>
    <w:rsid w:val="F67DEC37"/>
    <w:rsid w:val="F6F4408D"/>
    <w:rsid w:val="F6FB2357"/>
    <w:rsid w:val="F6FD0A9E"/>
    <w:rsid w:val="F73E17B2"/>
    <w:rsid w:val="F76EA342"/>
    <w:rsid w:val="F77FFC9B"/>
    <w:rsid w:val="F79F2CE4"/>
    <w:rsid w:val="F7A9DEFA"/>
    <w:rsid w:val="F7AC0A52"/>
    <w:rsid w:val="F7CE58D4"/>
    <w:rsid w:val="F7DFC8BE"/>
    <w:rsid w:val="F7EF258C"/>
    <w:rsid w:val="F7F6EC31"/>
    <w:rsid w:val="F7F9642E"/>
    <w:rsid w:val="F7FF2C92"/>
    <w:rsid w:val="F7FF745F"/>
    <w:rsid w:val="F826E489"/>
    <w:rsid w:val="F86409E1"/>
    <w:rsid w:val="F8F22306"/>
    <w:rsid w:val="F8FBDC76"/>
    <w:rsid w:val="F8FE5000"/>
    <w:rsid w:val="F99F74E1"/>
    <w:rsid w:val="F9BD2EAC"/>
    <w:rsid w:val="F9EFB28F"/>
    <w:rsid w:val="F9EFFB43"/>
    <w:rsid w:val="FA5D8773"/>
    <w:rsid w:val="FADB76EE"/>
    <w:rsid w:val="FAFF0CF9"/>
    <w:rsid w:val="FB5E4D94"/>
    <w:rsid w:val="FB5E92F4"/>
    <w:rsid w:val="FB6ED3F2"/>
    <w:rsid w:val="FB6F03B0"/>
    <w:rsid w:val="FB9F1236"/>
    <w:rsid w:val="FBBE3E05"/>
    <w:rsid w:val="FBCB87E1"/>
    <w:rsid w:val="FBCBBF20"/>
    <w:rsid w:val="FBCF1E57"/>
    <w:rsid w:val="FBED0F48"/>
    <w:rsid w:val="FBEE1F08"/>
    <w:rsid w:val="FBF5A22A"/>
    <w:rsid w:val="FBF6AB83"/>
    <w:rsid w:val="FBF7E043"/>
    <w:rsid w:val="FBFBE0DA"/>
    <w:rsid w:val="FBFE0A28"/>
    <w:rsid w:val="FBFF2266"/>
    <w:rsid w:val="FC6931D0"/>
    <w:rsid w:val="FC6AE613"/>
    <w:rsid w:val="FCC6C1C2"/>
    <w:rsid w:val="FCCFDE6E"/>
    <w:rsid w:val="FCEE962A"/>
    <w:rsid w:val="FCF550F8"/>
    <w:rsid w:val="FCFEF3EC"/>
    <w:rsid w:val="FD3C7E68"/>
    <w:rsid w:val="FD5E4E3B"/>
    <w:rsid w:val="FD6BCCF8"/>
    <w:rsid w:val="FD6ECFA5"/>
    <w:rsid w:val="FD6FE53D"/>
    <w:rsid w:val="FD797628"/>
    <w:rsid w:val="FD7F4926"/>
    <w:rsid w:val="FD7F613A"/>
    <w:rsid w:val="FD9FF5CD"/>
    <w:rsid w:val="FDB8EFD7"/>
    <w:rsid w:val="FDDB3A2D"/>
    <w:rsid w:val="FDDF8AA0"/>
    <w:rsid w:val="FDEB20D6"/>
    <w:rsid w:val="FDED2D03"/>
    <w:rsid w:val="FDEFBCC0"/>
    <w:rsid w:val="FDF43E77"/>
    <w:rsid w:val="FDF56D9F"/>
    <w:rsid w:val="FDFBD4E5"/>
    <w:rsid w:val="FDFD39A4"/>
    <w:rsid w:val="FDFD3D85"/>
    <w:rsid w:val="FDFF010D"/>
    <w:rsid w:val="FDFF2FD4"/>
    <w:rsid w:val="FDFF3CE1"/>
    <w:rsid w:val="FDFFD478"/>
    <w:rsid w:val="FE474AF6"/>
    <w:rsid w:val="FE5A12F2"/>
    <w:rsid w:val="FE771F00"/>
    <w:rsid w:val="FE7BB4B2"/>
    <w:rsid w:val="FE9B6A45"/>
    <w:rsid w:val="FEA430C8"/>
    <w:rsid w:val="FEAF27BE"/>
    <w:rsid w:val="FEB505F8"/>
    <w:rsid w:val="FED7420D"/>
    <w:rsid w:val="FEEDACCF"/>
    <w:rsid w:val="FEF283EC"/>
    <w:rsid w:val="FEF7ED59"/>
    <w:rsid w:val="FEFE8817"/>
    <w:rsid w:val="FEFF58DA"/>
    <w:rsid w:val="FEFF8465"/>
    <w:rsid w:val="FF0EB45E"/>
    <w:rsid w:val="FF19CB12"/>
    <w:rsid w:val="FF393980"/>
    <w:rsid w:val="FF3BE79D"/>
    <w:rsid w:val="FF3DAE6E"/>
    <w:rsid w:val="FF573966"/>
    <w:rsid w:val="FF5C1C95"/>
    <w:rsid w:val="FF5D2D28"/>
    <w:rsid w:val="FF5FF462"/>
    <w:rsid w:val="FF6BCE66"/>
    <w:rsid w:val="FF6F9B96"/>
    <w:rsid w:val="FF730D5B"/>
    <w:rsid w:val="FF775F74"/>
    <w:rsid w:val="FF77B5E3"/>
    <w:rsid w:val="FF7A87CB"/>
    <w:rsid w:val="FF7D182F"/>
    <w:rsid w:val="FF7E87C8"/>
    <w:rsid w:val="FF7FAAC9"/>
    <w:rsid w:val="FF7FE959"/>
    <w:rsid w:val="FF9E1C38"/>
    <w:rsid w:val="FF9EB77C"/>
    <w:rsid w:val="FFAB36B9"/>
    <w:rsid w:val="FFAF4450"/>
    <w:rsid w:val="FFB60FE5"/>
    <w:rsid w:val="FFB77BFD"/>
    <w:rsid w:val="FFBB8791"/>
    <w:rsid w:val="FFBDE0C1"/>
    <w:rsid w:val="FFBE91CF"/>
    <w:rsid w:val="FFBFDEDD"/>
    <w:rsid w:val="FFD368B6"/>
    <w:rsid w:val="FFD7F238"/>
    <w:rsid w:val="FFDD28BD"/>
    <w:rsid w:val="FFDE0971"/>
    <w:rsid w:val="FFDE4E66"/>
    <w:rsid w:val="FFDF2AC2"/>
    <w:rsid w:val="FFDF74EB"/>
    <w:rsid w:val="FFDFB157"/>
    <w:rsid w:val="FFDFEB13"/>
    <w:rsid w:val="FFE7C51A"/>
    <w:rsid w:val="FFED184F"/>
    <w:rsid w:val="FFEF447B"/>
    <w:rsid w:val="FFF5C062"/>
    <w:rsid w:val="FFF77C0C"/>
    <w:rsid w:val="FFF7CB51"/>
    <w:rsid w:val="FFF7D5DF"/>
    <w:rsid w:val="FFF9BC71"/>
    <w:rsid w:val="FFFA2DD8"/>
    <w:rsid w:val="FFFA6AAF"/>
    <w:rsid w:val="FFFB0368"/>
    <w:rsid w:val="FFFB198D"/>
    <w:rsid w:val="FFFB69A5"/>
    <w:rsid w:val="FFFE814D"/>
    <w:rsid w:val="FFFF35DB"/>
    <w:rsid w:val="FFFF43C6"/>
    <w:rsid w:val="FFFF5D89"/>
    <w:rsid w:val="FFFF7E54"/>
    <w:rsid w:val="FFFFF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2"/>
    <w:basedOn w:val="1"/>
    <w:next w:val="1"/>
    <w:qFormat/>
    <w:uiPriority w:val="0"/>
    <w:pPr>
      <w:keepNext/>
      <w:keepLines/>
      <w:numPr>
        <w:ilvl w:val="1"/>
        <w:numId w:val="1"/>
      </w:numPr>
      <w:spacing w:line="500" w:lineRule="atLeast"/>
      <w:outlineLvl w:val="1"/>
    </w:pPr>
    <w:rPr>
      <w:rFonts w:ascii="黑体" w:hAnsi="Arial" w:eastAsia="黑体"/>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widowControl w:val="0"/>
      <w:adjustRightInd w:val="0"/>
      <w:spacing w:after="120" w:afterLines="0" w:line="360" w:lineRule="atLeast"/>
      <w:ind w:left="200" w:leftChars="200" w:firstLine="200" w:firstLineChars="200"/>
      <w:jc w:val="both"/>
      <w:textAlignment w:val="baseline"/>
    </w:pPr>
    <w:rPr>
      <w:rFonts w:ascii="Calibri" w:hAnsi="Calibri" w:eastAsia="宋体" w:cs="Times New Roman"/>
      <w:kern w:val="2"/>
      <w:sz w:val="21"/>
      <w:szCs w:val="24"/>
      <w:lang w:val="en-US" w:eastAsia="zh-CN" w:bidi="ar-SA"/>
    </w:rPr>
  </w:style>
  <w:style w:type="paragraph" w:styleId="3">
    <w:name w:val="Body Text Indent"/>
    <w:basedOn w:val="1"/>
    <w:next w:val="1"/>
    <w:qFormat/>
    <w:uiPriority w:val="0"/>
    <w:pPr>
      <w:widowControl w:val="0"/>
      <w:adjustRightInd w:val="0"/>
      <w:spacing w:line="360" w:lineRule="atLeast"/>
      <w:ind w:firstLine="600"/>
      <w:jc w:val="both"/>
      <w:textAlignment w:val="baseline"/>
    </w:pPr>
    <w:rPr>
      <w:rFonts w:ascii="Times New Roman" w:hAnsi="Times New Roman" w:eastAsia="宋体" w:cs="Times New Roman"/>
      <w:kern w:val="0"/>
      <w:sz w:val="30"/>
      <w:szCs w:val="20"/>
      <w:lang w:val="en-US" w:eastAsia="zh-CN" w:bidi="ar-SA"/>
    </w:rPr>
  </w:style>
  <w:style w:type="paragraph" w:styleId="5">
    <w:name w:val="Normal Indent"/>
    <w:basedOn w:val="1"/>
    <w:next w:val="6"/>
    <w:qFormat/>
    <w:uiPriority w:val="0"/>
    <w:pPr>
      <w:ind w:firstLine="420" w:firstLineChars="200"/>
    </w:pPr>
    <w:rPr>
      <w:rFonts w:ascii="Times New Roman" w:hAnsi="Times New Roman" w:cs="Times New Roman"/>
      <w:szCs w:val="20"/>
    </w:rPr>
  </w:style>
  <w:style w:type="paragraph" w:styleId="6">
    <w:name w:val="Body Text"/>
    <w:basedOn w:val="1"/>
    <w:next w:val="7"/>
    <w:qFormat/>
    <w:uiPriority w:val="0"/>
    <w:pPr>
      <w:widowControl w:val="0"/>
      <w:spacing w:after="120"/>
      <w:jc w:val="both"/>
    </w:pPr>
    <w:rPr>
      <w:rFonts w:ascii="Times New Roman" w:hAnsi="Times New Roman" w:eastAsia="宋体" w:cs="Times New Roman"/>
      <w:kern w:val="0"/>
      <w:sz w:val="20"/>
      <w:szCs w:val="20"/>
      <w:lang w:val="en-US" w:eastAsia="zh-CN" w:bidi="ar-SA"/>
    </w:rPr>
  </w:style>
  <w:style w:type="paragraph" w:styleId="7">
    <w:name w:val="Title"/>
    <w:basedOn w:val="1"/>
    <w:next w:val="1"/>
    <w:qFormat/>
    <w:uiPriority w:val="0"/>
    <w:pPr>
      <w:widowControl/>
      <w:spacing w:before="240" w:after="60"/>
      <w:jc w:val="center"/>
      <w:outlineLvl w:val="0"/>
    </w:pPr>
    <w:rPr>
      <w:rFonts w:ascii="Cambria" w:hAnsi="Cambria"/>
      <w:b/>
      <w:bCs/>
      <w:sz w:val="32"/>
      <w:szCs w:val="32"/>
    </w:r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szCs w:val="20"/>
    </w:rPr>
  </w:style>
  <w:style w:type="paragraph" w:styleId="11">
    <w:name w:val="Body Text Indent 2"/>
    <w:basedOn w:val="1"/>
    <w:qFormat/>
    <w:uiPriority w:val="0"/>
    <w:pPr>
      <w:ind w:firstLine="560" w:firstLineChars="200"/>
    </w:pPr>
    <w:rPr>
      <w:rFonts w:ascii="宋体"/>
      <w:sz w:val="2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link w:val="30"/>
    <w:qFormat/>
    <w:uiPriority w:val="0"/>
  </w:style>
  <w:style w:type="paragraph" w:styleId="15">
    <w:name w:val="footnote text"/>
    <w:basedOn w:val="1"/>
    <w:qFormat/>
    <w:uiPriority w:val="0"/>
    <w:pPr>
      <w:snapToGrid w:val="0"/>
      <w:jc w:val="left"/>
    </w:pPr>
    <w:rPr>
      <w:sz w:val="18"/>
      <w:szCs w:val="20"/>
    </w:rPr>
  </w:style>
  <w:style w:type="paragraph" w:styleId="16">
    <w:name w:val="toc 2"/>
    <w:basedOn w:val="1"/>
    <w:next w:val="1"/>
    <w:link w:val="29"/>
    <w:qFormat/>
    <w:uiPriority w:val="0"/>
    <w:pPr>
      <w:ind w:left="420" w:leftChars="200"/>
    </w:pPr>
  </w:style>
  <w:style w:type="character" w:styleId="19">
    <w:name w:val="page number"/>
    <w:qFormat/>
    <w:uiPriority w:val="99"/>
    <w:rPr>
      <w:rFonts w:cs="Times New Roman"/>
    </w:rPr>
  </w:style>
  <w:style w:type="character" w:styleId="20">
    <w:name w:val="Emphasis"/>
    <w:basedOn w:val="18"/>
    <w:qFormat/>
    <w:uiPriority w:val="0"/>
    <w:rPr>
      <w:i/>
      <w:iCs/>
    </w:rPr>
  </w:style>
  <w:style w:type="character" w:styleId="21">
    <w:name w:val="Hyperlink"/>
    <w:basedOn w:val="18"/>
    <w:qFormat/>
    <w:uiPriority w:val="0"/>
    <w:rPr>
      <w:color w:val="0000FF"/>
      <w:u w:val="single"/>
    </w:rPr>
  </w:style>
  <w:style w:type="paragraph" w:styleId="22">
    <w:name w:val="List Paragraph"/>
    <w:basedOn w:val="1"/>
    <w:qFormat/>
    <w:uiPriority w:val="34"/>
    <w:pPr>
      <w:ind w:firstLine="420" w:firstLineChars="200"/>
    </w:pPr>
    <w:rPr>
      <w:rFonts w:ascii="Calibri" w:hAnsi="Calibri"/>
      <w:szCs w:val="22"/>
    </w:rPr>
  </w:style>
  <w:style w:type="paragraph" w:customStyle="1" w:styleId="23">
    <w:name w:val="xl30"/>
    <w:basedOn w:val="1"/>
    <w:qFormat/>
    <w:uiPriority w:val="0"/>
    <w:pPr>
      <w:widowControl/>
      <w:spacing w:beforeAutospacing="1" w:afterAutospacing="1"/>
      <w:textAlignment w:val="top"/>
    </w:pPr>
    <w:rPr>
      <w:rFonts w:ascii="Arial Unicode MS" w:hAnsi="Arial Unicode MS" w:eastAsia="Arial Unicode MS" w:cs="仿宋_GB2312"/>
      <w:color w:val="000000"/>
      <w:kern w:val="0"/>
      <w:sz w:val="18"/>
      <w:szCs w:val="18"/>
    </w:rPr>
  </w:style>
  <w:style w:type="paragraph" w:customStyle="1" w:styleId="24">
    <w:name w:val="6.1"/>
    <w:basedOn w:val="1"/>
    <w:qFormat/>
    <w:uiPriority w:val="0"/>
    <w:pPr>
      <w:autoSpaceDE w:val="0"/>
      <w:autoSpaceDN w:val="0"/>
      <w:spacing w:afterLines="50" w:line="360" w:lineRule="exact"/>
      <w:ind w:firstLine="280" w:firstLineChars="100"/>
      <w:jc w:val="left"/>
    </w:pPr>
    <w:rPr>
      <w:rFonts w:ascii="黑体" w:hAnsi="宋体" w:eastAsia="黑体"/>
      <w:sz w:val="28"/>
      <w:szCs w:val="28"/>
    </w:rPr>
  </w:style>
  <w:style w:type="character" w:customStyle="1" w:styleId="25">
    <w:name w:val="小黑 Char Char Char"/>
    <w:qFormat/>
    <w:uiPriority w:val="0"/>
    <w:rPr>
      <w:rFonts w:ascii="黑体" w:hAnsi="黑体" w:eastAsia="黑体" w:cs="宋体"/>
      <w:kern w:val="2"/>
      <w:sz w:val="24"/>
      <w:lang w:val="en-US" w:eastAsia="zh-CN" w:bidi="ar-SA"/>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WPSOffice手动目录 3"/>
    <w:qFormat/>
    <w:uiPriority w:val="0"/>
    <w:pPr>
      <w:ind w:leftChars="400"/>
    </w:pPr>
    <w:rPr>
      <w:rFonts w:ascii="Times New Roman" w:hAnsi="Times New Roman" w:eastAsia="宋体" w:cs="Times New Roman"/>
      <w:sz w:val="20"/>
      <w:szCs w:val="20"/>
    </w:rPr>
  </w:style>
  <w:style w:type="character" w:customStyle="1" w:styleId="29">
    <w:name w:val="目录 2 Char"/>
    <w:link w:val="16"/>
    <w:qFormat/>
    <w:uiPriority w:val="0"/>
  </w:style>
  <w:style w:type="character" w:customStyle="1" w:styleId="30">
    <w:name w:val="目录 1 Char"/>
    <w:link w:val="14"/>
    <w:qFormat/>
    <w:uiPriority w:val="0"/>
  </w:style>
  <w:style w:type="character" w:customStyle="1" w:styleId="31">
    <w:name w:val="15"/>
    <w:basedOn w:val="18"/>
    <w:qFormat/>
    <w:uiPriority w:val="0"/>
    <w:rPr>
      <w:rFonts w:hint="eastAsia" w:ascii="宋体" w:hAnsi="宋体" w:eastAsia="宋体" w:cs="宋体"/>
      <w:color w:val="000000"/>
      <w:sz w:val="18"/>
      <w:szCs w:val="18"/>
    </w:rPr>
  </w:style>
  <w:style w:type="character" w:customStyle="1" w:styleId="32">
    <w:name w:val="font21"/>
    <w:basedOn w:val="18"/>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wmf"/><Relationship Id="rId11" Type="http://schemas.openxmlformats.org/officeDocument/2006/relationships/oleObject" Target="embeddings/oleObject1.bin"/><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2023-12-07T06:31:00Z</dcterms:created>
  <dc:creator>林穗子</dc:creator>
  <cp:lastModifiedBy>huawei</cp:lastModifiedBy>
  <cp:lastPrinted>2026-01-17T23:24:00Z</cp:lastPrinted>
  <dcterms:modified xsi:type="dcterms:W3CDTF">2026-01-27T17:27:52Z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ies>
</file>