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left="0" w:leftChars="0" w:right="0" w:firstLine="0" w:firstLineChars="0"/>
        <w:jc w:val="center"/>
        <w:textAlignment w:val="auto"/>
        <w:rPr>
          <w:rFonts w:hint="default" w:ascii="Times New Roman" w:hAnsi="Times New Roman" w:eastAsia="方正小标宋_GBK" w:cs="Times New Roman"/>
          <w:bCs/>
          <w:color w:val="0C0C0C"/>
          <w:kern w:val="0"/>
          <w:sz w:val="44"/>
          <w:szCs w:val="44"/>
          <w:shd w:val="clear" w:color="auto" w:fill="FFFFFF"/>
          <w:lang w:val="en-US" w:eastAsia="zh-CN" w:bidi="ar"/>
        </w:rPr>
      </w:pPr>
      <w:bookmarkStart w:id="0" w:name="_GoBack"/>
      <w:r>
        <w:rPr>
          <w:rFonts w:hint="default" w:ascii="Times New Roman" w:hAnsi="Times New Roman" w:eastAsia="方正小标宋_GBK" w:cs="Times New Roman"/>
          <w:bCs/>
          <w:color w:val="0C0C0C"/>
          <w:kern w:val="0"/>
          <w:sz w:val="44"/>
          <w:szCs w:val="44"/>
          <w:shd w:val="clear" w:color="auto" w:fill="FFFFFF"/>
          <w:lang w:val="en-US" w:eastAsia="zh-CN" w:bidi="ar"/>
        </w:rPr>
        <w:t>广州市第五次全国经济普查公报（第五号）</w:t>
      </w:r>
    </w:p>
    <w:bookmarkEnd w:id="0"/>
    <w:p>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left="0" w:leftChars="0" w:right="0" w:firstLine="0" w:firstLineChars="0"/>
        <w:jc w:val="center"/>
        <w:textAlignment w:val="auto"/>
        <w:rPr>
          <w:rFonts w:hint="default" w:ascii="Times New Roman" w:hAnsi="Times New Roman" w:eastAsia="方正小标宋_GBK" w:cs="Times New Roman"/>
          <w:bCs/>
          <w:color w:val="0C0C0C"/>
          <w:kern w:val="0"/>
          <w:sz w:val="44"/>
          <w:szCs w:val="44"/>
          <w:shd w:val="clear" w:color="auto" w:fill="FFFFFF"/>
          <w:lang w:val="en-US" w:eastAsia="zh-CN" w:bidi="ar"/>
        </w:rPr>
      </w:pPr>
      <w:r>
        <w:rPr>
          <w:rFonts w:hint="default" w:ascii="Times New Roman" w:hAnsi="Times New Roman" w:eastAsia="方正小标宋_GBK" w:cs="Times New Roman"/>
          <w:bCs/>
          <w:color w:val="0C0C0C"/>
          <w:kern w:val="0"/>
          <w:sz w:val="44"/>
          <w:szCs w:val="44"/>
          <w:shd w:val="clear" w:color="auto" w:fill="FFFFFF"/>
          <w:lang w:val="en-US" w:eastAsia="zh-CN" w:bidi="ar"/>
        </w:rPr>
        <w:t>——第三产业基本情况之二</w:t>
      </w:r>
    </w:p>
    <w:p>
      <w:pPr>
        <w:pStyle w:val="2"/>
        <w:keepNext w:val="0"/>
        <w:keepLines w:val="0"/>
        <w:pageBreakBefore w:val="0"/>
        <w:kinsoku/>
        <w:wordWrap/>
        <w:topLinePunct w:val="0"/>
        <w:bidi w:val="0"/>
        <w:adjustRightInd w:val="0"/>
        <w:snapToGrid w:val="0"/>
        <w:spacing w:beforeAutospacing="0" w:after="0" w:afterLines="0" w:afterAutospacing="0"/>
        <w:ind w:left="0" w:leftChars="0" w:right="0"/>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left="0" w:leftChars="0" w:right="0" w:firstLine="0" w:firstLineChars="0"/>
        <w:jc w:val="center"/>
        <w:textAlignment w:val="auto"/>
        <w:rPr>
          <w:rFonts w:hint="default" w:ascii="Times New Roman" w:hAnsi="Times New Roman" w:eastAsia="方正楷体_GBK" w:cs="Times New Roman"/>
          <w:color w:val="0C0C0C"/>
          <w:kern w:val="2"/>
          <w:sz w:val="32"/>
          <w:szCs w:val="32"/>
          <w:lang w:val="en-US" w:eastAsia="zh-CN" w:bidi="ar-SA"/>
        </w:rPr>
      </w:pPr>
      <w:r>
        <w:rPr>
          <w:rFonts w:hint="default" w:ascii="Times New Roman" w:hAnsi="Times New Roman" w:eastAsia="方正楷体_GBK" w:cs="Times New Roman"/>
          <w:color w:val="0C0C0C"/>
          <w:kern w:val="2"/>
          <w:sz w:val="32"/>
          <w:szCs w:val="32"/>
          <w:lang w:val="en-US" w:eastAsia="zh-CN" w:bidi="ar-SA"/>
        </w:rPr>
        <w:t>广州市统计局</w:t>
      </w:r>
    </w:p>
    <w:p>
      <w:pPr>
        <w:pStyle w:val="4"/>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left="0" w:leftChars="0" w:right="0" w:firstLine="0" w:firstLineChars="0"/>
        <w:jc w:val="center"/>
        <w:textAlignment w:val="baseline"/>
        <w:rPr>
          <w:rFonts w:hint="default" w:ascii="Times New Roman" w:hAnsi="Times New Roman" w:eastAsia="方正楷体_GBK" w:cs="Times New Roman"/>
          <w:color w:val="0C0C0C"/>
          <w:kern w:val="2"/>
          <w:sz w:val="32"/>
          <w:szCs w:val="32"/>
          <w:lang w:val="en-US" w:eastAsia="zh-CN" w:bidi="ar-SA"/>
        </w:rPr>
      </w:pPr>
      <w:r>
        <w:rPr>
          <w:rFonts w:hint="default" w:ascii="Times New Roman" w:hAnsi="Times New Roman" w:eastAsia="方正楷体_GBK" w:cs="Times New Roman"/>
          <w:color w:val="0C0C0C"/>
          <w:kern w:val="2"/>
          <w:sz w:val="32"/>
          <w:szCs w:val="32"/>
          <w:lang w:val="en-US" w:eastAsia="zh-CN" w:bidi="ar-SA"/>
        </w:rPr>
        <w:t>广州市第五次全国经济普查领导小组办公室</w:t>
      </w:r>
    </w:p>
    <w:p>
      <w:pPr>
        <w:pStyle w:val="4"/>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left="0" w:leftChars="0" w:right="0" w:firstLine="0" w:firstLineChars="0"/>
        <w:jc w:val="center"/>
        <w:textAlignment w:val="baseline"/>
        <w:rPr>
          <w:rFonts w:hint="default" w:ascii="Times New Roman" w:hAnsi="Times New Roman" w:cs="Times New Roman"/>
          <w:color w:val="0C0C0C"/>
          <w:sz w:val="32"/>
          <w:szCs w:val="32"/>
          <w:lang w:val="en-US" w:eastAsia="zh-CN"/>
        </w:rPr>
      </w:pPr>
      <w:r>
        <w:rPr>
          <w:rFonts w:hint="default" w:ascii="Times New Roman" w:hAnsi="Times New Roman" w:eastAsia="方正楷体_GBK" w:cs="Times New Roman"/>
          <w:color w:val="0C0C0C"/>
          <w:kern w:val="2"/>
          <w:sz w:val="32"/>
          <w:szCs w:val="32"/>
          <w:lang w:val="en-US" w:eastAsia="zh-CN" w:bidi="ar-SA"/>
        </w:rPr>
        <w:t>（2025年</w:t>
      </w:r>
      <w:r>
        <w:rPr>
          <w:rFonts w:hint="eastAsia" w:ascii="Times New Roman" w:hAnsi="Times New Roman" w:eastAsia="方正楷体_GBK" w:cs="Times New Roman"/>
          <w:color w:val="0C0C0C"/>
          <w:kern w:val="2"/>
          <w:sz w:val="32"/>
          <w:szCs w:val="32"/>
          <w:lang w:val="en-US" w:eastAsia="zh-CN" w:bidi="ar-SA"/>
        </w:rPr>
        <w:t>5</w:t>
      </w:r>
      <w:r>
        <w:rPr>
          <w:rFonts w:hint="default" w:ascii="Times New Roman" w:hAnsi="Times New Roman" w:eastAsia="方正楷体_GBK" w:cs="Times New Roman"/>
          <w:color w:val="0C0C0C"/>
          <w:kern w:val="2"/>
          <w:sz w:val="32"/>
          <w:szCs w:val="32"/>
          <w:lang w:val="en-US" w:eastAsia="zh-CN" w:bidi="ar-SA"/>
        </w:rPr>
        <w:t>月</w:t>
      </w:r>
      <w:r>
        <w:rPr>
          <w:rFonts w:hint="eastAsia" w:ascii="Times New Roman" w:hAnsi="Times New Roman" w:eastAsia="方正楷体_GBK" w:cs="Times New Roman"/>
          <w:color w:val="0C0C0C"/>
          <w:kern w:val="2"/>
          <w:sz w:val="32"/>
          <w:szCs w:val="32"/>
          <w:lang w:val="en-US" w:eastAsia="zh-CN" w:bidi="ar-SA"/>
        </w:rPr>
        <w:t>28</w:t>
      </w:r>
      <w:r>
        <w:rPr>
          <w:rFonts w:hint="default" w:ascii="Times New Roman" w:hAnsi="Times New Roman" w:eastAsia="方正楷体_GBK" w:cs="Times New Roman"/>
          <w:color w:val="0C0C0C"/>
          <w:kern w:val="2"/>
          <w:sz w:val="32"/>
          <w:szCs w:val="32"/>
          <w:lang w:val="en-US" w:eastAsia="zh-CN" w:bidi="ar-SA"/>
        </w:rPr>
        <w:t>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500" w:lineRule="exact"/>
        <w:ind w:left="0" w:leftChars="0" w:right="0" w:firstLine="0" w:firstLineChars="0"/>
        <w:jc w:val="both"/>
        <w:textAlignment w:val="auto"/>
        <w:rPr>
          <w:rFonts w:hint="default" w:ascii="Times New Roman" w:hAnsi="Times New Roman" w:cs="Times New Roman"/>
          <w:color w:val="0C0C0C"/>
          <w:kern w:val="2"/>
          <w:sz w:val="36"/>
          <w:szCs w:val="36"/>
          <w:u w:val="none"/>
          <w:lang w:val="en-US" w:eastAsia="zh-CN" w:bidi="ar-SA"/>
        </w:rPr>
      </w:pPr>
    </w:p>
    <w:p>
      <w:pPr>
        <w:pStyle w:val="4"/>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left="0" w:leftChars="0" w:right="0" w:firstLine="640" w:firstLineChars="200"/>
        <w:jc w:val="both"/>
        <w:textAlignment w:val="center"/>
        <w:rPr>
          <w:rFonts w:hint="default" w:ascii="Times New Roman" w:hAnsi="Times New Roman"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根据第五次全国经济普查结果，现将我市第三产业中科学研究和技术服务业，水利、环境和公共设施管理业，居民服务、修理和其他服务业，教育，卫生和社会工作，文化、体育和娱乐业，公共管理、社会保障和社会组织的主要数据公布如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560" w:lineRule="exact"/>
        <w:ind w:left="0" w:leftChars="0" w:right="0" w:firstLine="640" w:firstLineChars="200"/>
        <w:jc w:val="both"/>
        <w:textAlignment w:val="auto"/>
        <w:rPr>
          <w:rFonts w:hint="default" w:ascii="Times New Roman" w:hAnsi="Times New Roman" w:eastAsia="方正仿宋_GBK" w:cs="Times New Roman"/>
          <w:i w:val="0"/>
          <w:caps w:val="0"/>
          <w:color w:val="0C0C0C"/>
          <w:spacing w:val="0"/>
          <w:sz w:val="32"/>
          <w:szCs w:val="32"/>
          <w:highlight w:val="none"/>
        </w:rPr>
      </w:pPr>
      <w:r>
        <w:rPr>
          <w:rFonts w:hint="default" w:ascii="Times New Roman" w:hAnsi="Times New Roman" w:eastAsia="黑体" w:cs="Times New Roman"/>
          <w:b w:val="0"/>
          <w:bCs/>
          <w:i w:val="0"/>
          <w:caps w:val="0"/>
          <w:color w:val="0C0C0C"/>
          <w:spacing w:val="0"/>
          <w:kern w:val="0"/>
          <w:sz w:val="32"/>
          <w:szCs w:val="32"/>
          <w:highlight w:val="none"/>
          <w:lang w:val="en-US" w:eastAsia="zh-CN" w:bidi="ar"/>
        </w:rPr>
        <w:t>一、科学研究和技术服务业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560" w:lineRule="exact"/>
        <w:ind w:left="0" w:leftChars="0" w:right="0" w:firstLine="640" w:firstLineChars="200"/>
        <w:jc w:val="both"/>
        <w:textAlignment w:val="auto"/>
        <w:rPr>
          <w:rFonts w:hint="default" w:ascii="Times New Roman" w:hAnsi="Times New Roman" w:eastAsia="楷体_GB2312" w:cs="Times New Roman"/>
          <w:i w:val="0"/>
          <w:caps w:val="0"/>
          <w:color w:val="0C0C0C"/>
          <w:spacing w:val="0"/>
          <w:kern w:val="0"/>
          <w:sz w:val="32"/>
          <w:szCs w:val="32"/>
          <w:highlight w:val="none"/>
          <w:lang w:bidi="ar"/>
        </w:rPr>
      </w:pPr>
      <w:r>
        <w:rPr>
          <w:rFonts w:hint="default" w:ascii="Times New Roman" w:hAnsi="Times New Roman" w:eastAsia="楷体_GB2312" w:cs="Times New Roman"/>
          <w:i w:val="0"/>
          <w:caps w:val="0"/>
          <w:color w:val="0C0C0C"/>
          <w:spacing w:val="0"/>
          <w:kern w:val="0"/>
          <w:sz w:val="32"/>
          <w:szCs w:val="32"/>
          <w:highlight w:val="none"/>
          <w:lang w:val="en-US" w:eastAsia="zh-CN" w:bidi="ar"/>
        </w:rPr>
        <w:t>（一）法人单位数和从业人员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56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2023年末，全市共有科学研究和技术服务业法人单位78059个，从业人员57.06万人，分别比2018年末增长13.1%和20.8%。其中，企业法人单位</w:t>
      </w:r>
      <w:r>
        <w:rPr>
          <w:rFonts w:hint="default" w:ascii="Times New Roman" w:hAnsi="Times New Roman" w:eastAsia="仿宋_GB2312" w:cs="Times New Roman"/>
          <w:color w:val="0C0C0C"/>
          <w:kern w:val="2"/>
          <w:sz w:val="32"/>
          <w:szCs w:val="32"/>
          <w:u w:val="none"/>
          <w:vertAlign w:val="superscript"/>
          <w:lang w:val="en-US" w:eastAsia="zh-CN" w:bidi="ar-SA"/>
        </w:rPr>
        <w:footnoteReference w:id="0"/>
      </w:r>
      <w:r>
        <w:rPr>
          <w:rFonts w:hint="default" w:ascii="Times New Roman" w:hAnsi="Times New Roman" w:eastAsia="仿宋_GB2312" w:cs="Times New Roman"/>
          <w:color w:val="0C0C0C"/>
          <w:kern w:val="2"/>
          <w:sz w:val="32"/>
          <w:szCs w:val="32"/>
          <w:u w:val="none"/>
          <w:lang w:val="en-US" w:eastAsia="zh-CN" w:bidi="ar-SA"/>
        </w:rPr>
        <w:t>77438个，从业人员52.60万人，分别比2018年末增长13.3%和20.6%（详见表5-1）。</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表5-1　按行业大类分组的科学研究和技术服务业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8"/>
          <w:szCs w:val="28"/>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企业法人单位数和从业人员</w:t>
      </w:r>
    </w:p>
    <w:tbl>
      <w:tblPr>
        <w:tblStyle w:val="11"/>
        <w:tblW w:w="0" w:type="auto"/>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2966"/>
        <w:gridCol w:w="3030"/>
        <w:gridCol w:w="2502"/>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94" w:hRule="atLeast"/>
          <w:jc w:val="center"/>
        </w:trPr>
        <w:tc>
          <w:tcPr>
            <w:tcW w:w="3034" w:type="dxa"/>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color w:val="0C0C0C"/>
                <w:sz w:val="21"/>
                <w:szCs w:val="21"/>
                <w:highlight w:val="none"/>
              </w:rPr>
            </w:pPr>
          </w:p>
        </w:tc>
        <w:tc>
          <w:tcPr>
            <w:tcW w:w="3089" w:type="dxa"/>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kern w:val="0"/>
                <w:sz w:val="21"/>
                <w:szCs w:val="21"/>
                <w:highlight w:val="none"/>
                <w:lang w:val="en-US" w:eastAsia="zh-CN" w:bidi="ar"/>
              </w:rPr>
            </w:pPr>
            <w:r>
              <w:rPr>
                <w:rFonts w:hint="default" w:ascii="Times New Roman" w:hAnsi="Times New Roman" w:eastAsia="宋体" w:cs="Times New Roman"/>
                <w:b/>
                <w:bCs/>
                <w:color w:val="0C0C0C"/>
                <w:kern w:val="0"/>
                <w:sz w:val="21"/>
                <w:szCs w:val="21"/>
                <w:highlight w:val="none"/>
                <w:lang w:val="en-US" w:eastAsia="zh-CN" w:bidi="ar"/>
              </w:rPr>
              <w:t>企业法人单位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（个）</w:t>
            </w:r>
          </w:p>
        </w:tc>
        <w:tc>
          <w:tcPr>
            <w:tcW w:w="2551" w:type="dxa"/>
            <w:tcBorders>
              <w:top w:val="single" w:color="auto" w:sz="12"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kern w:val="0"/>
                <w:sz w:val="21"/>
                <w:szCs w:val="21"/>
                <w:highlight w:val="none"/>
                <w:lang w:val="en-US" w:eastAsia="zh-CN" w:bidi="ar"/>
              </w:rPr>
            </w:pPr>
            <w:r>
              <w:rPr>
                <w:rFonts w:hint="default" w:ascii="Times New Roman" w:hAnsi="Times New Roman" w:eastAsia="宋体" w:cs="Times New Roman"/>
                <w:b/>
                <w:bCs/>
                <w:color w:val="0C0C0C"/>
                <w:kern w:val="0"/>
                <w:sz w:val="21"/>
                <w:szCs w:val="21"/>
                <w:highlight w:val="none"/>
                <w:lang w:val="en-US" w:eastAsia="zh-CN" w:bidi="ar"/>
              </w:rPr>
              <w:t>从业人员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（万人）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34" w:type="dxa"/>
            <w:tcBorders>
              <w:top w:val="single" w:color="auto" w:sz="4" w:space="0"/>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合　计</w:t>
            </w:r>
          </w:p>
        </w:tc>
        <w:tc>
          <w:tcPr>
            <w:tcW w:w="3089"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77438</w:t>
            </w:r>
          </w:p>
        </w:tc>
        <w:tc>
          <w:tcPr>
            <w:tcW w:w="2551" w:type="dxa"/>
            <w:tcBorders>
              <w:top w:val="single" w:color="auto" w:sz="4" w:space="0"/>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52.60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34"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研究和试验发展</w:t>
            </w:r>
          </w:p>
        </w:tc>
        <w:tc>
          <w:tcPr>
            <w:tcW w:w="3089"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13303</w:t>
            </w:r>
          </w:p>
        </w:tc>
        <w:tc>
          <w:tcPr>
            <w:tcW w:w="2551"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7.24</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34"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专业技术服务业</w:t>
            </w:r>
          </w:p>
        </w:tc>
        <w:tc>
          <w:tcPr>
            <w:tcW w:w="3089"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34605</w:t>
            </w:r>
          </w:p>
        </w:tc>
        <w:tc>
          <w:tcPr>
            <w:tcW w:w="2551"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34.25</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34" w:type="dxa"/>
            <w:tcBorders>
              <w:top w:val="nil"/>
              <w:left w:val="nil"/>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科技推广和应用服务业</w:t>
            </w:r>
          </w:p>
        </w:tc>
        <w:tc>
          <w:tcPr>
            <w:tcW w:w="3089"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29530</w:t>
            </w:r>
          </w:p>
        </w:tc>
        <w:tc>
          <w:tcPr>
            <w:tcW w:w="2551" w:type="dxa"/>
            <w:tcBorders>
              <w:top w:val="nil"/>
              <w:left w:val="single" w:color="auto" w:sz="4" w:space="0"/>
              <w:bottom w:val="single" w:color="auto" w:sz="1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11.11</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在科学研究和技术服务业企业法人单位中，内资企业占98.3%，港澳台投资企业占1.1%，外商投资企业占0.6%。</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在科学研究和技术服务业企业法人单位从业人员中，内资企业占96.0%，港澳台投资企业占1.9%，外商投资企业占2.1%（详见表5-2）。</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表5-2　按登记注册统计类别分组的科学研究和技术服务业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企业法人单位数和从业人员</w:t>
      </w:r>
    </w:p>
    <w:tbl>
      <w:tblPr>
        <w:tblStyle w:val="11"/>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282"/>
        <w:gridCol w:w="2871"/>
        <w:gridCol w:w="2342"/>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94" w:hRule="atLeast"/>
          <w:jc w:val="center"/>
        </w:trPr>
        <w:tc>
          <w:tcPr>
            <w:tcW w:w="1931" w:type="pct"/>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color w:val="0C0C0C"/>
                <w:sz w:val="21"/>
                <w:szCs w:val="21"/>
                <w:highlight w:val="none"/>
              </w:rPr>
            </w:pPr>
          </w:p>
        </w:tc>
        <w:tc>
          <w:tcPr>
            <w:tcW w:w="1689" w:type="pct"/>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kern w:val="0"/>
                <w:sz w:val="21"/>
                <w:szCs w:val="21"/>
                <w:highlight w:val="none"/>
                <w:lang w:val="en-US" w:eastAsia="zh-CN" w:bidi="ar"/>
              </w:rPr>
            </w:pPr>
            <w:r>
              <w:rPr>
                <w:rFonts w:hint="default" w:ascii="Times New Roman" w:hAnsi="Times New Roman" w:eastAsia="宋体" w:cs="Times New Roman"/>
                <w:b/>
                <w:bCs/>
                <w:color w:val="0C0C0C"/>
                <w:kern w:val="0"/>
                <w:sz w:val="21"/>
                <w:szCs w:val="21"/>
                <w:highlight w:val="none"/>
                <w:lang w:val="en-US" w:eastAsia="zh-CN" w:bidi="ar"/>
              </w:rPr>
              <w:t>企业法人单位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（个）</w:t>
            </w:r>
          </w:p>
        </w:tc>
        <w:tc>
          <w:tcPr>
            <w:tcW w:w="1378" w:type="pct"/>
            <w:tcBorders>
              <w:top w:val="single" w:color="auto" w:sz="12"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kern w:val="0"/>
                <w:sz w:val="21"/>
                <w:szCs w:val="21"/>
                <w:highlight w:val="none"/>
                <w:lang w:val="en-US" w:eastAsia="zh-CN" w:bidi="ar"/>
              </w:rPr>
            </w:pPr>
            <w:r>
              <w:rPr>
                <w:rFonts w:hint="default" w:ascii="Times New Roman" w:hAnsi="Times New Roman" w:eastAsia="宋体" w:cs="Times New Roman"/>
                <w:b/>
                <w:bCs/>
                <w:color w:val="0C0C0C"/>
                <w:kern w:val="0"/>
                <w:sz w:val="21"/>
                <w:szCs w:val="21"/>
                <w:highlight w:val="none"/>
                <w:lang w:val="en-US" w:eastAsia="zh-CN" w:bidi="ar"/>
              </w:rPr>
              <w:t>从业人员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（万人）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931" w:type="pct"/>
            <w:tcBorders>
              <w:top w:val="single" w:color="auto" w:sz="4" w:space="0"/>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合　计</w:t>
            </w:r>
          </w:p>
        </w:tc>
        <w:tc>
          <w:tcPr>
            <w:tcW w:w="1689" w:type="pct"/>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77438</w:t>
            </w:r>
          </w:p>
        </w:tc>
        <w:tc>
          <w:tcPr>
            <w:tcW w:w="1378" w:type="pct"/>
            <w:tcBorders>
              <w:top w:val="single" w:color="auto" w:sz="4" w:space="0"/>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52.60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931"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b w:val="0"/>
                <w:bCs/>
                <w:color w:val="0C0C0C"/>
                <w:sz w:val="21"/>
                <w:szCs w:val="21"/>
                <w:highlight w:val="none"/>
              </w:rPr>
            </w:pPr>
            <w:r>
              <w:rPr>
                <w:rFonts w:hint="default" w:ascii="Times New Roman" w:hAnsi="Times New Roman" w:eastAsia="宋体" w:cs="Times New Roman"/>
                <w:b w:val="0"/>
                <w:bCs/>
                <w:color w:val="0C0C0C"/>
                <w:kern w:val="0"/>
                <w:sz w:val="21"/>
                <w:szCs w:val="21"/>
                <w:highlight w:val="none"/>
                <w:lang w:val="en-US" w:eastAsia="zh-CN" w:bidi="ar"/>
              </w:rPr>
              <w:t>内资企业</w:t>
            </w:r>
          </w:p>
        </w:tc>
        <w:tc>
          <w:tcPr>
            <w:tcW w:w="168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76099</w:t>
            </w:r>
          </w:p>
        </w:tc>
        <w:tc>
          <w:tcPr>
            <w:tcW w:w="1378" w:type="pct"/>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50.50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931"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b w:val="0"/>
                <w:bCs/>
                <w:color w:val="0C0C0C"/>
                <w:sz w:val="21"/>
                <w:szCs w:val="21"/>
                <w:highlight w:val="none"/>
              </w:rPr>
            </w:pPr>
            <w:r>
              <w:rPr>
                <w:rFonts w:hint="default" w:ascii="Times New Roman" w:hAnsi="Times New Roman" w:eastAsia="宋体" w:cs="Times New Roman"/>
                <w:b w:val="0"/>
                <w:bCs/>
                <w:color w:val="0C0C0C"/>
                <w:kern w:val="0"/>
                <w:sz w:val="21"/>
                <w:szCs w:val="21"/>
                <w:highlight w:val="none"/>
                <w:lang w:val="en" w:eastAsia="zh-CN" w:bidi="ar"/>
              </w:rPr>
              <w:t>港澳台</w:t>
            </w:r>
            <w:r>
              <w:rPr>
                <w:rFonts w:hint="default" w:ascii="Times New Roman" w:hAnsi="Times New Roman" w:eastAsia="宋体" w:cs="Times New Roman"/>
                <w:b w:val="0"/>
                <w:bCs/>
                <w:color w:val="0C0C0C"/>
                <w:kern w:val="0"/>
                <w:sz w:val="21"/>
                <w:szCs w:val="21"/>
                <w:highlight w:val="none"/>
                <w:lang w:val="en-US" w:eastAsia="zh-CN" w:bidi="ar"/>
              </w:rPr>
              <w:t>投资企业</w:t>
            </w:r>
          </w:p>
        </w:tc>
        <w:tc>
          <w:tcPr>
            <w:tcW w:w="168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839</w:t>
            </w:r>
          </w:p>
        </w:tc>
        <w:tc>
          <w:tcPr>
            <w:tcW w:w="1378" w:type="pct"/>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1.01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931"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b w:val="0"/>
                <w:bCs/>
                <w:color w:val="0C0C0C"/>
                <w:sz w:val="21"/>
                <w:szCs w:val="21"/>
                <w:highlight w:val="none"/>
              </w:rPr>
            </w:pPr>
            <w:r>
              <w:rPr>
                <w:rFonts w:hint="default" w:ascii="Times New Roman" w:hAnsi="Times New Roman" w:eastAsia="宋体" w:cs="Times New Roman"/>
                <w:b w:val="0"/>
                <w:bCs/>
                <w:color w:val="0C0C0C"/>
                <w:kern w:val="0"/>
                <w:sz w:val="21"/>
                <w:szCs w:val="21"/>
                <w:highlight w:val="none"/>
                <w:lang w:val="en-US" w:eastAsia="zh-CN" w:bidi="ar"/>
              </w:rPr>
              <w:t>外商投资企业</w:t>
            </w:r>
          </w:p>
        </w:tc>
        <w:tc>
          <w:tcPr>
            <w:tcW w:w="168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483</w:t>
            </w:r>
          </w:p>
        </w:tc>
        <w:tc>
          <w:tcPr>
            <w:tcW w:w="1378" w:type="pct"/>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1.10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931" w:type="pct"/>
            <w:tcBorders>
              <w:top w:val="nil"/>
              <w:left w:val="nil"/>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both"/>
              <w:textAlignment w:val="auto"/>
              <w:rPr>
                <w:rFonts w:hint="default" w:ascii="Times New Roman" w:hAnsi="Times New Roman" w:eastAsia="宋体" w:cs="Times New Roman"/>
                <w:b w:val="0"/>
                <w:bCs/>
                <w:color w:val="0C0C0C"/>
                <w:kern w:val="0"/>
                <w:sz w:val="21"/>
                <w:szCs w:val="21"/>
                <w:highlight w:val="none"/>
                <w:lang w:val="en-US" w:eastAsia="zh-CN" w:bidi="ar"/>
              </w:rPr>
            </w:pPr>
            <w:r>
              <w:rPr>
                <w:rFonts w:hint="default" w:ascii="Times New Roman" w:hAnsi="Times New Roman" w:eastAsia="宋体" w:cs="Times New Roman"/>
                <w:b w:val="0"/>
                <w:bCs/>
                <w:color w:val="0C0C0C"/>
                <w:kern w:val="0"/>
                <w:sz w:val="21"/>
                <w:szCs w:val="21"/>
                <w:highlight w:val="none"/>
                <w:lang w:val="en-US" w:eastAsia="zh-CN" w:bidi="ar"/>
              </w:rPr>
              <w:t>其他统计类别</w:t>
            </w:r>
          </w:p>
        </w:tc>
        <w:tc>
          <w:tcPr>
            <w:tcW w:w="1689" w:type="pct"/>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17</w:t>
            </w:r>
          </w:p>
        </w:tc>
        <w:tc>
          <w:tcPr>
            <w:tcW w:w="1378" w:type="pct"/>
            <w:tcBorders>
              <w:top w:val="nil"/>
              <w:left w:val="single" w:color="auto" w:sz="4" w:space="0"/>
              <w:bottom w:val="single" w:color="auto" w:sz="1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cs="Times New Roman"/>
                <w:b w:val="0"/>
                <w:bCs w:val="0"/>
              </w:rPr>
              <w:t>…</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楷体_GB2312" w:cs="Times New Roman"/>
          <w:i w:val="0"/>
          <w:caps w:val="0"/>
          <w:color w:val="0C0C0C"/>
          <w:spacing w:val="0"/>
          <w:kern w:val="0"/>
          <w:sz w:val="32"/>
          <w:szCs w:val="32"/>
          <w:highlight w:val="none"/>
          <w:lang w:bidi="ar"/>
        </w:rPr>
      </w:pPr>
      <w:r>
        <w:rPr>
          <w:rFonts w:hint="default" w:ascii="Times New Roman" w:hAnsi="Times New Roman" w:eastAsia="楷体_GB2312" w:cs="Times New Roman"/>
          <w:i w:val="0"/>
          <w:caps w:val="0"/>
          <w:color w:val="0C0C0C"/>
          <w:spacing w:val="0"/>
          <w:kern w:val="0"/>
          <w:sz w:val="32"/>
          <w:szCs w:val="32"/>
          <w:highlight w:val="none"/>
          <w:lang w:val="en-US" w:eastAsia="zh-CN" w:bidi="ar"/>
        </w:rPr>
        <w:t>（二）主要经济指标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2023年末，科学研究和技术服务业企业法人单位资产总计8865.67亿元，比2018年末增长189.3%；负债合计5417.42亿元，比2018年末增长203.3%。</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cs="Times New Roman"/>
          <w:lang w:val="en-US" w:eastAsia="zh-CN"/>
        </w:rPr>
      </w:pPr>
      <w:r>
        <w:rPr>
          <w:rFonts w:hint="default" w:ascii="Times New Roman" w:hAnsi="Times New Roman" w:eastAsia="仿宋_GB2312" w:cs="Times New Roman"/>
          <w:color w:val="0C0C0C"/>
          <w:kern w:val="2"/>
          <w:sz w:val="32"/>
          <w:szCs w:val="32"/>
          <w:u w:val="none"/>
          <w:lang w:val="en-US" w:eastAsia="zh-CN" w:bidi="ar-SA"/>
        </w:rPr>
        <w:t>2023年，科学研究和技术服务业企业法人单位全年实现营业收入2513.33亿元，比2018年增长54.5%（详见表5-3）。</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表5-3　按行业大类分组的科学研究和技术服务业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企业法人单位主要经济指标</w:t>
      </w:r>
    </w:p>
    <w:tbl>
      <w:tblPr>
        <w:tblStyle w:val="11"/>
        <w:tblW w:w="0" w:type="auto"/>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902"/>
        <w:gridCol w:w="1532"/>
        <w:gridCol w:w="1532"/>
        <w:gridCol w:w="1532"/>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94" w:hRule="atLeast"/>
          <w:jc w:val="center"/>
        </w:trPr>
        <w:tc>
          <w:tcPr>
            <w:tcW w:w="4041" w:type="dxa"/>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color w:val="0C0C0C"/>
                <w:sz w:val="21"/>
                <w:szCs w:val="21"/>
                <w:highlight w:val="none"/>
              </w:rPr>
            </w:pPr>
          </w:p>
        </w:tc>
        <w:tc>
          <w:tcPr>
            <w:tcW w:w="1564" w:type="dxa"/>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资产总计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（亿元）</w:t>
            </w:r>
          </w:p>
        </w:tc>
        <w:tc>
          <w:tcPr>
            <w:tcW w:w="1564" w:type="dxa"/>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负债合计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（亿元）</w:t>
            </w:r>
          </w:p>
        </w:tc>
        <w:tc>
          <w:tcPr>
            <w:tcW w:w="1563" w:type="dxa"/>
            <w:tcBorders>
              <w:top w:val="single" w:color="auto" w:sz="12"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营业收入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（亿元）</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041" w:type="dxa"/>
            <w:tcBorders>
              <w:top w:val="single" w:color="auto" w:sz="4" w:space="0"/>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合　计</w:t>
            </w:r>
          </w:p>
        </w:tc>
        <w:tc>
          <w:tcPr>
            <w:tcW w:w="1564"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8865.67</w:t>
            </w:r>
          </w:p>
        </w:tc>
        <w:tc>
          <w:tcPr>
            <w:tcW w:w="1564"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5417.42</w:t>
            </w:r>
          </w:p>
        </w:tc>
        <w:tc>
          <w:tcPr>
            <w:tcW w:w="1563" w:type="dxa"/>
            <w:tcBorders>
              <w:top w:val="single" w:color="auto" w:sz="4" w:space="0"/>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2513.33</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041"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研究和试验发展</w:t>
            </w:r>
          </w:p>
        </w:tc>
        <w:tc>
          <w:tcPr>
            <w:tcW w:w="156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1898.62</w:t>
            </w:r>
          </w:p>
        </w:tc>
        <w:tc>
          <w:tcPr>
            <w:tcW w:w="156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857.45</w:t>
            </w:r>
          </w:p>
        </w:tc>
        <w:tc>
          <w:tcPr>
            <w:tcW w:w="156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395.22</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041"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专业技术服务业</w:t>
            </w:r>
          </w:p>
        </w:tc>
        <w:tc>
          <w:tcPr>
            <w:tcW w:w="156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4151.58</w:t>
            </w:r>
          </w:p>
        </w:tc>
        <w:tc>
          <w:tcPr>
            <w:tcW w:w="156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2378.99</w:t>
            </w:r>
          </w:p>
        </w:tc>
        <w:tc>
          <w:tcPr>
            <w:tcW w:w="156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1640.32</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041" w:type="dxa"/>
            <w:tcBorders>
              <w:top w:val="nil"/>
              <w:left w:val="nil"/>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科技推广和应用服务业</w:t>
            </w:r>
          </w:p>
        </w:tc>
        <w:tc>
          <w:tcPr>
            <w:tcW w:w="1564"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2815.46</w:t>
            </w:r>
          </w:p>
        </w:tc>
        <w:tc>
          <w:tcPr>
            <w:tcW w:w="1564"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2180.98</w:t>
            </w:r>
          </w:p>
        </w:tc>
        <w:tc>
          <w:tcPr>
            <w:tcW w:w="1563" w:type="dxa"/>
            <w:tcBorders>
              <w:top w:val="nil"/>
              <w:left w:val="single" w:color="auto" w:sz="4" w:space="0"/>
              <w:bottom w:val="single" w:color="auto" w:sz="1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477.79</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黑体" w:cs="Times New Roman"/>
          <w:b w:val="0"/>
          <w:bCs/>
          <w:i w:val="0"/>
          <w:caps w:val="0"/>
          <w:color w:val="0C0C0C"/>
          <w:spacing w:val="0"/>
          <w:kern w:val="0"/>
          <w:sz w:val="32"/>
          <w:szCs w:val="32"/>
          <w:highlight w:val="none"/>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黑体" w:cs="Times New Roman"/>
          <w:b w:val="0"/>
          <w:bCs/>
          <w:i w:val="0"/>
          <w:caps w:val="0"/>
          <w:color w:val="0C0C0C"/>
          <w:spacing w:val="0"/>
          <w:sz w:val="32"/>
          <w:szCs w:val="32"/>
          <w:highlight w:val="none"/>
        </w:rPr>
      </w:pPr>
      <w:r>
        <w:rPr>
          <w:rFonts w:hint="default" w:ascii="Times New Roman" w:hAnsi="Times New Roman" w:eastAsia="黑体" w:cs="Times New Roman"/>
          <w:b w:val="0"/>
          <w:bCs/>
          <w:i w:val="0"/>
          <w:caps w:val="0"/>
          <w:color w:val="0C0C0C"/>
          <w:spacing w:val="0"/>
          <w:kern w:val="0"/>
          <w:sz w:val="32"/>
          <w:szCs w:val="32"/>
          <w:highlight w:val="none"/>
          <w:lang w:val="en-US" w:eastAsia="zh-CN" w:bidi="ar"/>
        </w:rPr>
        <w:t>二、水利、环境和公共设施管理业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楷体_GB2312" w:cs="Times New Roman"/>
          <w:i w:val="0"/>
          <w:caps w:val="0"/>
          <w:color w:val="0C0C0C"/>
          <w:spacing w:val="0"/>
          <w:kern w:val="0"/>
          <w:sz w:val="32"/>
          <w:szCs w:val="32"/>
          <w:highlight w:val="none"/>
          <w:lang w:bidi="ar"/>
        </w:rPr>
      </w:pPr>
      <w:r>
        <w:rPr>
          <w:rFonts w:hint="default" w:ascii="Times New Roman" w:hAnsi="Times New Roman" w:eastAsia="楷体_GB2312" w:cs="Times New Roman"/>
          <w:i w:val="0"/>
          <w:caps w:val="0"/>
          <w:color w:val="0C0C0C"/>
          <w:spacing w:val="0"/>
          <w:kern w:val="0"/>
          <w:sz w:val="32"/>
          <w:szCs w:val="32"/>
          <w:highlight w:val="none"/>
          <w:lang w:val="en-US" w:eastAsia="zh-CN" w:bidi="ar"/>
        </w:rPr>
        <w:t>（一）法人单位数和从业人员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末，全市共有水利、环境和公共设施管理业法人单位3735个，从业人员9.39万人，分别比2018年末增长66.1%和20.1%。其中，行政事业及非企业法人单位265个，从业人员2.94万人，分别比2018年末下降21.8%和12.9%；企业法人单位3470个，从业人员6.45万人，分别比2018年末增长81.7%和45.3%。</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楷体_GB2312" w:cs="Times New Roman"/>
          <w:i w:val="0"/>
          <w:caps w:val="0"/>
          <w:color w:val="0C0C0C"/>
          <w:spacing w:val="0"/>
          <w:kern w:val="0"/>
          <w:sz w:val="32"/>
          <w:szCs w:val="32"/>
          <w:highlight w:val="none"/>
          <w:lang w:bidi="ar"/>
        </w:rPr>
      </w:pPr>
      <w:r>
        <w:rPr>
          <w:rFonts w:hint="default" w:ascii="Times New Roman" w:hAnsi="Times New Roman" w:eastAsia="楷体_GB2312" w:cs="Times New Roman"/>
          <w:i w:val="0"/>
          <w:caps w:val="0"/>
          <w:color w:val="0C0C0C"/>
          <w:spacing w:val="0"/>
          <w:kern w:val="0"/>
          <w:sz w:val="32"/>
          <w:szCs w:val="32"/>
          <w:highlight w:val="none"/>
          <w:lang w:val="en-US" w:eastAsia="zh-CN" w:bidi="ar"/>
        </w:rPr>
        <w:t>（二）主要经济指标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2023年末，水利、环境和公共设施管理业企业法人单位资产总计1939.10亿元，比2018年末下降10.8%；负债合计794.82亿元，比2018年末增长52.7%。全年实现营业收入183.50亿元，比2018年下降1.6%。</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行政事业及非企业法人单位年末资产965.83亿元，比2018年末增长57.1%。本年支出（费用）合计126.16亿元，比2018年下降17.8%。</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黑体" w:cs="Times New Roman"/>
          <w:b w:val="0"/>
          <w:bCs/>
          <w:i w:val="0"/>
          <w:caps w:val="0"/>
          <w:color w:val="0C0C0C"/>
          <w:spacing w:val="0"/>
          <w:sz w:val="32"/>
          <w:szCs w:val="32"/>
          <w:highlight w:val="none"/>
        </w:rPr>
      </w:pPr>
      <w:r>
        <w:rPr>
          <w:rFonts w:hint="default" w:ascii="Times New Roman" w:hAnsi="Times New Roman" w:eastAsia="黑体" w:cs="Times New Roman"/>
          <w:b w:val="0"/>
          <w:bCs/>
          <w:i w:val="0"/>
          <w:caps w:val="0"/>
          <w:color w:val="0C0C0C"/>
          <w:spacing w:val="0"/>
          <w:kern w:val="0"/>
          <w:sz w:val="32"/>
          <w:szCs w:val="32"/>
          <w:highlight w:val="none"/>
          <w:lang w:val="en-US" w:eastAsia="zh-CN" w:bidi="ar"/>
        </w:rPr>
        <w:t>三、居民服务、修理和其他服务业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（一）企业法人单位数和从业人员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 w:eastAsia="zh-CN" w:bidi="ar-SA"/>
        </w:rPr>
        <w:t>2023年末，全市共有居民服务、修理和其他服务业企业法人单位</w:t>
      </w:r>
      <w:r>
        <w:rPr>
          <w:rFonts w:hint="default" w:ascii="Times New Roman" w:hAnsi="Times New Roman" w:eastAsia="仿宋_GB2312" w:cs="Times New Roman"/>
          <w:color w:val="0C0C0C"/>
          <w:kern w:val="2"/>
          <w:sz w:val="32"/>
          <w:szCs w:val="32"/>
          <w:u w:val="none"/>
          <w:lang w:val="en-US" w:eastAsia="zh-CN" w:bidi="ar-SA"/>
        </w:rPr>
        <w:t>30596</w:t>
      </w:r>
      <w:r>
        <w:rPr>
          <w:rFonts w:hint="default" w:ascii="Times New Roman" w:hAnsi="Times New Roman" w:eastAsia="仿宋_GB2312" w:cs="Times New Roman"/>
          <w:color w:val="0C0C0C"/>
          <w:kern w:val="2"/>
          <w:sz w:val="32"/>
          <w:szCs w:val="32"/>
          <w:u w:val="none"/>
          <w:lang w:val="en" w:eastAsia="zh-CN" w:bidi="ar-SA"/>
        </w:rPr>
        <w:t>个，从业人员</w:t>
      </w:r>
      <w:r>
        <w:rPr>
          <w:rFonts w:hint="default" w:ascii="Times New Roman" w:hAnsi="Times New Roman" w:eastAsia="仿宋_GB2312" w:cs="Times New Roman"/>
          <w:color w:val="0C0C0C"/>
          <w:kern w:val="2"/>
          <w:sz w:val="32"/>
          <w:szCs w:val="32"/>
          <w:u w:val="none"/>
          <w:lang w:val="en-US" w:eastAsia="zh-CN" w:bidi="ar-SA"/>
        </w:rPr>
        <w:t>23.42</w:t>
      </w:r>
      <w:r>
        <w:rPr>
          <w:rFonts w:hint="default" w:ascii="Times New Roman" w:hAnsi="Times New Roman" w:eastAsia="仿宋_GB2312" w:cs="Times New Roman"/>
          <w:color w:val="0C0C0C"/>
          <w:kern w:val="2"/>
          <w:sz w:val="32"/>
          <w:szCs w:val="32"/>
          <w:u w:val="none"/>
          <w:lang w:val="en" w:eastAsia="zh-CN" w:bidi="ar-SA"/>
        </w:rPr>
        <w:t>万人，分别比2018年末增长</w:t>
      </w:r>
      <w:r>
        <w:rPr>
          <w:rFonts w:hint="default" w:ascii="Times New Roman" w:hAnsi="Times New Roman" w:eastAsia="仿宋_GB2312" w:cs="Times New Roman"/>
          <w:color w:val="0C0C0C"/>
          <w:kern w:val="2"/>
          <w:sz w:val="32"/>
          <w:szCs w:val="32"/>
          <w:u w:val="none"/>
          <w:lang w:val="en-US" w:eastAsia="zh-CN" w:bidi="ar-SA"/>
        </w:rPr>
        <w:t>93.2</w:t>
      </w:r>
      <w:r>
        <w:rPr>
          <w:rFonts w:hint="default" w:ascii="Times New Roman" w:hAnsi="Times New Roman" w:eastAsia="仿宋_GB2312" w:cs="Times New Roman"/>
          <w:color w:val="0C0C0C"/>
          <w:kern w:val="2"/>
          <w:sz w:val="32"/>
          <w:szCs w:val="32"/>
          <w:u w:val="none"/>
          <w:lang w:val="en" w:eastAsia="zh-CN" w:bidi="ar-SA"/>
        </w:rPr>
        <w:t>%和</w:t>
      </w:r>
      <w:r>
        <w:rPr>
          <w:rFonts w:hint="default" w:ascii="Times New Roman" w:hAnsi="Times New Roman" w:eastAsia="仿宋_GB2312" w:cs="Times New Roman"/>
          <w:color w:val="0C0C0C"/>
          <w:kern w:val="2"/>
          <w:sz w:val="32"/>
          <w:szCs w:val="32"/>
          <w:u w:val="none"/>
          <w:lang w:val="en-US" w:eastAsia="zh-CN" w:bidi="ar-SA"/>
        </w:rPr>
        <w:t>71.9</w:t>
      </w:r>
      <w:r>
        <w:rPr>
          <w:rFonts w:hint="default" w:ascii="Times New Roman" w:hAnsi="Times New Roman" w:eastAsia="仿宋_GB2312" w:cs="Times New Roman"/>
          <w:color w:val="0C0C0C"/>
          <w:kern w:val="2"/>
          <w:sz w:val="32"/>
          <w:szCs w:val="32"/>
          <w:u w:val="none"/>
          <w:lang w:val="en" w:eastAsia="zh-CN" w:bidi="ar-SA"/>
        </w:rPr>
        <w:t>%（详见表5-4）</w:t>
      </w:r>
      <w:r>
        <w:rPr>
          <w:rFonts w:hint="default" w:ascii="Times New Roman" w:hAnsi="Times New Roman" w:eastAsia="仿宋_GB2312" w:cs="Times New Roman"/>
          <w:color w:val="0C0C0C"/>
          <w:kern w:val="2"/>
          <w:sz w:val="32"/>
          <w:szCs w:val="32"/>
          <w:u w:val="none"/>
          <w:lang w:val="en-US" w:eastAsia="zh-CN" w:bidi="ar-SA"/>
        </w:rPr>
        <w:t>。</w:t>
      </w:r>
    </w:p>
    <w:p>
      <w:pPr>
        <w:pStyle w:val="2"/>
        <w:rPr>
          <w:rFonts w:hint="default" w:ascii="Times New Roman" w:hAnsi="Times New Roman" w:eastAsia="仿宋_GB2312" w:cs="Times New Roman"/>
          <w:color w:val="0C0C0C"/>
          <w:kern w:val="2"/>
          <w:sz w:val="32"/>
          <w:szCs w:val="32"/>
          <w:u w:val="none"/>
          <w:lang w:val="en-US" w:eastAsia="zh-CN" w:bidi="ar-SA"/>
        </w:rPr>
      </w:pPr>
    </w:p>
    <w:p>
      <w:pPr>
        <w:rPr>
          <w:rFonts w:hint="default"/>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表5-4　按行业大类分组的居民服务、修理和其他服务业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企业法人单位数和从业人员</w:t>
      </w:r>
    </w:p>
    <w:tbl>
      <w:tblPr>
        <w:tblStyle w:val="11"/>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4241"/>
        <w:gridCol w:w="2408"/>
        <w:gridCol w:w="1846"/>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2495" w:type="pct"/>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color w:val="0C0C0C"/>
                <w:sz w:val="21"/>
                <w:szCs w:val="21"/>
                <w:highlight w:val="none"/>
              </w:rPr>
            </w:pPr>
          </w:p>
        </w:tc>
        <w:tc>
          <w:tcPr>
            <w:tcW w:w="1417" w:type="pct"/>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kern w:val="0"/>
                <w:sz w:val="21"/>
                <w:szCs w:val="21"/>
                <w:highlight w:val="none"/>
                <w:lang w:val="en-US" w:eastAsia="zh-CN" w:bidi="ar"/>
              </w:rPr>
            </w:pPr>
            <w:r>
              <w:rPr>
                <w:rFonts w:hint="default" w:ascii="Times New Roman" w:hAnsi="Times New Roman" w:eastAsia="宋体" w:cs="Times New Roman"/>
                <w:b/>
                <w:bCs/>
                <w:color w:val="0C0C0C"/>
                <w:kern w:val="0"/>
                <w:sz w:val="21"/>
                <w:szCs w:val="21"/>
                <w:highlight w:val="none"/>
                <w:lang w:val="en-US" w:eastAsia="zh-CN" w:bidi="ar"/>
              </w:rPr>
              <w:t>企业法人单位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（个）</w:t>
            </w:r>
          </w:p>
        </w:tc>
        <w:tc>
          <w:tcPr>
            <w:tcW w:w="1086" w:type="pct"/>
            <w:tcBorders>
              <w:top w:val="single" w:color="auto" w:sz="12"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kern w:val="0"/>
                <w:sz w:val="21"/>
                <w:szCs w:val="21"/>
                <w:highlight w:val="none"/>
                <w:lang w:val="en-US" w:eastAsia="zh-CN" w:bidi="ar"/>
              </w:rPr>
            </w:pPr>
            <w:r>
              <w:rPr>
                <w:rFonts w:hint="default" w:ascii="Times New Roman" w:hAnsi="Times New Roman" w:eastAsia="宋体" w:cs="Times New Roman"/>
                <w:b/>
                <w:bCs/>
                <w:color w:val="0C0C0C"/>
                <w:kern w:val="0"/>
                <w:sz w:val="21"/>
                <w:szCs w:val="21"/>
                <w:highlight w:val="none"/>
                <w:lang w:val="en-US" w:eastAsia="zh-CN" w:bidi="ar"/>
              </w:rPr>
              <w:t>从业人员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（万人）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2495" w:type="pct"/>
            <w:tcBorders>
              <w:top w:val="single" w:color="auto" w:sz="4" w:space="0"/>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合　计</w:t>
            </w:r>
          </w:p>
        </w:tc>
        <w:tc>
          <w:tcPr>
            <w:tcW w:w="2458"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30596</w:t>
            </w:r>
          </w:p>
        </w:tc>
        <w:tc>
          <w:tcPr>
            <w:tcW w:w="1897" w:type="dxa"/>
            <w:tcBorders>
              <w:top w:val="single" w:color="auto" w:sz="4" w:space="0"/>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23.42</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2495"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居民服务业</w:t>
            </w:r>
          </w:p>
        </w:tc>
        <w:tc>
          <w:tcPr>
            <w:tcW w:w="245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16501</w:t>
            </w:r>
          </w:p>
        </w:tc>
        <w:tc>
          <w:tcPr>
            <w:tcW w:w="1897"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8.75</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2495"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机动车、电子产品和日用产品修理业</w:t>
            </w:r>
          </w:p>
        </w:tc>
        <w:tc>
          <w:tcPr>
            <w:tcW w:w="245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9383</w:t>
            </w:r>
          </w:p>
        </w:tc>
        <w:tc>
          <w:tcPr>
            <w:tcW w:w="1897"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4.65</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2495" w:type="pct"/>
            <w:tcBorders>
              <w:top w:val="nil"/>
              <w:left w:val="nil"/>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其他服务业</w:t>
            </w:r>
          </w:p>
        </w:tc>
        <w:tc>
          <w:tcPr>
            <w:tcW w:w="2458"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4712</w:t>
            </w:r>
          </w:p>
        </w:tc>
        <w:tc>
          <w:tcPr>
            <w:tcW w:w="1897" w:type="dxa"/>
            <w:tcBorders>
              <w:top w:val="nil"/>
              <w:left w:val="single" w:color="auto" w:sz="4" w:space="0"/>
              <w:bottom w:val="single" w:color="auto" w:sz="1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10.02</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 w:eastAsia="zh-CN" w:bidi="ar-SA"/>
        </w:rPr>
      </w:pPr>
      <w:r>
        <w:rPr>
          <w:rFonts w:hint="default" w:ascii="Times New Roman" w:hAnsi="Times New Roman" w:eastAsia="仿宋_GB2312" w:cs="Times New Roman"/>
          <w:color w:val="0C0C0C"/>
          <w:kern w:val="2"/>
          <w:sz w:val="32"/>
          <w:szCs w:val="32"/>
          <w:u w:val="none"/>
          <w:lang w:val="en-US" w:eastAsia="zh-CN" w:bidi="ar-SA"/>
        </w:rPr>
        <w:t>在居民服务、修理和其他服务业企业法人单位中，内资企业占99.2%，港澳台投资企业占0.5%，外商投资企业占0.2%。</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在居民服务、修理和其他服务业企业法人单位从业人员中，内资企业占98.0%，港澳台投资企业占1.7%，外商投资企业占0.3%（详见表5-5）。</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表5-5　按登记注册统计类别分组的居民服务、修理和其他服务业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企业法人单位数和从业人员</w:t>
      </w:r>
    </w:p>
    <w:tbl>
      <w:tblPr>
        <w:tblStyle w:val="11"/>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301"/>
        <w:gridCol w:w="2864"/>
        <w:gridCol w:w="2330"/>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1942" w:type="pct"/>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color w:val="0C0C0C"/>
                <w:sz w:val="21"/>
                <w:szCs w:val="21"/>
                <w:highlight w:val="none"/>
              </w:rPr>
            </w:pPr>
          </w:p>
        </w:tc>
        <w:tc>
          <w:tcPr>
            <w:tcW w:w="1685" w:type="pct"/>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kern w:val="0"/>
                <w:sz w:val="21"/>
                <w:szCs w:val="21"/>
                <w:highlight w:val="none"/>
                <w:lang w:val="en-US" w:eastAsia="zh-CN" w:bidi="ar"/>
              </w:rPr>
            </w:pPr>
            <w:r>
              <w:rPr>
                <w:rFonts w:hint="default" w:ascii="Times New Roman" w:hAnsi="Times New Roman" w:eastAsia="宋体" w:cs="Times New Roman"/>
                <w:b/>
                <w:bCs/>
                <w:color w:val="0C0C0C"/>
                <w:kern w:val="0"/>
                <w:sz w:val="21"/>
                <w:szCs w:val="21"/>
                <w:highlight w:val="none"/>
                <w:lang w:val="en-US" w:eastAsia="zh-CN" w:bidi="ar"/>
              </w:rPr>
              <w:t>企业法人单位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（个）</w:t>
            </w:r>
          </w:p>
        </w:tc>
        <w:tc>
          <w:tcPr>
            <w:tcW w:w="1371" w:type="pct"/>
            <w:tcBorders>
              <w:top w:val="single" w:color="auto" w:sz="12"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kern w:val="0"/>
                <w:sz w:val="21"/>
                <w:szCs w:val="21"/>
                <w:highlight w:val="none"/>
                <w:lang w:val="en-US" w:eastAsia="zh-CN" w:bidi="ar"/>
              </w:rPr>
            </w:pPr>
            <w:r>
              <w:rPr>
                <w:rFonts w:hint="default" w:ascii="Times New Roman" w:hAnsi="Times New Roman" w:eastAsia="宋体" w:cs="Times New Roman"/>
                <w:b/>
                <w:bCs/>
                <w:color w:val="0C0C0C"/>
                <w:kern w:val="0"/>
                <w:sz w:val="21"/>
                <w:szCs w:val="21"/>
                <w:highlight w:val="none"/>
                <w:lang w:val="en-US" w:eastAsia="zh-CN" w:bidi="ar"/>
              </w:rPr>
              <w:t>从业人员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（万人）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942" w:type="pct"/>
            <w:tcBorders>
              <w:top w:val="single" w:color="auto" w:sz="4" w:space="0"/>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合　计</w:t>
            </w:r>
          </w:p>
        </w:tc>
        <w:tc>
          <w:tcPr>
            <w:tcW w:w="2923"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30596</w:t>
            </w:r>
          </w:p>
        </w:tc>
        <w:tc>
          <w:tcPr>
            <w:tcW w:w="2394" w:type="dxa"/>
            <w:tcBorders>
              <w:top w:val="single" w:color="auto" w:sz="4" w:space="0"/>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23.42</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94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b w:val="0"/>
                <w:bCs/>
                <w:color w:val="0C0C0C"/>
                <w:sz w:val="21"/>
                <w:szCs w:val="21"/>
                <w:highlight w:val="none"/>
              </w:rPr>
            </w:pPr>
            <w:r>
              <w:rPr>
                <w:rFonts w:hint="default" w:ascii="Times New Roman" w:hAnsi="Times New Roman" w:eastAsia="宋体" w:cs="Times New Roman"/>
                <w:b w:val="0"/>
                <w:bCs/>
                <w:color w:val="0C0C0C"/>
                <w:kern w:val="0"/>
                <w:sz w:val="21"/>
                <w:szCs w:val="21"/>
                <w:highlight w:val="none"/>
                <w:lang w:val="en-US" w:eastAsia="zh-CN" w:bidi="ar"/>
              </w:rPr>
              <w:t>内资企业</w:t>
            </w:r>
          </w:p>
        </w:tc>
        <w:tc>
          <w:tcPr>
            <w:tcW w:w="2923"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30364</w:t>
            </w:r>
          </w:p>
        </w:tc>
        <w:tc>
          <w:tcPr>
            <w:tcW w:w="2394"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22.95</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94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b w:val="0"/>
                <w:bCs/>
                <w:color w:val="0C0C0C"/>
                <w:sz w:val="21"/>
                <w:szCs w:val="21"/>
                <w:highlight w:val="none"/>
              </w:rPr>
            </w:pPr>
            <w:r>
              <w:rPr>
                <w:rFonts w:hint="default" w:ascii="Times New Roman" w:hAnsi="Times New Roman" w:eastAsia="宋体" w:cs="Times New Roman"/>
                <w:b w:val="0"/>
                <w:bCs/>
                <w:color w:val="0C0C0C"/>
                <w:kern w:val="0"/>
                <w:sz w:val="21"/>
                <w:szCs w:val="21"/>
                <w:highlight w:val="none"/>
                <w:lang w:val="en" w:eastAsia="zh-CN" w:bidi="ar"/>
              </w:rPr>
              <w:t>港澳台</w:t>
            </w:r>
            <w:r>
              <w:rPr>
                <w:rFonts w:hint="default" w:ascii="Times New Roman" w:hAnsi="Times New Roman" w:eastAsia="宋体" w:cs="Times New Roman"/>
                <w:b w:val="0"/>
                <w:bCs/>
                <w:color w:val="0C0C0C"/>
                <w:kern w:val="0"/>
                <w:sz w:val="21"/>
                <w:szCs w:val="21"/>
                <w:highlight w:val="none"/>
                <w:lang w:val="en-US" w:eastAsia="zh-CN" w:bidi="ar"/>
              </w:rPr>
              <w:t>投资企业</w:t>
            </w:r>
          </w:p>
        </w:tc>
        <w:tc>
          <w:tcPr>
            <w:tcW w:w="2923"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165</w:t>
            </w:r>
          </w:p>
        </w:tc>
        <w:tc>
          <w:tcPr>
            <w:tcW w:w="2394"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0.39</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94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b w:val="0"/>
                <w:bCs/>
                <w:color w:val="0C0C0C"/>
                <w:sz w:val="21"/>
                <w:szCs w:val="21"/>
                <w:highlight w:val="none"/>
              </w:rPr>
            </w:pPr>
            <w:r>
              <w:rPr>
                <w:rFonts w:hint="default" w:ascii="Times New Roman" w:hAnsi="Times New Roman" w:eastAsia="宋体" w:cs="Times New Roman"/>
                <w:b w:val="0"/>
                <w:bCs/>
                <w:color w:val="0C0C0C"/>
                <w:kern w:val="0"/>
                <w:sz w:val="21"/>
                <w:szCs w:val="21"/>
                <w:highlight w:val="none"/>
                <w:lang w:val="en-US" w:eastAsia="zh-CN" w:bidi="ar"/>
              </w:rPr>
              <w:t>外商投资企业</w:t>
            </w:r>
          </w:p>
        </w:tc>
        <w:tc>
          <w:tcPr>
            <w:tcW w:w="2923"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66</w:t>
            </w:r>
          </w:p>
        </w:tc>
        <w:tc>
          <w:tcPr>
            <w:tcW w:w="2394"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0.07</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942" w:type="pct"/>
            <w:tcBorders>
              <w:top w:val="nil"/>
              <w:left w:val="nil"/>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both"/>
              <w:textAlignment w:val="auto"/>
              <w:rPr>
                <w:rFonts w:hint="default" w:ascii="Times New Roman" w:hAnsi="Times New Roman" w:eastAsia="宋体" w:cs="Times New Roman"/>
                <w:b w:val="0"/>
                <w:bCs/>
                <w:color w:val="0C0C0C"/>
                <w:kern w:val="0"/>
                <w:sz w:val="21"/>
                <w:szCs w:val="21"/>
                <w:highlight w:val="none"/>
                <w:lang w:val="en-US" w:eastAsia="zh-CN" w:bidi="ar"/>
              </w:rPr>
            </w:pPr>
            <w:r>
              <w:rPr>
                <w:rFonts w:hint="default" w:ascii="Times New Roman" w:hAnsi="Times New Roman" w:eastAsia="宋体" w:cs="Times New Roman"/>
                <w:b w:val="0"/>
                <w:bCs/>
                <w:color w:val="0C0C0C"/>
                <w:kern w:val="0"/>
                <w:sz w:val="21"/>
                <w:szCs w:val="21"/>
                <w:highlight w:val="none"/>
                <w:lang w:val="en-US" w:eastAsia="zh-CN" w:bidi="ar"/>
              </w:rPr>
              <w:t>其他统计类别</w:t>
            </w:r>
          </w:p>
        </w:tc>
        <w:tc>
          <w:tcPr>
            <w:tcW w:w="2923"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w:t>
            </w:r>
          </w:p>
        </w:tc>
        <w:tc>
          <w:tcPr>
            <w:tcW w:w="2394" w:type="dxa"/>
            <w:tcBorders>
              <w:top w:val="nil"/>
              <w:left w:val="single" w:color="auto" w:sz="4" w:space="0"/>
              <w:bottom w:val="single" w:color="auto" w:sz="1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cs="Times New Roman"/>
                <w:b w:val="0"/>
                <w:bCs w:val="0"/>
              </w:rPr>
              <w:t>…</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楷体_GB2312" w:cs="Times New Roman"/>
          <w:i w:val="0"/>
          <w:caps w:val="0"/>
          <w:color w:val="0C0C0C"/>
          <w:spacing w:val="0"/>
          <w:kern w:val="0"/>
          <w:sz w:val="32"/>
          <w:szCs w:val="32"/>
          <w:highlight w:val="none"/>
          <w:lang w:bidi="ar"/>
        </w:rPr>
      </w:pPr>
      <w:r>
        <w:rPr>
          <w:rFonts w:hint="default" w:ascii="Times New Roman" w:hAnsi="Times New Roman" w:eastAsia="楷体_GB2312" w:cs="Times New Roman"/>
          <w:i w:val="0"/>
          <w:caps w:val="0"/>
          <w:color w:val="0C0C0C"/>
          <w:spacing w:val="0"/>
          <w:kern w:val="0"/>
          <w:sz w:val="32"/>
          <w:szCs w:val="32"/>
          <w:highlight w:val="none"/>
          <w:lang w:val="en-US" w:eastAsia="zh-CN" w:bidi="ar"/>
        </w:rPr>
        <w:t>（二）主要经济指标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2023年末，居民服务、修理和其他服务业企业法人单位资产总计415.62亿元，比2018年末增长88.0%；负债合计349.13亿元，比2018年末增长119.9%。全年实现营业收入375.22亿元，比2018年增长90.3%（详见表5-6）。</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481" w:firstLineChars="200"/>
        <w:jc w:val="both"/>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481" w:firstLineChars="200"/>
        <w:jc w:val="both"/>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481" w:firstLineChars="20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表5-6　按行业大类分组的居民服务、修理和其他服务业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企业法人单位主要经济指标</w:t>
      </w:r>
    </w:p>
    <w:tbl>
      <w:tblPr>
        <w:tblStyle w:val="11"/>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4212"/>
        <w:gridCol w:w="1441"/>
        <w:gridCol w:w="1411"/>
        <w:gridCol w:w="1431"/>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07" w:hRule="atLeast"/>
          <w:jc w:val="center"/>
        </w:trPr>
        <w:tc>
          <w:tcPr>
            <w:tcW w:w="2479" w:type="pct"/>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500" w:firstLineChars="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　</w:t>
            </w:r>
          </w:p>
        </w:tc>
        <w:tc>
          <w:tcPr>
            <w:tcW w:w="848" w:type="pct"/>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资产总计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color w:val="0C0C0C"/>
                <w:sz w:val="21"/>
                <w:szCs w:val="24"/>
                <w:highlight w:val="none"/>
              </w:rPr>
            </w:pPr>
            <w:r>
              <w:rPr>
                <w:rFonts w:hint="default" w:ascii="Times New Roman" w:hAnsi="Times New Roman" w:eastAsia="宋体" w:cs="Times New Roman"/>
                <w:b/>
                <w:bCs/>
                <w:color w:val="0C0C0C"/>
                <w:kern w:val="0"/>
                <w:sz w:val="21"/>
                <w:szCs w:val="21"/>
                <w:highlight w:val="none"/>
                <w:lang w:val="en-US" w:eastAsia="zh-CN" w:bidi="ar"/>
              </w:rPr>
              <w:t>（亿元）</w:t>
            </w:r>
          </w:p>
        </w:tc>
        <w:tc>
          <w:tcPr>
            <w:tcW w:w="830" w:type="pct"/>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负债合计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（亿元）</w:t>
            </w:r>
          </w:p>
        </w:tc>
        <w:tc>
          <w:tcPr>
            <w:tcW w:w="842" w:type="pct"/>
            <w:tcBorders>
              <w:top w:val="single" w:color="auto" w:sz="12"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营业收入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（亿元）</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2479" w:type="pct"/>
            <w:tcBorders>
              <w:top w:val="single" w:color="auto" w:sz="4" w:space="0"/>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合　计</w:t>
            </w:r>
          </w:p>
        </w:tc>
        <w:tc>
          <w:tcPr>
            <w:tcW w:w="1481"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415.62</w:t>
            </w:r>
          </w:p>
        </w:tc>
        <w:tc>
          <w:tcPr>
            <w:tcW w:w="1449"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349.13</w:t>
            </w:r>
          </w:p>
        </w:tc>
        <w:tc>
          <w:tcPr>
            <w:tcW w:w="1470" w:type="dxa"/>
            <w:tcBorders>
              <w:top w:val="single" w:color="auto" w:sz="4" w:space="0"/>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375.22</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2479"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居民服务业</w:t>
            </w:r>
          </w:p>
        </w:tc>
        <w:tc>
          <w:tcPr>
            <w:tcW w:w="1481"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178.32</w:t>
            </w:r>
          </w:p>
        </w:tc>
        <w:tc>
          <w:tcPr>
            <w:tcW w:w="1449"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182.58</w:t>
            </w:r>
          </w:p>
        </w:tc>
        <w:tc>
          <w:tcPr>
            <w:tcW w:w="1470"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135.00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2479"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机动车、电子产品和日用产品修理业</w:t>
            </w:r>
          </w:p>
        </w:tc>
        <w:tc>
          <w:tcPr>
            <w:tcW w:w="1481"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118.82</w:t>
            </w:r>
          </w:p>
        </w:tc>
        <w:tc>
          <w:tcPr>
            <w:tcW w:w="1449"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105.42</w:t>
            </w:r>
          </w:p>
        </w:tc>
        <w:tc>
          <w:tcPr>
            <w:tcW w:w="1470"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129.76</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2479" w:type="pct"/>
            <w:tcBorders>
              <w:top w:val="nil"/>
              <w:left w:val="nil"/>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其他服务业</w:t>
            </w:r>
          </w:p>
        </w:tc>
        <w:tc>
          <w:tcPr>
            <w:tcW w:w="1481"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118.47</w:t>
            </w:r>
          </w:p>
        </w:tc>
        <w:tc>
          <w:tcPr>
            <w:tcW w:w="1449"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61.14</w:t>
            </w:r>
          </w:p>
        </w:tc>
        <w:tc>
          <w:tcPr>
            <w:tcW w:w="1470" w:type="dxa"/>
            <w:tcBorders>
              <w:top w:val="nil"/>
              <w:left w:val="single" w:color="auto" w:sz="4" w:space="0"/>
              <w:bottom w:val="single" w:color="auto" w:sz="1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110.46</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方正仿宋_GBK" w:cs="Times New Roman"/>
          <w:i w:val="0"/>
          <w:caps w:val="0"/>
          <w:color w:val="0C0C0C"/>
          <w:spacing w:val="0"/>
          <w:sz w:val="32"/>
          <w:szCs w:val="32"/>
          <w:highlight w:val="none"/>
        </w:rPr>
      </w:pPr>
      <w:r>
        <w:rPr>
          <w:rFonts w:hint="default" w:ascii="Times New Roman" w:hAnsi="Times New Roman" w:eastAsia="黑体" w:cs="Times New Roman"/>
          <w:b w:val="0"/>
          <w:bCs/>
          <w:i w:val="0"/>
          <w:caps w:val="0"/>
          <w:color w:val="0C0C0C"/>
          <w:spacing w:val="0"/>
          <w:kern w:val="0"/>
          <w:sz w:val="32"/>
          <w:szCs w:val="32"/>
          <w:highlight w:val="none"/>
          <w:lang w:val="en-US" w:eastAsia="zh-CN" w:bidi="ar"/>
        </w:rPr>
        <w:t>四、教育</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楷体_GB2312" w:cs="Times New Roman"/>
          <w:i w:val="0"/>
          <w:caps w:val="0"/>
          <w:color w:val="0C0C0C"/>
          <w:spacing w:val="0"/>
          <w:kern w:val="0"/>
          <w:sz w:val="32"/>
          <w:szCs w:val="32"/>
          <w:highlight w:val="none"/>
          <w:lang w:val="en-US" w:eastAsia="zh-CN" w:bidi="ar"/>
        </w:rPr>
      </w:pPr>
      <w:r>
        <w:rPr>
          <w:rFonts w:hint="default" w:ascii="Times New Roman" w:hAnsi="Times New Roman" w:eastAsia="楷体_GB2312" w:cs="Times New Roman"/>
          <w:i w:val="0"/>
          <w:caps w:val="0"/>
          <w:color w:val="0C0C0C"/>
          <w:spacing w:val="0"/>
          <w:kern w:val="0"/>
          <w:sz w:val="32"/>
          <w:szCs w:val="32"/>
          <w:highlight w:val="none"/>
          <w:lang w:val="en-US" w:eastAsia="zh-CN" w:bidi="ar"/>
        </w:rPr>
        <w:t>（一）法人单位数和从业人员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2023年末，全市共有教育法人单位13970个，从业人员45.24万人，分别比2018年末增长6.7%和19.8%。其中，行政事业及非企业法人单位4172个，从业人员35.84万人，分别比2018年末增长15.3%和35.7%。</w:t>
      </w:r>
    </w:p>
    <w:p>
      <w:pPr>
        <w:keepNext w:val="0"/>
        <w:keepLines w:val="0"/>
        <w:pageBreakBefore w:val="0"/>
        <w:kinsoku/>
        <w:wordWrap/>
        <w:overflowPunct/>
        <w:topLinePunct w:val="0"/>
        <w:autoSpaceDE/>
        <w:autoSpaceDN/>
        <w:bidi w:val="0"/>
        <w:adjustRightInd w:val="0"/>
        <w:snapToGrid w:val="0"/>
        <w:spacing w:beforeAutospacing="0" w:afterAutospacing="0" w:line="600" w:lineRule="exact"/>
        <w:ind w:left="0" w:leftChars="0" w:right="0" w:firstLine="616" w:firstLineChars="200"/>
        <w:jc w:val="both"/>
        <w:textAlignment w:val="auto"/>
        <w:rPr>
          <w:rFonts w:hint="default" w:ascii="Times New Roman" w:hAnsi="Times New Roman" w:cs="Times New Roman"/>
          <w:color w:val="0C0C0C"/>
          <w:sz w:val="32"/>
          <w:szCs w:val="32"/>
          <w:lang w:val="en-US" w:eastAsia="zh-CN"/>
        </w:rPr>
      </w:pPr>
      <w:r>
        <w:rPr>
          <w:rFonts w:hint="default" w:ascii="Times New Roman" w:hAnsi="Times New Roman" w:eastAsia="楷体_GB2312" w:cs="Times New Roman"/>
          <w:color w:val="0C0C0C"/>
          <w:spacing w:val="-6"/>
          <w:kern w:val="2"/>
          <w:sz w:val="32"/>
          <w:szCs w:val="32"/>
          <w:u w:val="none"/>
          <w:lang w:val="en-US" w:eastAsia="zh-CN" w:bidi="ar-SA"/>
        </w:rPr>
        <w:t>（二）主要经济指标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2023年末，教育企业法人单位资产总计319.56亿元，比2018年末下降11.5%；负债合计291.97亿元，比2018年末增长11.1%。全年实现营业收入212.02亿元，比2018年增长9.0%。</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行政事业及非企业法人单位年末资产2879.97亿元，比2018年末增长36.4%。本年支出（费用）合计1629.71亿元，比2018年增长44.3%。</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方正仿宋_GBK" w:cs="Times New Roman"/>
          <w:i w:val="0"/>
          <w:caps w:val="0"/>
          <w:color w:val="0C0C0C"/>
          <w:spacing w:val="0"/>
          <w:sz w:val="32"/>
          <w:szCs w:val="32"/>
          <w:highlight w:val="none"/>
        </w:rPr>
      </w:pPr>
      <w:r>
        <w:rPr>
          <w:rFonts w:hint="default" w:ascii="Times New Roman" w:hAnsi="Times New Roman" w:eastAsia="黑体" w:cs="Times New Roman"/>
          <w:b w:val="0"/>
          <w:bCs/>
          <w:i w:val="0"/>
          <w:caps w:val="0"/>
          <w:color w:val="0C0C0C"/>
          <w:spacing w:val="0"/>
          <w:kern w:val="0"/>
          <w:sz w:val="32"/>
          <w:szCs w:val="32"/>
          <w:highlight w:val="none"/>
          <w:lang w:val="en-US" w:eastAsia="zh-CN" w:bidi="ar"/>
        </w:rPr>
        <w:t>五、卫生和社会工作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楷体_GB2312" w:cs="Times New Roman"/>
          <w:i w:val="0"/>
          <w:caps w:val="0"/>
          <w:color w:val="0C0C0C"/>
          <w:spacing w:val="0"/>
          <w:kern w:val="0"/>
          <w:sz w:val="32"/>
          <w:szCs w:val="32"/>
          <w:highlight w:val="none"/>
          <w:lang w:bidi="ar"/>
        </w:rPr>
      </w:pPr>
      <w:r>
        <w:rPr>
          <w:rFonts w:hint="default" w:ascii="Times New Roman" w:hAnsi="Times New Roman" w:eastAsia="楷体_GB2312" w:cs="Times New Roman"/>
          <w:i w:val="0"/>
          <w:caps w:val="0"/>
          <w:color w:val="0C0C0C"/>
          <w:spacing w:val="0"/>
          <w:kern w:val="0"/>
          <w:sz w:val="32"/>
          <w:szCs w:val="32"/>
          <w:highlight w:val="none"/>
          <w:lang w:val="en-US" w:eastAsia="zh-CN" w:bidi="ar"/>
        </w:rPr>
        <w:t>（一）法人单位数和从业人员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2023年末，全市共有卫生和社会工作法人单位5523个，从业人员29.83万人，分别比2018年末增长57.4%和39.0%。其中，行政事业及非企业法人单位880个，比2018年末下降16.4%；从业人员19.47万人，比2018年末增长16.8%。</w:t>
      </w:r>
    </w:p>
    <w:p>
      <w:pPr>
        <w:keepNext w:val="0"/>
        <w:keepLines w:val="0"/>
        <w:pageBreakBefore w:val="0"/>
        <w:kinsoku/>
        <w:wordWrap/>
        <w:overflowPunct/>
        <w:topLinePunct w:val="0"/>
        <w:autoSpaceDE/>
        <w:autoSpaceDN/>
        <w:bidi w:val="0"/>
        <w:adjustRightInd w:val="0"/>
        <w:snapToGrid w:val="0"/>
        <w:spacing w:beforeAutospacing="0" w:afterAutospacing="0" w:line="600" w:lineRule="exact"/>
        <w:ind w:left="0" w:leftChars="0" w:right="0" w:firstLine="616" w:firstLineChars="200"/>
        <w:jc w:val="both"/>
        <w:textAlignment w:val="auto"/>
        <w:rPr>
          <w:rFonts w:hint="default" w:ascii="Times New Roman" w:hAnsi="Times New Roman" w:cs="Times New Roman"/>
          <w:color w:val="0C0C0C"/>
          <w:sz w:val="32"/>
          <w:szCs w:val="32"/>
          <w:lang w:val="en-US" w:eastAsia="zh-CN"/>
        </w:rPr>
      </w:pPr>
      <w:r>
        <w:rPr>
          <w:rFonts w:hint="default" w:ascii="Times New Roman" w:hAnsi="Times New Roman" w:eastAsia="楷体_GB2312" w:cs="Times New Roman"/>
          <w:color w:val="0C0C0C"/>
          <w:spacing w:val="-6"/>
          <w:kern w:val="2"/>
          <w:sz w:val="32"/>
          <w:szCs w:val="32"/>
          <w:u w:val="none"/>
          <w:lang w:val="en-US" w:eastAsia="zh-CN" w:bidi="ar-SA"/>
        </w:rPr>
        <w:t>（二）主要经济指标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2023年末，卫生和社会工作企业法人单位资产总计492.78亿元，比2018年末增长144.5%；负债合计406.63亿元，比2018年末增长213.1%。全年实现营业收入366.47亿元，比2018年增长180.5%。</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行政事业及非企业法人单位年末资产1353.97亿元，比2018年末增长30.2%。本年支出（费用）合计1557.85亿元，比2018年增长41.1%。</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方正仿宋_GBK" w:cs="Times New Roman"/>
          <w:i w:val="0"/>
          <w:caps w:val="0"/>
          <w:color w:val="0C0C0C"/>
          <w:spacing w:val="0"/>
          <w:sz w:val="32"/>
          <w:szCs w:val="32"/>
          <w:highlight w:val="none"/>
        </w:rPr>
      </w:pPr>
      <w:r>
        <w:rPr>
          <w:rFonts w:hint="default" w:ascii="Times New Roman" w:hAnsi="Times New Roman" w:eastAsia="黑体" w:cs="Times New Roman"/>
          <w:b w:val="0"/>
          <w:bCs/>
          <w:i w:val="0"/>
          <w:caps w:val="0"/>
          <w:color w:val="0C0C0C"/>
          <w:spacing w:val="0"/>
          <w:kern w:val="0"/>
          <w:sz w:val="32"/>
          <w:szCs w:val="32"/>
          <w:highlight w:val="none"/>
          <w:lang w:val="en-US" w:eastAsia="zh-CN" w:bidi="ar"/>
        </w:rPr>
        <w:t>六、文化、体育和娱乐业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楷体_GB2312" w:cs="Times New Roman"/>
          <w:i w:val="0"/>
          <w:caps w:val="0"/>
          <w:color w:val="0C0C0C"/>
          <w:spacing w:val="0"/>
          <w:kern w:val="0"/>
          <w:sz w:val="32"/>
          <w:szCs w:val="32"/>
          <w:highlight w:val="none"/>
          <w:lang w:bidi="ar"/>
        </w:rPr>
      </w:pPr>
      <w:r>
        <w:rPr>
          <w:rFonts w:hint="default" w:ascii="Times New Roman" w:hAnsi="Times New Roman" w:eastAsia="楷体_GB2312" w:cs="Times New Roman"/>
          <w:i w:val="0"/>
          <w:caps w:val="0"/>
          <w:color w:val="0C0C0C"/>
          <w:spacing w:val="0"/>
          <w:kern w:val="0"/>
          <w:sz w:val="32"/>
          <w:szCs w:val="32"/>
          <w:highlight w:val="none"/>
          <w:lang w:val="en-US" w:eastAsia="zh-CN" w:bidi="ar"/>
        </w:rPr>
        <w:t>（一）法人单位数和从业人员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2023年末，全市共有文化、体育和娱乐业法人单位26706个，从业人员13.76万人，分别比2018年末增长40.2%和26.2%。其中，企业法人单位26245个，从业人员12.34万人，分别比2018年末增长41.7%和28.5%。</w:t>
      </w:r>
    </w:p>
    <w:p>
      <w:pPr>
        <w:keepNext w:val="0"/>
        <w:keepLines w:val="0"/>
        <w:pageBreakBefore w:val="0"/>
        <w:kinsoku/>
        <w:wordWrap/>
        <w:overflowPunct/>
        <w:topLinePunct w:val="0"/>
        <w:autoSpaceDE/>
        <w:autoSpaceDN/>
        <w:bidi w:val="0"/>
        <w:adjustRightInd w:val="0"/>
        <w:snapToGrid w:val="0"/>
        <w:spacing w:beforeAutospacing="0" w:afterAutospacing="0" w:line="600" w:lineRule="exact"/>
        <w:ind w:left="0" w:leftChars="0" w:right="0" w:firstLine="616" w:firstLineChars="200"/>
        <w:jc w:val="both"/>
        <w:textAlignment w:val="auto"/>
        <w:rPr>
          <w:rFonts w:hint="default" w:ascii="Times New Roman" w:hAnsi="Times New Roman" w:eastAsia="楷体_GB2312" w:cs="Times New Roman"/>
          <w:color w:val="0C0C0C"/>
          <w:sz w:val="32"/>
          <w:szCs w:val="32"/>
          <w:lang w:val="en-US" w:eastAsia="zh-CN"/>
        </w:rPr>
      </w:pPr>
      <w:r>
        <w:rPr>
          <w:rFonts w:hint="default" w:ascii="Times New Roman" w:hAnsi="Times New Roman" w:eastAsia="楷体_GB2312" w:cs="Times New Roman"/>
          <w:color w:val="0C0C0C"/>
          <w:spacing w:val="-6"/>
          <w:kern w:val="2"/>
          <w:sz w:val="32"/>
          <w:szCs w:val="32"/>
          <w:u w:val="none"/>
          <w:lang w:val="en-US" w:eastAsia="zh-CN" w:bidi="ar-SA"/>
        </w:rPr>
        <w:t>（二）主要经济指标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2023年末，文化、体育和娱乐业企业法人单位资产总计1449.28亿元，比2018年末增长64.4%；负债合计983.01亿元，比2018年末增长80.9%。全年实现营业收入615.73亿元，比2018年增长79.9%。</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行政事业及非企业法人单位年末资产327.79亿元，比2018年末增长25.3%。本年支出（费用）合计114.97亿元，比2018年增长17.5%。</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黑体" w:cs="Times New Roman"/>
          <w:b w:val="0"/>
          <w:bCs/>
          <w:i w:val="0"/>
          <w:caps w:val="0"/>
          <w:color w:val="0C0C0C"/>
          <w:spacing w:val="0"/>
          <w:sz w:val="32"/>
          <w:szCs w:val="32"/>
          <w:highlight w:val="none"/>
        </w:rPr>
      </w:pPr>
      <w:r>
        <w:rPr>
          <w:rFonts w:hint="default" w:ascii="Times New Roman" w:hAnsi="Times New Roman" w:eastAsia="黑体" w:cs="Times New Roman"/>
          <w:b w:val="0"/>
          <w:bCs/>
          <w:i w:val="0"/>
          <w:caps w:val="0"/>
          <w:color w:val="0C0C0C"/>
          <w:spacing w:val="0"/>
          <w:kern w:val="0"/>
          <w:sz w:val="32"/>
          <w:szCs w:val="32"/>
          <w:highlight w:val="none"/>
          <w:lang w:val="en-US" w:eastAsia="zh-CN" w:bidi="ar"/>
        </w:rPr>
        <w:t>七、公共管理、社会保障和社会组织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2023年末，全市共有公共管理、社会保障和社会组织法人单位10562个，比2018年末增长4.1%；从业人员32.24万人，比2018年末增长17.0%。行政事业及非企业法人单位本年支出（费用）合计3914.90亿元，比2018年增长40.4%。</w:t>
      </w:r>
    </w:p>
    <w:p>
      <w:pPr>
        <w:pStyle w:val="2"/>
        <w:keepNext w:val="0"/>
        <w:keepLines w:val="0"/>
        <w:pageBreakBefore w:val="0"/>
        <w:kinsoku/>
        <w:wordWrap/>
        <w:topLinePunct w:val="0"/>
        <w:bidi w:val="0"/>
        <w:adjustRightInd w:val="0"/>
        <w:snapToGrid w:val="0"/>
        <w:spacing w:beforeAutospacing="0" w:after="0" w:afterLines="0" w:afterAutospacing="0"/>
        <w:ind w:left="0" w:leftChars="0" w:right="0"/>
        <w:jc w:val="both"/>
        <w:rPr>
          <w:rFonts w:hint="default" w:ascii="Times New Roman" w:hAnsi="Times New Roman" w:eastAsia="黑体" w:cs="Times New Roman"/>
          <w:b w:val="0"/>
          <w:bCs/>
          <w:i w:val="0"/>
          <w:caps w:val="0"/>
          <w:color w:val="0C0C0C"/>
          <w:spacing w:val="0"/>
          <w:kern w:val="0"/>
          <w:sz w:val="28"/>
          <w:szCs w:val="28"/>
          <w:highlight w:val="none"/>
          <w:lang w:val="en-US" w:eastAsia="zh-CN" w:bidi="ar"/>
        </w:rPr>
      </w:pPr>
    </w:p>
    <w:p>
      <w:pPr>
        <w:keepNext w:val="0"/>
        <w:keepLines w:val="0"/>
        <w:pageBreakBefore w:val="0"/>
        <w:kinsoku/>
        <w:wordWrap/>
        <w:topLinePunct w:val="0"/>
        <w:bidi w:val="0"/>
        <w:adjustRightInd w:val="0"/>
        <w:snapToGrid w:val="0"/>
        <w:spacing w:beforeAutospacing="0" w:afterAutospacing="0"/>
        <w:ind w:left="0" w:leftChars="0" w:right="0"/>
        <w:jc w:val="both"/>
        <w:rPr>
          <w:rFonts w:hint="default" w:ascii="Times New Roman" w:hAnsi="Times New Roman" w:cs="Times New Roman"/>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580" w:lineRule="exact"/>
        <w:ind w:left="0" w:leftChars="0" w:right="0" w:firstLine="560" w:firstLineChars="200"/>
        <w:jc w:val="both"/>
        <w:textAlignment w:val="auto"/>
        <w:rPr>
          <w:rFonts w:hint="default" w:ascii="Times New Roman" w:hAnsi="Times New Roman" w:eastAsia="方正黑体_GBK" w:cs="Times New Roman"/>
          <w:i w:val="0"/>
          <w:caps w:val="0"/>
          <w:color w:val="0C0C0C"/>
          <w:spacing w:val="0"/>
          <w:sz w:val="28"/>
          <w:szCs w:val="28"/>
          <w:highlight w:val="none"/>
        </w:rPr>
      </w:pPr>
      <w:r>
        <w:rPr>
          <w:rFonts w:hint="default" w:ascii="Times New Roman" w:hAnsi="Times New Roman" w:eastAsia="方正黑体_GBK" w:cs="Times New Roman"/>
          <w:b w:val="0"/>
          <w:bCs/>
          <w:i w:val="0"/>
          <w:caps w:val="0"/>
          <w:color w:val="0C0C0C"/>
          <w:spacing w:val="0"/>
          <w:kern w:val="0"/>
          <w:sz w:val="28"/>
          <w:szCs w:val="28"/>
          <w:highlight w:val="none"/>
          <w:lang w:val="en-US" w:eastAsia="zh-CN" w:bidi="ar"/>
        </w:rPr>
        <w:t>注释：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580" w:lineRule="exact"/>
        <w:ind w:left="0" w:leftChars="0" w:right="0" w:firstLine="560" w:firstLineChars="200"/>
        <w:jc w:val="both"/>
        <w:textAlignment w:val="auto"/>
        <w:rPr>
          <w:rFonts w:hint="default" w:ascii="Times New Roman" w:hAnsi="Times New Roman" w:eastAsia="方正仿宋_GBK" w:cs="Times New Roman"/>
          <w:i w:val="0"/>
          <w:caps w:val="0"/>
          <w:color w:val="0C0C0C"/>
          <w:spacing w:val="0"/>
          <w:kern w:val="0"/>
          <w:sz w:val="28"/>
          <w:szCs w:val="28"/>
          <w:highlight w:val="none"/>
          <w:lang w:val="en-US" w:eastAsia="zh-CN" w:bidi="ar"/>
        </w:rPr>
      </w:pPr>
      <w:r>
        <w:rPr>
          <w:rFonts w:hint="default" w:ascii="Times New Roman" w:hAnsi="Times New Roman" w:eastAsia="方正仿宋_GBK" w:cs="Times New Roman"/>
          <w:i w:val="0"/>
          <w:caps w:val="0"/>
          <w:color w:val="0C0C0C"/>
          <w:spacing w:val="0"/>
          <w:kern w:val="0"/>
          <w:sz w:val="28"/>
          <w:szCs w:val="28"/>
          <w:highlight w:val="none"/>
          <w:lang w:val="en-US" w:eastAsia="zh-CN" w:bidi="ar"/>
        </w:rPr>
        <w:t>[1]本公报中的行政事业及非企业法人单位，不包括执行企业会计制度的事业法人单位、民办非企业法人单位和基金会，农民专业合作社，农村集体经济组织和除宗教活动场所以外的机构类型为其他组织机构的法人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580" w:lineRule="exact"/>
        <w:ind w:left="0" w:leftChars="0" w:right="0" w:firstLine="560" w:firstLineChars="200"/>
        <w:jc w:val="both"/>
        <w:textAlignment w:val="auto"/>
        <w:rPr>
          <w:rFonts w:hint="default" w:ascii="Times New Roman" w:hAnsi="Times New Roman" w:eastAsia="方正仿宋_GBK" w:cs="Times New Roman"/>
          <w:i w:val="0"/>
          <w:caps w:val="0"/>
          <w:color w:val="0C0C0C"/>
          <w:spacing w:val="0"/>
          <w:kern w:val="0"/>
          <w:sz w:val="28"/>
          <w:szCs w:val="28"/>
          <w:highlight w:val="none"/>
          <w:lang w:val="en-US" w:eastAsia="zh-CN" w:bidi="ar"/>
        </w:rPr>
      </w:pPr>
      <w:r>
        <w:rPr>
          <w:rFonts w:hint="default" w:ascii="Times New Roman" w:hAnsi="Times New Roman" w:eastAsia="方正仿宋_GBK" w:cs="Times New Roman"/>
          <w:i w:val="0"/>
          <w:caps w:val="0"/>
          <w:color w:val="0C0C0C"/>
          <w:spacing w:val="0"/>
          <w:kern w:val="0"/>
          <w:sz w:val="28"/>
          <w:szCs w:val="28"/>
          <w:highlight w:val="none"/>
          <w:lang w:val="en-US" w:eastAsia="zh-CN" w:bidi="ar"/>
        </w:rPr>
        <w:t>[2]登记注册统计类别：根据国家统计局、国家市场监督管理总局《关于市场主体统计分类的划分规定》（国统字〔2023〕14号）确定，包括内资企业、港澳台投资企业和外商投资企业，以及农民专业合作社（联合社）等其他统计类别。</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580" w:lineRule="exact"/>
        <w:ind w:left="0" w:leftChars="0" w:right="0" w:firstLine="560" w:firstLineChars="200"/>
        <w:jc w:val="both"/>
        <w:textAlignment w:val="auto"/>
        <w:rPr>
          <w:rFonts w:hint="default" w:ascii="Times New Roman" w:hAnsi="Times New Roman" w:eastAsia="方正仿宋_GBK" w:cs="Times New Roman"/>
          <w:i w:val="0"/>
          <w:caps w:val="0"/>
          <w:color w:val="0C0C0C"/>
          <w:spacing w:val="0"/>
          <w:kern w:val="0"/>
          <w:sz w:val="28"/>
          <w:szCs w:val="28"/>
          <w:highlight w:val="none"/>
          <w:lang w:val="en-US" w:eastAsia="zh-CN" w:bidi="ar"/>
        </w:rPr>
      </w:pPr>
      <w:r>
        <w:rPr>
          <w:rFonts w:hint="default" w:ascii="Times New Roman" w:hAnsi="Times New Roman" w:eastAsia="方正仿宋_GBK" w:cs="Times New Roman"/>
          <w:i w:val="0"/>
          <w:caps w:val="0"/>
          <w:color w:val="0C0C0C"/>
          <w:spacing w:val="0"/>
          <w:kern w:val="0"/>
          <w:sz w:val="28"/>
          <w:szCs w:val="28"/>
          <w:highlight w:val="none"/>
          <w:lang w:val="en-US" w:eastAsia="zh-CN" w:bidi="ar"/>
        </w:rPr>
        <w:t>[3]表中的合计数和部分计算数据因小数取舍而产生的误差，均未作机械调整。</w:t>
      </w:r>
    </w:p>
    <w:p>
      <w:pPr>
        <w:pStyle w:val="2"/>
        <w:keepNext w:val="0"/>
        <w:keepLines w:val="0"/>
        <w:pageBreakBefore w:val="0"/>
        <w:kinsoku/>
        <w:wordWrap/>
        <w:overflowPunct/>
        <w:topLinePunct w:val="0"/>
        <w:autoSpaceDE/>
        <w:autoSpaceDN/>
        <w:bidi w:val="0"/>
        <w:adjustRightInd w:val="0"/>
        <w:snapToGrid w:val="0"/>
        <w:spacing w:beforeAutospacing="0" w:after="0" w:afterLines="0" w:afterAutospacing="0" w:line="580" w:lineRule="exact"/>
        <w:ind w:left="0" w:leftChars="0" w:right="0" w:firstLine="560" w:firstLineChars="200"/>
        <w:rPr>
          <w:rFonts w:hint="default" w:ascii="Times New Roman" w:hAnsi="Times New Roman" w:cs="Times New Roman"/>
        </w:rPr>
      </w:pPr>
      <w:r>
        <w:rPr>
          <w:rFonts w:hint="default" w:ascii="Times New Roman" w:hAnsi="Times New Roman" w:eastAsia="方正仿宋_GBK" w:cs="Times New Roman"/>
          <w:i w:val="0"/>
          <w:caps w:val="0"/>
          <w:color w:val="0C0C0C"/>
          <w:spacing w:val="0"/>
          <w:kern w:val="0"/>
          <w:sz w:val="28"/>
          <w:szCs w:val="28"/>
          <w:highlight w:val="none"/>
          <w:lang w:val="en-US" w:eastAsia="zh-CN" w:bidi="ar"/>
        </w:rPr>
        <w:t>[</w:t>
      </w:r>
      <w:r>
        <w:rPr>
          <w:rFonts w:hint="default" w:ascii="Times New Roman" w:hAnsi="Times New Roman" w:cs="Times New Roman"/>
          <w:i w:val="0"/>
          <w:caps w:val="0"/>
          <w:color w:val="0C0C0C"/>
          <w:spacing w:val="0"/>
          <w:kern w:val="0"/>
          <w:sz w:val="28"/>
          <w:szCs w:val="28"/>
          <w:highlight w:val="none"/>
          <w:lang w:val="en" w:eastAsia="zh-CN" w:bidi="ar"/>
        </w:rPr>
        <w:t>4</w:t>
      </w:r>
      <w:r>
        <w:rPr>
          <w:rFonts w:hint="default" w:ascii="Times New Roman" w:hAnsi="Times New Roman" w:eastAsia="方正仿宋_GBK" w:cs="Times New Roman"/>
          <w:i w:val="0"/>
          <w:caps w:val="0"/>
          <w:color w:val="0C0C0C"/>
          <w:spacing w:val="0"/>
          <w:kern w:val="0"/>
          <w:sz w:val="28"/>
          <w:szCs w:val="28"/>
          <w:highlight w:val="none"/>
          <w:lang w:val="en-US" w:eastAsia="zh-CN" w:bidi="ar"/>
        </w:rPr>
        <w:t>]“…”表示数据不足该表最小单位。</w:t>
      </w:r>
    </w:p>
    <w:sectPr>
      <w:footerReference r:id="rId4" w:type="default"/>
      <w:pgSz w:w="11900" w:h="16838"/>
      <w:pgMar w:top="1417" w:right="1701" w:bottom="1417" w:left="1701" w:header="851" w:footer="1559" w:gutter="0"/>
      <w:pgBorders>
        <w:top w:val="none" w:sz="0" w:space="0"/>
        <w:left w:val="none" w:sz="0" w:space="0"/>
        <w:bottom w:val="none" w:sz="0" w:space="0"/>
        <w:right w:val="none" w:sz="0" w:space="0"/>
      </w:pgBorders>
      <w:pgNumType w:fmt="decimal"/>
      <w:cols w:space="720" w:num="1"/>
      <w:rtlGutter w:val="0"/>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pageBreakBefore w:val="0"/>
      <w:widowControl w:val="0"/>
      <w:kinsoku/>
      <w:wordWrap/>
      <w:overflowPunct/>
      <w:topLinePunct w:val="0"/>
      <w:autoSpaceDE/>
      <w:autoSpaceDN/>
      <w:bidi w:val="0"/>
      <w:adjustRightInd/>
      <w:snapToGrid w:val="0"/>
      <w:jc w:val="both"/>
      <w:textAlignment w:val="auto"/>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977900" cy="258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977900" cy="258445"/>
                      </a:xfrm>
                      <a:prstGeom prst="rect">
                        <a:avLst/>
                      </a:prstGeom>
                      <a:noFill/>
                      <a:ln w="6350">
                        <a:noFill/>
                      </a:ln>
                      <a:effectLst/>
                    </wps:spPr>
                    <wps:txbx>
                      <w:txbxContent>
                        <w:p>
                          <w:pPr>
                            <w:pStyle w:val="8"/>
                            <w:ind w:left="-196" w:leftChars="-95" w:right="269" w:rightChars="128" w:hanging="3" w:firstLineChars="0"/>
                            <w:jc w:val="center"/>
                            <w:rPr>
                              <w:rFonts w:hint="default" w:ascii="Times New Roman" w:hAnsi="Times New Roman" w:cs="Times New Roman"/>
                              <w:sz w:val="28"/>
                              <w:szCs w:val="28"/>
                            </w:rPr>
                          </w:pP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0.35pt;width:77pt;mso-position-horizontal:outside;mso-position-horizontal-relative:margin;z-index:251659264;mso-width-relative:page;mso-height-relative:page;" filled="f" stroked="f" coordsize="21600,21600" o:gfxdata="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zALWMNMAAAAEAQAADwAA&#10;AAAAAAABACAAAAA4AAAAZHJzL2Rvd25yZXYueG1sUEsBAhQAFAAAAAgAh07iQCFlKuE+AgAAbwQA&#10;AA4AAAAAAAAAAQAgAAAAOAEAAGRycy9lMm9Eb2MueG1sUEsFBgAAAAAGAAYAWQEAAOgFAAAAAA==&#10;">
              <v:fill on="f" focussize="0,0"/>
              <v:stroke on="f" weight="0.5pt"/>
              <v:imagedata o:title=""/>
              <o:lock v:ext="edit" aspectratio="f"/>
              <v:textbox inset="0mm,0mm,0mm,0mm">
                <w:txbxContent>
                  <w:p>
                    <w:pPr>
                      <w:pStyle w:val="8"/>
                      <w:ind w:left="-196" w:leftChars="-95" w:right="269" w:rightChars="128" w:hanging="3" w:firstLineChars="0"/>
                      <w:jc w:val="center"/>
                      <w:rPr>
                        <w:rFonts w:hint="default" w:ascii="Times New Roman" w:hAnsi="Times New Roman" w:cs="Times New Roman"/>
                        <w:sz w:val="28"/>
                        <w:szCs w:val="28"/>
                      </w:rPr>
                    </w:pP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9"/>
        <w:snapToGrid w:val="0"/>
        <w:spacing w:line="240" w:lineRule="auto"/>
        <w:ind w:firstLine="0" w:firstLineChars="0"/>
        <w:jc w:val="both"/>
        <w:textAlignment w:val="auto"/>
        <w:rPr>
          <w:rStyle w:val="13"/>
          <w:rFonts w:hint="eastAsia" w:eastAsia="宋体" w:cs="Times New Roman"/>
          <w:szCs w:val="18"/>
          <w:vertAlign w:val="superscript"/>
          <w:lang w:val="en-US" w:eastAsia="zh-CN"/>
        </w:rPr>
      </w:pPr>
      <w:r>
        <w:rPr>
          <w:rStyle w:val="13"/>
          <w:rFonts w:hint="eastAsia" w:ascii="Calibri" w:hAnsi="Calibri" w:eastAsia="宋体" w:cs="Times New Roman"/>
          <w:vertAlign w:val="superscript"/>
          <w:lang w:val="en-US" w:eastAsia="zh-CN"/>
        </w:rPr>
        <w:footnoteRef/>
      </w:r>
      <w:r>
        <w:rPr>
          <w:rStyle w:val="13"/>
          <w:rFonts w:hint="eastAsia" w:ascii="Calibri" w:hAnsi="Calibri" w:eastAsia="宋体" w:cs="Times New Roman"/>
          <w:vertAlign w:val="superscript"/>
          <w:lang w:val="en-US" w:eastAsia="zh-CN"/>
        </w:rPr>
        <w:t xml:space="preserve"> </w:t>
      </w:r>
      <w:r>
        <w:rPr>
          <w:rStyle w:val="13"/>
          <w:rFonts w:hint="eastAsia" w:eastAsia="宋体" w:cs="Times New Roman"/>
          <w:szCs w:val="18"/>
          <w:vertAlign w:val="baseline"/>
          <w:lang w:val="en-US" w:eastAsia="zh-CN"/>
        </w:rPr>
        <w:t>本公报中的企业法人单位，包括机构类型为企业的法人单位，以及执行企业会计制度的事业法人单位、民办非企业法人单位和基金会，农民专业合作社，农村集体经济组织和除宗教活动场所以外的机构类型为其他组织机构的法人单位。</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19"/>
  <w:hyphenationZone w:val="360"/>
  <w:drawingGridVerticalSpacing w:val="156"/>
  <w:displayHorizontalDrawingGridEvery w:val="0"/>
  <w:displayVerticalDrawingGridEvery w:val="2"/>
  <w:characterSpacingControl w:val="compressPunctuation"/>
  <w:footnotePr>
    <w:footnote w:id="2"/>
    <w:footnote w:id="3"/>
  </w:foot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F9D40D"/>
    <w:rsid w:val="1D6B71C1"/>
    <w:rsid w:val="2D6A55EE"/>
    <w:rsid w:val="30BA2420"/>
    <w:rsid w:val="36B79BE5"/>
    <w:rsid w:val="39ED4E45"/>
    <w:rsid w:val="3DC3C607"/>
    <w:rsid w:val="3E7AE3C7"/>
    <w:rsid w:val="3F93E3F8"/>
    <w:rsid w:val="3FAAD79C"/>
    <w:rsid w:val="3FFCCFB1"/>
    <w:rsid w:val="3FFF3F58"/>
    <w:rsid w:val="4BB1F251"/>
    <w:rsid w:val="57DFA200"/>
    <w:rsid w:val="57E55BB7"/>
    <w:rsid w:val="5F7796A6"/>
    <w:rsid w:val="63EE556B"/>
    <w:rsid w:val="67D1E9D2"/>
    <w:rsid w:val="6DE7F4B5"/>
    <w:rsid w:val="6F3A077D"/>
    <w:rsid w:val="71B565AB"/>
    <w:rsid w:val="726D2495"/>
    <w:rsid w:val="73FDC3E8"/>
    <w:rsid w:val="73FED387"/>
    <w:rsid w:val="76BF06E2"/>
    <w:rsid w:val="77393E86"/>
    <w:rsid w:val="7778C019"/>
    <w:rsid w:val="777F5289"/>
    <w:rsid w:val="77BB0B86"/>
    <w:rsid w:val="7ABF2951"/>
    <w:rsid w:val="7BF9D40D"/>
    <w:rsid w:val="7BFA7907"/>
    <w:rsid w:val="7D1F50A2"/>
    <w:rsid w:val="7FEE5905"/>
    <w:rsid w:val="7FFA0497"/>
    <w:rsid w:val="7FFF2BB3"/>
    <w:rsid w:val="8BDE4BC9"/>
    <w:rsid w:val="ADDF4584"/>
    <w:rsid w:val="D9CF1255"/>
    <w:rsid w:val="DF6F7293"/>
    <w:rsid w:val="DFAF3606"/>
    <w:rsid w:val="DFDF7625"/>
    <w:rsid w:val="DFEFF9F4"/>
    <w:rsid w:val="EAFBF2D4"/>
    <w:rsid w:val="EFB7D67D"/>
    <w:rsid w:val="EFB90BA6"/>
    <w:rsid w:val="F45DBA3C"/>
    <w:rsid w:val="FAB339FF"/>
    <w:rsid w:val="FEFE7649"/>
    <w:rsid w:val="FFB7BFC3"/>
    <w:rsid w:val="FFBEB447"/>
    <w:rsid w:val="FFC7E551"/>
    <w:rsid w:val="FFE60ABA"/>
    <w:rsid w:val="FFF45FA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qFormat="1" w:uiPriority="99"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val="0"/>
      <w:adjustRightInd w:val="0"/>
      <w:spacing w:after="120" w:afterLines="0" w:line="360" w:lineRule="atLeast"/>
      <w:ind w:left="200" w:leftChars="200" w:firstLine="200" w:firstLineChars="200"/>
      <w:jc w:val="both"/>
      <w:textAlignment w:val="baseline"/>
    </w:pPr>
    <w:rPr>
      <w:rFonts w:ascii="Calibri" w:hAnsi="Calibri" w:eastAsia="宋体" w:cs="Times New Roman"/>
      <w:kern w:val="2"/>
      <w:sz w:val="21"/>
      <w:szCs w:val="24"/>
      <w:lang w:val="en-US" w:eastAsia="zh-CN" w:bidi="ar-SA"/>
    </w:rPr>
  </w:style>
  <w:style w:type="paragraph" w:styleId="3">
    <w:name w:val="Body Text Indent"/>
    <w:basedOn w:val="1"/>
    <w:next w:val="1"/>
    <w:qFormat/>
    <w:uiPriority w:val="99"/>
    <w:pPr>
      <w:widowControl w:val="0"/>
      <w:adjustRightInd w:val="0"/>
      <w:spacing w:line="360" w:lineRule="atLeast"/>
      <w:ind w:firstLine="600"/>
      <w:jc w:val="both"/>
      <w:textAlignment w:val="baseline"/>
    </w:pPr>
    <w:rPr>
      <w:rFonts w:ascii="Calibri" w:hAnsi="Calibri" w:eastAsia="宋体" w:cs="Times New Roman"/>
      <w:kern w:val="0"/>
      <w:sz w:val="30"/>
      <w:szCs w:val="20"/>
      <w:lang w:val="en-US" w:eastAsia="zh-CN" w:bidi="ar-SA"/>
    </w:rPr>
  </w:style>
  <w:style w:type="paragraph" w:styleId="4">
    <w:name w:val="Normal Indent"/>
    <w:basedOn w:val="1"/>
    <w:next w:val="1"/>
    <w:unhideWhenUsed/>
    <w:qFormat/>
    <w:uiPriority w:val="99"/>
    <w:pPr>
      <w:widowControl w:val="0"/>
      <w:ind w:firstLine="420" w:firstLineChars="200"/>
      <w:jc w:val="both"/>
    </w:pPr>
    <w:rPr>
      <w:rFonts w:ascii="Calibri" w:hAnsi="Calibri" w:eastAsia="宋体" w:cs="Times New Roman"/>
      <w:kern w:val="2"/>
      <w:sz w:val="21"/>
      <w:szCs w:val="24"/>
      <w:lang w:val="en-US" w:eastAsia="zh-CN" w:bidi="ar-SA"/>
    </w:rPr>
  </w:style>
  <w:style w:type="paragraph" w:styleId="5">
    <w:name w:val="Body Text"/>
    <w:basedOn w:val="1"/>
    <w:next w:val="6"/>
    <w:qFormat/>
    <w:uiPriority w:val="0"/>
    <w:pPr>
      <w:widowControl w:val="0"/>
      <w:spacing w:after="120" w:afterLines="0" w:afterAutospacing="0"/>
      <w:jc w:val="both"/>
    </w:pPr>
    <w:rPr>
      <w:rFonts w:ascii="Calibri" w:hAnsi="Calibri" w:eastAsia="宋体" w:cs="Times New Roman"/>
      <w:kern w:val="2"/>
      <w:sz w:val="21"/>
      <w:szCs w:val="24"/>
      <w:lang w:val="en-US" w:eastAsia="zh-CN" w:bidi="ar-SA"/>
    </w:rPr>
  </w:style>
  <w:style w:type="paragraph" w:styleId="6">
    <w:name w:val="Title"/>
    <w:basedOn w:val="1"/>
    <w:next w:val="1"/>
    <w:qFormat/>
    <w:uiPriority w:val="0"/>
    <w:pPr>
      <w:widowControl w:val="0"/>
      <w:jc w:val="center"/>
      <w:outlineLvl w:val="0"/>
    </w:pPr>
    <w:rPr>
      <w:rFonts w:ascii="方正小标宋_GBK" w:hAnsi="方正小标宋_GBK" w:eastAsia="方正小标宋_GBK" w:cs="方正小标宋_GBK"/>
      <w:kern w:val="2"/>
      <w:sz w:val="44"/>
      <w:szCs w:val="44"/>
      <w:lang w:val="en-US" w:eastAsia="zh-CN" w:bidi="ar-SA"/>
    </w:rPr>
  </w:style>
  <w:style w:type="paragraph" w:styleId="7">
    <w:name w:val="Date"/>
    <w:next w:val="1"/>
    <w:qFormat/>
    <w:uiPriority w:val="0"/>
    <w:pPr>
      <w:widowControl w:val="0"/>
      <w:autoSpaceDE w:val="0"/>
      <w:autoSpaceDN w:val="0"/>
      <w:adjustRightInd w:val="0"/>
      <w:spacing w:line="588" w:lineRule="exact"/>
      <w:ind w:firstLine="200" w:firstLineChars="200"/>
      <w:jc w:val="both"/>
      <w:textAlignment w:val="baseline"/>
    </w:pPr>
    <w:rPr>
      <w:rFonts w:ascii="宋体" w:hAnsi="Times New Roman" w:eastAsia="方正仿宋_GBK" w:cs="宋体"/>
      <w:kern w:val="0"/>
      <w:sz w:val="18"/>
      <w:szCs w:val="18"/>
      <w:lang w:val="en-US" w:eastAsia="zh-CN" w:bidi="ar-SA"/>
    </w:rPr>
  </w:style>
  <w:style w:type="paragraph" w:styleId="8">
    <w:name w:val="footer"/>
    <w:basedOn w:val="1"/>
    <w:next w:val="1"/>
    <w:qFormat/>
    <w:uiPriority w:val="0"/>
    <w:pPr>
      <w:widowControl w:val="0"/>
      <w:tabs>
        <w:tab w:val="center" w:pos="4153"/>
        <w:tab w:val="right" w:pos="8306"/>
      </w:tabs>
      <w:snapToGrid w:val="0"/>
      <w:jc w:val="left"/>
    </w:pPr>
    <w:rPr>
      <w:rFonts w:ascii="Calibri" w:hAnsi="Calibri" w:eastAsia="宋体" w:cs="Times New Roman"/>
      <w:kern w:val="2"/>
      <w:sz w:val="18"/>
      <w:szCs w:val="24"/>
      <w:lang w:val="en-US" w:eastAsia="zh-CN" w:bidi="ar-SA"/>
    </w:rPr>
  </w:style>
  <w:style w:type="paragraph" w:styleId="9">
    <w:name w:val="footnote text"/>
    <w:basedOn w:val="1"/>
    <w:unhideWhenUsed/>
    <w:qFormat/>
    <w:uiPriority w:val="99"/>
    <w:pPr>
      <w:widowControl w:val="0"/>
      <w:snapToGrid w:val="0"/>
      <w:jc w:val="left"/>
    </w:pPr>
    <w:rPr>
      <w:rFonts w:ascii="Calibri" w:hAnsi="Calibri" w:eastAsia="宋体" w:cs="Times New Roman"/>
      <w:kern w:val="2"/>
      <w:sz w:val="18"/>
      <w:szCs w:val="24"/>
      <w:lang w:val="en-US" w:eastAsia="zh-CN" w:bidi="ar-SA"/>
    </w:rPr>
  </w:style>
  <w:style w:type="paragraph" w:styleId="10">
    <w:name w:val="Body Text First Indent"/>
    <w:basedOn w:val="5"/>
    <w:next w:val="2"/>
    <w:qFormat/>
    <w:uiPriority w:val="0"/>
    <w:pPr>
      <w:widowControl/>
      <w:spacing w:before="100" w:beforeLines="0" w:beforeAutospacing="1" w:after="100" w:afterLines="0" w:afterAutospacing="1"/>
      <w:jc w:val="left"/>
    </w:pPr>
    <w:rPr>
      <w:rFonts w:ascii="宋体" w:hAnsi="宋体" w:eastAsia="宋体" w:cs="宋体"/>
      <w:kern w:val="0"/>
      <w:sz w:val="24"/>
      <w:szCs w:val="24"/>
      <w:lang w:val="en-US" w:eastAsia="zh-CN" w:bidi="ar-SA"/>
    </w:rPr>
  </w:style>
  <w:style w:type="character" w:styleId="13">
    <w:name w:val="footnote reference"/>
    <w:unhideWhenUsed/>
    <w:qFormat/>
    <w:uiPriority w:val="99"/>
    <w:rPr>
      <w:vertAlign w:val="superscript"/>
    </w:rPr>
  </w:style>
  <w:style w:type="paragraph" w:customStyle="1" w:styleId="14">
    <w:name w:val="Body Text First Indent 2"/>
    <w:qFormat/>
    <w:uiPriority w:val="0"/>
    <w:pPr>
      <w:widowControl w:val="0"/>
      <w:spacing w:line="360" w:lineRule="auto"/>
      <w:ind w:firstLine="420" w:firstLineChars="200"/>
      <w:jc w:val="both"/>
      <w:textAlignment w:val="baseline"/>
    </w:pPr>
    <w:rPr>
      <w:rFonts w:ascii="Times New Roman" w:hAnsi="Times New Roman" w:eastAsia="宋体" w:cs="Times New Roman"/>
      <w:kern w:val="2"/>
      <w:sz w:val="24"/>
      <w:szCs w:val="24"/>
      <w:lang w:val="en-US" w:eastAsia="zh-CN" w:bidi="ar-SA"/>
    </w:rPr>
  </w:style>
  <w:style w:type="paragraph" w:customStyle="1" w:styleId="15">
    <w:name w:val="Body Text Indent"/>
    <w:qFormat/>
    <w:uiPriority w:val="0"/>
    <w:pPr>
      <w:widowControl w:val="0"/>
      <w:spacing w:line="150" w:lineRule="atLeast"/>
      <w:ind w:firstLine="420" w:firstLineChars="200"/>
      <w:jc w:val="both"/>
      <w:textAlignment w:val="baseline"/>
    </w:pPr>
    <w:rPr>
      <w:rFonts w:ascii="Times New Roman" w:hAnsi="Times New Roman" w:eastAsia="宋体" w:cs="Times New Roman"/>
      <w:kern w:val="2"/>
      <w:sz w:val="21"/>
      <w:szCs w:val="24"/>
      <w:lang w:val="en-US" w:eastAsia="zh-CN" w:bidi="ar-SA"/>
    </w:rPr>
  </w:style>
  <w:style w:type="paragraph" w:customStyle="1" w:styleId="16">
    <w:name w:val="Body Text First Indent 21"/>
    <w:qFormat/>
    <w:uiPriority w:val="0"/>
    <w:pPr>
      <w:widowControl w:val="0"/>
      <w:spacing w:line="360" w:lineRule="auto"/>
      <w:ind w:firstLine="420" w:firstLineChars="200"/>
      <w:jc w:val="both"/>
      <w:textAlignment w:val="baseline"/>
    </w:pPr>
    <w:rPr>
      <w:rFonts w:ascii="Times New Roman" w:hAnsi="Times New Roman" w:eastAsia="宋体" w:cs="Times New Roman"/>
      <w:kern w:val="2"/>
      <w:sz w:val="24"/>
      <w:szCs w:val="24"/>
      <w:lang w:val="en-US" w:eastAsia="zh-CN" w:bidi="ar-SA"/>
    </w:rPr>
  </w:style>
  <w:style w:type="character" w:customStyle="1" w:styleId="17">
    <w:name w:val="font41"/>
    <w:basedOn w:val="12"/>
    <w:qFormat/>
    <w:uiPriority w:val="0"/>
    <w:rPr>
      <w:rFonts w:hint="default" w:ascii="Times New Roman" w:hAnsi="Times New Roman" w:cs="Times New Roman"/>
      <w:b/>
      <w:bCs/>
      <w:color w:val="000000"/>
      <w:sz w:val="24"/>
      <w:szCs w:val="24"/>
      <w:u w:val="none"/>
    </w:rPr>
  </w:style>
  <w:style w:type="character" w:customStyle="1" w:styleId="18">
    <w:name w:val="font21"/>
    <w:basedOn w:val="12"/>
    <w:qFormat/>
    <w:uiPriority w:val="0"/>
    <w:rPr>
      <w:rFonts w:hint="eastAsia" w:ascii="宋体" w:hAnsi="宋体" w:eastAsia="宋体" w:cs="宋体"/>
      <w:b/>
      <w:bCs/>
      <w:color w:val="0C0C0C"/>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54</Pages>
  <Words>20870</Words>
  <Characters>28135</Characters>
  <Lines>0</Lines>
  <Paragraphs>0</Paragraphs>
  <TotalTime>160</TotalTime>
  <ScaleCrop>false</ScaleCrop>
  <LinksUpToDate>false</LinksUpToDate>
  <CharactersWithSpaces>28820</CharactersWithSpaces>
  <Application>WPS Office_11.8.2.12024_F1E327BC-269C-435d-A152-05C5408002CA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2025-05-25T17:52:00Z</dcterms:created>
  <dc:creator>huawei</dc:creator>
  <cp:lastModifiedBy>潘紫荆</cp:lastModifiedBy>
  <cp:lastPrinted>2025-05-24T08:11:00Z</cp:lastPrinted>
  <dcterms:modified xsi:type="dcterms:W3CDTF">2025-05-29T15:39:47Z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2052-11.8.2.12024</vt:lpwstr>
  </property>
  <property fmtid="{D5CDD505-2E9C-101B-9397-08002B2CF9AE}" pid="3" name="ICV">
    <vt:lpwstr>EB0CAF23EAEAB7CFA028306897D501B8</vt:lpwstr>
  </property>
</Properties>
</file>