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0" w:firstLine="0" w:firstLineChars="0"/>
        <w:jc w:val="center"/>
        <w:textAlignment w:val="auto"/>
        <w:rPr>
          <w:rFonts w:hint="default" w:ascii="Times New Roman" w:hAnsi="Times New Roman" w:eastAsia="方正小标宋_GBK" w:cs="Times New Roman"/>
          <w:bCs/>
          <w:color w:val="0C0C0C"/>
          <w:kern w:val="0"/>
          <w:sz w:val="44"/>
          <w:szCs w:val="44"/>
          <w:shd w:val="clear" w:color="auto" w:fill="FFFFFF"/>
          <w:lang w:val="en-US" w:eastAsia="zh-CN" w:bidi="ar"/>
        </w:rPr>
      </w:pPr>
      <w:bookmarkStart w:id="0" w:name="_GoBack"/>
      <w:r>
        <w:rPr>
          <w:rFonts w:hint="default" w:ascii="Times New Roman" w:hAnsi="Times New Roman" w:eastAsia="方正小标宋_GBK" w:cs="Times New Roman"/>
          <w:bCs/>
          <w:color w:val="0C0C0C"/>
          <w:kern w:val="0"/>
          <w:sz w:val="44"/>
          <w:szCs w:val="44"/>
          <w:shd w:val="clear" w:color="auto" w:fill="FFFFFF"/>
          <w:lang w:val="en-US" w:eastAsia="zh-CN" w:bidi="ar"/>
        </w:rPr>
        <w:t>广州市第五次全国经济普查公报（第六号）</w:t>
      </w:r>
    </w:p>
    <w:bookmarkEnd w:id="0"/>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0" w:firstLine="0" w:firstLineChars="0"/>
        <w:jc w:val="center"/>
        <w:textAlignment w:val="auto"/>
        <w:rPr>
          <w:rFonts w:hint="default" w:ascii="Times New Roman" w:hAnsi="Times New Roman" w:eastAsia="方正小标宋_GBK" w:cs="Times New Roman"/>
          <w:bCs/>
          <w:color w:val="0C0C0C"/>
          <w:kern w:val="0"/>
          <w:sz w:val="44"/>
          <w:szCs w:val="44"/>
          <w:shd w:val="clear" w:color="auto" w:fill="FFFFFF"/>
          <w:lang w:val="en-US" w:eastAsia="zh-CN" w:bidi="ar"/>
        </w:rPr>
      </w:pPr>
      <w:r>
        <w:rPr>
          <w:rFonts w:hint="default" w:ascii="Times New Roman" w:hAnsi="Times New Roman" w:eastAsia="方正小标宋_GBK" w:cs="Times New Roman"/>
          <w:bCs/>
          <w:color w:val="0C0C0C"/>
          <w:kern w:val="0"/>
          <w:sz w:val="44"/>
          <w:szCs w:val="44"/>
          <w:shd w:val="clear" w:color="auto" w:fill="FFFFFF"/>
          <w:lang w:val="en-US" w:eastAsia="zh-CN" w:bidi="ar"/>
        </w:rPr>
        <w:t>——部分新兴产业发展情况</w:t>
      </w:r>
    </w:p>
    <w:p>
      <w:pPr>
        <w:pStyle w:val="2"/>
        <w:keepNext w:val="0"/>
        <w:keepLines w:val="0"/>
        <w:pageBreakBefore w:val="0"/>
        <w:kinsoku/>
        <w:wordWrap/>
        <w:topLinePunct w:val="0"/>
        <w:bidi w:val="0"/>
        <w:adjustRightInd w:val="0"/>
        <w:snapToGrid w:val="0"/>
        <w:spacing w:beforeAutospacing="0" w:after="0" w:afterLines="0" w:afterAutospacing="0"/>
        <w:ind w:left="0" w:leftChars="0" w:right="0"/>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left="0" w:leftChars="0" w:right="0" w:firstLine="0" w:firstLineChars="0"/>
        <w:jc w:val="center"/>
        <w:textAlignment w:val="auto"/>
        <w:rPr>
          <w:rFonts w:hint="default" w:ascii="Times New Roman" w:hAnsi="Times New Roman" w:eastAsia="方正楷体_GBK" w:cs="Times New Roman"/>
          <w:color w:val="0C0C0C"/>
          <w:kern w:val="2"/>
          <w:sz w:val="32"/>
          <w:szCs w:val="32"/>
          <w:lang w:val="en-US" w:eastAsia="zh-CN" w:bidi="ar-SA"/>
        </w:rPr>
      </w:pPr>
      <w:r>
        <w:rPr>
          <w:rFonts w:hint="default" w:ascii="Times New Roman" w:hAnsi="Times New Roman" w:eastAsia="方正楷体_GBK" w:cs="Times New Roman"/>
          <w:color w:val="0C0C0C"/>
          <w:kern w:val="2"/>
          <w:sz w:val="32"/>
          <w:szCs w:val="32"/>
          <w:lang w:val="en-US" w:eastAsia="zh-CN" w:bidi="ar-SA"/>
        </w:rPr>
        <w:t>广州市统计局</w:t>
      </w:r>
    </w:p>
    <w:p>
      <w:pPr>
        <w:pStyle w:val="4"/>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left="0" w:leftChars="0" w:right="0" w:firstLine="0" w:firstLineChars="0"/>
        <w:jc w:val="center"/>
        <w:textAlignment w:val="baseline"/>
        <w:rPr>
          <w:rFonts w:hint="default" w:ascii="Times New Roman" w:hAnsi="Times New Roman" w:eastAsia="方正楷体_GBK" w:cs="Times New Roman"/>
          <w:color w:val="0C0C0C"/>
          <w:kern w:val="2"/>
          <w:sz w:val="32"/>
          <w:szCs w:val="32"/>
          <w:lang w:val="en-US" w:eastAsia="zh-CN" w:bidi="ar-SA"/>
        </w:rPr>
      </w:pPr>
      <w:r>
        <w:rPr>
          <w:rFonts w:hint="default" w:ascii="Times New Roman" w:hAnsi="Times New Roman" w:eastAsia="方正楷体_GBK" w:cs="Times New Roman"/>
          <w:color w:val="0C0C0C"/>
          <w:kern w:val="2"/>
          <w:sz w:val="32"/>
          <w:szCs w:val="32"/>
          <w:lang w:val="en-US" w:eastAsia="zh-CN" w:bidi="ar-SA"/>
        </w:rPr>
        <w:t>广州市第五次全国经济普查领导小组办公室</w:t>
      </w:r>
    </w:p>
    <w:p>
      <w:pPr>
        <w:pStyle w:val="4"/>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left="0" w:leftChars="0" w:right="0" w:firstLine="0" w:firstLineChars="0"/>
        <w:jc w:val="center"/>
        <w:textAlignment w:val="baseline"/>
        <w:rPr>
          <w:rFonts w:hint="default" w:ascii="Times New Roman" w:hAnsi="Times New Roman" w:cs="Times New Roman"/>
          <w:color w:val="0C0C0C"/>
          <w:sz w:val="32"/>
          <w:szCs w:val="32"/>
          <w:lang w:val="en-US" w:eastAsia="zh-CN"/>
        </w:rPr>
      </w:pPr>
      <w:r>
        <w:rPr>
          <w:rFonts w:hint="default" w:ascii="Times New Roman" w:hAnsi="Times New Roman" w:eastAsia="方正楷体_GBK" w:cs="Times New Roman"/>
          <w:color w:val="0C0C0C"/>
          <w:kern w:val="2"/>
          <w:sz w:val="32"/>
          <w:szCs w:val="32"/>
          <w:lang w:val="en-US" w:eastAsia="zh-CN" w:bidi="ar-SA"/>
        </w:rPr>
        <w:t>（2025年</w:t>
      </w:r>
      <w:r>
        <w:rPr>
          <w:rFonts w:hint="eastAsia" w:ascii="Times New Roman" w:hAnsi="Times New Roman" w:eastAsia="方正楷体_GBK" w:cs="Times New Roman"/>
          <w:color w:val="0C0C0C"/>
          <w:kern w:val="2"/>
          <w:sz w:val="32"/>
          <w:szCs w:val="32"/>
          <w:lang w:val="en-US" w:eastAsia="zh-CN" w:bidi="ar-SA"/>
        </w:rPr>
        <w:t>5</w:t>
      </w:r>
      <w:r>
        <w:rPr>
          <w:rFonts w:hint="default" w:ascii="Times New Roman" w:hAnsi="Times New Roman" w:eastAsia="方正楷体_GBK" w:cs="Times New Roman"/>
          <w:color w:val="0C0C0C"/>
          <w:kern w:val="2"/>
          <w:sz w:val="32"/>
          <w:szCs w:val="32"/>
          <w:lang w:val="en-US" w:eastAsia="zh-CN" w:bidi="ar-SA"/>
        </w:rPr>
        <w:t>月</w:t>
      </w:r>
      <w:r>
        <w:rPr>
          <w:rFonts w:hint="eastAsia" w:ascii="Times New Roman" w:hAnsi="Times New Roman" w:eastAsia="方正楷体_GBK" w:cs="Times New Roman"/>
          <w:color w:val="0C0C0C"/>
          <w:kern w:val="2"/>
          <w:sz w:val="32"/>
          <w:szCs w:val="32"/>
          <w:lang w:val="en-US" w:eastAsia="zh-CN" w:bidi="ar-SA"/>
        </w:rPr>
        <w:t>28</w:t>
      </w:r>
      <w:r>
        <w:rPr>
          <w:rFonts w:hint="default" w:ascii="Times New Roman" w:hAnsi="Times New Roman" w:eastAsia="方正楷体_GBK" w:cs="Times New Roman"/>
          <w:color w:val="0C0C0C"/>
          <w:kern w:val="2"/>
          <w:sz w:val="32"/>
          <w:szCs w:val="32"/>
          <w:lang w:val="en-US" w:eastAsia="zh-CN" w:bidi="ar-SA"/>
        </w:rPr>
        <w:t>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500" w:lineRule="exact"/>
        <w:ind w:left="0" w:leftChars="0" w:right="0" w:firstLine="0" w:firstLineChars="0"/>
        <w:jc w:val="both"/>
        <w:textAlignment w:val="auto"/>
        <w:rPr>
          <w:rFonts w:hint="default" w:ascii="Times New Roman" w:hAnsi="Times New Roman" w:cs="Times New Roman"/>
          <w:color w:val="0C0C0C"/>
          <w:kern w:val="2"/>
          <w:sz w:val="36"/>
          <w:szCs w:val="36"/>
          <w:u w:val="none"/>
          <w:lang w:val="en-US" w:eastAsia="zh-CN" w:bidi="ar-SA"/>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根据第五次全国经济普查结果，现将我市第二产业和第三产业中战略性新兴产业、高技术产业、数字经济核心产业等新兴产业的主要数据公布如下：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方正仿宋_GBK" w:cs="Times New Roman"/>
          <w:i w:val="0"/>
          <w:caps w:val="0"/>
          <w:color w:val="0C0C0C"/>
          <w:spacing w:val="0"/>
          <w:sz w:val="32"/>
          <w:szCs w:val="32"/>
          <w:highlight w:val="none"/>
        </w:rPr>
      </w:pPr>
      <w:r>
        <w:rPr>
          <w:rFonts w:hint="default" w:ascii="Times New Roman" w:hAnsi="Times New Roman" w:eastAsia="黑体" w:cs="Times New Roman"/>
          <w:b w:val="0"/>
          <w:bCs/>
          <w:i w:val="0"/>
          <w:caps w:val="0"/>
          <w:color w:val="0C0C0C"/>
          <w:spacing w:val="0"/>
          <w:kern w:val="0"/>
          <w:sz w:val="32"/>
          <w:szCs w:val="32"/>
          <w:highlight w:val="none"/>
          <w:lang w:val="en-US" w:eastAsia="zh-CN" w:bidi="ar"/>
        </w:rPr>
        <w:t>一、战略性新兴产业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楷体_GB2312" w:cs="Times New Roman"/>
          <w:i w:val="0"/>
          <w:caps w:val="0"/>
          <w:color w:val="0C0C0C"/>
          <w:spacing w:val="0"/>
          <w:kern w:val="0"/>
          <w:sz w:val="32"/>
          <w:szCs w:val="32"/>
          <w:highlight w:val="none"/>
          <w:lang w:val="en-US" w:eastAsia="zh-CN" w:bidi="ar"/>
        </w:rPr>
      </w:pPr>
      <w:r>
        <w:rPr>
          <w:rFonts w:hint="default" w:ascii="Times New Roman" w:hAnsi="Times New Roman" w:eastAsia="楷体_GB2312" w:cs="Times New Roman"/>
          <w:i w:val="0"/>
          <w:caps w:val="0"/>
          <w:color w:val="0C0C0C"/>
          <w:spacing w:val="0"/>
          <w:kern w:val="0"/>
          <w:sz w:val="32"/>
          <w:szCs w:val="32"/>
          <w:highlight w:val="none"/>
          <w:lang w:val="en-US" w:eastAsia="zh-CN" w:bidi="ar"/>
        </w:rPr>
        <w:t>（一）工业战略性新兴产业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全市从事战略性新兴产业生产的规模以上工业企业法人单位831个，占规模以上工业企业法人单位的12.1%。其中，新一代信息技术产业237个，占工业战略性新兴产业企业法人单位的28.5%；高端装备制造业150个，占18.1%；新材料产业69个，占8.3%；生物产业209个，占25.2%；新能源汽车产业18个，占2.2%；新能源产业31个，占3.7%；绿色节能环保产业109个，占13.1%；航空航天产业20个，占2.4%；海洋装备产业5个，占0.6%。</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楷体_GB2312" w:cs="Times New Roman"/>
          <w:i w:val="0"/>
          <w:caps w:val="0"/>
          <w:color w:val="0C0C0C"/>
          <w:spacing w:val="0"/>
          <w:kern w:val="0"/>
          <w:sz w:val="32"/>
          <w:szCs w:val="32"/>
          <w:highlight w:val="none"/>
          <w:lang w:val="en-US" w:eastAsia="zh-CN" w:bidi="ar"/>
        </w:rPr>
      </w:pPr>
      <w:r>
        <w:rPr>
          <w:rFonts w:hint="default" w:ascii="Times New Roman" w:hAnsi="Times New Roman" w:eastAsia="楷体_GB2312" w:cs="Times New Roman"/>
          <w:i w:val="0"/>
          <w:caps w:val="0"/>
          <w:color w:val="0C0C0C"/>
          <w:spacing w:val="0"/>
          <w:kern w:val="0"/>
          <w:sz w:val="32"/>
          <w:szCs w:val="32"/>
          <w:highlight w:val="none"/>
          <w:lang w:val="en-US" w:eastAsia="zh-CN" w:bidi="ar"/>
        </w:rPr>
        <w:t>（二）服务业战略性新兴产业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2023年末，全市从事战略性新兴产业活动的规模以上服务业企业法人单位4067</w:t>
      </w:r>
      <w:r>
        <w:rPr>
          <w:rFonts w:hint="default" w:ascii="Times New Roman" w:hAnsi="Times New Roman" w:eastAsia="仿宋_GB2312" w:cs="Times New Roman"/>
          <w:color w:val="0C0C0C"/>
          <w:kern w:val="2"/>
          <w:sz w:val="32"/>
          <w:szCs w:val="32"/>
          <w:u w:val="none"/>
          <w:lang w:val="en" w:eastAsia="zh-CN" w:bidi="ar-SA"/>
        </w:rPr>
        <w:t>个</w:t>
      </w:r>
      <w:r>
        <w:rPr>
          <w:rFonts w:hint="default" w:ascii="Times New Roman" w:hAnsi="Times New Roman" w:eastAsia="仿宋_GB2312" w:cs="Times New Roman"/>
          <w:color w:val="0C0C0C"/>
          <w:kern w:val="2"/>
          <w:sz w:val="32"/>
          <w:szCs w:val="32"/>
          <w:u w:val="none"/>
          <w:lang w:val="en-US" w:eastAsia="zh-CN" w:bidi="ar-SA"/>
        </w:rPr>
        <w:t>，占规模以上服务业企业法人单位的29.1%。其中，新一代信息技术产业1831</w:t>
      </w:r>
      <w:r>
        <w:rPr>
          <w:rFonts w:hint="default" w:ascii="Times New Roman" w:hAnsi="Times New Roman" w:eastAsia="仿宋_GB2312" w:cs="Times New Roman"/>
          <w:color w:val="0C0C0C"/>
          <w:kern w:val="2"/>
          <w:sz w:val="32"/>
          <w:szCs w:val="32"/>
          <w:u w:val="none"/>
          <w:lang w:val="en" w:eastAsia="zh-CN" w:bidi="ar-SA"/>
        </w:rPr>
        <w:t>个</w:t>
      </w:r>
      <w:r>
        <w:rPr>
          <w:rFonts w:hint="default" w:ascii="Times New Roman" w:hAnsi="Times New Roman" w:eastAsia="仿宋_GB2312" w:cs="Times New Roman"/>
          <w:color w:val="0C0C0C"/>
          <w:kern w:val="2"/>
          <w:sz w:val="32"/>
          <w:szCs w:val="32"/>
          <w:u w:val="none"/>
          <w:lang w:val="en-US" w:eastAsia="zh-CN" w:bidi="ar-SA"/>
        </w:rPr>
        <w:t>，占服务业战略性新兴产业企业法人单位的45.0%；数字创意产业1324</w:t>
      </w:r>
      <w:r>
        <w:rPr>
          <w:rFonts w:hint="default" w:ascii="Times New Roman" w:hAnsi="Times New Roman" w:eastAsia="仿宋_GB2312" w:cs="Times New Roman"/>
          <w:color w:val="0C0C0C"/>
          <w:kern w:val="2"/>
          <w:sz w:val="32"/>
          <w:szCs w:val="32"/>
          <w:u w:val="none"/>
          <w:lang w:val="en" w:eastAsia="zh-CN" w:bidi="ar-SA"/>
        </w:rPr>
        <w:t>个</w:t>
      </w:r>
      <w:r>
        <w:rPr>
          <w:rFonts w:hint="default" w:ascii="Times New Roman" w:hAnsi="Times New Roman" w:eastAsia="仿宋_GB2312" w:cs="Times New Roman"/>
          <w:color w:val="0C0C0C"/>
          <w:kern w:val="2"/>
          <w:sz w:val="32"/>
          <w:szCs w:val="32"/>
          <w:u w:val="none"/>
          <w:lang w:val="en-US" w:eastAsia="zh-CN" w:bidi="ar-SA"/>
        </w:rPr>
        <w:t>，占32.6%。</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方正仿宋_GBK" w:cs="Times New Roman"/>
          <w:i w:val="0"/>
          <w:caps w:val="0"/>
          <w:color w:val="0C0C0C"/>
          <w:spacing w:val="0"/>
          <w:sz w:val="32"/>
          <w:szCs w:val="32"/>
          <w:highlight w:val="none"/>
        </w:rPr>
      </w:pPr>
      <w:r>
        <w:rPr>
          <w:rFonts w:hint="default" w:ascii="Times New Roman" w:hAnsi="Times New Roman" w:eastAsia="黑体" w:cs="Times New Roman"/>
          <w:b w:val="0"/>
          <w:bCs/>
          <w:i w:val="0"/>
          <w:caps w:val="0"/>
          <w:color w:val="0C0C0C"/>
          <w:spacing w:val="0"/>
          <w:kern w:val="0"/>
          <w:sz w:val="32"/>
          <w:szCs w:val="32"/>
          <w:highlight w:val="none"/>
          <w:lang w:val="en-US" w:eastAsia="zh-CN" w:bidi="ar"/>
        </w:rPr>
        <w:t>二、高技术产业</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方正仿宋_GBK" w:cs="Times New Roman"/>
          <w:i w:val="0"/>
          <w:caps w:val="0"/>
          <w:color w:val="0C0C0C"/>
          <w:spacing w:val="0"/>
          <w:sz w:val="32"/>
          <w:szCs w:val="32"/>
          <w:highlight w:val="none"/>
        </w:rPr>
      </w:pPr>
      <w:r>
        <w:rPr>
          <w:rFonts w:hint="default" w:ascii="Times New Roman" w:hAnsi="Times New Roman" w:eastAsia="楷体_GB2312" w:cs="Times New Roman"/>
          <w:i w:val="0"/>
          <w:caps w:val="0"/>
          <w:color w:val="0C0C0C"/>
          <w:spacing w:val="0"/>
          <w:kern w:val="0"/>
          <w:sz w:val="32"/>
          <w:szCs w:val="32"/>
          <w:highlight w:val="none"/>
          <w:lang w:val="en-US" w:eastAsia="zh-CN" w:bidi="ar"/>
        </w:rPr>
        <w:t>（一）高技术制造业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2023年末，全市共有规模以上高技术制造业企业法人单位1099个，比2018年末增长73.1%；占规模以上制造业企业法人单位的16.4%，比2018年末提高3.0个百分点。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2023年，全市规模以上高技术制造业企业法人单位全年实现营业收入3737.66亿元，比2018年增长35.6%；占规模以上制造业企业法人单位营业收入的17.1%，比2018年提高1.2个百分点。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2023年，规模以上高技术制造业企业法人单位R&amp;D（全称研究与试验发展，以下简称R&amp;D）经费支出136.92亿元，比</w:t>
      </w:r>
      <w:r>
        <w:rPr>
          <w:rFonts w:hint="default" w:ascii="Times New Roman" w:hAnsi="Times New Roman" w:eastAsia="仿宋_GB2312" w:cs="Times New Roman"/>
          <w:color w:val="0C0C0C"/>
          <w:kern w:val="2"/>
          <w:sz w:val="32"/>
          <w:szCs w:val="32"/>
          <w:u w:val="none"/>
          <w:lang w:val="en" w:eastAsia="zh-CN" w:bidi="ar-SA"/>
        </w:rPr>
        <w:t>20</w:t>
      </w:r>
      <w:r>
        <w:rPr>
          <w:rFonts w:hint="default" w:ascii="Times New Roman" w:hAnsi="Times New Roman" w:eastAsia="仿宋_GB2312" w:cs="Times New Roman"/>
          <w:color w:val="0C0C0C"/>
          <w:kern w:val="2"/>
          <w:sz w:val="32"/>
          <w:szCs w:val="32"/>
          <w:u w:val="none"/>
          <w:lang w:val="en-US" w:eastAsia="zh-CN" w:bidi="ar-SA"/>
        </w:rPr>
        <w:t>18年增长1.2倍；占规模以上制造业的比重为32.6%，比</w:t>
      </w:r>
      <w:r>
        <w:rPr>
          <w:rFonts w:hint="default" w:ascii="Times New Roman" w:hAnsi="Times New Roman" w:eastAsia="仿宋_GB2312" w:cs="Times New Roman"/>
          <w:color w:val="0C0C0C"/>
          <w:kern w:val="2"/>
          <w:sz w:val="32"/>
          <w:szCs w:val="32"/>
          <w:u w:val="none"/>
          <w:lang w:val="en" w:eastAsia="zh-CN" w:bidi="ar-SA"/>
        </w:rPr>
        <w:t>20</w:t>
      </w:r>
      <w:r>
        <w:rPr>
          <w:rFonts w:hint="default" w:ascii="Times New Roman" w:hAnsi="Times New Roman" w:eastAsia="仿宋_GB2312" w:cs="Times New Roman"/>
          <w:color w:val="0C0C0C"/>
          <w:kern w:val="2"/>
          <w:sz w:val="32"/>
          <w:szCs w:val="32"/>
          <w:u w:val="none"/>
          <w:lang w:val="en-US" w:eastAsia="zh-CN" w:bidi="ar-SA"/>
        </w:rPr>
        <w:t>18年提高7.5个百分点；R&amp;D经费与营业收入之比为3.66%，比规模以上制造业平均水平高1.74个百分点。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2023年，规模以上高技术制造业企业法人单位全年专利申请量1.12万件，其中发明专利申请0.58万件，分别比</w:t>
      </w:r>
      <w:r>
        <w:rPr>
          <w:rFonts w:hint="default" w:ascii="Times New Roman" w:hAnsi="Times New Roman" w:eastAsia="仿宋_GB2312" w:cs="Times New Roman"/>
          <w:color w:val="0C0C0C"/>
          <w:kern w:val="2"/>
          <w:sz w:val="32"/>
          <w:szCs w:val="32"/>
          <w:u w:val="none"/>
          <w:lang w:val="en" w:eastAsia="zh-CN" w:bidi="ar-SA"/>
        </w:rPr>
        <w:t>20</w:t>
      </w:r>
      <w:r>
        <w:rPr>
          <w:rFonts w:hint="default" w:ascii="Times New Roman" w:hAnsi="Times New Roman" w:eastAsia="仿宋_GB2312" w:cs="Times New Roman"/>
          <w:color w:val="0C0C0C"/>
          <w:kern w:val="2"/>
          <w:sz w:val="32"/>
          <w:szCs w:val="32"/>
          <w:u w:val="none"/>
          <w:lang w:val="en-US" w:eastAsia="zh-CN" w:bidi="ar-SA"/>
        </w:rPr>
        <w:t>18年增长10.7%和16.0%；发明专利申请所占比重为52.2%，比规模以上制造业平均水平高9.1个百分点。</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rightChars="0" w:firstLine="640" w:firstLineChars="200"/>
        <w:jc w:val="both"/>
        <w:textAlignment w:val="auto"/>
        <w:rPr>
          <w:rFonts w:hint="default" w:ascii="Times New Roman" w:hAnsi="Times New Roman" w:eastAsia="楷体_GB2312" w:cs="Times New Roman"/>
          <w:i w:val="0"/>
          <w:caps w:val="0"/>
          <w:color w:val="0C0C0C"/>
          <w:spacing w:val="0"/>
          <w:kern w:val="0"/>
          <w:sz w:val="32"/>
          <w:szCs w:val="32"/>
          <w:highlight w:val="none"/>
          <w:lang w:val="en-US" w:eastAsia="zh-CN" w:bidi="ar"/>
        </w:rPr>
      </w:pPr>
      <w:r>
        <w:rPr>
          <w:rFonts w:hint="default" w:ascii="Times New Roman" w:hAnsi="Times New Roman" w:eastAsia="楷体_GB2312" w:cs="Times New Roman"/>
          <w:i w:val="0"/>
          <w:caps w:val="0"/>
          <w:color w:val="0C0C0C"/>
          <w:spacing w:val="0"/>
          <w:kern w:val="0"/>
          <w:sz w:val="32"/>
          <w:szCs w:val="32"/>
          <w:highlight w:val="none"/>
          <w:lang w:val="en-US" w:eastAsia="zh-CN" w:bidi="ar"/>
        </w:rPr>
        <w:t>（二）高技术服务业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2023年末，全市共有规模以上高技术服务业企业法人单位4211</w:t>
      </w:r>
      <w:r>
        <w:rPr>
          <w:rFonts w:hint="default" w:ascii="Times New Roman" w:hAnsi="Times New Roman" w:eastAsia="仿宋_GB2312" w:cs="Times New Roman"/>
          <w:color w:val="0C0C0C"/>
          <w:kern w:val="2"/>
          <w:sz w:val="32"/>
          <w:szCs w:val="32"/>
          <w:u w:val="none"/>
          <w:lang w:val="en" w:eastAsia="zh-CN" w:bidi="ar-SA"/>
        </w:rPr>
        <w:t>个</w:t>
      </w:r>
      <w:r>
        <w:rPr>
          <w:rFonts w:hint="default" w:ascii="Times New Roman" w:hAnsi="Times New Roman" w:eastAsia="仿宋_GB2312" w:cs="Times New Roman"/>
          <w:color w:val="0C0C0C"/>
          <w:kern w:val="2"/>
          <w:sz w:val="32"/>
          <w:szCs w:val="32"/>
          <w:u w:val="none"/>
          <w:lang w:val="en-US" w:eastAsia="zh-CN" w:bidi="ar-SA"/>
        </w:rPr>
        <w:t>，占规模以上服务业企业法人单位的30.2%。其中，信息服务2290</w:t>
      </w:r>
      <w:r>
        <w:rPr>
          <w:rFonts w:hint="default" w:ascii="Times New Roman" w:hAnsi="Times New Roman" w:eastAsia="仿宋_GB2312" w:cs="Times New Roman"/>
          <w:color w:val="0C0C0C"/>
          <w:kern w:val="2"/>
          <w:sz w:val="32"/>
          <w:szCs w:val="32"/>
          <w:u w:val="none"/>
          <w:lang w:val="en" w:eastAsia="zh-CN" w:bidi="ar-SA"/>
        </w:rPr>
        <w:t>个</w:t>
      </w:r>
      <w:r>
        <w:rPr>
          <w:rFonts w:hint="default" w:ascii="Times New Roman" w:hAnsi="Times New Roman" w:eastAsia="仿宋_GB2312" w:cs="Times New Roman"/>
          <w:color w:val="0C0C0C"/>
          <w:kern w:val="2"/>
          <w:sz w:val="32"/>
          <w:szCs w:val="32"/>
          <w:u w:val="none"/>
          <w:lang w:val="en-US" w:eastAsia="zh-CN" w:bidi="ar-SA"/>
        </w:rPr>
        <w:t>，占规模以上高技术服务业企业法人单位的54.4%；专业技术服务业的高技术服务804</w:t>
      </w:r>
      <w:r>
        <w:rPr>
          <w:rFonts w:hint="default" w:ascii="Times New Roman" w:hAnsi="Times New Roman" w:eastAsia="仿宋_GB2312" w:cs="Times New Roman"/>
          <w:color w:val="0C0C0C"/>
          <w:kern w:val="2"/>
          <w:sz w:val="32"/>
          <w:szCs w:val="32"/>
          <w:u w:val="none"/>
          <w:lang w:val="en" w:eastAsia="zh-CN" w:bidi="ar-SA"/>
        </w:rPr>
        <w:t>个</w:t>
      </w:r>
      <w:r>
        <w:rPr>
          <w:rFonts w:hint="default" w:ascii="Times New Roman" w:hAnsi="Times New Roman" w:eastAsia="仿宋_GB2312" w:cs="Times New Roman"/>
          <w:color w:val="0C0C0C"/>
          <w:kern w:val="2"/>
          <w:sz w:val="32"/>
          <w:szCs w:val="32"/>
          <w:u w:val="none"/>
          <w:lang w:val="en-US" w:eastAsia="zh-CN" w:bidi="ar-SA"/>
        </w:rPr>
        <w:t>，占规模以上高技术服务业企业法人单位的19.1%。</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2023年，规模以上高技术服务业企业法人单位全年实现营业收入7286.07亿元，占规模以上服务业企业法人单位营业收入的37.4%。</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rightChars="0" w:firstLine="640" w:firstLineChars="200"/>
        <w:jc w:val="both"/>
        <w:textAlignment w:val="auto"/>
        <w:rPr>
          <w:rFonts w:hint="default" w:ascii="Times New Roman" w:hAnsi="Times New Roman" w:eastAsia="黑体" w:cs="Times New Roman"/>
          <w:b w:val="0"/>
          <w:bCs/>
          <w:i w:val="0"/>
          <w:caps w:val="0"/>
          <w:color w:val="0C0C0C"/>
          <w:spacing w:val="0"/>
          <w:kern w:val="0"/>
          <w:sz w:val="32"/>
          <w:szCs w:val="32"/>
          <w:highlight w:val="none"/>
          <w:lang w:val="en-US" w:eastAsia="zh-CN" w:bidi="ar"/>
        </w:rPr>
      </w:pPr>
      <w:r>
        <w:rPr>
          <w:rFonts w:hint="default" w:ascii="Times New Roman" w:hAnsi="Times New Roman" w:eastAsia="黑体" w:cs="Times New Roman"/>
          <w:b w:val="0"/>
          <w:bCs/>
          <w:i w:val="0"/>
          <w:caps w:val="0"/>
          <w:color w:val="0C0C0C"/>
          <w:spacing w:val="0"/>
          <w:kern w:val="0"/>
          <w:sz w:val="32"/>
          <w:szCs w:val="32"/>
          <w:highlight w:val="none"/>
          <w:lang w:val="en-US" w:eastAsia="zh-CN" w:bidi="ar"/>
        </w:rPr>
        <w:t>三、数字经济核心产业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2023年末，全市共有数字经济核心产业企业法人单位102270个，从业人员115.94万人。全年实现营业收入14310.10亿元。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在数字经济核心产业企业法人单位中，数字产品制造业6617个，占6.5%；数字产品服务业9946个，占9.7%；数字技术应用业62337个，占61.0%；数字要素驱动业23370个，占22.9%。</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在数字经济核心产业企业法人单位从业人员中，数字产品制造业25.48万人，占22.0%；数字产品服务业5.27万人，占4.5%；数字技术应用业63.94万人，占55.2%；数字要素驱动业21.25万人，占18.3%。</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在数字经济核心产业企业法人单位营业收入中，数字产品制造业3266.57亿元，占22.8%；数字产品服务业937.91亿元，占6.6%；数字技术应用业5985.53亿元，占41.8%；数字要素驱动业4120.09亿元，占28.8%。</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方正仿宋_GBK" w:cs="Times New Roman"/>
          <w:i w:val="0"/>
          <w:caps w:val="0"/>
          <w:color w:val="0C0C0C"/>
          <w:spacing w:val="0"/>
          <w:sz w:val="32"/>
          <w:szCs w:val="32"/>
          <w:highlight w:val="none"/>
        </w:rPr>
      </w:pPr>
      <w:r>
        <w:rPr>
          <w:rFonts w:hint="default" w:ascii="Times New Roman" w:hAnsi="Times New Roman" w:eastAsia="黑体" w:cs="Times New Roman"/>
          <w:b w:val="0"/>
          <w:bCs/>
          <w:i w:val="0"/>
          <w:caps w:val="0"/>
          <w:color w:val="0C0C0C"/>
          <w:spacing w:val="0"/>
          <w:kern w:val="0"/>
          <w:sz w:val="32"/>
          <w:szCs w:val="32"/>
          <w:highlight w:val="none"/>
          <w:lang w:val="en-US" w:eastAsia="zh-CN" w:bidi="ar"/>
        </w:rPr>
        <w:t>四、工业企业研究与试验发展活动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2023年，开展R&amp;D活动的规模以上工业企业法人单位2272个，</w:t>
      </w:r>
      <w:r>
        <w:rPr>
          <w:rFonts w:hint="default" w:ascii="Times New Roman" w:hAnsi="Times New Roman" w:eastAsia="仿宋_GB2312" w:cs="Times New Roman"/>
          <w:color w:val="0C0C0C"/>
          <w:kern w:val="2"/>
          <w:sz w:val="32"/>
          <w:szCs w:val="32"/>
          <w:u w:val="none"/>
          <w:lang w:val="en" w:eastAsia="zh-CN" w:bidi="ar-SA"/>
        </w:rPr>
        <w:t>比2018年</w:t>
      </w:r>
      <w:r>
        <w:rPr>
          <w:rFonts w:hint="default" w:ascii="Times New Roman" w:hAnsi="Times New Roman" w:eastAsia="仿宋_GB2312" w:cs="Times New Roman"/>
          <w:color w:val="0C0C0C"/>
          <w:kern w:val="2"/>
          <w:sz w:val="32"/>
          <w:szCs w:val="32"/>
          <w:u w:val="none"/>
          <w:lang w:val="en-US" w:eastAsia="zh-CN" w:bidi="ar-SA"/>
        </w:rPr>
        <w:t>增长21.8%，占全部规模以上工业企业法人单位的33.1%。</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2023年，规模以上工业企业法人单位R&amp;D人员折合全时当量10.27万人年，</w:t>
      </w:r>
      <w:r>
        <w:rPr>
          <w:rFonts w:hint="default" w:ascii="Times New Roman" w:hAnsi="Times New Roman" w:eastAsia="仿宋_GB2312" w:cs="Times New Roman"/>
          <w:color w:val="0C0C0C"/>
          <w:kern w:val="2"/>
          <w:sz w:val="32"/>
          <w:szCs w:val="32"/>
          <w:u w:val="none"/>
          <w:lang w:val="en" w:eastAsia="zh-CN" w:bidi="ar-SA"/>
        </w:rPr>
        <w:t>比2018年</w:t>
      </w:r>
      <w:r>
        <w:rPr>
          <w:rFonts w:hint="default" w:ascii="Times New Roman" w:hAnsi="Times New Roman" w:eastAsia="仿宋_GB2312" w:cs="Times New Roman"/>
          <w:color w:val="0C0C0C"/>
          <w:kern w:val="2"/>
          <w:sz w:val="32"/>
          <w:szCs w:val="32"/>
          <w:u w:val="none"/>
          <w:lang w:val="en-US" w:eastAsia="zh-CN" w:bidi="ar-SA"/>
        </w:rPr>
        <w:t>增长48.1%。</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2023年，规模以上工业企业法人单位R&amp;D经费支出450.38亿元，比</w:t>
      </w:r>
      <w:r>
        <w:rPr>
          <w:rFonts w:hint="default" w:ascii="Times New Roman" w:hAnsi="Times New Roman" w:eastAsia="仿宋_GB2312" w:cs="Times New Roman"/>
          <w:color w:val="0C0C0C"/>
          <w:kern w:val="2"/>
          <w:sz w:val="32"/>
          <w:szCs w:val="32"/>
          <w:u w:val="none"/>
          <w:lang w:val="en" w:eastAsia="zh-CN" w:bidi="ar-SA"/>
        </w:rPr>
        <w:t>2018</w:t>
      </w:r>
      <w:r>
        <w:rPr>
          <w:rFonts w:hint="default" w:ascii="Times New Roman" w:hAnsi="Times New Roman" w:eastAsia="仿宋_GB2312" w:cs="Times New Roman"/>
          <w:color w:val="0C0C0C"/>
          <w:kern w:val="2"/>
          <w:sz w:val="32"/>
          <w:szCs w:val="32"/>
          <w:u w:val="none"/>
          <w:lang w:val="en-US" w:eastAsia="zh-CN" w:bidi="ar-SA"/>
        </w:rPr>
        <w:t>年增长68.5%；R&amp;D经费与营业收入之比为1.77%。规模以上工业企业法人单位分行业R&amp;D经费支出及R&amp;D经费与营业收入之比详见表6-1。</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w:t>
      </w:r>
      <w:r>
        <w:rPr>
          <w:rFonts w:hint="default" w:ascii="Times New Roman" w:hAnsi="Times New Roman" w:eastAsia="仿宋_GB2312" w:cs="Times New Roman"/>
          <w:color w:val="0C0C0C"/>
          <w:kern w:val="2"/>
          <w:sz w:val="32"/>
          <w:szCs w:val="32"/>
          <w:u w:val="none"/>
          <w:lang w:val="en" w:eastAsia="zh-CN" w:bidi="ar-SA"/>
        </w:rPr>
        <w:t>23</w:t>
      </w:r>
      <w:r>
        <w:rPr>
          <w:rFonts w:hint="default" w:ascii="Times New Roman" w:hAnsi="Times New Roman" w:eastAsia="仿宋_GB2312" w:cs="Times New Roman"/>
          <w:color w:val="0C0C0C"/>
          <w:kern w:val="2"/>
          <w:sz w:val="32"/>
          <w:szCs w:val="32"/>
          <w:u w:val="none"/>
          <w:lang w:val="en-US" w:eastAsia="zh-CN" w:bidi="ar-SA"/>
        </w:rPr>
        <w:t>年，规模以上工业企业法人单位全年专利申请量3.74万件，其中发明专利申请1.98万件，分别</w:t>
      </w:r>
      <w:r>
        <w:rPr>
          <w:rFonts w:hint="default" w:ascii="Times New Roman" w:hAnsi="Times New Roman" w:eastAsia="仿宋_GB2312" w:cs="Times New Roman"/>
          <w:color w:val="0C0C0C"/>
          <w:kern w:val="2"/>
          <w:sz w:val="32"/>
          <w:szCs w:val="32"/>
          <w:u w:val="none"/>
          <w:lang w:val="en" w:eastAsia="zh-CN" w:bidi="ar-SA"/>
        </w:rPr>
        <w:t>比2018年</w:t>
      </w:r>
      <w:r>
        <w:rPr>
          <w:rFonts w:hint="default" w:ascii="Times New Roman" w:hAnsi="Times New Roman" w:eastAsia="仿宋_GB2312" w:cs="Times New Roman"/>
          <w:color w:val="0C0C0C"/>
          <w:kern w:val="2"/>
          <w:sz w:val="32"/>
          <w:szCs w:val="32"/>
          <w:u w:val="none"/>
          <w:lang w:val="en-US" w:eastAsia="zh-CN" w:bidi="ar-SA"/>
        </w:rPr>
        <w:t>增长13.8%和59.2%；发明专利申请所占比重为52.9%，</w:t>
      </w:r>
      <w:r>
        <w:rPr>
          <w:rFonts w:hint="default" w:ascii="Times New Roman" w:hAnsi="Times New Roman" w:eastAsia="仿宋_GB2312" w:cs="Times New Roman"/>
          <w:color w:val="0C0C0C"/>
          <w:kern w:val="2"/>
          <w:sz w:val="32"/>
          <w:szCs w:val="32"/>
          <w:u w:val="none"/>
          <w:lang w:val="en" w:eastAsia="zh-CN" w:bidi="ar-SA"/>
        </w:rPr>
        <w:t>比2018年</w:t>
      </w:r>
      <w:r>
        <w:rPr>
          <w:rFonts w:hint="default" w:ascii="Times New Roman" w:hAnsi="Times New Roman" w:eastAsia="仿宋_GB2312" w:cs="Times New Roman"/>
          <w:color w:val="0C0C0C"/>
          <w:kern w:val="2"/>
          <w:sz w:val="32"/>
          <w:szCs w:val="32"/>
          <w:u w:val="none"/>
          <w:lang w:val="en-US" w:eastAsia="zh-CN" w:bidi="ar-SA"/>
        </w:rPr>
        <w:t>提高15.1个百分点。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表6-1　按行业大类分组的规模以上工业企业法人单位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R&amp;D经费支出及R&amp;D经费与营业收入之比</w:t>
      </w:r>
    </w:p>
    <w:tbl>
      <w:tblPr>
        <w:tblStyle w:val="11"/>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5009"/>
        <w:gridCol w:w="1715"/>
        <w:gridCol w:w="1771"/>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2947" w:type="pct"/>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68" w:lineRule="exact"/>
              <w:ind w:left="0" w:leftChars="0" w:right="0" w:firstLine="42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　</w:t>
            </w:r>
          </w:p>
        </w:tc>
        <w:tc>
          <w:tcPr>
            <w:tcW w:w="1009"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68"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R&amp;D经费支出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68"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（亿元）</w:t>
            </w:r>
          </w:p>
        </w:tc>
        <w:tc>
          <w:tcPr>
            <w:tcW w:w="1042" w:type="pct"/>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68" w:lineRule="exact"/>
              <w:ind w:left="0" w:leftChars="0" w:right="0" w:firstLine="0" w:firstLineChars="0"/>
              <w:jc w:val="center"/>
              <w:textAlignment w:val="auto"/>
              <w:rPr>
                <w:rFonts w:hint="default" w:ascii="Times New Roman" w:hAnsi="Times New Roman" w:eastAsia="宋体" w:cs="Times New Roman"/>
                <w:b/>
                <w:bCs/>
                <w:color w:val="0C0C0C"/>
                <w:kern w:val="0"/>
                <w:sz w:val="21"/>
                <w:szCs w:val="21"/>
                <w:highlight w:val="none"/>
                <w:lang w:val="en-US" w:eastAsia="zh-CN" w:bidi="ar"/>
              </w:rPr>
            </w:pPr>
            <w:r>
              <w:rPr>
                <w:rFonts w:hint="default" w:ascii="Times New Roman" w:hAnsi="Times New Roman" w:eastAsia="宋体" w:cs="Times New Roman"/>
                <w:b/>
                <w:bCs/>
                <w:color w:val="0C0C0C"/>
                <w:kern w:val="0"/>
                <w:sz w:val="21"/>
                <w:szCs w:val="21"/>
                <w:highlight w:val="none"/>
                <w:lang w:val="en-US" w:eastAsia="zh-CN" w:bidi="ar"/>
              </w:rPr>
              <w:t>R&amp;D经费与营业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68"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收入之比（%）</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合　计</w:t>
            </w:r>
          </w:p>
        </w:tc>
        <w:tc>
          <w:tcPr>
            <w:tcW w:w="1009" w:type="pct"/>
            <w:tcBorders>
              <w:top w:val="single" w:color="auto" w:sz="4" w:space="0"/>
              <w:left w:val="single" w:color="auto" w:sz="4" w:space="0"/>
              <w:bottom w:val="nil"/>
              <w:right w:val="single" w:color="auto" w:sz="4" w:space="0"/>
            </w:tcBorders>
            <w:noWrap w:val="0"/>
            <w:vAlign w:val="bottom"/>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US" w:eastAsia="zh-CN" w:bidi="ar-SA"/>
              </w:rPr>
            </w:pPr>
            <w:r>
              <w:rPr>
                <w:rFonts w:hint="default" w:ascii="Times New Roman" w:hAnsi="Times New Roman" w:eastAsia="宋体" w:cs="Times New Roman"/>
                <w:b/>
                <w:bCs/>
                <w:color w:val="0C0C0C"/>
                <w:kern w:val="2"/>
                <w:sz w:val="21"/>
                <w:szCs w:val="21"/>
                <w:highlight w:val="none"/>
                <w:lang w:val="en-US" w:eastAsia="zh-CN" w:bidi="ar-SA"/>
              </w:rPr>
              <w:t>450.38</w:t>
            </w:r>
          </w:p>
        </w:tc>
        <w:tc>
          <w:tcPr>
            <w:tcW w:w="1042" w:type="pct"/>
            <w:tcBorders>
              <w:top w:val="single" w:color="auto" w:sz="4" w:space="0"/>
              <w:left w:val="single" w:color="auto" w:sz="4" w:space="0"/>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US" w:eastAsia="zh-CN" w:bidi="ar-SA"/>
              </w:rPr>
            </w:pPr>
            <w:r>
              <w:rPr>
                <w:rFonts w:hint="default" w:ascii="Times New Roman" w:hAnsi="Times New Roman" w:eastAsia="宋体" w:cs="Times New Roman"/>
                <w:b/>
                <w:bCs/>
                <w:color w:val="0C0C0C"/>
                <w:kern w:val="2"/>
                <w:sz w:val="21"/>
                <w:szCs w:val="21"/>
                <w:highlight w:val="none"/>
                <w:lang w:val="en-US" w:eastAsia="zh-CN" w:bidi="ar-SA"/>
              </w:rPr>
              <w:t>1.77</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采矿业</w:t>
            </w:r>
          </w:p>
        </w:tc>
        <w:tc>
          <w:tcPr>
            <w:tcW w:w="1009" w:type="pct"/>
            <w:tcBorders>
              <w:top w:val="nil"/>
              <w:left w:val="single" w:color="auto" w:sz="4" w:space="0"/>
              <w:bottom w:val="nil"/>
              <w:right w:val="single" w:color="auto" w:sz="4" w:space="0"/>
            </w:tcBorders>
            <w:noWrap w:val="0"/>
            <w:vAlign w:val="bottom"/>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US" w:eastAsia="zh-CN" w:bidi="ar-SA"/>
              </w:rPr>
            </w:pPr>
            <w:r>
              <w:rPr>
                <w:rFonts w:hint="default" w:ascii="Times New Roman" w:hAnsi="Times New Roman" w:eastAsia="宋体" w:cs="Times New Roman"/>
                <w:b/>
                <w:bCs/>
                <w:color w:val="0C0C0C"/>
                <w:kern w:val="2"/>
                <w:sz w:val="21"/>
                <w:szCs w:val="21"/>
                <w:highlight w:val="none"/>
                <w:lang w:val="en-US" w:eastAsia="zh-CN" w:bidi="ar-SA"/>
              </w:rPr>
              <w:t>—</w:t>
            </w:r>
          </w:p>
        </w:tc>
        <w:tc>
          <w:tcPr>
            <w:tcW w:w="1042" w:type="pct"/>
            <w:tcBorders>
              <w:top w:val="nil"/>
              <w:left w:val="single" w:color="auto" w:sz="4" w:space="0"/>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US" w:eastAsia="zh-CN" w:bidi="ar-SA"/>
              </w:rPr>
            </w:pPr>
            <w:r>
              <w:rPr>
                <w:rFonts w:hint="default" w:ascii="Times New Roman" w:hAnsi="Times New Roman" w:eastAsia="宋体" w:cs="Times New Roman"/>
                <w:b/>
                <w:bCs/>
                <w:color w:val="0C0C0C"/>
                <w:kern w:val="2"/>
                <w:sz w:val="21"/>
                <w:szCs w:val="21"/>
                <w:highlight w:val="none"/>
                <w:lang w:val="en-US" w:eastAsia="zh-CN" w:bidi="ar-SA"/>
              </w:rPr>
              <w:t>—</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制造业</w:t>
            </w:r>
          </w:p>
        </w:tc>
        <w:tc>
          <w:tcPr>
            <w:tcW w:w="1009" w:type="pct"/>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US" w:eastAsia="zh-CN" w:bidi="ar-SA"/>
              </w:rPr>
            </w:pPr>
            <w:r>
              <w:rPr>
                <w:rFonts w:hint="default" w:ascii="Times New Roman" w:hAnsi="Times New Roman" w:eastAsia="宋体" w:cs="Times New Roman"/>
                <w:b/>
                <w:bCs/>
                <w:color w:val="0C0C0C"/>
                <w:kern w:val="2"/>
                <w:sz w:val="21"/>
                <w:szCs w:val="21"/>
                <w:highlight w:val="none"/>
                <w:lang w:val="en-US" w:eastAsia="zh-CN" w:bidi="ar-SA"/>
              </w:rPr>
              <w:t>419.84</w:t>
            </w:r>
          </w:p>
        </w:tc>
        <w:tc>
          <w:tcPr>
            <w:tcW w:w="1042" w:type="pct"/>
            <w:tcBorders>
              <w:top w:val="nil"/>
              <w:left w:val="single" w:color="auto" w:sz="4" w:space="0"/>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US" w:eastAsia="zh-CN" w:bidi="ar-SA"/>
              </w:rPr>
            </w:pPr>
            <w:r>
              <w:rPr>
                <w:rFonts w:hint="default" w:ascii="Times New Roman" w:hAnsi="Times New Roman" w:eastAsia="宋体" w:cs="Times New Roman"/>
                <w:b/>
                <w:bCs/>
                <w:color w:val="0C0C0C"/>
                <w:kern w:val="2"/>
                <w:sz w:val="21"/>
                <w:szCs w:val="21"/>
                <w:highlight w:val="none"/>
                <w:lang w:val="en-US" w:eastAsia="zh-CN" w:bidi="ar-SA"/>
              </w:rPr>
              <w:t>1.92</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420" w:firstLineChars="20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农副食品加工业</w:t>
            </w:r>
          </w:p>
        </w:tc>
        <w:tc>
          <w:tcPr>
            <w:tcW w:w="1009" w:type="pct"/>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5.21</w:t>
            </w:r>
          </w:p>
        </w:tc>
        <w:tc>
          <w:tcPr>
            <w:tcW w:w="1042" w:type="pct"/>
            <w:tcBorders>
              <w:top w:val="nil"/>
              <w:left w:val="single" w:color="auto" w:sz="4" w:space="0"/>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1.06</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420" w:firstLineChars="20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食品制造业</w:t>
            </w:r>
          </w:p>
        </w:tc>
        <w:tc>
          <w:tcPr>
            <w:tcW w:w="1009" w:type="pct"/>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5.65</w:t>
            </w:r>
          </w:p>
        </w:tc>
        <w:tc>
          <w:tcPr>
            <w:tcW w:w="1042" w:type="pct"/>
            <w:tcBorders>
              <w:top w:val="nil"/>
              <w:left w:val="single" w:color="auto" w:sz="4" w:space="0"/>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0.67</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420" w:firstLineChars="200"/>
              <w:jc w:val="both"/>
              <w:textAlignment w:val="auto"/>
              <w:rPr>
                <w:rFonts w:hint="default" w:ascii="Times New Roman" w:hAnsi="Times New Roman" w:eastAsia="宋体" w:cs="Times New Roman"/>
                <w:color w:val="0C0C0C"/>
                <w:kern w:val="0"/>
                <w:sz w:val="21"/>
                <w:szCs w:val="21"/>
                <w:highlight w:val="none"/>
                <w:lang w:val="en-US" w:eastAsia="zh-CN" w:bidi="ar"/>
              </w:rPr>
            </w:pPr>
            <w:r>
              <w:rPr>
                <w:rFonts w:hint="default" w:ascii="Times New Roman" w:hAnsi="Times New Roman" w:eastAsia="宋体" w:cs="Times New Roman"/>
                <w:color w:val="0C0C0C"/>
                <w:kern w:val="0"/>
                <w:sz w:val="21"/>
                <w:szCs w:val="21"/>
                <w:highlight w:val="none"/>
                <w:lang w:val="en-US" w:eastAsia="zh-CN" w:bidi="ar"/>
              </w:rPr>
              <w:t>酒、饮料和精制茶制造业</w:t>
            </w:r>
          </w:p>
        </w:tc>
        <w:tc>
          <w:tcPr>
            <w:tcW w:w="1009" w:type="pct"/>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highlight w:val="none"/>
                <w:u w:val="none"/>
                <w:lang w:val="en-US"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2.41</w:t>
            </w:r>
          </w:p>
        </w:tc>
        <w:tc>
          <w:tcPr>
            <w:tcW w:w="1042" w:type="pct"/>
            <w:tcBorders>
              <w:top w:val="nil"/>
              <w:left w:val="single" w:color="auto" w:sz="4" w:space="0"/>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highlight w:val="none"/>
                <w:u w:val="none"/>
                <w:lang w:val="en-US"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0.57</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420" w:firstLineChars="200"/>
              <w:jc w:val="both"/>
              <w:textAlignment w:val="auto"/>
              <w:rPr>
                <w:rFonts w:hint="default" w:ascii="Times New Roman" w:hAnsi="Times New Roman" w:eastAsia="宋体" w:cs="Times New Roman"/>
                <w:color w:val="0C0C0C"/>
                <w:kern w:val="0"/>
                <w:sz w:val="21"/>
                <w:szCs w:val="21"/>
                <w:highlight w:val="none"/>
                <w:lang w:val="en-US" w:eastAsia="zh-CN" w:bidi="ar"/>
              </w:rPr>
            </w:pPr>
            <w:r>
              <w:rPr>
                <w:rFonts w:hint="default" w:ascii="Times New Roman" w:hAnsi="Times New Roman" w:eastAsia="宋体" w:cs="Times New Roman"/>
                <w:color w:val="0C0C0C"/>
                <w:kern w:val="0"/>
                <w:sz w:val="21"/>
                <w:szCs w:val="21"/>
                <w:highlight w:val="none"/>
                <w:lang w:val="en-US" w:eastAsia="zh-CN" w:bidi="ar"/>
              </w:rPr>
              <w:t>烟草制品业</w:t>
            </w:r>
          </w:p>
        </w:tc>
        <w:tc>
          <w:tcPr>
            <w:tcW w:w="1009" w:type="pct"/>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highlight w:val="none"/>
                <w:u w:val="none"/>
                <w:lang w:val="en-US"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2.87</w:t>
            </w:r>
          </w:p>
        </w:tc>
        <w:tc>
          <w:tcPr>
            <w:tcW w:w="1042" w:type="pct"/>
            <w:tcBorders>
              <w:top w:val="nil"/>
              <w:left w:val="single" w:color="auto" w:sz="4" w:space="0"/>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highlight w:val="none"/>
                <w:u w:val="none"/>
                <w:lang w:val="en-US"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1.10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420" w:firstLineChars="200"/>
              <w:jc w:val="both"/>
              <w:textAlignment w:val="auto"/>
              <w:rPr>
                <w:rFonts w:hint="default" w:ascii="Times New Roman" w:hAnsi="Times New Roman" w:eastAsia="宋体" w:cs="Times New Roman"/>
                <w:color w:val="0C0C0C"/>
                <w:kern w:val="0"/>
                <w:sz w:val="21"/>
                <w:szCs w:val="21"/>
                <w:highlight w:val="none"/>
                <w:lang w:val="en-US" w:eastAsia="zh-CN" w:bidi="ar"/>
              </w:rPr>
            </w:pPr>
            <w:r>
              <w:rPr>
                <w:rFonts w:hint="default" w:ascii="Times New Roman" w:hAnsi="Times New Roman" w:eastAsia="宋体" w:cs="Times New Roman"/>
                <w:color w:val="0C0C0C"/>
                <w:kern w:val="0"/>
                <w:sz w:val="21"/>
                <w:szCs w:val="21"/>
                <w:highlight w:val="none"/>
                <w:lang w:val="en-US" w:eastAsia="zh-CN" w:bidi="ar"/>
              </w:rPr>
              <w:t>纺织业</w:t>
            </w:r>
          </w:p>
        </w:tc>
        <w:tc>
          <w:tcPr>
            <w:tcW w:w="1009" w:type="pct"/>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highlight w:val="none"/>
                <w:u w:val="none"/>
                <w:lang w:val="en-US"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2.52</w:t>
            </w:r>
          </w:p>
        </w:tc>
        <w:tc>
          <w:tcPr>
            <w:tcW w:w="1042" w:type="pct"/>
            <w:tcBorders>
              <w:top w:val="nil"/>
              <w:left w:val="single" w:color="auto" w:sz="4" w:space="0"/>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highlight w:val="none"/>
                <w:u w:val="none"/>
                <w:lang w:val="en-US"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2.00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420" w:firstLineChars="200"/>
              <w:jc w:val="both"/>
              <w:textAlignment w:val="auto"/>
              <w:rPr>
                <w:rFonts w:hint="default" w:ascii="Times New Roman" w:hAnsi="Times New Roman" w:eastAsia="宋体" w:cs="Times New Roman"/>
                <w:color w:val="0C0C0C"/>
                <w:kern w:val="0"/>
                <w:sz w:val="21"/>
                <w:szCs w:val="21"/>
                <w:highlight w:val="none"/>
                <w:lang w:val="en-US" w:eastAsia="zh-CN" w:bidi="ar"/>
              </w:rPr>
            </w:pPr>
            <w:r>
              <w:rPr>
                <w:rFonts w:hint="default" w:ascii="Times New Roman" w:hAnsi="Times New Roman" w:eastAsia="宋体" w:cs="Times New Roman"/>
                <w:color w:val="0C0C0C"/>
                <w:kern w:val="0"/>
                <w:sz w:val="21"/>
                <w:szCs w:val="21"/>
                <w:highlight w:val="none"/>
                <w:lang w:val="en-US" w:eastAsia="zh-CN" w:bidi="ar"/>
              </w:rPr>
              <w:t>纺织服装、服饰业</w:t>
            </w:r>
          </w:p>
        </w:tc>
        <w:tc>
          <w:tcPr>
            <w:tcW w:w="1009" w:type="pct"/>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highlight w:val="none"/>
                <w:u w:val="none"/>
                <w:lang w:val="en-US"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1.63</w:t>
            </w:r>
          </w:p>
        </w:tc>
        <w:tc>
          <w:tcPr>
            <w:tcW w:w="1042" w:type="pct"/>
            <w:tcBorders>
              <w:top w:val="nil"/>
              <w:left w:val="single" w:color="auto" w:sz="4" w:space="0"/>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highlight w:val="none"/>
                <w:u w:val="none"/>
                <w:lang w:val="en-US"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0.62</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420" w:firstLineChars="200"/>
              <w:jc w:val="both"/>
              <w:textAlignment w:val="auto"/>
              <w:rPr>
                <w:rFonts w:hint="default" w:ascii="Times New Roman" w:hAnsi="Times New Roman" w:eastAsia="宋体" w:cs="Times New Roman"/>
                <w:color w:val="0C0C0C"/>
                <w:kern w:val="0"/>
                <w:sz w:val="21"/>
                <w:szCs w:val="21"/>
                <w:highlight w:val="none"/>
                <w:lang w:val="en-US" w:eastAsia="zh-CN" w:bidi="ar"/>
              </w:rPr>
            </w:pPr>
            <w:r>
              <w:rPr>
                <w:rFonts w:hint="default" w:ascii="Times New Roman" w:hAnsi="Times New Roman" w:eastAsia="宋体" w:cs="Times New Roman"/>
                <w:color w:val="0C0C0C"/>
                <w:kern w:val="0"/>
                <w:sz w:val="21"/>
                <w:szCs w:val="21"/>
                <w:highlight w:val="none"/>
                <w:lang w:val="en-US" w:eastAsia="zh-CN" w:bidi="ar"/>
              </w:rPr>
              <w:t>皮革、毛皮、羽毛及其制品和制鞋业</w:t>
            </w:r>
          </w:p>
        </w:tc>
        <w:tc>
          <w:tcPr>
            <w:tcW w:w="1009" w:type="pct"/>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highlight w:val="none"/>
                <w:u w:val="none"/>
                <w:lang w:val="en-US"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1.22</w:t>
            </w:r>
          </w:p>
        </w:tc>
        <w:tc>
          <w:tcPr>
            <w:tcW w:w="1042" w:type="pct"/>
            <w:tcBorders>
              <w:top w:val="nil"/>
              <w:left w:val="single" w:color="auto" w:sz="4" w:space="0"/>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highlight w:val="none"/>
                <w:u w:val="none"/>
                <w:lang w:val="en-US"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0.75</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420" w:firstLineChars="200"/>
              <w:jc w:val="both"/>
              <w:textAlignment w:val="auto"/>
              <w:rPr>
                <w:rFonts w:hint="default" w:ascii="Times New Roman" w:hAnsi="Times New Roman" w:eastAsia="宋体" w:cs="Times New Roman"/>
                <w:color w:val="0C0C0C"/>
                <w:kern w:val="0"/>
                <w:sz w:val="21"/>
                <w:szCs w:val="21"/>
                <w:highlight w:val="none"/>
                <w:lang w:val="en-US" w:eastAsia="zh-CN" w:bidi="ar"/>
              </w:rPr>
            </w:pPr>
            <w:r>
              <w:rPr>
                <w:rFonts w:hint="default" w:ascii="Times New Roman" w:hAnsi="Times New Roman" w:eastAsia="宋体" w:cs="Times New Roman"/>
                <w:color w:val="0C0C0C"/>
                <w:kern w:val="0"/>
                <w:sz w:val="21"/>
                <w:szCs w:val="21"/>
                <w:highlight w:val="none"/>
                <w:lang w:val="en-US" w:eastAsia="zh-CN" w:bidi="ar"/>
              </w:rPr>
              <w:t>木材加工和木、竹、藤、棕、草制品业</w:t>
            </w:r>
          </w:p>
        </w:tc>
        <w:tc>
          <w:tcPr>
            <w:tcW w:w="1009" w:type="pct"/>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highlight w:val="none"/>
                <w:u w:val="none"/>
                <w:lang w:val="en-US"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0.17</w:t>
            </w:r>
          </w:p>
        </w:tc>
        <w:tc>
          <w:tcPr>
            <w:tcW w:w="1042" w:type="pct"/>
            <w:tcBorders>
              <w:top w:val="nil"/>
              <w:left w:val="single" w:color="auto" w:sz="4" w:space="0"/>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highlight w:val="none"/>
                <w:u w:val="none"/>
                <w:lang w:val="en-US"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0.59</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420" w:firstLineChars="200"/>
              <w:jc w:val="both"/>
              <w:textAlignment w:val="auto"/>
              <w:rPr>
                <w:rFonts w:hint="default" w:ascii="Times New Roman" w:hAnsi="Times New Roman" w:eastAsia="宋体" w:cs="Times New Roman"/>
                <w:color w:val="0C0C0C"/>
                <w:kern w:val="0"/>
                <w:sz w:val="21"/>
                <w:szCs w:val="21"/>
                <w:highlight w:val="none"/>
                <w:lang w:val="en-US" w:eastAsia="zh-CN" w:bidi="ar"/>
              </w:rPr>
            </w:pPr>
            <w:r>
              <w:rPr>
                <w:rFonts w:hint="default" w:ascii="Times New Roman" w:hAnsi="Times New Roman" w:eastAsia="宋体" w:cs="Times New Roman"/>
                <w:color w:val="0C0C0C"/>
                <w:kern w:val="0"/>
                <w:sz w:val="21"/>
                <w:szCs w:val="21"/>
                <w:highlight w:val="none"/>
                <w:lang w:val="en-US" w:eastAsia="zh-CN" w:bidi="ar"/>
              </w:rPr>
              <w:t>家具制造业</w:t>
            </w:r>
          </w:p>
        </w:tc>
        <w:tc>
          <w:tcPr>
            <w:tcW w:w="1009" w:type="pct"/>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highlight w:val="none"/>
                <w:u w:val="none"/>
                <w:lang w:val="en-US"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6.52</w:t>
            </w:r>
          </w:p>
        </w:tc>
        <w:tc>
          <w:tcPr>
            <w:tcW w:w="1042" w:type="pct"/>
            <w:tcBorders>
              <w:top w:val="nil"/>
              <w:left w:val="single" w:color="auto" w:sz="4" w:space="0"/>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highlight w:val="none"/>
                <w:u w:val="none"/>
                <w:lang w:val="en-US"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1.78</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420" w:firstLineChars="20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造纸和纸制品业</w:t>
            </w:r>
          </w:p>
        </w:tc>
        <w:tc>
          <w:tcPr>
            <w:tcW w:w="1009" w:type="pct"/>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1.24</w:t>
            </w:r>
          </w:p>
        </w:tc>
        <w:tc>
          <w:tcPr>
            <w:tcW w:w="1042" w:type="pct"/>
            <w:tcBorders>
              <w:top w:val="nil"/>
              <w:left w:val="single" w:color="auto" w:sz="4" w:space="0"/>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0.73</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420" w:firstLineChars="20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印刷和记录媒介复制业</w:t>
            </w:r>
          </w:p>
        </w:tc>
        <w:tc>
          <w:tcPr>
            <w:tcW w:w="1009" w:type="pct"/>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0.98</w:t>
            </w:r>
          </w:p>
        </w:tc>
        <w:tc>
          <w:tcPr>
            <w:tcW w:w="1042" w:type="pct"/>
            <w:tcBorders>
              <w:top w:val="nil"/>
              <w:left w:val="single" w:color="auto" w:sz="4" w:space="0"/>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0.72</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420" w:firstLineChars="20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文教、工美、体育和娱乐用品制造业</w:t>
            </w:r>
          </w:p>
        </w:tc>
        <w:tc>
          <w:tcPr>
            <w:tcW w:w="1009" w:type="pct"/>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1.64</w:t>
            </w:r>
          </w:p>
        </w:tc>
        <w:tc>
          <w:tcPr>
            <w:tcW w:w="1042" w:type="pct"/>
            <w:tcBorders>
              <w:top w:val="nil"/>
              <w:left w:val="single" w:color="auto" w:sz="4" w:space="0"/>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1.21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420" w:firstLineChars="20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石油、煤炭及其他燃料加工业</w:t>
            </w:r>
          </w:p>
        </w:tc>
        <w:tc>
          <w:tcPr>
            <w:tcW w:w="1009" w:type="pct"/>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1.55</w:t>
            </w:r>
          </w:p>
        </w:tc>
        <w:tc>
          <w:tcPr>
            <w:tcW w:w="1042" w:type="pct"/>
            <w:tcBorders>
              <w:top w:val="nil"/>
              <w:left w:val="single" w:color="auto" w:sz="4" w:space="0"/>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0.24</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420" w:firstLineChars="20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化学原料和化学制品制造业</w:t>
            </w:r>
          </w:p>
        </w:tc>
        <w:tc>
          <w:tcPr>
            <w:tcW w:w="1009" w:type="pct"/>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17.14</w:t>
            </w:r>
          </w:p>
        </w:tc>
        <w:tc>
          <w:tcPr>
            <w:tcW w:w="1042" w:type="pct"/>
            <w:tcBorders>
              <w:top w:val="nil"/>
              <w:left w:val="single" w:color="auto" w:sz="4" w:space="0"/>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1.20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420" w:firstLineChars="20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医药制造业</w:t>
            </w:r>
          </w:p>
        </w:tc>
        <w:tc>
          <w:tcPr>
            <w:tcW w:w="1009" w:type="pct"/>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34.42</w:t>
            </w:r>
          </w:p>
        </w:tc>
        <w:tc>
          <w:tcPr>
            <w:tcW w:w="1042" w:type="pct"/>
            <w:tcBorders>
              <w:top w:val="nil"/>
              <w:left w:val="single" w:color="auto" w:sz="4" w:space="0"/>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6.41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420" w:firstLineChars="20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化学纤维制造业</w:t>
            </w:r>
          </w:p>
        </w:tc>
        <w:tc>
          <w:tcPr>
            <w:tcW w:w="1009" w:type="pct"/>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0.09</w:t>
            </w:r>
          </w:p>
        </w:tc>
        <w:tc>
          <w:tcPr>
            <w:tcW w:w="1042" w:type="pct"/>
            <w:tcBorders>
              <w:top w:val="nil"/>
              <w:left w:val="single" w:color="auto" w:sz="4" w:space="0"/>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0.94</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420" w:firstLineChars="20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橡胶和塑料制品业</w:t>
            </w:r>
          </w:p>
        </w:tc>
        <w:tc>
          <w:tcPr>
            <w:tcW w:w="1009" w:type="pct"/>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13.42</w:t>
            </w:r>
          </w:p>
        </w:tc>
        <w:tc>
          <w:tcPr>
            <w:tcW w:w="1042" w:type="pct"/>
            <w:tcBorders>
              <w:top w:val="nil"/>
              <w:left w:val="single" w:color="auto" w:sz="4" w:space="0"/>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2.11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420" w:firstLineChars="20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非金属矿物制品业</w:t>
            </w:r>
          </w:p>
        </w:tc>
        <w:tc>
          <w:tcPr>
            <w:tcW w:w="1009" w:type="pct"/>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5.16</w:t>
            </w:r>
          </w:p>
        </w:tc>
        <w:tc>
          <w:tcPr>
            <w:tcW w:w="1042" w:type="pct"/>
            <w:tcBorders>
              <w:top w:val="nil"/>
              <w:left w:val="single" w:color="auto" w:sz="4" w:space="0"/>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0.95</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420" w:firstLineChars="20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黑色金属冶炼和压延加工业</w:t>
            </w:r>
          </w:p>
        </w:tc>
        <w:tc>
          <w:tcPr>
            <w:tcW w:w="1009" w:type="pct"/>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1.37</w:t>
            </w:r>
          </w:p>
        </w:tc>
        <w:tc>
          <w:tcPr>
            <w:tcW w:w="1042" w:type="pct"/>
            <w:tcBorders>
              <w:top w:val="nil"/>
              <w:left w:val="single" w:color="auto" w:sz="4" w:space="0"/>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0.45</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420" w:firstLineChars="20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有色金属冶炼和压延加工业</w:t>
            </w:r>
          </w:p>
        </w:tc>
        <w:tc>
          <w:tcPr>
            <w:tcW w:w="1009" w:type="pct"/>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1.51</w:t>
            </w:r>
          </w:p>
        </w:tc>
        <w:tc>
          <w:tcPr>
            <w:tcW w:w="1042" w:type="pct"/>
            <w:tcBorders>
              <w:top w:val="nil"/>
              <w:left w:val="single" w:color="auto" w:sz="4" w:space="0"/>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0.15</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420" w:firstLineChars="20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金属制品业</w:t>
            </w:r>
          </w:p>
        </w:tc>
        <w:tc>
          <w:tcPr>
            <w:tcW w:w="1009" w:type="pct"/>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7.28</w:t>
            </w:r>
          </w:p>
        </w:tc>
        <w:tc>
          <w:tcPr>
            <w:tcW w:w="1042" w:type="pct"/>
            <w:tcBorders>
              <w:top w:val="nil"/>
              <w:left w:val="single" w:color="auto" w:sz="4" w:space="0"/>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1.52</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420" w:firstLineChars="20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通用设备制造业</w:t>
            </w:r>
          </w:p>
        </w:tc>
        <w:tc>
          <w:tcPr>
            <w:tcW w:w="1009" w:type="pct"/>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26.49</w:t>
            </w:r>
          </w:p>
        </w:tc>
        <w:tc>
          <w:tcPr>
            <w:tcW w:w="1042" w:type="pct"/>
            <w:tcBorders>
              <w:top w:val="nil"/>
              <w:left w:val="single" w:color="auto" w:sz="4" w:space="0"/>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2.84</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420" w:firstLineChars="20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专用设备制造业</w:t>
            </w:r>
          </w:p>
        </w:tc>
        <w:tc>
          <w:tcPr>
            <w:tcW w:w="1009" w:type="pct"/>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16.02</w:t>
            </w:r>
          </w:p>
        </w:tc>
        <w:tc>
          <w:tcPr>
            <w:tcW w:w="1042" w:type="pct"/>
            <w:tcBorders>
              <w:top w:val="nil"/>
              <w:left w:val="single" w:color="auto" w:sz="4" w:space="0"/>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3.23</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420" w:firstLineChars="20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汽车制造业</w:t>
            </w:r>
          </w:p>
        </w:tc>
        <w:tc>
          <w:tcPr>
            <w:tcW w:w="1009" w:type="pct"/>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133.23</w:t>
            </w:r>
          </w:p>
        </w:tc>
        <w:tc>
          <w:tcPr>
            <w:tcW w:w="1042" w:type="pct"/>
            <w:tcBorders>
              <w:top w:val="nil"/>
              <w:left w:val="single" w:color="auto" w:sz="4" w:space="0"/>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2.07</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420" w:firstLineChars="20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铁路、船舶、航空航天和其他运输设备制造业</w:t>
            </w:r>
          </w:p>
        </w:tc>
        <w:tc>
          <w:tcPr>
            <w:tcW w:w="1009" w:type="pct"/>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5.23</w:t>
            </w:r>
          </w:p>
        </w:tc>
        <w:tc>
          <w:tcPr>
            <w:tcW w:w="1042" w:type="pct"/>
            <w:tcBorders>
              <w:top w:val="nil"/>
              <w:left w:val="single" w:color="auto" w:sz="4" w:space="0"/>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0.78</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420" w:firstLineChars="20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电气机械和器材制造业</w:t>
            </w:r>
          </w:p>
        </w:tc>
        <w:tc>
          <w:tcPr>
            <w:tcW w:w="1009" w:type="pct"/>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36.58</w:t>
            </w:r>
          </w:p>
        </w:tc>
        <w:tc>
          <w:tcPr>
            <w:tcW w:w="1042" w:type="pct"/>
            <w:tcBorders>
              <w:top w:val="nil"/>
              <w:left w:val="single" w:color="auto" w:sz="4" w:space="0"/>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2.72</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420" w:firstLineChars="20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计算机、通信和其他电子设备制造业</w:t>
            </w:r>
          </w:p>
        </w:tc>
        <w:tc>
          <w:tcPr>
            <w:tcW w:w="1009" w:type="pct"/>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79.4</w:t>
            </w:r>
          </w:p>
        </w:tc>
        <w:tc>
          <w:tcPr>
            <w:tcW w:w="1042" w:type="pct"/>
            <w:tcBorders>
              <w:top w:val="nil"/>
              <w:left w:val="single" w:color="auto" w:sz="4" w:space="0"/>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2.94</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420" w:firstLineChars="20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仪器仪表制造业</w:t>
            </w:r>
          </w:p>
        </w:tc>
        <w:tc>
          <w:tcPr>
            <w:tcW w:w="1009" w:type="pct"/>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6.74</w:t>
            </w:r>
          </w:p>
        </w:tc>
        <w:tc>
          <w:tcPr>
            <w:tcW w:w="1042" w:type="pct"/>
            <w:tcBorders>
              <w:top w:val="nil"/>
              <w:left w:val="single" w:color="auto" w:sz="4" w:space="0"/>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4.02</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420" w:firstLineChars="20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其他制造业</w:t>
            </w:r>
          </w:p>
        </w:tc>
        <w:tc>
          <w:tcPr>
            <w:tcW w:w="1009" w:type="pct"/>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0.16</w:t>
            </w:r>
          </w:p>
        </w:tc>
        <w:tc>
          <w:tcPr>
            <w:tcW w:w="1042" w:type="pct"/>
            <w:tcBorders>
              <w:top w:val="nil"/>
              <w:left w:val="single" w:color="auto" w:sz="4" w:space="0"/>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0.68</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420" w:firstLineChars="20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废弃资源综合利用业　</w:t>
            </w:r>
          </w:p>
        </w:tc>
        <w:tc>
          <w:tcPr>
            <w:tcW w:w="1009" w:type="pct"/>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0.29</w:t>
            </w:r>
          </w:p>
        </w:tc>
        <w:tc>
          <w:tcPr>
            <w:tcW w:w="1042" w:type="pct"/>
            <w:tcBorders>
              <w:top w:val="nil"/>
              <w:left w:val="single" w:color="auto" w:sz="4" w:space="0"/>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0.52</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420" w:firstLineChars="20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金属制品、机械和设备修理业</w:t>
            </w:r>
          </w:p>
        </w:tc>
        <w:tc>
          <w:tcPr>
            <w:tcW w:w="1009" w:type="pct"/>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1.70</w:t>
            </w:r>
          </w:p>
        </w:tc>
        <w:tc>
          <w:tcPr>
            <w:tcW w:w="1042" w:type="pct"/>
            <w:tcBorders>
              <w:top w:val="nil"/>
              <w:left w:val="single" w:color="auto" w:sz="4" w:space="0"/>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1.37</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电力、热力、燃气及水生产和供应业</w:t>
            </w:r>
          </w:p>
        </w:tc>
        <w:tc>
          <w:tcPr>
            <w:tcW w:w="1009" w:type="pct"/>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US" w:eastAsia="zh-CN" w:bidi="ar-SA"/>
              </w:rPr>
            </w:pPr>
            <w:r>
              <w:rPr>
                <w:rFonts w:hint="default" w:ascii="Times New Roman" w:hAnsi="Times New Roman" w:eastAsia="宋体" w:cs="Times New Roman"/>
                <w:b/>
                <w:bCs/>
                <w:color w:val="0C0C0C"/>
                <w:kern w:val="2"/>
                <w:sz w:val="21"/>
                <w:szCs w:val="21"/>
                <w:highlight w:val="none"/>
                <w:lang w:val="en-US" w:eastAsia="zh-CN" w:bidi="ar-SA"/>
              </w:rPr>
              <w:t>30.55</w:t>
            </w:r>
          </w:p>
        </w:tc>
        <w:tc>
          <w:tcPr>
            <w:tcW w:w="1042" w:type="pct"/>
            <w:tcBorders>
              <w:top w:val="nil"/>
              <w:left w:val="single" w:color="auto" w:sz="4" w:space="0"/>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US" w:eastAsia="zh-CN" w:bidi="ar-SA"/>
              </w:rPr>
            </w:pPr>
            <w:r>
              <w:rPr>
                <w:rFonts w:hint="default" w:ascii="Times New Roman" w:hAnsi="Times New Roman" w:eastAsia="宋体" w:cs="Times New Roman"/>
                <w:b/>
                <w:bCs/>
                <w:color w:val="0C0C0C"/>
                <w:kern w:val="2"/>
                <w:sz w:val="21"/>
                <w:szCs w:val="21"/>
                <w:highlight w:val="none"/>
                <w:lang w:val="en-US" w:eastAsia="zh-CN" w:bidi="ar-SA"/>
              </w:rPr>
              <w:t>0.88</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420" w:firstLineChars="20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电力、热力生产和供应业</w:t>
            </w:r>
          </w:p>
        </w:tc>
        <w:tc>
          <w:tcPr>
            <w:tcW w:w="1009" w:type="pct"/>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26.26</w:t>
            </w:r>
          </w:p>
        </w:tc>
        <w:tc>
          <w:tcPr>
            <w:tcW w:w="1042" w:type="pct"/>
            <w:tcBorders>
              <w:top w:val="nil"/>
              <w:left w:val="single" w:color="auto" w:sz="4" w:space="0"/>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1.25</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420" w:firstLineChars="20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燃气生产和供应业　</w:t>
            </w:r>
          </w:p>
        </w:tc>
        <w:tc>
          <w:tcPr>
            <w:tcW w:w="1009" w:type="pct"/>
            <w:tcBorders>
              <w:top w:val="nil"/>
              <w:left w:val="single" w:color="auto" w:sz="4" w:space="0"/>
              <w:bottom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2.17</w:t>
            </w:r>
          </w:p>
        </w:tc>
        <w:tc>
          <w:tcPr>
            <w:tcW w:w="1042" w:type="pct"/>
            <w:tcBorders>
              <w:top w:val="nil"/>
              <w:left w:val="single" w:color="auto" w:sz="4" w:space="0"/>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0.18</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420" w:firstLineChars="20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水的生产和供应业　</w:t>
            </w:r>
          </w:p>
        </w:tc>
        <w:tc>
          <w:tcPr>
            <w:tcW w:w="1009" w:type="pct"/>
            <w:tcBorders>
              <w:top w:val="nil"/>
              <w:left w:val="single" w:color="auto" w:sz="4" w:space="0"/>
              <w:bottom w:val="single" w:color="auto" w:sz="12" w:space="0"/>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2.12</w:t>
            </w:r>
          </w:p>
        </w:tc>
        <w:tc>
          <w:tcPr>
            <w:tcW w:w="1042" w:type="pct"/>
            <w:tcBorders>
              <w:top w:val="nil"/>
              <w:left w:val="single" w:color="auto" w:sz="4" w:space="0"/>
              <w:bottom w:val="single" w:color="auto" w:sz="12" w:space="0"/>
              <w:right w:val="nil"/>
            </w:tcBorders>
            <w:noWrap w:val="0"/>
            <w:vAlign w:val="top"/>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1.58</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黑体" w:cs="Times New Roman"/>
          <w:b w:val="0"/>
          <w:bCs/>
          <w:i w:val="0"/>
          <w:caps w:val="0"/>
          <w:color w:val="0C0C0C"/>
          <w:spacing w:val="0"/>
          <w:kern w:val="0"/>
          <w:sz w:val="32"/>
          <w:szCs w:val="32"/>
          <w:highlight w:val="none"/>
          <w:lang w:bidi="ar"/>
        </w:rPr>
      </w:pPr>
      <w:r>
        <w:rPr>
          <w:rFonts w:hint="default" w:ascii="Times New Roman" w:hAnsi="Times New Roman" w:eastAsia="黑体" w:cs="Times New Roman"/>
          <w:b w:val="0"/>
          <w:bCs/>
          <w:i w:val="0"/>
          <w:caps w:val="0"/>
          <w:color w:val="0C0C0C"/>
          <w:spacing w:val="0"/>
          <w:kern w:val="0"/>
          <w:sz w:val="32"/>
          <w:szCs w:val="32"/>
          <w:highlight w:val="none"/>
          <w:lang w:val="en-US" w:eastAsia="zh-CN" w:bidi="ar"/>
        </w:rPr>
        <w:t>五、文化及相关产业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2023年末，全市共有文化及相关产业法人单位113681个，从业人员70.45万人，分别比2018年末增长52.8%和4.7%；资产总计8982.14亿元，比2018年末增长38.4%。</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2023年末，全市共有经营性文化产业法人单位111776个，从业人员68.30万人，分别比2018年末增长54.1%和4.6%；资产总计8643.45亿元，比2018年末增长38.6%；全年实现营业收入6955.35亿元，比2018年增长44.3%。</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2023年末，全市共有公益性文化事业（含社团）法人单位1905个，从业人员2.15万人，分别比2018年末增长2.0%和5.3%；资产总计338.69亿元，比2018年末增长32.8%；本年支出（费用）合计160.69亿元，比2018年增长35.5%。</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0"/>
        <w:jc w:val="both"/>
        <w:textAlignment w:val="auto"/>
        <w:rPr>
          <w:rFonts w:hint="default" w:ascii="Times New Roman" w:hAnsi="Times New Roman" w:eastAsia="方正仿宋_GBK" w:cs="Times New Roman"/>
          <w:b/>
          <w:i w:val="0"/>
          <w:caps w:val="0"/>
          <w:color w:val="0C0C0C"/>
          <w:spacing w:val="0"/>
          <w:kern w:val="0"/>
          <w:sz w:val="32"/>
          <w:szCs w:val="32"/>
          <w:highlight w:val="none"/>
          <w:lang w:val="en-US" w:eastAsia="zh-CN"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0" w:firstLine="560" w:firstLineChars="200"/>
        <w:jc w:val="both"/>
        <w:textAlignment w:val="center"/>
        <w:rPr>
          <w:rFonts w:hint="default" w:ascii="Times New Roman" w:hAnsi="Times New Roman" w:eastAsia="方正黑体_GBK" w:cs="Times New Roman"/>
          <w:i w:val="0"/>
          <w:caps w:val="0"/>
          <w:color w:val="0C0C0C"/>
          <w:spacing w:val="0"/>
          <w:sz w:val="28"/>
          <w:szCs w:val="28"/>
          <w:highlight w:val="none"/>
        </w:rPr>
      </w:pPr>
      <w:r>
        <w:rPr>
          <w:rFonts w:hint="default" w:ascii="Times New Roman" w:hAnsi="Times New Roman" w:eastAsia="方正黑体_GBK" w:cs="Times New Roman"/>
          <w:b w:val="0"/>
          <w:bCs/>
          <w:i w:val="0"/>
          <w:caps w:val="0"/>
          <w:color w:val="0C0C0C"/>
          <w:spacing w:val="0"/>
          <w:kern w:val="0"/>
          <w:sz w:val="28"/>
          <w:szCs w:val="28"/>
          <w:highlight w:val="none"/>
          <w:lang w:val="en-US" w:eastAsia="zh-CN" w:bidi="ar"/>
        </w:rPr>
        <w:t>注释：</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560" w:firstLineChars="200"/>
        <w:jc w:val="both"/>
        <w:textAlignment w:val="auto"/>
        <w:rPr>
          <w:rFonts w:hint="default" w:ascii="Times New Roman" w:hAnsi="Times New Roman" w:eastAsia="方正仿宋_GBK" w:cs="Times New Roman"/>
          <w:i w:val="0"/>
          <w:caps w:val="0"/>
          <w:color w:val="0C0C0C"/>
          <w:spacing w:val="0"/>
          <w:sz w:val="28"/>
          <w:szCs w:val="28"/>
          <w:highlight w:val="none"/>
        </w:rPr>
      </w:pPr>
      <w:r>
        <w:rPr>
          <w:rFonts w:hint="default" w:ascii="Times New Roman" w:hAnsi="Times New Roman" w:eastAsia="方正仿宋_GBK" w:cs="Times New Roman"/>
          <w:i w:val="0"/>
          <w:caps w:val="0"/>
          <w:color w:val="0C0C0C"/>
          <w:spacing w:val="0"/>
          <w:kern w:val="0"/>
          <w:sz w:val="28"/>
          <w:szCs w:val="28"/>
          <w:highlight w:val="none"/>
          <w:lang w:val="en-US" w:eastAsia="zh-CN" w:bidi="ar"/>
        </w:rPr>
        <w:t>[1]战略性新兴产业：根据《国务院关于加快培育和发展战略性新兴产业的决定》（国发〔2010〕32号）的精神和国家统计局制定的《战略性新兴产业分类（2018）》《工业战略性新兴产业分类目录（2023）》确定。战略性新兴产业是以重大技术突破和重大发展需求为基础，对经济社会全局和长远发展具有重大引领带动作用，知识技术密集、物质资源消耗少、成长潜力大、综合效益好的产业，包括：新一代信息技术产业、高端装备制造业、新材料产业、生物产业、新能源汽车产业、新能源产业、绿色环保产业、航空航天产业、海洋装备产业、数字创意产业、相关服务业等领域。</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560" w:firstLineChars="200"/>
        <w:jc w:val="both"/>
        <w:textAlignment w:val="auto"/>
        <w:rPr>
          <w:rFonts w:hint="default" w:ascii="Times New Roman" w:hAnsi="Times New Roman" w:eastAsia="方正仿宋_GBK" w:cs="Times New Roman"/>
          <w:i w:val="0"/>
          <w:caps w:val="0"/>
          <w:color w:val="0C0C0C"/>
          <w:spacing w:val="0"/>
          <w:sz w:val="28"/>
          <w:szCs w:val="28"/>
          <w:highlight w:val="none"/>
        </w:rPr>
      </w:pPr>
      <w:r>
        <w:rPr>
          <w:rFonts w:hint="default" w:ascii="Times New Roman" w:hAnsi="Times New Roman" w:eastAsia="方正仿宋_GBK" w:cs="Times New Roman"/>
          <w:i w:val="0"/>
          <w:caps w:val="0"/>
          <w:color w:val="0C0C0C"/>
          <w:spacing w:val="0"/>
          <w:kern w:val="0"/>
          <w:sz w:val="28"/>
          <w:szCs w:val="28"/>
          <w:highlight w:val="none"/>
          <w:lang w:val="en-US" w:eastAsia="zh-CN" w:bidi="ar"/>
        </w:rPr>
        <w:t>[2]规模以上工业：是指年主营业务收入2000万元及以上的工业法人单位。</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560" w:firstLineChars="200"/>
        <w:jc w:val="both"/>
        <w:textAlignment w:val="auto"/>
        <w:rPr>
          <w:rFonts w:hint="default" w:ascii="Times New Roman" w:hAnsi="Times New Roman" w:eastAsia="方正仿宋_GBK" w:cs="Times New Roman"/>
          <w:i w:val="0"/>
          <w:caps w:val="0"/>
          <w:color w:val="0C0C0C"/>
          <w:spacing w:val="0"/>
          <w:kern w:val="0"/>
          <w:sz w:val="28"/>
          <w:szCs w:val="28"/>
          <w:highlight w:val="none"/>
          <w:lang w:val="en-US" w:eastAsia="zh-CN" w:bidi="ar"/>
        </w:rPr>
      </w:pPr>
      <w:r>
        <w:rPr>
          <w:rFonts w:hint="default" w:ascii="Times New Roman" w:hAnsi="Times New Roman" w:eastAsia="方正仿宋_GBK" w:cs="Times New Roman"/>
          <w:i w:val="0"/>
          <w:caps w:val="0"/>
          <w:color w:val="0C0C0C"/>
          <w:spacing w:val="0"/>
          <w:kern w:val="0"/>
          <w:sz w:val="28"/>
          <w:szCs w:val="28"/>
          <w:highlight w:val="none"/>
          <w:lang w:val="en-US" w:eastAsia="zh-CN" w:bidi="ar"/>
        </w:rPr>
        <w:t>[3]高技术制造业：按照《高技术产业（制造业）分类（2017）》，高技术制造业是指国民经济行业中R&amp;D投入强度相对高的制造业行业，包括：医药制造，航空、航天器及设备制造，电子及通信设备制造，计算机及办公设备制造，医疗仪器设备及仪器仪表制造，信息化学品制造等6大类。</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560" w:firstLineChars="200"/>
        <w:jc w:val="both"/>
        <w:textAlignment w:val="auto"/>
        <w:rPr>
          <w:rFonts w:hint="default" w:ascii="Times New Roman" w:hAnsi="Times New Roman" w:eastAsia="方正仿宋_GBK" w:cs="Times New Roman"/>
          <w:i w:val="0"/>
          <w:caps w:val="0"/>
          <w:color w:val="0C0C0C"/>
          <w:spacing w:val="0"/>
          <w:sz w:val="28"/>
          <w:szCs w:val="28"/>
          <w:highlight w:val="none"/>
        </w:rPr>
      </w:pPr>
      <w:r>
        <w:rPr>
          <w:rFonts w:hint="default" w:ascii="Times New Roman" w:hAnsi="Times New Roman" w:eastAsia="方正仿宋_GBK" w:cs="Times New Roman"/>
          <w:i w:val="0"/>
          <w:caps w:val="0"/>
          <w:color w:val="0C0C0C"/>
          <w:spacing w:val="0"/>
          <w:kern w:val="0"/>
          <w:sz w:val="28"/>
          <w:szCs w:val="28"/>
          <w:highlight w:val="none"/>
          <w:lang w:val="en-US" w:eastAsia="zh-CN" w:bidi="ar"/>
        </w:rPr>
        <w:t>[4]规模以上服务业：是指年营业收入2000万元及以上服务业法人单位，包括交通运输、仓储和邮政业，信息传输、软件和信息技术服务业，水利、环境和公共设施管理业</w:t>
      </w:r>
      <w:r>
        <w:rPr>
          <w:rFonts w:hint="default" w:ascii="Times New Roman" w:hAnsi="Times New Roman" w:cs="Times New Roman"/>
          <w:i w:val="0"/>
          <w:caps w:val="0"/>
          <w:color w:val="0C0C0C"/>
          <w:spacing w:val="0"/>
          <w:kern w:val="0"/>
          <w:sz w:val="28"/>
          <w:szCs w:val="28"/>
          <w:highlight w:val="none"/>
          <w:lang w:val="en-US" w:eastAsia="zh-CN" w:bidi="ar"/>
        </w:rPr>
        <w:t>3</w:t>
      </w:r>
      <w:r>
        <w:rPr>
          <w:rFonts w:hint="default" w:ascii="Times New Roman" w:hAnsi="Times New Roman" w:eastAsia="方正仿宋_GBK" w:cs="Times New Roman"/>
          <w:i w:val="0"/>
          <w:caps w:val="0"/>
          <w:color w:val="0C0C0C"/>
          <w:spacing w:val="0"/>
          <w:kern w:val="0"/>
          <w:sz w:val="28"/>
          <w:szCs w:val="28"/>
          <w:highlight w:val="none"/>
          <w:lang w:val="en-US" w:eastAsia="zh-CN" w:bidi="ar"/>
        </w:rPr>
        <w:t>个行业门类和卫生行业大类；年营业收入1000万元及以上服务业法人单位，包括租赁和商务服务业，科学研究和技术服务业，教育</w:t>
      </w:r>
      <w:r>
        <w:rPr>
          <w:rFonts w:hint="default" w:ascii="Times New Roman" w:hAnsi="Times New Roman" w:cs="Times New Roman"/>
          <w:i w:val="0"/>
          <w:caps w:val="0"/>
          <w:color w:val="0C0C0C"/>
          <w:spacing w:val="0"/>
          <w:kern w:val="0"/>
          <w:sz w:val="28"/>
          <w:szCs w:val="28"/>
          <w:highlight w:val="none"/>
          <w:lang w:val="en-US" w:eastAsia="zh-CN" w:bidi="ar"/>
        </w:rPr>
        <w:t>3</w:t>
      </w:r>
      <w:r>
        <w:rPr>
          <w:rFonts w:hint="default" w:ascii="Times New Roman" w:hAnsi="Times New Roman" w:eastAsia="方正仿宋_GBK" w:cs="Times New Roman"/>
          <w:i w:val="0"/>
          <w:caps w:val="0"/>
          <w:color w:val="0C0C0C"/>
          <w:spacing w:val="0"/>
          <w:kern w:val="0"/>
          <w:sz w:val="28"/>
          <w:szCs w:val="28"/>
          <w:highlight w:val="none"/>
          <w:lang w:val="en-US" w:eastAsia="zh-CN" w:bidi="ar"/>
        </w:rPr>
        <w:t>个行业门类，以及物业管理、房地产中介服务、房地产租赁经营和其他房地产业</w:t>
      </w:r>
      <w:r>
        <w:rPr>
          <w:rFonts w:hint="default" w:ascii="Times New Roman" w:hAnsi="Times New Roman" w:cs="Times New Roman"/>
          <w:i w:val="0"/>
          <w:caps w:val="0"/>
          <w:color w:val="0C0C0C"/>
          <w:spacing w:val="0"/>
          <w:kern w:val="0"/>
          <w:sz w:val="28"/>
          <w:szCs w:val="28"/>
          <w:highlight w:val="none"/>
          <w:lang w:val="en-US" w:eastAsia="zh-CN" w:bidi="ar"/>
        </w:rPr>
        <w:t>4</w:t>
      </w:r>
      <w:r>
        <w:rPr>
          <w:rFonts w:hint="default" w:ascii="Times New Roman" w:hAnsi="Times New Roman" w:eastAsia="方正仿宋_GBK" w:cs="Times New Roman"/>
          <w:i w:val="0"/>
          <w:caps w:val="0"/>
          <w:color w:val="0C0C0C"/>
          <w:spacing w:val="0"/>
          <w:kern w:val="0"/>
          <w:sz w:val="28"/>
          <w:szCs w:val="28"/>
          <w:highlight w:val="none"/>
          <w:lang w:val="en-US" w:eastAsia="zh-CN" w:bidi="ar"/>
        </w:rPr>
        <w:t>个行业小类；年营业收入500万元及以上服务业法人单位，包括居民服务、修理和其他服务业，文化、体育和娱乐业</w:t>
      </w:r>
      <w:r>
        <w:rPr>
          <w:rFonts w:hint="default" w:ascii="Times New Roman" w:hAnsi="Times New Roman" w:cs="Times New Roman"/>
          <w:i w:val="0"/>
          <w:caps w:val="0"/>
          <w:color w:val="0C0C0C"/>
          <w:spacing w:val="0"/>
          <w:kern w:val="0"/>
          <w:sz w:val="28"/>
          <w:szCs w:val="28"/>
          <w:highlight w:val="none"/>
          <w:lang w:val="en-US" w:eastAsia="zh-CN" w:bidi="ar"/>
        </w:rPr>
        <w:t>2</w:t>
      </w:r>
      <w:r>
        <w:rPr>
          <w:rFonts w:hint="default" w:ascii="Times New Roman" w:hAnsi="Times New Roman" w:eastAsia="方正仿宋_GBK" w:cs="Times New Roman"/>
          <w:i w:val="0"/>
          <w:caps w:val="0"/>
          <w:color w:val="0C0C0C"/>
          <w:spacing w:val="0"/>
          <w:kern w:val="0"/>
          <w:sz w:val="28"/>
          <w:szCs w:val="28"/>
          <w:highlight w:val="none"/>
          <w:lang w:val="en-US" w:eastAsia="zh-CN" w:bidi="ar"/>
        </w:rPr>
        <w:t>个行业门类，以及社会工作行业大类。</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560" w:firstLineChars="200"/>
        <w:jc w:val="both"/>
        <w:textAlignment w:val="auto"/>
        <w:rPr>
          <w:rFonts w:hint="default" w:ascii="Times New Roman" w:hAnsi="Times New Roman" w:eastAsia="方正仿宋_GBK" w:cs="Times New Roman"/>
          <w:color w:val="0C0C0C"/>
          <w:kern w:val="0"/>
          <w:sz w:val="28"/>
          <w:szCs w:val="28"/>
          <w:highlight w:val="none"/>
          <w:lang w:bidi="ar"/>
        </w:rPr>
      </w:pPr>
      <w:r>
        <w:rPr>
          <w:rFonts w:hint="default" w:ascii="Times New Roman" w:hAnsi="Times New Roman" w:eastAsia="方正仿宋_GBK" w:cs="Times New Roman"/>
          <w:i w:val="0"/>
          <w:caps w:val="0"/>
          <w:color w:val="0C0C0C"/>
          <w:spacing w:val="0"/>
          <w:kern w:val="0"/>
          <w:sz w:val="28"/>
          <w:szCs w:val="28"/>
          <w:highlight w:val="none"/>
          <w:lang w:val="en-US" w:eastAsia="zh-CN" w:bidi="ar"/>
        </w:rPr>
        <w:t>[5]高技术服务业：按照《高技术产业（服务业）分类（2018）》，高技术服务业是采用高技术手段为社会提供服务活动的集合，包括信息服务、电子商务服务、检验检测服务、专业技术服务业的高技术服务、研发与设计服务、科技成果转化服务、知识产权及相关法律服务、环境监测及治理服务和其他高技术服务等9大类</w:t>
      </w:r>
      <w:r>
        <w:rPr>
          <w:rFonts w:hint="default" w:ascii="Times New Roman" w:hAnsi="Times New Roman" w:eastAsia="方正仿宋_GBK" w:cs="Times New Roman"/>
          <w:color w:val="0C0C0C"/>
          <w:kern w:val="0"/>
          <w:sz w:val="28"/>
          <w:szCs w:val="28"/>
          <w:highlight w:val="none"/>
          <w:lang w:bidi="ar"/>
        </w:rPr>
        <w:t>。</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560" w:firstLineChars="200"/>
        <w:jc w:val="both"/>
        <w:textAlignment w:val="auto"/>
        <w:rPr>
          <w:rFonts w:hint="default" w:ascii="Times New Roman" w:hAnsi="Times New Roman" w:eastAsia="方正仿宋_GBK" w:cs="Times New Roman"/>
          <w:color w:val="0C0C0C"/>
          <w:kern w:val="0"/>
          <w:sz w:val="28"/>
          <w:szCs w:val="28"/>
          <w:highlight w:val="none"/>
          <w:lang w:eastAsia="zh-CN" w:bidi="ar"/>
        </w:rPr>
      </w:pPr>
      <w:r>
        <w:rPr>
          <w:rFonts w:hint="default" w:ascii="Times New Roman" w:hAnsi="Times New Roman" w:eastAsia="方正仿宋_GBK" w:cs="Times New Roman"/>
          <w:i w:val="0"/>
          <w:caps w:val="0"/>
          <w:color w:val="0C0C0C"/>
          <w:spacing w:val="0"/>
          <w:kern w:val="0"/>
          <w:sz w:val="28"/>
          <w:szCs w:val="28"/>
          <w:highlight w:val="none"/>
          <w:lang w:val="en-US" w:eastAsia="zh-CN" w:bidi="ar"/>
        </w:rPr>
        <w:t>[6]数字经济：按照《数字经济及其核心产业统计分类（2021）》，数字经济产业范围包括01数字产品制造业、02数字产品服务业、03数字技术应用业、04数字要素驱动业、05数字化效率提升业等5个大类。其中，01-04大类为数字经济核心产业，是指为产业数字化发展提供数字技术、产品、服务、基础设施和解决方案，以及完全依赖于数字技术、数据要素的各类经济活动</w:t>
      </w:r>
      <w:r>
        <w:rPr>
          <w:rFonts w:hint="default" w:ascii="Times New Roman" w:hAnsi="Times New Roman" w:eastAsia="方正仿宋_GBK" w:cs="Times New Roman"/>
          <w:color w:val="0C0C0C"/>
          <w:kern w:val="0"/>
          <w:sz w:val="28"/>
          <w:szCs w:val="28"/>
          <w:highlight w:val="none"/>
          <w:lang w:eastAsia="zh-CN" w:bidi="ar"/>
        </w:rPr>
        <w:t>。</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560" w:firstLineChars="200"/>
        <w:jc w:val="both"/>
        <w:textAlignment w:val="auto"/>
        <w:rPr>
          <w:rFonts w:hint="default" w:ascii="Times New Roman" w:hAnsi="Times New Roman" w:eastAsia="方正仿宋_GBK" w:cs="Times New Roman"/>
          <w:i w:val="0"/>
          <w:caps w:val="0"/>
          <w:color w:val="0C0C0C"/>
          <w:spacing w:val="0"/>
          <w:kern w:val="0"/>
          <w:sz w:val="28"/>
          <w:szCs w:val="28"/>
          <w:highlight w:val="none"/>
          <w:lang w:val="en-US" w:eastAsia="zh-CN" w:bidi="ar"/>
        </w:rPr>
      </w:pPr>
      <w:r>
        <w:rPr>
          <w:rFonts w:hint="default" w:ascii="Times New Roman" w:hAnsi="Times New Roman" w:eastAsia="方正仿宋_GBK" w:cs="Times New Roman"/>
          <w:i w:val="0"/>
          <w:caps w:val="0"/>
          <w:color w:val="0C0C0C"/>
          <w:spacing w:val="0"/>
          <w:kern w:val="0"/>
          <w:sz w:val="28"/>
          <w:szCs w:val="28"/>
          <w:highlight w:val="none"/>
          <w:lang w:val="en-US" w:eastAsia="zh-CN" w:bidi="ar"/>
        </w:rPr>
        <w:t>[7]研究与试验发展：是指为增加知识存量（也包括有关人类、文化和社会的知识）以及设计已有知识的新应用而进行的创造性、系统性工作，包括基础研究、应用研究和试验发展</w:t>
      </w:r>
      <w:r>
        <w:rPr>
          <w:rFonts w:hint="default" w:ascii="Times New Roman" w:hAnsi="Times New Roman" w:cs="Times New Roman"/>
          <w:i w:val="0"/>
          <w:caps w:val="0"/>
          <w:color w:val="0C0C0C"/>
          <w:spacing w:val="0"/>
          <w:kern w:val="0"/>
          <w:sz w:val="28"/>
          <w:szCs w:val="28"/>
          <w:highlight w:val="none"/>
          <w:lang w:val="en-US" w:eastAsia="zh-CN" w:bidi="ar"/>
        </w:rPr>
        <w:t>3</w:t>
      </w:r>
      <w:r>
        <w:rPr>
          <w:rFonts w:hint="default" w:ascii="Times New Roman" w:hAnsi="Times New Roman" w:eastAsia="方正仿宋_GBK" w:cs="Times New Roman"/>
          <w:i w:val="0"/>
          <w:caps w:val="0"/>
          <w:color w:val="0C0C0C"/>
          <w:spacing w:val="0"/>
          <w:kern w:val="0"/>
          <w:sz w:val="28"/>
          <w:szCs w:val="28"/>
          <w:highlight w:val="none"/>
          <w:lang w:val="en-US" w:eastAsia="zh-CN" w:bidi="ar"/>
        </w:rPr>
        <w:t>种类型。</w:t>
      </w:r>
    </w:p>
    <w:p>
      <w:pPr>
        <w:pStyle w:val="9"/>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0" w:firstLine="560" w:firstLineChars="200"/>
        <w:jc w:val="both"/>
        <w:textAlignment w:val="auto"/>
        <w:rPr>
          <w:rFonts w:hint="default" w:ascii="Times New Roman" w:hAnsi="Times New Roman" w:eastAsia="方正仿宋_GBK" w:cs="Times New Roman"/>
          <w:i w:val="0"/>
          <w:caps w:val="0"/>
          <w:color w:val="0C0C0C"/>
          <w:spacing w:val="0"/>
          <w:sz w:val="28"/>
          <w:szCs w:val="28"/>
          <w:highlight w:val="none"/>
        </w:rPr>
      </w:pPr>
      <w:r>
        <w:rPr>
          <w:rFonts w:hint="default" w:ascii="Times New Roman" w:hAnsi="Times New Roman" w:eastAsia="方正仿宋_GBK" w:cs="Times New Roman"/>
          <w:i w:val="0"/>
          <w:caps w:val="0"/>
          <w:color w:val="0C0C0C"/>
          <w:spacing w:val="0"/>
          <w:kern w:val="0"/>
          <w:sz w:val="28"/>
          <w:szCs w:val="28"/>
          <w:highlight w:val="none"/>
          <w:lang w:val="en-US" w:eastAsia="zh-CN" w:bidi="ar"/>
        </w:rPr>
        <w:t>[8]文化及相关产业：根据《文化及相关产业分类（2018）》，文化及相关产业是指为社会公众提供文化产品和文化相关产品的生产活动的集合。范围包括：一是以文化为核心内容，为直接满足人们的精神需要而进行的创作、制造、传播、展示等文化产品（包括货物和服务）的生产活动。具体包括新闻信息服务、内容创作生产、创意设计服务、文化传播渠道、文化投资运营和文化娱乐休闲服务等活动；二是为实现文化产品的生产活动所需的文化辅助生产和中介服务、文化装备生产和文化消费终端生产（包括制造和销售）等活动。</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560" w:firstLineChars="200"/>
        <w:jc w:val="both"/>
        <w:textAlignment w:val="auto"/>
        <w:rPr>
          <w:rFonts w:hint="default" w:ascii="Times New Roman" w:hAnsi="Times New Roman" w:eastAsia="方正仿宋_GBK" w:cs="Times New Roman"/>
          <w:i w:val="0"/>
          <w:caps w:val="0"/>
          <w:color w:val="0C0C0C"/>
          <w:spacing w:val="0"/>
          <w:kern w:val="0"/>
          <w:sz w:val="28"/>
          <w:szCs w:val="28"/>
          <w:highlight w:val="none"/>
          <w:lang w:val="en-US" w:eastAsia="zh-CN" w:bidi="ar"/>
        </w:rPr>
      </w:pPr>
      <w:r>
        <w:rPr>
          <w:rFonts w:hint="default" w:ascii="Times New Roman" w:hAnsi="Times New Roman" w:eastAsia="方正仿宋_GBK" w:cs="Times New Roman"/>
          <w:i w:val="0"/>
          <w:caps w:val="0"/>
          <w:color w:val="0C0C0C"/>
          <w:spacing w:val="0"/>
          <w:kern w:val="0"/>
          <w:sz w:val="28"/>
          <w:szCs w:val="28"/>
          <w:highlight w:val="none"/>
          <w:lang w:val="en-US" w:eastAsia="zh-CN" w:bidi="ar"/>
        </w:rPr>
        <w:t>[9]表中的合计数和部分计算数据因小数取舍而产生的误差，均未作机械调整。</w:t>
      </w:r>
    </w:p>
    <w:p>
      <w:pPr>
        <w:pStyle w:val="2"/>
        <w:keepNext w:val="0"/>
        <w:keepLines w:val="0"/>
        <w:pageBreakBefore w:val="0"/>
        <w:widowControl w:val="0"/>
        <w:kinsoku/>
        <w:wordWrap/>
        <w:overflowPunct/>
        <w:topLinePunct w:val="0"/>
        <w:autoSpaceDE/>
        <w:autoSpaceDN/>
        <w:bidi w:val="0"/>
        <w:adjustRightInd w:val="0"/>
        <w:snapToGrid w:val="0"/>
        <w:spacing w:beforeAutospacing="0" w:after="0" w:afterLines="0" w:afterAutospacing="0" w:line="600" w:lineRule="exact"/>
        <w:ind w:left="0" w:leftChars="0" w:right="0" w:firstLine="560" w:firstLineChars="200"/>
        <w:rPr>
          <w:rFonts w:hint="default" w:ascii="Times New Roman" w:hAnsi="Times New Roman" w:cs="Times New Roman"/>
        </w:rPr>
      </w:pPr>
      <w:r>
        <w:rPr>
          <w:rFonts w:hint="default" w:ascii="Times New Roman" w:hAnsi="Times New Roman" w:cs="Times New Roman"/>
          <w:i w:val="0"/>
          <w:caps w:val="0"/>
          <w:color w:val="0C0C0C"/>
          <w:spacing w:val="0"/>
          <w:kern w:val="0"/>
          <w:sz w:val="28"/>
          <w:szCs w:val="28"/>
          <w:highlight w:val="none"/>
          <w:lang w:val="en-US" w:eastAsia="zh-CN" w:bidi="ar"/>
        </w:rPr>
        <w:t>[10]</w:t>
      </w:r>
      <w:r>
        <w:rPr>
          <w:rFonts w:hint="default" w:ascii="Times New Roman" w:hAnsi="Times New Roman" w:eastAsia="方正仿宋_GBK" w:cs="Times New Roman"/>
          <w:i w:val="0"/>
          <w:caps w:val="0"/>
          <w:color w:val="0C0C0C"/>
          <w:spacing w:val="0"/>
          <w:kern w:val="0"/>
          <w:sz w:val="28"/>
          <w:szCs w:val="28"/>
          <w:highlight w:val="none"/>
          <w:lang w:val="en-US" w:eastAsia="zh-CN" w:bidi="ar"/>
        </w:rPr>
        <w:t>“—”表示该项统计指标数据不详或无该项数据。</w:t>
      </w:r>
    </w:p>
    <w:sectPr>
      <w:footerReference r:id="rId3" w:type="default"/>
      <w:pgSz w:w="11900" w:h="16838"/>
      <w:pgMar w:top="1417" w:right="1701" w:bottom="1417" w:left="1701" w:header="851" w:footer="1559" w:gutter="0"/>
      <w:pgBorders>
        <w:top w:val="none" w:sz="0" w:space="0"/>
        <w:left w:val="none" w:sz="0" w:space="0"/>
        <w:bottom w:val="none" w:sz="0" w:space="0"/>
        <w:right w:val="none" w:sz="0" w:space="0"/>
      </w:pgBorders>
      <w:pgNumType w:fmt="decimal"/>
      <w:cols w:space="72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kinsoku/>
      <w:wordWrap/>
      <w:overflowPunct/>
      <w:topLinePunct w:val="0"/>
      <w:autoSpaceDE/>
      <w:autoSpaceDN/>
      <w:bidi w:val="0"/>
      <w:adjustRightInd/>
      <w:snapToGrid w:val="0"/>
      <w:jc w:val="both"/>
      <w:textAlignment w:val="auto"/>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977900" cy="258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977900" cy="258445"/>
                      </a:xfrm>
                      <a:prstGeom prst="rect">
                        <a:avLst/>
                      </a:prstGeom>
                      <a:noFill/>
                      <a:ln w="6350">
                        <a:noFill/>
                      </a:ln>
                      <a:effectLst/>
                    </wps:spPr>
                    <wps:txbx>
                      <w:txbxContent>
                        <w:p>
                          <w:pPr>
                            <w:pStyle w:val="8"/>
                            <w:ind w:left="-196" w:leftChars="-95" w:right="269" w:rightChars="128" w:hanging="3" w:firstLineChars="0"/>
                            <w:jc w:val="center"/>
                            <w:rPr>
                              <w:rFonts w:hint="default" w:ascii="Times New Roman" w:hAnsi="Times New Roman" w:cs="Times New Roman"/>
                              <w:sz w:val="28"/>
                              <w:szCs w:val="28"/>
                            </w:rPr>
                          </w:pP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0.35pt;width:77pt;mso-position-horizontal:outside;mso-position-horizontal-relative:margin;z-index:251659264;mso-width-relative:page;mso-height-relative:page;" filled="f" stroked="f" coordsize="21600,21600" o:gfxdata="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">
              <v:fill on="f" focussize="0,0"/>
              <v:stroke on="f" weight="0.5pt"/>
              <v:imagedata o:title=""/>
              <o:lock v:ext="edit" aspectratio="f"/>
              <v:textbox inset="0mm,0mm,0mm,0mm">
                <w:txbxContent>
                  <w:p>
                    <w:pPr>
                      <w:pStyle w:val="8"/>
                      <w:ind w:left="-196" w:leftChars="-95" w:right="269" w:rightChars="128" w:hanging="3" w:firstLineChars="0"/>
                      <w:jc w:val="center"/>
                      <w:rPr>
                        <w:rFonts w:hint="default" w:ascii="Times New Roman" w:hAnsi="Times New Roman" w:cs="Times New Roman"/>
                        <w:sz w:val="28"/>
                        <w:szCs w:val="28"/>
                      </w:rPr>
                    </w:pP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19"/>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F9D40D"/>
    <w:rsid w:val="1D6B71C1"/>
    <w:rsid w:val="2D6A55EE"/>
    <w:rsid w:val="30BA2420"/>
    <w:rsid w:val="36B79BE5"/>
    <w:rsid w:val="39ED4E45"/>
    <w:rsid w:val="3DC3C607"/>
    <w:rsid w:val="3E7AE3C7"/>
    <w:rsid w:val="3F93E3F8"/>
    <w:rsid w:val="3FAAD79C"/>
    <w:rsid w:val="3FFCCFB1"/>
    <w:rsid w:val="3FFF3F58"/>
    <w:rsid w:val="4BB1F251"/>
    <w:rsid w:val="57DFA200"/>
    <w:rsid w:val="5F7796A6"/>
    <w:rsid w:val="63EE556B"/>
    <w:rsid w:val="67D1E9D2"/>
    <w:rsid w:val="6F3A077D"/>
    <w:rsid w:val="7145FFE8"/>
    <w:rsid w:val="71B565AB"/>
    <w:rsid w:val="726D2495"/>
    <w:rsid w:val="73FDC3E8"/>
    <w:rsid w:val="73FED387"/>
    <w:rsid w:val="76BF06E2"/>
    <w:rsid w:val="77393E86"/>
    <w:rsid w:val="7778C019"/>
    <w:rsid w:val="777F5289"/>
    <w:rsid w:val="77BB0B86"/>
    <w:rsid w:val="7ABF2951"/>
    <w:rsid w:val="7BF9D40D"/>
    <w:rsid w:val="7BFA7907"/>
    <w:rsid w:val="7D1F50A2"/>
    <w:rsid w:val="7FEE5905"/>
    <w:rsid w:val="7FFA0497"/>
    <w:rsid w:val="7FFF2BB3"/>
    <w:rsid w:val="8BDE4BC9"/>
    <w:rsid w:val="ADDF4584"/>
    <w:rsid w:val="BB5EDA20"/>
    <w:rsid w:val="D9CF1255"/>
    <w:rsid w:val="DF6F7293"/>
    <w:rsid w:val="DFAF3606"/>
    <w:rsid w:val="DFDF7625"/>
    <w:rsid w:val="DFEFF9F4"/>
    <w:rsid w:val="E9DFDF63"/>
    <w:rsid w:val="EAFBF2D4"/>
    <w:rsid w:val="EFB7D67D"/>
    <w:rsid w:val="EFB90BA6"/>
    <w:rsid w:val="F45DBA3C"/>
    <w:rsid w:val="FAB339FF"/>
    <w:rsid w:val="FDEF8203"/>
    <w:rsid w:val="FEFE7649"/>
    <w:rsid w:val="FFB7BFC3"/>
    <w:rsid w:val="FFBEB447"/>
    <w:rsid w:val="FFC7E551"/>
    <w:rsid w:val="FFE60ABA"/>
    <w:rsid w:val="FFF45FA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qFormat="1" w:uiPriority="99"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adjustRightInd w:val="0"/>
      <w:spacing w:after="120" w:afterLines="0" w:line="360" w:lineRule="atLeast"/>
      <w:ind w:left="200" w:leftChars="200" w:firstLine="200" w:firstLineChars="200"/>
      <w:jc w:val="both"/>
      <w:textAlignment w:val="baseline"/>
    </w:pPr>
    <w:rPr>
      <w:rFonts w:ascii="Calibri" w:hAnsi="Calibri" w:eastAsia="宋体" w:cs="Times New Roman"/>
      <w:kern w:val="2"/>
      <w:sz w:val="21"/>
      <w:szCs w:val="24"/>
      <w:lang w:val="en-US" w:eastAsia="zh-CN" w:bidi="ar-SA"/>
    </w:rPr>
  </w:style>
  <w:style w:type="paragraph" w:styleId="3">
    <w:name w:val="Body Text Indent"/>
    <w:basedOn w:val="1"/>
    <w:next w:val="1"/>
    <w:qFormat/>
    <w:uiPriority w:val="99"/>
    <w:pPr>
      <w:widowControl w:val="0"/>
      <w:adjustRightInd w:val="0"/>
      <w:spacing w:line="360" w:lineRule="atLeast"/>
      <w:ind w:firstLine="600"/>
      <w:jc w:val="both"/>
      <w:textAlignment w:val="baseline"/>
    </w:pPr>
    <w:rPr>
      <w:rFonts w:ascii="Calibri" w:hAnsi="Calibri" w:eastAsia="宋体" w:cs="Times New Roman"/>
      <w:kern w:val="0"/>
      <w:sz w:val="30"/>
      <w:szCs w:val="20"/>
      <w:lang w:val="en-US" w:eastAsia="zh-CN" w:bidi="ar-SA"/>
    </w:rPr>
  </w:style>
  <w:style w:type="paragraph" w:styleId="4">
    <w:name w:val="Normal Indent"/>
    <w:basedOn w:val="1"/>
    <w:next w:val="1"/>
    <w:unhideWhenUsed/>
    <w:qFormat/>
    <w:uiPriority w:val="99"/>
    <w:pPr>
      <w:widowControl w:val="0"/>
      <w:ind w:firstLine="420" w:firstLineChars="200"/>
      <w:jc w:val="both"/>
    </w:pPr>
    <w:rPr>
      <w:rFonts w:ascii="Calibri" w:hAnsi="Calibri" w:eastAsia="宋体" w:cs="Times New Roman"/>
      <w:kern w:val="2"/>
      <w:sz w:val="21"/>
      <w:szCs w:val="24"/>
      <w:lang w:val="en-US" w:eastAsia="zh-CN" w:bidi="ar-SA"/>
    </w:rPr>
  </w:style>
  <w:style w:type="paragraph" w:styleId="5">
    <w:name w:val="Body Text"/>
    <w:basedOn w:val="1"/>
    <w:next w:val="6"/>
    <w:qFormat/>
    <w:uiPriority w:val="0"/>
    <w:pPr>
      <w:widowControl w:val="0"/>
      <w:spacing w:after="120" w:afterLines="0" w:afterAutospacing="0"/>
      <w:jc w:val="both"/>
    </w:pPr>
    <w:rPr>
      <w:rFonts w:ascii="Calibri" w:hAnsi="Calibri" w:eastAsia="宋体" w:cs="Times New Roman"/>
      <w:kern w:val="2"/>
      <w:sz w:val="21"/>
      <w:szCs w:val="24"/>
      <w:lang w:val="en-US" w:eastAsia="zh-CN" w:bidi="ar-SA"/>
    </w:rPr>
  </w:style>
  <w:style w:type="paragraph" w:styleId="6">
    <w:name w:val="Title"/>
    <w:basedOn w:val="1"/>
    <w:next w:val="1"/>
    <w:qFormat/>
    <w:uiPriority w:val="0"/>
    <w:pPr>
      <w:widowControl w:val="0"/>
      <w:jc w:val="center"/>
      <w:outlineLvl w:val="0"/>
    </w:pPr>
    <w:rPr>
      <w:rFonts w:ascii="方正小标宋_GBK" w:hAnsi="方正小标宋_GBK" w:eastAsia="方正小标宋_GBK" w:cs="方正小标宋_GBK"/>
      <w:kern w:val="2"/>
      <w:sz w:val="44"/>
      <w:szCs w:val="44"/>
      <w:lang w:val="en-US" w:eastAsia="zh-CN" w:bidi="ar-SA"/>
    </w:rPr>
  </w:style>
  <w:style w:type="paragraph" w:styleId="7">
    <w:name w:val="Date"/>
    <w:next w:val="1"/>
    <w:qFormat/>
    <w:uiPriority w:val="0"/>
    <w:pPr>
      <w:widowControl w:val="0"/>
      <w:autoSpaceDE w:val="0"/>
      <w:autoSpaceDN w:val="0"/>
      <w:adjustRightInd w:val="0"/>
      <w:spacing w:line="588" w:lineRule="exact"/>
      <w:ind w:firstLine="200" w:firstLineChars="200"/>
      <w:jc w:val="both"/>
      <w:textAlignment w:val="baseline"/>
    </w:pPr>
    <w:rPr>
      <w:rFonts w:ascii="宋体" w:hAnsi="Times New Roman" w:eastAsia="方正仿宋_GBK" w:cs="宋体"/>
      <w:kern w:val="0"/>
      <w:sz w:val="18"/>
      <w:szCs w:val="18"/>
      <w:lang w:val="en-US" w:eastAsia="zh-CN" w:bidi="ar-SA"/>
    </w:rPr>
  </w:style>
  <w:style w:type="paragraph" w:styleId="8">
    <w:name w:val="footer"/>
    <w:basedOn w:val="1"/>
    <w:next w:val="1"/>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 w:type="paragraph" w:styleId="9">
    <w:name w:val="footnote text"/>
    <w:basedOn w:val="1"/>
    <w:unhideWhenUsed/>
    <w:qFormat/>
    <w:uiPriority w:val="99"/>
    <w:pPr>
      <w:widowControl w:val="0"/>
      <w:snapToGrid w:val="0"/>
      <w:jc w:val="left"/>
    </w:pPr>
    <w:rPr>
      <w:rFonts w:ascii="Calibri" w:hAnsi="Calibri" w:eastAsia="宋体" w:cs="Times New Roman"/>
      <w:kern w:val="2"/>
      <w:sz w:val="18"/>
      <w:szCs w:val="24"/>
      <w:lang w:val="en-US" w:eastAsia="zh-CN" w:bidi="ar-SA"/>
    </w:rPr>
  </w:style>
  <w:style w:type="paragraph" w:styleId="10">
    <w:name w:val="Body Text First Indent"/>
    <w:basedOn w:val="5"/>
    <w:next w:val="2"/>
    <w:qFormat/>
    <w:uiPriority w:val="0"/>
    <w:pPr>
      <w:widowControl/>
      <w:spacing w:before="100" w:beforeLines="0" w:beforeAutospacing="1" w:after="100" w:afterLines="0" w:afterAutospacing="1"/>
      <w:jc w:val="left"/>
    </w:pPr>
    <w:rPr>
      <w:rFonts w:ascii="宋体" w:hAnsi="宋体" w:eastAsia="宋体" w:cs="宋体"/>
      <w:kern w:val="0"/>
      <w:sz w:val="24"/>
      <w:szCs w:val="24"/>
      <w:lang w:val="en-US" w:eastAsia="zh-CN" w:bidi="ar-SA"/>
    </w:rPr>
  </w:style>
  <w:style w:type="character" w:styleId="13">
    <w:name w:val="footnote reference"/>
    <w:unhideWhenUsed/>
    <w:qFormat/>
    <w:uiPriority w:val="99"/>
    <w:rPr>
      <w:vertAlign w:val="superscript"/>
    </w:rPr>
  </w:style>
  <w:style w:type="paragraph" w:customStyle="1" w:styleId="14">
    <w:name w:val="Body Text First Indent 2"/>
    <w:qFormat/>
    <w:uiPriority w:val="0"/>
    <w:pPr>
      <w:widowControl w:val="0"/>
      <w:spacing w:line="360" w:lineRule="auto"/>
      <w:ind w:firstLine="420" w:firstLineChars="200"/>
      <w:jc w:val="both"/>
      <w:textAlignment w:val="baseline"/>
    </w:pPr>
    <w:rPr>
      <w:rFonts w:ascii="Times New Roman" w:hAnsi="Times New Roman" w:eastAsia="宋体" w:cs="Times New Roman"/>
      <w:kern w:val="2"/>
      <w:sz w:val="24"/>
      <w:szCs w:val="24"/>
      <w:lang w:val="en-US" w:eastAsia="zh-CN" w:bidi="ar-SA"/>
    </w:rPr>
  </w:style>
  <w:style w:type="paragraph" w:customStyle="1" w:styleId="15">
    <w:name w:val="Body Text Indent"/>
    <w:qFormat/>
    <w:uiPriority w:val="0"/>
    <w:pPr>
      <w:widowControl w:val="0"/>
      <w:spacing w:line="150" w:lineRule="atLeast"/>
      <w:ind w:firstLine="420" w:firstLineChars="200"/>
      <w:jc w:val="both"/>
      <w:textAlignment w:val="baseline"/>
    </w:pPr>
    <w:rPr>
      <w:rFonts w:ascii="Times New Roman" w:hAnsi="Times New Roman" w:eastAsia="宋体" w:cs="Times New Roman"/>
      <w:kern w:val="2"/>
      <w:sz w:val="21"/>
      <w:szCs w:val="24"/>
      <w:lang w:val="en-US" w:eastAsia="zh-CN" w:bidi="ar-SA"/>
    </w:rPr>
  </w:style>
  <w:style w:type="paragraph" w:customStyle="1" w:styleId="16">
    <w:name w:val="Body Text First Indent 21"/>
    <w:qFormat/>
    <w:uiPriority w:val="0"/>
    <w:pPr>
      <w:widowControl w:val="0"/>
      <w:spacing w:line="360" w:lineRule="auto"/>
      <w:ind w:firstLine="420" w:firstLineChars="200"/>
      <w:jc w:val="both"/>
      <w:textAlignment w:val="baseline"/>
    </w:pPr>
    <w:rPr>
      <w:rFonts w:ascii="Times New Roman" w:hAnsi="Times New Roman" w:eastAsia="宋体" w:cs="Times New Roman"/>
      <w:kern w:val="2"/>
      <w:sz w:val="24"/>
      <w:szCs w:val="24"/>
      <w:lang w:val="en-US" w:eastAsia="zh-CN" w:bidi="ar-SA"/>
    </w:rPr>
  </w:style>
  <w:style w:type="character" w:customStyle="1" w:styleId="17">
    <w:name w:val="font41"/>
    <w:basedOn w:val="12"/>
    <w:qFormat/>
    <w:uiPriority w:val="0"/>
    <w:rPr>
      <w:rFonts w:hint="default" w:ascii="Times New Roman" w:hAnsi="Times New Roman" w:cs="Times New Roman"/>
      <w:b/>
      <w:bCs/>
      <w:color w:val="000000"/>
      <w:sz w:val="24"/>
      <w:szCs w:val="24"/>
      <w:u w:val="none"/>
    </w:rPr>
  </w:style>
  <w:style w:type="character" w:customStyle="1" w:styleId="18">
    <w:name w:val="font21"/>
    <w:basedOn w:val="12"/>
    <w:qFormat/>
    <w:uiPriority w:val="0"/>
    <w:rPr>
      <w:rFonts w:hint="eastAsia" w:ascii="宋体" w:hAnsi="宋体" w:eastAsia="宋体" w:cs="宋体"/>
      <w:b/>
      <w:bCs/>
      <w:color w:val="0C0C0C"/>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54</Pages>
  <Words>20870</Words>
  <Characters>28135</Characters>
  <Lines>0</Lines>
  <Paragraphs>0</Paragraphs>
  <TotalTime>158</TotalTime>
  <ScaleCrop>false</ScaleCrop>
  <LinksUpToDate>false</LinksUpToDate>
  <CharactersWithSpaces>28820</CharactersWithSpaces>
  <Application>WPS Office_11.8.2.11717_F1E327BC-269C-435d-A152-05C5408002CA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2025-05-26T09:52:00Z</dcterms:created>
  <dc:creator>huawei</dc:creator>
  <cp:lastModifiedBy>huawei</cp:lastModifiedBy>
  <cp:lastPrinted>2025-05-25T00:11:00Z</cp:lastPrinted>
  <dcterms:modified xsi:type="dcterms:W3CDTF">2025-05-29T16:06:03Z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2052-11.8.2.11717</vt:lpwstr>
  </property>
  <property fmtid="{D5CDD505-2E9C-101B-9397-08002B2CF9AE}" pid="3" name="ICV">
    <vt:lpwstr>EB0CAF23EAEAB7CFA028306897D501B8</vt:lpwstr>
  </property>
</Properties>
</file>