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D8937F">
      <w:pPr>
        <w:keepNext w:val="0"/>
        <w:keepLines w:val="0"/>
        <w:pageBreakBefore w:val="0"/>
        <w:widowControl w:val="0"/>
        <w:kinsoku/>
        <w:wordWrap/>
        <w:overflowPunct/>
        <w:topLinePunct w:val="0"/>
        <w:autoSpaceDE/>
        <w:autoSpaceDN/>
        <w:bidi w:val="0"/>
        <w:adjustRightInd w:val="0"/>
        <w:snapToGrid/>
        <w:spacing w:line="240" w:lineRule="auto"/>
        <w:ind w:right="0" w:rightChars="0"/>
        <w:jc w:val="both"/>
        <w:textAlignment w:val="auto"/>
        <w:outlineLvl w:val="9"/>
        <w:rPr>
          <w:rFonts w:hint="eastAsia" w:ascii="黑体" w:hAnsi="黑体" w:eastAsia="黑体" w:cs="黑体"/>
          <w:snapToGrid w:val="0"/>
          <w:spacing w:val="0"/>
          <w:kern w:val="0"/>
          <w:sz w:val="32"/>
          <w:szCs w:val="32"/>
          <w:lang w:val="en-US" w:eastAsia="zh-CN"/>
        </w:rPr>
      </w:pPr>
      <w:bookmarkStart w:id="0" w:name="_GoBack"/>
      <w:bookmarkEnd w:id="0"/>
      <w:r>
        <w:rPr>
          <w:rFonts w:hint="eastAsia" w:ascii="黑体" w:hAnsi="黑体" w:eastAsia="黑体" w:cs="黑体"/>
          <w:snapToGrid w:val="0"/>
          <w:spacing w:val="0"/>
          <w:kern w:val="0"/>
          <w:sz w:val="32"/>
          <w:szCs w:val="32"/>
          <w:lang w:val="en-US" w:eastAsia="zh-CN"/>
        </w:rPr>
        <w:t>附件1</w:t>
      </w:r>
    </w:p>
    <w:p w14:paraId="580B336C">
      <w:pPr>
        <w:keepNext w:val="0"/>
        <w:keepLines w:val="0"/>
        <w:pageBreakBefore w:val="0"/>
        <w:widowControl w:val="0"/>
        <w:kinsoku/>
        <w:wordWrap/>
        <w:overflowPunct/>
        <w:topLinePunct w:val="0"/>
        <w:autoSpaceDE/>
        <w:autoSpaceDN/>
        <w:bidi w:val="0"/>
        <w:adjustRightInd w:val="0"/>
        <w:snapToGrid/>
        <w:spacing w:line="720" w:lineRule="exact"/>
        <w:ind w:right="0" w:rightChars="0"/>
        <w:jc w:val="center"/>
        <w:textAlignment w:val="auto"/>
        <w:outlineLvl w:val="9"/>
        <w:rPr>
          <w:rFonts w:hint="eastAsia" w:ascii="方正小标宋简体" w:hAnsi="方正小标宋简体" w:eastAsia="方正小标宋简体" w:cs="方正小标宋简体"/>
          <w:snapToGrid w:val="0"/>
          <w:spacing w:val="0"/>
          <w:kern w:val="0"/>
          <w:sz w:val="44"/>
          <w:szCs w:val="44"/>
          <w:lang w:val="en-US" w:eastAsia="zh-CN"/>
        </w:rPr>
      </w:pPr>
      <w:r>
        <w:rPr>
          <w:rFonts w:hint="eastAsia" w:ascii="方正小标宋简体" w:hAnsi="方正小标宋简体" w:eastAsia="方正小标宋简体" w:cs="方正小标宋简体"/>
          <w:snapToGrid w:val="0"/>
          <w:spacing w:val="0"/>
          <w:kern w:val="0"/>
          <w:sz w:val="44"/>
          <w:szCs w:val="44"/>
          <w:lang w:val="en-US" w:eastAsia="zh-CN"/>
        </w:rPr>
        <w:t>广东省统计行政处罚裁量基准表</w:t>
      </w:r>
    </w:p>
    <w:tbl>
      <w:tblPr>
        <w:tblStyle w:val="26"/>
        <w:tblW w:w="14246" w:type="dxa"/>
        <w:jc w:val="center"/>
        <w:tblLayout w:type="fixed"/>
        <w:tblCellMar>
          <w:top w:w="15" w:type="dxa"/>
          <w:left w:w="15" w:type="dxa"/>
          <w:bottom w:w="15" w:type="dxa"/>
          <w:right w:w="15" w:type="dxa"/>
        </w:tblCellMar>
      </w:tblPr>
      <w:tblGrid>
        <w:gridCol w:w="682"/>
        <w:gridCol w:w="935"/>
        <w:gridCol w:w="5271"/>
        <w:gridCol w:w="608"/>
        <w:gridCol w:w="2059"/>
        <w:gridCol w:w="2636"/>
        <w:gridCol w:w="2055"/>
      </w:tblGrid>
      <w:tr w14:paraId="6FAF6563">
        <w:tblPrEx>
          <w:tblCellMar>
            <w:top w:w="15" w:type="dxa"/>
            <w:left w:w="15" w:type="dxa"/>
            <w:bottom w:w="15" w:type="dxa"/>
            <w:right w:w="15" w:type="dxa"/>
          </w:tblCellMar>
        </w:tblPrEx>
        <w:trPr>
          <w:trHeight w:val="340" w:hRule="atLeast"/>
          <w:tblHeader/>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2D007E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序号</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FD5BD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kern w:val="0"/>
                <w:sz w:val="21"/>
                <w:szCs w:val="21"/>
                <w:lang w:bidi="ar"/>
              </w:rPr>
            </w:pPr>
            <w:r>
              <w:rPr>
                <w:rFonts w:hint="eastAsia" w:ascii="黑体" w:hAnsi="黑体" w:eastAsia="黑体" w:cs="黑体"/>
                <w:b w:val="0"/>
                <w:bCs/>
                <w:color w:val="000000"/>
                <w:kern w:val="0"/>
                <w:sz w:val="21"/>
                <w:szCs w:val="21"/>
                <w:lang w:bidi="ar"/>
              </w:rPr>
              <w:t>违法</w:t>
            </w:r>
          </w:p>
          <w:p w14:paraId="4EAF54F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B31EB9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法律依据</w:t>
            </w:r>
          </w:p>
        </w:tc>
        <w:tc>
          <w:tcPr>
            <w:tcW w:w="60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368E1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kern w:val="0"/>
                <w:sz w:val="21"/>
                <w:szCs w:val="21"/>
                <w:lang w:bidi="ar"/>
              </w:rPr>
            </w:pPr>
            <w:r>
              <w:rPr>
                <w:rFonts w:hint="eastAsia" w:ascii="黑体" w:hAnsi="黑体" w:eastAsia="黑体" w:cs="黑体"/>
                <w:b w:val="0"/>
                <w:bCs/>
                <w:color w:val="000000"/>
                <w:kern w:val="0"/>
                <w:sz w:val="21"/>
                <w:szCs w:val="21"/>
                <w:lang w:bidi="ar"/>
              </w:rPr>
              <w:t>违法程度</w:t>
            </w:r>
          </w:p>
        </w:tc>
        <w:tc>
          <w:tcPr>
            <w:tcW w:w="2059" w:type="dxa"/>
            <w:vMerge w:val="restart"/>
            <w:tcBorders>
              <w:top w:val="single" w:color="000000" w:sz="4" w:space="0"/>
              <w:left w:val="single" w:color="000000" w:sz="4" w:space="0"/>
              <w:bottom w:val="single" w:color="000000" w:sz="4" w:space="0"/>
              <w:right w:val="single" w:color="000000" w:sz="4" w:space="0"/>
            </w:tcBorders>
            <w:noWrap w:val="0"/>
            <w:vAlign w:val="center"/>
          </w:tcPr>
          <w:p w14:paraId="10FDC66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违法情节</w:t>
            </w:r>
          </w:p>
        </w:tc>
        <w:tc>
          <w:tcPr>
            <w:tcW w:w="4691" w:type="dxa"/>
            <w:gridSpan w:val="2"/>
            <w:tcBorders>
              <w:top w:val="single" w:color="000000" w:sz="4" w:space="0"/>
              <w:left w:val="single" w:color="000000" w:sz="4" w:space="0"/>
              <w:bottom w:val="single" w:color="000000" w:sz="4" w:space="0"/>
              <w:right w:val="single" w:color="000000" w:sz="4" w:space="0"/>
            </w:tcBorders>
            <w:noWrap w:val="0"/>
            <w:vAlign w:val="center"/>
          </w:tcPr>
          <w:p w14:paraId="079F64F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裁量基准</w:t>
            </w:r>
          </w:p>
        </w:tc>
      </w:tr>
      <w:tr w14:paraId="4362BB3A">
        <w:tblPrEx>
          <w:tblCellMar>
            <w:top w:w="15" w:type="dxa"/>
            <w:left w:w="15" w:type="dxa"/>
            <w:bottom w:w="15" w:type="dxa"/>
            <w:right w:w="15" w:type="dxa"/>
          </w:tblCellMar>
        </w:tblPrEx>
        <w:trPr>
          <w:trHeight w:val="340" w:hRule="atLeast"/>
          <w:tblHeader/>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4ACB8C">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B4B259">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CF5A9">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b w:val="0"/>
                <w:bCs/>
                <w:color w:val="000000"/>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ECC2">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b w:val="0"/>
                <w:bCs/>
                <w:color w:val="000000"/>
                <w:sz w:val="21"/>
                <w:szCs w:val="21"/>
              </w:rPr>
            </w:pPr>
          </w:p>
        </w:tc>
        <w:tc>
          <w:tcPr>
            <w:tcW w:w="20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3E68F7">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b w:val="0"/>
                <w:bCs/>
                <w:color w:val="000000"/>
                <w:sz w:val="21"/>
                <w:szCs w:val="21"/>
              </w:rPr>
            </w:pP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23799A6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kern w:val="0"/>
                <w:sz w:val="21"/>
                <w:szCs w:val="21"/>
                <w:lang w:bidi="ar"/>
              </w:rPr>
            </w:pPr>
            <w:r>
              <w:rPr>
                <w:rFonts w:hint="eastAsia" w:ascii="黑体" w:hAnsi="黑体" w:eastAsia="黑体" w:cs="黑体"/>
                <w:b w:val="0"/>
                <w:bCs/>
                <w:color w:val="000000"/>
                <w:kern w:val="0"/>
                <w:sz w:val="21"/>
                <w:szCs w:val="21"/>
                <w:lang w:bidi="ar"/>
              </w:rPr>
              <w:t>单位</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A01F9D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黑体" w:hAnsi="黑体" w:eastAsia="黑体" w:cs="黑体"/>
                <w:b w:val="0"/>
                <w:bCs/>
                <w:color w:val="000000"/>
                <w:kern w:val="0"/>
                <w:sz w:val="21"/>
                <w:szCs w:val="21"/>
                <w:lang w:bidi="ar"/>
              </w:rPr>
            </w:pPr>
            <w:r>
              <w:rPr>
                <w:rFonts w:hint="eastAsia" w:ascii="黑体" w:hAnsi="黑体" w:eastAsia="黑体" w:cs="黑体"/>
                <w:b w:val="0"/>
                <w:bCs/>
                <w:color w:val="000000"/>
                <w:kern w:val="0"/>
                <w:sz w:val="21"/>
                <w:szCs w:val="21"/>
                <w:lang w:bidi="ar"/>
              </w:rPr>
              <w:t xml:space="preserve">个体户 </w:t>
            </w:r>
          </w:p>
        </w:tc>
      </w:tr>
      <w:tr w14:paraId="779EBB71">
        <w:tblPrEx>
          <w:tblCellMar>
            <w:top w:w="15" w:type="dxa"/>
            <w:left w:w="15" w:type="dxa"/>
            <w:bottom w:w="15" w:type="dxa"/>
            <w:right w:w="15" w:type="dxa"/>
          </w:tblCellMar>
        </w:tblPrEx>
        <w:trPr>
          <w:trHeight w:val="90"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B18FAC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564166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拒绝提供统计资料或经催报后仍未按时提供统计资料的行为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12980EF">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（一）拒绝提供统计资料或者经催报后仍未按时提供统计资料的；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（二）提供不真实或者不完整的统计资料的；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（三）拒绝答复或者不如实答复统计检查查询书的；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（四）拒绝、阻碍统计调查、统计检查的；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（五）转移、隐匿、篡改、毁弃或者拒绝提供原始记录和凭证、统计台账、统计调查表及其他相关证明和资料的。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企业事业单位或者其他组织有前款所列行为之一的，可以并处五万元以下的罚款；情节严重的，并处五万元以上二十万元以下的罚款。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个体工商户有本条第一款所列行为之一的，由县级以上人民政府统计机构责令改正，给予警告，可以并处一万元以下的罚款。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861A08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927F15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在催报规定的上报时间内</w:t>
            </w:r>
            <w:r>
              <w:rPr>
                <w:rFonts w:hint="eastAsia" w:ascii="宋体" w:hAnsi="宋体" w:eastAsia="宋体" w:cs="宋体"/>
                <w:b w:val="0"/>
                <w:bCs/>
                <w:color w:val="000000"/>
                <w:kern w:val="0"/>
                <w:sz w:val="21"/>
                <w:szCs w:val="21"/>
                <w:lang w:eastAsia="zh-CN" w:bidi="ar"/>
              </w:rPr>
              <w:t>未</w:t>
            </w:r>
            <w:r>
              <w:rPr>
                <w:rFonts w:hint="eastAsia" w:ascii="宋体" w:hAnsi="宋体" w:eastAsia="宋体" w:cs="宋体"/>
                <w:b w:val="0"/>
                <w:bCs/>
                <w:color w:val="000000"/>
                <w:kern w:val="0"/>
                <w:sz w:val="21"/>
                <w:szCs w:val="21"/>
                <w:lang w:bidi="ar"/>
              </w:rPr>
              <w:t>提供统计资料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D2090D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企业事业单位或者其他组织给予警告或警告并处5000元以上1万元以下罚款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54A51F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个体工商户给予警告或警告并处500元以上1000元以下罚款</w:t>
            </w:r>
          </w:p>
        </w:tc>
      </w:tr>
      <w:tr w14:paraId="2476287F">
        <w:tblPrEx>
          <w:tblCellMar>
            <w:top w:w="15" w:type="dxa"/>
            <w:left w:w="15" w:type="dxa"/>
            <w:bottom w:w="15" w:type="dxa"/>
            <w:right w:w="15" w:type="dxa"/>
          </w:tblCellMar>
        </w:tblPrEx>
        <w:trPr>
          <w:trHeight w:val="952"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6094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B79E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932CE">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FF4C27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07783E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在催报规定的上报时间后3日内未提供统计资料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9A0257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3D12D1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个体工商户给予警告并处1000元以上2000元以下罚款</w:t>
            </w:r>
          </w:p>
        </w:tc>
      </w:tr>
      <w:tr w14:paraId="51686FC3">
        <w:tblPrEx>
          <w:tblCellMar>
            <w:top w:w="15" w:type="dxa"/>
            <w:left w:w="15" w:type="dxa"/>
            <w:bottom w:w="15" w:type="dxa"/>
            <w:right w:w="15" w:type="dxa"/>
          </w:tblCellMar>
        </w:tblPrEx>
        <w:trPr>
          <w:trHeight w:val="95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2E08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396BF">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EF3131">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22DFD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9C6786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超过催报规定的上报时间</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t>逾期3日后未提供统计资料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95FF92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D10064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个体工商户给予警告并处2000元以上3000元以下罚款</w:t>
            </w:r>
          </w:p>
        </w:tc>
      </w:tr>
      <w:tr w14:paraId="563E157D">
        <w:tblPrEx>
          <w:tblCellMar>
            <w:top w:w="15" w:type="dxa"/>
            <w:left w:w="15" w:type="dxa"/>
            <w:bottom w:w="15" w:type="dxa"/>
            <w:right w:w="15" w:type="dxa"/>
          </w:tblCellMar>
        </w:tblPrEx>
        <w:trPr>
          <w:trHeight w:val="99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DB797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AAE0E">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B2579">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DDBB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F5274B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拒绝提供统计资料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A78706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CFAF08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个体工商户给予警告并处2000元以上3000元以下罚款</w:t>
            </w:r>
          </w:p>
        </w:tc>
      </w:tr>
      <w:tr w14:paraId="6A5059D4">
        <w:tblPrEx>
          <w:tblCellMar>
            <w:top w:w="15" w:type="dxa"/>
            <w:left w:w="15" w:type="dxa"/>
            <w:bottom w:w="15" w:type="dxa"/>
            <w:right w:w="15" w:type="dxa"/>
          </w:tblCellMar>
        </w:tblPrEx>
        <w:trPr>
          <w:trHeight w:val="132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119D9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082A9E">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CE1BB">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2E80B5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FD3AFB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拒绝提供统计资料或者经催报后仍未按时提供统计资料，一年内被责令改正</w:t>
            </w:r>
            <w:r>
              <w:rPr>
                <w:rFonts w:hint="eastAsia" w:ascii="宋体" w:hAnsi="宋体" w:eastAsia="宋体" w:cs="宋体"/>
                <w:b w:val="0"/>
                <w:bCs/>
                <w:color w:val="000000"/>
                <w:kern w:val="0"/>
                <w:sz w:val="21"/>
                <w:szCs w:val="21"/>
                <w:lang w:val="en-US"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9D8B7C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1F6DD1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个体工商户给予警告并处3000元以上5000元以下罚款</w:t>
            </w:r>
          </w:p>
        </w:tc>
      </w:tr>
      <w:tr w14:paraId="1042A076">
        <w:tblPrEx>
          <w:tblCellMar>
            <w:top w:w="15" w:type="dxa"/>
            <w:left w:w="15" w:type="dxa"/>
            <w:bottom w:w="15" w:type="dxa"/>
            <w:right w:w="15" w:type="dxa"/>
          </w:tblCellMar>
        </w:tblPrEx>
        <w:trPr>
          <w:trHeight w:val="136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0241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6BFA09">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4DB9C2">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62AFDB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76CE215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1533D5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拒绝提供统计资料或者经催报后仍未按时提供统计资料，严重影响相关工作正常开展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641B94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BD4FC7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个体工商户给予警告并处5000元以上1万元以下罚款</w:t>
            </w:r>
          </w:p>
        </w:tc>
      </w:tr>
      <w:tr w14:paraId="14772E59">
        <w:tblPrEx>
          <w:tblCellMar>
            <w:top w:w="15" w:type="dxa"/>
            <w:left w:w="15" w:type="dxa"/>
            <w:bottom w:w="15" w:type="dxa"/>
            <w:right w:w="15" w:type="dxa"/>
          </w:tblCellMar>
        </w:tblPrEx>
        <w:trPr>
          <w:trHeight w:val="1429"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25769C1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AF58B3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C5A0AB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8875C4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2FAADB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155AB98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340228E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37B2C9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196DF4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26E85E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3BDA09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2</w:t>
            </w:r>
          </w:p>
          <w:p w14:paraId="59E6EBC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9B1B3E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177168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2CA66CA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3A9C537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2BB2EC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C3C378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A93C39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3CB60F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150AEF3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3509F7F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57CFD16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5615D76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36160AA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29B1CEB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083E08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562F1AA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AEFCBE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8343F7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8A4A20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234A8B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F51F47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5E8B81F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3C325D6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BDD150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746BA59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1A2DF52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91B68F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56D50E4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06A8368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19D277F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E54045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2631E65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0DFD5D2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C3013B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4237263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4B4CC7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52D40D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6278B8A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26625F1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提供不真实或者不完整的统计资料的行为</w:t>
            </w:r>
          </w:p>
          <w:p w14:paraId="723A8EE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7AD61C3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69D83E4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5E5DA75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60195A1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6A99587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2A810AE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062666E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4FBE654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0B57A73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53AC44C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7072C6E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79CB19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945745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9E1267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644A29B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04F0FE9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23C29BD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3B3A2B3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47FE17F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1B91514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4E204D3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134E7F9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74AD8A8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p w14:paraId="2C38921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DCC723A">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《中华人民共和国统计法》第四十一条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（一）拒绝提供统计资料或者经催报后仍未按时提供统计资料的；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（二）提供不真实或者不完整的统计资料的；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（三）拒绝答复或者不如实答复统计检查查询书的；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（四）拒绝、阻碍统计调查、统计检查的；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（五）转移、隐匿、篡改、毁弃或者拒绝提供原始记录和凭证、统计台账、统计调查表及其他相关证明和资料的。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企业事业单位或者其他组织有前款所列行为之一的，可以并处五万元以下的罚款；情节严重的，并处五万元以上二十万元以下的罚款。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个体工商户有本条第一款所列行为之一的，由县级以上人民政府统计机构责令改正，给予警告，可以并处一万元以下的罚款。</w:t>
            </w:r>
          </w:p>
          <w:p w14:paraId="78B62C2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1B72EA0F">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26F063F3">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0489104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62028FA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200A7B9A">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4667ED65">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36697B0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7468EBF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1BFD26A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7D215DDC">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56342F37">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0CEA65B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29B46324">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6A88810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2C5920B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375D57C7">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7FA3460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752A113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45C0092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p w14:paraId="41D074A5">
            <w:pPr>
              <w:keepNext w:val="0"/>
              <w:keepLines w:val="0"/>
              <w:pageBreakBefore w:val="0"/>
              <w:widowControl/>
              <w:kinsoku/>
              <w:wordWrap/>
              <w:overflowPunct/>
              <w:topLinePunct w:val="0"/>
              <w:autoSpaceDE/>
              <w:autoSpaceDN/>
              <w:bidi w:val="0"/>
              <w:adjustRightInd/>
              <w:snapToGrid/>
              <w:spacing w:line="300" w:lineRule="exact"/>
              <w:ind w:firstLine="420" w:firstLineChars="200"/>
              <w:jc w:val="center"/>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B9B197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BD916A6">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提供不真实统计资料，应报数不为0，差错率10%以上30%以下；应报数为0，违法数额100万元以上1000万元以下；报送指标为产品价格的，差错率10%以上30%以下或价格数值很小的。</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A756CB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A0AA9E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个体工商户给予警告或警告并处200元以上1000元以下罚款</w:t>
            </w:r>
          </w:p>
        </w:tc>
      </w:tr>
      <w:tr w14:paraId="02420789">
        <w:tblPrEx>
          <w:tblCellMar>
            <w:top w:w="15" w:type="dxa"/>
            <w:left w:w="15" w:type="dxa"/>
            <w:bottom w:w="15" w:type="dxa"/>
            <w:right w:w="15" w:type="dxa"/>
          </w:tblCellMar>
        </w:tblPrEx>
        <w:trPr>
          <w:trHeight w:val="1422"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4FD31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AB416">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362BD">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4F8F6C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160F8A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提供不真实统计资料，应报数不为0，差错率30%以上60%以下；应报数为0，违法数额1000万元以上2000万元以下；报送指标为产品价格的，差错率30%以上60%以下或价格数值较小的。</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232BFD3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47541E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个体工商户给予警告并处1000元以上2000元以下罚款</w:t>
            </w:r>
          </w:p>
        </w:tc>
      </w:tr>
      <w:tr w14:paraId="58AFEB4E">
        <w:tblPrEx>
          <w:tblCellMar>
            <w:top w:w="15" w:type="dxa"/>
            <w:left w:w="15" w:type="dxa"/>
            <w:bottom w:w="15" w:type="dxa"/>
            <w:right w:w="15" w:type="dxa"/>
          </w:tblCellMar>
        </w:tblPrEx>
        <w:trPr>
          <w:trHeight w:val="141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E41E2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61444">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E959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0ECBA8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9DE073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spacing w:val="-11"/>
                <w:kern w:val="0"/>
                <w:sz w:val="21"/>
                <w:szCs w:val="21"/>
                <w:lang w:bidi="ar"/>
              </w:rPr>
              <w:t>提供不真实统计资料，应报数不为0，差错率60%以上90%以下；应报数为0，违法数额2000万元以上5000万元以下；报送指标为产品价格的，差错率60%以上90%以下或价格数值较大的。</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65C1AA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C5EA77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个体工商户给予警告并处2000元以上3000元以下罚款</w:t>
            </w:r>
          </w:p>
        </w:tc>
      </w:tr>
      <w:tr w14:paraId="35B9C891">
        <w:tblPrEx>
          <w:tblCellMar>
            <w:top w:w="15" w:type="dxa"/>
            <w:left w:w="15" w:type="dxa"/>
            <w:bottom w:w="15" w:type="dxa"/>
            <w:right w:w="15" w:type="dxa"/>
          </w:tblCellMar>
        </w:tblPrEx>
        <w:trPr>
          <w:trHeight w:val="652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743C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465A2">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DBED64">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BBFED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22437C2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p w14:paraId="432DF4C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2018FA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提供不真实统计资料，</w:t>
            </w:r>
            <w:r>
              <w:rPr>
                <w:rFonts w:hint="eastAsia" w:ascii="宋体" w:hAnsi="宋体" w:eastAsia="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bidi="ar"/>
              </w:rPr>
              <w:t>应报数不为0，</w:t>
            </w:r>
            <w:r>
              <w:rPr>
                <w:rFonts w:hint="eastAsia" w:ascii="宋体" w:hAnsi="宋体" w:eastAsia="宋体" w:cs="宋体"/>
                <w:b w:val="0"/>
                <w:bCs/>
                <w:color w:val="000000"/>
                <w:kern w:val="0"/>
                <w:sz w:val="21"/>
                <w:szCs w:val="21"/>
                <w:lang w:eastAsia="zh-CN" w:bidi="ar"/>
              </w:rPr>
              <w:t>有下列情形之一：（</w:t>
            </w:r>
            <w:r>
              <w:rPr>
                <w:rFonts w:hint="eastAsia" w:ascii="宋体" w:hAnsi="宋体" w:eastAsia="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eastAsia="zh-CN" w:bidi="ar"/>
              </w:rPr>
              <w:t>）差错率10%以上30%以下，且违法数额30亿元以上；（</w:t>
            </w:r>
            <w:r>
              <w:rPr>
                <w:rFonts w:hint="eastAsia" w:ascii="宋体" w:hAnsi="宋体" w:eastAsia="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eastAsia="zh-CN" w:bidi="ar"/>
              </w:rPr>
              <w:t>）差错率30%以上 60%以下，且违法数额20亿元以上；（</w:t>
            </w:r>
            <w:r>
              <w:rPr>
                <w:rFonts w:hint="eastAsia" w:ascii="宋体" w:hAnsi="宋体" w:eastAsia="宋体" w:cs="宋体"/>
                <w:b w:val="0"/>
                <w:bCs/>
                <w:color w:val="000000"/>
                <w:kern w:val="0"/>
                <w:sz w:val="21"/>
                <w:szCs w:val="21"/>
                <w:lang w:val="en-US" w:eastAsia="zh-CN" w:bidi="ar"/>
              </w:rPr>
              <w:t>3</w:t>
            </w:r>
            <w:r>
              <w:rPr>
                <w:rFonts w:hint="eastAsia" w:ascii="宋体" w:hAnsi="宋体" w:eastAsia="宋体" w:cs="宋体"/>
                <w:b w:val="0"/>
                <w:bCs/>
                <w:color w:val="000000"/>
                <w:kern w:val="0"/>
                <w:sz w:val="21"/>
                <w:szCs w:val="21"/>
                <w:lang w:eastAsia="zh-CN" w:bidi="ar"/>
              </w:rPr>
              <w:t>）差错率60%以上 90%以下，且违法数额10亿元以上；（</w:t>
            </w:r>
            <w:r>
              <w:rPr>
                <w:rFonts w:hint="eastAsia" w:ascii="宋体" w:hAnsi="宋体" w:eastAsia="宋体" w:cs="宋体"/>
                <w:b w:val="0"/>
                <w:bCs/>
                <w:color w:val="000000"/>
                <w:kern w:val="0"/>
                <w:sz w:val="21"/>
                <w:szCs w:val="21"/>
                <w:lang w:val="en-US" w:eastAsia="zh-CN" w:bidi="ar"/>
              </w:rPr>
              <w:t>4</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t>差错率</w:t>
            </w:r>
            <w:r>
              <w:rPr>
                <w:rFonts w:hint="eastAsia" w:ascii="宋体" w:hAnsi="宋体" w:eastAsia="宋体" w:cs="宋体"/>
                <w:b w:val="0"/>
                <w:bCs/>
                <w:color w:val="000000"/>
                <w:kern w:val="0"/>
                <w:sz w:val="21"/>
                <w:szCs w:val="21"/>
                <w:lang w:val="en-US" w:eastAsia="zh-CN" w:bidi="ar"/>
              </w:rPr>
              <w:t>6</w:t>
            </w:r>
            <w:r>
              <w:rPr>
                <w:rFonts w:hint="eastAsia" w:ascii="宋体" w:hAnsi="宋体" w:eastAsia="宋体" w:cs="宋体"/>
                <w:b w:val="0"/>
                <w:bCs/>
                <w:color w:val="000000"/>
                <w:kern w:val="0"/>
                <w:sz w:val="21"/>
                <w:szCs w:val="21"/>
                <w:lang w:bidi="ar"/>
              </w:rPr>
              <w:t>0%以上，且</w:t>
            </w:r>
            <w:r>
              <w:rPr>
                <w:rFonts w:hint="eastAsia" w:ascii="宋体" w:hAnsi="宋体" w:eastAsia="宋体" w:cs="宋体"/>
                <w:b w:val="0"/>
                <w:bCs/>
                <w:color w:val="000000"/>
                <w:kern w:val="0"/>
                <w:sz w:val="21"/>
                <w:szCs w:val="21"/>
                <w:lang w:eastAsia="zh-CN" w:bidi="ar"/>
              </w:rPr>
              <w:t>存在主观故意的；（</w:t>
            </w:r>
            <w:r>
              <w:rPr>
                <w:rFonts w:hint="eastAsia" w:ascii="宋体" w:hAnsi="宋体" w:eastAsia="宋体" w:cs="宋体"/>
                <w:b w:val="0"/>
                <w:bCs/>
                <w:color w:val="000000"/>
                <w:kern w:val="0"/>
                <w:sz w:val="21"/>
                <w:szCs w:val="21"/>
                <w:lang w:val="en-US" w:eastAsia="zh-CN" w:bidi="ar"/>
              </w:rPr>
              <w:t>5</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t>差错率90%以上，且违法数额1亿元以下</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bidi="ar"/>
              </w:rPr>
              <w:t>应报数为0，违法数额5000万元以上1亿元以下</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val="en-US" w:eastAsia="zh-CN" w:bidi="ar"/>
              </w:rPr>
              <w:t>3.</w:t>
            </w:r>
            <w:r>
              <w:rPr>
                <w:rFonts w:hint="eastAsia" w:ascii="宋体" w:hAnsi="宋体" w:eastAsia="宋体" w:cs="宋体"/>
                <w:b w:val="0"/>
                <w:bCs/>
                <w:color w:val="000000"/>
                <w:kern w:val="0"/>
                <w:sz w:val="21"/>
                <w:szCs w:val="21"/>
                <w:lang w:bidi="ar"/>
              </w:rPr>
              <w:t>报送指标为产品价格的，差错率90%以上或价格数值特别大的。</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CA06A6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5EDE32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个体工商户给予警告并处3000元以上5000元以下罚款</w:t>
            </w:r>
          </w:p>
        </w:tc>
      </w:tr>
      <w:tr w14:paraId="7CA39D64">
        <w:tblPrEx>
          <w:tblCellMar>
            <w:top w:w="15" w:type="dxa"/>
            <w:left w:w="15" w:type="dxa"/>
            <w:bottom w:w="15" w:type="dxa"/>
            <w:right w:w="15" w:type="dxa"/>
          </w:tblCellMar>
        </w:tblPrEx>
        <w:trPr>
          <w:trHeight w:val="130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D22C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6DE183">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317383">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34261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A57887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提供不真实统计资料，一年内被责令改正</w:t>
            </w:r>
            <w:r>
              <w:rPr>
                <w:rFonts w:hint="eastAsia" w:ascii="宋体" w:hAnsi="宋体" w:eastAsia="宋体" w:cs="宋体"/>
                <w:b w:val="0"/>
                <w:bCs/>
                <w:color w:val="000000"/>
                <w:kern w:val="0"/>
                <w:sz w:val="21"/>
                <w:szCs w:val="21"/>
                <w:lang w:val="en-US"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523F72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5277AA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个体工商户给予警告并处3000元以上5000元以下罚款</w:t>
            </w:r>
          </w:p>
        </w:tc>
      </w:tr>
      <w:tr w14:paraId="56B759BC">
        <w:tblPrEx>
          <w:tblCellMar>
            <w:top w:w="15" w:type="dxa"/>
            <w:left w:w="15" w:type="dxa"/>
            <w:bottom w:w="15" w:type="dxa"/>
            <w:right w:w="15" w:type="dxa"/>
          </w:tblCellMar>
        </w:tblPrEx>
        <w:trPr>
          <w:trHeight w:val="142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BD34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E35F0">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FDAD6">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FE8725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706A27B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0D2049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提供不真实统计资料，应报数不为0，差错率90%以上，且违法数额1亿元以上；应报数为0，违法数额1亿元以上；报送指标为产品价格的，差错率90%以上且价格数值特别大的。</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78529F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0F2EDD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个体工商户给予警告并处5000元以上1万元以下罚款</w:t>
            </w:r>
          </w:p>
        </w:tc>
      </w:tr>
      <w:tr w14:paraId="11D013C9">
        <w:tblPrEx>
          <w:tblCellMar>
            <w:top w:w="15" w:type="dxa"/>
            <w:left w:w="15" w:type="dxa"/>
            <w:bottom w:w="15" w:type="dxa"/>
            <w:right w:w="15" w:type="dxa"/>
          </w:tblCellMar>
        </w:tblPrEx>
        <w:trPr>
          <w:trHeight w:val="75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0C04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9699AA">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20905">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513A089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FFDE45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提供不完整统计资料，应填而未填指标数占应填指标数10%以下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3E59C3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2C0897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个体工商户给予警告或警告并处200元以上1000元以下罚款</w:t>
            </w:r>
          </w:p>
        </w:tc>
      </w:tr>
      <w:tr w14:paraId="67E0BD17">
        <w:tblPrEx>
          <w:tblCellMar>
            <w:top w:w="15" w:type="dxa"/>
            <w:left w:w="15" w:type="dxa"/>
            <w:bottom w:w="15" w:type="dxa"/>
            <w:right w:w="15" w:type="dxa"/>
          </w:tblCellMar>
        </w:tblPrEx>
        <w:trPr>
          <w:trHeight w:val="793"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2533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E349A">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890E3B">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9AA15D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702320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提供不完整统计资料，应填而未填指标数占应填指标数10%以上30%以下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5AC7DA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024784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个体工商户给予警告并处1000元以上2000元以下罚款</w:t>
            </w:r>
          </w:p>
        </w:tc>
      </w:tr>
      <w:tr w14:paraId="08391CE4">
        <w:tblPrEx>
          <w:tblCellMar>
            <w:top w:w="15" w:type="dxa"/>
            <w:left w:w="15" w:type="dxa"/>
            <w:bottom w:w="15" w:type="dxa"/>
            <w:right w:w="15" w:type="dxa"/>
          </w:tblCellMar>
        </w:tblPrEx>
        <w:trPr>
          <w:trHeight w:val="791"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DCB3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BA30B">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6B0B5">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0768A1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C721F3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提供不完整统计资料，应填而未填指标数占应填指标数30%以上60%以下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69B60C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5BEF17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个体工商户给予警告并处2000元以上3000元以下罚款</w:t>
            </w:r>
          </w:p>
        </w:tc>
      </w:tr>
      <w:tr w14:paraId="6DED9063">
        <w:tblPrEx>
          <w:tblCellMar>
            <w:top w:w="15" w:type="dxa"/>
            <w:left w:w="15" w:type="dxa"/>
            <w:bottom w:w="15" w:type="dxa"/>
            <w:right w:w="15" w:type="dxa"/>
          </w:tblCellMar>
        </w:tblPrEx>
        <w:trPr>
          <w:trHeight w:val="77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AA58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9F50E">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37C51">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FA8D47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69FBBA9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p w14:paraId="7D7286B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CF2C6B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提供不完整统计资料，应填而未填指标数占应填指标数60%以上</w:t>
            </w:r>
          </w:p>
        </w:tc>
        <w:tc>
          <w:tcPr>
            <w:tcW w:w="2636" w:type="dxa"/>
            <w:vMerge w:val="restart"/>
            <w:tcBorders>
              <w:top w:val="single" w:color="000000" w:sz="4" w:space="0"/>
              <w:left w:val="single" w:color="000000" w:sz="4" w:space="0"/>
              <w:bottom w:val="single" w:color="000000" w:sz="4" w:space="0"/>
              <w:right w:val="single" w:color="000000" w:sz="4" w:space="0"/>
            </w:tcBorders>
            <w:noWrap w:val="0"/>
            <w:vAlign w:val="center"/>
          </w:tcPr>
          <w:p w14:paraId="5D453FC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0AC4F0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个体工商户给予警告并处3000元以上5000元以下罚款</w:t>
            </w:r>
          </w:p>
        </w:tc>
      </w:tr>
      <w:tr w14:paraId="2BF0C671">
        <w:tblPrEx>
          <w:tblCellMar>
            <w:top w:w="15" w:type="dxa"/>
            <w:left w:w="15" w:type="dxa"/>
            <w:bottom w:w="15" w:type="dxa"/>
            <w:right w:w="15" w:type="dxa"/>
          </w:tblCellMar>
        </w:tblPrEx>
        <w:trPr>
          <w:trHeight w:val="52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E9E5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F113F">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4F6667">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D5747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A263FC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eastAsia="zh-CN" w:bidi="ar"/>
              </w:rPr>
            </w:pPr>
            <w:r>
              <w:rPr>
                <w:rFonts w:hint="eastAsia" w:ascii="宋体" w:hAnsi="宋体" w:eastAsia="宋体" w:cs="宋体"/>
                <w:b w:val="0"/>
                <w:bCs/>
                <w:color w:val="000000"/>
                <w:kern w:val="0"/>
                <w:sz w:val="21"/>
                <w:szCs w:val="21"/>
                <w:lang w:bidi="ar"/>
              </w:rPr>
              <w:t>提供不完整统计资料，一年内被责令改正</w:t>
            </w:r>
            <w:r>
              <w:rPr>
                <w:rFonts w:hint="eastAsia" w:ascii="宋体" w:hAnsi="宋体" w:eastAsia="宋体" w:cs="宋体"/>
                <w:b w:val="0"/>
                <w:bCs/>
                <w:color w:val="000000"/>
                <w:kern w:val="0"/>
                <w:sz w:val="21"/>
                <w:szCs w:val="21"/>
                <w:lang w:eastAsia="zh-CN" w:bidi="ar"/>
              </w:rPr>
              <w:t>3次以上</w:t>
            </w:r>
          </w:p>
        </w:tc>
        <w:tc>
          <w:tcPr>
            <w:tcW w:w="26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A0636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tc>
        <w:tc>
          <w:tcPr>
            <w:tcW w:w="20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3893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tc>
      </w:tr>
      <w:tr w14:paraId="33B856EE">
        <w:tblPrEx>
          <w:tblCellMar>
            <w:top w:w="15" w:type="dxa"/>
            <w:left w:w="15" w:type="dxa"/>
            <w:bottom w:w="15" w:type="dxa"/>
            <w:right w:w="15" w:type="dxa"/>
          </w:tblCellMar>
        </w:tblPrEx>
        <w:trPr>
          <w:trHeight w:val="1623"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7BCA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2C0D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FFE91">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2F385F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203BE1D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912D43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提供不完整统计资料，应填而未填指标数占应填指标数60%以上，造成严重后果或者恶劣影响</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CDA11D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496AA6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个体工商户给予警告并处5000元以上1万元以下罚款</w:t>
            </w:r>
          </w:p>
        </w:tc>
      </w:tr>
      <w:tr w14:paraId="63E143D4">
        <w:tblPrEx>
          <w:tblCellMar>
            <w:top w:w="15" w:type="dxa"/>
            <w:left w:w="15" w:type="dxa"/>
            <w:bottom w:w="15" w:type="dxa"/>
            <w:right w:w="15" w:type="dxa"/>
          </w:tblCellMar>
        </w:tblPrEx>
        <w:trPr>
          <w:trHeight w:val="810"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91CE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3</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5AD8BBC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拒绝答复或者不如实答复统计检查查询书的行为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2F8ECD8">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（一）拒绝提供统计资料或者经催报后仍未按时提供统计资料的；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（二）提供不真实或者不完整的统计资料的；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（三）拒绝答复或者不如实答复统计检查查询书的；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（四）拒绝、阻碍统计调查、统计检查的；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（五）转移、隐匿、篡改、毁弃或者拒绝提供原始记录和凭证、统计台账、统计调查表及其他相关证明和资料的。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企业事业单位或者其他组织有前款所列行为之一的，可以并处五万元以下的罚款；情节严重的，并处五万元以上二十万元以下的罚款。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个体工商户有本条第一款所列行为之一的，由县级以上人民政府统计机构责令改正，给予警告，可以并处一万元以下的罚款。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30F908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B25E3D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不如实答复统计检查查询书</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4DD6C1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36CEF8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个体工商户给予警告或警告并处500元以上2000元以下罚款</w:t>
            </w:r>
          </w:p>
        </w:tc>
      </w:tr>
      <w:tr w14:paraId="1D5A7969">
        <w:tblPrEx>
          <w:tblCellMar>
            <w:top w:w="15" w:type="dxa"/>
            <w:left w:w="15" w:type="dxa"/>
            <w:bottom w:w="15" w:type="dxa"/>
            <w:right w:w="15" w:type="dxa"/>
          </w:tblCellMar>
        </w:tblPrEx>
        <w:trPr>
          <w:trHeight w:val="796"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B41F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C6B825">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5DFB2">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B22EEB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92EAC8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拒绝答复统计检查查询书</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21231E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C07F54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个体工商户给予警告并处2000元以上3000元以下罚款</w:t>
            </w:r>
          </w:p>
        </w:tc>
      </w:tr>
      <w:tr w14:paraId="726CB880">
        <w:tblPrEx>
          <w:tblCellMar>
            <w:top w:w="15" w:type="dxa"/>
            <w:left w:w="15" w:type="dxa"/>
            <w:bottom w:w="15" w:type="dxa"/>
            <w:right w:w="15" w:type="dxa"/>
          </w:tblCellMar>
        </w:tblPrEx>
        <w:trPr>
          <w:trHeight w:val="87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D480A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1CD418">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30CF4">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D5E143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CBF076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拒绝答复或者不如实答复统计检查查询书，一年内被责令改正</w:t>
            </w:r>
            <w:r>
              <w:rPr>
                <w:rFonts w:hint="eastAsia" w:ascii="宋体" w:hAnsi="宋体" w:eastAsia="宋体" w:cs="宋体"/>
                <w:b w:val="0"/>
                <w:bCs/>
                <w:color w:val="000000"/>
                <w:kern w:val="0"/>
                <w:sz w:val="21"/>
                <w:szCs w:val="21"/>
                <w:lang w:val="en-US"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1D75D4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861C0C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个体工商户给予警告并处3000元以上5000元以下罚款</w:t>
            </w:r>
          </w:p>
        </w:tc>
      </w:tr>
      <w:tr w14:paraId="39619A50">
        <w:tblPrEx>
          <w:tblCellMar>
            <w:top w:w="15" w:type="dxa"/>
            <w:left w:w="15" w:type="dxa"/>
            <w:bottom w:w="15" w:type="dxa"/>
            <w:right w:w="15" w:type="dxa"/>
          </w:tblCellMar>
        </w:tblPrEx>
        <w:trPr>
          <w:trHeight w:val="23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6607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5252E9">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92C563">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2D29ED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6D6A51F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04295E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拒绝答复或者不如实答复统计检查查询书，严重影响相关工作正常开展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356EF5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852675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个体工商户给予警告并处5000元以上1万元以下罚款</w:t>
            </w:r>
          </w:p>
        </w:tc>
      </w:tr>
      <w:tr w14:paraId="3F4F34D0">
        <w:tblPrEx>
          <w:tblCellMar>
            <w:top w:w="15" w:type="dxa"/>
            <w:left w:w="15" w:type="dxa"/>
            <w:bottom w:w="15" w:type="dxa"/>
            <w:right w:w="15" w:type="dxa"/>
          </w:tblCellMar>
        </w:tblPrEx>
        <w:trPr>
          <w:trHeight w:val="2065"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4CACBDA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4</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FE931">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拒绝、阻碍统计调查、统计检查的行为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EC3820A">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（一）拒绝提供统计资料或者经催报后仍未按时提供统计资料的；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（二）提供不真实或者不完整的统计资料的；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（三）拒绝答复或者不如实答复统计检查查询书的；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（四）拒绝、阻碍统计调查、统计检查的；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（五）转移、隐匿、篡改、毁弃或者拒绝提供原始记录和凭证、统计台账、统计调查表及其他相关证明和资料的。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企业事业单位或者其他组织有前款所列行为之一的，可以并处五万元以下的罚款；情节严重的，并处五万元以上二十万元以下的罚款。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个体工商户有本条第一款所列行为之一的，由县级以上人民政府统计机构责令改正，给予警告，可以并处一万元以下的罚款。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FB0B9E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C266F2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阻碍统计调查、统计检查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80843D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4D9A0C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个体工商户给予警告或警告并处500元以上2000元以下罚款</w:t>
            </w:r>
          </w:p>
        </w:tc>
      </w:tr>
      <w:tr w14:paraId="69D71158">
        <w:tblPrEx>
          <w:tblCellMar>
            <w:top w:w="15" w:type="dxa"/>
            <w:left w:w="15" w:type="dxa"/>
            <w:bottom w:w="15" w:type="dxa"/>
            <w:right w:w="15" w:type="dxa"/>
          </w:tblCellMar>
        </w:tblPrEx>
        <w:trPr>
          <w:trHeight w:val="1782"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D069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6175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45569">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5FDCAAB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99EBC0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拒绝统计调查、统计检查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2E36E68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1850F6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个体工商户给予警告并处2000元以上5000元以下罚款</w:t>
            </w:r>
          </w:p>
        </w:tc>
      </w:tr>
      <w:tr w14:paraId="329DDF35">
        <w:tblPrEx>
          <w:tblCellMar>
            <w:top w:w="15" w:type="dxa"/>
            <w:left w:w="15" w:type="dxa"/>
            <w:bottom w:w="15" w:type="dxa"/>
            <w:right w:w="15" w:type="dxa"/>
          </w:tblCellMar>
        </w:tblPrEx>
        <w:trPr>
          <w:trHeight w:val="149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B7A36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600E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3A07FD">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FD2050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B5271D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拒绝、阻碍统计调查、统计检查，一年内被责令改正</w:t>
            </w:r>
            <w:r>
              <w:rPr>
                <w:rFonts w:hint="eastAsia" w:ascii="宋体" w:hAnsi="宋体" w:eastAsia="宋体" w:cs="宋体"/>
                <w:b w:val="0"/>
                <w:bCs/>
                <w:color w:val="000000"/>
                <w:kern w:val="0"/>
                <w:sz w:val="21"/>
                <w:szCs w:val="21"/>
                <w:lang w:val="en-US"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77E96C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BF64E9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个体工商户给予警告并处5000元以上8000元以下罚款</w:t>
            </w:r>
          </w:p>
        </w:tc>
      </w:tr>
      <w:tr w14:paraId="1EF955BF">
        <w:tblPrEx>
          <w:tblCellMar>
            <w:top w:w="15" w:type="dxa"/>
            <w:left w:w="15" w:type="dxa"/>
            <w:bottom w:w="15" w:type="dxa"/>
            <w:right w:w="15" w:type="dxa"/>
          </w:tblCellMar>
        </w:tblPrEx>
        <w:trPr>
          <w:trHeight w:val="198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8ED8F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F1973">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7ED70">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F4D5B2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4C11E6B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DEDF20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使用暴力或者威胁方法拒绝、阻碍统计调查、统计检查，或拒绝、阻碍统计调查、统计检查，严重影响相关工作正常开展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D50F7C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C116E7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个体工商户给予警告并处8000元以上1万元以下罚款</w:t>
            </w:r>
          </w:p>
        </w:tc>
      </w:tr>
      <w:tr w14:paraId="0B25C970">
        <w:tblPrEx>
          <w:tblCellMar>
            <w:top w:w="15" w:type="dxa"/>
            <w:left w:w="15" w:type="dxa"/>
            <w:bottom w:w="15" w:type="dxa"/>
            <w:right w:w="15" w:type="dxa"/>
          </w:tblCellMar>
        </w:tblPrEx>
        <w:trPr>
          <w:trHeight w:val="2273"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56E785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5</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65EAD2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转移、隐匿、篡改、毁弃或者拒绝提供原始记录和凭证、统计台账、统计调查表及其他相关证明和资料的行为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635823C">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（一）拒绝提供统计资料或者经催报后仍未按时提供统计资料的；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（二）提供不真实或者不完整的统计资料的；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（三）拒绝答复或者不如实答复统计检查查询书的；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（四）拒绝、阻碍统计调查、统计检查的；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（五）转移、隐匿、篡改、毁弃或者拒绝提供原始记录和凭证、统计台账、统计调查表及其他相关证明和资料的。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企业事业单位或者其他组织有前款所列行为之一的，可以并处五万元以下的罚款；情节严重的，并处五万元以上二十万元以下的罚款。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个体工商户有本条第一款所列行为之一的，由县级以上人民政府统计机构责令改正，给予警告，可以并处一万元以下的罚款。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E1BBCD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5FC932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转移、隐匿、篡改、毁弃或者拒绝提供原始记录和凭证、统计台账、统计调查表及其他相关证明和资料，影响相关工作正常开展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140DAD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企业事业单位或者其他组织给予警告或警告并处1万元以上5万元以下罚款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F536FB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个体工商户给予警告或警告并处1000元以上2000元以下罚款</w:t>
            </w:r>
          </w:p>
        </w:tc>
      </w:tr>
      <w:tr w14:paraId="1D97F687">
        <w:tblPrEx>
          <w:tblCellMar>
            <w:top w:w="15" w:type="dxa"/>
            <w:left w:w="15" w:type="dxa"/>
            <w:bottom w:w="15" w:type="dxa"/>
            <w:right w:w="15" w:type="dxa"/>
          </w:tblCellMar>
        </w:tblPrEx>
        <w:trPr>
          <w:trHeight w:val="284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E9EC5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80E81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F4F3A">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B68F65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E369CA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eastAsia="zh-CN" w:bidi="ar"/>
              </w:rPr>
            </w:pPr>
            <w:r>
              <w:rPr>
                <w:rFonts w:hint="eastAsia" w:ascii="宋体" w:hAnsi="宋体" w:eastAsia="宋体" w:cs="宋体"/>
                <w:b w:val="0"/>
                <w:bCs/>
                <w:color w:val="000000"/>
                <w:kern w:val="0"/>
                <w:sz w:val="21"/>
                <w:szCs w:val="21"/>
                <w:lang w:bidi="ar"/>
              </w:rPr>
              <w:t>转移、隐匿、篡改、毁弃或者拒绝提供原始记录和凭证、统计台账、统计调查表及其他相关证明和资料，一年内被责令改正</w:t>
            </w:r>
            <w:r>
              <w:rPr>
                <w:rFonts w:hint="eastAsia" w:ascii="宋体" w:hAnsi="宋体" w:eastAsia="宋体" w:cs="宋体"/>
                <w:b w:val="0"/>
                <w:bCs/>
                <w:color w:val="000000"/>
                <w:kern w:val="0"/>
                <w:sz w:val="21"/>
                <w:szCs w:val="21"/>
                <w:lang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28CA4A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 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157585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个体工商户给予警告并处2000元以上5000元以下罚款</w:t>
            </w:r>
          </w:p>
        </w:tc>
      </w:tr>
      <w:tr w14:paraId="2C6DFAF6">
        <w:tblPrEx>
          <w:tblCellMar>
            <w:top w:w="15" w:type="dxa"/>
            <w:left w:w="15" w:type="dxa"/>
            <w:bottom w:w="15" w:type="dxa"/>
            <w:right w:w="15" w:type="dxa"/>
          </w:tblCellMar>
        </w:tblPrEx>
        <w:trPr>
          <w:trHeight w:val="260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4A0F6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25059E">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461A4">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947F41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29A9D28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8A3D11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转移、隐匿、篡改、毁弃或者拒绝提供原始记录和凭证、统计台账、统计调查表及其他相关证明和资料，严重影响相关工作正常开展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27C3A1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D67DCA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个体工商户给予警告并处5000元以上1万元以下罚款</w:t>
            </w:r>
          </w:p>
        </w:tc>
      </w:tr>
      <w:tr w14:paraId="7B0BB0BD">
        <w:tblPrEx>
          <w:tblCellMar>
            <w:top w:w="15" w:type="dxa"/>
            <w:left w:w="15" w:type="dxa"/>
            <w:bottom w:w="15" w:type="dxa"/>
            <w:right w:w="15" w:type="dxa"/>
          </w:tblCellMar>
        </w:tblPrEx>
        <w:trPr>
          <w:trHeight w:val="606"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3DD11AF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6</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7B47446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迟报统计资料的行为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F4C0B11">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《中华人民共和国统计法》第四十二条 作为统计调查对象的国家机关、企业事业单位或者其他组织迟报统计资料，或者未按照国家有关规定设置原始记录、统计台账的，由县级以上人民政府统计机构责令改正，给予警告。</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企业事业单位或者其他组织有前款所列行为之一的，可以并处一万元以下的罚款。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个体工商户迟报统计资料的，由县级以上人民政府统计机构责令改正，给予警告，可以并处一千元以下的罚款。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472BDD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96AD2A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 xml:space="preserve">一年内发生1次迟报统计资料  </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6033DD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警告</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B27F0D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警告</w:t>
            </w:r>
          </w:p>
        </w:tc>
      </w:tr>
      <w:tr w14:paraId="59B84133">
        <w:tblPrEx>
          <w:tblCellMar>
            <w:top w:w="15" w:type="dxa"/>
            <w:left w:w="15" w:type="dxa"/>
            <w:bottom w:w="15" w:type="dxa"/>
            <w:right w:w="15" w:type="dxa"/>
          </w:tblCellMar>
        </w:tblPrEx>
        <w:trPr>
          <w:trHeight w:val="93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E306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A8D38">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C078B">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1B12A4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422743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一年内发生2次迟报统计资料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BF523D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企业事业单位或者其他组织给予警告并处1000元以上5000元以下罚款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F1B35D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个体工商户给予警告并处200元以上500元以下罚款</w:t>
            </w:r>
          </w:p>
        </w:tc>
      </w:tr>
      <w:tr w14:paraId="454C8FAC">
        <w:tblPrEx>
          <w:tblCellMar>
            <w:top w:w="15" w:type="dxa"/>
            <w:left w:w="15" w:type="dxa"/>
            <w:bottom w:w="15" w:type="dxa"/>
            <w:right w:w="15" w:type="dxa"/>
          </w:tblCellMar>
        </w:tblPrEx>
        <w:trPr>
          <w:trHeight w:val="995"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E116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C09D3">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EB45E">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5E1586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B42216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一年内发生</w:t>
            </w:r>
            <w:r>
              <w:rPr>
                <w:rFonts w:hint="eastAsia" w:ascii="宋体" w:hAnsi="宋体" w:eastAsia="宋体" w:cs="宋体"/>
                <w:b w:val="0"/>
                <w:bCs/>
                <w:color w:val="000000"/>
                <w:kern w:val="0"/>
                <w:sz w:val="21"/>
                <w:szCs w:val="21"/>
                <w:lang w:eastAsia="zh-CN" w:bidi="ar"/>
              </w:rPr>
              <w:t>3次以上</w:t>
            </w:r>
            <w:r>
              <w:rPr>
                <w:rFonts w:hint="eastAsia" w:ascii="宋体" w:hAnsi="宋体" w:eastAsia="宋体" w:cs="宋体"/>
                <w:b w:val="0"/>
                <w:bCs/>
                <w:color w:val="000000"/>
                <w:kern w:val="0"/>
                <w:sz w:val="21"/>
                <w:szCs w:val="21"/>
                <w:lang w:bidi="ar"/>
              </w:rPr>
              <w:t>迟报统计资料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265A3F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企业事业单位或者其他组织给予警告并处5000元以上 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8F9B6A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个体工商户给予警告并处500元以上1000元以下罚款</w:t>
            </w:r>
          </w:p>
        </w:tc>
      </w:tr>
      <w:tr w14:paraId="6923A88C">
        <w:tblPrEx>
          <w:tblCellMar>
            <w:top w:w="15" w:type="dxa"/>
            <w:left w:w="15" w:type="dxa"/>
            <w:bottom w:w="15" w:type="dxa"/>
            <w:right w:w="15" w:type="dxa"/>
          </w:tblCellMar>
        </w:tblPrEx>
        <w:trPr>
          <w:trHeight w:val="897"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6EFA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7</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639BE6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未按照国家有关规定设置原始记录、统计台账的行为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443277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《中华人民共和国统计法》第四十二条  作为统计调查对象的国家机关、企业事业单位或者其他组织迟报统计资料，或者未按照国家有关规定设置原始记录、统计台账的，由县级以上人民政府统计机构责令改正，给予警告。</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企业事业单位或者其他组织有前款所列行为之一的，可以并处一万元以下的罚款。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107317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7CE1FC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未按照国家有关规定设置原始记录、统计台账</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010164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警告</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A2D86D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w:t>
            </w:r>
          </w:p>
        </w:tc>
      </w:tr>
      <w:tr w14:paraId="4F8E06C4">
        <w:tblPrEx>
          <w:tblCellMar>
            <w:top w:w="15" w:type="dxa"/>
            <w:left w:w="15" w:type="dxa"/>
            <w:bottom w:w="15" w:type="dxa"/>
            <w:right w:w="15" w:type="dxa"/>
          </w:tblCellMar>
        </w:tblPrEx>
        <w:trPr>
          <w:trHeight w:val="121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9964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2091F">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8BA7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65BB38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AA469F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未按照国家有关规定设置原始记录、统计台账，责令改正后仍未改正</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237FFD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企业事业单位或者其他组织给予警告并处1000元以上5000元以下罚款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89772D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w:t>
            </w:r>
          </w:p>
        </w:tc>
      </w:tr>
      <w:tr w14:paraId="094AC30B">
        <w:tblPrEx>
          <w:tblCellMar>
            <w:top w:w="15" w:type="dxa"/>
            <w:left w:w="15" w:type="dxa"/>
            <w:bottom w:w="15" w:type="dxa"/>
            <w:right w:w="15" w:type="dxa"/>
          </w:tblCellMar>
        </w:tblPrEx>
        <w:trPr>
          <w:trHeight w:val="107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8C4C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08B1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A6C9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3EA667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32746D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eastAsia="zh-CN" w:bidi="ar"/>
              </w:rPr>
            </w:pPr>
            <w:r>
              <w:rPr>
                <w:rFonts w:hint="eastAsia" w:ascii="宋体" w:hAnsi="宋体" w:eastAsia="宋体" w:cs="宋体"/>
                <w:b w:val="0"/>
                <w:bCs/>
                <w:color w:val="000000"/>
                <w:kern w:val="0"/>
                <w:sz w:val="21"/>
                <w:szCs w:val="21"/>
                <w:lang w:bidi="ar"/>
              </w:rPr>
              <w:t>未按照国家有关规定设置原始记录、统计台账，一年内被责令改正</w:t>
            </w:r>
            <w:r>
              <w:rPr>
                <w:rFonts w:hint="eastAsia" w:ascii="宋体" w:hAnsi="宋体" w:eastAsia="宋体" w:cs="宋体"/>
                <w:b w:val="0"/>
                <w:bCs/>
                <w:color w:val="000000"/>
                <w:kern w:val="0"/>
                <w:sz w:val="21"/>
                <w:szCs w:val="21"/>
                <w:lang w:eastAsia="zh-CN" w:bidi="ar"/>
              </w:rPr>
              <w:t>3次以上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AF3140F">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企业事业单位或者其他组织给予警告并处5000元以上 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18F690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w:t>
            </w:r>
          </w:p>
        </w:tc>
      </w:tr>
      <w:tr w14:paraId="6E6B97D1">
        <w:tblPrEx>
          <w:tblCellMar>
            <w:top w:w="15" w:type="dxa"/>
            <w:left w:w="15" w:type="dxa"/>
            <w:bottom w:w="15" w:type="dxa"/>
            <w:right w:w="15" w:type="dxa"/>
          </w:tblCellMar>
        </w:tblPrEx>
        <w:trPr>
          <w:trHeight w:val="90"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0E0A5B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8</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1944197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拒绝或者妨碍接受经济普查机构、经济普查人员依法进行调查的行为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B805822">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（一）拒绝或者妨碍接受经济普查机构、经济普查人员依法进行的调查的；         </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（二）提供虚假或者不完整的经济普查资料的；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（三）未按时提供与经济普查有关的资料，经催报后仍未提供的。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企业事业单位或者其他组织有前款所列行为之一的，可以并处5万元以下的罚款；情节严重的，并处5万元以上20万元以下的罚款。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个体经营户有本条第一款所列行为之一的，由县级以上人民政府统计机构责令改正，给予警告，可以并处1万元以下的罚款。                                                                                                                                                                                                                </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84BA25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3A4970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妨碍接受经济普查机构、经济普查人员依法进行调查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838403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71C1F9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个体经营户给予警告或警告并处500元以上2000元以下罚款</w:t>
            </w:r>
          </w:p>
        </w:tc>
      </w:tr>
      <w:tr w14:paraId="23C4214E">
        <w:tblPrEx>
          <w:tblCellMar>
            <w:top w:w="15" w:type="dxa"/>
            <w:left w:w="15" w:type="dxa"/>
            <w:bottom w:w="15" w:type="dxa"/>
            <w:right w:w="15" w:type="dxa"/>
          </w:tblCellMar>
        </w:tblPrEx>
        <w:trPr>
          <w:trHeight w:val="891"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5FEC2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F0915">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834A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21F01AF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841AEC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拒绝接受经济普查机构、经济普查人员依法进行调查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2499EAE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8B578F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个体经营户给予警告并处2000元以上5000元以下罚款</w:t>
            </w:r>
          </w:p>
        </w:tc>
      </w:tr>
      <w:tr w14:paraId="7C95355B">
        <w:tblPrEx>
          <w:tblCellMar>
            <w:top w:w="15" w:type="dxa"/>
            <w:left w:w="15" w:type="dxa"/>
            <w:bottom w:w="15" w:type="dxa"/>
            <w:right w:w="15" w:type="dxa"/>
          </w:tblCellMar>
        </w:tblPrEx>
        <w:trPr>
          <w:trHeight w:val="149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5AB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869FC1">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0079F">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6B088B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30E4B1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使用暴力或者威胁方法拒绝接受经济普查机构、经济普查人员依法进行调查，未造成严重后果或者恶劣影响</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C9A450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F021AA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个体经营户给予警告并处5000元以上8000元以下罚款</w:t>
            </w:r>
          </w:p>
        </w:tc>
      </w:tr>
      <w:tr w14:paraId="622B0D73">
        <w:tblPrEx>
          <w:tblCellMar>
            <w:top w:w="15" w:type="dxa"/>
            <w:left w:w="15" w:type="dxa"/>
            <w:bottom w:w="15" w:type="dxa"/>
            <w:right w:w="15" w:type="dxa"/>
          </w:tblCellMar>
        </w:tblPrEx>
        <w:trPr>
          <w:trHeight w:val="144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B98F1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CCF24">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A7A568">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BF833B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3F88D69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F68F3D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使用暴力或者威胁方法拒绝接受经济普查机构、经济普查人员依法进行调查，造成严重后果或者恶劣影响</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669765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28A626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个体经营户给予警告并处8000元以上1万元以下罚款</w:t>
            </w:r>
          </w:p>
        </w:tc>
      </w:tr>
      <w:tr w14:paraId="0E6C86C9">
        <w:tblPrEx>
          <w:tblCellMar>
            <w:top w:w="15" w:type="dxa"/>
            <w:left w:w="15" w:type="dxa"/>
            <w:bottom w:w="15" w:type="dxa"/>
            <w:right w:w="15" w:type="dxa"/>
          </w:tblCellMar>
        </w:tblPrEx>
        <w:trPr>
          <w:trHeight w:val="2203"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121F028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9</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94B2AF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提供虚假或者不完整经济普查资料的行为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BEF6C83">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（一）拒绝或者妨碍接受经济普查机构、经济普查人员依法进行的调查的；         </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（二）提供虚假或者不完整的经济普查资料的；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（三）未按时提供与经济普查有关的资料，经催报后仍未提供的。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企业事业单位或者其他组织有前款所列行为之一的，可以并处5万元以下的罚款；情节严重的，并处5万元以上20万元以下的罚款。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个体经营户有本条第一款所列行为之一的，由县级以上人民政府统计机构责令改正，给予警告，可以并处1万元以下的罚款。       </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D35642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779DE7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提供虚假经济普查资料，应报数不为0，差错率10%以上30%以下；应报数为0，违法数额100万元以上1000万元以下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851D03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496E6D3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个体经营户给予警告或警告并处200元以上1000元以下罚款</w:t>
            </w:r>
          </w:p>
        </w:tc>
      </w:tr>
      <w:tr w14:paraId="30279D5C">
        <w:tblPrEx>
          <w:tblCellMar>
            <w:top w:w="15" w:type="dxa"/>
            <w:left w:w="15" w:type="dxa"/>
            <w:bottom w:w="15" w:type="dxa"/>
            <w:right w:w="15" w:type="dxa"/>
          </w:tblCellMar>
        </w:tblPrEx>
        <w:trPr>
          <w:trHeight w:val="2718"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7E6E4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AAB60">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7952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5DC423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5023C8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提供虚假经济普查资料，应报数不为0，差错率30%以上60%以下；应报数为0，违法数额1000万元以上2000万元以下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6F9B20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6051E0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个体经营户给予警告并处1000元以上2000元以下罚款</w:t>
            </w:r>
          </w:p>
        </w:tc>
      </w:tr>
      <w:tr w14:paraId="6E847B99">
        <w:tblPrEx>
          <w:tblCellMar>
            <w:top w:w="15" w:type="dxa"/>
            <w:left w:w="15" w:type="dxa"/>
            <w:bottom w:w="15" w:type="dxa"/>
            <w:right w:w="15" w:type="dxa"/>
          </w:tblCellMar>
        </w:tblPrEx>
        <w:trPr>
          <w:trHeight w:val="2008"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0E4C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8374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14B7C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0B7C1A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196BCC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提供虚假经济普查资料，应报数不为0，差错率60%以上90%以下；应报数为0，违法数额2000万元以上5000万元以下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1D1F2A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58FEFB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个体经营户给予警告并处2000元以上3000元以下罚款</w:t>
            </w:r>
          </w:p>
        </w:tc>
      </w:tr>
      <w:tr w14:paraId="2BDF655E">
        <w:tblPrEx>
          <w:tblCellMar>
            <w:top w:w="15" w:type="dxa"/>
            <w:left w:w="15" w:type="dxa"/>
            <w:bottom w:w="15" w:type="dxa"/>
            <w:right w:w="15" w:type="dxa"/>
          </w:tblCellMar>
        </w:tblPrEx>
        <w:trPr>
          <w:trHeight w:val="5975"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2FC5D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537EF">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6BC05F">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19DA6E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p w14:paraId="4DD8B04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p w14:paraId="3EC00FF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5D1B56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提供虚假经济普查资料，</w:t>
            </w:r>
            <w:r>
              <w:rPr>
                <w:rFonts w:hint="eastAsia" w:ascii="宋体" w:hAnsi="宋体" w:eastAsia="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bidi="ar"/>
              </w:rPr>
              <w:t>应报数不为0，</w:t>
            </w:r>
            <w:r>
              <w:rPr>
                <w:rFonts w:hint="eastAsia" w:ascii="宋体" w:hAnsi="宋体" w:eastAsia="宋体" w:cs="宋体"/>
                <w:b w:val="0"/>
                <w:bCs/>
                <w:color w:val="000000"/>
                <w:kern w:val="0"/>
                <w:sz w:val="21"/>
                <w:szCs w:val="21"/>
                <w:lang w:eastAsia="zh-CN" w:bidi="ar"/>
              </w:rPr>
              <w:t>有下列情形之一：（</w:t>
            </w:r>
            <w:r>
              <w:rPr>
                <w:rFonts w:hint="eastAsia" w:ascii="宋体" w:hAnsi="宋体" w:eastAsia="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eastAsia="zh-CN" w:bidi="ar"/>
              </w:rPr>
              <w:t>）差错率10%以上30%以下，且违法数额30亿元以上；（</w:t>
            </w:r>
            <w:r>
              <w:rPr>
                <w:rFonts w:hint="eastAsia" w:ascii="宋体" w:hAnsi="宋体" w:eastAsia="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eastAsia="zh-CN" w:bidi="ar"/>
              </w:rPr>
              <w:t>）差错率30%以上 60%以下，且违法数额20亿元以上；（</w:t>
            </w:r>
            <w:r>
              <w:rPr>
                <w:rFonts w:hint="eastAsia" w:ascii="宋体" w:hAnsi="宋体" w:eastAsia="宋体" w:cs="宋体"/>
                <w:b w:val="0"/>
                <w:bCs/>
                <w:color w:val="000000"/>
                <w:kern w:val="0"/>
                <w:sz w:val="21"/>
                <w:szCs w:val="21"/>
                <w:lang w:val="en-US" w:eastAsia="zh-CN" w:bidi="ar"/>
              </w:rPr>
              <w:t>3</w:t>
            </w:r>
            <w:r>
              <w:rPr>
                <w:rFonts w:hint="eastAsia" w:ascii="宋体" w:hAnsi="宋体" w:eastAsia="宋体" w:cs="宋体"/>
                <w:b w:val="0"/>
                <w:bCs/>
                <w:color w:val="000000"/>
                <w:kern w:val="0"/>
                <w:sz w:val="21"/>
                <w:szCs w:val="21"/>
                <w:lang w:eastAsia="zh-CN" w:bidi="ar"/>
              </w:rPr>
              <w:t>）差错率60%以上 90%以下，且违法数额10亿元以上；（</w:t>
            </w:r>
            <w:r>
              <w:rPr>
                <w:rFonts w:hint="eastAsia" w:ascii="宋体" w:hAnsi="宋体" w:eastAsia="宋体" w:cs="宋体"/>
                <w:b w:val="0"/>
                <w:bCs/>
                <w:color w:val="000000"/>
                <w:kern w:val="0"/>
                <w:sz w:val="21"/>
                <w:szCs w:val="21"/>
                <w:lang w:val="en-US" w:eastAsia="zh-CN" w:bidi="ar"/>
              </w:rPr>
              <w:t>4</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t>差错率</w:t>
            </w:r>
            <w:r>
              <w:rPr>
                <w:rFonts w:hint="eastAsia" w:ascii="宋体" w:hAnsi="宋体" w:eastAsia="宋体" w:cs="宋体"/>
                <w:b w:val="0"/>
                <w:bCs/>
                <w:color w:val="000000"/>
                <w:kern w:val="0"/>
                <w:sz w:val="21"/>
                <w:szCs w:val="21"/>
                <w:lang w:val="en-US" w:eastAsia="zh-CN" w:bidi="ar"/>
              </w:rPr>
              <w:t>6</w:t>
            </w:r>
            <w:r>
              <w:rPr>
                <w:rFonts w:hint="eastAsia" w:ascii="宋体" w:hAnsi="宋体" w:eastAsia="宋体" w:cs="宋体"/>
                <w:b w:val="0"/>
                <w:bCs/>
                <w:color w:val="000000"/>
                <w:kern w:val="0"/>
                <w:sz w:val="21"/>
                <w:szCs w:val="21"/>
                <w:lang w:bidi="ar"/>
              </w:rPr>
              <w:t>0%以上，且</w:t>
            </w:r>
            <w:r>
              <w:rPr>
                <w:rFonts w:hint="eastAsia" w:ascii="宋体" w:hAnsi="宋体" w:eastAsia="宋体" w:cs="宋体"/>
                <w:b w:val="0"/>
                <w:bCs/>
                <w:color w:val="000000"/>
                <w:kern w:val="0"/>
                <w:sz w:val="21"/>
                <w:szCs w:val="21"/>
                <w:lang w:eastAsia="zh-CN" w:bidi="ar"/>
              </w:rPr>
              <w:t>存在主观故意的；（</w:t>
            </w:r>
            <w:r>
              <w:rPr>
                <w:rFonts w:hint="eastAsia" w:ascii="宋体" w:hAnsi="宋体" w:eastAsia="宋体" w:cs="宋体"/>
                <w:b w:val="0"/>
                <w:bCs/>
                <w:color w:val="000000"/>
                <w:kern w:val="0"/>
                <w:sz w:val="21"/>
                <w:szCs w:val="21"/>
                <w:lang w:val="en-US" w:eastAsia="zh-CN" w:bidi="ar"/>
              </w:rPr>
              <w:t>5</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t>差错率90%以上，且违法数额1亿元以下</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bidi="ar"/>
              </w:rPr>
              <w:t>应报数为0，违法数额5000万元以上1亿元以下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DFF20A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企业事业单位或者其他组织给予警告并处5万元以上 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033AB0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个体经营户给予警告并处3000元以上5000元以下罚款</w:t>
            </w:r>
          </w:p>
        </w:tc>
      </w:tr>
      <w:tr w14:paraId="4097B429">
        <w:tblPrEx>
          <w:tblCellMar>
            <w:top w:w="15" w:type="dxa"/>
            <w:left w:w="15" w:type="dxa"/>
            <w:bottom w:w="15" w:type="dxa"/>
            <w:right w:w="15" w:type="dxa"/>
          </w:tblCellMar>
        </w:tblPrEx>
        <w:trPr>
          <w:trHeight w:val="1826"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DD4B7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DB4368">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D9084">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924FBD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28909F8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225623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提供虚假经济普查资料，应报数不为0，差错率90%以上，且违法数额1亿元以上；应报数为0，违法数额1亿元以上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04B745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67EF93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个体经营户给予警告并处5000元以上1万元以下罚款</w:t>
            </w:r>
          </w:p>
        </w:tc>
      </w:tr>
      <w:tr w14:paraId="3717DB79">
        <w:tblPrEx>
          <w:tblCellMar>
            <w:top w:w="15" w:type="dxa"/>
            <w:left w:w="15" w:type="dxa"/>
            <w:bottom w:w="15" w:type="dxa"/>
            <w:right w:w="15" w:type="dxa"/>
          </w:tblCellMar>
        </w:tblPrEx>
        <w:trPr>
          <w:trHeight w:val="999"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97360">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B68EC">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08772D">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217E56C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9D6956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spacing w:val="-6"/>
                <w:kern w:val="0"/>
                <w:sz w:val="21"/>
                <w:szCs w:val="21"/>
                <w:lang w:bidi="ar"/>
              </w:rPr>
              <w:t>提供不完整经济普查资料，应填而未填指标数占应填指标数10%以下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3B88D3F">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75E4A8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个体经营户给予警告或警告并处200元以上1000元以下罚款</w:t>
            </w:r>
          </w:p>
        </w:tc>
      </w:tr>
      <w:tr w14:paraId="456427DC">
        <w:tblPrEx>
          <w:tblCellMar>
            <w:top w:w="15" w:type="dxa"/>
            <w:left w:w="15" w:type="dxa"/>
            <w:bottom w:w="15" w:type="dxa"/>
            <w:right w:w="15" w:type="dxa"/>
          </w:tblCellMar>
        </w:tblPrEx>
        <w:trPr>
          <w:trHeight w:val="1274"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3D2E1">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D35F9D">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F5E27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B0358B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216729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提供不完整经济普查资料，应填而未填指标数占应填指标数10%以上30%以下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B8B592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BAEBCF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个体经营户给予警告并处1000元以上2000元以下罚款</w:t>
            </w:r>
          </w:p>
        </w:tc>
      </w:tr>
      <w:tr w14:paraId="3FE3EE14">
        <w:tblPrEx>
          <w:tblCellMar>
            <w:top w:w="15" w:type="dxa"/>
            <w:left w:w="15" w:type="dxa"/>
            <w:bottom w:w="15" w:type="dxa"/>
            <w:right w:w="15" w:type="dxa"/>
          </w:tblCellMar>
        </w:tblPrEx>
        <w:trPr>
          <w:trHeight w:val="1230"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C968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605CA">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D94EF">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64BE05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1FA971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提供不完整经济普查资料，应填而未填指标数占应填指标数30%以上60%以下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496731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F68960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个体经营户给予警告并处2000元以上3000元以下罚款</w:t>
            </w:r>
          </w:p>
        </w:tc>
      </w:tr>
      <w:tr w14:paraId="483DEEEA">
        <w:tblPrEx>
          <w:tblCellMar>
            <w:top w:w="15" w:type="dxa"/>
            <w:left w:w="15" w:type="dxa"/>
            <w:bottom w:w="15" w:type="dxa"/>
            <w:right w:w="15" w:type="dxa"/>
          </w:tblCellMar>
        </w:tblPrEx>
        <w:trPr>
          <w:trHeight w:val="1048"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12E3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4EFD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C4EB3">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D0D9B5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97A877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spacing w:val="-6"/>
                <w:kern w:val="0"/>
                <w:sz w:val="21"/>
                <w:szCs w:val="21"/>
                <w:lang w:bidi="ar"/>
              </w:rPr>
              <w:t>提供不完整经济普查资料，应填而未填指标数占应填指标数60%以上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3DFCD2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3B85C1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个体经营户给予警告并处3000元以上5000元以下罚款</w:t>
            </w:r>
          </w:p>
        </w:tc>
      </w:tr>
      <w:tr w14:paraId="48709C6E">
        <w:tblPrEx>
          <w:tblCellMar>
            <w:top w:w="15" w:type="dxa"/>
            <w:left w:w="15" w:type="dxa"/>
            <w:bottom w:w="15" w:type="dxa"/>
            <w:right w:w="15" w:type="dxa"/>
          </w:tblCellMar>
        </w:tblPrEx>
        <w:trPr>
          <w:trHeight w:val="1514" w:hRule="exac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C4F9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C0D8D">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6797D">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A13F3D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2DAD807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1FFE4E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提供不完整经济普查资料，应填而未填指标数占应填指标数60%以上，造成严重后果或者恶劣影响</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3F00CA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77AE55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个体经营户给予警告并处5000元以上1万元以下罚款</w:t>
            </w:r>
          </w:p>
        </w:tc>
      </w:tr>
      <w:tr w14:paraId="03BF72BB">
        <w:tblPrEx>
          <w:tblCellMar>
            <w:top w:w="15" w:type="dxa"/>
            <w:left w:w="15" w:type="dxa"/>
            <w:bottom w:w="15" w:type="dxa"/>
            <w:right w:w="15" w:type="dxa"/>
          </w:tblCellMar>
        </w:tblPrEx>
        <w:trPr>
          <w:trHeight w:val="1001"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63ED764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10</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4DEF9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未按时提供与经济普查有关的资料，经催报后仍未提供的行为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1E738D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（一）拒绝或者妨碍接受经济普查机构、经济普查人员依法进行的调查的；         </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（二）提供虚假或者不完整的经济普查资料的；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（三）未按时提供与经济普查有关的资料，经催报后仍未提供的。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企业事业单位或者其他组织有前款所列行为之一的，可以并处5万元以下的罚款；情节严重的，并处5万元以上20万元以下的罚款。</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个体经营户有本条第一款所列行为之一的，由县级以上人民政府统计机构责令改正，给予警告，可以并处1万元以下的罚款。                                                                                                                                                                                                                          </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CAF666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BFD42B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在催报规定的上报时间</w:t>
            </w:r>
            <w:r>
              <w:rPr>
                <w:rFonts w:hint="eastAsia" w:ascii="宋体" w:hAnsi="宋体" w:eastAsia="宋体" w:cs="宋体"/>
                <w:b w:val="0"/>
                <w:bCs/>
                <w:color w:val="000000"/>
                <w:kern w:val="0"/>
                <w:sz w:val="21"/>
                <w:szCs w:val="21"/>
                <w:lang w:eastAsia="zh-CN" w:bidi="ar"/>
              </w:rPr>
              <w:t>未</w:t>
            </w:r>
            <w:r>
              <w:rPr>
                <w:rFonts w:hint="eastAsia" w:ascii="宋体" w:hAnsi="宋体" w:eastAsia="宋体" w:cs="宋体"/>
                <w:b w:val="0"/>
                <w:bCs/>
                <w:color w:val="000000"/>
                <w:kern w:val="0"/>
                <w:sz w:val="21"/>
                <w:szCs w:val="21"/>
                <w:lang w:bidi="ar"/>
              </w:rPr>
              <w:t>提供经济普查资料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04D7B4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企业事业单位或者其他组织给予警告或警告并处5000元以上1万元以下罚款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64E098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个体经营户给予警告或警告并处500元以上1000元以下罚款</w:t>
            </w:r>
          </w:p>
        </w:tc>
      </w:tr>
      <w:tr w14:paraId="2D9F2A81">
        <w:tblPrEx>
          <w:tblCellMar>
            <w:top w:w="15" w:type="dxa"/>
            <w:left w:w="15" w:type="dxa"/>
            <w:bottom w:w="15" w:type="dxa"/>
            <w:right w:w="15" w:type="dxa"/>
          </w:tblCellMar>
        </w:tblPrEx>
        <w:trPr>
          <w:trHeight w:val="118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1E52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940C3">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63DE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51297A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F54A75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在催报规定的上报时间后3日内未提供经济普查资料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1A7658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C1464B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个体经营户给予警告并处1000元以上2000元以下罚款</w:t>
            </w:r>
          </w:p>
        </w:tc>
      </w:tr>
      <w:tr w14:paraId="06083248">
        <w:tblPrEx>
          <w:tblCellMar>
            <w:top w:w="15" w:type="dxa"/>
            <w:left w:w="15" w:type="dxa"/>
            <w:bottom w:w="15" w:type="dxa"/>
            <w:right w:w="15" w:type="dxa"/>
          </w:tblCellMar>
        </w:tblPrEx>
        <w:trPr>
          <w:trHeight w:val="108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61AF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AB300">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E62D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D651C8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F3060A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超过催报规定的上报时间，逾期3日后未提供经济普查资料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D00F3D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企业事业单位或者其他组织给予警告并处2万元以上5万元以下罚款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0189D4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个体经营户给予警告并处2000元以上3000元以下罚款</w:t>
            </w:r>
          </w:p>
        </w:tc>
      </w:tr>
      <w:tr w14:paraId="79F61D56">
        <w:tblPrEx>
          <w:tblCellMar>
            <w:top w:w="15" w:type="dxa"/>
            <w:left w:w="15" w:type="dxa"/>
            <w:bottom w:w="15" w:type="dxa"/>
            <w:right w:w="15" w:type="dxa"/>
          </w:tblCellMar>
        </w:tblPrEx>
        <w:trPr>
          <w:trHeight w:val="148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2B956F">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288E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2DD42">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82AFE8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458300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超过催报规定的上报时间未提供经济普查资料，再次催报仍未在规定时间提供</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1005D3B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企业事业单位或者其他组织给予警告并处5万元以上10万元以下罚款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9E282F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个体经营户给予警告并处3000元以上5000元以下罚款</w:t>
            </w:r>
          </w:p>
        </w:tc>
      </w:tr>
      <w:tr w14:paraId="3DAFC70F">
        <w:tblPrEx>
          <w:tblCellMar>
            <w:top w:w="15" w:type="dxa"/>
            <w:left w:w="15" w:type="dxa"/>
            <w:bottom w:w="15" w:type="dxa"/>
            <w:right w:w="15" w:type="dxa"/>
          </w:tblCellMar>
        </w:tblPrEx>
        <w:trPr>
          <w:trHeight w:val="1420"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54BB19">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74BF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26F6A">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5DCF012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特别</w:t>
            </w:r>
          </w:p>
          <w:p w14:paraId="38C4794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117C3B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超过催报规定的上报时间未提供经济普查资料，严重影响普查工作正常开展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291D0C0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企业事业单位或者其他组织给予警告并处10万元以上20万元以下罚款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300672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个体经营户给予警告并处5000元以上1万元以下罚款</w:t>
            </w:r>
          </w:p>
        </w:tc>
      </w:tr>
      <w:tr w14:paraId="7EF64B37">
        <w:tblPrEx>
          <w:tblCellMar>
            <w:top w:w="15" w:type="dxa"/>
            <w:left w:w="15" w:type="dxa"/>
            <w:bottom w:w="15" w:type="dxa"/>
            <w:right w:w="15" w:type="dxa"/>
          </w:tblCellMar>
        </w:tblPrEx>
        <w:trPr>
          <w:trHeight w:val="1577"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44AF4ED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11</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74AC5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拒绝或者妨碍普查办公室、普查人员依法进行调查的行为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B9A514C">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（一）拒绝或者妨碍普查办公室、普查人员依法进行调查的；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（二）提供虚假或者不完整的农业普查资料的；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（三）未按时提供与农业普查有关的资料，经催报后仍未提供的；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（四）拒绝、推诿和阻挠依法进行的农业普查执法检查的；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（五）在接受农业普查执法检查时，转移、隐匿、篡改、毁弃原始记录、统计台账、普查表、会计资料及其他相关资料的</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BAAD9B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E9EF5A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妨碍普查办公室、普查人员依法进行调查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307C9C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46383C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农业生产经营户给予警告或警告并处500元以上2000元以下罚款</w:t>
            </w:r>
          </w:p>
        </w:tc>
      </w:tr>
      <w:tr w14:paraId="5CC39E46">
        <w:tblPrEx>
          <w:tblCellMar>
            <w:top w:w="15" w:type="dxa"/>
            <w:left w:w="15" w:type="dxa"/>
            <w:bottom w:w="15" w:type="dxa"/>
            <w:right w:w="15" w:type="dxa"/>
          </w:tblCellMar>
        </w:tblPrEx>
        <w:trPr>
          <w:trHeight w:val="503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2E1D8">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AB8474">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EC188">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359FE28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2B26ACC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拒绝普查办公室、普查人员依法进行调查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085517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36B1501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农业生产经营户给予警告并处2000元以上1万元以下罚款</w:t>
            </w:r>
          </w:p>
        </w:tc>
      </w:tr>
      <w:tr w14:paraId="50E330E1">
        <w:tblPrEx>
          <w:tblCellMar>
            <w:top w:w="15" w:type="dxa"/>
            <w:left w:w="15" w:type="dxa"/>
            <w:bottom w:w="15" w:type="dxa"/>
            <w:right w:w="15" w:type="dxa"/>
          </w:tblCellMar>
        </w:tblPrEx>
        <w:trPr>
          <w:trHeight w:val="90"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7DBE075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12</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C1596B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提供虚假或者不完整农业普查资料的行为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A6187F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（一）拒绝或者妨碍普查办公室、普查人员依法进行调查的；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（二）提供虚假或者不完整的农业普查资料的；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（三）未按时提供与农业普查有关的资料，经催报后仍未提供的；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（四）拒绝、推诿和阻挠依法进行的农业普查执法检查的；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（五）在接受农业普查执法检查时，转移、隐匿、篡改、毁弃原始记录、统计台账、普查表、会计资料及其他相关资料的</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A6E390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20AA68D">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提供虚假农业普查资料，差错率10%以上30%以下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3A729AD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7E436F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农业生产经营户给予警告或警告并处200元以上1000元以下罚款</w:t>
            </w:r>
          </w:p>
        </w:tc>
      </w:tr>
      <w:tr w14:paraId="43BA91DA">
        <w:tblPrEx>
          <w:tblCellMar>
            <w:top w:w="15" w:type="dxa"/>
            <w:left w:w="15" w:type="dxa"/>
            <w:bottom w:w="15" w:type="dxa"/>
            <w:right w:w="15" w:type="dxa"/>
          </w:tblCellMar>
        </w:tblPrEx>
        <w:trPr>
          <w:trHeight w:val="140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3C9F4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CBA6F">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23E5E6">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AE126F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8576FC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提供虚假农业普查资料，差错率30%以上60%以下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A0D673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26C7BA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农业生产经营户给予警告并处1000元以上2000元以下罚款</w:t>
            </w:r>
          </w:p>
        </w:tc>
      </w:tr>
      <w:tr w14:paraId="2088FD2C">
        <w:tblPrEx>
          <w:tblCellMar>
            <w:top w:w="15" w:type="dxa"/>
            <w:left w:w="15" w:type="dxa"/>
            <w:bottom w:w="15" w:type="dxa"/>
            <w:right w:w="15" w:type="dxa"/>
          </w:tblCellMar>
        </w:tblPrEx>
        <w:trPr>
          <w:trHeight w:val="1301"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AF0AD">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F0977">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1C98E7">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236FF1E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1293FD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提供虚假农业普查资料，差错率60%以上90%以下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3530B4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农业生产经营单位给予警告并处2万元以上3万元以下罚款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C9537B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农业生产经营户给予警告并处2000元以上5000元以下罚款</w:t>
            </w:r>
          </w:p>
        </w:tc>
      </w:tr>
      <w:tr w14:paraId="1ACB7667">
        <w:tblPrEx>
          <w:tblCellMar>
            <w:top w:w="15" w:type="dxa"/>
            <w:left w:w="15" w:type="dxa"/>
            <w:bottom w:w="15" w:type="dxa"/>
            <w:right w:w="15" w:type="dxa"/>
          </w:tblCellMar>
        </w:tblPrEx>
        <w:trPr>
          <w:trHeight w:val="1025"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5892F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309EA">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4B20E">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863865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046278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提供虚假农业普查资料，差错率90%以上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8523B06">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农业生产经营单位给予警告并处3万元以上5万元以下罚款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B16957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农业生产经营户给予警告并处5000元以上1万元以下罚款</w:t>
            </w:r>
          </w:p>
        </w:tc>
      </w:tr>
      <w:tr w14:paraId="0E9F160E">
        <w:tblPrEx>
          <w:tblCellMar>
            <w:top w:w="15" w:type="dxa"/>
            <w:left w:w="15" w:type="dxa"/>
            <w:bottom w:w="15" w:type="dxa"/>
            <w:right w:w="15" w:type="dxa"/>
          </w:tblCellMar>
        </w:tblPrEx>
        <w:trPr>
          <w:trHeight w:val="133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4D73D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DB2AD">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4D01D">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7E9675F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191BD29">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提供不完整农业普查资料，应填而未填指标数占应填指标数10%以下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3D586B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农业生产经营单位给予警告或警告并处2000元以上1万元以下罚款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AAE392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农业生产经营户给予警告或警告并处200元以上1000元以下罚款</w:t>
            </w:r>
          </w:p>
        </w:tc>
      </w:tr>
      <w:tr w14:paraId="21FF024F">
        <w:tblPrEx>
          <w:tblCellMar>
            <w:top w:w="15" w:type="dxa"/>
            <w:left w:w="15" w:type="dxa"/>
            <w:bottom w:w="15" w:type="dxa"/>
            <w:right w:w="15" w:type="dxa"/>
          </w:tblCellMar>
        </w:tblPrEx>
        <w:trPr>
          <w:trHeight w:val="138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9A21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B90AD">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C242C">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55239A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D9B3A6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提供不完整农业普查资料，应填而未填指标数占应填指标数10%以上30%以下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68F1C4D1">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农业生产经营单位给予警告并处1万元以上2万元以下罚款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A9EFBA8">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农业生产经营户给予警告并处1000元以上2000元以下罚款</w:t>
            </w:r>
          </w:p>
        </w:tc>
      </w:tr>
      <w:tr w14:paraId="7917A612">
        <w:tblPrEx>
          <w:tblCellMar>
            <w:top w:w="15" w:type="dxa"/>
            <w:left w:w="15" w:type="dxa"/>
            <w:bottom w:w="15" w:type="dxa"/>
            <w:right w:w="15" w:type="dxa"/>
          </w:tblCellMar>
        </w:tblPrEx>
        <w:trPr>
          <w:trHeight w:val="1435"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D9848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8C4CB">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B3FA8">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5C8881A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BFA7B5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提供不完整农业普查资料，应填而未填指标数占应填指标数30%以上60%以下</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19E05E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农业生产经营单位给予警告并处2万元以上3万元以下罚款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3715EF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农业生产经营户给予警告并处2000元以上5000元以下罚款</w:t>
            </w:r>
          </w:p>
        </w:tc>
      </w:tr>
      <w:tr w14:paraId="3A8FD61B">
        <w:tblPrEx>
          <w:tblCellMar>
            <w:top w:w="15" w:type="dxa"/>
            <w:left w:w="15" w:type="dxa"/>
            <w:bottom w:w="15" w:type="dxa"/>
            <w:right w:w="15" w:type="dxa"/>
          </w:tblCellMar>
        </w:tblPrEx>
        <w:trPr>
          <w:trHeight w:val="1029"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19DC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C245C6">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A4B19">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0FD15C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05D2941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提供不完整农业普查资料，应填而未填指标数占应填指标数60%以上</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F3B8DD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农业生产经营单位给予警告并处3万元以上5万元以下罚款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090BC35A">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农业生产经营户给予警告并处5000元以上1万元以下罚款</w:t>
            </w:r>
          </w:p>
        </w:tc>
      </w:tr>
      <w:tr w14:paraId="3CB0A779">
        <w:tblPrEx>
          <w:tblCellMar>
            <w:top w:w="15" w:type="dxa"/>
            <w:left w:w="15" w:type="dxa"/>
            <w:bottom w:w="15" w:type="dxa"/>
            <w:right w:w="15" w:type="dxa"/>
          </w:tblCellMar>
        </w:tblPrEx>
        <w:trPr>
          <w:trHeight w:val="1953"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36E8CB7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13</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4B5C354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未按时提供与农业普查有关的资料，经催报后仍未提供的行为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395D20B">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（一）拒绝或者妨碍普查办公室、普查人员依法进行调查的；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（二）提供虚假或者不完整的农业普查资料的；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（三）未按时提供与农业普查有关的资料，经催报后仍未提供的；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（四）拒绝、推诿和阻挠依法进行的农业普查执法检查的；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（五）在接受农业普查执法检查时，转移、隐匿、篡改、毁弃原始记录、统计台账、普查表、会计资料及其他相关资料的</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085B4B8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轻</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4DD9AD8E">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在催报规定的上报时间</w:t>
            </w:r>
            <w:r>
              <w:rPr>
                <w:rFonts w:hint="eastAsia" w:ascii="宋体" w:hAnsi="宋体" w:eastAsia="宋体" w:cs="宋体"/>
                <w:b w:val="0"/>
                <w:bCs/>
                <w:color w:val="000000"/>
                <w:kern w:val="0"/>
                <w:sz w:val="21"/>
                <w:szCs w:val="21"/>
                <w:lang w:eastAsia="zh-CN" w:bidi="ar"/>
              </w:rPr>
              <w:t>未</w:t>
            </w:r>
            <w:r>
              <w:rPr>
                <w:rFonts w:hint="eastAsia" w:ascii="宋体" w:hAnsi="宋体" w:eastAsia="宋体" w:cs="宋体"/>
                <w:b w:val="0"/>
                <w:bCs/>
                <w:color w:val="000000"/>
                <w:kern w:val="0"/>
                <w:sz w:val="21"/>
                <w:szCs w:val="21"/>
                <w:lang w:bidi="ar"/>
              </w:rPr>
              <w:t>提供农业普查资料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793AC0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农业生产经营单位给予警告或警告并处5000元以上1万元以下罚款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69F59AA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农业生产经营户给予警告或警告并处500元以上1000元以下罚款</w:t>
            </w:r>
          </w:p>
        </w:tc>
      </w:tr>
      <w:tr w14:paraId="05E5018D">
        <w:tblPrEx>
          <w:tblCellMar>
            <w:top w:w="15" w:type="dxa"/>
            <w:left w:w="15" w:type="dxa"/>
            <w:bottom w:w="15" w:type="dxa"/>
            <w:right w:w="15" w:type="dxa"/>
          </w:tblCellMar>
        </w:tblPrEx>
        <w:trPr>
          <w:trHeight w:val="1847"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C610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E65E7">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EBA211">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kern w:val="0"/>
                <w:sz w:val="21"/>
                <w:szCs w:val="21"/>
                <w:lang w:bidi="ar"/>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9C500E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318E6DB">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在催报规定的上报时间后3日内未提供农业普查资料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0F35A35C">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农业生产经营单位给予警告并处1万元以上2万元以下罚款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783CDF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农业生产经营户给予警告并处1000元以上2000元以下罚款</w:t>
            </w:r>
          </w:p>
        </w:tc>
      </w:tr>
      <w:tr w14:paraId="4EDCF028">
        <w:tblPrEx>
          <w:tblCellMar>
            <w:top w:w="15" w:type="dxa"/>
            <w:left w:w="15" w:type="dxa"/>
            <w:bottom w:w="15" w:type="dxa"/>
            <w:right w:w="15" w:type="dxa"/>
          </w:tblCellMar>
        </w:tblPrEx>
        <w:trPr>
          <w:trHeight w:val="2983"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356286">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3A0CF6">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D2A73D">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CF7D75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较重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8543352">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超过催报规定的上报时间，逾期3日后未提供农业普查资料</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45AD02EC">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5A81A8B5">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农业生产经营户给予警告并处2000元以上1万元以下罚款</w:t>
            </w:r>
          </w:p>
        </w:tc>
      </w:tr>
      <w:tr w14:paraId="0E352E26">
        <w:tblPrEx>
          <w:tblCellMar>
            <w:top w:w="15" w:type="dxa"/>
            <w:left w:w="15" w:type="dxa"/>
            <w:bottom w:w="15" w:type="dxa"/>
            <w:right w:w="15" w:type="dxa"/>
          </w:tblCellMar>
        </w:tblPrEx>
        <w:trPr>
          <w:trHeight w:val="2270" w:hRule="atLeast"/>
          <w:jc w:val="center"/>
        </w:trPr>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7787639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14</w:t>
            </w:r>
          </w:p>
        </w:tc>
        <w:tc>
          <w:tcPr>
            <w:tcW w:w="935" w:type="dxa"/>
            <w:vMerge w:val="restart"/>
            <w:tcBorders>
              <w:top w:val="single" w:color="000000" w:sz="4" w:space="0"/>
              <w:left w:val="single" w:color="000000" w:sz="4" w:space="0"/>
              <w:bottom w:val="single" w:color="000000" w:sz="4" w:space="0"/>
              <w:right w:val="single" w:color="000000" w:sz="4" w:space="0"/>
            </w:tcBorders>
            <w:noWrap w:val="0"/>
            <w:vAlign w:val="center"/>
          </w:tcPr>
          <w:p w14:paraId="35667148">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拒绝、推诿和阻挠依法进行的农业普查执法检查的行为</w:t>
            </w:r>
          </w:p>
        </w:tc>
        <w:tc>
          <w:tcPr>
            <w:tcW w:w="52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11D6000">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（一）拒绝或者妨碍普查办公室、普查人员依法进行调查的；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（二）提供虚假或者不完整的农业普查资料的；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（三）未按时提供与农业普查有关的资料，经催报后仍未提供的；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（四）拒绝、推诿和阻挠依法进行的农业普查执法检查的；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（五）在接受农业普查执法检查时，转移、隐匿、篡改、毁弃原始记录、统计台账、普查表、会计资料及其他相关资料的</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1AB6048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36894C8E">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推诿和阻挠依法进行的农业普查执法检查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0E37430">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70F739B0">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农业生产经营户给予警告或警告并处500元以上2000元以下罚款</w:t>
            </w:r>
          </w:p>
        </w:tc>
      </w:tr>
      <w:tr w14:paraId="2FA88D00">
        <w:tblPrEx>
          <w:tblCellMar>
            <w:top w:w="15" w:type="dxa"/>
            <w:left w:w="15" w:type="dxa"/>
            <w:bottom w:w="15" w:type="dxa"/>
            <w:right w:w="15" w:type="dxa"/>
          </w:tblCellMar>
        </w:tblPrEx>
        <w:trPr>
          <w:trHeight w:val="1944" w:hRule="atLeast"/>
          <w:jc w:val="center"/>
        </w:trPr>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D8B0B">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b w:val="0"/>
                <w:bCs/>
                <w:color w:val="000000"/>
                <w:sz w:val="21"/>
                <w:szCs w:val="21"/>
              </w:rPr>
            </w:pPr>
          </w:p>
        </w:tc>
        <w:tc>
          <w:tcPr>
            <w:tcW w:w="9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C16C0">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52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53051">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val="0"/>
                <w:bCs/>
                <w:color w:val="000000"/>
                <w:sz w:val="21"/>
                <w:szCs w:val="21"/>
              </w:rPr>
            </w:pP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4C1F48F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严重</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14FACEA">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拒绝依法进行的农业普查执法检查</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723E6521">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农业生产经营单位给予警告并处2万元以上5万元以下罚款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2641CBFF">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农业生产经营户给予警告并处2000元以上1万元以下罚款</w:t>
            </w:r>
          </w:p>
        </w:tc>
      </w:tr>
      <w:tr w14:paraId="42A5465F">
        <w:tblPrEx>
          <w:tblCellMar>
            <w:top w:w="15" w:type="dxa"/>
            <w:left w:w="15" w:type="dxa"/>
            <w:bottom w:w="15" w:type="dxa"/>
            <w:right w:w="15" w:type="dxa"/>
          </w:tblCellMar>
        </w:tblPrEx>
        <w:trPr>
          <w:trHeight w:val="4524" w:hRule="atLeast"/>
          <w:jc w:val="center"/>
        </w:trPr>
        <w:tc>
          <w:tcPr>
            <w:tcW w:w="682" w:type="dxa"/>
            <w:tcBorders>
              <w:top w:val="single" w:color="000000" w:sz="4" w:space="0"/>
              <w:left w:val="single" w:color="000000" w:sz="4" w:space="0"/>
              <w:bottom w:val="single" w:color="000000" w:sz="4" w:space="0"/>
              <w:right w:val="single" w:color="000000" w:sz="4" w:space="0"/>
            </w:tcBorders>
            <w:noWrap w:val="0"/>
            <w:vAlign w:val="center"/>
          </w:tcPr>
          <w:p w14:paraId="07B3009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15</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560D137">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在接受农业普查执法检查时，转移、隐匿、篡改、毁弃原始记录、统计台账、普查表、会计资料及其他相关资料的行为</w:t>
            </w:r>
          </w:p>
        </w:tc>
        <w:tc>
          <w:tcPr>
            <w:tcW w:w="5271" w:type="dxa"/>
            <w:tcBorders>
              <w:top w:val="single" w:color="000000" w:sz="4" w:space="0"/>
              <w:left w:val="single" w:color="000000" w:sz="4" w:space="0"/>
              <w:bottom w:val="single" w:color="000000" w:sz="4" w:space="0"/>
              <w:right w:val="single" w:color="000000" w:sz="4" w:space="0"/>
            </w:tcBorders>
            <w:noWrap w:val="0"/>
            <w:vAlign w:val="center"/>
          </w:tcPr>
          <w:p w14:paraId="511988A9">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（一）拒绝或者妨碍普查办公室、普查人员依法进行调查的；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（二）提供虚假或者不完整的农业普查资料的；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（三）未按时提供与农业普查有关的资料，经催报后仍未提供的；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（四）拒绝、推诿和阻挠依法进行的农业普查执法检查的；</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（五）在接受农业普查执法检查时，转移、隐匿、篡改、毁弃原始记录、统计台账、普查表、会计资料及其他相关资料的</w:t>
            </w:r>
            <w:r>
              <w:rPr>
                <w:rFonts w:hint="eastAsia" w:ascii="宋体" w:hAnsi="宋体" w:eastAsia="宋体" w:cs="宋体"/>
                <w:b w:val="0"/>
                <w:bCs/>
                <w:color w:val="000000"/>
                <w:kern w:val="0"/>
                <w:sz w:val="21"/>
                <w:szCs w:val="21"/>
                <w:lang w:eastAsia="zh-CN" w:bidi="ar"/>
              </w:rPr>
              <w:t>。</w:t>
            </w:r>
            <w:r>
              <w:rPr>
                <w:rFonts w:hint="eastAsia" w:ascii="宋体" w:hAnsi="宋体" w:eastAsia="宋体" w:cs="宋体"/>
                <w:b w:val="0"/>
                <w:bCs/>
                <w:color w:val="000000"/>
                <w:kern w:val="0"/>
                <w:sz w:val="21"/>
                <w:szCs w:val="21"/>
                <w:lang w:bidi="ar"/>
              </w:rPr>
              <w:br w:type="textWrapping"/>
            </w:r>
            <w:r>
              <w:rPr>
                <w:rFonts w:hint="eastAsia" w:ascii="宋体" w:hAnsi="宋体" w:eastAsia="宋体" w:cs="宋体"/>
                <w:b w:val="0"/>
                <w:bCs/>
                <w:color w:val="000000"/>
                <w:kern w:val="0"/>
                <w:sz w:val="21"/>
                <w:szCs w:val="21"/>
                <w:lang w:bidi="ar"/>
              </w:rPr>
              <w:t xml:space="preserve">    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tc>
        <w:tc>
          <w:tcPr>
            <w:tcW w:w="608" w:type="dxa"/>
            <w:tcBorders>
              <w:top w:val="single" w:color="000000" w:sz="4" w:space="0"/>
              <w:left w:val="single" w:color="000000" w:sz="4" w:space="0"/>
              <w:bottom w:val="single" w:color="000000" w:sz="4" w:space="0"/>
              <w:right w:val="single" w:color="000000" w:sz="4" w:space="0"/>
            </w:tcBorders>
            <w:noWrap w:val="0"/>
            <w:vAlign w:val="center"/>
          </w:tcPr>
          <w:p w14:paraId="6D9F191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宋体" w:hAnsi="宋体" w:eastAsia="宋体" w:cs="宋体"/>
                <w:b w:val="0"/>
                <w:bCs/>
                <w:color w:val="000000"/>
                <w:kern w:val="0"/>
                <w:sz w:val="21"/>
                <w:szCs w:val="21"/>
                <w:lang w:bidi="ar"/>
              </w:rPr>
            </w:pPr>
            <w:r>
              <w:rPr>
                <w:rFonts w:hint="eastAsia" w:ascii="宋体" w:hAnsi="宋体" w:eastAsia="宋体" w:cs="宋体"/>
                <w:b w:val="0"/>
                <w:bCs/>
                <w:color w:val="000000"/>
                <w:kern w:val="0"/>
                <w:sz w:val="21"/>
                <w:szCs w:val="21"/>
                <w:lang w:bidi="ar"/>
              </w:rPr>
              <w:t>一般</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7AB020C">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转移、隐匿、篡改、毁弃原始记录、统计台账、普查表、会计资料及其他相关资料，影响农业普查执法检查工作正常开展</w:t>
            </w:r>
          </w:p>
        </w:tc>
        <w:tc>
          <w:tcPr>
            <w:tcW w:w="2636" w:type="dxa"/>
            <w:tcBorders>
              <w:top w:val="single" w:color="000000" w:sz="4" w:space="0"/>
              <w:left w:val="single" w:color="000000" w:sz="4" w:space="0"/>
              <w:bottom w:val="single" w:color="000000" w:sz="4" w:space="0"/>
              <w:right w:val="single" w:color="000000" w:sz="4" w:space="0"/>
            </w:tcBorders>
            <w:noWrap w:val="0"/>
            <w:vAlign w:val="center"/>
          </w:tcPr>
          <w:p w14:paraId="57D95557">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农业生产经营单位给予警告或警告并处5000元以上2万元以下罚款</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14:paraId="18934FE4">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农业生产经营户给予警告或警告并处500元以上2000元以下罚款</w:t>
            </w:r>
          </w:p>
        </w:tc>
      </w:tr>
    </w:tbl>
    <w:p w14:paraId="4B4FD8E6">
      <w:pPr>
        <w:pStyle w:val="2"/>
        <w:rPr>
          <w:rFonts w:hint="eastAsia"/>
        </w:rPr>
      </w:pPr>
    </w:p>
    <w:p w14:paraId="03FF4D0A">
      <w:pPr>
        <w:adjustRightInd w:val="0"/>
        <w:rPr>
          <w:rFonts w:hint="eastAsia" w:ascii="黑体" w:eastAsia="黑体"/>
          <w:kern w:val="0"/>
          <w:sz w:val="32"/>
          <w:szCs w:val="32"/>
        </w:rPr>
      </w:pPr>
    </w:p>
    <w:p w14:paraId="3B3C6D51">
      <w:pPr>
        <w:adjustRightInd w:val="0"/>
        <w:rPr>
          <w:rFonts w:hint="eastAsia" w:ascii="黑体" w:eastAsia="黑体"/>
          <w:kern w:val="0"/>
          <w:sz w:val="32"/>
          <w:szCs w:val="32"/>
        </w:rPr>
      </w:pPr>
    </w:p>
    <w:p w14:paraId="1C608C78">
      <w:pPr>
        <w:adjustRightInd/>
        <w:spacing w:line="340" w:lineRule="exact"/>
        <w:ind w:firstLine="960" w:firstLineChars="300"/>
        <w:rPr>
          <w:rFonts w:hint="eastAsia" w:ascii="黑体" w:eastAsia="黑体"/>
          <w:kern w:val="0"/>
          <w:sz w:val="32"/>
          <w:szCs w:val="32"/>
        </w:rPr>
        <w:sectPr>
          <w:footerReference r:id="rId3" w:type="default"/>
          <w:footerReference r:id="rId4" w:type="even"/>
          <w:pgSz w:w="16840" w:h="11907" w:orient="landscape"/>
          <w:pgMar w:top="1587" w:right="2098" w:bottom="1474" w:left="1984" w:header="851" w:footer="1077" w:gutter="0"/>
          <w:paperSrc/>
          <w:pgBorders>
            <w:top w:val="none" w:sz="0" w:space="0"/>
            <w:left w:val="none" w:sz="0" w:space="0"/>
            <w:bottom w:val="none" w:sz="0" w:space="0"/>
            <w:right w:val="none" w:sz="0" w:space="0"/>
          </w:pgBorders>
          <w:cols w:space="720" w:num="1"/>
          <w:rtlGutter w:val="0"/>
          <w:docGrid w:type="lines" w:linePitch="589" w:charSpace="0"/>
        </w:sectPr>
      </w:pPr>
    </w:p>
    <w:p w14:paraId="5984AFA9">
      <w:pPr>
        <w:pStyle w:val="12"/>
        <w:keepNext w:val="0"/>
        <w:keepLines w:val="0"/>
        <w:pageBreakBefore w:val="0"/>
        <w:widowControl w:val="0"/>
        <w:tabs>
          <w:tab w:val="left" w:pos="7500"/>
        </w:tabs>
        <w:kinsoku/>
        <w:wordWrap/>
        <w:overflowPunct/>
        <w:topLinePunct w:val="0"/>
        <w:autoSpaceDE/>
        <w:autoSpaceDN/>
        <w:bidi w:val="0"/>
        <w:adjustRightInd/>
        <w:snapToGrid/>
        <w:spacing w:line="20" w:lineRule="exact"/>
        <w:textAlignment w:val="auto"/>
        <w:rPr>
          <w:rFonts w:hint="eastAsia" w:ascii="仿宋_GB2312"/>
          <w:snapToGrid w:val="0"/>
          <w:kern w:val="0"/>
          <w:sz w:val="32"/>
          <w:szCs w:val="32"/>
        </w:rPr>
      </w:pPr>
    </w:p>
    <w:sectPr>
      <w:pgSz w:w="11907" w:h="16840"/>
      <w:pgMar w:top="2098" w:right="1474" w:bottom="1984" w:left="1587" w:header="851" w:footer="1644" w:gutter="0"/>
      <w:paperSrc/>
      <w:pgBorders>
        <w:top w:val="none" w:sz="0" w:space="0"/>
        <w:left w:val="none" w:sz="0" w:space="0"/>
        <w:bottom w:val="none" w:sz="0" w:space="0"/>
        <w:right w:val="none" w:sz="0" w:space="0"/>
      </w:pgBorders>
      <w:cols w:space="720" w:num="1"/>
      <w:rtlGutter w:val="0"/>
      <w:docGrid w:type="lines" w:linePitch="5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599F">
    <w:pPr>
      <w:pStyle w:val="16"/>
      <w:wordWrap w:val="0"/>
      <w:jc w:val="right"/>
      <w:rPr>
        <w:rFonts w:hint="default" w:ascii="宋体" w:hAnsi="宋体" w:eastAsia="宋体" w:cs="宋体"/>
        <w:sz w:val="28"/>
        <w:lang w:val="en-US" w:eastAsia="zh-CN"/>
      </w:rPr>
    </w:pP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r>
      <w:rPr>
        <w:rFonts w:hint="eastAsia" w:ascii="宋体" w:hAnsi="宋体" w:eastAsia="宋体" w:cs="宋体"/>
        <w:sz w:val="28"/>
      </w:rPr>
      <w:fldChar w:fldCharType="begin"/>
    </w:r>
    <w:r>
      <w:rPr>
        <w:rStyle w:val="32"/>
        <w:rFonts w:hint="eastAsia" w:ascii="宋体" w:hAnsi="宋体" w:eastAsia="宋体" w:cs="宋体"/>
        <w:sz w:val="28"/>
      </w:rPr>
      <w:instrText xml:space="preserve"> PAGE </w:instrText>
    </w:r>
    <w:r>
      <w:rPr>
        <w:rFonts w:hint="eastAsia" w:ascii="宋体" w:hAnsi="宋体" w:eastAsia="宋体" w:cs="宋体"/>
        <w:sz w:val="28"/>
      </w:rPr>
      <w:fldChar w:fldCharType="separate"/>
    </w:r>
    <w:r>
      <w:rPr>
        <w:rStyle w:val="32"/>
        <w:rFonts w:hint="eastAsia" w:ascii="宋体" w:hAnsi="宋体" w:eastAsia="宋体" w:cs="宋体"/>
        <w:sz w:val="28"/>
        <w:lang/>
      </w:rPr>
      <w:t>3</w:t>
    </w:r>
    <w:r>
      <w:rPr>
        <w:rFonts w:hint="eastAsia" w:ascii="宋体" w:hAnsi="宋体" w:eastAsia="宋体" w:cs="宋体"/>
        <w:sz w:val="28"/>
      </w:rPr>
      <w:fldChar w:fldCharType="end"/>
    </w:r>
    <w:r>
      <w:rPr>
        <w:rFonts w:hint="eastAsia" w:ascii="宋体" w:hAnsi="宋体" w:eastAsia="宋体" w:cs="宋体"/>
        <w:sz w:val="28"/>
        <w:lang w:val="en-US" w:eastAsia="zh-CN"/>
      </w:rPr>
      <w:t xml:space="preserve"> </w:t>
    </w: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56E7C">
    <w:pPr>
      <w:pStyle w:val="16"/>
      <w:ind w:firstLine="280" w:firstLineChars="100"/>
    </w:pPr>
    <w:r>
      <w:rPr>
        <w:rStyle w:val="32"/>
        <w:rFonts w:hint="eastAsia" w:ascii="宋体" w:hAnsi="宋体" w:eastAsia="宋体" w:cs="宋体"/>
        <w:sz w:val="28"/>
      </w:rPr>
      <w:t>—</w:t>
    </w:r>
    <w:r>
      <w:rPr>
        <w:rStyle w:val="32"/>
        <w:rFonts w:hint="eastAsia" w:ascii="宋体" w:hAnsi="宋体" w:eastAsia="宋体" w:cs="宋体"/>
        <w:sz w:val="28"/>
        <w:lang w:val="en-US" w:eastAsia="zh-CN"/>
      </w:rPr>
      <w:t xml:space="preserve"> </w:t>
    </w: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PAGE </w:instrText>
    </w:r>
    <w:r>
      <w:rPr>
        <w:rFonts w:hint="eastAsia" w:ascii="宋体" w:hAnsi="宋体" w:eastAsia="宋体" w:cs="宋体"/>
        <w:sz w:val="28"/>
        <w:szCs w:val="22"/>
      </w:rPr>
      <w:fldChar w:fldCharType="separate"/>
    </w:r>
    <w:r>
      <w:rPr>
        <w:rFonts w:hint="eastAsia" w:ascii="宋体" w:hAnsi="宋体" w:eastAsia="宋体" w:cs="宋体"/>
        <w:sz w:val="28"/>
        <w:szCs w:val="22"/>
        <w:lang/>
      </w:rPr>
      <w:t>4</w:t>
    </w:r>
    <w:r>
      <w:rPr>
        <w:rFonts w:hint="eastAsia" w:ascii="宋体" w:hAnsi="宋体" w:eastAsia="宋体" w:cs="宋体"/>
        <w:sz w:val="28"/>
        <w:szCs w:val="22"/>
      </w:rPr>
      <w:fldChar w:fldCharType="end"/>
    </w:r>
    <w:r>
      <w:rPr>
        <w:rFonts w:hint="eastAsia" w:ascii="宋体" w:hAnsi="宋体" w:eastAsia="宋体" w:cs="宋体"/>
        <w:sz w:val="28"/>
        <w:szCs w:val="22"/>
        <w:lang w:val="en-US" w:eastAsia="zh-CN"/>
      </w:rPr>
      <w:t xml:space="preserve"> </w:t>
    </w:r>
    <w:r>
      <w:rPr>
        <w:rStyle w:val="32"/>
        <w:rFonts w:hint="eastAsia" w:ascii="宋体" w:hAnsi="宋体" w:eastAsia="宋体" w:cs="宋体"/>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158"/>
  <w:drawingGridVerticalSpacing w:val="295"/>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jFlZTA4YWQzODNhNjgxNGE3MWU0MWFjMmQ2MjEifQ=="/>
  </w:docVars>
  <w:rsids>
    <w:rsidRoot w:val="00172A27"/>
    <w:rsid w:val="00004078"/>
    <w:rsid w:val="00022251"/>
    <w:rsid w:val="00023424"/>
    <w:rsid w:val="0004154B"/>
    <w:rsid w:val="0004767E"/>
    <w:rsid w:val="00052E76"/>
    <w:rsid w:val="00072B82"/>
    <w:rsid w:val="000735FE"/>
    <w:rsid w:val="0009420B"/>
    <w:rsid w:val="000A263B"/>
    <w:rsid w:val="000A49BD"/>
    <w:rsid w:val="000B2362"/>
    <w:rsid w:val="000B2D68"/>
    <w:rsid w:val="000B4F6A"/>
    <w:rsid w:val="000E3D23"/>
    <w:rsid w:val="000F229A"/>
    <w:rsid w:val="00117756"/>
    <w:rsid w:val="0012731E"/>
    <w:rsid w:val="00164162"/>
    <w:rsid w:val="00166096"/>
    <w:rsid w:val="00166CFF"/>
    <w:rsid w:val="0017171B"/>
    <w:rsid w:val="001726BB"/>
    <w:rsid w:val="001843F8"/>
    <w:rsid w:val="001A0931"/>
    <w:rsid w:val="001A18E6"/>
    <w:rsid w:val="001B1829"/>
    <w:rsid w:val="001C1666"/>
    <w:rsid w:val="001C299C"/>
    <w:rsid w:val="001C4420"/>
    <w:rsid w:val="001C796F"/>
    <w:rsid w:val="001F2272"/>
    <w:rsid w:val="001F3518"/>
    <w:rsid w:val="001F71A4"/>
    <w:rsid w:val="002124D8"/>
    <w:rsid w:val="00225202"/>
    <w:rsid w:val="00226363"/>
    <w:rsid w:val="00231DC1"/>
    <w:rsid w:val="00232F36"/>
    <w:rsid w:val="002463F0"/>
    <w:rsid w:val="00253189"/>
    <w:rsid w:val="00285876"/>
    <w:rsid w:val="00291E61"/>
    <w:rsid w:val="0029230D"/>
    <w:rsid w:val="002B3DCE"/>
    <w:rsid w:val="002B6BC3"/>
    <w:rsid w:val="002C3544"/>
    <w:rsid w:val="002C7722"/>
    <w:rsid w:val="002D70A7"/>
    <w:rsid w:val="002E1E33"/>
    <w:rsid w:val="002F67E1"/>
    <w:rsid w:val="002F7482"/>
    <w:rsid w:val="003001C7"/>
    <w:rsid w:val="0031451B"/>
    <w:rsid w:val="00315259"/>
    <w:rsid w:val="00315C8E"/>
    <w:rsid w:val="00365A6E"/>
    <w:rsid w:val="00370A8D"/>
    <w:rsid w:val="00375882"/>
    <w:rsid w:val="0038260E"/>
    <w:rsid w:val="00383B32"/>
    <w:rsid w:val="003853DD"/>
    <w:rsid w:val="00392115"/>
    <w:rsid w:val="003A1557"/>
    <w:rsid w:val="003A6F69"/>
    <w:rsid w:val="003B08EF"/>
    <w:rsid w:val="003E0B23"/>
    <w:rsid w:val="003E4F21"/>
    <w:rsid w:val="003F07C7"/>
    <w:rsid w:val="003F7FAD"/>
    <w:rsid w:val="0040458B"/>
    <w:rsid w:val="004220DD"/>
    <w:rsid w:val="00425622"/>
    <w:rsid w:val="004312A5"/>
    <w:rsid w:val="00436A2E"/>
    <w:rsid w:val="00443B15"/>
    <w:rsid w:val="0045431B"/>
    <w:rsid w:val="00457970"/>
    <w:rsid w:val="00463B9D"/>
    <w:rsid w:val="00466CE8"/>
    <w:rsid w:val="00484719"/>
    <w:rsid w:val="00484939"/>
    <w:rsid w:val="00487405"/>
    <w:rsid w:val="004A176D"/>
    <w:rsid w:val="004A1B64"/>
    <w:rsid w:val="004A544B"/>
    <w:rsid w:val="004C622F"/>
    <w:rsid w:val="004C644A"/>
    <w:rsid w:val="004D0BB0"/>
    <w:rsid w:val="004D1C80"/>
    <w:rsid w:val="004E2D26"/>
    <w:rsid w:val="004F4AAB"/>
    <w:rsid w:val="0050588B"/>
    <w:rsid w:val="00510F0C"/>
    <w:rsid w:val="00526722"/>
    <w:rsid w:val="00537BC8"/>
    <w:rsid w:val="005443D6"/>
    <w:rsid w:val="005471B9"/>
    <w:rsid w:val="00550EF5"/>
    <w:rsid w:val="00560D0E"/>
    <w:rsid w:val="005674E6"/>
    <w:rsid w:val="005716A0"/>
    <w:rsid w:val="00593B62"/>
    <w:rsid w:val="005B181B"/>
    <w:rsid w:val="005B32D4"/>
    <w:rsid w:val="005E5E69"/>
    <w:rsid w:val="005E6469"/>
    <w:rsid w:val="005E7F16"/>
    <w:rsid w:val="00622173"/>
    <w:rsid w:val="00622C0A"/>
    <w:rsid w:val="00632999"/>
    <w:rsid w:val="00636D3B"/>
    <w:rsid w:val="00641B11"/>
    <w:rsid w:val="00643360"/>
    <w:rsid w:val="006617A1"/>
    <w:rsid w:val="00670E3D"/>
    <w:rsid w:val="00682FD2"/>
    <w:rsid w:val="0069327C"/>
    <w:rsid w:val="006A2F75"/>
    <w:rsid w:val="006A2FFF"/>
    <w:rsid w:val="006C28BE"/>
    <w:rsid w:val="006C3408"/>
    <w:rsid w:val="006D5351"/>
    <w:rsid w:val="006F43AE"/>
    <w:rsid w:val="006F7B1E"/>
    <w:rsid w:val="00707846"/>
    <w:rsid w:val="0071604B"/>
    <w:rsid w:val="00726368"/>
    <w:rsid w:val="00731CE9"/>
    <w:rsid w:val="00736883"/>
    <w:rsid w:val="007437FF"/>
    <w:rsid w:val="00743BF2"/>
    <w:rsid w:val="00766FD4"/>
    <w:rsid w:val="007716AA"/>
    <w:rsid w:val="007811FF"/>
    <w:rsid w:val="007868B7"/>
    <w:rsid w:val="00791A10"/>
    <w:rsid w:val="007A2634"/>
    <w:rsid w:val="007A6710"/>
    <w:rsid w:val="007A6A31"/>
    <w:rsid w:val="007B466C"/>
    <w:rsid w:val="007F095E"/>
    <w:rsid w:val="00803A7F"/>
    <w:rsid w:val="0081142A"/>
    <w:rsid w:val="0081469F"/>
    <w:rsid w:val="00820679"/>
    <w:rsid w:val="00832E38"/>
    <w:rsid w:val="008347A0"/>
    <w:rsid w:val="008348D8"/>
    <w:rsid w:val="008358A9"/>
    <w:rsid w:val="00870E11"/>
    <w:rsid w:val="00872385"/>
    <w:rsid w:val="00890150"/>
    <w:rsid w:val="00894690"/>
    <w:rsid w:val="008A0612"/>
    <w:rsid w:val="008B4C17"/>
    <w:rsid w:val="008B74C8"/>
    <w:rsid w:val="008D3BA3"/>
    <w:rsid w:val="008D421D"/>
    <w:rsid w:val="008D60F8"/>
    <w:rsid w:val="008E29FA"/>
    <w:rsid w:val="008E3CB7"/>
    <w:rsid w:val="008E5E98"/>
    <w:rsid w:val="008E6964"/>
    <w:rsid w:val="008F4357"/>
    <w:rsid w:val="0090075C"/>
    <w:rsid w:val="00921878"/>
    <w:rsid w:val="009302BC"/>
    <w:rsid w:val="009438DC"/>
    <w:rsid w:val="00950D3C"/>
    <w:rsid w:val="0095412F"/>
    <w:rsid w:val="00972263"/>
    <w:rsid w:val="00972886"/>
    <w:rsid w:val="0098656F"/>
    <w:rsid w:val="009A2EE9"/>
    <w:rsid w:val="009B53CE"/>
    <w:rsid w:val="009C00D4"/>
    <w:rsid w:val="009D5B8A"/>
    <w:rsid w:val="009E1464"/>
    <w:rsid w:val="00A135C2"/>
    <w:rsid w:val="00A143B7"/>
    <w:rsid w:val="00A21BDA"/>
    <w:rsid w:val="00A50D99"/>
    <w:rsid w:val="00A62CA3"/>
    <w:rsid w:val="00A66264"/>
    <w:rsid w:val="00A6784C"/>
    <w:rsid w:val="00A731FA"/>
    <w:rsid w:val="00A73AA7"/>
    <w:rsid w:val="00A9646E"/>
    <w:rsid w:val="00AA16CA"/>
    <w:rsid w:val="00AA6405"/>
    <w:rsid w:val="00AA68D1"/>
    <w:rsid w:val="00AC00A7"/>
    <w:rsid w:val="00AC62DC"/>
    <w:rsid w:val="00AD21EF"/>
    <w:rsid w:val="00AD28D5"/>
    <w:rsid w:val="00AE3734"/>
    <w:rsid w:val="00AE4A16"/>
    <w:rsid w:val="00B01D13"/>
    <w:rsid w:val="00B063DE"/>
    <w:rsid w:val="00B07F05"/>
    <w:rsid w:val="00B1065D"/>
    <w:rsid w:val="00B2052D"/>
    <w:rsid w:val="00B22C94"/>
    <w:rsid w:val="00B325D7"/>
    <w:rsid w:val="00B54C1D"/>
    <w:rsid w:val="00B556D1"/>
    <w:rsid w:val="00B6014A"/>
    <w:rsid w:val="00B711AC"/>
    <w:rsid w:val="00B839BE"/>
    <w:rsid w:val="00B91AB6"/>
    <w:rsid w:val="00BA4845"/>
    <w:rsid w:val="00BA6F09"/>
    <w:rsid w:val="00BC2595"/>
    <w:rsid w:val="00BE66F0"/>
    <w:rsid w:val="00C0565F"/>
    <w:rsid w:val="00C06CD5"/>
    <w:rsid w:val="00C228C6"/>
    <w:rsid w:val="00C30E2B"/>
    <w:rsid w:val="00C34E96"/>
    <w:rsid w:val="00C534B6"/>
    <w:rsid w:val="00C6689E"/>
    <w:rsid w:val="00C717DF"/>
    <w:rsid w:val="00C873A2"/>
    <w:rsid w:val="00C9599E"/>
    <w:rsid w:val="00C979BB"/>
    <w:rsid w:val="00CA0828"/>
    <w:rsid w:val="00CB2B4A"/>
    <w:rsid w:val="00CC3B2A"/>
    <w:rsid w:val="00CC7070"/>
    <w:rsid w:val="00CD7757"/>
    <w:rsid w:val="00CE0D1A"/>
    <w:rsid w:val="00CF76A0"/>
    <w:rsid w:val="00CF77D9"/>
    <w:rsid w:val="00D01B48"/>
    <w:rsid w:val="00D16EA4"/>
    <w:rsid w:val="00D21784"/>
    <w:rsid w:val="00D23880"/>
    <w:rsid w:val="00D23D12"/>
    <w:rsid w:val="00D2551A"/>
    <w:rsid w:val="00D33B2E"/>
    <w:rsid w:val="00D36153"/>
    <w:rsid w:val="00D42FC4"/>
    <w:rsid w:val="00D4381A"/>
    <w:rsid w:val="00D7302F"/>
    <w:rsid w:val="00D7613D"/>
    <w:rsid w:val="00D92C79"/>
    <w:rsid w:val="00DA10D7"/>
    <w:rsid w:val="00DE3684"/>
    <w:rsid w:val="00DF0702"/>
    <w:rsid w:val="00E0085D"/>
    <w:rsid w:val="00E01F60"/>
    <w:rsid w:val="00E067A8"/>
    <w:rsid w:val="00E11A11"/>
    <w:rsid w:val="00E14B7B"/>
    <w:rsid w:val="00E14F62"/>
    <w:rsid w:val="00E27189"/>
    <w:rsid w:val="00E37F96"/>
    <w:rsid w:val="00E46927"/>
    <w:rsid w:val="00E51FCE"/>
    <w:rsid w:val="00E53103"/>
    <w:rsid w:val="00E7649C"/>
    <w:rsid w:val="00E90C42"/>
    <w:rsid w:val="00E92EAE"/>
    <w:rsid w:val="00E946BF"/>
    <w:rsid w:val="00EC5597"/>
    <w:rsid w:val="00EC6799"/>
    <w:rsid w:val="00ED5E83"/>
    <w:rsid w:val="00ED6D0B"/>
    <w:rsid w:val="00ED7530"/>
    <w:rsid w:val="00EF6C9F"/>
    <w:rsid w:val="00F044D4"/>
    <w:rsid w:val="00F11004"/>
    <w:rsid w:val="00F24DD5"/>
    <w:rsid w:val="00F26262"/>
    <w:rsid w:val="00F30539"/>
    <w:rsid w:val="00F51C61"/>
    <w:rsid w:val="00F816AE"/>
    <w:rsid w:val="00F86C5D"/>
    <w:rsid w:val="00FB5B37"/>
    <w:rsid w:val="00FB7A71"/>
    <w:rsid w:val="00FC146B"/>
    <w:rsid w:val="00FE4078"/>
    <w:rsid w:val="00FE58DC"/>
    <w:rsid w:val="00FF13B7"/>
    <w:rsid w:val="00FF1AF9"/>
    <w:rsid w:val="00FF409D"/>
    <w:rsid w:val="01BE285B"/>
    <w:rsid w:val="020E7582"/>
    <w:rsid w:val="0298172C"/>
    <w:rsid w:val="03981C95"/>
    <w:rsid w:val="043E327A"/>
    <w:rsid w:val="04E643C1"/>
    <w:rsid w:val="058E0453"/>
    <w:rsid w:val="06C438C6"/>
    <w:rsid w:val="06D65529"/>
    <w:rsid w:val="06EB330C"/>
    <w:rsid w:val="072767A3"/>
    <w:rsid w:val="0880017C"/>
    <w:rsid w:val="08EB5F00"/>
    <w:rsid w:val="090B72B1"/>
    <w:rsid w:val="098D6D40"/>
    <w:rsid w:val="0A011A29"/>
    <w:rsid w:val="0A861246"/>
    <w:rsid w:val="0B8B30AC"/>
    <w:rsid w:val="0C0B055E"/>
    <w:rsid w:val="0D8769EC"/>
    <w:rsid w:val="0E3A10B2"/>
    <w:rsid w:val="104625CE"/>
    <w:rsid w:val="122E45D4"/>
    <w:rsid w:val="12BC34DB"/>
    <w:rsid w:val="12E86289"/>
    <w:rsid w:val="12F93F63"/>
    <w:rsid w:val="135B3504"/>
    <w:rsid w:val="136467BE"/>
    <w:rsid w:val="142C0CA7"/>
    <w:rsid w:val="146A2D9F"/>
    <w:rsid w:val="14793B59"/>
    <w:rsid w:val="14896D94"/>
    <w:rsid w:val="15C957A3"/>
    <w:rsid w:val="15E240C2"/>
    <w:rsid w:val="16EE1AF3"/>
    <w:rsid w:val="17E658B7"/>
    <w:rsid w:val="18942033"/>
    <w:rsid w:val="19511A11"/>
    <w:rsid w:val="19EF3D63"/>
    <w:rsid w:val="19F734F1"/>
    <w:rsid w:val="1BC62DFB"/>
    <w:rsid w:val="1C2A0915"/>
    <w:rsid w:val="1C712001"/>
    <w:rsid w:val="1CAE59F0"/>
    <w:rsid w:val="1CD1438E"/>
    <w:rsid w:val="1CFA6770"/>
    <w:rsid w:val="1DC3711F"/>
    <w:rsid w:val="1E1533D5"/>
    <w:rsid w:val="1E9B5644"/>
    <w:rsid w:val="1F2D0562"/>
    <w:rsid w:val="1FB34712"/>
    <w:rsid w:val="20975846"/>
    <w:rsid w:val="21911D6B"/>
    <w:rsid w:val="22EB7A12"/>
    <w:rsid w:val="22F67D8B"/>
    <w:rsid w:val="23455AF8"/>
    <w:rsid w:val="238E6718"/>
    <w:rsid w:val="241D6D8B"/>
    <w:rsid w:val="2490178A"/>
    <w:rsid w:val="25F30B36"/>
    <w:rsid w:val="27385193"/>
    <w:rsid w:val="27993CD4"/>
    <w:rsid w:val="28170D86"/>
    <w:rsid w:val="287222DD"/>
    <w:rsid w:val="2BE71A2F"/>
    <w:rsid w:val="2D202F16"/>
    <w:rsid w:val="2ED923F6"/>
    <w:rsid w:val="30D34F5D"/>
    <w:rsid w:val="31540561"/>
    <w:rsid w:val="32420417"/>
    <w:rsid w:val="32567D70"/>
    <w:rsid w:val="34DC513A"/>
    <w:rsid w:val="37187FF5"/>
    <w:rsid w:val="37742E59"/>
    <w:rsid w:val="38645B2F"/>
    <w:rsid w:val="38661D44"/>
    <w:rsid w:val="387A6F89"/>
    <w:rsid w:val="39D92CC6"/>
    <w:rsid w:val="3A9E2EF1"/>
    <w:rsid w:val="3C3119C3"/>
    <w:rsid w:val="3C462849"/>
    <w:rsid w:val="3CF60D77"/>
    <w:rsid w:val="3D2F1C9A"/>
    <w:rsid w:val="3D9E06D3"/>
    <w:rsid w:val="3E834CBB"/>
    <w:rsid w:val="412A1B5E"/>
    <w:rsid w:val="41AB30AD"/>
    <w:rsid w:val="41C2774F"/>
    <w:rsid w:val="41E75E7D"/>
    <w:rsid w:val="43144EF7"/>
    <w:rsid w:val="43494DEC"/>
    <w:rsid w:val="4501200B"/>
    <w:rsid w:val="453B0B69"/>
    <w:rsid w:val="45DB6485"/>
    <w:rsid w:val="45EB4E1F"/>
    <w:rsid w:val="45F5502E"/>
    <w:rsid w:val="47747B8D"/>
    <w:rsid w:val="47EC6CDF"/>
    <w:rsid w:val="49C17282"/>
    <w:rsid w:val="4A1322A6"/>
    <w:rsid w:val="4B6222C6"/>
    <w:rsid w:val="4B787580"/>
    <w:rsid w:val="4BC77561"/>
    <w:rsid w:val="4C031A6D"/>
    <w:rsid w:val="4C3056E3"/>
    <w:rsid w:val="4C42175A"/>
    <w:rsid w:val="4CD668EA"/>
    <w:rsid w:val="4D7D6B06"/>
    <w:rsid w:val="4DFE35C9"/>
    <w:rsid w:val="533E0C0C"/>
    <w:rsid w:val="541D4D77"/>
    <w:rsid w:val="54C236DC"/>
    <w:rsid w:val="555C3E80"/>
    <w:rsid w:val="563B0E79"/>
    <w:rsid w:val="566F7C5C"/>
    <w:rsid w:val="573C15B0"/>
    <w:rsid w:val="57E7424A"/>
    <w:rsid w:val="57F910AB"/>
    <w:rsid w:val="58256C94"/>
    <w:rsid w:val="58465AA6"/>
    <w:rsid w:val="58E030BB"/>
    <w:rsid w:val="592365F9"/>
    <w:rsid w:val="5A820748"/>
    <w:rsid w:val="5B206DB0"/>
    <w:rsid w:val="5DF4609A"/>
    <w:rsid w:val="5E9C4509"/>
    <w:rsid w:val="5FD736CA"/>
    <w:rsid w:val="5FF91B50"/>
    <w:rsid w:val="60616132"/>
    <w:rsid w:val="612E530F"/>
    <w:rsid w:val="638B2CA7"/>
    <w:rsid w:val="65162D4A"/>
    <w:rsid w:val="65976E71"/>
    <w:rsid w:val="66822C3A"/>
    <w:rsid w:val="674F4D69"/>
    <w:rsid w:val="678D552F"/>
    <w:rsid w:val="68765D1D"/>
    <w:rsid w:val="69515AAD"/>
    <w:rsid w:val="6B253EFE"/>
    <w:rsid w:val="6C704FED"/>
    <w:rsid w:val="6E1206A1"/>
    <w:rsid w:val="6E2902CC"/>
    <w:rsid w:val="6E421B75"/>
    <w:rsid w:val="6E904138"/>
    <w:rsid w:val="6ECF72B8"/>
    <w:rsid w:val="6F8132C7"/>
    <w:rsid w:val="6F9023BE"/>
    <w:rsid w:val="706A746C"/>
    <w:rsid w:val="70D11980"/>
    <w:rsid w:val="71690F67"/>
    <w:rsid w:val="71D9148F"/>
    <w:rsid w:val="728945DA"/>
    <w:rsid w:val="75045CEE"/>
    <w:rsid w:val="754E4ECD"/>
    <w:rsid w:val="757553E6"/>
    <w:rsid w:val="760C23E5"/>
    <w:rsid w:val="76800A45"/>
    <w:rsid w:val="76970A1A"/>
    <w:rsid w:val="771A4342"/>
    <w:rsid w:val="7836431E"/>
    <w:rsid w:val="791D1227"/>
    <w:rsid w:val="7AA27904"/>
    <w:rsid w:val="7D0079C1"/>
    <w:rsid w:val="7D2C4C60"/>
    <w:rsid w:val="7E1E33E4"/>
    <w:rsid w:val="7EA83C8D"/>
    <w:rsid w:val="7F5432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rFonts w:eastAsia="仿宋_GB2312"/>
      <w:kern w:val="2"/>
      <w:sz w:val="30"/>
      <w:lang w:val="en-US" w:eastAsia="zh-CN" w:bidi="ar-SA"/>
    </w:rPr>
  </w:style>
  <w:style w:type="paragraph" w:styleId="3">
    <w:name w:val="heading 1"/>
    <w:basedOn w:val="1"/>
    <w:next w:val="1"/>
    <w:link w:val="37"/>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2"/>
    <w:qFormat/>
    <w:uiPriority w:val="0"/>
    <w:pPr>
      <w:keepNext/>
      <w:keepLines/>
      <w:spacing w:before="260" w:beforeLines="0" w:after="260" w:afterLines="0" w:line="413" w:lineRule="auto"/>
      <w:outlineLvl w:val="2"/>
    </w:pPr>
    <w:rPr>
      <w:rFonts w:eastAsia="宋体"/>
      <w:b/>
      <w:sz w:val="32"/>
    </w:rPr>
  </w:style>
  <w:style w:type="paragraph" w:styleId="6">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28">
    <w:name w:val="Default Paragraph Font"/>
    <w:link w:val="29"/>
    <w:uiPriority w:val="0"/>
  </w:style>
  <w:style w:type="table" w:default="1" w:styleId="26">
    <w:name w:val="Normal Table"/>
    <w:semiHidden/>
    <w:uiPriority w:val="0"/>
    <w:tblPr>
      <w:tblStyle w:val="26"/>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7">
    <w:name w:val="Body Text 3"/>
    <w:basedOn w:val="1"/>
    <w:uiPriority w:val="0"/>
    <w:pPr>
      <w:jc w:val="center"/>
    </w:pPr>
    <w:rPr>
      <w:rFonts w:eastAsia="宋体"/>
      <w:b/>
      <w:bCs/>
      <w:color w:val="000000"/>
      <w:sz w:val="44"/>
      <w:szCs w:val="22"/>
    </w:rPr>
  </w:style>
  <w:style w:type="paragraph" w:styleId="8">
    <w:name w:val="Body Text"/>
    <w:basedOn w:val="1"/>
    <w:next w:val="9"/>
    <w:uiPriority w:val="0"/>
    <w:rPr>
      <w:rFonts w:ascii="宋体" w:hAnsi="宋体" w:eastAsia="宋体"/>
      <w:sz w:val="18"/>
    </w:rPr>
  </w:style>
  <w:style w:type="paragraph" w:customStyle="1" w:styleId="9">
    <w:name w:val="默认"/>
    <w:qFormat/>
    <w:uiPriority w:val="0"/>
    <w:rPr>
      <w:rFonts w:hint="eastAsia" w:ascii="Arial Unicode MS" w:hAnsi="Arial Unicode MS" w:eastAsia="Helvetica Neue" w:cs="Arial Unicode MS"/>
      <w:color w:val="000000"/>
      <w:sz w:val="22"/>
      <w:szCs w:val="22"/>
      <w:lang w:val="zh-CN" w:eastAsia="zh-CN" w:bidi="ar-SA"/>
    </w:rPr>
  </w:style>
  <w:style w:type="paragraph" w:styleId="10">
    <w:name w:val="Body Text Indent"/>
    <w:basedOn w:val="1"/>
    <w:link w:val="38"/>
    <w:uiPriority w:val="0"/>
    <w:pPr>
      <w:ind w:firstLine="630"/>
    </w:pPr>
    <w:rPr>
      <w:rFonts w:eastAsia="仿宋_GB2312"/>
      <w:kern w:val="2"/>
      <w:sz w:val="30"/>
      <w:lang w:val="en-US" w:eastAsia="zh-CN" w:bidi="ar-SA"/>
    </w:rPr>
  </w:style>
  <w:style w:type="paragraph" w:styleId="11">
    <w:name w:val="Plain Text"/>
    <w:basedOn w:val="1"/>
    <w:next w:val="1"/>
    <w:link w:val="39"/>
    <w:uiPriority w:val="0"/>
    <w:rPr>
      <w:rFonts w:ascii="宋体" w:hAnsi="Courier New" w:eastAsia="宋体" w:cs="Courier New"/>
      <w:kern w:val="2"/>
      <w:sz w:val="21"/>
      <w:szCs w:val="21"/>
      <w:lang w:val="en-US" w:eastAsia="zh-CN" w:bidi="ar-SA"/>
    </w:rPr>
  </w:style>
  <w:style w:type="paragraph" w:styleId="12">
    <w:name w:val="Date"/>
    <w:basedOn w:val="1"/>
    <w:next w:val="1"/>
    <w:uiPriority w:val="0"/>
  </w:style>
  <w:style w:type="paragraph" w:styleId="13">
    <w:name w:val="Body Text Indent 2"/>
    <w:basedOn w:val="1"/>
    <w:uiPriority w:val="0"/>
    <w:pPr>
      <w:spacing w:line="360" w:lineRule="auto"/>
      <w:ind w:firstLine="434" w:firstLineChars="181"/>
    </w:pPr>
    <w:rPr>
      <w:rFonts w:ascii="宋体" w:hAnsi="宋体" w:eastAsia="宋体"/>
      <w:sz w:val="24"/>
      <w:szCs w:val="24"/>
    </w:rPr>
  </w:style>
  <w:style w:type="paragraph" w:styleId="14">
    <w:name w:val="endnote text"/>
    <w:basedOn w:val="1"/>
    <w:uiPriority w:val="0"/>
    <w:pPr>
      <w:snapToGrid w:val="0"/>
      <w:jc w:val="left"/>
    </w:pPr>
    <w:rPr>
      <w:rFonts w:eastAsia="宋体"/>
      <w:sz w:val="21"/>
      <w:szCs w:val="24"/>
    </w:rPr>
  </w:style>
  <w:style w:type="paragraph" w:styleId="15">
    <w:name w:val="Balloon Text"/>
    <w:basedOn w:val="1"/>
    <w:link w:val="40"/>
    <w:uiPriority w:val="0"/>
    <w:rPr>
      <w:rFonts w:eastAsia="仿宋_GB2312"/>
      <w:kern w:val="2"/>
      <w:sz w:val="18"/>
      <w:szCs w:val="18"/>
      <w:lang w:val="en-US" w:eastAsia="zh-CN" w:bidi="ar-SA"/>
    </w:rPr>
  </w:style>
  <w:style w:type="paragraph" w:styleId="16">
    <w:name w:val="footer"/>
    <w:basedOn w:val="1"/>
    <w:link w:val="41"/>
    <w:uiPriority w:val="0"/>
    <w:pPr>
      <w:tabs>
        <w:tab w:val="center" w:pos="4153"/>
        <w:tab w:val="right" w:pos="8306"/>
      </w:tabs>
      <w:snapToGrid w:val="0"/>
      <w:jc w:val="left"/>
    </w:pPr>
    <w:rPr>
      <w:rFonts w:eastAsia="仿宋_GB2312"/>
      <w:kern w:val="2"/>
      <w:sz w:val="18"/>
      <w:lang w:val="en-US" w:eastAsia="zh-CN" w:bidi="ar-SA"/>
    </w:rPr>
  </w:style>
  <w:style w:type="paragraph" w:styleId="17">
    <w:name w:val="header"/>
    <w:basedOn w:val="1"/>
    <w:link w:val="42"/>
    <w:uiPriority w:val="0"/>
    <w:pPr>
      <w:pBdr>
        <w:bottom w:val="single" w:color="auto" w:sz="6" w:space="1"/>
      </w:pBdr>
      <w:tabs>
        <w:tab w:val="center" w:pos="4153"/>
        <w:tab w:val="right" w:pos="8306"/>
      </w:tabs>
      <w:snapToGrid w:val="0"/>
      <w:jc w:val="center"/>
    </w:pPr>
    <w:rPr>
      <w:rFonts w:eastAsia="仿宋_GB2312"/>
      <w:kern w:val="2"/>
      <w:sz w:val="18"/>
      <w:lang w:val="en-US" w:eastAsia="zh-CN" w:bidi="ar-SA"/>
    </w:rPr>
  </w:style>
  <w:style w:type="paragraph" w:styleId="18">
    <w:name w:val="footnote text"/>
    <w:basedOn w:val="1"/>
    <w:link w:val="43"/>
    <w:uiPriority w:val="0"/>
    <w:pPr>
      <w:snapToGrid w:val="0"/>
      <w:jc w:val="left"/>
    </w:pPr>
    <w:rPr>
      <w:rFonts w:eastAsia="仿宋_GB2312"/>
      <w:kern w:val="2"/>
      <w:sz w:val="18"/>
      <w:szCs w:val="18"/>
      <w:lang w:val="en-US" w:eastAsia="zh-CN" w:bidi="ar-SA"/>
    </w:rPr>
  </w:style>
  <w:style w:type="paragraph" w:styleId="19">
    <w:name w:val="Body Text Indent 3"/>
    <w:basedOn w:val="1"/>
    <w:uiPriority w:val="0"/>
    <w:pPr>
      <w:spacing w:line="360" w:lineRule="auto"/>
      <w:ind w:firstLine="480" w:firstLineChars="200"/>
    </w:pPr>
    <w:rPr>
      <w:rFonts w:ascii="宋体" w:hAnsi="宋体" w:eastAsia="宋体"/>
      <w:sz w:val="24"/>
      <w:szCs w:val="24"/>
    </w:rPr>
  </w:style>
  <w:style w:type="paragraph" w:styleId="20">
    <w:name w:val="toc 2"/>
    <w:basedOn w:val="1"/>
    <w:next w:val="1"/>
    <w:uiPriority w:val="0"/>
    <w:pPr>
      <w:ind w:left="420" w:leftChars="200"/>
    </w:pPr>
  </w:style>
  <w:style w:type="paragraph" w:styleId="21">
    <w:name w:val="Body Text 2"/>
    <w:basedOn w:val="1"/>
    <w:uiPriority w:val="0"/>
    <w:pPr>
      <w:jc w:val="center"/>
    </w:pPr>
    <w:rPr>
      <w:rFonts w:eastAsia="宋体"/>
      <w:b/>
      <w:bCs/>
      <w:sz w:val="44"/>
    </w:rPr>
  </w:style>
  <w:style w:type="paragraph" w:styleId="2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color w:val="000000"/>
      <w:kern w:val="0"/>
      <w:sz w:val="20"/>
    </w:rPr>
  </w:style>
  <w:style w:type="paragraph" w:styleId="23">
    <w:name w:val="Normal (Web)"/>
    <w:basedOn w:val="1"/>
    <w:uiPriority w:val="0"/>
    <w:pPr>
      <w:widowControl/>
      <w:spacing w:before="100" w:beforeLines="0" w:beforeAutospacing="1" w:after="100" w:afterLines="0" w:afterAutospacing="1"/>
      <w:jc w:val="left"/>
    </w:pPr>
    <w:rPr>
      <w:rFonts w:ascii="宋体" w:hAnsi="宋体" w:eastAsia="宋体"/>
      <w:kern w:val="0"/>
      <w:sz w:val="24"/>
      <w:szCs w:val="24"/>
    </w:rPr>
  </w:style>
  <w:style w:type="paragraph" w:styleId="24">
    <w:name w:val="Title"/>
    <w:basedOn w:val="1"/>
    <w:next w:val="1"/>
    <w:link w:val="44"/>
    <w:qFormat/>
    <w:uiPriority w:val="0"/>
    <w:pPr>
      <w:spacing w:before="240" w:beforeLines="0" w:after="60" w:afterLines="0"/>
      <w:jc w:val="center"/>
      <w:outlineLvl w:val="0"/>
    </w:pPr>
    <w:rPr>
      <w:rFonts w:ascii="Cambria" w:hAnsi="Cambria" w:eastAsia="宋体" w:cs="Cambria"/>
      <w:b/>
      <w:bCs/>
      <w:kern w:val="2"/>
      <w:sz w:val="32"/>
      <w:szCs w:val="32"/>
      <w:lang w:val="en-US" w:eastAsia="zh-CN" w:bidi="ar-SA"/>
    </w:rPr>
  </w:style>
  <w:style w:type="paragraph" w:styleId="25">
    <w:name w:val="Body Text First Indent"/>
    <w:basedOn w:val="8"/>
    <w:next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table" w:styleId="27">
    <w:name w:val="Table Grid"/>
    <w:basedOn w:val="26"/>
    <w:uiPriority w:val="0"/>
    <w:pPr>
      <w:widowControl w:val="0"/>
      <w:jc w:val="both"/>
    </w:pPr>
    <w:tblPr>
      <w:tblStyle w:val="2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Char1 Char Char Char Char Char Char"/>
    <w:basedOn w:val="1"/>
    <w:link w:val="28"/>
    <w:uiPriority w:val="0"/>
    <w:pPr>
      <w:autoSpaceDE w:val="0"/>
      <w:autoSpaceDN w:val="0"/>
    </w:pPr>
  </w:style>
  <w:style w:type="character" w:styleId="30">
    <w:name w:val="Strong"/>
    <w:qFormat/>
    <w:uiPriority w:val="0"/>
    <w:rPr>
      <w:b/>
      <w:bCs/>
    </w:rPr>
  </w:style>
  <w:style w:type="character" w:styleId="31">
    <w:name w:val="endnote reference"/>
    <w:uiPriority w:val="0"/>
    <w:rPr>
      <w:vertAlign w:val="superscript"/>
    </w:rPr>
  </w:style>
  <w:style w:type="character" w:styleId="32">
    <w:name w:val="page number"/>
    <w:basedOn w:val="28"/>
    <w:uiPriority w:val="0"/>
  </w:style>
  <w:style w:type="character" w:styleId="33">
    <w:name w:val="FollowedHyperlink"/>
    <w:uiPriority w:val="0"/>
    <w:rPr>
      <w:color w:val="800080"/>
      <w:u w:val="single"/>
    </w:rPr>
  </w:style>
  <w:style w:type="character" w:styleId="34">
    <w:name w:val="Emphasis"/>
    <w:qFormat/>
    <w:uiPriority w:val="0"/>
    <w:rPr>
      <w:color w:val="CC0033"/>
    </w:rPr>
  </w:style>
  <w:style w:type="character" w:styleId="35">
    <w:name w:val="Hyperlink"/>
    <w:uiPriority w:val="0"/>
    <w:rPr>
      <w:color w:val="0000FF"/>
      <w:u w:val="single"/>
    </w:rPr>
  </w:style>
  <w:style w:type="character" w:styleId="36">
    <w:name w:val="footnote reference"/>
    <w:uiPriority w:val="0"/>
    <w:rPr>
      <w:vertAlign w:val="superscript"/>
    </w:rPr>
  </w:style>
  <w:style w:type="character" w:customStyle="1" w:styleId="37">
    <w:name w:val="标题 1 Char"/>
    <w:link w:val="3"/>
    <w:uiPriority w:val="0"/>
    <w:rPr>
      <w:rFonts w:eastAsia="宋体"/>
      <w:b/>
      <w:bCs/>
      <w:kern w:val="44"/>
      <w:sz w:val="44"/>
      <w:szCs w:val="44"/>
      <w:lang w:val="en-US" w:eastAsia="zh-CN" w:bidi="ar-SA"/>
    </w:rPr>
  </w:style>
  <w:style w:type="character" w:customStyle="1" w:styleId="38">
    <w:name w:val="正文文本缩进 Char"/>
    <w:link w:val="10"/>
    <w:uiPriority w:val="0"/>
    <w:rPr>
      <w:rFonts w:eastAsia="仿宋_GB2312"/>
      <w:kern w:val="2"/>
      <w:sz w:val="30"/>
      <w:lang w:val="en-US" w:eastAsia="zh-CN" w:bidi="ar-SA"/>
    </w:rPr>
  </w:style>
  <w:style w:type="character" w:customStyle="1" w:styleId="39">
    <w:name w:val="纯文本 Char"/>
    <w:link w:val="11"/>
    <w:uiPriority w:val="0"/>
    <w:rPr>
      <w:rFonts w:ascii="宋体" w:hAnsi="Courier New" w:eastAsia="宋体" w:cs="Courier New"/>
      <w:kern w:val="2"/>
      <w:sz w:val="21"/>
      <w:szCs w:val="21"/>
      <w:lang w:val="en-US" w:eastAsia="zh-CN" w:bidi="ar-SA"/>
    </w:rPr>
  </w:style>
  <w:style w:type="character" w:customStyle="1" w:styleId="40">
    <w:name w:val="批注框文本 Char"/>
    <w:link w:val="15"/>
    <w:uiPriority w:val="0"/>
    <w:rPr>
      <w:rFonts w:eastAsia="仿宋_GB2312"/>
      <w:kern w:val="2"/>
      <w:sz w:val="18"/>
      <w:szCs w:val="18"/>
      <w:lang w:val="en-US" w:eastAsia="zh-CN" w:bidi="ar-SA"/>
    </w:rPr>
  </w:style>
  <w:style w:type="character" w:customStyle="1" w:styleId="41">
    <w:name w:val="页脚 Char"/>
    <w:link w:val="16"/>
    <w:uiPriority w:val="0"/>
    <w:rPr>
      <w:rFonts w:eastAsia="仿宋_GB2312"/>
      <w:kern w:val="2"/>
      <w:sz w:val="18"/>
      <w:lang w:val="en-US" w:eastAsia="zh-CN" w:bidi="ar-SA"/>
    </w:rPr>
  </w:style>
  <w:style w:type="character" w:customStyle="1" w:styleId="42">
    <w:name w:val="页眉 Char"/>
    <w:link w:val="17"/>
    <w:uiPriority w:val="0"/>
    <w:rPr>
      <w:rFonts w:eastAsia="仿宋_GB2312"/>
      <w:kern w:val="2"/>
      <w:sz w:val="18"/>
      <w:lang w:val="en-US" w:eastAsia="zh-CN" w:bidi="ar-SA"/>
    </w:rPr>
  </w:style>
  <w:style w:type="character" w:customStyle="1" w:styleId="43">
    <w:name w:val="脚注文本 Char"/>
    <w:link w:val="18"/>
    <w:uiPriority w:val="0"/>
    <w:rPr>
      <w:rFonts w:eastAsia="仿宋_GB2312"/>
      <w:kern w:val="2"/>
      <w:sz w:val="18"/>
      <w:szCs w:val="18"/>
      <w:lang w:val="en-US" w:eastAsia="zh-CN" w:bidi="ar-SA"/>
    </w:rPr>
  </w:style>
  <w:style w:type="character" w:customStyle="1" w:styleId="44">
    <w:name w:val="标题 Char"/>
    <w:link w:val="24"/>
    <w:uiPriority w:val="0"/>
    <w:rPr>
      <w:rFonts w:ascii="Cambria" w:hAnsi="Cambria" w:eastAsia="宋体" w:cs="Cambria"/>
      <w:b/>
      <w:bCs/>
      <w:kern w:val="2"/>
      <w:sz w:val="32"/>
      <w:szCs w:val="32"/>
      <w:lang w:val="en-US" w:eastAsia="zh-CN" w:bidi="ar-SA"/>
    </w:rPr>
  </w:style>
  <w:style w:type="character" w:customStyle="1" w:styleId="45">
    <w:name w:val="defaultfont"/>
    <w:basedOn w:val="28"/>
    <w:uiPriority w:val="0"/>
  </w:style>
  <w:style w:type="character" w:customStyle="1" w:styleId="46">
    <w:name w:val="p31"/>
    <w:uiPriority w:val="0"/>
    <w:rPr>
      <w:rFonts w:hint="default" w:ascii="_x000B__x000C_" w:hAnsi="_x000B__x000C_"/>
      <w:b/>
      <w:bCs/>
      <w:color w:val="FF6600"/>
      <w:sz w:val="28"/>
      <w:szCs w:val="28"/>
      <w:u w:val="none"/>
    </w:rPr>
  </w:style>
  <w:style w:type="character" w:customStyle="1" w:styleId="47">
    <w:name w:val="contentfont"/>
    <w:basedOn w:val="28"/>
    <w:uiPriority w:val="0"/>
  </w:style>
  <w:style w:type="character" w:customStyle="1" w:styleId="48">
    <w:name w:val="16"/>
    <w:uiPriority w:val="0"/>
    <w:rPr>
      <w:rFonts w:hint="default" w:ascii="Times New Roman" w:hAnsi="Times New Roman" w:cs="Times New Roman"/>
      <w:color w:val="0000FF"/>
      <w:sz w:val="20"/>
      <w:szCs w:val="20"/>
      <w:u w:val="single"/>
    </w:rPr>
  </w:style>
  <w:style w:type="character" w:customStyle="1" w:styleId="49">
    <w:name w:val="15"/>
    <w:uiPriority w:val="0"/>
    <w:rPr>
      <w:rFonts w:hint="default" w:ascii="Times New Roman" w:hAnsi="Times New Roman" w:cs="Times New Roman"/>
      <w:color w:val="0000FF"/>
      <w:sz w:val="20"/>
      <w:szCs w:val="20"/>
      <w:u w:val="single"/>
    </w:rPr>
  </w:style>
  <w:style w:type="character" w:customStyle="1" w:styleId="50">
    <w:name w:val="apple-style-span"/>
    <w:basedOn w:val="28"/>
    <w:uiPriority w:val="0"/>
  </w:style>
  <w:style w:type="character" w:customStyle="1" w:styleId="51">
    <w:name w:val="redbig1"/>
    <w:uiPriority w:val="0"/>
    <w:rPr>
      <w:b/>
      <w:bCs/>
      <w:color w:val="D00018"/>
      <w:sz w:val="27"/>
      <w:szCs w:val="27"/>
    </w:rPr>
  </w:style>
  <w:style w:type="character" w:customStyle="1" w:styleId="52">
    <w:name w:val="NormalCharacter"/>
    <w:qFormat/>
    <w:uiPriority w:val="0"/>
    <w:rPr>
      <w:rFonts w:ascii="Times New Roman" w:hAnsi="Times New Roman" w:eastAsia="宋体" w:cs="Times New Roman"/>
    </w:rPr>
  </w:style>
  <w:style w:type="character" w:customStyle="1" w:styleId="53">
    <w:name w:val="Plain Text Char"/>
    <w:uiPriority w:val="0"/>
    <w:rPr>
      <w:rFonts w:ascii="宋体" w:hAnsi="Courier New" w:eastAsia="宋体"/>
      <w:sz w:val="21"/>
      <w:lang w:val="en-US" w:eastAsia="zh-CN" w:bidi="ar-SA"/>
    </w:rPr>
  </w:style>
  <w:style w:type="paragraph" w:customStyle="1" w:styleId="54">
    <w:name w:val="p17"/>
    <w:basedOn w:val="1"/>
    <w:uiPriority w:val="0"/>
    <w:pPr>
      <w:widowControl/>
    </w:pPr>
    <w:rPr>
      <w:rFonts w:eastAsia="宋体"/>
      <w:kern w:val="0"/>
      <w:sz w:val="21"/>
      <w:szCs w:val="21"/>
    </w:rPr>
  </w:style>
  <w:style w:type="paragraph" w:customStyle="1" w:styleId="55">
    <w:name w:val="List Paragraph"/>
    <w:basedOn w:val="1"/>
    <w:qFormat/>
    <w:uiPriority w:val="34"/>
    <w:pPr>
      <w:ind w:firstLine="420" w:firstLineChars="200"/>
    </w:pPr>
  </w:style>
  <w:style w:type="paragraph" w:customStyle="1" w:styleId="56">
    <w:name w:val="文章附标题"/>
    <w:basedOn w:val="1"/>
    <w:next w:val="1"/>
    <w:uiPriority w:val="0"/>
    <w:pPr>
      <w:widowControl/>
      <w:spacing w:before="187" w:beforeLines="0" w:after="175" w:afterLines="0" w:line="374" w:lineRule="atLeast"/>
      <w:jc w:val="center"/>
      <w:textAlignment w:val="baseline"/>
    </w:pPr>
    <w:rPr>
      <w:rFonts w:eastAsia="宋体"/>
      <w:color w:val="000000"/>
      <w:kern w:val="0"/>
      <w:sz w:val="36"/>
      <w:u w:val="none" w:color="000000"/>
    </w:rPr>
  </w:style>
  <w:style w:type="paragraph" w:customStyle="1" w:styleId="57">
    <w:name w:val="局发文正文"/>
    <w:basedOn w:val="1"/>
    <w:uiPriority w:val="0"/>
    <w:pPr>
      <w:adjustRightInd w:val="0"/>
      <w:spacing w:line="600" w:lineRule="exact"/>
      <w:ind w:firstLine="200" w:firstLineChars="200"/>
      <w:textAlignment w:val="baseline"/>
    </w:pPr>
    <w:rPr>
      <w:rFonts w:ascii="仿宋_GB2312"/>
      <w:caps/>
      <w:spacing w:val="6"/>
      <w:kern w:val="0"/>
    </w:rPr>
  </w:style>
  <w:style w:type="paragraph" w:customStyle="1" w:styleId="58">
    <w:name w:val="Heading #2"/>
    <w:basedOn w:val="1"/>
    <w:qFormat/>
    <w:uiPriority w:val="0"/>
    <w:pPr>
      <w:widowControl w:val="0"/>
      <w:shd w:val="clear" w:color="auto" w:fill="auto"/>
      <w:spacing w:before="70" w:after="420"/>
      <w:jc w:val="center"/>
      <w:outlineLvl w:val="1"/>
    </w:pPr>
    <w:rPr>
      <w:rFonts w:ascii="宋体" w:hAnsi="宋体" w:eastAsia="宋体" w:cs="宋体"/>
      <w:sz w:val="36"/>
      <w:szCs w:val="36"/>
      <w:u w:val="none"/>
      <w:shd w:val="clear" w:color="auto" w:fill="auto"/>
    </w:rPr>
  </w:style>
  <w:style w:type="paragraph" w:customStyle="1" w:styleId="59">
    <w:name w:val="xl57"/>
    <w:basedOn w:val="1"/>
    <w:uiPriority w:val="0"/>
    <w:pPr>
      <w:widowControl/>
      <w:pBdr>
        <w:left w:val="single" w:color="auto" w:sz="4" w:space="0"/>
      </w:pBdr>
      <w:spacing w:before="100" w:beforeLines="0" w:beforeAutospacing="1" w:after="100" w:afterLines="0" w:afterAutospacing="1"/>
      <w:jc w:val="center"/>
      <w:textAlignment w:val="center"/>
    </w:pPr>
    <w:rPr>
      <w:rFonts w:ascii="仿宋_GB2312" w:hAnsi="宋体" w:cs="宋体"/>
      <w:kern w:val="0"/>
      <w:sz w:val="20"/>
    </w:rPr>
  </w:style>
  <w:style w:type="paragraph" w:customStyle="1" w:styleId="60">
    <w:name w:val="pmain"/>
    <w:basedOn w:val="1"/>
    <w:uiPriority w:val="0"/>
    <w:pPr>
      <w:widowControl/>
      <w:spacing w:before="100" w:beforeLines="0" w:beforeAutospacing="1" w:after="100" w:afterLines="0" w:afterAutospacing="1"/>
      <w:jc w:val="left"/>
    </w:pPr>
    <w:rPr>
      <w:rFonts w:ascii="宋体" w:hAnsi="宋体" w:eastAsia="宋体"/>
      <w:kern w:val="0"/>
      <w:sz w:val="24"/>
      <w:szCs w:val="24"/>
    </w:rPr>
  </w:style>
  <w:style w:type="paragraph" w:customStyle="1" w:styleId="61">
    <w:name w:val="Char"/>
    <w:basedOn w:val="1"/>
    <w:uiPriority w:val="0"/>
    <w:pPr>
      <w:spacing w:line="360" w:lineRule="auto"/>
      <w:jc w:val="left"/>
    </w:pPr>
    <w:rPr>
      <w:rFonts w:ascii="宋体" w:hAnsi="宋体" w:cs="宋体"/>
      <w:sz w:val="24"/>
      <w:szCs w:val="24"/>
    </w:rPr>
  </w:style>
  <w:style w:type="paragraph" w:customStyle="1" w:styleId="62">
    <w:name w:val=" Char1 Char Char Char Char Char Char"/>
    <w:basedOn w:val="1"/>
    <w:uiPriority w:val="0"/>
    <w:pPr>
      <w:autoSpaceDE w:val="0"/>
      <w:autoSpaceDN w:val="0"/>
    </w:pPr>
    <w:rPr>
      <w:rFonts w:ascii="Tahoma" w:hAnsi="Tahoma" w:eastAsia="宋体"/>
      <w:sz w:val="24"/>
    </w:rPr>
  </w:style>
  <w:style w:type="paragraph" w:styleId="63">
    <w:name w:val="No Spacing"/>
    <w:qFormat/>
    <w:uiPriority w:val="0"/>
    <w:pPr>
      <w:widowControl w:val="0"/>
      <w:jc w:val="both"/>
    </w:pPr>
    <w:rPr>
      <w:rFonts w:ascii="Calibri" w:hAnsi="Calibri"/>
      <w:kern w:val="2"/>
      <w:sz w:val="21"/>
      <w:szCs w:val="22"/>
      <w:lang w:val="en-US" w:eastAsia="zh-CN" w:bidi="ar-SA"/>
    </w:rPr>
  </w:style>
  <w:style w:type="paragraph" w:customStyle="1" w:styleId="64">
    <w:name w:val="p0"/>
    <w:basedOn w:val="1"/>
    <w:uiPriority w:val="0"/>
    <w:pPr>
      <w:widowControl/>
    </w:pPr>
    <w:rPr>
      <w:rFonts w:eastAsia="宋体"/>
      <w:kern w:val="0"/>
      <w:szCs w:val="30"/>
    </w:rPr>
  </w:style>
  <w:style w:type="paragraph" w:customStyle="1" w:styleId="65">
    <w:name w:val="p16"/>
    <w:basedOn w:val="1"/>
    <w:uiPriority w:val="0"/>
    <w:pPr>
      <w:widowControl/>
    </w:pPr>
    <w:rPr>
      <w:rFonts w:eastAsia="宋体"/>
      <w:kern w:val="0"/>
      <w:sz w:val="21"/>
      <w:szCs w:val="21"/>
    </w:rPr>
  </w:style>
  <w:style w:type="paragraph" w:customStyle="1" w:styleId="66">
    <w:name w:val="文字块"/>
    <w:basedOn w:val="1"/>
    <w:uiPriority w:val="0"/>
    <w:pPr>
      <w:ind w:left="-176" w:right="-334" w:firstLine="600"/>
    </w:pPr>
    <w:rPr>
      <w:szCs w:val="30"/>
    </w:rPr>
  </w:style>
  <w:style w:type="paragraph" w:customStyle="1" w:styleId="67">
    <w:name w:val="xl76"/>
    <w:basedOn w:val="1"/>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szCs w:val="24"/>
    </w:rPr>
  </w:style>
  <w:style w:type="paragraph" w:customStyle="1" w:styleId="68">
    <w:name w:val="xl66"/>
    <w:basedOn w:val="1"/>
    <w:uiPriority w:val="0"/>
    <w:pPr>
      <w:widowControl/>
      <w:spacing w:before="100" w:beforeLines="0" w:beforeAutospacing="1" w:after="100" w:afterLines="0" w:afterAutospacing="1"/>
      <w:jc w:val="left"/>
      <w:textAlignment w:val="center"/>
    </w:pPr>
    <w:rPr>
      <w:rFonts w:ascii="黑体" w:hAnsi="宋体" w:eastAsia="黑体" w:cs="宋体"/>
      <w:kern w:val="0"/>
      <w:sz w:val="20"/>
    </w:rPr>
  </w:style>
  <w:style w:type="paragraph" w:customStyle="1" w:styleId="69">
    <w:name w:val="a"/>
    <w:basedOn w:val="1"/>
    <w:uiPriority w:val="0"/>
    <w:pPr>
      <w:widowControl/>
      <w:spacing w:before="100" w:beforeLines="0" w:beforeAutospacing="1" w:after="100" w:afterLines="0" w:afterAutospacing="1"/>
      <w:jc w:val="left"/>
    </w:pPr>
    <w:rPr>
      <w:rFonts w:ascii="_x000B__x000C_" w:hAnsi="_x000B__x000C_" w:eastAsia="宋体"/>
      <w:kern w:val="0"/>
      <w:sz w:val="18"/>
      <w:szCs w:val="18"/>
    </w:rPr>
  </w:style>
  <w:style w:type="paragraph" w:customStyle="1" w:styleId="70">
    <w:name w:val="段"/>
    <w:uiPriority w:val="0"/>
    <w:pPr>
      <w:autoSpaceDE w:val="0"/>
      <w:autoSpaceDN w:val="0"/>
      <w:ind w:firstLine="200" w:firstLineChars="200"/>
      <w:jc w:val="both"/>
    </w:pPr>
    <w:rPr>
      <w:rFonts w:ascii="宋体"/>
      <w:sz w:val="21"/>
      <w:lang w:val="en-US" w:eastAsia="zh-CN" w:bidi="ar-SA"/>
    </w:rPr>
  </w:style>
  <w:style w:type="paragraph" w:customStyle="1" w:styleId="71">
    <w:name w:val="xl73"/>
    <w:basedOn w:val="1"/>
    <w:uiPriority w:val="0"/>
    <w:pPr>
      <w:widowControl/>
      <w:pBdr>
        <w:top w:val="single" w:color="auto" w:sz="4" w:space="0"/>
      </w:pBdr>
      <w:spacing w:before="100" w:beforeLines="0" w:beforeAutospacing="1" w:after="100" w:afterLines="0" w:afterAutospacing="1"/>
      <w:jc w:val="left"/>
      <w:textAlignment w:val="center"/>
    </w:pPr>
    <w:rPr>
      <w:rFonts w:ascii="仿宋_GB2312" w:hAnsi="宋体" w:cs="宋体"/>
      <w:kern w:val="0"/>
      <w:sz w:val="20"/>
    </w:rPr>
  </w:style>
  <w:style w:type="paragraph" w:customStyle="1" w:styleId="72">
    <w:name w:val="font9"/>
    <w:basedOn w:val="1"/>
    <w:uiPriority w:val="0"/>
    <w:pPr>
      <w:widowControl/>
      <w:spacing w:before="100" w:beforeLines="0" w:beforeAutospacing="1" w:after="100" w:afterLines="0" w:afterAutospacing="1"/>
      <w:jc w:val="left"/>
    </w:pPr>
    <w:rPr>
      <w:rFonts w:eastAsia="宋体"/>
      <w:kern w:val="0"/>
      <w:sz w:val="21"/>
      <w:szCs w:val="21"/>
    </w:rPr>
  </w:style>
  <w:style w:type="paragraph" w:customStyle="1" w:styleId="73">
    <w:name w:val="xl28"/>
    <w:basedOn w:val="1"/>
    <w:uiPriority w:val="0"/>
    <w:pPr>
      <w:widowControl/>
      <w:spacing w:before="100" w:beforeLines="0" w:beforeAutospacing="1" w:after="100" w:afterLines="0" w:afterAutospacing="1"/>
      <w:jc w:val="left"/>
    </w:pPr>
    <w:rPr>
      <w:rFonts w:ascii="仿宋_GB2312" w:hAnsi="宋体" w:cs="宋体"/>
      <w:kern w:val="0"/>
      <w:sz w:val="20"/>
    </w:rPr>
  </w:style>
  <w:style w:type="paragraph" w:customStyle="1" w:styleId="74">
    <w:name w:val="xl50"/>
    <w:basedOn w:val="1"/>
    <w:uiPriority w:val="0"/>
    <w:pPr>
      <w:widowControl/>
      <w:pBdr>
        <w:top w:val="single" w:color="auto" w:sz="4" w:space="0"/>
        <w:bottom w:val="single" w:color="auto" w:sz="4" w:space="0"/>
      </w:pBdr>
      <w:spacing w:before="100" w:beforeLines="0" w:beforeAutospacing="1" w:after="100" w:afterLines="0" w:afterAutospacing="1"/>
      <w:jc w:val="center"/>
    </w:pPr>
    <w:rPr>
      <w:rFonts w:ascii="仿宋_GB2312" w:hAnsi="宋体" w:cs="宋体"/>
      <w:b/>
      <w:bCs/>
      <w:kern w:val="0"/>
      <w:sz w:val="20"/>
    </w:rPr>
  </w:style>
  <w:style w:type="paragraph" w:customStyle="1" w:styleId="75">
    <w:name w:val="pa-4"/>
    <w:basedOn w:val="1"/>
    <w:uiPriority w:val="0"/>
    <w:pPr>
      <w:widowControl/>
      <w:spacing w:line="360" w:lineRule="atLeast"/>
      <w:ind w:firstLine="560"/>
      <w:jc w:val="left"/>
    </w:pPr>
    <w:rPr>
      <w:rFonts w:ascii="宋体" w:hAnsi="宋体" w:eastAsia="宋体" w:cs="宋体"/>
      <w:kern w:val="0"/>
      <w:sz w:val="24"/>
      <w:szCs w:val="24"/>
    </w:rPr>
  </w:style>
  <w:style w:type="paragraph" w:customStyle="1" w:styleId="76">
    <w:name w:val="默认段落字体 Para Char Char Char Char Char Char Char"/>
    <w:basedOn w:val="3"/>
    <w:uiPriority w:val="0"/>
    <w:rPr>
      <w:rFonts w:ascii="Tahoma" w:hAnsi="Tahoma" w:eastAsia="黑体"/>
      <w:sz w:val="36"/>
      <w:szCs w:val="20"/>
    </w:rPr>
  </w:style>
  <w:style w:type="paragraph" w:customStyle="1" w:styleId="77">
    <w:name w:val="xl59"/>
    <w:basedOn w:val="1"/>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rFonts w:ascii="仿宋_GB2312" w:hAnsi="宋体" w:cs="宋体"/>
      <w:kern w:val="0"/>
      <w:sz w:val="20"/>
    </w:rPr>
  </w:style>
  <w:style w:type="paragraph" w:customStyle="1" w:styleId="78">
    <w:name w:val="Char Char Char Char Char Char1 Char Char Char Char"/>
    <w:basedOn w:val="1"/>
    <w:uiPriority w:val="0"/>
    <w:rPr>
      <w:rFonts w:ascii="Tahoma" w:hAnsi="Tahoma" w:eastAsia="宋体"/>
      <w:sz w:val="24"/>
    </w:rPr>
  </w:style>
  <w:style w:type="paragraph" w:customStyle="1" w:styleId="79">
    <w:name w:val="p15"/>
    <w:basedOn w:val="1"/>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gdtjj</Company>
  <Pages>18</Pages>
  <Words>11652</Words>
  <Characters>12263</Characters>
  <Lines>14</Lines>
  <Paragraphs>4</Paragraphs>
  <TotalTime>5</TotalTime>
  <ScaleCrop>false</ScaleCrop>
  <LinksUpToDate>false</LinksUpToDate>
  <CharactersWithSpaces>12956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2017-02-14T02:14:00Z</dcterms:created>
  <dc:creator>lff</dc:creator>
  <cp:lastModifiedBy>风</cp:lastModifiedBy>
  <cp:lastPrinted>2024-08-19T01:49:28Z</cp:lastPrinted>
  <dcterms:modified xsi:type="dcterms:W3CDTF">2024-08-22T01:21:37Z</dcterms:modified>
  <dc:title>粤统办函〔2001〕6号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DA4D8EE800C54B069E8FA1B57F88A6CA_13</vt:lpwstr>
  </property>
</Properties>
</file>